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6507" w14:textId="06DA2BE7" w:rsidR="00E26D4D" w:rsidRPr="00500061" w:rsidRDefault="00500061" w:rsidP="00500061">
      <w:pPr>
        <w:spacing w:after="0"/>
        <w:jc w:val="right"/>
        <w:rPr>
          <w:rFonts w:ascii="Arial" w:hAnsi="Arial" w:cs="Arial"/>
          <w:b/>
          <w:bCs/>
          <w:i/>
          <w:sz w:val="36"/>
          <w:szCs w:val="36"/>
          <w:u w:val="single"/>
        </w:rPr>
      </w:pPr>
      <w:r w:rsidRPr="00500061">
        <w:rPr>
          <w:rFonts w:ascii="Arial" w:hAnsi="Arial" w:cs="Arial"/>
          <w:b/>
          <w:bCs/>
          <w:i/>
          <w:sz w:val="36"/>
          <w:szCs w:val="36"/>
          <w:u w:val="single"/>
        </w:rPr>
        <w:t>Original Research Article</w:t>
      </w:r>
    </w:p>
    <w:p w14:paraId="7AD2F4A0" w14:textId="77777777" w:rsidR="00500061" w:rsidRDefault="00500061" w:rsidP="00E26D4D">
      <w:pPr>
        <w:spacing w:after="0"/>
        <w:jc w:val="both"/>
        <w:rPr>
          <w:rFonts w:ascii="Arial" w:hAnsi="Arial" w:cs="Arial"/>
          <w:b/>
          <w:bCs/>
          <w:sz w:val="36"/>
          <w:szCs w:val="36"/>
        </w:rPr>
      </w:pPr>
    </w:p>
    <w:p w14:paraId="51F1538D" w14:textId="73E1FF13" w:rsidR="00831BBA" w:rsidRDefault="005F1ABB" w:rsidP="00E26D4D">
      <w:pPr>
        <w:spacing w:after="0"/>
        <w:jc w:val="right"/>
        <w:rPr>
          <w:rFonts w:ascii="Arial" w:hAnsi="Arial" w:cs="Arial"/>
          <w:b/>
          <w:bCs/>
          <w:sz w:val="36"/>
          <w:szCs w:val="36"/>
        </w:rPr>
      </w:pPr>
      <w:r w:rsidRPr="005F1ABB">
        <w:rPr>
          <w:rFonts w:ascii="Arial" w:hAnsi="Arial" w:cs="Arial"/>
          <w:b/>
          <w:bCs/>
          <w:sz w:val="36"/>
          <w:szCs w:val="36"/>
        </w:rPr>
        <w:t xml:space="preserve">Age-Related Testosterone </w:t>
      </w:r>
      <w:r w:rsidR="00C1074B">
        <w:rPr>
          <w:rFonts w:ascii="Arial" w:hAnsi="Arial" w:cs="Arial"/>
          <w:b/>
          <w:bCs/>
          <w:sz w:val="36"/>
          <w:szCs w:val="36"/>
        </w:rPr>
        <w:t>a</w:t>
      </w:r>
      <w:r w:rsidRPr="005F1ABB">
        <w:rPr>
          <w:rFonts w:ascii="Arial" w:hAnsi="Arial" w:cs="Arial"/>
          <w:b/>
          <w:bCs/>
          <w:sz w:val="36"/>
          <w:szCs w:val="36"/>
        </w:rPr>
        <w:t xml:space="preserve">nd Oestradiol Profiles </w:t>
      </w:r>
      <w:r w:rsidR="00C1074B">
        <w:rPr>
          <w:rFonts w:ascii="Arial" w:hAnsi="Arial" w:cs="Arial"/>
          <w:b/>
          <w:bCs/>
          <w:sz w:val="36"/>
          <w:szCs w:val="36"/>
        </w:rPr>
        <w:t>i</w:t>
      </w:r>
      <w:r w:rsidRPr="005F1ABB">
        <w:rPr>
          <w:rFonts w:ascii="Arial" w:hAnsi="Arial" w:cs="Arial"/>
          <w:b/>
          <w:bCs/>
          <w:sz w:val="36"/>
          <w:szCs w:val="36"/>
        </w:rPr>
        <w:t xml:space="preserve">n Dairy Bulls: Implication </w:t>
      </w:r>
      <w:r w:rsidR="00C1074B">
        <w:rPr>
          <w:rFonts w:ascii="Arial" w:hAnsi="Arial" w:cs="Arial"/>
          <w:b/>
          <w:bCs/>
          <w:sz w:val="36"/>
          <w:szCs w:val="36"/>
        </w:rPr>
        <w:t>f</w:t>
      </w:r>
      <w:r w:rsidRPr="005F1ABB">
        <w:rPr>
          <w:rFonts w:ascii="Arial" w:hAnsi="Arial" w:cs="Arial"/>
          <w:b/>
          <w:bCs/>
          <w:sz w:val="36"/>
          <w:szCs w:val="36"/>
        </w:rPr>
        <w:t xml:space="preserve">or Age Groups Reproductive Efficiency </w:t>
      </w:r>
      <w:r w:rsidR="00C1074B">
        <w:rPr>
          <w:rFonts w:ascii="Arial" w:hAnsi="Arial" w:cs="Arial"/>
          <w:b/>
          <w:bCs/>
          <w:sz w:val="36"/>
          <w:szCs w:val="36"/>
        </w:rPr>
        <w:t>a</w:t>
      </w:r>
      <w:r w:rsidRPr="005F1ABB">
        <w:rPr>
          <w:rFonts w:ascii="Arial" w:hAnsi="Arial" w:cs="Arial"/>
          <w:b/>
          <w:bCs/>
          <w:sz w:val="36"/>
          <w:szCs w:val="36"/>
        </w:rPr>
        <w:t>nd Breeding Soundness Evaluation</w:t>
      </w:r>
    </w:p>
    <w:p w14:paraId="0B43898E" w14:textId="77777777" w:rsidR="00E26D4D" w:rsidRPr="00E26D4D" w:rsidRDefault="00E26D4D" w:rsidP="00E26D4D">
      <w:pPr>
        <w:spacing w:after="0" w:line="240" w:lineRule="auto"/>
        <w:jc w:val="both"/>
        <w:rPr>
          <w:rFonts w:ascii="Arial" w:hAnsi="Arial" w:cs="Arial"/>
          <w:b/>
          <w:bCs/>
          <w:sz w:val="20"/>
          <w:szCs w:val="20"/>
        </w:rPr>
      </w:pPr>
    </w:p>
    <w:p w14:paraId="39283F23" w14:textId="415DD28D" w:rsidR="00F0039E" w:rsidRDefault="00F0039E" w:rsidP="00E26D4D">
      <w:pPr>
        <w:spacing w:after="0" w:line="240" w:lineRule="auto"/>
        <w:jc w:val="both"/>
        <w:rPr>
          <w:rFonts w:ascii="Arial" w:hAnsi="Arial" w:cs="Arial"/>
          <w:sz w:val="20"/>
          <w:szCs w:val="20"/>
        </w:rPr>
      </w:pPr>
    </w:p>
    <w:p w14:paraId="27CE5DF6" w14:textId="3BD522EC" w:rsidR="001D1961" w:rsidRDefault="001D1961" w:rsidP="00E26D4D">
      <w:pPr>
        <w:spacing w:after="0" w:line="240" w:lineRule="auto"/>
        <w:jc w:val="right"/>
        <w:rPr>
          <w:rFonts w:ascii="Arial" w:hAnsi="Arial" w:cs="Arial"/>
          <w:sz w:val="20"/>
          <w:szCs w:val="20"/>
        </w:rPr>
      </w:pPr>
      <w:r>
        <w:rPr>
          <w:rFonts w:ascii="Arial" w:hAnsi="Arial" w:cs="Arial"/>
          <w:noProof/>
        </w:rPr>
        <mc:AlternateContent>
          <mc:Choice Requires="wps">
            <w:drawing>
              <wp:inline distT="0" distB="0" distL="0" distR="0" wp14:anchorId="32F76A54" wp14:editId="3125029D">
                <wp:extent cx="5921375" cy="45719"/>
                <wp:effectExtent l="0" t="0" r="22225" b="3111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1375"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w:pict>
              <v:shapetype w14:anchorId="78BC0B1A" id="_x0000_t32" coordsize="21600,21600" o:spt="32" o:oned="t" path="m,l21600,21600e" filled="f">
                <v:path arrowok="t" fillok="f" o:connecttype="none"/>
                <o:lock v:ext="edit" shapetype="t"/>
              </v:shapetype>
              <v:shape id="Straight Arrow Connector 1" o:spid="_x0000_s1026" type="#_x0000_t32" style="width:466.25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bsvQEAAFsDAAAOAAAAZHJzL2Uyb0RvYy54bWysU01v2zAMvQ/YfxB0X2xny7oYcXpI1126&#10;LUDbH8DIsi1MFgVSiZN/P0lNso/ehvkgUCL5+PhIr26PoxUHTWzQNbKalVJop7A1rm/k89P9u09S&#10;cADXgkWnG3nSLG/Xb9+sJl/rOQ5oW00igjiuJ9/IIQRfFwWrQY/AM/TaRWeHNEKIV+qLlmCK6KMt&#10;5mX5sZiQWk+oNHN8vXtxynXG7zqtwveuYx2EbWTkFvJJ+dyls1ivoO4J/GDUmQb8A4sRjItFr1B3&#10;EEDsybyCGo0iZOzCTOFYYNcZpXMPsZuq/KubxwG8zr1EcdhfZeL/B6u+HTZuS4m6OrpH/4DqBwuH&#10;mwFcrzOBp5OPg6uSVMXkub6mpAv7LYnd9BXbGAP7gFmFY0djgoz9iWMW+3QVWx+DUPFxsZxX728W&#10;Uqjo+7C4qZa5AtSXZE8cvmgcRTIayYHA9EPYoHNxrEhVLgWHBw6JGtSXhFTZ4b2xNk/XOjFF/sty&#10;UeYMRmva5E1xTP1uY0kcIC1I/s40/ggj3Ls2ow0a2s9nO4CxL3asbt1ZnyRJ2j+ud9ietnTRLU4w&#10;0zxvW1qR3+85+9c/sf4JAAD//wMAUEsDBBQABgAIAAAAIQDepm6O2QAAAAMBAAAPAAAAZHJzL2Rv&#10;d25yZXYueG1sTI/BTsMwEETvSP0HaytxQa1DEG0IcSqExIkDoe0HbOIliYjXUew05u8xXOCy0mhG&#10;M2+LQzCDuNDkessKbrcJCOLG6p5bBefTyyYD4TyyxsEyKfgiB4dydVVgru3C73Q5+lbEEnY5Kui8&#10;H3MpXdORQbe1I3H0Puxk0Ec5tVJPuMRyM8g0SXbSYM9xocORnjtqPo+zURDeduxDlYV64fnVZTdV&#10;QFMpdb0OT48gPAX/F4Yf/IgOZWSq7czaiUFBfMT/3ug93KX3IGoF+xRkWcj/7OU3AAAA//8DAFBL&#10;AQItABQABgAIAAAAIQC2gziS/gAAAOEBAAATAAAAAAAAAAAAAAAAAAAAAABbQ29udGVudF9UeXBl&#10;c10ueG1sUEsBAi0AFAAGAAgAAAAhADj9If/WAAAAlAEAAAsAAAAAAAAAAAAAAAAALwEAAF9yZWxz&#10;Ly5yZWxzUEsBAi0AFAAGAAgAAAAhAAqPJuy9AQAAWwMAAA4AAAAAAAAAAAAAAAAALgIAAGRycy9l&#10;Mm9Eb2MueG1sUEsBAi0AFAAGAAgAAAAhAN6mbo7ZAAAAAwEAAA8AAAAAAAAAAAAAAAAAFwQAAGRy&#10;cy9kb3ducmV2LnhtbFBLBQYAAAAABAAEAPMAAAAdBQAAAAA=&#10;" strokeweight="1.5pt">
                <w10:anchorlock/>
              </v:shape>
            </w:pict>
          </mc:Fallback>
        </mc:AlternateContent>
      </w:r>
    </w:p>
    <w:p w14:paraId="12F22B27" w14:textId="77777777" w:rsidR="0019402F" w:rsidRPr="005F1ABB" w:rsidRDefault="0019402F" w:rsidP="00E26D4D">
      <w:pPr>
        <w:spacing w:after="0" w:line="240" w:lineRule="auto"/>
        <w:jc w:val="both"/>
        <w:rPr>
          <w:rFonts w:ascii="Arial" w:hAnsi="Arial" w:cs="Arial"/>
          <w:sz w:val="20"/>
          <w:szCs w:val="20"/>
        </w:rPr>
      </w:pPr>
    </w:p>
    <w:p w14:paraId="6F6E3176" w14:textId="77777777" w:rsidR="0019402F" w:rsidRPr="005F1ABB" w:rsidRDefault="0019402F" w:rsidP="00E26D4D">
      <w:pPr>
        <w:pStyle w:val="Heading1"/>
      </w:pPr>
      <w:r w:rsidRPr="005F1ABB">
        <w:t>ABSTRACT</w:t>
      </w:r>
    </w:p>
    <w:p w14:paraId="580AF0FD" w14:textId="77777777" w:rsidR="00F0039E" w:rsidRPr="00BA4471" w:rsidRDefault="00F0039E" w:rsidP="00BA4471">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19402F" w:rsidRPr="001E44FE" w14:paraId="6B3A9982" w14:textId="77777777" w:rsidTr="00024417">
        <w:tc>
          <w:tcPr>
            <w:tcW w:w="9350" w:type="dxa"/>
            <w:shd w:val="clear" w:color="auto" w:fill="FFFFFF" w:themeFill="background1"/>
          </w:tcPr>
          <w:p w14:paraId="329964F9" w14:textId="5799D17D" w:rsidR="0019402F"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Aims:</w:t>
            </w:r>
            <w:r w:rsidRPr="00BA4471">
              <w:rPr>
                <w:rFonts w:ascii="Arial" w:hAnsi="Arial" w:cs="Arial"/>
                <w:sz w:val="20"/>
                <w:szCs w:val="20"/>
              </w:rPr>
              <w:t xml:space="preserve"> T</w:t>
            </w:r>
            <w:r w:rsidR="004365E0">
              <w:rPr>
                <w:rFonts w:ascii="Arial" w:hAnsi="Arial" w:cs="Arial"/>
                <w:sz w:val="20"/>
                <w:szCs w:val="20"/>
              </w:rPr>
              <w:t xml:space="preserve">he aim of this study was to </w:t>
            </w:r>
            <w:r w:rsidRPr="00BA4471">
              <w:rPr>
                <w:rFonts w:ascii="Arial" w:hAnsi="Arial" w:cs="Arial"/>
                <w:sz w:val="20"/>
                <w:szCs w:val="20"/>
              </w:rPr>
              <w:t xml:space="preserve">characterize testosterone and oestradiol levels in dairy bulls in nine age groups (6 months to ≥8 years) to provide contextual reference values for </w:t>
            </w:r>
            <w:r w:rsidR="004365E0">
              <w:rPr>
                <w:rFonts w:ascii="Arial" w:hAnsi="Arial" w:cs="Arial"/>
                <w:sz w:val="20"/>
                <w:szCs w:val="20"/>
              </w:rPr>
              <w:t xml:space="preserve">reproductive efficiency and </w:t>
            </w:r>
            <w:r w:rsidRPr="00BA4471">
              <w:rPr>
                <w:rFonts w:ascii="Arial" w:hAnsi="Arial" w:cs="Arial"/>
                <w:sz w:val="20"/>
                <w:szCs w:val="20"/>
              </w:rPr>
              <w:t>breeding soundness assessment in tropical dairy production systems</w:t>
            </w:r>
            <w:r w:rsidR="004365E0">
              <w:rPr>
                <w:rFonts w:ascii="Arial" w:hAnsi="Arial" w:cs="Arial"/>
                <w:sz w:val="20"/>
                <w:szCs w:val="20"/>
              </w:rPr>
              <w:t xml:space="preserve"> of Ghana</w:t>
            </w:r>
            <w:r w:rsidRPr="00BA4471">
              <w:rPr>
                <w:rFonts w:ascii="Arial" w:hAnsi="Arial" w:cs="Arial"/>
                <w:sz w:val="20"/>
                <w:szCs w:val="20"/>
              </w:rPr>
              <w:t xml:space="preserve">. </w:t>
            </w:r>
          </w:p>
          <w:p w14:paraId="41C3736F" w14:textId="77777777" w:rsidR="0019402F"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Study design:</w:t>
            </w:r>
            <w:r w:rsidRPr="00BA4471">
              <w:rPr>
                <w:rFonts w:ascii="Arial" w:hAnsi="Arial" w:cs="Arial"/>
                <w:sz w:val="20"/>
                <w:szCs w:val="20"/>
              </w:rPr>
              <w:t xml:space="preserve"> </w:t>
            </w:r>
            <w:r>
              <w:rPr>
                <w:rFonts w:ascii="Arial" w:hAnsi="Arial" w:cs="Arial"/>
                <w:sz w:val="20"/>
                <w:szCs w:val="20"/>
              </w:rPr>
              <w:t>Longitudinal</w:t>
            </w:r>
            <w:r w:rsidRPr="00BA4471">
              <w:rPr>
                <w:rFonts w:ascii="Arial" w:hAnsi="Arial" w:cs="Arial"/>
                <w:sz w:val="20"/>
                <w:szCs w:val="20"/>
              </w:rPr>
              <w:t xml:space="preserve"> observational study. </w:t>
            </w:r>
          </w:p>
          <w:p w14:paraId="02302E0A" w14:textId="77777777"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Place and Duration of Study:</w:t>
            </w:r>
            <w:r w:rsidRPr="00BA4471">
              <w:rPr>
                <w:rFonts w:ascii="Arial" w:hAnsi="Arial" w:cs="Arial"/>
                <w:sz w:val="20"/>
                <w:szCs w:val="20"/>
              </w:rPr>
              <w:t xml:space="preserve"> Various dairy farms in Ashanti, Eastern, and Greater Accra Regions in Ghana, from January 2022 to December 2023.</w:t>
            </w:r>
          </w:p>
          <w:p w14:paraId="0D62D867" w14:textId="0FEC08FE"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Methodology:</w:t>
            </w:r>
            <w:r w:rsidRPr="00BA4471">
              <w:rPr>
                <w:rFonts w:ascii="Arial" w:hAnsi="Arial" w:cs="Arial"/>
                <w:sz w:val="20"/>
                <w:szCs w:val="20"/>
              </w:rPr>
              <w:t xml:space="preserve"> Blood samples from 90 dairy bulls from nine age groups (n=10 per group) were subjected to analyses using validated commercial enzyme immunoassays. Thorough breeding soundness assessments involved physical parameters, breeding </w:t>
            </w:r>
            <w:r w:rsidR="0085766A">
              <w:rPr>
                <w:rFonts w:ascii="Arial" w:hAnsi="Arial" w:cs="Arial"/>
                <w:sz w:val="20"/>
                <w:szCs w:val="20"/>
              </w:rPr>
              <w:t>behaviour</w:t>
            </w:r>
            <w:r w:rsidRPr="00BA4471">
              <w:rPr>
                <w:rFonts w:ascii="Arial" w:hAnsi="Arial" w:cs="Arial"/>
                <w:sz w:val="20"/>
                <w:szCs w:val="20"/>
              </w:rPr>
              <w:t xml:space="preserve"> observation, and monitoring of reproduction performance. Bulls were divided into age groups</w:t>
            </w:r>
            <w:r>
              <w:rPr>
                <w:rFonts w:ascii="Arial" w:hAnsi="Arial" w:cs="Arial"/>
                <w:sz w:val="20"/>
                <w:szCs w:val="20"/>
              </w:rPr>
              <w:t xml:space="preserve"> including</w:t>
            </w:r>
            <w:r w:rsidRPr="00BA4471">
              <w:rPr>
                <w:rFonts w:ascii="Arial" w:hAnsi="Arial" w:cs="Arial"/>
                <w:sz w:val="20"/>
                <w:szCs w:val="20"/>
              </w:rPr>
              <w:t xml:space="preserve"> 6 months, 1, 2, 3, 4, 5, 6, 7, and ≥8 years. Testosterone and oestradiol levels were evaluated using validated commercial enzyme immunoassay kits with intra-assay CV &lt;7% and inter-assay CV &lt;10%.</w:t>
            </w:r>
          </w:p>
          <w:p w14:paraId="72E0EB95" w14:textId="4C0D5262" w:rsidR="00230BCB"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Results:</w:t>
            </w:r>
            <w:r w:rsidRPr="00BA4471">
              <w:rPr>
                <w:rFonts w:ascii="Arial" w:hAnsi="Arial" w:cs="Arial"/>
                <w:sz w:val="20"/>
                <w:szCs w:val="20"/>
              </w:rPr>
              <w:t xml:space="preserve"> Testosterone levels had extremely significant age-depending variation (F</w:t>
            </w:r>
            <w:proofErr w:type="gramStart"/>
            <w:r w:rsidRPr="00BA4471">
              <w:rPr>
                <w:rFonts w:ascii="Cambria Math" w:hAnsi="Cambria Math" w:cs="Cambria Math"/>
                <w:sz w:val="20"/>
                <w:szCs w:val="20"/>
              </w:rPr>
              <w:t>₈</w:t>
            </w:r>
            <w:r w:rsidRPr="00BA4471">
              <w:rPr>
                <w:rFonts w:ascii="Arial" w:hAnsi="Arial" w:cs="Arial"/>
                <w:sz w:val="20"/>
                <w:szCs w:val="20"/>
              </w:rPr>
              <w:t>,</w:t>
            </w:r>
            <w:r w:rsidRPr="00BA4471">
              <w:rPr>
                <w:rFonts w:ascii="Cambria Math" w:hAnsi="Cambria Math" w:cs="Cambria Math"/>
                <w:sz w:val="20"/>
                <w:szCs w:val="20"/>
              </w:rPr>
              <w:t>₈</w:t>
            </w:r>
            <w:proofErr w:type="gramEnd"/>
            <w:r w:rsidRPr="00BA4471">
              <w:rPr>
                <w:rFonts w:ascii="Cambria Math" w:hAnsi="Cambria Math" w:cs="Cambria Math"/>
                <w:sz w:val="20"/>
                <w:szCs w:val="20"/>
              </w:rPr>
              <w:t>₁</w:t>
            </w:r>
            <w:r w:rsidRPr="00BA4471">
              <w:rPr>
                <w:rFonts w:ascii="Arial" w:hAnsi="Arial" w:cs="Arial"/>
                <w:sz w:val="20"/>
                <w:szCs w:val="20"/>
              </w:rPr>
              <w:t xml:space="preserve"> = 42.3, P &lt; .001), with the lowest levels in bulls aged 6 months (1.2 ± 0.21 ng/mL), increasing from 1-4 years</w:t>
            </w:r>
            <w:r>
              <w:rPr>
                <w:rFonts w:ascii="Arial" w:hAnsi="Arial" w:cs="Arial"/>
                <w:sz w:val="20"/>
                <w:szCs w:val="20"/>
              </w:rPr>
              <w:t xml:space="preserve"> with the</w:t>
            </w:r>
            <w:r w:rsidRPr="00BA4471">
              <w:rPr>
                <w:rFonts w:ascii="Arial" w:hAnsi="Arial" w:cs="Arial"/>
                <w:sz w:val="20"/>
                <w:szCs w:val="20"/>
              </w:rPr>
              <w:t xml:space="preserve"> highest levels at 4 years (8.9 ± 0.38 ng/mL)</w:t>
            </w:r>
            <w:r>
              <w:rPr>
                <w:rFonts w:ascii="Arial" w:hAnsi="Arial" w:cs="Arial"/>
                <w:sz w:val="20"/>
                <w:szCs w:val="20"/>
              </w:rPr>
              <w:t xml:space="preserve">. There </w:t>
            </w:r>
            <w:r w:rsidR="00121B7A">
              <w:rPr>
                <w:rFonts w:ascii="Arial" w:hAnsi="Arial" w:cs="Arial"/>
                <w:sz w:val="20"/>
                <w:szCs w:val="20"/>
              </w:rPr>
              <w:t>was</w:t>
            </w:r>
            <w:r w:rsidRPr="00BA4471">
              <w:rPr>
                <w:rFonts w:ascii="Arial" w:hAnsi="Arial" w:cs="Arial"/>
                <w:sz w:val="20"/>
                <w:szCs w:val="20"/>
              </w:rPr>
              <w:t xml:space="preserve"> a gradual decrease</w:t>
            </w:r>
            <w:r>
              <w:rPr>
                <w:rFonts w:ascii="Arial" w:hAnsi="Arial" w:cs="Arial"/>
                <w:sz w:val="20"/>
                <w:szCs w:val="20"/>
              </w:rPr>
              <w:t xml:space="preserve"> (</w:t>
            </w:r>
            <w:r w:rsidRPr="00BA4471">
              <w:rPr>
                <w:rFonts w:ascii="Arial" w:hAnsi="Arial" w:cs="Arial"/>
                <w:sz w:val="20"/>
                <w:szCs w:val="20"/>
              </w:rPr>
              <w:t>P &lt;.0</w:t>
            </w:r>
            <w:r>
              <w:rPr>
                <w:rFonts w:ascii="Arial" w:hAnsi="Arial" w:cs="Arial"/>
                <w:sz w:val="20"/>
                <w:szCs w:val="20"/>
              </w:rPr>
              <w:t>5)</w:t>
            </w:r>
            <w:r w:rsidRPr="00BA4471">
              <w:rPr>
                <w:rFonts w:ascii="Arial" w:hAnsi="Arial" w:cs="Arial"/>
                <w:sz w:val="20"/>
                <w:szCs w:val="20"/>
              </w:rPr>
              <w:t xml:space="preserve"> </w:t>
            </w:r>
            <w:r>
              <w:rPr>
                <w:rFonts w:ascii="Arial" w:hAnsi="Arial" w:cs="Arial"/>
                <w:sz w:val="20"/>
                <w:szCs w:val="20"/>
              </w:rPr>
              <w:t>from</w:t>
            </w:r>
            <w:r w:rsidRPr="00BA4471">
              <w:rPr>
                <w:rFonts w:ascii="Arial" w:hAnsi="Arial" w:cs="Arial"/>
                <w:sz w:val="20"/>
                <w:szCs w:val="20"/>
              </w:rPr>
              <w:t xml:space="preserve"> 5 (7.8 ± 0.32 ng/mL</w:t>
            </w:r>
            <w:r>
              <w:rPr>
                <w:rFonts w:ascii="Arial" w:hAnsi="Arial" w:cs="Arial"/>
                <w:sz w:val="20"/>
                <w:szCs w:val="20"/>
              </w:rPr>
              <w:t xml:space="preserve">), tapering at </w:t>
            </w:r>
            <w:r w:rsidRPr="00BA4471">
              <w:rPr>
                <w:rFonts w:ascii="Arial" w:hAnsi="Arial" w:cs="Arial"/>
                <w:sz w:val="20"/>
                <w:szCs w:val="20"/>
              </w:rPr>
              <w:t>≥8 (5.1 ± 0.25 ng/mL, P &lt;.0</w:t>
            </w:r>
            <w:r>
              <w:rPr>
                <w:rFonts w:ascii="Arial" w:hAnsi="Arial" w:cs="Arial"/>
                <w:sz w:val="20"/>
                <w:szCs w:val="20"/>
              </w:rPr>
              <w:t>01)</w:t>
            </w:r>
            <w:r w:rsidRPr="00BA4471">
              <w:rPr>
                <w:rFonts w:ascii="Arial" w:hAnsi="Arial" w:cs="Arial"/>
                <w:sz w:val="20"/>
                <w:szCs w:val="20"/>
              </w:rPr>
              <w:t xml:space="preserve"> compared with 4-years-old. Oestradiol levels were highest in 1-years-old bulls (45.6 ± 2.6 pg/mL, P &lt;.01), with comparable lower levels in other age groups (18.2-24.7 pg/mL). Bulls </w:t>
            </w:r>
            <w:r>
              <w:rPr>
                <w:rFonts w:ascii="Arial" w:hAnsi="Arial" w:cs="Arial"/>
                <w:sz w:val="20"/>
                <w:szCs w:val="20"/>
              </w:rPr>
              <w:t>of</w:t>
            </w:r>
            <w:r w:rsidRPr="00BA4471">
              <w:rPr>
                <w:rFonts w:ascii="Arial" w:hAnsi="Arial" w:cs="Arial"/>
                <w:sz w:val="20"/>
                <w:szCs w:val="20"/>
              </w:rPr>
              <w:t xml:space="preserve"> 4-year-old </w:t>
            </w:r>
            <w:r>
              <w:rPr>
                <w:rFonts w:ascii="Arial" w:hAnsi="Arial" w:cs="Arial"/>
                <w:sz w:val="20"/>
                <w:szCs w:val="20"/>
              </w:rPr>
              <w:t xml:space="preserve">had </w:t>
            </w:r>
            <w:r w:rsidRPr="00BA4471">
              <w:rPr>
                <w:rFonts w:ascii="Arial" w:hAnsi="Arial" w:cs="Arial"/>
                <w:sz w:val="20"/>
                <w:szCs w:val="20"/>
              </w:rPr>
              <w:t>peak testosterone levels</w:t>
            </w:r>
            <w:r>
              <w:rPr>
                <w:rFonts w:ascii="Arial" w:hAnsi="Arial" w:cs="Arial"/>
                <w:sz w:val="20"/>
                <w:szCs w:val="20"/>
              </w:rPr>
              <w:t xml:space="preserve">, </w:t>
            </w:r>
            <w:r w:rsidRPr="00BA4471">
              <w:rPr>
                <w:rFonts w:ascii="Arial" w:hAnsi="Arial" w:cs="Arial"/>
                <w:sz w:val="20"/>
                <w:szCs w:val="20"/>
              </w:rPr>
              <w:t xml:space="preserve">exhibited higher breeding </w:t>
            </w:r>
            <w:r w:rsidR="0085766A">
              <w:rPr>
                <w:rFonts w:ascii="Arial" w:hAnsi="Arial" w:cs="Arial"/>
                <w:sz w:val="20"/>
                <w:szCs w:val="20"/>
              </w:rPr>
              <w:t>behaviour</w:t>
            </w:r>
            <w:r w:rsidRPr="00BA4471">
              <w:rPr>
                <w:rFonts w:ascii="Arial" w:hAnsi="Arial" w:cs="Arial"/>
                <w:sz w:val="20"/>
                <w:szCs w:val="20"/>
              </w:rPr>
              <w:t xml:space="preserve"> scores (8.9 ± 0.22, P &lt; .001)</w:t>
            </w:r>
            <w:r>
              <w:rPr>
                <w:rFonts w:ascii="Arial" w:hAnsi="Arial" w:cs="Arial"/>
                <w:sz w:val="20"/>
                <w:szCs w:val="20"/>
              </w:rPr>
              <w:t>,</w:t>
            </w:r>
            <w:r w:rsidRPr="00BA4471">
              <w:rPr>
                <w:rFonts w:ascii="Arial" w:hAnsi="Arial" w:cs="Arial"/>
                <w:sz w:val="20"/>
                <w:szCs w:val="20"/>
              </w:rPr>
              <w:t xml:space="preserve"> and 27% higher conception rates</w:t>
            </w:r>
            <w:r>
              <w:rPr>
                <w:rFonts w:ascii="Arial" w:hAnsi="Arial" w:cs="Arial"/>
                <w:sz w:val="20"/>
                <w:szCs w:val="20"/>
              </w:rPr>
              <w:t xml:space="preserve"> for breeding soundness</w:t>
            </w:r>
            <w:r w:rsidRPr="00BA4471">
              <w:rPr>
                <w:rFonts w:ascii="Arial" w:hAnsi="Arial" w:cs="Arial"/>
                <w:sz w:val="20"/>
                <w:szCs w:val="20"/>
              </w:rPr>
              <w:t xml:space="preserve"> than young or aged bulls. Body condition score was well correlated with testosterone levels (r = 0.68, P &lt; .001).</w:t>
            </w:r>
            <w:r w:rsidR="002938B8">
              <w:rPr>
                <w:rFonts w:ascii="Arial" w:hAnsi="Arial" w:cs="Arial"/>
                <w:sz w:val="20"/>
                <w:szCs w:val="20"/>
              </w:rPr>
              <w:t xml:space="preserve"> </w:t>
            </w:r>
            <w:r w:rsidR="00230BCB" w:rsidRPr="00BA4471">
              <w:rPr>
                <w:rFonts w:ascii="Arial" w:hAnsi="Arial" w:cs="Arial"/>
                <w:sz w:val="20"/>
                <w:szCs w:val="20"/>
              </w:rPr>
              <w:t xml:space="preserve">Strong positive associations were </w:t>
            </w:r>
            <w:r w:rsidR="002938B8">
              <w:rPr>
                <w:rFonts w:ascii="Arial" w:hAnsi="Arial" w:cs="Arial"/>
                <w:sz w:val="20"/>
                <w:szCs w:val="20"/>
              </w:rPr>
              <w:t>observed</w:t>
            </w:r>
            <w:r w:rsidR="00230BCB" w:rsidRPr="00BA4471">
              <w:rPr>
                <w:rFonts w:ascii="Arial" w:hAnsi="Arial" w:cs="Arial"/>
                <w:sz w:val="20"/>
                <w:szCs w:val="20"/>
              </w:rPr>
              <w:t xml:space="preserve"> between testosterone levels and traditional breeding soundness criteria</w:t>
            </w:r>
            <w:r w:rsidR="00024417">
              <w:rPr>
                <w:rFonts w:ascii="Arial" w:hAnsi="Arial" w:cs="Arial"/>
                <w:sz w:val="20"/>
                <w:szCs w:val="20"/>
              </w:rPr>
              <w:t>. N</w:t>
            </w:r>
            <w:r w:rsidR="00230BCB" w:rsidRPr="00BA4471">
              <w:rPr>
                <w:rFonts w:ascii="Arial" w:hAnsi="Arial" w:cs="Arial"/>
                <w:sz w:val="20"/>
                <w:szCs w:val="20"/>
              </w:rPr>
              <w:t xml:space="preserve">egative associations between physical parameters such as scrotal circumference (r = -0.31, P &lt; .01) and breeding </w:t>
            </w:r>
            <w:r w:rsidR="00230BCB">
              <w:rPr>
                <w:rFonts w:ascii="Arial" w:hAnsi="Arial" w:cs="Arial"/>
                <w:sz w:val="20"/>
                <w:szCs w:val="20"/>
              </w:rPr>
              <w:t>behaviour</w:t>
            </w:r>
            <w:r w:rsidR="00230BCB" w:rsidRPr="00BA4471">
              <w:rPr>
                <w:rFonts w:ascii="Arial" w:hAnsi="Arial" w:cs="Arial"/>
                <w:sz w:val="20"/>
                <w:szCs w:val="20"/>
              </w:rPr>
              <w:t xml:space="preserve"> scores (r = -0.42, P &lt; .01) and oestradiol </w:t>
            </w:r>
            <w:r w:rsidR="00230BCB">
              <w:rPr>
                <w:rFonts w:ascii="Arial" w:hAnsi="Arial" w:cs="Arial"/>
                <w:sz w:val="20"/>
                <w:szCs w:val="20"/>
              </w:rPr>
              <w:t xml:space="preserve">were </w:t>
            </w:r>
            <w:r w:rsidR="002938B8">
              <w:rPr>
                <w:rFonts w:ascii="Arial" w:hAnsi="Arial" w:cs="Arial"/>
                <w:sz w:val="20"/>
                <w:szCs w:val="20"/>
              </w:rPr>
              <w:t>recorded</w:t>
            </w:r>
            <w:r w:rsidR="00230BCB">
              <w:rPr>
                <w:rFonts w:ascii="Arial" w:hAnsi="Arial" w:cs="Arial"/>
                <w:sz w:val="20"/>
                <w:szCs w:val="20"/>
              </w:rPr>
              <w:t xml:space="preserve">. </w:t>
            </w:r>
            <w:r w:rsidR="002171CA">
              <w:rPr>
                <w:rFonts w:ascii="Arial" w:hAnsi="Arial" w:cs="Arial"/>
                <w:sz w:val="20"/>
                <w:szCs w:val="20"/>
              </w:rPr>
              <w:t>There was s</w:t>
            </w:r>
            <w:r w:rsidR="00230BCB" w:rsidRPr="005671AF">
              <w:rPr>
                <w:rFonts w:ascii="Arial" w:hAnsi="Arial" w:cs="Arial"/>
                <w:sz w:val="20"/>
                <w:szCs w:val="20"/>
              </w:rPr>
              <w:t>easonal fluctuation in testosterone levels with the peak in the minor rainy season and minimum in the dry season (15-20% variation)</w:t>
            </w:r>
            <w:r w:rsidR="002171CA">
              <w:rPr>
                <w:rFonts w:ascii="Arial" w:hAnsi="Arial" w:cs="Arial"/>
                <w:sz w:val="20"/>
                <w:szCs w:val="20"/>
              </w:rPr>
              <w:t xml:space="preserve">. </w:t>
            </w:r>
            <w:r w:rsidR="00230BCB" w:rsidRPr="005671AF">
              <w:rPr>
                <w:rFonts w:ascii="Arial" w:hAnsi="Arial" w:cs="Arial"/>
                <w:sz w:val="20"/>
                <w:szCs w:val="20"/>
              </w:rPr>
              <w:t>Environmental conditions such as temperature and humidity had low correlations with hormone levels (r = -0.18 for temperature and r = -0.12 for humidity)</w:t>
            </w:r>
            <w:r w:rsidR="002171CA">
              <w:rPr>
                <w:rFonts w:ascii="Arial" w:hAnsi="Arial" w:cs="Arial"/>
                <w:sz w:val="20"/>
                <w:szCs w:val="20"/>
              </w:rPr>
              <w:t>.</w:t>
            </w:r>
            <w:r w:rsidR="00024417" w:rsidRPr="005671AF">
              <w:rPr>
                <w:rFonts w:ascii="Arial" w:hAnsi="Arial" w:cs="Arial"/>
                <w:sz w:val="20"/>
                <w:szCs w:val="20"/>
              </w:rPr>
              <w:t xml:space="preserve"> </w:t>
            </w:r>
            <w:r w:rsidR="00024417">
              <w:rPr>
                <w:rFonts w:ascii="Arial" w:hAnsi="Arial" w:cs="Arial"/>
                <w:sz w:val="20"/>
                <w:szCs w:val="20"/>
              </w:rPr>
              <w:t xml:space="preserve">Breed influenced (P&lt;.05) testosterone levels such that Sanga bull had the highest followed by </w:t>
            </w:r>
            <w:r w:rsidR="00024417" w:rsidRPr="005671AF">
              <w:rPr>
                <w:rFonts w:ascii="Arial" w:hAnsi="Arial" w:cs="Arial"/>
                <w:sz w:val="20"/>
                <w:szCs w:val="20"/>
              </w:rPr>
              <w:t xml:space="preserve">Friesian-Sanga crosses </w:t>
            </w:r>
            <w:r w:rsidR="00024417">
              <w:rPr>
                <w:rFonts w:ascii="Arial" w:hAnsi="Arial" w:cs="Arial"/>
                <w:sz w:val="20"/>
                <w:szCs w:val="20"/>
              </w:rPr>
              <w:t>and</w:t>
            </w:r>
            <w:r w:rsidR="00024417" w:rsidRPr="005671AF">
              <w:rPr>
                <w:rFonts w:ascii="Arial" w:hAnsi="Arial" w:cs="Arial"/>
                <w:sz w:val="20"/>
                <w:szCs w:val="20"/>
              </w:rPr>
              <w:t xml:space="preserve"> Jersey bulls </w:t>
            </w:r>
            <w:r w:rsidR="00024417">
              <w:rPr>
                <w:rFonts w:ascii="Arial" w:hAnsi="Arial" w:cs="Arial"/>
                <w:sz w:val="20"/>
                <w:szCs w:val="20"/>
              </w:rPr>
              <w:t xml:space="preserve">in descending order. </w:t>
            </w:r>
            <w:r w:rsidR="00AC3630">
              <w:rPr>
                <w:rFonts w:ascii="Arial" w:hAnsi="Arial" w:cs="Arial"/>
                <w:sz w:val="20"/>
                <w:szCs w:val="20"/>
              </w:rPr>
              <w:t>A</w:t>
            </w:r>
            <w:r w:rsidR="00024417" w:rsidRPr="005671AF">
              <w:rPr>
                <w:rFonts w:ascii="Arial" w:hAnsi="Arial" w:cs="Arial"/>
                <w:sz w:val="20"/>
                <w:szCs w:val="20"/>
              </w:rPr>
              <w:t xml:space="preserve">ge-related patterns were consistent in the different </w:t>
            </w:r>
            <w:r w:rsidR="00024417">
              <w:rPr>
                <w:rFonts w:ascii="Arial" w:hAnsi="Arial" w:cs="Arial"/>
                <w:sz w:val="20"/>
                <w:szCs w:val="20"/>
              </w:rPr>
              <w:t xml:space="preserve">age </w:t>
            </w:r>
            <w:r w:rsidR="00024417" w:rsidRPr="005671AF">
              <w:rPr>
                <w:rFonts w:ascii="Arial" w:hAnsi="Arial" w:cs="Arial"/>
                <w:sz w:val="20"/>
                <w:szCs w:val="20"/>
              </w:rPr>
              <w:t>groups</w:t>
            </w:r>
            <w:r w:rsidR="00FE5145">
              <w:rPr>
                <w:rFonts w:ascii="Arial" w:hAnsi="Arial" w:cs="Arial"/>
                <w:sz w:val="20"/>
                <w:szCs w:val="20"/>
              </w:rPr>
              <w:t xml:space="preserve">. </w:t>
            </w:r>
          </w:p>
          <w:p w14:paraId="4725193E" w14:textId="77777777" w:rsidR="0019402F" w:rsidRPr="00BA4471" w:rsidRDefault="0019402F" w:rsidP="0019402F">
            <w:pPr>
              <w:spacing w:after="0" w:line="240" w:lineRule="auto"/>
              <w:jc w:val="both"/>
              <w:rPr>
                <w:rFonts w:ascii="Arial" w:hAnsi="Arial" w:cs="Arial"/>
                <w:sz w:val="20"/>
                <w:szCs w:val="20"/>
              </w:rPr>
            </w:pPr>
            <w:r w:rsidRPr="00BA4471">
              <w:rPr>
                <w:rFonts w:ascii="Arial" w:hAnsi="Arial" w:cs="Arial"/>
                <w:b/>
                <w:bCs/>
                <w:sz w:val="20"/>
                <w:szCs w:val="20"/>
              </w:rPr>
              <w:t>Conclusion:</w:t>
            </w:r>
            <w:r w:rsidRPr="00BA4471">
              <w:rPr>
                <w:rFonts w:ascii="Arial" w:hAnsi="Arial" w:cs="Arial"/>
                <w:sz w:val="20"/>
                <w:szCs w:val="20"/>
              </w:rPr>
              <w:t xml:space="preserve"> The results offer critical reference values for hormone testing for breeding soundness in tropical dairy production systems. Bulls achieve peak breeding potential at an age of 4, with progressive regression until 5–7 y</w:t>
            </w:r>
            <w:r>
              <w:rPr>
                <w:rFonts w:ascii="Arial" w:hAnsi="Arial" w:cs="Arial"/>
                <w:sz w:val="20"/>
                <w:szCs w:val="20"/>
              </w:rPr>
              <w:t>ea</w:t>
            </w:r>
            <w:r w:rsidRPr="00BA4471">
              <w:rPr>
                <w:rFonts w:ascii="Arial" w:hAnsi="Arial" w:cs="Arial"/>
                <w:sz w:val="20"/>
                <w:szCs w:val="20"/>
              </w:rPr>
              <w:t>r</w:t>
            </w:r>
            <w:r>
              <w:rPr>
                <w:rFonts w:ascii="Arial" w:hAnsi="Arial" w:cs="Arial"/>
                <w:sz w:val="20"/>
                <w:szCs w:val="20"/>
              </w:rPr>
              <w:t>s</w:t>
            </w:r>
            <w:r w:rsidRPr="00BA4471">
              <w:rPr>
                <w:rFonts w:ascii="Arial" w:hAnsi="Arial" w:cs="Arial"/>
                <w:sz w:val="20"/>
                <w:szCs w:val="20"/>
              </w:rPr>
              <w:t>, with implications for evidence-based bull decision making as well as extended utilization strategies.</w:t>
            </w:r>
          </w:p>
          <w:p w14:paraId="4212EDD3" w14:textId="3D8C2FAC" w:rsidR="0019402F" w:rsidRPr="00BA1B01" w:rsidRDefault="0019402F" w:rsidP="0019402F">
            <w:pPr>
              <w:pStyle w:val="Body"/>
              <w:spacing w:after="0"/>
              <w:rPr>
                <w:rFonts w:ascii="Arial" w:eastAsia="Calibri" w:hAnsi="Arial" w:cs="Arial"/>
                <w:szCs w:val="22"/>
              </w:rPr>
            </w:pPr>
          </w:p>
        </w:tc>
      </w:tr>
    </w:tbl>
    <w:p w14:paraId="3E4D6134" w14:textId="77777777" w:rsidR="0019402F" w:rsidRDefault="0019402F" w:rsidP="00BA4471">
      <w:pPr>
        <w:spacing w:after="0" w:line="240" w:lineRule="auto"/>
        <w:jc w:val="both"/>
        <w:rPr>
          <w:rFonts w:ascii="Arial" w:hAnsi="Arial" w:cs="Arial"/>
          <w:sz w:val="20"/>
          <w:szCs w:val="20"/>
        </w:rPr>
      </w:pPr>
    </w:p>
    <w:p w14:paraId="142A0568" w14:textId="41125769" w:rsidR="0019402F" w:rsidRPr="0019402F" w:rsidRDefault="0019402F" w:rsidP="00BA4471">
      <w:pPr>
        <w:spacing w:after="0" w:line="240" w:lineRule="auto"/>
        <w:jc w:val="both"/>
        <w:rPr>
          <w:rFonts w:ascii="Arial" w:hAnsi="Arial" w:cs="Arial"/>
          <w:i/>
          <w:iCs/>
          <w:sz w:val="20"/>
          <w:szCs w:val="20"/>
        </w:rPr>
      </w:pPr>
      <w:r w:rsidRPr="0019402F">
        <w:rPr>
          <w:rFonts w:ascii="Arial" w:hAnsi="Arial" w:cs="Arial"/>
          <w:b/>
          <w:bCs/>
          <w:i/>
          <w:iCs/>
          <w:sz w:val="20"/>
          <w:szCs w:val="20"/>
        </w:rPr>
        <w:t>Keywords:</w:t>
      </w:r>
      <w:r w:rsidRPr="0019402F">
        <w:rPr>
          <w:rFonts w:ascii="Arial" w:hAnsi="Arial" w:cs="Arial"/>
          <w:i/>
          <w:iCs/>
          <w:sz w:val="20"/>
          <w:szCs w:val="20"/>
        </w:rPr>
        <w:t xml:space="preserve"> Dairy bulls, testosterone, oestradiol, breeding soundness, reproductive hormones, age groups, tropical dairy systems, bull fertility</w:t>
      </w:r>
    </w:p>
    <w:p w14:paraId="4292546C" w14:textId="77777777" w:rsidR="00F0039E" w:rsidRPr="00BA4471" w:rsidRDefault="00F0039E" w:rsidP="00BA4471">
      <w:pPr>
        <w:spacing w:after="0" w:line="240" w:lineRule="auto"/>
        <w:jc w:val="both"/>
        <w:rPr>
          <w:rFonts w:ascii="Arial" w:hAnsi="Arial" w:cs="Arial"/>
          <w:sz w:val="20"/>
          <w:szCs w:val="20"/>
        </w:rPr>
      </w:pPr>
    </w:p>
    <w:p w14:paraId="4FF4D19A" w14:textId="77777777" w:rsidR="001A304E" w:rsidRPr="005F1ABB" w:rsidRDefault="001A304E" w:rsidP="0019402F">
      <w:pPr>
        <w:pStyle w:val="Heading1"/>
      </w:pPr>
      <w:r w:rsidRPr="005F1ABB">
        <w:t>1. INTRODUCTION</w:t>
      </w:r>
    </w:p>
    <w:p w14:paraId="3F52F50E" w14:textId="1C4D1CD8"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Determination of soundness for breeding in dairy bulls is an integral part within successful reproduction management plans, with implications for conception rates, calving interval, as well as herd productivity </w:t>
      </w:r>
      <w:r w:rsidRPr="00BA4471">
        <w:rPr>
          <w:rFonts w:ascii="Arial" w:hAnsi="Arial" w:cs="Arial"/>
          <w:sz w:val="20"/>
          <w:szCs w:val="20"/>
        </w:rPr>
        <w:lastRenderedPageBreak/>
        <w:t>within international dairy farms (Barth &amp; Oko, 2019; Santos et al., 2021). Conventional breeding soundness evaluations emphasize physical aspects such as scrotal size, testicular consistency, sperm motility, as well as morphology, with hormonal analysis underutilized despite its ability to yield information on reproductive axis function and breeding ability prognosis (</w:t>
      </w:r>
      <w:proofErr w:type="spellStart"/>
      <w:r w:rsidRPr="00BA4471">
        <w:rPr>
          <w:rFonts w:ascii="Arial" w:hAnsi="Arial" w:cs="Arial"/>
          <w:sz w:val="20"/>
          <w:szCs w:val="20"/>
        </w:rPr>
        <w:t>Kastelic</w:t>
      </w:r>
      <w:proofErr w:type="spellEnd"/>
      <w:r w:rsidRPr="00BA4471">
        <w:rPr>
          <w:rFonts w:ascii="Arial" w:hAnsi="Arial" w:cs="Arial"/>
          <w:sz w:val="20"/>
          <w:szCs w:val="20"/>
        </w:rPr>
        <w:t>, 2019; Rodriguez-Martinez, 2018).</w:t>
      </w:r>
      <w:r w:rsidR="00343318">
        <w:rPr>
          <w:rFonts w:ascii="Arial" w:hAnsi="Arial" w:cs="Arial"/>
          <w:sz w:val="20"/>
          <w:szCs w:val="20"/>
        </w:rPr>
        <w:t xml:space="preserve"> </w:t>
      </w:r>
      <w:r w:rsidR="00343318" w:rsidRPr="00343318">
        <w:rPr>
          <w:rFonts w:ascii="Arial" w:hAnsi="Arial" w:cs="Arial"/>
          <w:sz w:val="20"/>
          <w:szCs w:val="20"/>
        </w:rPr>
        <w:t>In recent years, advances in evaluating breeding soundness have also covered new evaluation techniques like ultrasonography of testes and hair steroid evaluation, making it possible for a more precise evaluation of reproductive capability (</w:t>
      </w:r>
      <w:proofErr w:type="spellStart"/>
      <w:r w:rsidR="00343318" w:rsidRPr="00343318">
        <w:rPr>
          <w:rFonts w:ascii="Arial" w:hAnsi="Arial" w:cs="Arial"/>
          <w:sz w:val="20"/>
          <w:szCs w:val="20"/>
        </w:rPr>
        <w:t>Cotticelli</w:t>
      </w:r>
      <w:proofErr w:type="spellEnd"/>
      <w:r w:rsidR="00343318" w:rsidRPr="00343318">
        <w:rPr>
          <w:rFonts w:ascii="Arial" w:hAnsi="Arial" w:cs="Arial"/>
          <w:sz w:val="20"/>
          <w:szCs w:val="20"/>
        </w:rPr>
        <w:t xml:space="preserve"> et al., 2023; </w:t>
      </w:r>
      <w:proofErr w:type="spellStart"/>
      <w:r w:rsidR="00343318" w:rsidRPr="00343318">
        <w:rPr>
          <w:rFonts w:ascii="Arial" w:hAnsi="Arial" w:cs="Arial"/>
          <w:sz w:val="20"/>
          <w:szCs w:val="20"/>
        </w:rPr>
        <w:t>Surisetti</w:t>
      </w:r>
      <w:proofErr w:type="spellEnd"/>
      <w:r w:rsidR="00343318" w:rsidRPr="00343318">
        <w:rPr>
          <w:rFonts w:ascii="Arial" w:hAnsi="Arial" w:cs="Arial"/>
          <w:sz w:val="20"/>
          <w:szCs w:val="20"/>
        </w:rPr>
        <w:t xml:space="preserve"> et al., 2024).</w:t>
      </w:r>
    </w:p>
    <w:p w14:paraId="649DD162" w14:textId="77777777" w:rsidR="00BD7B59" w:rsidRPr="00BA4471" w:rsidRDefault="00BD7B59" w:rsidP="00BA4471">
      <w:pPr>
        <w:spacing w:after="0" w:line="240" w:lineRule="auto"/>
        <w:jc w:val="both"/>
        <w:rPr>
          <w:rFonts w:ascii="Arial" w:hAnsi="Arial" w:cs="Arial"/>
          <w:sz w:val="20"/>
          <w:szCs w:val="20"/>
        </w:rPr>
      </w:pPr>
    </w:p>
    <w:p w14:paraId="6C8FFD37" w14:textId="2E127C02"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Endocrine control of male reproduction involves intricate interactions between hypothalamic gonadotropin-releasing hormone (GnRH), pituitary luteinizing hormone (LH) and follicle-stimulating hormone (FSH) and testicular steroid hormones such as testosterone and oestradiol (Brito et al., 2020; Chenoweth, 2020). Testosterone is the major male reproduction hormone, controlling spermatogenesis, secondary sexual characteristics, libido, as well as breeding </w:t>
      </w:r>
      <w:r w:rsidR="0085766A">
        <w:rPr>
          <w:rFonts w:ascii="Arial" w:hAnsi="Arial" w:cs="Arial"/>
          <w:sz w:val="20"/>
          <w:szCs w:val="20"/>
        </w:rPr>
        <w:t>behaviour</w:t>
      </w:r>
      <w:r w:rsidRPr="00BA4471">
        <w:rPr>
          <w:rFonts w:ascii="Arial" w:hAnsi="Arial" w:cs="Arial"/>
          <w:sz w:val="20"/>
          <w:szCs w:val="20"/>
        </w:rPr>
        <w:t>, while oestradiol, synthesized from testosterone aromatization, has crucial roles in bone metabolism, growth plate closure, as well as in feedback on gonadotropin secretion (Rodriguez-Martinez, 2018; Palmer et al., 2020).</w:t>
      </w:r>
    </w:p>
    <w:p w14:paraId="6AF20CBB" w14:textId="77777777" w:rsidR="001A304E" w:rsidRPr="00BA4471" w:rsidRDefault="001A304E" w:rsidP="00BA4471">
      <w:pPr>
        <w:spacing w:after="0" w:line="240" w:lineRule="auto"/>
        <w:jc w:val="both"/>
        <w:rPr>
          <w:rFonts w:ascii="Arial" w:hAnsi="Arial" w:cs="Arial"/>
          <w:sz w:val="20"/>
          <w:szCs w:val="20"/>
        </w:rPr>
      </w:pPr>
    </w:p>
    <w:p w14:paraId="62DF558C"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Reproductive hormone levels have been found to change with age in different mammalian species, with prepubertal rises, plateau stages at adulthood, and senescent declines (Walters et al., 2019; Fraser et al., 2021). In bovine bulls, endocrine shifts are matched with shifts in functional capacity, such that hormone profiling could prove useful for maximizing decisions on mating management as well as in selecting animals with impaired reproductive potential (Santos et al., 2021; Prakash et al., 2021). Earlier research by </w:t>
      </w:r>
      <w:proofErr w:type="spellStart"/>
      <w:r w:rsidRPr="00BA4471">
        <w:rPr>
          <w:rFonts w:ascii="Arial" w:hAnsi="Arial" w:cs="Arial"/>
          <w:sz w:val="20"/>
          <w:szCs w:val="20"/>
        </w:rPr>
        <w:t>Lunstra</w:t>
      </w:r>
      <w:proofErr w:type="spellEnd"/>
      <w:r w:rsidRPr="00BA4471">
        <w:rPr>
          <w:rFonts w:ascii="Arial" w:hAnsi="Arial" w:cs="Arial"/>
          <w:sz w:val="20"/>
          <w:szCs w:val="20"/>
        </w:rPr>
        <w:t xml:space="preserve"> et al. (2018) as well as Moura &amp; Erickson (2021) has found hormone levels to be significantly correlated with testis development as well as sperm production potential in young bulls.</w:t>
      </w:r>
    </w:p>
    <w:p w14:paraId="2CE1C031" w14:textId="77777777" w:rsidR="001A304E" w:rsidRPr="00BA4471" w:rsidRDefault="001A304E" w:rsidP="00BA4471">
      <w:pPr>
        <w:spacing w:after="0" w:line="240" w:lineRule="auto"/>
        <w:jc w:val="both"/>
        <w:rPr>
          <w:rFonts w:ascii="Arial" w:hAnsi="Arial" w:cs="Arial"/>
          <w:sz w:val="20"/>
          <w:szCs w:val="20"/>
        </w:rPr>
      </w:pPr>
    </w:p>
    <w:p w14:paraId="6B96D397"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There can be no overestimating the economic significance of accurate breeding soundness testing in dairy herds, where subfertility bulls have been shown to lower conception rates between 20–40% as well as lengthen calving intervals between 30–60 days (Chenoweth, 2020; Walsh et al., 2019). In tropical dairy production systems, other stressors such as heat stress, nutritional deficiencies, and pressure from diseases can add to bull infertility, rendering precise estimation of sexual potential all the more critical in sustaining herd productivity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w:t>
      </w:r>
      <w:proofErr w:type="spellStart"/>
      <w:r w:rsidRPr="00BA4471">
        <w:rPr>
          <w:rFonts w:ascii="Arial" w:hAnsi="Arial" w:cs="Arial"/>
          <w:sz w:val="20"/>
          <w:szCs w:val="20"/>
        </w:rPr>
        <w:t>Scaramuzzi</w:t>
      </w:r>
      <w:proofErr w:type="spellEnd"/>
      <w:r w:rsidRPr="00BA4471">
        <w:rPr>
          <w:rFonts w:ascii="Arial" w:hAnsi="Arial" w:cs="Arial"/>
          <w:sz w:val="20"/>
          <w:szCs w:val="20"/>
        </w:rPr>
        <w:t xml:space="preserve">, 2003; </w:t>
      </w:r>
      <w:proofErr w:type="spellStart"/>
      <w:r w:rsidRPr="00BA4471">
        <w:rPr>
          <w:rFonts w:ascii="Arial" w:hAnsi="Arial" w:cs="Arial"/>
          <w:sz w:val="20"/>
          <w:szCs w:val="20"/>
        </w:rPr>
        <w:t>Wolfenson</w:t>
      </w:r>
      <w:proofErr w:type="spellEnd"/>
      <w:r w:rsidRPr="00BA4471">
        <w:rPr>
          <w:rFonts w:ascii="Arial" w:hAnsi="Arial" w:cs="Arial"/>
          <w:sz w:val="20"/>
          <w:szCs w:val="20"/>
        </w:rPr>
        <w:t xml:space="preserve"> et al., 2018).</w:t>
      </w:r>
    </w:p>
    <w:p w14:paraId="1440461D" w14:textId="77777777" w:rsidR="001A304E" w:rsidRPr="00BA4471" w:rsidRDefault="001A304E" w:rsidP="00BA4471">
      <w:pPr>
        <w:spacing w:after="0" w:line="240" w:lineRule="auto"/>
        <w:jc w:val="both"/>
        <w:rPr>
          <w:rFonts w:ascii="Arial" w:hAnsi="Arial" w:cs="Arial"/>
          <w:sz w:val="20"/>
          <w:szCs w:val="20"/>
        </w:rPr>
      </w:pPr>
    </w:p>
    <w:p w14:paraId="00CE7C90"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Current protocols for breeding soundness examination, despite being thorough in identification of physical characteristics, are extremely subjective in nature and unable to detect subtle shortfalls in reproduction potential, which can affect reproduction performance (Barth &amp; Oko, 2019; Kastelic, 2019). Saacke et al. (2019) and </w:t>
      </w:r>
      <w:proofErr w:type="spellStart"/>
      <w:r w:rsidRPr="00BA4471">
        <w:rPr>
          <w:rFonts w:ascii="Arial" w:hAnsi="Arial" w:cs="Arial"/>
          <w:sz w:val="20"/>
          <w:szCs w:val="20"/>
        </w:rPr>
        <w:t>Thundathil</w:t>
      </w:r>
      <w:proofErr w:type="spellEnd"/>
      <w:r w:rsidRPr="00BA4471">
        <w:rPr>
          <w:rFonts w:ascii="Arial" w:hAnsi="Arial" w:cs="Arial"/>
          <w:sz w:val="20"/>
          <w:szCs w:val="20"/>
        </w:rPr>
        <w:t xml:space="preserve"> et al. (2019) have shown in studies that bulls who have been cleared under routine physical examination can still exhibit poor reproduction performance through hormonal imbalances or endocrine diseases undiagnosed under routine methods.</w:t>
      </w:r>
    </w:p>
    <w:p w14:paraId="0C8D525E" w14:textId="77777777" w:rsidR="001A304E" w:rsidRPr="00BA4471" w:rsidRDefault="001A304E" w:rsidP="00BA4471">
      <w:pPr>
        <w:spacing w:after="0" w:line="240" w:lineRule="auto"/>
        <w:jc w:val="both"/>
        <w:rPr>
          <w:rFonts w:ascii="Arial" w:hAnsi="Arial" w:cs="Arial"/>
          <w:sz w:val="20"/>
          <w:szCs w:val="20"/>
        </w:rPr>
      </w:pPr>
    </w:p>
    <w:p w14:paraId="249DA084"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The integration of objective hormonal assessment could enhance the predictive value of breeding soundness evaluations, particularly for identifying bulls with marginal reproductive capacity that might pass traditional physical examinations but demonstrate suboptimal breeding performance (Palmer et al., 2020; Prakash et al., 2021). Commercial enzyme immunoassay (EIA) technology has evolved to provide cost-effective, reliable hormone quantification suitable for routine veterinary applications, making hormonal assessment increasingly accessible for field implementation (Walsh et al., 2019; Santos et al., 2021).</w:t>
      </w:r>
    </w:p>
    <w:p w14:paraId="4E23A80E" w14:textId="77777777" w:rsidR="001A304E" w:rsidRPr="00BA4471" w:rsidRDefault="001A304E" w:rsidP="00BA4471">
      <w:pPr>
        <w:spacing w:after="0" w:line="240" w:lineRule="auto"/>
        <w:jc w:val="both"/>
        <w:rPr>
          <w:rFonts w:ascii="Arial" w:hAnsi="Arial" w:cs="Arial"/>
          <w:sz w:val="20"/>
          <w:szCs w:val="20"/>
        </w:rPr>
      </w:pPr>
    </w:p>
    <w:p w14:paraId="48F2F6D7"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Earlier research on reproductive hormone profiles in bulls has been limited due to small sample sizes, limited age ranges, or genetic line focus, with broad areas of normal hormonal variation between different age groups and production systems still not well recognized (Rodriguez-Martinez, 2018; Brito et al., 2020). Evans et al. (2020) and Rawlings et al. (2020) have presented useful information on pubertal change in hormones, but full characterization over longer age ranges has yet to be known. Additionally, tropical production systems pose specific risks such as crossbreeding schemes, fluctuating nutritional status, and environmental stresses, whose impacts on hormones might be different from temperate production systems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w:t>
      </w:r>
      <w:proofErr w:type="spellStart"/>
      <w:r w:rsidRPr="00BA4471">
        <w:rPr>
          <w:rFonts w:ascii="Arial" w:hAnsi="Arial" w:cs="Arial"/>
          <w:sz w:val="20"/>
          <w:szCs w:val="20"/>
        </w:rPr>
        <w:t>Scaramuzzi</w:t>
      </w:r>
      <w:proofErr w:type="spellEnd"/>
      <w:r w:rsidRPr="00BA4471">
        <w:rPr>
          <w:rFonts w:ascii="Arial" w:hAnsi="Arial" w:cs="Arial"/>
          <w:sz w:val="20"/>
          <w:szCs w:val="20"/>
        </w:rPr>
        <w:t>, 2003; Mahmoud et al., 2019).</w:t>
      </w:r>
    </w:p>
    <w:p w14:paraId="2BF47EDB" w14:textId="77777777" w:rsidR="001A304E" w:rsidRPr="00BA4471" w:rsidRDefault="001A304E" w:rsidP="00BA4471">
      <w:pPr>
        <w:spacing w:after="0" w:line="240" w:lineRule="auto"/>
        <w:jc w:val="both"/>
        <w:rPr>
          <w:rFonts w:ascii="Arial" w:hAnsi="Arial" w:cs="Arial"/>
          <w:sz w:val="20"/>
          <w:szCs w:val="20"/>
        </w:rPr>
      </w:pPr>
    </w:p>
    <w:p w14:paraId="5DB36ED9"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There are genetic effects on levels of reproductive hormones recorded in various breeds of cattle, with Bos indicus breed animals often having different hormonal patterns from Bos taurus breed animals (Fields et </w:t>
      </w:r>
      <w:r w:rsidRPr="00BA4471">
        <w:rPr>
          <w:rFonts w:ascii="Arial" w:hAnsi="Arial" w:cs="Arial"/>
          <w:sz w:val="20"/>
          <w:szCs w:val="20"/>
        </w:rPr>
        <w:lastRenderedPageBreak/>
        <w:t>al., 2018; Tatman et al., 2021). The crossbreeding schemes prevalent in tropical milking systems add complexity in hormonal measurement, since crossbreeds can express intermediate traits with breed-related reference ranges necessary for proper interpretation (Gottschall et al., 2021; Hafez &amp; Hafez, 2020).</w:t>
      </w:r>
    </w:p>
    <w:p w14:paraId="47B06C20" w14:textId="77777777" w:rsidR="001A304E" w:rsidRPr="00BA4471" w:rsidRDefault="001A304E" w:rsidP="00BA4471">
      <w:pPr>
        <w:spacing w:after="0" w:line="240" w:lineRule="auto"/>
        <w:jc w:val="both"/>
        <w:rPr>
          <w:rFonts w:ascii="Arial" w:hAnsi="Arial" w:cs="Arial"/>
          <w:sz w:val="20"/>
          <w:szCs w:val="20"/>
        </w:rPr>
      </w:pPr>
    </w:p>
    <w:p w14:paraId="5630D3AD"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The establishment of comprehensive age-specific reference ranges for reproductive hormones across extended age groups would provide valuable baseline data for breeding soundness evaluation, research applications, and clinical decision-making in diverse dairy production systems (Prakash et al., 2021; Santos et al., 2021). Such reference values could enhance bull selection programs, improve breeding efficiency, and reduce economic losses associated with </w:t>
      </w:r>
      <w:proofErr w:type="spellStart"/>
      <w:r w:rsidRPr="00BA4471">
        <w:rPr>
          <w:rFonts w:ascii="Arial" w:hAnsi="Arial" w:cs="Arial"/>
          <w:sz w:val="20"/>
          <w:szCs w:val="20"/>
        </w:rPr>
        <w:t>subfertile</w:t>
      </w:r>
      <w:proofErr w:type="spellEnd"/>
      <w:r w:rsidRPr="00BA4471">
        <w:rPr>
          <w:rFonts w:ascii="Arial" w:hAnsi="Arial" w:cs="Arial"/>
          <w:sz w:val="20"/>
          <w:szCs w:val="20"/>
        </w:rPr>
        <w:t xml:space="preserve"> breeding animals while supporting evidence-based approaches to reproductive management (Kastelic, 2019; Palmer et al., 2020).</w:t>
      </w:r>
    </w:p>
    <w:p w14:paraId="2A357BB3" w14:textId="77777777" w:rsidR="001A304E" w:rsidRPr="00BA4471" w:rsidRDefault="001A304E" w:rsidP="00BA4471">
      <w:pPr>
        <w:spacing w:after="0" w:line="240" w:lineRule="auto"/>
        <w:jc w:val="both"/>
        <w:rPr>
          <w:rFonts w:ascii="Arial" w:hAnsi="Arial" w:cs="Arial"/>
          <w:sz w:val="20"/>
          <w:szCs w:val="20"/>
        </w:rPr>
      </w:pPr>
    </w:p>
    <w:p w14:paraId="60D7526C" w14:textId="77777777"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 xml:space="preserve">Recent advances in understanding reproductive endocrinology have highlighted the importance of </w:t>
      </w:r>
      <w:proofErr w:type="spellStart"/>
      <w:r w:rsidRPr="00BA4471">
        <w:rPr>
          <w:rFonts w:ascii="Arial" w:hAnsi="Arial" w:cs="Arial"/>
          <w:sz w:val="20"/>
          <w:szCs w:val="20"/>
        </w:rPr>
        <w:t>testosterone:oestradiol</w:t>
      </w:r>
      <w:proofErr w:type="spellEnd"/>
      <w:r w:rsidRPr="00BA4471">
        <w:rPr>
          <w:rFonts w:ascii="Arial" w:hAnsi="Arial" w:cs="Arial"/>
          <w:sz w:val="20"/>
          <w:szCs w:val="20"/>
        </w:rPr>
        <w:t xml:space="preserve"> ratios as indicators of balanced reproductive function, with optimal ratios associated with superior breeding performance (Rodriguez-Martinez, 2018; Chenoweth, 2020). The integration of ratio-based assessments with traditional hormone measurements could provide enhanced precision in breeding soundness evaluation, particularly for identifying bulls with subtle endocrine imbalances affecting reproductive capacity (Walsh et al., 2019; Fraser et al., 2021).</w:t>
      </w:r>
    </w:p>
    <w:p w14:paraId="3F81F59E" w14:textId="77777777" w:rsidR="001A304E" w:rsidRPr="00BA4471" w:rsidRDefault="001A304E" w:rsidP="00BA4471">
      <w:pPr>
        <w:spacing w:after="0" w:line="240" w:lineRule="auto"/>
        <w:jc w:val="both"/>
        <w:rPr>
          <w:rFonts w:ascii="Arial" w:hAnsi="Arial" w:cs="Arial"/>
          <w:sz w:val="20"/>
          <w:szCs w:val="20"/>
        </w:rPr>
      </w:pPr>
    </w:p>
    <w:p w14:paraId="77B875F4" w14:textId="4A12D08F"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This study aimed to characterize age-related changes in testosterone and oestradiol concentrations in dairy bulls across nine age groups (6 months to ≥8 years) under tropical management conditions of Ghana, establishing detailed reference values for different age groups and genetic backgrounds, and evaluating relationships between hormonal profiles and traditional breeding soundness parameters. The research provides essential baseline data for incorporating hormonal assessment into breeding soundness evaluation protocols and supports evidence-based approaches to bull management in tropical dairy systems, with particular emphasis on optimizing breeding efficiency and extending productive utilization of breeding bulls.</w:t>
      </w:r>
    </w:p>
    <w:p w14:paraId="7A91FD62" w14:textId="77777777" w:rsidR="001A304E" w:rsidRPr="00BA4471" w:rsidRDefault="001A304E" w:rsidP="00BA4471">
      <w:pPr>
        <w:spacing w:after="0" w:line="240" w:lineRule="auto"/>
        <w:jc w:val="both"/>
        <w:rPr>
          <w:rFonts w:ascii="Arial" w:hAnsi="Arial" w:cs="Arial"/>
          <w:sz w:val="20"/>
          <w:szCs w:val="20"/>
        </w:rPr>
      </w:pPr>
    </w:p>
    <w:p w14:paraId="58907E00" w14:textId="411C269A" w:rsidR="001A304E" w:rsidRPr="00BA4471" w:rsidRDefault="001A304E" w:rsidP="00BA4471">
      <w:pPr>
        <w:spacing w:after="0" w:line="240" w:lineRule="auto"/>
        <w:jc w:val="both"/>
        <w:rPr>
          <w:rFonts w:ascii="Arial" w:hAnsi="Arial" w:cs="Arial"/>
          <w:sz w:val="20"/>
          <w:szCs w:val="20"/>
        </w:rPr>
      </w:pPr>
      <w:r w:rsidRPr="00BA4471">
        <w:rPr>
          <w:rFonts w:ascii="Arial" w:hAnsi="Arial" w:cs="Arial"/>
          <w:sz w:val="20"/>
          <w:szCs w:val="20"/>
        </w:rPr>
        <w:t>The scope of this investigation, enhanced age group resolution, provides unprecedented detail in understanding reproductive hormone dynamics across productive lifespan of dairy bulls in tropical environments. The findings contribute valuable knowledge for developing more sophisticated breeding soundness evaluation protocols that integrate hormonal assessment with traditional physical parameters, ultimately supporting improved reproductive management and economic sustainability in tropical dairy production systems worldwide.</w:t>
      </w:r>
    </w:p>
    <w:p w14:paraId="12EF9D50" w14:textId="77777777" w:rsidR="00BD7B59" w:rsidRPr="00BA4471" w:rsidRDefault="00BD7B59" w:rsidP="00BA4471">
      <w:pPr>
        <w:spacing w:after="0" w:line="240" w:lineRule="auto"/>
        <w:jc w:val="both"/>
        <w:rPr>
          <w:rFonts w:ascii="Arial" w:hAnsi="Arial" w:cs="Arial"/>
          <w:sz w:val="20"/>
          <w:szCs w:val="20"/>
        </w:rPr>
      </w:pPr>
    </w:p>
    <w:p w14:paraId="74845C9A" w14:textId="77777777" w:rsidR="00BD7B59" w:rsidRPr="00BA4471" w:rsidRDefault="00BD7B59" w:rsidP="0019402F">
      <w:pPr>
        <w:pStyle w:val="Heading1"/>
      </w:pPr>
      <w:r w:rsidRPr="00BA4471">
        <w:t xml:space="preserve">2. </w:t>
      </w:r>
      <w:r w:rsidRPr="005F1ABB">
        <w:t>MATERIALS AND METHODS</w:t>
      </w:r>
    </w:p>
    <w:p w14:paraId="14E1780F" w14:textId="23EDE9CF" w:rsidR="00BD7B59" w:rsidRPr="00BA4471" w:rsidRDefault="00BD7B59" w:rsidP="00BA4471">
      <w:pPr>
        <w:pStyle w:val="Heading2"/>
        <w:spacing w:line="240" w:lineRule="auto"/>
        <w:rPr>
          <w:rFonts w:cs="Arial"/>
        </w:rPr>
      </w:pPr>
      <w:r w:rsidRPr="00BA4471">
        <w:rPr>
          <w:rFonts w:cs="Arial"/>
        </w:rPr>
        <w:t xml:space="preserve">2.1. Study Design and Ethical </w:t>
      </w:r>
      <w:r w:rsidR="00BA702E">
        <w:rPr>
          <w:rFonts w:cs="Arial"/>
        </w:rPr>
        <w:t>Issues</w:t>
      </w:r>
    </w:p>
    <w:p w14:paraId="28C79185" w14:textId="6C1B94AF" w:rsidR="00BD7B59" w:rsidRPr="00BA4471" w:rsidRDefault="00BD7B59" w:rsidP="00BA4471">
      <w:pPr>
        <w:spacing w:after="0" w:line="240" w:lineRule="auto"/>
        <w:jc w:val="both"/>
        <w:rPr>
          <w:rFonts w:ascii="Arial" w:hAnsi="Arial" w:cs="Arial"/>
          <w:sz w:val="20"/>
          <w:szCs w:val="20"/>
        </w:rPr>
      </w:pPr>
      <w:r w:rsidRPr="00DD1677">
        <w:rPr>
          <w:rFonts w:ascii="Arial" w:hAnsi="Arial" w:cs="Arial"/>
          <w:sz w:val="20"/>
          <w:szCs w:val="20"/>
        </w:rPr>
        <w:t xml:space="preserve">The present </w:t>
      </w:r>
      <w:r w:rsidR="0076561C" w:rsidRPr="00DD1677">
        <w:rPr>
          <w:rFonts w:ascii="Arial" w:hAnsi="Arial" w:cs="Arial"/>
          <w:sz w:val="20"/>
          <w:szCs w:val="20"/>
        </w:rPr>
        <w:t>longitudinal</w:t>
      </w:r>
      <w:r w:rsidRPr="00DD1677">
        <w:rPr>
          <w:rFonts w:ascii="Arial" w:hAnsi="Arial" w:cs="Arial"/>
          <w:sz w:val="20"/>
          <w:szCs w:val="20"/>
        </w:rPr>
        <w:t xml:space="preserve"> observational </w:t>
      </w:r>
      <w:r w:rsidR="0076561C" w:rsidRPr="00DD1677">
        <w:rPr>
          <w:rFonts w:ascii="Arial" w:hAnsi="Arial" w:cs="Arial"/>
          <w:sz w:val="20"/>
          <w:szCs w:val="20"/>
        </w:rPr>
        <w:t>study</w:t>
      </w:r>
      <w:r w:rsidRPr="00DD1677">
        <w:rPr>
          <w:rFonts w:ascii="Arial" w:hAnsi="Arial" w:cs="Arial"/>
          <w:sz w:val="20"/>
          <w:szCs w:val="20"/>
        </w:rPr>
        <w:t xml:space="preserve"> was undertaken with an </w:t>
      </w:r>
      <w:r w:rsidRPr="00BA4471">
        <w:rPr>
          <w:rFonts w:ascii="Arial" w:hAnsi="Arial" w:cs="Arial"/>
          <w:sz w:val="20"/>
          <w:szCs w:val="20"/>
        </w:rPr>
        <w:t>objective to define age-related alterations in levels of reproduction hormones in nine age groups of tropical-managed dairy bulls</w:t>
      </w:r>
      <w:r w:rsidR="00A17A33" w:rsidRPr="00BA4471">
        <w:rPr>
          <w:rFonts w:ascii="Arial" w:hAnsi="Arial" w:cs="Arial"/>
          <w:sz w:val="20"/>
          <w:szCs w:val="20"/>
        </w:rPr>
        <w:t xml:space="preserve"> in Ghana</w:t>
      </w:r>
      <w:r w:rsidRPr="00BA4471">
        <w:rPr>
          <w:rFonts w:ascii="Arial" w:hAnsi="Arial" w:cs="Arial"/>
          <w:sz w:val="20"/>
          <w:szCs w:val="20"/>
        </w:rPr>
        <w:t>. Consent was taken from all farm owners, and all procedures in handling animals were strictly in accordance with international norms on farm animal welfare (Fraser et al., 2021).</w:t>
      </w:r>
    </w:p>
    <w:p w14:paraId="0B266C64" w14:textId="77777777" w:rsidR="00BD7B59" w:rsidRPr="00BA4471" w:rsidRDefault="00BD7B59" w:rsidP="00BA4471">
      <w:pPr>
        <w:spacing w:after="0" w:line="240" w:lineRule="auto"/>
        <w:jc w:val="both"/>
        <w:rPr>
          <w:rFonts w:ascii="Arial" w:hAnsi="Arial" w:cs="Arial"/>
          <w:sz w:val="20"/>
          <w:szCs w:val="20"/>
        </w:rPr>
      </w:pPr>
    </w:p>
    <w:p w14:paraId="5C190055" w14:textId="77777777" w:rsidR="00BD7B59" w:rsidRPr="00BA4471" w:rsidRDefault="00BD7B59" w:rsidP="00BA4471">
      <w:pPr>
        <w:pStyle w:val="Heading2"/>
        <w:spacing w:line="240" w:lineRule="auto"/>
        <w:rPr>
          <w:rFonts w:cs="Arial"/>
        </w:rPr>
      </w:pPr>
      <w:r w:rsidRPr="00BA4471">
        <w:rPr>
          <w:rFonts w:cs="Arial"/>
        </w:rPr>
        <w:t>2.2 Study Site and Climate Conditions</w:t>
      </w:r>
    </w:p>
    <w:p w14:paraId="462EAC13" w14:textId="1EE1FAA2"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The research was undertaken on several dairy farms within the Ashanti, Eastern, and Greater Accra Regions of Ghana (5°33'-7°20'N, 2°20'W-1°12'E) from January 2022 through December 2023. </w:t>
      </w:r>
      <w:r w:rsidR="00C309F0">
        <w:rPr>
          <w:rFonts w:ascii="Arial" w:hAnsi="Arial" w:cs="Arial"/>
          <w:sz w:val="20"/>
          <w:szCs w:val="20"/>
        </w:rPr>
        <w:t xml:space="preserve">The study arears covered </w:t>
      </w:r>
      <w:r w:rsidRPr="00BA4471">
        <w:rPr>
          <w:rFonts w:ascii="Arial" w:hAnsi="Arial" w:cs="Arial"/>
          <w:sz w:val="20"/>
          <w:szCs w:val="20"/>
        </w:rPr>
        <w:t>transitional forest, deciduous forest, as well as coastal savanna agroecological zones</w:t>
      </w:r>
      <w:r w:rsidR="00C309F0">
        <w:rPr>
          <w:rFonts w:ascii="Arial" w:hAnsi="Arial" w:cs="Arial"/>
          <w:sz w:val="20"/>
          <w:szCs w:val="20"/>
        </w:rPr>
        <w:t xml:space="preserve"> of </w:t>
      </w:r>
      <w:r w:rsidR="00867858">
        <w:rPr>
          <w:rFonts w:ascii="Arial" w:hAnsi="Arial" w:cs="Arial"/>
          <w:sz w:val="20"/>
          <w:szCs w:val="20"/>
        </w:rPr>
        <w:t>G</w:t>
      </w:r>
      <w:r w:rsidR="00C309F0">
        <w:rPr>
          <w:rFonts w:ascii="Arial" w:hAnsi="Arial" w:cs="Arial"/>
          <w:sz w:val="20"/>
          <w:szCs w:val="20"/>
        </w:rPr>
        <w:t>hana (Coffie, 2020).</w:t>
      </w:r>
      <w:r w:rsidRPr="00BA4471">
        <w:rPr>
          <w:rFonts w:ascii="Arial" w:hAnsi="Arial" w:cs="Arial"/>
          <w:sz w:val="20"/>
          <w:szCs w:val="20"/>
        </w:rPr>
        <w:t xml:space="preserve"> the study areas present a range of environmental conditions characteristic of West African dairy production systems (Ghana Meteorological Agency, 2020). Climate information was sourced from the Ghana Meteorological Agency, with mean temperatures between 26-29°C, relative humidity from 65-85%, and between 730-1,400 mm average annual rainfall as presented in bimodal distribution patterns characteristic of tropical dairy environments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w:t>
      </w:r>
      <w:proofErr w:type="spellStart"/>
      <w:r w:rsidRPr="00BA4471">
        <w:rPr>
          <w:rFonts w:ascii="Arial" w:hAnsi="Arial" w:cs="Arial"/>
          <w:sz w:val="20"/>
          <w:szCs w:val="20"/>
        </w:rPr>
        <w:t>Scaramuzzi</w:t>
      </w:r>
      <w:proofErr w:type="spellEnd"/>
      <w:r w:rsidRPr="00BA4471">
        <w:rPr>
          <w:rFonts w:ascii="Arial" w:hAnsi="Arial" w:cs="Arial"/>
          <w:sz w:val="20"/>
          <w:szCs w:val="20"/>
        </w:rPr>
        <w:t>, 2003).</w:t>
      </w:r>
    </w:p>
    <w:p w14:paraId="078C1DA9" w14:textId="77777777" w:rsidR="00BD7B59" w:rsidRPr="00BA4471" w:rsidRDefault="00BD7B59" w:rsidP="00BA4471">
      <w:pPr>
        <w:spacing w:after="0" w:line="240" w:lineRule="auto"/>
        <w:jc w:val="both"/>
        <w:rPr>
          <w:rFonts w:ascii="Arial" w:hAnsi="Arial" w:cs="Arial"/>
          <w:sz w:val="20"/>
          <w:szCs w:val="20"/>
        </w:rPr>
      </w:pPr>
    </w:p>
    <w:p w14:paraId="255A9E2F" w14:textId="77777777" w:rsidR="00BD7B59" w:rsidRPr="00BA4471" w:rsidRDefault="00BD7B59" w:rsidP="00BA4471">
      <w:pPr>
        <w:pStyle w:val="Heading2"/>
        <w:spacing w:line="240" w:lineRule="auto"/>
        <w:rPr>
          <w:rFonts w:cs="Arial"/>
        </w:rPr>
      </w:pPr>
      <w:r w:rsidRPr="00BA4471">
        <w:rPr>
          <w:rFonts w:cs="Arial"/>
        </w:rPr>
        <w:t>2.3 Animal Selection and Population Characteristics</w:t>
      </w:r>
    </w:p>
    <w:p w14:paraId="207336F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Ninety commercial dairy bulls were chosen from 45 farms employing stratified randomness in order to achieve representative distribution between age stratums as well as genetic backgrounds (Kastelic, 2019). Bulls were divided into nine age groups with an equal number in each group: 6 months (n=10), 1 year </w:t>
      </w:r>
      <w:r w:rsidRPr="00BA4471">
        <w:rPr>
          <w:rFonts w:ascii="Arial" w:hAnsi="Arial" w:cs="Arial"/>
          <w:sz w:val="20"/>
          <w:szCs w:val="20"/>
        </w:rPr>
        <w:lastRenderedPageBreak/>
        <w:t>(n=10), 2 years (n=10), 3 years (n=10), 4 years (n=10), 5 years (n=10), 6 years (n=10), 7 years (n=10), and ≥8 years (n=10). Increased age group selection allowed greater statistical power than other studies had, as well as in-depth characterization of hormonal alterations through the total productive lifespan of dairy bulls (Brito et al., 2020; Santos et al., 2021).</w:t>
      </w:r>
    </w:p>
    <w:p w14:paraId="7F112714" w14:textId="77777777" w:rsidR="00BD7B59" w:rsidRPr="00BA4471" w:rsidRDefault="00BD7B59" w:rsidP="00BA4471">
      <w:pPr>
        <w:spacing w:after="0" w:line="240" w:lineRule="auto"/>
        <w:jc w:val="both"/>
        <w:rPr>
          <w:rFonts w:ascii="Arial" w:hAnsi="Arial" w:cs="Arial"/>
          <w:sz w:val="20"/>
          <w:szCs w:val="20"/>
        </w:rPr>
      </w:pPr>
    </w:p>
    <w:p w14:paraId="501519AF"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Determination of age relied on farm records, examination, and body size measurement using agreed veterinary protocols as outlined by Barth &amp; Oko (2019). Dental aging methods outlined by Chenoweth (2020) were utilized in bulls whose age information was not clear in order to accurately group them.</w:t>
      </w:r>
    </w:p>
    <w:p w14:paraId="54872C4F" w14:textId="77777777" w:rsidR="00BD7B59" w:rsidRPr="00BA4471" w:rsidRDefault="00BD7B59" w:rsidP="00BA4471">
      <w:pPr>
        <w:spacing w:after="0" w:line="240" w:lineRule="auto"/>
        <w:jc w:val="both"/>
        <w:rPr>
          <w:rFonts w:ascii="Arial" w:hAnsi="Arial" w:cs="Arial"/>
          <w:sz w:val="20"/>
          <w:szCs w:val="20"/>
        </w:rPr>
      </w:pPr>
    </w:p>
    <w:p w14:paraId="60BBB574"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The population under study comprised Friesian-Sanga crossbreeds (58%, n=52), Sanga bulls (27%, n=24), and Jersey bulls (15%, n=14) in a genetic representation characteristic of Ghanaian dairy farms and facilitating breed-stratified analysis of hormonal trends (Palmer et al., 2020). The distribution within these genetic groups was kept consistent in proportion across age groups in order to reduce confounding from breed-by-age interactions (Rodriguez-Martinez, 2018).</w:t>
      </w:r>
    </w:p>
    <w:p w14:paraId="1C2D0C6B" w14:textId="77777777" w:rsidR="00BD7B59" w:rsidRPr="00BA4471" w:rsidRDefault="00BD7B59" w:rsidP="00BA4471">
      <w:pPr>
        <w:spacing w:after="0" w:line="240" w:lineRule="auto"/>
        <w:jc w:val="both"/>
        <w:rPr>
          <w:rFonts w:ascii="Arial" w:hAnsi="Arial" w:cs="Arial"/>
          <w:sz w:val="20"/>
          <w:szCs w:val="20"/>
        </w:rPr>
      </w:pPr>
    </w:p>
    <w:p w14:paraId="07422038" w14:textId="77777777" w:rsidR="00BD7B59" w:rsidRPr="00BA4471" w:rsidRDefault="00BD7B59" w:rsidP="00BA4471">
      <w:pPr>
        <w:pStyle w:val="Heading2"/>
        <w:spacing w:line="240" w:lineRule="auto"/>
        <w:rPr>
          <w:rFonts w:cs="Arial"/>
        </w:rPr>
      </w:pPr>
      <w:r w:rsidRPr="00BA4471">
        <w:rPr>
          <w:rFonts w:cs="Arial"/>
        </w:rPr>
        <w:t>2.4 Inclusion and Exclusion Criteria</w:t>
      </w:r>
    </w:p>
    <w:p w14:paraId="0EDAB26E"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Bulls were selected on the following criteria:</w:t>
      </w:r>
    </w:p>
    <w:p w14:paraId="76FBCE45"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(1) Lack of evident physical defects or clinical illness as determined by veterinary examination</w:t>
      </w:r>
    </w:p>
    <w:p w14:paraId="352522A1"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(2) Body condition score between 2.5–4.0 on a 5-point scale (Walsh et al., 2019)</w:t>
      </w:r>
    </w:p>
    <w:p w14:paraId="6CAE542D"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(3) Normal testicle development for age as determined on the basis of known standards (Kastelic, 2019)</w:t>
      </w:r>
    </w:p>
    <w:p w14:paraId="76E02C71"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(4) Provision of accurate age record checked from multiple sources</w:t>
      </w:r>
    </w:p>
    <w:p w14:paraId="1115F30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(5) Farm owner agreement with signed informed consent</w:t>
      </w:r>
    </w:p>
    <w:p w14:paraId="1219E0EA" w14:textId="77777777" w:rsidR="00BD7B59" w:rsidRPr="00BA4471" w:rsidRDefault="00BD7B59" w:rsidP="00BA4471">
      <w:pPr>
        <w:spacing w:after="0" w:line="240" w:lineRule="auto"/>
        <w:jc w:val="both"/>
        <w:rPr>
          <w:rFonts w:ascii="Arial" w:hAnsi="Arial" w:cs="Arial"/>
          <w:sz w:val="20"/>
          <w:szCs w:val="20"/>
        </w:rPr>
      </w:pPr>
    </w:p>
    <w:p w14:paraId="05D6246A"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Exclusion criteria were:</w:t>
      </w:r>
    </w:p>
    <w:p w14:paraId="033F9ADA"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(1) Fever, trauma, or acute illness within 30 days</w:t>
      </w:r>
    </w:p>
    <w:p w14:paraId="3A245458"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(2) History of testicular or reproductive disorders</w:t>
      </w:r>
    </w:p>
    <w:p w14:paraId="1EC481D3"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(3) Previous hormone or corticosteroid treatment within 60 days</w:t>
      </w:r>
    </w:p>
    <w:p w14:paraId="73B53B90"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(4) Body condition score ≤2.5 or ≥4.0</w:t>
      </w:r>
    </w:p>
    <w:p w14:paraId="0ABB0132"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(5) Incomplete age information hindering group assignment (Prakash et al., 2021)</w:t>
      </w:r>
    </w:p>
    <w:p w14:paraId="432994A2" w14:textId="77777777" w:rsidR="00BD7B59" w:rsidRPr="00BA4471" w:rsidRDefault="00BD7B59" w:rsidP="00BA4471">
      <w:pPr>
        <w:spacing w:after="0" w:line="240" w:lineRule="auto"/>
        <w:jc w:val="both"/>
        <w:rPr>
          <w:rFonts w:ascii="Arial" w:hAnsi="Arial" w:cs="Arial"/>
          <w:sz w:val="20"/>
          <w:szCs w:val="20"/>
        </w:rPr>
      </w:pPr>
    </w:p>
    <w:p w14:paraId="2D37F0E8" w14:textId="77777777" w:rsidR="00BD7B59" w:rsidRPr="00BA4471" w:rsidRDefault="00BD7B59" w:rsidP="00BA4471">
      <w:pPr>
        <w:pStyle w:val="Heading2"/>
        <w:spacing w:line="240" w:lineRule="auto"/>
        <w:rPr>
          <w:rFonts w:cs="Arial"/>
        </w:rPr>
      </w:pPr>
      <w:r w:rsidRPr="00BA4471">
        <w:rPr>
          <w:rFonts w:cs="Arial"/>
        </w:rPr>
        <w:t>2.5 Management Systems &amp; Feeding</w:t>
      </w:r>
    </w:p>
    <w:p w14:paraId="5621B6E4"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All bulls were kept under tropical-style semi-intensive management systems, with daytime pasture on natural pasture or improved pastures and nighttime housing in covered barns or paddocks (Santos et al., 2021). Complimentary feeding comprised locally accessible concentrates such as brewers' spent grain (2–3 kg/day), peels from cassava, peels from plantain, as well as commercial mineral supplements depending on availability. Water was given ad libitum using automatic watering systems or manual methods, with animals having mineral licks with fundamental trace elements (Fraser et al., 2021).</w:t>
      </w:r>
    </w:p>
    <w:p w14:paraId="66723506" w14:textId="77777777" w:rsidR="00BD7B59" w:rsidRPr="00BA4471" w:rsidRDefault="00BD7B59" w:rsidP="00BA4471">
      <w:pPr>
        <w:spacing w:after="0" w:line="240" w:lineRule="auto"/>
        <w:jc w:val="both"/>
        <w:rPr>
          <w:rFonts w:ascii="Arial" w:hAnsi="Arial" w:cs="Arial"/>
          <w:sz w:val="20"/>
          <w:szCs w:val="20"/>
        </w:rPr>
      </w:pPr>
    </w:p>
    <w:p w14:paraId="46690C1C" w14:textId="77777777" w:rsidR="00BD7B59" w:rsidRPr="00BA4471" w:rsidRDefault="00BD7B59" w:rsidP="00BA4471">
      <w:pPr>
        <w:pStyle w:val="Heading2"/>
        <w:spacing w:line="240" w:lineRule="auto"/>
        <w:rPr>
          <w:rFonts w:cs="Arial"/>
        </w:rPr>
      </w:pPr>
      <w:r w:rsidRPr="00BA4471">
        <w:rPr>
          <w:rFonts w:cs="Arial"/>
        </w:rPr>
        <w:t>2.6 Physical Examination and Assessment for Breeding Soundness</w:t>
      </w:r>
    </w:p>
    <w:p w14:paraId="47025B59" w14:textId="37356684"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Comprehensive breeding soundness examinations were conducted under protocols recommended by the Society for Theriogenology and modified for tropical settings (Chenoweth, 2020). Physical examination involved determination of general health status, body condition score, measurement of scrotal circumference, testicle consistency, and breeding </w:t>
      </w:r>
      <w:r w:rsidR="0085766A">
        <w:rPr>
          <w:rFonts w:ascii="Arial" w:hAnsi="Arial" w:cs="Arial"/>
          <w:sz w:val="20"/>
          <w:szCs w:val="20"/>
        </w:rPr>
        <w:t>behaviour</w:t>
      </w:r>
      <w:r w:rsidRPr="00BA4471">
        <w:rPr>
          <w:rFonts w:ascii="Arial" w:hAnsi="Arial" w:cs="Arial"/>
          <w:sz w:val="20"/>
          <w:szCs w:val="20"/>
        </w:rPr>
        <w:t xml:space="preserve"> observation as relevant.</w:t>
      </w:r>
    </w:p>
    <w:p w14:paraId="4077429E" w14:textId="77777777" w:rsidR="00BD7B59" w:rsidRPr="00BA4471" w:rsidRDefault="00BD7B59" w:rsidP="00BA4471">
      <w:pPr>
        <w:spacing w:after="0" w:line="240" w:lineRule="auto"/>
        <w:jc w:val="both"/>
        <w:rPr>
          <w:rFonts w:ascii="Arial" w:hAnsi="Arial" w:cs="Arial"/>
          <w:sz w:val="20"/>
          <w:szCs w:val="20"/>
        </w:rPr>
      </w:pPr>
    </w:p>
    <w:p w14:paraId="3A4386B5" w14:textId="77777777" w:rsidR="00BD7B59" w:rsidRPr="00BA4471" w:rsidRDefault="00BD7B59" w:rsidP="00BA4471">
      <w:pPr>
        <w:pStyle w:val="Heading3"/>
        <w:spacing w:line="240" w:lineRule="auto"/>
        <w:rPr>
          <w:rFonts w:cs="Arial"/>
        </w:rPr>
      </w:pPr>
      <w:r w:rsidRPr="00BA4471">
        <w:rPr>
          <w:rFonts w:cs="Arial"/>
        </w:rPr>
        <w:t>2.6.1 Body Condition Scoring</w:t>
      </w:r>
    </w:p>
    <w:p w14:paraId="4B93A964"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The body condition was determined using the 5-point scale system (1 = emaciated, 5 = obese) with an increment of 0.25 points, considering fat deposition on ribs, loin, and tailhead areas following standard protocols (Palmer et al., 2020; Walsh et al., 2019). For consistency over the study period, all measurements were made by one trained evaluator.</w:t>
      </w:r>
    </w:p>
    <w:p w14:paraId="7AD640C9" w14:textId="77777777" w:rsidR="00BD7B59" w:rsidRPr="00BA4471" w:rsidRDefault="00BD7B59" w:rsidP="00BA4471">
      <w:pPr>
        <w:spacing w:after="0" w:line="240" w:lineRule="auto"/>
        <w:jc w:val="both"/>
        <w:rPr>
          <w:rFonts w:ascii="Arial" w:hAnsi="Arial" w:cs="Arial"/>
          <w:sz w:val="20"/>
          <w:szCs w:val="20"/>
        </w:rPr>
      </w:pPr>
    </w:p>
    <w:p w14:paraId="08804899" w14:textId="77777777" w:rsidR="00BD7B59" w:rsidRPr="00BA4471" w:rsidRDefault="00BD7B59" w:rsidP="00BA4471">
      <w:pPr>
        <w:pStyle w:val="Heading3"/>
        <w:spacing w:line="240" w:lineRule="auto"/>
        <w:rPr>
          <w:rFonts w:cs="Arial"/>
        </w:rPr>
      </w:pPr>
      <w:r w:rsidRPr="00BA4471">
        <w:rPr>
          <w:rFonts w:cs="Arial"/>
        </w:rPr>
        <w:t>2.6.2 Measurement of Scrotal Circumference</w:t>
      </w:r>
    </w:p>
    <w:p w14:paraId="3C6DC683"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Scrotal circumference was determined at the location of greatest diameter with a flexible tape, with readings recorded as a measure as close as 0.5 cm (Kastelic, 2019). Bulls were held in a standing stance with testes normally within the scrotum, with readings in triplicate taken with mean value recorded for analysis (Barth &amp; Oko, 2019).</w:t>
      </w:r>
    </w:p>
    <w:p w14:paraId="5A655A84" w14:textId="77777777" w:rsidR="00BD7B59" w:rsidRPr="00BA4471" w:rsidRDefault="00BD7B59" w:rsidP="00BA4471">
      <w:pPr>
        <w:spacing w:after="0" w:line="240" w:lineRule="auto"/>
        <w:jc w:val="both"/>
        <w:rPr>
          <w:rFonts w:ascii="Arial" w:hAnsi="Arial" w:cs="Arial"/>
          <w:sz w:val="20"/>
          <w:szCs w:val="20"/>
        </w:rPr>
      </w:pPr>
    </w:p>
    <w:p w14:paraId="7D4E6C5D" w14:textId="29CB5717" w:rsidR="00BD7B59" w:rsidRPr="00BA4471" w:rsidRDefault="00BD7B59" w:rsidP="00BA4471">
      <w:pPr>
        <w:pStyle w:val="Heading3"/>
        <w:spacing w:line="240" w:lineRule="auto"/>
        <w:rPr>
          <w:rFonts w:cs="Arial"/>
        </w:rPr>
      </w:pPr>
      <w:r w:rsidRPr="00BA4471">
        <w:rPr>
          <w:rFonts w:cs="Arial"/>
        </w:rPr>
        <w:lastRenderedPageBreak/>
        <w:t xml:space="preserve">2.6.3 Breeding </w:t>
      </w:r>
      <w:r w:rsidR="0085766A">
        <w:rPr>
          <w:rFonts w:cs="Arial"/>
        </w:rPr>
        <w:t>Behaviour</w:t>
      </w:r>
      <w:r w:rsidRPr="00BA4471">
        <w:rPr>
          <w:rFonts w:cs="Arial"/>
        </w:rPr>
        <w:t xml:space="preserve"> Assessment</w:t>
      </w:r>
    </w:p>
    <w:p w14:paraId="44A03A00" w14:textId="22AD9641"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Bulls aged more than 18 months (n=70) were assessed for sexual </w:t>
      </w:r>
      <w:r w:rsidR="0085766A">
        <w:rPr>
          <w:rFonts w:ascii="Arial" w:hAnsi="Arial" w:cs="Arial"/>
          <w:sz w:val="20"/>
          <w:szCs w:val="20"/>
        </w:rPr>
        <w:t>behaviour</w:t>
      </w:r>
      <w:r w:rsidRPr="00BA4471">
        <w:rPr>
          <w:rFonts w:ascii="Arial" w:hAnsi="Arial" w:cs="Arial"/>
          <w:sz w:val="20"/>
          <w:szCs w:val="20"/>
        </w:rPr>
        <w:t xml:space="preserve"> such as libido, mounting, and sexual interest in controlled environments in response to estrous females (Rodriguez-Martinez, 2018). </w:t>
      </w:r>
      <w:r w:rsidR="0085766A">
        <w:rPr>
          <w:rFonts w:ascii="Arial" w:hAnsi="Arial" w:cs="Arial"/>
          <w:sz w:val="20"/>
          <w:szCs w:val="20"/>
        </w:rPr>
        <w:t>Behaviour</w:t>
      </w:r>
      <w:r w:rsidRPr="00BA4471">
        <w:rPr>
          <w:rFonts w:ascii="Arial" w:hAnsi="Arial" w:cs="Arial"/>
          <w:sz w:val="20"/>
          <w:szCs w:val="20"/>
        </w:rPr>
        <w:t xml:space="preserve"> was rated on a scale from 1 = poor to 10 = excellent as a measurement of latency to become interested, mounting attempts, as well as sexual </w:t>
      </w:r>
      <w:r w:rsidR="0085766A">
        <w:rPr>
          <w:rFonts w:ascii="Arial" w:hAnsi="Arial" w:cs="Arial"/>
          <w:sz w:val="20"/>
          <w:szCs w:val="20"/>
        </w:rPr>
        <w:t>behaviour</w:t>
      </w:r>
      <w:r w:rsidRPr="00BA4471">
        <w:rPr>
          <w:rFonts w:ascii="Arial" w:hAnsi="Arial" w:cs="Arial"/>
          <w:sz w:val="20"/>
          <w:szCs w:val="20"/>
        </w:rPr>
        <w:t xml:space="preserve"> intensity as outlined in Santos et al. (2021).</w:t>
      </w:r>
    </w:p>
    <w:p w14:paraId="51DDE28C" w14:textId="77777777" w:rsidR="00BD7B59" w:rsidRPr="00BA4471" w:rsidRDefault="00BD7B59" w:rsidP="00BA4471">
      <w:pPr>
        <w:spacing w:after="0" w:line="240" w:lineRule="auto"/>
        <w:jc w:val="both"/>
        <w:rPr>
          <w:rFonts w:ascii="Arial" w:hAnsi="Arial" w:cs="Arial"/>
          <w:sz w:val="20"/>
          <w:szCs w:val="20"/>
        </w:rPr>
      </w:pPr>
    </w:p>
    <w:p w14:paraId="4848F8D0" w14:textId="77777777" w:rsidR="00BD7B59" w:rsidRPr="00BA4471" w:rsidRDefault="00BD7B59" w:rsidP="00BA4471">
      <w:pPr>
        <w:pStyle w:val="Heading2"/>
        <w:spacing w:line="240" w:lineRule="auto"/>
        <w:rPr>
          <w:rFonts w:cs="Arial"/>
        </w:rPr>
      </w:pPr>
      <w:r w:rsidRPr="00BA4471">
        <w:rPr>
          <w:rFonts w:cs="Arial"/>
        </w:rPr>
        <w:t>2.7 Blood Sample Collection and Processing</w:t>
      </w:r>
    </w:p>
    <w:p w14:paraId="327E293E"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Blood samples (15 mL) from the jugular vein were taken using sterile 18-gauge vacutainer tubes with no added anticoagulant, using standardized procedures to maintain sample quality and minimize stress (Prakash et al., 2021). Samples were obtained between 0800–1000 h to reduce circadian rhythm variation in hormone levels, as suggested by Walsh et al. (2019). Bulls were properly restrained in standard cattle restraining facilities, with collection done under experienced veterinary hands, to maintain animal welfare and sample integrity.</w:t>
      </w:r>
    </w:p>
    <w:p w14:paraId="2D00F5A8" w14:textId="77777777" w:rsidR="00BD7B59" w:rsidRPr="00BA4471" w:rsidRDefault="00BD7B59" w:rsidP="00BA4471">
      <w:pPr>
        <w:spacing w:after="0" w:line="240" w:lineRule="auto"/>
        <w:jc w:val="both"/>
        <w:rPr>
          <w:rFonts w:ascii="Arial" w:hAnsi="Arial" w:cs="Arial"/>
          <w:sz w:val="20"/>
          <w:szCs w:val="20"/>
        </w:rPr>
      </w:pPr>
    </w:p>
    <w:p w14:paraId="18DD0879"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Blood was allowed to clot at room temperature (25–28°C) for 45 minutes before it was taken to the laboratory in a 4°C insulated container and centrifuged at 2,500 rpm for 15 minutes for separation into serum (Santos et al., 2021). The serum samples were poured into labeled cryovials with aseptic skill and stored at –20°C until hormone analysis, with all samples analyzed within 90 days from sample collection for hormone stability purposes and analytical integrity (Rodriguez-Martinez, 2018).</w:t>
      </w:r>
    </w:p>
    <w:p w14:paraId="729AC6A5" w14:textId="77777777" w:rsidR="00BD7B59" w:rsidRPr="00BA4471" w:rsidRDefault="00BD7B59" w:rsidP="00BA4471">
      <w:pPr>
        <w:spacing w:after="0" w:line="240" w:lineRule="auto"/>
        <w:jc w:val="both"/>
        <w:rPr>
          <w:rFonts w:ascii="Arial" w:hAnsi="Arial" w:cs="Arial"/>
          <w:sz w:val="20"/>
          <w:szCs w:val="20"/>
        </w:rPr>
      </w:pPr>
    </w:p>
    <w:p w14:paraId="36C3AD17" w14:textId="77777777" w:rsidR="00BD7B59" w:rsidRPr="00BA4471" w:rsidRDefault="00BD7B59" w:rsidP="00BA4471">
      <w:pPr>
        <w:pStyle w:val="Heading2"/>
        <w:spacing w:line="240" w:lineRule="auto"/>
        <w:rPr>
          <w:rFonts w:cs="Arial"/>
        </w:rPr>
      </w:pPr>
      <w:r w:rsidRPr="00BA4471">
        <w:rPr>
          <w:rFonts w:cs="Arial"/>
        </w:rPr>
        <w:t>2.8 Hormone Analysis Procedures</w:t>
      </w:r>
    </w:p>
    <w:p w14:paraId="0BD41CA8"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Testosterone and oestradiol levels were analyzed using established commercial enzyme immunoassay (EIA) kits (DRG International Inc., Springfield, NJ, USA) with protocols well-established and validated for use on bovine samples (Prakash et al., 2021). Assay validation entailed standard curve linearity verification, recovery studies, measurement of precision, and cross-reactivity testing as detailed in previous bovine reproductive hormone validations (Walsh et al., 2019).</w:t>
      </w:r>
    </w:p>
    <w:p w14:paraId="635C0F94" w14:textId="77777777" w:rsidR="00BD7B59" w:rsidRPr="00BA4471" w:rsidRDefault="00BD7B59" w:rsidP="00BA4471">
      <w:pPr>
        <w:spacing w:after="0" w:line="240" w:lineRule="auto"/>
        <w:jc w:val="both"/>
        <w:rPr>
          <w:rFonts w:ascii="Arial" w:hAnsi="Arial" w:cs="Arial"/>
          <w:sz w:val="20"/>
          <w:szCs w:val="20"/>
        </w:rPr>
      </w:pPr>
    </w:p>
    <w:p w14:paraId="5DCE8398" w14:textId="77777777" w:rsidR="00BD7B59" w:rsidRPr="00BA4471" w:rsidRDefault="00BD7B59" w:rsidP="00BA4471">
      <w:pPr>
        <w:pStyle w:val="Heading3"/>
        <w:spacing w:line="240" w:lineRule="auto"/>
        <w:rPr>
          <w:rFonts w:cs="Arial"/>
        </w:rPr>
      </w:pPr>
      <w:r w:rsidRPr="00BA4471">
        <w:rPr>
          <w:rFonts w:cs="Arial"/>
        </w:rPr>
        <w:t>2.8.1 Testosterone Assay Protocol</w:t>
      </w:r>
    </w:p>
    <w:p w14:paraId="569B4E76"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The testosterone EIA applied competitive binding concepts with horseradish-peroxidase labeled testosterone competing with sample testosterone for binding with anti-testosterone antibodies immobilized on microtiter plates (Santos et al., 2021). Its detection range was 0.1–25.0 ng/mL with intra-assay coefficient of variation (CV) of 6.8% as well as 9.3% for inter-assay CV, fulfilling set standards for analytical accuracy in reproductive hormone analysis (Prakash et al., 2021).</w:t>
      </w:r>
    </w:p>
    <w:p w14:paraId="1F1DE274" w14:textId="77777777" w:rsidR="00BD7B59" w:rsidRPr="00BA4471" w:rsidRDefault="00BD7B59" w:rsidP="00BA4471">
      <w:pPr>
        <w:spacing w:after="0" w:line="240" w:lineRule="auto"/>
        <w:jc w:val="both"/>
        <w:rPr>
          <w:rFonts w:ascii="Arial" w:hAnsi="Arial" w:cs="Arial"/>
          <w:sz w:val="20"/>
          <w:szCs w:val="20"/>
        </w:rPr>
      </w:pPr>
    </w:p>
    <w:p w14:paraId="588550F5" w14:textId="77777777" w:rsidR="00BD7B59" w:rsidRPr="00BA4471" w:rsidRDefault="00BD7B59" w:rsidP="00BA4471">
      <w:pPr>
        <w:pStyle w:val="Heading3"/>
        <w:spacing w:line="240" w:lineRule="auto"/>
        <w:rPr>
          <w:rFonts w:cs="Arial"/>
        </w:rPr>
      </w:pPr>
      <w:r w:rsidRPr="00BA4471">
        <w:rPr>
          <w:rFonts w:cs="Arial"/>
        </w:rPr>
        <w:t>2.8.2 Oestradiol Assay Protocol</w:t>
      </w:r>
    </w:p>
    <w:p w14:paraId="0D7FB886"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The oestradiol EIA utilized similar competitive binding method with a detection range of 5–500 pg/mL, an intra-assay CV of 7.2%, and an inter-assay CV of 10.1% (Rodriguez-Martinez, 2018). Both assays had minimal cross-reactivity with steroid hormones (less than 2%), as required for ensuring specificity for the target hormones. Sensitivity cut-off levels were 0.1 ng/mL for testosterone and 5.0 pg/mL for oestradiol, ensuring proper detection levels at physiological levels in dairy bulls (Walsh et al., 2019).</w:t>
      </w:r>
    </w:p>
    <w:p w14:paraId="77D6A745" w14:textId="77777777" w:rsidR="00BD7B59" w:rsidRPr="00BA4471" w:rsidRDefault="00BD7B59" w:rsidP="00BA4471">
      <w:pPr>
        <w:spacing w:after="0" w:line="240" w:lineRule="auto"/>
        <w:jc w:val="both"/>
        <w:rPr>
          <w:rFonts w:ascii="Arial" w:hAnsi="Arial" w:cs="Arial"/>
          <w:sz w:val="20"/>
          <w:szCs w:val="20"/>
        </w:rPr>
      </w:pPr>
    </w:p>
    <w:p w14:paraId="00DC03EC" w14:textId="77777777" w:rsidR="00BD7B59" w:rsidRPr="00BA4471" w:rsidRDefault="00BD7B59" w:rsidP="00BA4471">
      <w:pPr>
        <w:pStyle w:val="Heading3"/>
        <w:spacing w:line="240" w:lineRule="auto"/>
        <w:rPr>
          <w:rFonts w:cs="Arial"/>
        </w:rPr>
      </w:pPr>
      <w:r w:rsidRPr="00BA4471">
        <w:rPr>
          <w:rFonts w:cs="Arial"/>
        </w:rPr>
        <w:t>2.8.3 Quality Control and Validation</w:t>
      </w:r>
    </w:p>
    <w:p w14:paraId="138F1FF9"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All samples were evaluated in duplicate, with mean values being utilized for statistical purposes if CV between dupes was &lt;10% (Prakash et al., 2021). Duplicate quality control samples containing known hormone levels (low, medium, high pools) were included in every analytical run for monitoring analytical performance as well as ensuring between-analytical session consistency (Santos et al., 2021). Recovery studies proved 95–105% recovery for both hormones over the physiological range, ensuring bovine sample assay accuracy.</w:t>
      </w:r>
    </w:p>
    <w:p w14:paraId="74CA3F83" w14:textId="77777777" w:rsidR="00BD7B59" w:rsidRPr="00BA4471" w:rsidRDefault="00BD7B59" w:rsidP="00BA4471">
      <w:pPr>
        <w:spacing w:after="0" w:line="240" w:lineRule="auto"/>
        <w:jc w:val="both"/>
        <w:rPr>
          <w:rFonts w:ascii="Arial" w:hAnsi="Arial" w:cs="Arial"/>
          <w:sz w:val="20"/>
          <w:szCs w:val="20"/>
        </w:rPr>
      </w:pPr>
    </w:p>
    <w:p w14:paraId="0DF388CE" w14:textId="77777777" w:rsidR="00BD7B59" w:rsidRPr="00BA4471" w:rsidRDefault="00BD7B59" w:rsidP="00BA4471">
      <w:pPr>
        <w:pStyle w:val="Heading2"/>
        <w:spacing w:line="240" w:lineRule="auto"/>
        <w:rPr>
          <w:rFonts w:cs="Arial"/>
        </w:rPr>
      </w:pPr>
      <w:r w:rsidRPr="00BA4471">
        <w:rPr>
          <w:rFonts w:cs="Arial"/>
        </w:rPr>
        <w:t>2.9 Breeding Performance Evaluation</w:t>
      </w:r>
    </w:p>
    <w:p w14:paraId="52D3FA9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Among bulls ≥2 years for natural breeding (n=68), there were reproductive performance data collected, including conception rates, services per conception, and measures of breeding efficiency (Rodriguez-Martinez, 2018). Conception rates were determined as a percent of confirmed pregnancy divided by total services from pregnancy diagnosis via rectal palpation or ultrasonography within 45–60 days following breeding (Kastelic, 2019).</w:t>
      </w:r>
    </w:p>
    <w:p w14:paraId="29422038" w14:textId="77777777" w:rsidR="00BD7B59" w:rsidRPr="00BA4471" w:rsidRDefault="00BD7B59" w:rsidP="00BA4471">
      <w:pPr>
        <w:spacing w:after="0" w:line="240" w:lineRule="auto"/>
        <w:jc w:val="both"/>
        <w:rPr>
          <w:rFonts w:ascii="Arial" w:hAnsi="Arial" w:cs="Arial"/>
          <w:sz w:val="20"/>
          <w:szCs w:val="20"/>
        </w:rPr>
      </w:pPr>
    </w:p>
    <w:p w14:paraId="68DACD3F" w14:textId="177E238F"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lastRenderedPageBreak/>
        <w:t xml:space="preserve">Services per conception were determined as total breeding services divided between confirmed pregnancies for a given bull over a 12-month observation (Santos et al., 2021). Breeding efficiency was evaluated using direct observation of natural mating </w:t>
      </w:r>
      <w:r w:rsidR="0085766A">
        <w:rPr>
          <w:rFonts w:ascii="Arial" w:hAnsi="Arial" w:cs="Arial"/>
          <w:sz w:val="20"/>
          <w:szCs w:val="20"/>
        </w:rPr>
        <w:t>behaviour</w:t>
      </w:r>
      <w:r w:rsidRPr="00BA4471">
        <w:rPr>
          <w:rFonts w:ascii="Arial" w:hAnsi="Arial" w:cs="Arial"/>
          <w:sz w:val="20"/>
          <w:szCs w:val="20"/>
        </w:rPr>
        <w:t>, as well as mating rates under field conditions characteristic of tropical dairy systems (Palmer et al., 2020).</w:t>
      </w:r>
    </w:p>
    <w:p w14:paraId="2D00DFFA" w14:textId="77777777" w:rsidR="00BD7B59" w:rsidRPr="00BA4471" w:rsidRDefault="00BD7B59" w:rsidP="00BA4471">
      <w:pPr>
        <w:spacing w:after="0" w:line="240" w:lineRule="auto"/>
        <w:jc w:val="both"/>
        <w:rPr>
          <w:rFonts w:ascii="Arial" w:hAnsi="Arial" w:cs="Arial"/>
          <w:sz w:val="20"/>
          <w:szCs w:val="20"/>
        </w:rPr>
      </w:pPr>
    </w:p>
    <w:p w14:paraId="159D377D" w14:textId="77777777" w:rsidR="00BD7B59" w:rsidRPr="00BA4471" w:rsidRDefault="00BD7B59" w:rsidP="00BA4471">
      <w:pPr>
        <w:pStyle w:val="Heading2"/>
        <w:spacing w:line="240" w:lineRule="auto"/>
        <w:rPr>
          <w:rFonts w:cs="Arial"/>
        </w:rPr>
      </w:pPr>
      <w:r w:rsidRPr="00BA4471">
        <w:rPr>
          <w:rFonts w:cs="Arial"/>
        </w:rPr>
        <w:t>2.10 Environmental and Management Data Collection</w:t>
      </w:r>
    </w:p>
    <w:p w14:paraId="4B667CB1"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Environmental conditions such as ambient temperature, humidity, as well as rain, were monitored for the duration of the study from data provided by the Ghana Meteorological Agency (2020). Feeding schedules, housing systems, as well as farm and health management protocols, were recorded in order to establish potential effects on hormone levels and facilitate an accurate interpretation of findings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w:t>
      </w:r>
      <w:proofErr w:type="spellStart"/>
      <w:r w:rsidRPr="00BA4471">
        <w:rPr>
          <w:rFonts w:ascii="Arial" w:hAnsi="Arial" w:cs="Arial"/>
          <w:sz w:val="20"/>
          <w:szCs w:val="20"/>
        </w:rPr>
        <w:t>Scaramuzzi</w:t>
      </w:r>
      <w:proofErr w:type="spellEnd"/>
      <w:r w:rsidRPr="00BA4471">
        <w:rPr>
          <w:rFonts w:ascii="Arial" w:hAnsi="Arial" w:cs="Arial"/>
          <w:sz w:val="20"/>
          <w:szCs w:val="20"/>
        </w:rPr>
        <w:t>, 2003).</w:t>
      </w:r>
    </w:p>
    <w:p w14:paraId="35CA7AAD" w14:textId="77777777" w:rsidR="00BD7B59" w:rsidRPr="00BA4471" w:rsidRDefault="00BD7B59" w:rsidP="00BA4471">
      <w:pPr>
        <w:spacing w:after="0" w:line="240" w:lineRule="auto"/>
        <w:jc w:val="both"/>
        <w:rPr>
          <w:rFonts w:ascii="Arial" w:hAnsi="Arial" w:cs="Arial"/>
          <w:sz w:val="20"/>
          <w:szCs w:val="20"/>
        </w:rPr>
      </w:pPr>
    </w:p>
    <w:p w14:paraId="33D119A9" w14:textId="77777777" w:rsidR="00BD7B59" w:rsidRPr="00BA4471" w:rsidRDefault="00BD7B59" w:rsidP="00BA4471">
      <w:pPr>
        <w:pStyle w:val="Heading2"/>
        <w:spacing w:line="240" w:lineRule="auto"/>
        <w:rPr>
          <w:rFonts w:cs="Arial"/>
        </w:rPr>
      </w:pPr>
      <w:r w:rsidRPr="00BA4471">
        <w:rPr>
          <w:rFonts w:cs="Arial"/>
        </w:rPr>
        <w:t>2.11 Statistical Analysis</w:t>
      </w:r>
    </w:p>
    <w:p w14:paraId="77D247ED"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Statistical analyses were conducted with IBM SPSS Statistics version 28.0 (IBM Corporation, Armonk, NY, USA) using a significance level of P &lt; .05 for all tests (Santos et al., 2021). Normality was checked for all data using Shapiro-Wilk tests, with log transformation required for any non-normal data in order to fulfill parametric test requirements (Walsh et al., 2019).</w:t>
      </w:r>
    </w:p>
    <w:p w14:paraId="591E3FA4" w14:textId="77777777" w:rsidR="00BD7B59" w:rsidRPr="00BA4471" w:rsidRDefault="00BD7B59" w:rsidP="00BA4471">
      <w:pPr>
        <w:spacing w:after="0" w:line="240" w:lineRule="auto"/>
        <w:jc w:val="both"/>
        <w:rPr>
          <w:rFonts w:ascii="Arial" w:hAnsi="Arial" w:cs="Arial"/>
          <w:sz w:val="20"/>
          <w:szCs w:val="20"/>
        </w:rPr>
      </w:pPr>
    </w:p>
    <w:p w14:paraId="787C49D2"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Relative levels of hormones were compared between age groups via one-way analysis of variance (ANOVA) with Tukey's honest significant difference (HSD) post-hoc analysis for comparisons between age groups (Prakash et al., 2021). Breed differences were investigated using two-way ANOVA with age and breed as factors, as well as testing for age × breed interactions (Rodriguez-Martinez, 2018).</w:t>
      </w:r>
    </w:p>
    <w:p w14:paraId="5328F5EC" w14:textId="77777777" w:rsidR="00BD7B59" w:rsidRPr="00BA4471" w:rsidRDefault="00BD7B59" w:rsidP="00BA4471">
      <w:pPr>
        <w:spacing w:after="0" w:line="240" w:lineRule="auto"/>
        <w:jc w:val="both"/>
        <w:rPr>
          <w:rFonts w:ascii="Arial" w:hAnsi="Arial" w:cs="Arial"/>
          <w:sz w:val="20"/>
          <w:szCs w:val="20"/>
        </w:rPr>
      </w:pPr>
    </w:p>
    <w:p w14:paraId="656F49A8" w14:textId="37A28FC0"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 xml:space="preserve">Correlation analyses with Pearson correlation coefficients were undertaken between hormone levels and physical factors such as body condition score, scrotal circumference, body weight, and breeding </w:t>
      </w:r>
      <w:r w:rsidR="0085766A">
        <w:rPr>
          <w:rFonts w:ascii="Arial" w:hAnsi="Arial" w:cs="Arial"/>
          <w:sz w:val="20"/>
          <w:szCs w:val="20"/>
        </w:rPr>
        <w:t>behaviour</w:t>
      </w:r>
      <w:r w:rsidRPr="00BA4471">
        <w:rPr>
          <w:rFonts w:ascii="Arial" w:hAnsi="Arial" w:cs="Arial"/>
          <w:sz w:val="20"/>
          <w:szCs w:val="20"/>
        </w:rPr>
        <w:t xml:space="preserve"> scores (</w:t>
      </w:r>
      <w:proofErr w:type="spellStart"/>
      <w:r w:rsidRPr="00BA4471">
        <w:rPr>
          <w:rFonts w:ascii="Arial" w:hAnsi="Arial" w:cs="Arial"/>
          <w:sz w:val="20"/>
          <w:szCs w:val="20"/>
        </w:rPr>
        <w:t>Kastelic</w:t>
      </w:r>
      <w:proofErr w:type="spellEnd"/>
      <w:r w:rsidRPr="00BA4471">
        <w:rPr>
          <w:rFonts w:ascii="Arial" w:hAnsi="Arial" w:cs="Arial"/>
          <w:sz w:val="20"/>
          <w:szCs w:val="20"/>
        </w:rPr>
        <w:t>, 2019). Multiple regression analysis was undertaken to determine significant predictor factors for breeding performance as well as to establish prediction equations for practical use (Santos et al., 2021).</w:t>
      </w:r>
    </w:p>
    <w:p w14:paraId="79699396" w14:textId="77777777" w:rsidR="00BD7B59" w:rsidRPr="00BA4471" w:rsidRDefault="00BD7B59" w:rsidP="00BA4471">
      <w:pPr>
        <w:spacing w:after="0" w:line="240" w:lineRule="auto"/>
        <w:jc w:val="both"/>
        <w:rPr>
          <w:rFonts w:ascii="Arial" w:hAnsi="Arial" w:cs="Arial"/>
          <w:sz w:val="20"/>
          <w:szCs w:val="20"/>
        </w:rPr>
      </w:pPr>
    </w:p>
    <w:p w14:paraId="624FCE5C" w14:textId="77777777" w:rsidR="00BD7B59" w:rsidRPr="00BA4471" w:rsidRDefault="00BD7B59" w:rsidP="00BA4471">
      <w:pPr>
        <w:spacing w:after="0" w:line="240" w:lineRule="auto"/>
        <w:jc w:val="both"/>
        <w:rPr>
          <w:rFonts w:ascii="Arial" w:hAnsi="Arial" w:cs="Arial"/>
          <w:sz w:val="20"/>
          <w:szCs w:val="20"/>
        </w:rPr>
      </w:pPr>
      <w:r w:rsidRPr="00BA4471">
        <w:rPr>
          <w:rFonts w:ascii="Arial" w:hAnsi="Arial" w:cs="Arial"/>
          <w:sz w:val="20"/>
          <w:szCs w:val="20"/>
        </w:rPr>
        <w:t>Eta-squared (η²) was used to test practical significance for observed differences, using as a benchmark values of 0.01, 0.06, and 0.14 as indicative of small, medium, and large effects (Palmer et al., 2020). Post-hoc power analysis was performed to ensure there was sufficient statistical power to detect significant group differences.</w:t>
      </w:r>
    </w:p>
    <w:p w14:paraId="2AAC9CC7" w14:textId="77777777" w:rsidR="00BD7B59" w:rsidRPr="00BA4471" w:rsidRDefault="00BD7B59" w:rsidP="00BA4471">
      <w:pPr>
        <w:spacing w:after="0" w:line="240" w:lineRule="auto"/>
        <w:jc w:val="both"/>
        <w:rPr>
          <w:rFonts w:ascii="Arial" w:hAnsi="Arial" w:cs="Arial"/>
          <w:sz w:val="20"/>
          <w:szCs w:val="20"/>
        </w:rPr>
      </w:pPr>
    </w:p>
    <w:p w14:paraId="49E88D45" w14:textId="3B0753B6" w:rsidR="001A304E" w:rsidRDefault="00BD7B59" w:rsidP="00BA4471">
      <w:pPr>
        <w:spacing w:after="0" w:line="240" w:lineRule="auto"/>
        <w:jc w:val="both"/>
        <w:rPr>
          <w:rFonts w:ascii="Arial" w:hAnsi="Arial" w:cs="Arial"/>
          <w:sz w:val="20"/>
          <w:szCs w:val="20"/>
        </w:rPr>
      </w:pPr>
      <w:r w:rsidRPr="00BA4471">
        <w:rPr>
          <w:rFonts w:ascii="Arial" w:hAnsi="Arial" w:cs="Arial"/>
          <w:sz w:val="20"/>
          <w:szCs w:val="20"/>
        </w:rPr>
        <w:t>Results are given as mean ± standard error of the mean (SEM) unless otherwise indicated, with key findings provided with 95% confidence intervals (Walsh et al., 2019). P values are given to an appropriate number of decimal places as recommended, with P &lt; .001, P &lt; .01, and P &lt; .05 being used to indicate statistical significance levels (Santos et al., 2021).</w:t>
      </w:r>
    </w:p>
    <w:p w14:paraId="7D2C9960" w14:textId="77777777" w:rsidR="00CB55F7" w:rsidRPr="00BA4471" w:rsidRDefault="00CB55F7" w:rsidP="00BA4471">
      <w:pPr>
        <w:spacing w:after="0" w:line="240" w:lineRule="auto"/>
        <w:jc w:val="both"/>
        <w:rPr>
          <w:rFonts w:ascii="Arial" w:hAnsi="Arial" w:cs="Arial"/>
          <w:sz w:val="20"/>
          <w:szCs w:val="20"/>
        </w:rPr>
      </w:pPr>
    </w:p>
    <w:p w14:paraId="0A90EB4C" w14:textId="77777777" w:rsidR="00F0039E" w:rsidRPr="00BA4471" w:rsidRDefault="00F0039E" w:rsidP="0019402F">
      <w:pPr>
        <w:pStyle w:val="Heading1"/>
      </w:pPr>
      <w:r w:rsidRPr="00BA4471">
        <w:t>3</w:t>
      </w:r>
      <w:r w:rsidRPr="005F1ABB">
        <w:t>. RESULTS AND DISCUSSION</w:t>
      </w:r>
    </w:p>
    <w:p w14:paraId="749F69DE" w14:textId="77777777" w:rsidR="00F0039E" w:rsidRPr="00BA4471" w:rsidRDefault="00F0039E" w:rsidP="00BA4471">
      <w:pPr>
        <w:pStyle w:val="Heading2"/>
        <w:spacing w:line="240" w:lineRule="auto"/>
        <w:rPr>
          <w:rFonts w:cs="Arial"/>
        </w:rPr>
      </w:pPr>
      <w:r w:rsidRPr="00BA4471">
        <w:rPr>
          <w:rFonts w:cs="Arial"/>
        </w:rPr>
        <w:t>3.1 Population Characteristics and Physical Parameters</w:t>
      </w:r>
    </w:p>
    <w:p w14:paraId="6CF83D8E" w14:textId="617A75AB" w:rsidR="00987C7C" w:rsidRPr="00BA4471" w:rsidRDefault="00F0039E" w:rsidP="00BA4471">
      <w:pPr>
        <w:spacing w:after="0" w:line="240" w:lineRule="auto"/>
        <w:jc w:val="both"/>
        <w:rPr>
          <w:rFonts w:ascii="Arial" w:hAnsi="Arial" w:cs="Arial"/>
          <w:sz w:val="20"/>
          <w:szCs w:val="20"/>
        </w:rPr>
      </w:pPr>
      <w:r w:rsidRPr="00BA4471">
        <w:rPr>
          <w:rFonts w:ascii="Arial" w:hAnsi="Arial" w:cs="Arial"/>
          <w:sz w:val="20"/>
          <w:szCs w:val="20"/>
        </w:rPr>
        <w:t>The population under study presented representativeness in terms of age groups as well as genetic background, mirroring average Ghanaian dairy farms (Table 1). Body condition scores ranged from 2.8 ± 0.06 for 6-month-old bulls to 4.1 ± 0.13 for 7-year-old bulls, with an increasing decline to 3.6 ± 0.13 for ≥8-year bulls. Scrotal circumference appropriately increased with advancing age from 18.3 ± 0.44 cm for bulls aged 6 months to 38.7 ± 0.66 cm for mature animals, as would be expected, following testicular development norms described by Kastelic</w:t>
      </w:r>
      <w:r w:rsidR="00CA3686" w:rsidRPr="00BA4471">
        <w:rPr>
          <w:rFonts w:ascii="Arial" w:hAnsi="Arial" w:cs="Arial"/>
          <w:sz w:val="20"/>
          <w:szCs w:val="20"/>
        </w:rPr>
        <w:t xml:space="preserve"> </w:t>
      </w:r>
      <w:r w:rsidRPr="00BA4471">
        <w:rPr>
          <w:rFonts w:ascii="Arial" w:hAnsi="Arial" w:cs="Arial"/>
          <w:sz w:val="20"/>
          <w:szCs w:val="20"/>
        </w:rPr>
        <w:t>(2019) and Brito et al. (2020).</w:t>
      </w:r>
      <w:r w:rsidR="00750EE9" w:rsidRPr="00BA4471">
        <w:rPr>
          <w:rFonts w:ascii="Arial" w:hAnsi="Arial" w:cs="Arial"/>
          <w:sz w:val="20"/>
          <w:szCs w:val="20"/>
        </w:rPr>
        <w:t xml:space="preserve"> </w:t>
      </w:r>
      <w:r w:rsidR="00987C7C" w:rsidRPr="00BA4471">
        <w:rPr>
          <w:rFonts w:ascii="Arial" w:hAnsi="Arial" w:cs="Arial"/>
          <w:sz w:val="20"/>
          <w:szCs w:val="20"/>
        </w:rPr>
        <w:t>The body condition score portrayed an interesting trend with progressively rising from 5 years to peak at age 7 (4.1 ± 0.13) and thereafter reducing at ≥8 years (3.6 ± 0.13). The trend is characteristic of mature bull progression where animals gain body condition after the peak reproduction years, and thereafter degradation is observed in very old bulls possibly resulting from higher catabolism, lowered feeding efficiency or age-related issues (</w:t>
      </w:r>
      <w:r w:rsidR="00F00C31" w:rsidRPr="00BA4471">
        <w:rPr>
          <w:rFonts w:ascii="Arial" w:hAnsi="Arial" w:cs="Arial"/>
          <w:sz w:val="20"/>
          <w:szCs w:val="20"/>
        </w:rPr>
        <w:t xml:space="preserve">Rodriguez-Martinez, 2018; </w:t>
      </w:r>
      <w:r w:rsidR="00987C7C" w:rsidRPr="00BA4471">
        <w:rPr>
          <w:rFonts w:ascii="Arial" w:hAnsi="Arial" w:cs="Arial"/>
          <w:sz w:val="20"/>
          <w:szCs w:val="20"/>
        </w:rPr>
        <w:t>Santos et al., 2021).</w:t>
      </w:r>
    </w:p>
    <w:p w14:paraId="12AF5F9B" w14:textId="77777777" w:rsidR="00750EE9" w:rsidRPr="00BA4471" w:rsidRDefault="00750EE9" w:rsidP="00BA4471">
      <w:pPr>
        <w:spacing w:after="0" w:line="240" w:lineRule="auto"/>
        <w:jc w:val="both"/>
        <w:rPr>
          <w:rFonts w:ascii="Arial" w:hAnsi="Arial" w:cs="Arial"/>
          <w:sz w:val="20"/>
          <w:szCs w:val="20"/>
        </w:rPr>
      </w:pPr>
    </w:p>
    <w:p w14:paraId="52CA0ED1" w14:textId="77777777" w:rsidR="004B6D3D" w:rsidRPr="00BA4471" w:rsidRDefault="004B6D3D" w:rsidP="00BA4471">
      <w:pPr>
        <w:spacing w:line="240" w:lineRule="auto"/>
        <w:rPr>
          <w:rFonts w:ascii="Arial" w:hAnsi="Arial" w:cs="Arial"/>
          <w:b/>
          <w:bCs/>
          <w:sz w:val="20"/>
          <w:szCs w:val="20"/>
        </w:rPr>
      </w:pPr>
      <w:r w:rsidRPr="00BA4471">
        <w:rPr>
          <w:rFonts w:ascii="Arial" w:hAnsi="Arial" w:cs="Arial"/>
          <w:b/>
          <w:bCs/>
          <w:sz w:val="20"/>
          <w:szCs w:val="20"/>
        </w:rPr>
        <w:t>Table 1: Physical Population characteristics and Breeding behaviour Score</w:t>
      </w:r>
    </w:p>
    <w:tbl>
      <w:tblPr>
        <w:tblStyle w:val="TableGrid"/>
        <w:tblW w:w="90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536"/>
        <w:gridCol w:w="1501"/>
        <w:gridCol w:w="1772"/>
        <w:gridCol w:w="2191"/>
        <w:gridCol w:w="1762"/>
      </w:tblGrid>
      <w:tr w:rsidR="004B6D3D" w:rsidRPr="00BA4471" w14:paraId="6F57A33C" w14:textId="77777777" w:rsidTr="00E95FEA">
        <w:tc>
          <w:tcPr>
            <w:tcW w:w="1323" w:type="dxa"/>
            <w:tcBorders>
              <w:top w:val="single" w:sz="4" w:space="0" w:color="auto"/>
              <w:bottom w:val="single" w:sz="4" w:space="0" w:color="auto"/>
            </w:tcBorders>
            <w:vAlign w:val="center"/>
          </w:tcPr>
          <w:p w14:paraId="2CA73960" w14:textId="77777777" w:rsidR="004B6D3D" w:rsidRPr="00BA4471" w:rsidRDefault="004B6D3D" w:rsidP="00BA4471">
            <w:pPr>
              <w:ind w:left="-25" w:right="-169"/>
              <w:rPr>
                <w:rFonts w:ascii="Arial" w:hAnsi="Arial" w:cs="Arial"/>
                <w:b/>
                <w:bCs/>
                <w:sz w:val="20"/>
                <w:szCs w:val="20"/>
              </w:rPr>
            </w:pPr>
            <w:r w:rsidRPr="00BA4471">
              <w:rPr>
                <w:rFonts w:ascii="Arial" w:hAnsi="Arial" w:cs="Arial"/>
                <w:b/>
                <w:bCs/>
                <w:sz w:val="20"/>
                <w:szCs w:val="20"/>
              </w:rPr>
              <w:lastRenderedPageBreak/>
              <w:t>Age Group</w:t>
            </w:r>
          </w:p>
        </w:tc>
        <w:tc>
          <w:tcPr>
            <w:tcW w:w="536" w:type="dxa"/>
            <w:tcBorders>
              <w:top w:val="single" w:sz="4" w:space="0" w:color="auto"/>
              <w:bottom w:val="single" w:sz="4" w:space="0" w:color="auto"/>
            </w:tcBorders>
            <w:vAlign w:val="center"/>
          </w:tcPr>
          <w:p w14:paraId="2650DC5D" w14:textId="77777777" w:rsidR="004B6D3D" w:rsidRPr="00BA4471" w:rsidRDefault="004B6D3D" w:rsidP="00BA4471">
            <w:pPr>
              <w:rPr>
                <w:rFonts w:ascii="Arial" w:hAnsi="Arial" w:cs="Arial"/>
                <w:b/>
                <w:bCs/>
                <w:sz w:val="20"/>
                <w:szCs w:val="20"/>
              </w:rPr>
            </w:pPr>
            <w:r w:rsidRPr="00BA4471">
              <w:rPr>
                <w:rFonts w:ascii="Arial" w:hAnsi="Arial" w:cs="Arial"/>
                <w:b/>
                <w:bCs/>
                <w:sz w:val="20"/>
                <w:szCs w:val="20"/>
              </w:rPr>
              <w:t>n</w:t>
            </w:r>
          </w:p>
        </w:tc>
        <w:tc>
          <w:tcPr>
            <w:tcW w:w="1501" w:type="dxa"/>
            <w:tcBorders>
              <w:top w:val="single" w:sz="4" w:space="0" w:color="auto"/>
              <w:bottom w:val="single" w:sz="4" w:space="0" w:color="auto"/>
            </w:tcBorders>
            <w:vAlign w:val="center"/>
          </w:tcPr>
          <w:p w14:paraId="07229004" w14:textId="77777777" w:rsidR="004B6D3D" w:rsidRPr="00BA4471" w:rsidRDefault="004B6D3D" w:rsidP="00BA4471">
            <w:pPr>
              <w:ind w:right="-110"/>
              <w:rPr>
                <w:rFonts w:ascii="Arial" w:hAnsi="Arial" w:cs="Arial"/>
                <w:b/>
                <w:bCs/>
                <w:sz w:val="20"/>
                <w:szCs w:val="20"/>
              </w:rPr>
            </w:pPr>
            <w:r w:rsidRPr="00BA4471">
              <w:rPr>
                <w:rFonts w:ascii="Arial" w:hAnsi="Arial" w:cs="Arial"/>
                <w:b/>
                <w:bCs/>
                <w:sz w:val="20"/>
                <w:szCs w:val="20"/>
              </w:rPr>
              <w:t>Body Weight (kg)</w:t>
            </w:r>
          </w:p>
        </w:tc>
        <w:tc>
          <w:tcPr>
            <w:tcW w:w="1772" w:type="dxa"/>
            <w:tcBorders>
              <w:top w:val="single" w:sz="4" w:space="0" w:color="auto"/>
              <w:bottom w:val="single" w:sz="4" w:space="0" w:color="auto"/>
            </w:tcBorders>
            <w:vAlign w:val="center"/>
          </w:tcPr>
          <w:p w14:paraId="53FB8DB8" w14:textId="77777777" w:rsidR="004B6D3D" w:rsidRPr="00BA4471" w:rsidRDefault="004B6D3D" w:rsidP="00BA4471">
            <w:pPr>
              <w:ind w:right="-103"/>
              <w:rPr>
                <w:rFonts w:ascii="Arial" w:hAnsi="Arial" w:cs="Arial"/>
                <w:b/>
                <w:bCs/>
                <w:sz w:val="20"/>
                <w:szCs w:val="20"/>
              </w:rPr>
            </w:pPr>
            <w:r w:rsidRPr="00BA4471">
              <w:rPr>
                <w:rFonts w:ascii="Arial" w:hAnsi="Arial" w:cs="Arial"/>
                <w:b/>
                <w:bCs/>
                <w:sz w:val="20"/>
                <w:szCs w:val="20"/>
              </w:rPr>
              <w:t>Body Condition Score</w:t>
            </w:r>
          </w:p>
        </w:tc>
        <w:tc>
          <w:tcPr>
            <w:tcW w:w="2191" w:type="dxa"/>
            <w:tcBorders>
              <w:top w:val="single" w:sz="4" w:space="0" w:color="auto"/>
              <w:bottom w:val="single" w:sz="4" w:space="0" w:color="auto"/>
            </w:tcBorders>
            <w:vAlign w:val="center"/>
          </w:tcPr>
          <w:p w14:paraId="7478A262" w14:textId="77777777" w:rsidR="004B6D3D" w:rsidRPr="00BA4471" w:rsidRDefault="004B6D3D" w:rsidP="00BA4471">
            <w:pPr>
              <w:tabs>
                <w:tab w:val="left" w:pos="1728"/>
              </w:tabs>
              <w:ind w:left="-24" w:right="-109"/>
              <w:rPr>
                <w:rFonts w:ascii="Arial" w:hAnsi="Arial" w:cs="Arial"/>
                <w:b/>
                <w:bCs/>
                <w:sz w:val="20"/>
                <w:szCs w:val="20"/>
              </w:rPr>
            </w:pPr>
            <w:r w:rsidRPr="00BA4471">
              <w:rPr>
                <w:rFonts w:ascii="Arial" w:hAnsi="Arial" w:cs="Arial"/>
                <w:b/>
                <w:bCs/>
                <w:sz w:val="20"/>
                <w:szCs w:val="20"/>
              </w:rPr>
              <w:t>Scrotal Circumference (cm)</w:t>
            </w:r>
          </w:p>
        </w:tc>
        <w:tc>
          <w:tcPr>
            <w:tcW w:w="1762" w:type="dxa"/>
            <w:tcBorders>
              <w:top w:val="single" w:sz="4" w:space="0" w:color="auto"/>
              <w:bottom w:val="single" w:sz="4" w:space="0" w:color="auto"/>
            </w:tcBorders>
            <w:vAlign w:val="center"/>
          </w:tcPr>
          <w:p w14:paraId="52FA81F0" w14:textId="0AA13611" w:rsidR="004B6D3D" w:rsidRPr="00BA4471" w:rsidRDefault="004B6D3D" w:rsidP="00BA4471">
            <w:pPr>
              <w:ind w:left="-51" w:right="-101"/>
              <w:rPr>
                <w:rFonts w:ascii="Arial" w:hAnsi="Arial" w:cs="Arial"/>
                <w:b/>
                <w:bCs/>
                <w:sz w:val="20"/>
                <w:szCs w:val="20"/>
              </w:rPr>
            </w:pPr>
            <w:r w:rsidRPr="00BA4471">
              <w:rPr>
                <w:rFonts w:ascii="Arial" w:hAnsi="Arial" w:cs="Arial"/>
                <w:b/>
                <w:bCs/>
                <w:sz w:val="20"/>
                <w:szCs w:val="20"/>
              </w:rPr>
              <w:t xml:space="preserve">Breeding </w:t>
            </w:r>
            <w:r w:rsidR="0085766A">
              <w:rPr>
                <w:rFonts w:ascii="Arial" w:hAnsi="Arial" w:cs="Arial"/>
                <w:b/>
                <w:bCs/>
                <w:sz w:val="20"/>
                <w:szCs w:val="20"/>
              </w:rPr>
              <w:t>Behaviour</w:t>
            </w:r>
            <w:r w:rsidRPr="00BA4471">
              <w:rPr>
                <w:rFonts w:ascii="Arial" w:hAnsi="Arial" w:cs="Arial"/>
                <w:b/>
                <w:bCs/>
                <w:sz w:val="20"/>
                <w:szCs w:val="20"/>
              </w:rPr>
              <w:t xml:space="preserve"> Score*</w:t>
            </w:r>
          </w:p>
        </w:tc>
      </w:tr>
      <w:tr w:rsidR="004B6D3D" w:rsidRPr="00BA4471" w14:paraId="7A2FE829" w14:textId="77777777" w:rsidTr="00E95FEA">
        <w:tc>
          <w:tcPr>
            <w:tcW w:w="1323" w:type="dxa"/>
            <w:tcBorders>
              <w:top w:val="single" w:sz="4" w:space="0" w:color="auto"/>
            </w:tcBorders>
            <w:vAlign w:val="center"/>
          </w:tcPr>
          <w:p w14:paraId="101E26D7" w14:textId="77777777" w:rsidR="004B6D3D" w:rsidRPr="00BA4471" w:rsidRDefault="004B6D3D" w:rsidP="00BA4471">
            <w:pPr>
              <w:rPr>
                <w:rFonts w:ascii="Arial" w:hAnsi="Arial" w:cs="Arial"/>
                <w:b/>
                <w:bCs/>
                <w:sz w:val="20"/>
                <w:szCs w:val="20"/>
              </w:rPr>
            </w:pPr>
            <w:r w:rsidRPr="00BA4471">
              <w:rPr>
                <w:rFonts w:ascii="Arial" w:hAnsi="Arial" w:cs="Arial"/>
                <w:sz w:val="20"/>
                <w:szCs w:val="20"/>
              </w:rPr>
              <w:t>6 months</w:t>
            </w:r>
          </w:p>
        </w:tc>
        <w:tc>
          <w:tcPr>
            <w:tcW w:w="536" w:type="dxa"/>
            <w:tcBorders>
              <w:top w:val="single" w:sz="4" w:space="0" w:color="auto"/>
            </w:tcBorders>
            <w:vAlign w:val="center"/>
          </w:tcPr>
          <w:p w14:paraId="6FC4CB43"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tcBorders>
              <w:top w:val="single" w:sz="4" w:space="0" w:color="auto"/>
            </w:tcBorders>
            <w:vAlign w:val="center"/>
          </w:tcPr>
          <w:p w14:paraId="6BB6BC47" w14:textId="4915C5DB" w:rsidR="004B6D3D" w:rsidRPr="00BA4471" w:rsidRDefault="004B6D3D" w:rsidP="00BA4471">
            <w:pPr>
              <w:rPr>
                <w:rFonts w:ascii="Arial" w:hAnsi="Arial" w:cs="Arial"/>
                <w:b/>
                <w:bCs/>
                <w:sz w:val="20"/>
                <w:szCs w:val="20"/>
              </w:rPr>
            </w:pPr>
            <w:r w:rsidRPr="00BA4471">
              <w:rPr>
                <w:rFonts w:ascii="Arial" w:hAnsi="Arial" w:cs="Arial"/>
                <w:sz w:val="20"/>
                <w:szCs w:val="20"/>
              </w:rPr>
              <w:t>145 ± 5.7</w:t>
            </w:r>
            <w:r w:rsidR="006C6C53" w:rsidRPr="00BA4471">
              <w:rPr>
                <w:rFonts w:ascii="Arial" w:hAnsi="Arial" w:cs="Arial"/>
                <w:sz w:val="20"/>
                <w:szCs w:val="20"/>
                <w:vertAlign w:val="superscript"/>
              </w:rPr>
              <w:t>a</w:t>
            </w:r>
          </w:p>
        </w:tc>
        <w:tc>
          <w:tcPr>
            <w:tcW w:w="1772" w:type="dxa"/>
            <w:tcBorders>
              <w:top w:val="single" w:sz="4" w:space="0" w:color="auto"/>
            </w:tcBorders>
            <w:vAlign w:val="center"/>
          </w:tcPr>
          <w:p w14:paraId="5C61E235" w14:textId="5ABE2F01" w:rsidR="004B6D3D" w:rsidRPr="00BA4471" w:rsidRDefault="004B6D3D" w:rsidP="00BA4471">
            <w:pPr>
              <w:rPr>
                <w:rFonts w:ascii="Arial" w:hAnsi="Arial" w:cs="Arial"/>
                <w:sz w:val="20"/>
                <w:szCs w:val="20"/>
              </w:rPr>
            </w:pPr>
            <w:r w:rsidRPr="00BA4471">
              <w:rPr>
                <w:rFonts w:ascii="Arial" w:hAnsi="Arial" w:cs="Arial"/>
                <w:sz w:val="20"/>
                <w:szCs w:val="20"/>
              </w:rPr>
              <w:t>2.8 ± 0.06</w:t>
            </w:r>
            <w:r w:rsidR="00DC313C" w:rsidRPr="00BA4471">
              <w:rPr>
                <w:rFonts w:ascii="Arial" w:hAnsi="Arial" w:cs="Arial"/>
                <w:sz w:val="20"/>
                <w:szCs w:val="20"/>
                <w:vertAlign w:val="superscript"/>
              </w:rPr>
              <w:t>a</w:t>
            </w:r>
          </w:p>
        </w:tc>
        <w:tc>
          <w:tcPr>
            <w:tcW w:w="2191" w:type="dxa"/>
            <w:tcBorders>
              <w:top w:val="single" w:sz="4" w:space="0" w:color="auto"/>
            </w:tcBorders>
            <w:vAlign w:val="center"/>
          </w:tcPr>
          <w:p w14:paraId="322FF32E" w14:textId="65E3644B" w:rsidR="004B6D3D" w:rsidRPr="00BA4471" w:rsidRDefault="004B6D3D" w:rsidP="00BA4471">
            <w:pPr>
              <w:rPr>
                <w:rFonts w:ascii="Arial" w:hAnsi="Arial" w:cs="Arial"/>
                <w:b/>
                <w:bCs/>
                <w:sz w:val="20"/>
                <w:szCs w:val="20"/>
              </w:rPr>
            </w:pPr>
            <w:r w:rsidRPr="00BA4471">
              <w:rPr>
                <w:rFonts w:ascii="Arial" w:hAnsi="Arial" w:cs="Arial"/>
                <w:sz w:val="20"/>
                <w:szCs w:val="20"/>
              </w:rPr>
              <w:t>18.3 ± 0.44</w:t>
            </w:r>
            <w:r w:rsidR="008A57CB" w:rsidRPr="00BA4471">
              <w:rPr>
                <w:rFonts w:ascii="Arial" w:hAnsi="Arial" w:cs="Arial"/>
                <w:sz w:val="20"/>
                <w:szCs w:val="20"/>
                <w:vertAlign w:val="superscript"/>
              </w:rPr>
              <w:t>a</w:t>
            </w:r>
          </w:p>
        </w:tc>
        <w:tc>
          <w:tcPr>
            <w:tcW w:w="1762" w:type="dxa"/>
            <w:tcBorders>
              <w:top w:val="single" w:sz="4" w:space="0" w:color="auto"/>
            </w:tcBorders>
            <w:vAlign w:val="center"/>
          </w:tcPr>
          <w:p w14:paraId="74910313" w14:textId="77777777" w:rsidR="004B6D3D" w:rsidRPr="00BA4471" w:rsidRDefault="004B6D3D" w:rsidP="00BA4471">
            <w:pPr>
              <w:rPr>
                <w:rFonts w:ascii="Arial" w:hAnsi="Arial" w:cs="Arial"/>
                <w:b/>
                <w:bCs/>
                <w:sz w:val="20"/>
                <w:szCs w:val="20"/>
              </w:rPr>
            </w:pPr>
            <w:r w:rsidRPr="00BA4471">
              <w:rPr>
                <w:rFonts w:ascii="Arial" w:hAnsi="Arial" w:cs="Arial"/>
                <w:sz w:val="20"/>
                <w:szCs w:val="20"/>
              </w:rPr>
              <w:t>-</w:t>
            </w:r>
          </w:p>
        </w:tc>
      </w:tr>
      <w:tr w:rsidR="004B6D3D" w:rsidRPr="00BA4471" w14:paraId="3A7A5D93" w14:textId="77777777" w:rsidTr="00E95FEA">
        <w:tc>
          <w:tcPr>
            <w:tcW w:w="1323" w:type="dxa"/>
            <w:vAlign w:val="center"/>
          </w:tcPr>
          <w:p w14:paraId="1AEA5B44" w14:textId="77777777" w:rsidR="004B6D3D" w:rsidRPr="00BA4471" w:rsidRDefault="004B6D3D" w:rsidP="00BA4471">
            <w:pPr>
              <w:rPr>
                <w:rFonts w:ascii="Arial" w:hAnsi="Arial" w:cs="Arial"/>
                <w:b/>
                <w:bCs/>
                <w:sz w:val="20"/>
                <w:szCs w:val="20"/>
              </w:rPr>
            </w:pPr>
            <w:r w:rsidRPr="00BA4471">
              <w:rPr>
                <w:rFonts w:ascii="Arial" w:hAnsi="Arial" w:cs="Arial"/>
                <w:sz w:val="20"/>
                <w:szCs w:val="20"/>
              </w:rPr>
              <w:t>1 year</w:t>
            </w:r>
          </w:p>
        </w:tc>
        <w:tc>
          <w:tcPr>
            <w:tcW w:w="536" w:type="dxa"/>
            <w:vAlign w:val="center"/>
          </w:tcPr>
          <w:p w14:paraId="2BBC089C"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67A31865" w14:textId="069259EF" w:rsidR="004B6D3D" w:rsidRPr="00BA4471" w:rsidRDefault="004B6D3D" w:rsidP="00BA4471">
            <w:pPr>
              <w:rPr>
                <w:rFonts w:ascii="Arial" w:hAnsi="Arial" w:cs="Arial"/>
                <w:b/>
                <w:bCs/>
                <w:sz w:val="20"/>
                <w:szCs w:val="20"/>
              </w:rPr>
            </w:pPr>
            <w:r w:rsidRPr="00BA4471">
              <w:rPr>
                <w:rFonts w:ascii="Arial" w:hAnsi="Arial" w:cs="Arial"/>
                <w:sz w:val="20"/>
                <w:szCs w:val="20"/>
              </w:rPr>
              <w:t>225 ± 7.6</w:t>
            </w:r>
            <w:r w:rsidR="006C6C53" w:rsidRPr="00BA4471">
              <w:rPr>
                <w:rFonts w:ascii="Arial" w:hAnsi="Arial" w:cs="Arial"/>
                <w:sz w:val="20"/>
                <w:szCs w:val="20"/>
                <w:vertAlign w:val="superscript"/>
              </w:rPr>
              <w:t>b</w:t>
            </w:r>
          </w:p>
        </w:tc>
        <w:tc>
          <w:tcPr>
            <w:tcW w:w="1772" w:type="dxa"/>
            <w:vAlign w:val="center"/>
          </w:tcPr>
          <w:p w14:paraId="76EBBEB8" w14:textId="4FA5F0B4" w:rsidR="004B6D3D" w:rsidRPr="00BA4471" w:rsidRDefault="004B6D3D" w:rsidP="00BA4471">
            <w:pPr>
              <w:rPr>
                <w:rFonts w:ascii="Arial" w:hAnsi="Arial" w:cs="Arial"/>
                <w:sz w:val="20"/>
                <w:szCs w:val="20"/>
              </w:rPr>
            </w:pPr>
            <w:r w:rsidRPr="00BA4471">
              <w:rPr>
                <w:rFonts w:ascii="Arial" w:hAnsi="Arial" w:cs="Arial"/>
                <w:sz w:val="20"/>
                <w:szCs w:val="20"/>
              </w:rPr>
              <w:t>3.0 ± 0.06</w:t>
            </w:r>
            <w:r w:rsidR="00DC313C" w:rsidRPr="00BA4471">
              <w:rPr>
                <w:rFonts w:ascii="Arial" w:hAnsi="Arial" w:cs="Arial"/>
                <w:sz w:val="20"/>
                <w:szCs w:val="20"/>
                <w:vertAlign w:val="superscript"/>
              </w:rPr>
              <w:t>ab</w:t>
            </w:r>
          </w:p>
        </w:tc>
        <w:tc>
          <w:tcPr>
            <w:tcW w:w="2191" w:type="dxa"/>
            <w:vAlign w:val="center"/>
          </w:tcPr>
          <w:p w14:paraId="4D00857D" w14:textId="06FBEA1A" w:rsidR="004B6D3D" w:rsidRPr="00BA4471" w:rsidRDefault="004B6D3D" w:rsidP="00BA4471">
            <w:pPr>
              <w:rPr>
                <w:rFonts w:ascii="Arial" w:hAnsi="Arial" w:cs="Arial"/>
                <w:b/>
                <w:bCs/>
                <w:sz w:val="20"/>
                <w:szCs w:val="20"/>
              </w:rPr>
            </w:pPr>
            <w:r w:rsidRPr="00BA4471">
              <w:rPr>
                <w:rFonts w:ascii="Arial" w:hAnsi="Arial" w:cs="Arial"/>
                <w:sz w:val="20"/>
                <w:szCs w:val="20"/>
              </w:rPr>
              <w:t>24.6 ± 0.57</w:t>
            </w:r>
            <w:r w:rsidR="008A57CB" w:rsidRPr="00BA4471">
              <w:rPr>
                <w:rFonts w:ascii="Arial" w:hAnsi="Arial" w:cs="Arial"/>
                <w:sz w:val="20"/>
                <w:szCs w:val="20"/>
                <w:vertAlign w:val="superscript"/>
              </w:rPr>
              <w:t>b</w:t>
            </w:r>
          </w:p>
        </w:tc>
        <w:tc>
          <w:tcPr>
            <w:tcW w:w="1762" w:type="dxa"/>
            <w:vAlign w:val="center"/>
          </w:tcPr>
          <w:p w14:paraId="280DF4F0" w14:textId="77777777" w:rsidR="004B6D3D" w:rsidRPr="00BA4471" w:rsidRDefault="004B6D3D" w:rsidP="00BA4471">
            <w:pPr>
              <w:rPr>
                <w:rFonts w:ascii="Arial" w:hAnsi="Arial" w:cs="Arial"/>
                <w:b/>
                <w:bCs/>
                <w:sz w:val="20"/>
                <w:szCs w:val="20"/>
              </w:rPr>
            </w:pPr>
            <w:r w:rsidRPr="00BA4471">
              <w:rPr>
                <w:rFonts w:ascii="Arial" w:hAnsi="Arial" w:cs="Arial"/>
                <w:sz w:val="20"/>
                <w:szCs w:val="20"/>
              </w:rPr>
              <w:t>-</w:t>
            </w:r>
          </w:p>
        </w:tc>
      </w:tr>
      <w:tr w:rsidR="004B6D3D" w:rsidRPr="00BA4471" w14:paraId="4C6E830C" w14:textId="77777777" w:rsidTr="00E95FEA">
        <w:tc>
          <w:tcPr>
            <w:tcW w:w="1323" w:type="dxa"/>
            <w:vAlign w:val="center"/>
          </w:tcPr>
          <w:p w14:paraId="0364A7B3" w14:textId="77777777" w:rsidR="004B6D3D" w:rsidRPr="00BA4471" w:rsidRDefault="004B6D3D" w:rsidP="00BA4471">
            <w:pPr>
              <w:rPr>
                <w:rFonts w:ascii="Arial" w:hAnsi="Arial" w:cs="Arial"/>
                <w:b/>
                <w:bCs/>
                <w:sz w:val="20"/>
                <w:szCs w:val="20"/>
              </w:rPr>
            </w:pPr>
            <w:r w:rsidRPr="00BA4471">
              <w:rPr>
                <w:rFonts w:ascii="Arial" w:hAnsi="Arial" w:cs="Arial"/>
                <w:sz w:val="20"/>
                <w:szCs w:val="20"/>
              </w:rPr>
              <w:t>2 years</w:t>
            </w:r>
          </w:p>
        </w:tc>
        <w:tc>
          <w:tcPr>
            <w:tcW w:w="536" w:type="dxa"/>
            <w:vAlign w:val="center"/>
          </w:tcPr>
          <w:p w14:paraId="47822298"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6675ED45" w14:textId="44474CFF" w:rsidR="004B6D3D" w:rsidRPr="00BA4471" w:rsidRDefault="004B6D3D" w:rsidP="00BA4471">
            <w:pPr>
              <w:rPr>
                <w:rFonts w:ascii="Arial" w:hAnsi="Arial" w:cs="Arial"/>
                <w:b/>
                <w:bCs/>
                <w:sz w:val="20"/>
                <w:szCs w:val="20"/>
              </w:rPr>
            </w:pPr>
            <w:r w:rsidRPr="00BA4471">
              <w:rPr>
                <w:rFonts w:ascii="Arial" w:hAnsi="Arial" w:cs="Arial"/>
                <w:sz w:val="20"/>
                <w:szCs w:val="20"/>
              </w:rPr>
              <w:t>315 ± 9.8</w:t>
            </w:r>
            <w:r w:rsidR="006C6C53" w:rsidRPr="00BA4471">
              <w:rPr>
                <w:rFonts w:ascii="Arial" w:hAnsi="Arial" w:cs="Arial"/>
                <w:sz w:val="20"/>
                <w:szCs w:val="20"/>
                <w:vertAlign w:val="superscript"/>
              </w:rPr>
              <w:t>c</w:t>
            </w:r>
          </w:p>
        </w:tc>
        <w:tc>
          <w:tcPr>
            <w:tcW w:w="1772" w:type="dxa"/>
            <w:vAlign w:val="center"/>
          </w:tcPr>
          <w:p w14:paraId="551C57EB" w14:textId="0A3E88FF" w:rsidR="004B6D3D" w:rsidRPr="00BA4471" w:rsidRDefault="004B6D3D" w:rsidP="00BA4471">
            <w:pPr>
              <w:rPr>
                <w:rFonts w:ascii="Arial" w:hAnsi="Arial" w:cs="Arial"/>
                <w:sz w:val="20"/>
                <w:szCs w:val="20"/>
              </w:rPr>
            </w:pPr>
            <w:r w:rsidRPr="00BA4471">
              <w:rPr>
                <w:rFonts w:ascii="Arial" w:hAnsi="Arial" w:cs="Arial"/>
                <w:sz w:val="20"/>
                <w:szCs w:val="20"/>
              </w:rPr>
              <w:t>3.2 ± 0.09</w:t>
            </w:r>
            <w:r w:rsidR="00DC313C" w:rsidRPr="00BA4471">
              <w:rPr>
                <w:rFonts w:ascii="Arial" w:hAnsi="Arial" w:cs="Arial"/>
                <w:sz w:val="20"/>
                <w:szCs w:val="20"/>
                <w:vertAlign w:val="superscript"/>
              </w:rPr>
              <w:t xml:space="preserve"> </w:t>
            </w:r>
            <w:proofErr w:type="spellStart"/>
            <w:r w:rsidR="00DC313C" w:rsidRPr="00BA4471">
              <w:rPr>
                <w:rFonts w:ascii="Arial" w:hAnsi="Arial" w:cs="Arial"/>
                <w:sz w:val="20"/>
                <w:szCs w:val="20"/>
                <w:vertAlign w:val="superscript"/>
              </w:rPr>
              <w:t>bc</w:t>
            </w:r>
            <w:proofErr w:type="spellEnd"/>
          </w:p>
        </w:tc>
        <w:tc>
          <w:tcPr>
            <w:tcW w:w="2191" w:type="dxa"/>
            <w:vAlign w:val="center"/>
          </w:tcPr>
          <w:p w14:paraId="3B65A2C5" w14:textId="7440024F" w:rsidR="004B6D3D" w:rsidRPr="00BA4471" w:rsidRDefault="004B6D3D" w:rsidP="00BA4471">
            <w:pPr>
              <w:rPr>
                <w:rFonts w:ascii="Arial" w:hAnsi="Arial" w:cs="Arial"/>
                <w:b/>
                <w:bCs/>
                <w:sz w:val="20"/>
                <w:szCs w:val="20"/>
              </w:rPr>
            </w:pPr>
            <w:r w:rsidRPr="00BA4471">
              <w:rPr>
                <w:rFonts w:ascii="Arial" w:hAnsi="Arial" w:cs="Arial"/>
                <w:sz w:val="20"/>
                <w:szCs w:val="20"/>
              </w:rPr>
              <w:t>32.1 ± 0.70</w:t>
            </w:r>
            <w:r w:rsidR="008A57CB" w:rsidRPr="00BA4471">
              <w:rPr>
                <w:rFonts w:ascii="Arial" w:hAnsi="Arial" w:cs="Arial"/>
                <w:sz w:val="20"/>
                <w:szCs w:val="20"/>
                <w:vertAlign w:val="superscript"/>
              </w:rPr>
              <w:t>c</w:t>
            </w:r>
          </w:p>
        </w:tc>
        <w:tc>
          <w:tcPr>
            <w:tcW w:w="1762" w:type="dxa"/>
            <w:vAlign w:val="center"/>
          </w:tcPr>
          <w:p w14:paraId="45223596" w14:textId="1242C893" w:rsidR="004B6D3D" w:rsidRPr="00BA4471" w:rsidRDefault="004B6D3D" w:rsidP="00BA4471">
            <w:pPr>
              <w:rPr>
                <w:rFonts w:ascii="Arial" w:hAnsi="Arial" w:cs="Arial"/>
                <w:b/>
                <w:bCs/>
                <w:sz w:val="20"/>
                <w:szCs w:val="20"/>
              </w:rPr>
            </w:pPr>
            <w:r w:rsidRPr="00BA4471">
              <w:rPr>
                <w:rFonts w:ascii="Arial" w:hAnsi="Arial" w:cs="Arial"/>
                <w:sz w:val="20"/>
                <w:szCs w:val="20"/>
              </w:rPr>
              <w:t>6.2 ± 0.35</w:t>
            </w:r>
            <w:r w:rsidR="00CA3818" w:rsidRPr="00BA4471">
              <w:rPr>
                <w:rFonts w:ascii="Arial" w:hAnsi="Arial" w:cs="Arial"/>
                <w:sz w:val="20"/>
                <w:szCs w:val="20"/>
                <w:vertAlign w:val="superscript"/>
              </w:rPr>
              <w:t>a</w:t>
            </w:r>
          </w:p>
        </w:tc>
      </w:tr>
      <w:tr w:rsidR="004B6D3D" w:rsidRPr="00BA4471" w14:paraId="7BA6E29A" w14:textId="77777777" w:rsidTr="00E95FEA">
        <w:tc>
          <w:tcPr>
            <w:tcW w:w="1323" w:type="dxa"/>
            <w:vAlign w:val="center"/>
          </w:tcPr>
          <w:p w14:paraId="46A64F1B" w14:textId="77777777" w:rsidR="004B6D3D" w:rsidRPr="00BA4471" w:rsidRDefault="004B6D3D" w:rsidP="00BA4471">
            <w:pPr>
              <w:rPr>
                <w:rFonts w:ascii="Arial" w:hAnsi="Arial" w:cs="Arial"/>
                <w:b/>
                <w:bCs/>
                <w:sz w:val="20"/>
                <w:szCs w:val="20"/>
              </w:rPr>
            </w:pPr>
            <w:r w:rsidRPr="00BA4471">
              <w:rPr>
                <w:rFonts w:ascii="Arial" w:hAnsi="Arial" w:cs="Arial"/>
                <w:sz w:val="20"/>
                <w:szCs w:val="20"/>
              </w:rPr>
              <w:t>3 years</w:t>
            </w:r>
          </w:p>
        </w:tc>
        <w:tc>
          <w:tcPr>
            <w:tcW w:w="536" w:type="dxa"/>
            <w:vAlign w:val="center"/>
          </w:tcPr>
          <w:p w14:paraId="7535A04A"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25531CCA" w14:textId="0A28F278" w:rsidR="004B6D3D" w:rsidRPr="00BA4471" w:rsidRDefault="004B6D3D" w:rsidP="00BA4471">
            <w:pPr>
              <w:rPr>
                <w:rFonts w:ascii="Arial" w:hAnsi="Arial" w:cs="Arial"/>
                <w:b/>
                <w:bCs/>
                <w:sz w:val="20"/>
                <w:szCs w:val="20"/>
              </w:rPr>
            </w:pPr>
            <w:r w:rsidRPr="00BA4471">
              <w:rPr>
                <w:rFonts w:ascii="Arial" w:hAnsi="Arial" w:cs="Arial"/>
                <w:sz w:val="20"/>
                <w:szCs w:val="20"/>
              </w:rPr>
              <w:t>420 ± 12.0</w:t>
            </w:r>
            <w:r w:rsidR="006C6C53" w:rsidRPr="00BA4471">
              <w:rPr>
                <w:rFonts w:ascii="Arial" w:hAnsi="Arial" w:cs="Arial"/>
                <w:sz w:val="20"/>
                <w:szCs w:val="20"/>
                <w:vertAlign w:val="superscript"/>
              </w:rPr>
              <w:t>d</w:t>
            </w:r>
          </w:p>
        </w:tc>
        <w:tc>
          <w:tcPr>
            <w:tcW w:w="1772" w:type="dxa"/>
            <w:vAlign w:val="center"/>
          </w:tcPr>
          <w:p w14:paraId="00842610" w14:textId="2F5E901B" w:rsidR="004B6D3D" w:rsidRPr="00BA4471" w:rsidRDefault="004B6D3D" w:rsidP="00BA4471">
            <w:pPr>
              <w:rPr>
                <w:rFonts w:ascii="Arial" w:hAnsi="Arial" w:cs="Arial"/>
                <w:sz w:val="20"/>
                <w:szCs w:val="20"/>
              </w:rPr>
            </w:pPr>
            <w:r w:rsidRPr="00BA4471">
              <w:rPr>
                <w:rFonts w:ascii="Arial" w:hAnsi="Arial" w:cs="Arial"/>
                <w:sz w:val="20"/>
                <w:szCs w:val="20"/>
              </w:rPr>
              <w:t>3.3 ± 0.06</w:t>
            </w:r>
            <w:r w:rsidR="00DC313C" w:rsidRPr="00BA4471">
              <w:rPr>
                <w:rFonts w:ascii="Arial" w:hAnsi="Arial" w:cs="Arial"/>
                <w:sz w:val="20"/>
                <w:szCs w:val="20"/>
                <w:vertAlign w:val="superscript"/>
              </w:rPr>
              <w:t>c</w:t>
            </w:r>
          </w:p>
        </w:tc>
        <w:tc>
          <w:tcPr>
            <w:tcW w:w="2191" w:type="dxa"/>
            <w:vAlign w:val="center"/>
          </w:tcPr>
          <w:p w14:paraId="68B4DB86" w14:textId="273670F1" w:rsidR="004B6D3D" w:rsidRPr="00BA4471" w:rsidRDefault="004B6D3D" w:rsidP="00BA4471">
            <w:pPr>
              <w:rPr>
                <w:rFonts w:ascii="Arial" w:hAnsi="Arial" w:cs="Arial"/>
                <w:b/>
                <w:bCs/>
                <w:sz w:val="20"/>
                <w:szCs w:val="20"/>
              </w:rPr>
            </w:pPr>
            <w:r w:rsidRPr="00BA4471">
              <w:rPr>
                <w:rFonts w:ascii="Arial" w:hAnsi="Arial" w:cs="Arial"/>
                <w:sz w:val="20"/>
                <w:szCs w:val="20"/>
              </w:rPr>
              <w:t>36.4 ± 0.60</w:t>
            </w:r>
            <w:r w:rsidR="008A57CB" w:rsidRPr="00BA4471">
              <w:rPr>
                <w:rFonts w:ascii="Arial" w:hAnsi="Arial" w:cs="Arial"/>
                <w:sz w:val="20"/>
                <w:szCs w:val="20"/>
                <w:vertAlign w:val="superscript"/>
              </w:rPr>
              <w:t>d</w:t>
            </w:r>
          </w:p>
        </w:tc>
        <w:tc>
          <w:tcPr>
            <w:tcW w:w="1762" w:type="dxa"/>
            <w:vAlign w:val="center"/>
          </w:tcPr>
          <w:p w14:paraId="7D5687DB" w14:textId="7C4DEE96" w:rsidR="004B6D3D" w:rsidRPr="00BA4471" w:rsidRDefault="004B6D3D" w:rsidP="00BA4471">
            <w:pPr>
              <w:rPr>
                <w:rFonts w:ascii="Arial" w:hAnsi="Arial" w:cs="Arial"/>
                <w:b/>
                <w:bCs/>
                <w:sz w:val="20"/>
                <w:szCs w:val="20"/>
              </w:rPr>
            </w:pPr>
            <w:r w:rsidRPr="00BA4471">
              <w:rPr>
                <w:rFonts w:ascii="Arial" w:hAnsi="Arial" w:cs="Arial"/>
                <w:sz w:val="20"/>
                <w:szCs w:val="20"/>
              </w:rPr>
              <w:t>7.8 ± 0.28</w:t>
            </w:r>
            <w:r w:rsidR="00CA3818" w:rsidRPr="00BA4471">
              <w:rPr>
                <w:rFonts w:ascii="Arial" w:hAnsi="Arial" w:cs="Arial"/>
                <w:sz w:val="20"/>
                <w:szCs w:val="20"/>
                <w:vertAlign w:val="superscript"/>
              </w:rPr>
              <w:t>b</w:t>
            </w:r>
          </w:p>
        </w:tc>
      </w:tr>
      <w:tr w:rsidR="004B6D3D" w:rsidRPr="00BA4471" w14:paraId="3B87E935" w14:textId="77777777" w:rsidTr="00E95FEA">
        <w:tc>
          <w:tcPr>
            <w:tcW w:w="1323" w:type="dxa"/>
            <w:vAlign w:val="center"/>
          </w:tcPr>
          <w:p w14:paraId="4C502C80" w14:textId="77777777" w:rsidR="004B6D3D" w:rsidRPr="00BA4471" w:rsidRDefault="004B6D3D" w:rsidP="00BA4471">
            <w:pPr>
              <w:rPr>
                <w:rFonts w:ascii="Arial" w:hAnsi="Arial" w:cs="Arial"/>
                <w:b/>
                <w:bCs/>
                <w:sz w:val="20"/>
                <w:szCs w:val="20"/>
              </w:rPr>
            </w:pPr>
            <w:r w:rsidRPr="00BA4471">
              <w:rPr>
                <w:rFonts w:ascii="Arial" w:hAnsi="Arial" w:cs="Arial"/>
                <w:sz w:val="20"/>
                <w:szCs w:val="20"/>
              </w:rPr>
              <w:t>4 years</w:t>
            </w:r>
          </w:p>
        </w:tc>
        <w:tc>
          <w:tcPr>
            <w:tcW w:w="536" w:type="dxa"/>
            <w:vAlign w:val="center"/>
          </w:tcPr>
          <w:p w14:paraId="3AC7FC66"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252A9CFD" w14:textId="6CA8534B" w:rsidR="004B6D3D" w:rsidRPr="00BA4471" w:rsidRDefault="004B6D3D" w:rsidP="00BA4471">
            <w:pPr>
              <w:rPr>
                <w:rFonts w:ascii="Arial" w:hAnsi="Arial" w:cs="Arial"/>
                <w:b/>
                <w:bCs/>
                <w:sz w:val="20"/>
                <w:szCs w:val="20"/>
              </w:rPr>
            </w:pPr>
            <w:r w:rsidRPr="00BA4471">
              <w:rPr>
                <w:rFonts w:ascii="Arial" w:hAnsi="Arial" w:cs="Arial"/>
                <w:sz w:val="20"/>
                <w:szCs w:val="20"/>
              </w:rPr>
              <w:t>485 ± 13.3</w:t>
            </w:r>
            <w:r w:rsidR="006C6C53" w:rsidRPr="00BA4471">
              <w:rPr>
                <w:rFonts w:ascii="Arial" w:hAnsi="Arial" w:cs="Arial"/>
                <w:sz w:val="20"/>
                <w:szCs w:val="20"/>
                <w:vertAlign w:val="superscript"/>
              </w:rPr>
              <w:t>e</w:t>
            </w:r>
          </w:p>
        </w:tc>
        <w:tc>
          <w:tcPr>
            <w:tcW w:w="1772" w:type="dxa"/>
            <w:vAlign w:val="center"/>
          </w:tcPr>
          <w:p w14:paraId="6ED557C5" w14:textId="28512C59" w:rsidR="004B6D3D" w:rsidRPr="00BA4471" w:rsidRDefault="004B6D3D" w:rsidP="00BA4471">
            <w:pPr>
              <w:rPr>
                <w:rFonts w:ascii="Arial" w:hAnsi="Arial" w:cs="Arial"/>
                <w:sz w:val="20"/>
                <w:szCs w:val="20"/>
              </w:rPr>
            </w:pPr>
            <w:r w:rsidRPr="00BA4471">
              <w:rPr>
                <w:rFonts w:ascii="Arial" w:hAnsi="Arial" w:cs="Arial"/>
                <w:sz w:val="20"/>
                <w:szCs w:val="20"/>
              </w:rPr>
              <w:t>3.4 ± 0.09</w:t>
            </w:r>
            <w:r w:rsidR="00DC313C" w:rsidRPr="00BA4471">
              <w:rPr>
                <w:rFonts w:ascii="Arial" w:hAnsi="Arial" w:cs="Arial"/>
                <w:sz w:val="20"/>
                <w:szCs w:val="20"/>
                <w:vertAlign w:val="superscript"/>
              </w:rPr>
              <w:t>cd</w:t>
            </w:r>
          </w:p>
        </w:tc>
        <w:tc>
          <w:tcPr>
            <w:tcW w:w="2191" w:type="dxa"/>
            <w:vAlign w:val="center"/>
          </w:tcPr>
          <w:p w14:paraId="099513CF" w14:textId="48E9B0ED" w:rsidR="004B6D3D" w:rsidRPr="00BA4471" w:rsidRDefault="004B6D3D" w:rsidP="00BA4471">
            <w:pPr>
              <w:rPr>
                <w:rFonts w:ascii="Arial" w:hAnsi="Arial" w:cs="Arial"/>
                <w:b/>
                <w:bCs/>
                <w:sz w:val="20"/>
                <w:szCs w:val="20"/>
              </w:rPr>
            </w:pPr>
            <w:r w:rsidRPr="00BA4471">
              <w:rPr>
                <w:rFonts w:ascii="Arial" w:hAnsi="Arial" w:cs="Arial"/>
                <w:sz w:val="20"/>
                <w:szCs w:val="20"/>
              </w:rPr>
              <w:t>38.7 ± 0.66</w:t>
            </w:r>
            <w:r w:rsidR="008A57CB" w:rsidRPr="00BA4471">
              <w:rPr>
                <w:rFonts w:ascii="Arial" w:hAnsi="Arial" w:cs="Arial"/>
                <w:sz w:val="20"/>
                <w:szCs w:val="20"/>
                <w:vertAlign w:val="superscript"/>
              </w:rPr>
              <w:t>d</w:t>
            </w:r>
          </w:p>
        </w:tc>
        <w:tc>
          <w:tcPr>
            <w:tcW w:w="1762" w:type="dxa"/>
            <w:vAlign w:val="center"/>
          </w:tcPr>
          <w:p w14:paraId="3725ADC3" w14:textId="6D4962CA" w:rsidR="004B6D3D" w:rsidRPr="00BA4471" w:rsidRDefault="004B6D3D" w:rsidP="00BA4471">
            <w:pPr>
              <w:rPr>
                <w:rFonts w:ascii="Arial" w:hAnsi="Arial" w:cs="Arial"/>
                <w:b/>
                <w:bCs/>
                <w:sz w:val="20"/>
                <w:szCs w:val="20"/>
              </w:rPr>
            </w:pPr>
            <w:r w:rsidRPr="00BA4471">
              <w:rPr>
                <w:rFonts w:ascii="Arial" w:hAnsi="Arial" w:cs="Arial"/>
                <w:sz w:val="20"/>
                <w:szCs w:val="20"/>
              </w:rPr>
              <w:t>8.9 ± 0.22</w:t>
            </w:r>
            <w:r w:rsidR="00CA3818" w:rsidRPr="00BA4471">
              <w:rPr>
                <w:rFonts w:ascii="Arial" w:hAnsi="Arial" w:cs="Arial"/>
                <w:sz w:val="20"/>
                <w:szCs w:val="20"/>
                <w:vertAlign w:val="superscript"/>
              </w:rPr>
              <w:t>c</w:t>
            </w:r>
          </w:p>
        </w:tc>
      </w:tr>
      <w:tr w:rsidR="004B6D3D" w:rsidRPr="00BA4471" w14:paraId="39183A6C" w14:textId="77777777" w:rsidTr="00E95FEA">
        <w:tc>
          <w:tcPr>
            <w:tcW w:w="1323" w:type="dxa"/>
            <w:vAlign w:val="center"/>
          </w:tcPr>
          <w:p w14:paraId="680A6826" w14:textId="77777777" w:rsidR="004B6D3D" w:rsidRPr="00BA4471" w:rsidRDefault="004B6D3D" w:rsidP="00BA4471">
            <w:pPr>
              <w:rPr>
                <w:rFonts w:ascii="Arial" w:hAnsi="Arial" w:cs="Arial"/>
                <w:b/>
                <w:bCs/>
                <w:sz w:val="20"/>
                <w:szCs w:val="20"/>
              </w:rPr>
            </w:pPr>
            <w:r w:rsidRPr="00BA4471">
              <w:rPr>
                <w:rFonts w:ascii="Arial" w:hAnsi="Arial" w:cs="Arial"/>
                <w:sz w:val="20"/>
                <w:szCs w:val="20"/>
              </w:rPr>
              <w:t>5 years</w:t>
            </w:r>
          </w:p>
        </w:tc>
        <w:tc>
          <w:tcPr>
            <w:tcW w:w="536" w:type="dxa"/>
            <w:vAlign w:val="center"/>
          </w:tcPr>
          <w:p w14:paraId="724A6819"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2B886F4F" w14:textId="7BC81795" w:rsidR="004B6D3D" w:rsidRPr="00BA4471" w:rsidRDefault="004B6D3D" w:rsidP="00BA4471">
            <w:pPr>
              <w:rPr>
                <w:rFonts w:ascii="Arial" w:hAnsi="Arial" w:cs="Arial"/>
                <w:b/>
                <w:bCs/>
                <w:sz w:val="20"/>
                <w:szCs w:val="20"/>
              </w:rPr>
            </w:pPr>
            <w:r w:rsidRPr="00BA4471">
              <w:rPr>
                <w:rFonts w:ascii="Arial" w:hAnsi="Arial" w:cs="Arial"/>
                <w:sz w:val="20"/>
                <w:szCs w:val="20"/>
              </w:rPr>
              <w:t>502 ± 14.2</w:t>
            </w:r>
            <w:r w:rsidR="006C6C53" w:rsidRPr="00BA4471">
              <w:rPr>
                <w:rFonts w:ascii="Arial" w:hAnsi="Arial" w:cs="Arial"/>
                <w:sz w:val="20"/>
                <w:szCs w:val="20"/>
                <w:vertAlign w:val="superscript"/>
              </w:rPr>
              <w:t>e</w:t>
            </w:r>
          </w:p>
        </w:tc>
        <w:tc>
          <w:tcPr>
            <w:tcW w:w="1772" w:type="dxa"/>
            <w:vAlign w:val="center"/>
          </w:tcPr>
          <w:p w14:paraId="2C22F6A7" w14:textId="56DB3393" w:rsidR="004B6D3D" w:rsidRPr="00BA4471" w:rsidRDefault="004B6D3D" w:rsidP="00BA4471">
            <w:pPr>
              <w:rPr>
                <w:rFonts w:ascii="Arial" w:hAnsi="Arial" w:cs="Arial"/>
                <w:sz w:val="20"/>
                <w:szCs w:val="20"/>
              </w:rPr>
            </w:pPr>
            <w:r w:rsidRPr="00BA4471">
              <w:rPr>
                <w:rFonts w:ascii="Arial" w:hAnsi="Arial" w:cs="Arial"/>
                <w:sz w:val="20"/>
                <w:szCs w:val="20"/>
              </w:rPr>
              <w:t>3.6 ± 0.09</w:t>
            </w:r>
            <w:r w:rsidR="00DC313C" w:rsidRPr="00BA4471">
              <w:rPr>
                <w:rFonts w:ascii="Arial" w:hAnsi="Arial" w:cs="Arial"/>
                <w:sz w:val="20"/>
                <w:szCs w:val="20"/>
                <w:vertAlign w:val="superscript"/>
              </w:rPr>
              <w:t>d</w:t>
            </w:r>
          </w:p>
        </w:tc>
        <w:tc>
          <w:tcPr>
            <w:tcW w:w="2191" w:type="dxa"/>
            <w:vAlign w:val="center"/>
          </w:tcPr>
          <w:p w14:paraId="545D2D0C" w14:textId="791B10D0" w:rsidR="004B6D3D" w:rsidRPr="00BA4471" w:rsidRDefault="004B6D3D" w:rsidP="00BA4471">
            <w:pPr>
              <w:rPr>
                <w:rFonts w:ascii="Arial" w:hAnsi="Arial" w:cs="Arial"/>
                <w:b/>
                <w:bCs/>
                <w:sz w:val="20"/>
                <w:szCs w:val="20"/>
              </w:rPr>
            </w:pPr>
            <w:r w:rsidRPr="00BA4471">
              <w:rPr>
                <w:rFonts w:ascii="Arial" w:hAnsi="Arial" w:cs="Arial"/>
                <w:sz w:val="20"/>
                <w:szCs w:val="20"/>
              </w:rPr>
              <w:t>38.2 ± 0.63</w:t>
            </w:r>
            <w:r w:rsidR="008A57CB" w:rsidRPr="00BA4471">
              <w:rPr>
                <w:rFonts w:ascii="Arial" w:hAnsi="Arial" w:cs="Arial"/>
                <w:sz w:val="20"/>
                <w:szCs w:val="20"/>
                <w:vertAlign w:val="superscript"/>
              </w:rPr>
              <w:t>d</w:t>
            </w:r>
          </w:p>
        </w:tc>
        <w:tc>
          <w:tcPr>
            <w:tcW w:w="1762" w:type="dxa"/>
            <w:vAlign w:val="center"/>
          </w:tcPr>
          <w:p w14:paraId="15961109" w14:textId="7B90A32C" w:rsidR="004B6D3D" w:rsidRPr="00BA4471" w:rsidRDefault="004B6D3D" w:rsidP="00BA4471">
            <w:pPr>
              <w:rPr>
                <w:rFonts w:ascii="Arial" w:hAnsi="Arial" w:cs="Arial"/>
                <w:b/>
                <w:bCs/>
                <w:sz w:val="20"/>
                <w:szCs w:val="20"/>
              </w:rPr>
            </w:pPr>
            <w:r w:rsidRPr="00BA4471">
              <w:rPr>
                <w:rFonts w:ascii="Arial" w:hAnsi="Arial" w:cs="Arial"/>
                <w:sz w:val="20"/>
                <w:szCs w:val="20"/>
              </w:rPr>
              <w:t>8.4 ± 0.25</w:t>
            </w:r>
            <w:r w:rsidR="00CA3818" w:rsidRPr="00BA4471">
              <w:rPr>
                <w:rFonts w:ascii="Arial" w:hAnsi="Arial" w:cs="Arial"/>
                <w:sz w:val="20"/>
                <w:szCs w:val="20"/>
                <w:vertAlign w:val="superscript"/>
              </w:rPr>
              <w:t>c</w:t>
            </w:r>
          </w:p>
        </w:tc>
      </w:tr>
      <w:tr w:rsidR="004B6D3D" w:rsidRPr="00BA4471" w14:paraId="2A0D9E1F" w14:textId="77777777" w:rsidTr="00E95FEA">
        <w:tc>
          <w:tcPr>
            <w:tcW w:w="1323" w:type="dxa"/>
            <w:vAlign w:val="center"/>
          </w:tcPr>
          <w:p w14:paraId="718604E4" w14:textId="77777777" w:rsidR="004B6D3D" w:rsidRPr="00BA4471" w:rsidRDefault="004B6D3D" w:rsidP="00BA4471">
            <w:pPr>
              <w:rPr>
                <w:rFonts w:ascii="Arial" w:hAnsi="Arial" w:cs="Arial"/>
                <w:b/>
                <w:bCs/>
                <w:sz w:val="20"/>
                <w:szCs w:val="20"/>
              </w:rPr>
            </w:pPr>
            <w:r w:rsidRPr="00BA4471">
              <w:rPr>
                <w:rFonts w:ascii="Arial" w:hAnsi="Arial" w:cs="Arial"/>
                <w:sz w:val="20"/>
                <w:szCs w:val="20"/>
              </w:rPr>
              <w:t>6 years</w:t>
            </w:r>
          </w:p>
        </w:tc>
        <w:tc>
          <w:tcPr>
            <w:tcW w:w="536" w:type="dxa"/>
            <w:vAlign w:val="center"/>
          </w:tcPr>
          <w:p w14:paraId="3D769FDB"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0ADF664F" w14:textId="587EC6F3" w:rsidR="004B6D3D" w:rsidRPr="00BA4471" w:rsidRDefault="004B6D3D" w:rsidP="00BA4471">
            <w:pPr>
              <w:rPr>
                <w:rFonts w:ascii="Arial" w:hAnsi="Arial" w:cs="Arial"/>
                <w:b/>
                <w:bCs/>
                <w:sz w:val="20"/>
                <w:szCs w:val="20"/>
              </w:rPr>
            </w:pPr>
            <w:r w:rsidRPr="00BA4471">
              <w:rPr>
                <w:rFonts w:ascii="Arial" w:hAnsi="Arial" w:cs="Arial"/>
                <w:sz w:val="20"/>
                <w:szCs w:val="20"/>
              </w:rPr>
              <w:t>515 ± 15.2</w:t>
            </w:r>
            <w:r w:rsidR="006C6C53" w:rsidRPr="00BA4471">
              <w:rPr>
                <w:rFonts w:ascii="Arial" w:hAnsi="Arial" w:cs="Arial"/>
                <w:sz w:val="20"/>
                <w:szCs w:val="20"/>
                <w:vertAlign w:val="superscript"/>
              </w:rPr>
              <w:t>e</w:t>
            </w:r>
          </w:p>
        </w:tc>
        <w:tc>
          <w:tcPr>
            <w:tcW w:w="1772" w:type="dxa"/>
            <w:vAlign w:val="center"/>
          </w:tcPr>
          <w:p w14:paraId="37649EB2" w14:textId="386B3E60" w:rsidR="004B6D3D" w:rsidRPr="00BA4471" w:rsidRDefault="004B6D3D" w:rsidP="00BA4471">
            <w:pPr>
              <w:rPr>
                <w:rFonts w:ascii="Arial" w:hAnsi="Arial" w:cs="Arial"/>
                <w:sz w:val="20"/>
                <w:szCs w:val="20"/>
              </w:rPr>
            </w:pPr>
            <w:r w:rsidRPr="00BA4471">
              <w:rPr>
                <w:rFonts w:ascii="Arial" w:hAnsi="Arial" w:cs="Arial"/>
                <w:sz w:val="20"/>
                <w:szCs w:val="20"/>
              </w:rPr>
              <w:t>3.8 ± 0.13</w:t>
            </w:r>
            <w:r w:rsidR="00DC313C" w:rsidRPr="00BA4471">
              <w:rPr>
                <w:rFonts w:ascii="Arial" w:hAnsi="Arial" w:cs="Arial"/>
                <w:sz w:val="20"/>
                <w:szCs w:val="20"/>
                <w:vertAlign w:val="superscript"/>
              </w:rPr>
              <w:t>e</w:t>
            </w:r>
          </w:p>
        </w:tc>
        <w:tc>
          <w:tcPr>
            <w:tcW w:w="2191" w:type="dxa"/>
            <w:vAlign w:val="center"/>
          </w:tcPr>
          <w:p w14:paraId="2A28DCC5" w14:textId="457F0569" w:rsidR="004B6D3D" w:rsidRPr="00BA4471" w:rsidRDefault="004B6D3D" w:rsidP="00BA4471">
            <w:pPr>
              <w:rPr>
                <w:rFonts w:ascii="Arial" w:hAnsi="Arial" w:cs="Arial"/>
                <w:b/>
                <w:bCs/>
                <w:sz w:val="20"/>
                <w:szCs w:val="20"/>
              </w:rPr>
            </w:pPr>
            <w:r w:rsidRPr="00BA4471">
              <w:rPr>
                <w:rFonts w:ascii="Arial" w:hAnsi="Arial" w:cs="Arial"/>
                <w:sz w:val="20"/>
                <w:szCs w:val="20"/>
              </w:rPr>
              <w:t>37.8 ± 0.7</w:t>
            </w:r>
            <w:r w:rsidR="008A57CB" w:rsidRPr="00BA4471">
              <w:rPr>
                <w:rFonts w:ascii="Arial" w:hAnsi="Arial" w:cs="Arial"/>
                <w:sz w:val="20"/>
                <w:szCs w:val="20"/>
              </w:rPr>
              <w:t>3</w:t>
            </w:r>
            <w:r w:rsidR="008A57CB" w:rsidRPr="00BA4471">
              <w:rPr>
                <w:rFonts w:ascii="Arial" w:hAnsi="Arial" w:cs="Arial"/>
                <w:sz w:val="20"/>
                <w:szCs w:val="20"/>
                <w:vertAlign w:val="superscript"/>
              </w:rPr>
              <w:t>d</w:t>
            </w:r>
          </w:p>
        </w:tc>
        <w:tc>
          <w:tcPr>
            <w:tcW w:w="1762" w:type="dxa"/>
            <w:vAlign w:val="center"/>
          </w:tcPr>
          <w:p w14:paraId="7CAA3DB1" w14:textId="6AF66FCB" w:rsidR="004B6D3D" w:rsidRPr="00BA4471" w:rsidRDefault="004B6D3D" w:rsidP="00BA4471">
            <w:pPr>
              <w:rPr>
                <w:rFonts w:ascii="Arial" w:hAnsi="Arial" w:cs="Arial"/>
                <w:b/>
                <w:bCs/>
                <w:sz w:val="20"/>
                <w:szCs w:val="20"/>
              </w:rPr>
            </w:pPr>
            <w:r w:rsidRPr="00BA4471">
              <w:rPr>
                <w:rFonts w:ascii="Arial" w:hAnsi="Arial" w:cs="Arial"/>
                <w:sz w:val="20"/>
                <w:szCs w:val="20"/>
              </w:rPr>
              <w:t>7.9 ± 0.28</w:t>
            </w:r>
            <w:r w:rsidR="00CA3818" w:rsidRPr="00BA4471">
              <w:rPr>
                <w:rFonts w:ascii="Arial" w:hAnsi="Arial" w:cs="Arial"/>
                <w:sz w:val="20"/>
                <w:szCs w:val="20"/>
                <w:vertAlign w:val="superscript"/>
              </w:rPr>
              <w:t>bc</w:t>
            </w:r>
          </w:p>
        </w:tc>
      </w:tr>
      <w:tr w:rsidR="004B6D3D" w:rsidRPr="00BA4471" w14:paraId="562B2613" w14:textId="77777777" w:rsidTr="00E95FEA">
        <w:tc>
          <w:tcPr>
            <w:tcW w:w="1323" w:type="dxa"/>
            <w:vAlign w:val="center"/>
          </w:tcPr>
          <w:p w14:paraId="6777D79D" w14:textId="77777777" w:rsidR="004B6D3D" w:rsidRPr="00BA4471" w:rsidRDefault="004B6D3D" w:rsidP="00BA4471">
            <w:pPr>
              <w:rPr>
                <w:rFonts w:ascii="Arial" w:hAnsi="Arial" w:cs="Arial"/>
                <w:b/>
                <w:bCs/>
                <w:sz w:val="20"/>
                <w:szCs w:val="20"/>
              </w:rPr>
            </w:pPr>
            <w:r w:rsidRPr="00BA4471">
              <w:rPr>
                <w:rFonts w:ascii="Arial" w:hAnsi="Arial" w:cs="Arial"/>
                <w:sz w:val="20"/>
                <w:szCs w:val="20"/>
              </w:rPr>
              <w:t>7 years</w:t>
            </w:r>
          </w:p>
        </w:tc>
        <w:tc>
          <w:tcPr>
            <w:tcW w:w="536" w:type="dxa"/>
            <w:vAlign w:val="center"/>
          </w:tcPr>
          <w:p w14:paraId="7B977F64"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7DFF2BF7" w14:textId="33DE616E" w:rsidR="004B6D3D" w:rsidRPr="00BA4471" w:rsidRDefault="004B6D3D" w:rsidP="00BA4471">
            <w:pPr>
              <w:rPr>
                <w:rFonts w:ascii="Arial" w:hAnsi="Arial" w:cs="Arial"/>
                <w:b/>
                <w:bCs/>
                <w:sz w:val="20"/>
                <w:szCs w:val="20"/>
              </w:rPr>
            </w:pPr>
            <w:r w:rsidRPr="00BA4471">
              <w:rPr>
                <w:rFonts w:ascii="Arial" w:hAnsi="Arial" w:cs="Arial"/>
                <w:sz w:val="20"/>
                <w:szCs w:val="20"/>
              </w:rPr>
              <w:t>518 ± 16.4</w:t>
            </w:r>
            <w:r w:rsidR="006C6C53" w:rsidRPr="00BA4471">
              <w:rPr>
                <w:rFonts w:ascii="Arial" w:hAnsi="Arial" w:cs="Arial"/>
                <w:sz w:val="20"/>
                <w:szCs w:val="20"/>
                <w:vertAlign w:val="superscript"/>
              </w:rPr>
              <w:t>e</w:t>
            </w:r>
          </w:p>
        </w:tc>
        <w:tc>
          <w:tcPr>
            <w:tcW w:w="1772" w:type="dxa"/>
            <w:vAlign w:val="center"/>
          </w:tcPr>
          <w:p w14:paraId="4146A0AF" w14:textId="3AD1CDF0" w:rsidR="004B6D3D" w:rsidRPr="00BA4471" w:rsidRDefault="004B6D3D" w:rsidP="00BA4471">
            <w:pPr>
              <w:rPr>
                <w:rFonts w:ascii="Arial" w:hAnsi="Arial" w:cs="Arial"/>
                <w:sz w:val="20"/>
                <w:szCs w:val="20"/>
              </w:rPr>
            </w:pPr>
            <w:r w:rsidRPr="00BA4471">
              <w:rPr>
                <w:rFonts w:ascii="Arial" w:hAnsi="Arial" w:cs="Arial"/>
                <w:sz w:val="20"/>
                <w:szCs w:val="20"/>
              </w:rPr>
              <w:t>4.1 ± 0.13</w:t>
            </w:r>
            <w:r w:rsidR="00DC313C" w:rsidRPr="00BA4471">
              <w:rPr>
                <w:rFonts w:ascii="Arial" w:hAnsi="Arial" w:cs="Arial"/>
                <w:sz w:val="20"/>
                <w:szCs w:val="20"/>
                <w:vertAlign w:val="superscript"/>
              </w:rPr>
              <w:t>f</w:t>
            </w:r>
          </w:p>
        </w:tc>
        <w:tc>
          <w:tcPr>
            <w:tcW w:w="2191" w:type="dxa"/>
            <w:vAlign w:val="center"/>
          </w:tcPr>
          <w:p w14:paraId="4D8F4073" w14:textId="62AD738D" w:rsidR="004B6D3D" w:rsidRPr="00BA4471" w:rsidRDefault="004B6D3D" w:rsidP="00BA4471">
            <w:pPr>
              <w:rPr>
                <w:rFonts w:ascii="Arial" w:hAnsi="Arial" w:cs="Arial"/>
                <w:b/>
                <w:bCs/>
                <w:sz w:val="20"/>
                <w:szCs w:val="20"/>
              </w:rPr>
            </w:pPr>
            <w:r w:rsidRPr="00BA4471">
              <w:rPr>
                <w:rFonts w:ascii="Arial" w:hAnsi="Arial" w:cs="Arial"/>
                <w:sz w:val="20"/>
                <w:szCs w:val="20"/>
              </w:rPr>
              <w:t>37.5 ± 0.76</w:t>
            </w:r>
            <w:r w:rsidR="008A57CB" w:rsidRPr="00BA4471">
              <w:rPr>
                <w:rFonts w:ascii="Arial" w:hAnsi="Arial" w:cs="Arial"/>
                <w:sz w:val="20"/>
                <w:szCs w:val="20"/>
                <w:vertAlign w:val="superscript"/>
              </w:rPr>
              <w:t>d</w:t>
            </w:r>
          </w:p>
        </w:tc>
        <w:tc>
          <w:tcPr>
            <w:tcW w:w="1762" w:type="dxa"/>
            <w:vAlign w:val="center"/>
          </w:tcPr>
          <w:p w14:paraId="0BA864AE" w14:textId="269FE0B5" w:rsidR="004B6D3D" w:rsidRPr="00BA4471" w:rsidRDefault="004B6D3D" w:rsidP="00BA4471">
            <w:pPr>
              <w:rPr>
                <w:rFonts w:ascii="Arial" w:hAnsi="Arial" w:cs="Arial"/>
                <w:b/>
                <w:bCs/>
                <w:sz w:val="20"/>
                <w:szCs w:val="20"/>
              </w:rPr>
            </w:pPr>
            <w:r w:rsidRPr="00BA4471">
              <w:rPr>
                <w:rFonts w:ascii="Arial" w:hAnsi="Arial" w:cs="Arial"/>
                <w:sz w:val="20"/>
                <w:szCs w:val="20"/>
              </w:rPr>
              <w:t>7.4 ± 0.32</w:t>
            </w:r>
            <w:r w:rsidR="00CA3818" w:rsidRPr="00BA4471">
              <w:rPr>
                <w:rFonts w:ascii="Arial" w:hAnsi="Arial" w:cs="Arial"/>
                <w:sz w:val="20"/>
                <w:szCs w:val="20"/>
                <w:vertAlign w:val="superscript"/>
              </w:rPr>
              <w:t>b</w:t>
            </w:r>
          </w:p>
        </w:tc>
      </w:tr>
      <w:tr w:rsidR="004B6D3D" w:rsidRPr="00BA4471" w14:paraId="520A19E5" w14:textId="77777777" w:rsidTr="00E95FEA">
        <w:tc>
          <w:tcPr>
            <w:tcW w:w="1323" w:type="dxa"/>
            <w:vAlign w:val="center"/>
          </w:tcPr>
          <w:p w14:paraId="50608FF3" w14:textId="77777777" w:rsidR="004B6D3D" w:rsidRPr="00BA4471" w:rsidRDefault="004B6D3D" w:rsidP="00BA4471">
            <w:pPr>
              <w:rPr>
                <w:rFonts w:ascii="Arial" w:hAnsi="Arial" w:cs="Arial"/>
                <w:b/>
                <w:bCs/>
                <w:sz w:val="20"/>
                <w:szCs w:val="20"/>
              </w:rPr>
            </w:pPr>
            <w:r w:rsidRPr="00BA4471">
              <w:rPr>
                <w:rFonts w:ascii="Arial" w:hAnsi="Arial" w:cs="Arial"/>
                <w:sz w:val="20"/>
                <w:szCs w:val="20"/>
              </w:rPr>
              <w:t>≥8 years</w:t>
            </w:r>
          </w:p>
        </w:tc>
        <w:tc>
          <w:tcPr>
            <w:tcW w:w="536" w:type="dxa"/>
            <w:vAlign w:val="center"/>
          </w:tcPr>
          <w:p w14:paraId="237F5072" w14:textId="77777777" w:rsidR="004B6D3D" w:rsidRPr="00BA4471" w:rsidRDefault="004B6D3D" w:rsidP="00BA4471">
            <w:pPr>
              <w:rPr>
                <w:rFonts w:ascii="Arial" w:hAnsi="Arial" w:cs="Arial"/>
                <w:b/>
                <w:bCs/>
                <w:sz w:val="20"/>
                <w:szCs w:val="20"/>
              </w:rPr>
            </w:pPr>
            <w:r w:rsidRPr="00BA4471">
              <w:rPr>
                <w:rFonts w:ascii="Arial" w:hAnsi="Arial" w:cs="Arial"/>
                <w:sz w:val="20"/>
                <w:szCs w:val="20"/>
              </w:rPr>
              <w:t>10</w:t>
            </w:r>
          </w:p>
        </w:tc>
        <w:tc>
          <w:tcPr>
            <w:tcW w:w="1501" w:type="dxa"/>
            <w:vAlign w:val="center"/>
          </w:tcPr>
          <w:p w14:paraId="663DDFDB" w14:textId="2A9514A7" w:rsidR="004B6D3D" w:rsidRPr="00BA4471" w:rsidRDefault="004B6D3D" w:rsidP="00BA4471">
            <w:pPr>
              <w:rPr>
                <w:rFonts w:ascii="Arial" w:hAnsi="Arial" w:cs="Arial"/>
                <w:b/>
                <w:bCs/>
                <w:sz w:val="20"/>
                <w:szCs w:val="20"/>
              </w:rPr>
            </w:pPr>
            <w:r w:rsidRPr="00BA4471">
              <w:rPr>
                <w:rFonts w:ascii="Arial" w:hAnsi="Arial" w:cs="Arial"/>
                <w:sz w:val="20"/>
                <w:szCs w:val="20"/>
              </w:rPr>
              <w:t>510 ± 17.4</w:t>
            </w:r>
            <w:r w:rsidR="006C6C53" w:rsidRPr="00BA4471">
              <w:rPr>
                <w:rFonts w:ascii="Arial" w:hAnsi="Arial" w:cs="Arial"/>
                <w:sz w:val="20"/>
                <w:szCs w:val="20"/>
                <w:vertAlign w:val="superscript"/>
              </w:rPr>
              <w:t>e</w:t>
            </w:r>
          </w:p>
        </w:tc>
        <w:tc>
          <w:tcPr>
            <w:tcW w:w="1772" w:type="dxa"/>
            <w:vAlign w:val="center"/>
          </w:tcPr>
          <w:p w14:paraId="6EC1C878" w14:textId="3E05C131" w:rsidR="004B6D3D" w:rsidRPr="00BA4471" w:rsidRDefault="004B6D3D" w:rsidP="00BA4471">
            <w:pPr>
              <w:rPr>
                <w:rFonts w:ascii="Arial" w:hAnsi="Arial" w:cs="Arial"/>
                <w:sz w:val="20"/>
                <w:szCs w:val="20"/>
              </w:rPr>
            </w:pPr>
            <w:r w:rsidRPr="00BA4471">
              <w:rPr>
                <w:rFonts w:ascii="Arial" w:hAnsi="Arial" w:cs="Arial"/>
                <w:sz w:val="20"/>
                <w:szCs w:val="20"/>
              </w:rPr>
              <w:t>3.6 ± 0.13</w:t>
            </w:r>
            <w:r w:rsidR="00DC313C" w:rsidRPr="00BA4471">
              <w:rPr>
                <w:rFonts w:ascii="Arial" w:hAnsi="Arial" w:cs="Arial"/>
                <w:sz w:val="20"/>
                <w:szCs w:val="20"/>
                <w:vertAlign w:val="superscript"/>
              </w:rPr>
              <w:t>d</w:t>
            </w:r>
          </w:p>
        </w:tc>
        <w:tc>
          <w:tcPr>
            <w:tcW w:w="2191" w:type="dxa"/>
            <w:vAlign w:val="center"/>
          </w:tcPr>
          <w:p w14:paraId="1B34A3B9" w14:textId="61D2DD82" w:rsidR="004B6D3D" w:rsidRPr="00BA4471" w:rsidRDefault="004B6D3D" w:rsidP="00BA4471">
            <w:pPr>
              <w:rPr>
                <w:rFonts w:ascii="Arial" w:hAnsi="Arial" w:cs="Arial"/>
                <w:b/>
                <w:bCs/>
                <w:sz w:val="20"/>
                <w:szCs w:val="20"/>
              </w:rPr>
            </w:pPr>
            <w:r w:rsidRPr="00BA4471">
              <w:rPr>
                <w:rFonts w:ascii="Arial" w:hAnsi="Arial" w:cs="Arial"/>
                <w:sz w:val="20"/>
                <w:szCs w:val="20"/>
              </w:rPr>
              <w:t>37.2 ± 0.79</w:t>
            </w:r>
            <w:r w:rsidR="008A57CB" w:rsidRPr="00BA4471">
              <w:rPr>
                <w:rFonts w:ascii="Arial" w:hAnsi="Arial" w:cs="Arial"/>
                <w:sz w:val="20"/>
                <w:szCs w:val="20"/>
                <w:vertAlign w:val="superscript"/>
              </w:rPr>
              <w:t>d</w:t>
            </w:r>
          </w:p>
        </w:tc>
        <w:tc>
          <w:tcPr>
            <w:tcW w:w="1762" w:type="dxa"/>
            <w:vAlign w:val="center"/>
          </w:tcPr>
          <w:p w14:paraId="4D79BB0F" w14:textId="5468899D" w:rsidR="00CA3818" w:rsidRPr="00BA4471" w:rsidRDefault="004B6D3D" w:rsidP="00BA4471">
            <w:pPr>
              <w:rPr>
                <w:rFonts w:ascii="Arial" w:hAnsi="Arial" w:cs="Arial"/>
                <w:sz w:val="20"/>
                <w:szCs w:val="20"/>
              </w:rPr>
            </w:pPr>
            <w:r w:rsidRPr="00BA4471">
              <w:rPr>
                <w:rFonts w:ascii="Arial" w:hAnsi="Arial" w:cs="Arial"/>
                <w:sz w:val="20"/>
                <w:szCs w:val="20"/>
              </w:rPr>
              <w:t>7.1 ± 0.38</w:t>
            </w:r>
            <w:r w:rsidR="00CA3818" w:rsidRPr="00BA4471">
              <w:rPr>
                <w:rFonts w:ascii="Arial" w:hAnsi="Arial" w:cs="Arial"/>
                <w:sz w:val="20"/>
                <w:szCs w:val="20"/>
                <w:vertAlign w:val="superscript"/>
              </w:rPr>
              <w:t>b</w:t>
            </w:r>
          </w:p>
        </w:tc>
      </w:tr>
      <w:tr w:rsidR="004B6D3D" w:rsidRPr="00BA4471" w14:paraId="50EA13AD" w14:textId="77777777" w:rsidTr="00E95FEA">
        <w:tc>
          <w:tcPr>
            <w:tcW w:w="1323" w:type="dxa"/>
          </w:tcPr>
          <w:p w14:paraId="32595D74" w14:textId="77777777"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p-value</w:t>
            </w:r>
          </w:p>
        </w:tc>
        <w:tc>
          <w:tcPr>
            <w:tcW w:w="536" w:type="dxa"/>
          </w:tcPr>
          <w:p w14:paraId="29630488" w14:textId="77777777" w:rsidR="004B6D3D" w:rsidRPr="00BA4471" w:rsidRDefault="004B6D3D" w:rsidP="00BA4471">
            <w:pPr>
              <w:rPr>
                <w:rFonts w:ascii="Arial" w:hAnsi="Arial" w:cs="Arial"/>
                <w:b/>
                <w:bCs/>
                <w:i/>
                <w:iCs/>
                <w:sz w:val="20"/>
                <w:szCs w:val="20"/>
              </w:rPr>
            </w:pPr>
          </w:p>
        </w:tc>
        <w:tc>
          <w:tcPr>
            <w:tcW w:w="1501" w:type="dxa"/>
          </w:tcPr>
          <w:p w14:paraId="56B1A3A1" w14:textId="61E09F96"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&lt; .001</w:t>
            </w:r>
          </w:p>
        </w:tc>
        <w:tc>
          <w:tcPr>
            <w:tcW w:w="1772" w:type="dxa"/>
          </w:tcPr>
          <w:p w14:paraId="77DF499A" w14:textId="2B44EFE3"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 xml:space="preserve"> &lt; .001</w:t>
            </w:r>
          </w:p>
        </w:tc>
        <w:tc>
          <w:tcPr>
            <w:tcW w:w="2191" w:type="dxa"/>
          </w:tcPr>
          <w:p w14:paraId="4C178B49" w14:textId="0EB39AFB"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 xml:space="preserve"> &lt; .001</w:t>
            </w:r>
          </w:p>
        </w:tc>
        <w:tc>
          <w:tcPr>
            <w:tcW w:w="1762" w:type="dxa"/>
          </w:tcPr>
          <w:p w14:paraId="3E47508D" w14:textId="76A945B2" w:rsidR="004B6D3D" w:rsidRPr="00BA4471" w:rsidRDefault="004B6D3D" w:rsidP="00BA4471">
            <w:pPr>
              <w:rPr>
                <w:rFonts w:ascii="Arial" w:hAnsi="Arial" w:cs="Arial"/>
                <w:b/>
                <w:bCs/>
                <w:i/>
                <w:iCs/>
                <w:sz w:val="20"/>
                <w:szCs w:val="20"/>
              </w:rPr>
            </w:pPr>
            <w:r w:rsidRPr="00BA4471">
              <w:rPr>
                <w:rFonts w:ascii="Arial" w:hAnsi="Arial" w:cs="Arial"/>
                <w:b/>
                <w:bCs/>
                <w:i/>
                <w:iCs/>
                <w:sz w:val="20"/>
                <w:szCs w:val="20"/>
              </w:rPr>
              <w:t xml:space="preserve"> &lt;</w:t>
            </w:r>
            <w:r w:rsidR="00173F4A">
              <w:rPr>
                <w:rFonts w:ascii="Arial" w:hAnsi="Arial" w:cs="Arial"/>
                <w:b/>
                <w:bCs/>
                <w:i/>
                <w:iCs/>
                <w:sz w:val="20"/>
                <w:szCs w:val="20"/>
              </w:rPr>
              <w:t xml:space="preserve"> </w:t>
            </w:r>
            <w:r w:rsidRPr="00BA4471">
              <w:rPr>
                <w:rFonts w:ascii="Arial" w:hAnsi="Arial" w:cs="Arial"/>
                <w:b/>
                <w:bCs/>
                <w:i/>
                <w:iCs/>
                <w:sz w:val="20"/>
                <w:szCs w:val="20"/>
              </w:rPr>
              <w:t>.001</w:t>
            </w:r>
          </w:p>
        </w:tc>
      </w:tr>
    </w:tbl>
    <w:p w14:paraId="04DC743E" w14:textId="5847BAB0" w:rsidR="004B6D3D" w:rsidRPr="00BA4471" w:rsidRDefault="004B6D3D" w:rsidP="00BA4471">
      <w:pPr>
        <w:spacing w:line="240" w:lineRule="auto"/>
        <w:rPr>
          <w:rFonts w:ascii="Arial" w:hAnsi="Arial" w:cs="Arial"/>
          <w:i/>
          <w:iCs/>
          <w:sz w:val="20"/>
          <w:szCs w:val="20"/>
        </w:rPr>
      </w:pPr>
      <w:r w:rsidRPr="00BA4471">
        <w:rPr>
          <w:rFonts w:ascii="Arial" w:hAnsi="Arial" w:cs="Arial"/>
          <w:i/>
          <w:iCs/>
          <w:sz w:val="20"/>
          <w:szCs w:val="20"/>
        </w:rPr>
        <w:t xml:space="preserve">Different superscript letters within columns indicate statistically significant differences between age groups (Tukey’s HSD post-hoc test, p &lt; 0.05). Breeding </w:t>
      </w:r>
      <w:r w:rsidR="0085766A">
        <w:rPr>
          <w:rFonts w:ascii="Arial" w:hAnsi="Arial" w:cs="Arial"/>
          <w:i/>
          <w:iCs/>
          <w:sz w:val="20"/>
          <w:szCs w:val="20"/>
        </w:rPr>
        <w:t>behaviour</w:t>
      </w:r>
      <w:r w:rsidRPr="00BA4471">
        <w:rPr>
          <w:rFonts w:ascii="Arial" w:hAnsi="Arial" w:cs="Arial"/>
          <w:i/>
          <w:iCs/>
          <w:sz w:val="20"/>
          <w:szCs w:val="20"/>
        </w:rPr>
        <w:t xml:space="preserve"> was assessed only in bulls aged ≥18 months.</w:t>
      </w:r>
    </w:p>
    <w:p w14:paraId="2B0B1FF6" w14:textId="77777777" w:rsidR="001C27CA" w:rsidRPr="00BA4471" w:rsidRDefault="001C27CA" w:rsidP="00BA4471">
      <w:pPr>
        <w:pStyle w:val="Heading2"/>
        <w:spacing w:line="240" w:lineRule="auto"/>
        <w:rPr>
          <w:rFonts w:cs="Arial"/>
        </w:rPr>
      </w:pPr>
      <w:r w:rsidRPr="00BA4471">
        <w:rPr>
          <w:rFonts w:cs="Arial"/>
        </w:rPr>
        <w:t>3.2 Testosterone Concentration Profiles</w:t>
      </w:r>
    </w:p>
    <w:p w14:paraId="64D5D7AA" w14:textId="77777777" w:rsidR="001C27CA" w:rsidRPr="00BA4471" w:rsidRDefault="001C27CA" w:rsidP="00BA4471">
      <w:pPr>
        <w:spacing w:after="0" w:line="240" w:lineRule="auto"/>
        <w:jc w:val="both"/>
        <w:rPr>
          <w:rFonts w:ascii="Arial" w:hAnsi="Arial" w:cs="Arial"/>
          <w:sz w:val="20"/>
          <w:szCs w:val="20"/>
        </w:rPr>
      </w:pPr>
      <w:r w:rsidRPr="00BA4471">
        <w:rPr>
          <w:rFonts w:ascii="Arial" w:hAnsi="Arial" w:cs="Arial"/>
          <w:sz w:val="20"/>
          <w:szCs w:val="20"/>
        </w:rPr>
        <w:t>Testosterone levels exhibited significant age-related variation (F</w:t>
      </w:r>
      <w:r w:rsidRPr="00BA4471">
        <w:rPr>
          <w:rFonts w:ascii="Cambria Math" w:hAnsi="Cambria Math" w:cs="Cambria Math"/>
          <w:sz w:val="20"/>
          <w:szCs w:val="20"/>
        </w:rPr>
        <w:t>₈</w:t>
      </w:r>
      <w:r w:rsidRPr="00BA4471">
        <w:rPr>
          <w:rFonts w:ascii="Arial" w:hAnsi="Arial" w:cs="Arial"/>
          <w:sz w:val="20"/>
          <w:szCs w:val="20"/>
        </w:rPr>
        <w:t>,</w:t>
      </w:r>
      <w:r w:rsidRPr="00BA4471">
        <w:rPr>
          <w:rFonts w:ascii="Cambria Math" w:hAnsi="Cambria Math" w:cs="Cambria Math"/>
          <w:sz w:val="20"/>
          <w:szCs w:val="20"/>
        </w:rPr>
        <w:t>₈₁</w:t>
      </w:r>
      <w:r w:rsidRPr="00BA4471">
        <w:rPr>
          <w:rFonts w:ascii="Arial" w:hAnsi="Arial" w:cs="Arial"/>
          <w:sz w:val="20"/>
          <w:szCs w:val="20"/>
        </w:rPr>
        <w:t xml:space="preserve"> = 42.3, P &lt; .001), with typical patterns of low levels during the period of quiescence preceding puberty, gradual increases over sexual maturation, peak levels at the age of 4 years, and gradual decline in older bull semen (Table 2). The peak levels of testosterone observed in the age of 4 years (8.9 ± 0.38 ng/mL) compare well with levels reported for mature dairy bulls in temperate environments by Palmer et al. (2020) and Chenoweth (2020) and indicate that environmental conditions in the tropics do not fundamentally disrupt standard hormonal maturation patterns despite added stress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w:t>
      </w:r>
      <w:proofErr w:type="spellStart"/>
      <w:r w:rsidRPr="00BA4471">
        <w:rPr>
          <w:rFonts w:ascii="Arial" w:hAnsi="Arial" w:cs="Arial"/>
          <w:sz w:val="20"/>
          <w:szCs w:val="20"/>
        </w:rPr>
        <w:t>Scaramuzzi</w:t>
      </w:r>
      <w:proofErr w:type="spellEnd"/>
      <w:r w:rsidRPr="00BA4471">
        <w:rPr>
          <w:rFonts w:ascii="Arial" w:hAnsi="Arial" w:cs="Arial"/>
          <w:sz w:val="20"/>
          <w:szCs w:val="20"/>
        </w:rPr>
        <w:t>, 2003). The trough levels of testosterone during quiescence of the hypothalamic-pituitary-gonadal axis before sexual maturation observed in 6-month age bulls (1.2 ± 0.21 ng/mL) compare with previous findings of Kastelic (2019) and Walters et al. (2019). The gradual rise in testosterone from the ages of 1-4 years is indicative of gradual maturation of the capacity of the tests for producing steroids based on increasing stimulation with LH as the maturation of the reproductive axis proceeds (Rodriguez-Martinez, 2018; Brito et al., 2020).</w:t>
      </w:r>
    </w:p>
    <w:p w14:paraId="130AFC66" w14:textId="77777777" w:rsidR="001722E2" w:rsidRPr="00BA4471" w:rsidRDefault="001722E2" w:rsidP="00BA4471">
      <w:pPr>
        <w:spacing w:after="0" w:line="240" w:lineRule="auto"/>
        <w:jc w:val="both"/>
        <w:rPr>
          <w:rFonts w:ascii="Arial" w:hAnsi="Arial" w:cs="Arial"/>
          <w:sz w:val="20"/>
          <w:szCs w:val="20"/>
        </w:rPr>
      </w:pPr>
    </w:p>
    <w:p w14:paraId="7ABF708B" w14:textId="6633A28A" w:rsidR="001C27CA" w:rsidRDefault="001C27CA" w:rsidP="00BA4471">
      <w:pPr>
        <w:spacing w:after="0" w:line="240" w:lineRule="auto"/>
        <w:jc w:val="both"/>
        <w:rPr>
          <w:rFonts w:ascii="Arial" w:hAnsi="Arial" w:cs="Arial"/>
          <w:sz w:val="20"/>
          <w:szCs w:val="20"/>
        </w:rPr>
      </w:pPr>
      <w:r w:rsidRPr="00BA4471">
        <w:rPr>
          <w:rFonts w:ascii="Arial" w:hAnsi="Arial" w:cs="Arial"/>
          <w:sz w:val="20"/>
          <w:szCs w:val="20"/>
        </w:rPr>
        <w:t xml:space="preserve">The age-related gradual </w:t>
      </w:r>
      <w:r w:rsidR="00680BD9" w:rsidRPr="00BA4471">
        <w:rPr>
          <w:rFonts w:ascii="Arial" w:hAnsi="Arial" w:cs="Arial"/>
          <w:sz w:val="20"/>
          <w:szCs w:val="20"/>
        </w:rPr>
        <w:t>reduction in</w:t>
      </w:r>
      <w:r w:rsidRPr="00BA4471">
        <w:rPr>
          <w:rFonts w:ascii="Arial" w:hAnsi="Arial" w:cs="Arial"/>
          <w:sz w:val="20"/>
          <w:szCs w:val="20"/>
        </w:rPr>
        <w:t xml:space="preserve"> testosterone levels in older bulls is reflective of processes of aging involving testicular function, such as decreased responsiveness of the Leydig cells to stimulation with LH and reduced activity of the steroidogenic enzymes (Santos et al., 2021; Fraser et al., 2021). The </w:t>
      </w:r>
      <w:r w:rsidR="00680BD9" w:rsidRPr="00BA4471">
        <w:rPr>
          <w:rFonts w:ascii="Arial" w:hAnsi="Arial" w:cs="Arial"/>
          <w:sz w:val="20"/>
          <w:szCs w:val="20"/>
        </w:rPr>
        <w:t>decreasing (P &lt; .05) concentration of testosterone</w:t>
      </w:r>
      <w:r w:rsidRPr="00BA4471">
        <w:rPr>
          <w:rFonts w:ascii="Arial" w:hAnsi="Arial" w:cs="Arial"/>
          <w:sz w:val="20"/>
          <w:szCs w:val="20"/>
        </w:rPr>
        <w:t xml:space="preserve"> </w:t>
      </w:r>
      <w:r w:rsidR="00D003F4" w:rsidRPr="00BA4471">
        <w:rPr>
          <w:rFonts w:ascii="Arial" w:hAnsi="Arial" w:cs="Arial"/>
          <w:sz w:val="20"/>
          <w:szCs w:val="20"/>
        </w:rPr>
        <w:t xml:space="preserve">with age </w:t>
      </w:r>
      <w:r w:rsidRPr="00BA4471">
        <w:rPr>
          <w:rFonts w:ascii="Arial" w:hAnsi="Arial" w:cs="Arial"/>
          <w:sz w:val="20"/>
          <w:szCs w:val="20"/>
        </w:rPr>
        <w:t xml:space="preserve">from 4 years </w:t>
      </w:r>
      <w:r w:rsidR="00D003F4" w:rsidRPr="00BA4471">
        <w:rPr>
          <w:rFonts w:ascii="Arial" w:hAnsi="Arial" w:cs="Arial"/>
          <w:sz w:val="20"/>
          <w:szCs w:val="20"/>
        </w:rPr>
        <w:t>bulls</w:t>
      </w:r>
      <w:r w:rsidRPr="00BA4471">
        <w:rPr>
          <w:rFonts w:ascii="Arial" w:hAnsi="Arial" w:cs="Arial"/>
          <w:sz w:val="20"/>
          <w:szCs w:val="20"/>
        </w:rPr>
        <w:t xml:space="preserve"> </w:t>
      </w:r>
      <w:r w:rsidR="00680BD9" w:rsidRPr="00BA4471">
        <w:rPr>
          <w:rFonts w:ascii="Arial" w:hAnsi="Arial" w:cs="Arial"/>
          <w:sz w:val="20"/>
          <w:szCs w:val="20"/>
        </w:rPr>
        <w:t xml:space="preserve">tapering at ≥8 </w:t>
      </w:r>
      <w:r w:rsidRPr="00BA4471">
        <w:rPr>
          <w:rFonts w:ascii="Arial" w:hAnsi="Arial" w:cs="Arial"/>
          <w:sz w:val="20"/>
          <w:szCs w:val="20"/>
        </w:rPr>
        <w:t xml:space="preserve">years (P &lt; .01) is indicative of </w:t>
      </w:r>
      <w:r w:rsidR="00680BD9" w:rsidRPr="00BA4471">
        <w:rPr>
          <w:rFonts w:ascii="Arial" w:hAnsi="Arial" w:cs="Arial"/>
          <w:sz w:val="20"/>
          <w:szCs w:val="20"/>
        </w:rPr>
        <w:t xml:space="preserve">that </w:t>
      </w:r>
      <w:r w:rsidRPr="00BA4471">
        <w:rPr>
          <w:rFonts w:ascii="Arial" w:hAnsi="Arial" w:cs="Arial"/>
          <w:sz w:val="20"/>
          <w:szCs w:val="20"/>
        </w:rPr>
        <w:t>the expected trend that can be used for breeding management (Prakash et al., 2021).</w:t>
      </w:r>
    </w:p>
    <w:p w14:paraId="2D4FE5B9" w14:textId="77777777" w:rsidR="009F7C14" w:rsidRPr="00BA4471" w:rsidRDefault="009F7C14" w:rsidP="00BA4471">
      <w:pPr>
        <w:spacing w:after="0" w:line="240" w:lineRule="auto"/>
        <w:jc w:val="both"/>
        <w:rPr>
          <w:rFonts w:ascii="Arial" w:hAnsi="Arial" w:cs="Arial"/>
          <w:sz w:val="20"/>
          <w:szCs w:val="20"/>
        </w:rPr>
      </w:pPr>
    </w:p>
    <w:p w14:paraId="47030807" w14:textId="5C7D28E1" w:rsidR="00D003F4" w:rsidRPr="00D003F4" w:rsidRDefault="00D003F4" w:rsidP="00BA4471">
      <w:pPr>
        <w:spacing w:line="240" w:lineRule="auto"/>
        <w:rPr>
          <w:rFonts w:ascii="Arial" w:hAnsi="Arial" w:cs="Arial"/>
          <w:b/>
          <w:bCs/>
          <w:sz w:val="20"/>
          <w:szCs w:val="20"/>
        </w:rPr>
      </w:pPr>
      <w:r w:rsidRPr="00D003F4">
        <w:rPr>
          <w:rFonts w:ascii="Arial" w:hAnsi="Arial" w:cs="Arial"/>
          <w:b/>
          <w:bCs/>
          <w:sz w:val="20"/>
          <w:szCs w:val="20"/>
        </w:rPr>
        <w:t xml:space="preserve">Table 2: Age-Specific </w:t>
      </w:r>
      <w:r w:rsidR="001722E2" w:rsidRPr="00BA4471">
        <w:rPr>
          <w:rFonts w:ascii="Arial" w:hAnsi="Arial" w:cs="Arial"/>
          <w:b/>
          <w:bCs/>
          <w:sz w:val="20"/>
          <w:szCs w:val="20"/>
        </w:rPr>
        <w:t>testosterone and oestradiol concentrations in dairy bulls</w:t>
      </w:r>
    </w:p>
    <w:tbl>
      <w:tblPr>
        <w:tblStyle w:val="TableGrid"/>
        <w:tblW w:w="8820" w:type="dxa"/>
        <w:tblInd w:w="2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40"/>
        <w:gridCol w:w="2430"/>
        <w:gridCol w:w="2340"/>
        <w:gridCol w:w="2070"/>
      </w:tblGrid>
      <w:tr w:rsidR="00B92AC8" w:rsidRPr="00BA4471" w14:paraId="2712E933" w14:textId="77777777" w:rsidTr="00EE108F">
        <w:tc>
          <w:tcPr>
            <w:tcW w:w="1440" w:type="dxa"/>
            <w:tcBorders>
              <w:top w:val="single" w:sz="4" w:space="0" w:color="auto"/>
              <w:bottom w:val="single" w:sz="4" w:space="0" w:color="auto"/>
            </w:tcBorders>
            <w:vAlign w:val="center"/>
          </w:tcPr>
          <w:p w14:paraId="7350CA4B" w14:textId="5C1F6EC5" w:rsidR="00B92AC8" w:rsidRPr="00BA4471" w:rsidRDefault="00B92AC8" w:rsidP="00BA4471">
            <w:pPr>
              <w:rPr>
                <w:rFonts w:ascii="Arial" w:hAnsi="Arial" w:cs="Arial"/>
                <w:sz w:val="20"/>
                <w:szCs w:val="20"/>
              </w:rPr>
            </w:pPr>
            <w:r w:rsidRPr="00BA4471">
              <w:rPr>
                <w:rFonts w:ascii="Arial" w:hAnsi="Arial" w:cs="Arial"/>
                <w:b/>
                <w:bCs/>
                <w:sz w:val="20"/>
                <w:szCs w:val="20"/>
              </w:rPr>
              <w:t>Age Group</w:t>
            </w:r>
          </w:p>
        </w:tc>
        <w:tc>
          <w:tcPr>
            <w:tcW w:w="540" w:type="dxa"/>
            <w:tcBorders>
              <w:top w:val="single" w:sz="4" w:space="0" w:color="auto"/>
              <w:bottom w:val="single" w:sz="4" w:space="0" w:color="auto"/>
            </w:tcBorders>
            <w:vAlign w:val="center"/>
          </w:tcPr>
          <w:p w14:paraId="7D6D9448" w14:textId="3CE9752D" w:rsidR="00B92AC8" w:rsidRPr="00BA4471" w:rsidRDefault="00B92AC8" w:rsidP="00BA4471">
            <w:pPr>
              <w:rPr>
                <w:rFonts w:ascii="Arial" w:hAnsi="Arial" w:cs="Arial"/>
                <w:sz w:val="20"/>
                <w:szCs w:val="20"/>
              </w:rPr>
            </w:pPr>
            <w:r w:rsidRPr="00BA4471">
              <w:rPr>
                <w:rFonts w:ascii="Arial" w:hAnsi="Arial" w:cs="Arial"/>
                <w:b/>
                <w:bCs/>
                <w:sz w:val="20"/>
                <w:szCs w:val="20"/>
              </w:rPr>
              <w:t>n</w:t>
            </w:r>
          </w:p>
        </w:tc>
        <w:tc>
          <w:tcPr>
            <w:tcW w:w="2430" w:type="dxa"/>
            <w:tcBorders>
              <w:top w:val="single" w:sz="4" w:space="0" w:color="auto"/>
              <w:bottom w:val="single" w:sz="4" w:space="0" w:color="auto"/>
            </w:tcBorders>
            <w:vAlign w:val="center"/>
          </w:tcPr>
          <w:p w14:paraId="6FDE83DE" w14:textId="6341119E" w:rsidR="00B92AC8" w:rsidRPr="00BA4471" w:rsidRDefault="00B92AC8" w:rsidP="00BA4471">
            <w:pPr>
              <w:rPr>
                <w:rFonts w:ascii="Arial" w:hAnsi="Arial" w:cs="Arial"/>
                <w:sz w:val="20"/>
                <w:szCs w:val="20"/>
              </w:rPr>
            </w:pPr>
            <w:r w:rsidRPr="00BA4471">
              <w:rPr>
                <w:rFonts w:ascii="Arial" w:hAnsi="Arial" w:cs="Arial"/>
                <w:b/>
                <w:bCs/>
                <w:sz w:val="20"/>
                <w:szCs w:val="20"/>
              </w:rPr>
              <w:t>Testosterone (ng/mL)</w:t>
            </w:r>
          </w:p>
        </w:tc>
        <w:tc>
          <w:tcPr>
            <w:tcW w:w="2340" w:type="dxa"/>
            <w:tcBorders>
              <w:top w:val="single" w:sz="4" w:space="0" w:color="auto"/>
              <w:bottom w:val="single" w:sz="4" w:space="0" w:color="auto"/>
            </w:tcBorders>
            <w:vAlign w:val="center"/>
          </w:tcPr>
          <w:p w14:paraId="4675C346" w14:textId="524DC52C" w:rsidR="00B92AC8" w:rsidRPr="00BA4471" w:rsidRDefault="00B92AC8" w:rsidP="00BA4471">
            <w:pPr>
              <w:rPr>
                <w:rFonts w:ascii="Arial" w:hAnsi="Arial" w:cs="Arial"/>
                <w:sz w:val="20"/>
                <w:szCs w:val="20"/>
              </w:rPr>
            </w:pPr>
            <w:r w:rsidRPr="00BA4471">
              <w:rPr>
                <w:rFonts w:ascii="Arial" w:hAnsi="Arial" w:cs="Arial"/>
                <w:b/>
                <w:bCs/>
                <w:sz w:val="20"/>
                <w:szCs w:val="20"/>
              </w:rPr>
              <w:t>Oestradiol (pg/mL)</w:t>
            </w:r>
          </w:p>
        </w:tc>
        <w:tc>
          <w:tcPr>
            <w:tcW w:w="2070" w:type="dxa"/>
            <w:tcBorders>
              <w:top w:val="single" w:sz="4" w:space="0" w:color="auto"/>
              <w:bottom w:val="single" w:sz="4" w:space="0" w:color="auto"/>
            </w:tcBorders>
            <w:vAlign w:val="center"/>
          </w:tcPr>
          <w:p w14:paraId="2ED1365D" w14:textId="0C91FC9C" w:rsidR="00B92AC8" w:rsidRPr="00BA4471" w:rsidRDefault="00B92AC8" w:rsidP="00BA4471">
            <w:pPr>
              <w:rPr>
                <w:rFonts w:ascii="Arial" w:hAnsi="Arial" w:cs="Arial"/>
                <w:sz w:val="20"/>
                <w:szCs w:val="20"/>
              </w:rPr>
            </w:pPr>
            <w:r w:rsidRPr="00BA4471">
              <w:rPr>
                <w:rFonts w:ascii="Arial" w:hAnsi="Arial" w:cs="Arial"/>
                <w:b/>
                <w:bCs/>
                <w:sz w:val="20"/>
                <w:szCs w:val="20"/>
              </w:rPr>
              <w:t>T:E Ratio</w:t>
            </w:r>
          </w:p>
        </w:tc>
      </w:tr>
      <w:tr w:rsidR="00B92AC8" w:rsidRPr="00BA4471" w14:paraId="56191A75" w14:textId="77777777" w:rsidTr="00EE108F">
        <w:tc>
          <w:tcPr>
            <w:tcW w:w="1440" w:type="dxa"/>
            <w:tcBorders>
              <w:top w:val="single" w:sz="4" w:space="0" w:color="auto"/>
            </w:tcBorders>
            <w:vAlign w:val="center"/>
          </w:tcPr>
          <w:p w14:paraId="6B6A7E3D" w14:textId="5794950F" w:rsidR="00B92AC8" w:rsidRPr="00BA4471" w:rsidRDefault="00B92AC8" w:rsidP="00BA4471">
            <w:pPr>
              <w:rPr>
                <w:rFonts w:ascii="Arial" w:hAnsi="Arial" w:cs="Arial"/>
                <w:sz w:val="20"/>
                <w:szCs w:val="20"/>
              </w:rPr>
            </w:pPr>
            <w:r w:rsidRPr="00BA4471">
              <w:rPr>
                <w:rFonts w:ascii="Arial" w:hAnsi="Arial" w:cs="Arial"/>
                <w:sz w:val="20"/>
                <w:szCs w:val="20"/>
              </w:rPr>
              <w:t>6 months</w:t>
            </w:r>
          </w:p>
        </w:tc>
        <w:tc>
          <w:tcPr>
            <w:tcW w:w="540" w:type="dxa"/>
            <w:tcBorders>
              <w:top w:val="single" w:sz="4" w:space="0" w:color="auto"/>
            </w:tcBorders>
            <w:vAlign w:val="center"/>
          </w:tcPr>
          <w:p w14:paraId="6F79E0D8" w14:textId="7A27369D"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tcBorders>
              <w:top w:val="single" w:sz="4" w:space="0" w:color="auto"/>
            </w:tcBorders>
            <w:vAlign w:val="center"/>
          </w:tcPr>
          <w:p w14:paraId="31B3B3E2" w14:textId="6639E696" w:rsidR="00B92AC8" w:rsidRPr="00BA4471" w:rsidRDefault="00B92AC8" w:rsidP="00BA4471">
            <w:pPr>
              <w:rPr>
                <w:rFonts w:ascii="Arial" w:hAnsi="Arial" w:cs="Arial"/>
                <w:sz w:val="20"/>
                <w:szCs w:val="20"/>
                <w:vertAlign w:val="superscript"/>
              </w:rPr>
            </w:pPr>
            <w:r w:rsidRPr="00BA4471">
              <w:rPr>
                <w:rFonts w:ascii="Arial" w:hAnsi="Arial" w:cs="Arial"/>
                <w:sz w:val="20"/>
                <w:szCs w:val="20"/>
              </w:rPr>
              <w:t>1.2 ± 0.21</w:t>
            </w:r>
            <w:r w:rsidR="002C2626" w:rsidRPr="00BA4471">
              <w:rPr>
                <w:rFonts w:ascii="Arial" w:hAnsi="Arial" w:cs="Arial"/>
                <w:sz w:val="20"/>
                <w:szCs w:val="20"/>
                <w:vertAlign w:val="superscript"/>
              </w:rPr>
              <w:t>a</w:t>
            </w:r>
          </w:p>
        </w:tc>
        <w:tc>
          <w:tcPr>
            <w:tcW w:w="2340" w:type="dxa"/>
            <w:tcBorders>
              <w:top w:val="single" w:sz="4" w:space="0" w:color="auto"/>
            </w:tcBorders>
            <w:vAlign w:val="center"/>
          </w:tcPr>
          <w:p w14:paraId="5608B0DA" w14:textId="12F8FDEF" w:rsidR="00B92AC8" w:rsidRPr="00BA4471" w:rsidRDefault="00B92AC8" w:rsidP="00BA4471">
            <w:pPr>
              <w:rPr>
                <w:rFonts w:ascii="Arial" w:hAnsi="Arial" w:cs="Arial"/>
                <w:sz w:val="20"/>
                <w:szCs w:val="20"/>
              </w:rPr>
            </w:pPr>
            <w:r w:rsidRPr="00BA4471">
              <w:rPr>
                <w:rFonts w:ascii="Arial" w:hAnsi="Arial" w:cs="Arial"/>
                <w:sz w:val="20"/>
                <w:szCs w:val="20"/>
              </w:rPr>
              <w:t>22.4 ± 1.30</w:t>
            </w:r>
            <w:r w:rsidR="002C2626" w:rsidRPr="00BA4471">
              <w:rPr>
                <w:rFonts w:ascii="Arial" w:hAnsi="Arial" w:cs="Arial"/>
                <w:sz w:val="20"/>
                <w:szCs w:val="20"/>
                <w:vertAlign w:val="superscript"/>
              </w:rPr>
              <w:t>ab</w:t>
            </w:r>
          </w:p>
        </w:tc>
        <w:tc>
          <w:tcPr>
            <w:tcW w:w="2070" w:type="dxa"/>
            <w:tcBorders>
              <w:top w:val="single" w:sz="4" w:space="0" w:color="auto"/>
            </w:tcBorders>
            <w:vAlign w:val="center"/>
          </w:tcPr>
          <w:p w14:paraId="26758D8A" w14:textId="2B485731" w:rsidR="00B92AC8" w:rsidRPr="00BA4471" w:rsidRDefault="00B92AC8" w:rsidP="00BA4471">
            <w:pPr>
              <w:rPr>
                <w:rFonts w:ascii="Arial" w:hAnsi="Arial" w:cs="Arial"/>
                <w:sz w:val="20"/>
                <w:szCs w:val="20"/>
              </w:rPr>
            </w:pPr>
            <w:r w:rsidRPr="00BA4471">
              <w:rPr>
                <w:rFonts w:ascii="Arial" w:hAnsi="Arial" w:cs="Arial"/>
                <w:sz w:val="20"/>
                <w:szCs w:val="20"/>
              </w:rPr>
              <w:t>58.3 ± 9.8</w:t>
            </w:r>
            <w:r w:rsidR="007713B8" w:rsidRPr="00BA4471">
              <w:rPr>
                <w:rFonts w:ascii="Arial" w:hAnsi="Arial" w:cs="Arial"/>
                <w:sz w:val="20"/>
                <w:szCs w:val="20"/>
                <w:vertAlign w:val="superscript"/>
              </w:rPr>
              <w:t>a</w:t>
            </w:r>
          </w:p>
        </w:tc>
      </w:tr>
      <w:tr w:rsidR="00B92AC8" w:rsidRPr="00BA4471" w14:paraId="2C9A5F2A" w14:textId="77777777" w:rsidTr="00EE108F">
        <w:tc>
          <w:tcPr>
            <w:tcW w:w="1440" w:type="dxa"/>
            <w:vAlign w:val="center"/>
          </w:tcPr>
          <w:p w14:paraId="1A1D5831" w14:textId="2A8BDBEC" w:rsidR="00B92AC8" w:rsidRPr="00BA4471" w:rsidRDefault="00B92AC8" w:rsidP="00BA4471">
            <w:pPr>
              <w:rPr>
                <w:rFonts w:ascii="Arial" w:hAnsi="Arial" w:cs="Arial"/>
                <w:sz w:val="20"/>
                <w:szCs w:val="20"/>
              </w:rPr>
            </w:pPr>
            <w:r w:rsidRPr="00BA4471">
              <w:rPr>
                <w:rFonts w:ascii="Arial" w:hAnsi="Arial" w:cs="Arial"/>
                <w:sz w:val="20"/>
                <w:szCs w:val="20"/>
              </w:rPr>
              <w:t>1 year</w:t>
            </w:r>
          </w:p>
        </w:tc>
        <w:tc>
          <w:tcPr>
            <w:tcW w:w="540" w:type="dxa"/>
            <w:vAlign w:val="center"/>
          </w:tcPr>
          <w:p w14:paraId="72CCFF14" w14:textId="5280C54C"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3D6293B5" w14:textId="6C7E944E" w:rsidR="00B92AC8" w:rsidRPr="00BA4471" w:rsidRDefault="00B92AC8" w:rsidP="00BA4471">
            <w:pPr>
              <w:rPr>
                <w:rFonts w:ascii="Arial" w:hAnsi="Arial" w:cs="Arial"/>
                <w:sz w:val="20"/>
                <w:szCs w:val="20"/>
              </w:rPr>
            </w:pPr>
            <w:r w:rsidRPr="00BA4471">
              <w:rPr>
                <w:rFonts w:ascii="Arial" w:hAnsi="Arial" w:cs="Arial"/>
                <w:sz w:val="20"/>
                <w:szCs w:val="20"/>
              </w:rPr>
              <w:t>3.4 ± 0.19</w:t>
            </w:r>
            <w:r w:rsidR="006C6C53" w:rsidRPr="00BA4471">
              <w:rPr>
                <w:rFonts w:ascii="Arial" w:hAnsi="Arial" w:cs="Arial"/>
                <w:sz w:val="20"/>
                <w:szCs w:val="20"/>
                <w:vertAlign w:val="superscript"/>
              </w:rPr>
              <w:t>b</w:t>
            </w:r>
          </w:p>
        </w:tc>
        <w:tc>
          <w:tcPr>
            <w:tcW w:w="2340" w:type="dxa"/>
            <w:vAlign w:val="center"/>
          </w:tcPr>
          <w:p w14:paraId="09C960E5" w14:textId="4613BDD4" w:rsidR="00B92AC8" w:rsidRPr="00BA4471" w:rsidRDefault="00B92AC8" w:rsidP="00BA4471">
            <w:pPr>
              <w:rPr>
                <w:rFonts w:ascii="Arial" w:hAnsi="Arial" w:cs="Arial"/>
                <w:sz w:val="20"/>
                <w:szCs w:val="20"/>
              </w:rPr>
            </w:pPr>
            <w:r w:rsidRPr="00BA4471">
              <w:rPr>
                <w:rFonts w:ascii="Arial" w:hAnsi="Arial" w:cs="Arial"/>
                <w:sz w:val="20"/>
                <w:szCs w:val="20"/>
              </w:rPr>
              <w:t>45.6 ± 2.6</w:t>
            </w:r>
            <w:r w:rsidR="007713B8" w:rsidRPr="00BA4471">
              <w:rPr>
                <w:rFonts w:ascii="Arial" w:hAnsi="Arial" w:cs="Arial"/>
                <w:sz w:val="20"/>
                <w:szCs w:val="20"/>
                <w:vertAlign w:val="superscript"/>
              </w:rPr>
              <w:t>c</w:t>
            </w:r>
          </w:p>
        </w:tc>
        <w:tc>
          <w:tcPr>
            <w:tcW w:w="2070" w:type="dxa"/>
            <w:vAlign w:val="center"/>
          </w:tcPr>
          <w:p w14:paraId="0D96F860" w14:textId="73D587DC" w:rsidR="00B92AC8" w:rsidRPr="00BA4471" w:rsidRDefault="00B92AC8" w:rsidP="00BA4471">
            <w:pPr>
              <w:rPr>
                <w:rFonts w:ascii="Arial" w:hAnsi="Arial" w:cs="Arial"/>
                <w:sz w:val="20"/>
                <w:szCs w:val="20"/>
              </w:rPr>
            </w:pPr>
            <w:r w:rsidRPr="00BA4471">
              <w:rPr>
                <w:rFonts w:ascii="Arial" w:hAnsi="Arial" w:cs="Arial"/>
                <w:sz w:val="20"/>
                <w:szCs w:val="20"/>
              </w:rPr>
              <w:t>81.2 ± 12.4</w:t>
            </w:r>
            <w:r w:rsidR="007713B8" w:rsidRPr="00BA4471">
              <w:rPr>
                <w:rFonts w:ascii="Arial" w:hAnsi="Arial" w:cs="Arial"/>
                <w:sz w:val="20"/>
                <w:szCs w:val="20"/>
                <w:vertAlign w:val="superscript"/>
              </w:rPr>
              <w:t>ab</w:t>
            </w:r>
          </w:p>
        </w:tc>
      </w:tr>
      <w:tr w:rsidR="00B92AC8" w:rsidRPr="00BA4471" w14:paraId="7A2B4CE7" w14:textId="77777777" w:rsidTr="00EE108F">
        <w:tc>
          <w:tcPr>
            <w:tcW w:w="1440" w:type="dxa"/>
            <w:vAlign w:val="center"/>
          </w:tcPr>
          <w:p w14:paraId="250C1F62" w14:textId="3E8D4470" w:rsidR="00B92AC8" w:rsidRPr="00BA4471" w:rsidRDefault="00B92AC8" w:rsidP="00BA4471">
            <w:pPr>
              <w:rPr>
                <w:rFonts w:ascii="Arial" w:hAnsi="Arial" w:cs="Arial"/>
                <w:sz w:val="20"/>
                <w:szCs w:val="20"/>
              </w:rPr>
            </w:pPr>
            <w:r w:rsidRPr="00BA4471">
              <w:rPr>
                <w:rFonts w:ascii="Arial" w:hAnsi="Arial" w:cs="Arial"/>
                <w:sz w:val="20"/>
                <w:szCs w:val="20"/>
              </w:rPr>
              <w:t>2 years</w:t>
            </w:r>
          </w:p>
        </w:tc>
        <w:tc>
          <w:tcPr>
            <w:tcW w:w="540" w:type="dxa"/>
            <w:vAlign w:val="center"/>
          </w:tcPr>
          <w:p w14:paraId="5D1CB044" w14:textId="4C874DAF"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30A30D5A" w14:textId="26E63D19" w:rsidR="00B92AC8" w:rsidRPr="00BA4471" w:rsidRDefault="00B92AC8" w:rsidP="00BA4471">
            <w:pPr>
              <w:rPr>
                <w:rFonts w:ascii="Arial" w:hAnsi="Arial" w:cs="Arial"/>
                <w:sz w:val="20"/>
                <w:szCs w:val="20"/>
              </w:rPr>
            </w:pPr>
            <w:r w:rsidRPr="00BA4471">
              <w:rPr>
                <w:rFonts w:ascii="Arial" w:hAnsi="Arial" w:cs="Arial"/>
                <w:sz w:val="20"/>
                <w:szCs w:val="20"/>
              </w:rPr>
              <w:t>6.1 ± 0.25</w:t>
            </w:r>
            <w:r w:rsidR="006C6C53" w:rsidRPr="00BA4471">
              <w:rPr>
                <w:rFonts w:ascii="Arial" w:hAnsi="Arial" w:cs="Arial"/>
                <w:sz w:val="20"/>
                <w:szCs w:val="20"/>
                <w:vertAlign w:val="superscript"/>
              </w:rPr>
              <w:t>c</w:t>
            </w:r>
          </w:p>
        </w:tc>
        <w:tc>
          <w:tcPr>
            <w:tcW w:w="2340" w:type="dxa"/>
            <w:vAlign w:val="center"/>
          </w:tcPr>
          <w:p w14:paraId="7A43F7B4" w14:textId="16C220F7" w:rsidR="00B92AC8" w:rsidRPr="00BA4471" w:rsidRDefault="00B92AC8" w:rsidP="00BA4471">
            <w:pPr>
              <w:rPr>
                <w:rFonts w:ascii="Arial" w:hAnsi="Arial" w:cs="Arial"/>
                <w:sz w:val="20"/>
                <w:szCs w:val="20"/>
              </w:rPr>
            </w:pPr>
            <w:r w:rsidRPr="00BA4471">
              <w:rPr>
                <w:rFonts w:ascii="Arial" w:hAnsi="Arial" w:cs="Arial"/>
                <w:sz w:val="20"/>
                <w:szCs w:val="20"/>
              </w:rPr>
              <w:t>24.7 ± 1.6</w:t>
            </w:r>
            <w:r w:rsidR="007713B8" w:rsidRPr="00BA4471">
              <w:rPr>
                <w:rFonts w:ascii="Arial" w:hAnsi="Arial" w:cs="Arial"/>
                <w:sz w:val="20"/>
                <w:szCs w:val="20"/>
                <w:vertAlign w:val="superscript"/>
              </w:rPr>
              <w:t>ab</w:t>
            </w:r>
          </w:p>
        </w:tc>
        <w:tc>
          <w:tcPr>
            <w:tcW w:w="2070" w:type="dxa"/>
            <w:vAlign w:val="center"/>
          </w:tcPr>
          <w:p w14:paraId="1C82B592" w14:textId="1F0BE72F" w:rsidR="00B92AC8" w:rsidRPr="00BA4471" w:rsidRDefault="00B92AC8" w:rsidP="00BA4471">
            <w:pPr>
              <w:rPr>
                <w:rFonts w:ascii="Arial" w:hAnsi="Arial" w:cs="Arial"/>
                <w:sz w:val="20"/>
                <w:szCs w:val="20"/>
              </w:rPr>
            </w:pPr>
            <w:r w:rsidRPr="00BA4471">
              <w:rPr>
                <w:rFonts w:ascii="Arial" w:hAnsi="Arial" w:cs="Arial"/>
                <w:sz w:val="20"/>
                <w:szCs w:val="20"/>
              </w:rPr>
              <w:t>268.4 ± 32.6</w:t>
            </w:r>
            <w:r w:rsidR="007713B8" w:rsidRPr="00BA4471">
              <w:rPr>
                <w:rFonts w:ascii="Arial" w:hAnsi="Arial" w:cs="Arial"/>
                <w:sz w:val="20"/>
                <w:szCs w:val="20"/>
                <w:vertAlign w:val="superscript"/>
              </w:rPr>
              <w:t>c</w:t>
            </w:r>
          </w:p>
        </w:tc>
      </w:tr>
      <w:tr w:rsidR="00B92AC8" w:rsidRPr="00BA4471" w14:paraId="30FA78FF" w14:textId="77777777" w:rsidTr="00EE108F">
        <w:tc>
          <w:tcPr>
            <w:tcW w:w="1440" w:type="dxa"/>
            <w:vAlign w:val="center"/>
          </w:tcPr>
          <w:p w14:paraId="06C3F0CD" w14:textId="3CE1DE3E" w:rsidR="00B92AC8" w:rsidRPr="00BA4471" w:rsidRDefault="00B92AC8" w:rsidP="00BA4471">
            <w:pPr>
              <w:rPr>
                <w:rFonts w:ascii="Arial" w:hAnsi="Arial" w:cs="Arial"/>
                <w:sz w:val="20"/>
                <w:szCs w:val="20"/>
              </w:rPr>
            </w:pPr>
            <w:r w:rsidRPr="00BA4471">
              <w:rPr>
                <w:rFonts w:ascii="Arial" w:hAnsi="Arial" w:cs="Arial"/>
                <w:sz w:val="20"/>
                <w:szCs w:val="20"/>
              </w:rPr>
              <w:t>3 years</w:t>
            </w:r>
          </w:p>
        </w:tc>
        <w:tc>
          <w:tcPr>
            <w:tcW w:w="540" w:type="dxa"/>
            <w:vAlign w:val="center"/>
          </w:tcPr>
          <w:p w14:paraId="25F99535" w14:textId="4017C6EB"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72DDD696" w14:textId="6D268878" w:rsidR="00B92AC8" w:rsidRPr="00BA4471" w:rsidRDefault="00B92AC8" w:rsidP="00BA4471">
            <w:pPr>
              <w:rPr>
                <w:rFonts w:ascii="Arial" w:hAnsi="Arial" w:cs="Arial"/>
                <w:sz w:val="20"/>
                <w:szCs w:val="20"/>
              </w:rPr>
            </w:pPr>
            <w:r w:rsidRPr="00BA4471">
              <w:rPr>
                <w:rFonts w:ascii="Arial" w:hAnsi="Arial" w:cs="Arial"/>
                <w:sz w:val="20"/>
                <w:szCs w:val="20"/>
              </w:rPr>
              <w:t>7.8 ± 0.28</w:t>
            </w:r>
            <w:r w:rsidR="006C6C53" w:rsidRPr="00BA4471">
              <w:rPr>
                <w:rFonts w:ascii="Arial" w:hAnsi="Arial" w:cs="Arial"/>
                <w:sz w:val="20"/>
                <w:szCs w:val="20"/>
                <w:vertAlign w:val="superscript"/>
              </w:rPr>
              <w:t>d</w:t>
            </w:r>
          </w:p>
        </w:tc>
        <w:tc>
          <w:tcPr>
            <w:tcW w:w="2340" w:type="dxa"/>
            <w:vAlign w:val="center"/>
          </w:tcPr>
          <w:p w14:paraId="437E2B82" w14:textId="14D6EB24" w:rsidR="00B92AC8" w:rsidRPr="00BA4471" w:rsidRDefault="00B92AC8" w:rsidP="00BA4471">
            <w:pPr>
              <w:rPr>
                <w:rFonts w:ascii="Arial" w:hAnsi="Arial" w:cs="Arial"/>
                <w:sz w:val="20"/>
                <w:szCs w:val="20"/>
              </w:rPr>
            </w:pPr>
            <w:r w:rsidRPr="00BA4471">
              <w:rPr>
                <w:rFonts w:ascii="Arial" w:hAnsi="Arial" w:cs="Arial"/>
                <w:sz w:val="20"/>
                <w:szCs w:val="20"/>
              </w:rPr>
              <w:t>21.3 ± 1.5</w:t>
            </w:r>
            <w:r w:rsidR="007713B8" w:rsidRPr="00BA4471">
              <w:rPr>
                <w:rFonts w:ascii="Arial" w:hAnsi="Arial" w:cs="Arial"/>
                <w:sz w:val="20"/>
                <w:szCs w:val="20"/>
                <w:vertAlign w:val="superscript"/>
              </w:rPr>
              <w:t>ab</w:t>
            </w:r>
          </w:p>
        </w:tc>
        <w:tc>
          <w:tcPr>
            <w:tcW w:w="2070" w:type="dxa"/>
            <w:vAlign w:val="center"/>
          </w:tcPr>
          <w:p w14:paraId="5A57ED2C" w14:textId="639EA9CC" w:rsidR="00B92AC8" w:rsidRPr="00BA4471" w:rsidRDefault="00B92AC8" w:rsidP="00BA4471">
            <w:pPr>
              <w:rPr>
                <w:rFonts w:ascii="Arial" w:hAnsi="Arial" w:cs="Arial"/>
                <w:sz w:val="20"/>
                <w:szCs w:val="20"/>
              </w:rPr>
            </w:pPr>
            <w:r w:rsidRPr="00BA4471">
              <w:rPr>
                <w:rFonts w:ascii="Arial" w:hAnsi="Arial" w:cs="Arial"/>
                <w:sz w:val="20"/>
                <w:szCs w:val="20"/>
              </w:rPr>
              <w:t>395.8 ± 49.1</w:t>
            </w:r>
            <w:r w:rsidR="007713B8" w:rsidRPr="00BA4471">
              <w:rPr>
                <w:rFonts w:ascii="Arial" w:hAnsi="Arial" w:cs="Arial"/>
                <w:sz w:val="20"/>
                <w:szCs w:val="20"/>
                <w:vertAlign w:val="superscript"/>
              </w:rPr>
              <w:t>d</w:t>
            </w:r>
          </w:p>
        </w:tc>
      </w:tr>
      <w:tr w:rsidR="00B92AC8" w:rsidRPr="00BA4471" w14:paraId="53C5372F" w14:textId="77777777" w:rsidTr="00EE108F">
        <w:tc>
          <w:tcPr>
            <w:tcW w:w="1440" w:type="dxa"/>
            <w:vAlign w:val="center"/>
          </w:tcPr>
          <w:p w14:paraId="0074AD49" w14:textId="07681C86" w:rsidR="00B92AC8" w:rsidRPr="00BA4471" w:rsidRDefault="00B92AC8" w:rsidP="00BA4471">
            <w:pPr>
              <w:rPr>
                <w:rFonts w:ascii="Arial" w:hAnsi="Arial" w:cs="Arial"/>
                <w:sz w:val="20"/>
                <w:szCs w:val="20"/>
              </w:rPr>
            </w:pPr>
            <w:r w:rsidRPr="00BA4471">
              <w:rPr>
                <w:rFonts w:ascii="Arial" w:hAnsi="Arial" w:cs="Arial"/>
                <w:sz w:val="20"/>
                <w:szCs w:val="20"/>
              </w:rPr>
              <w:t>4 years</w:t>
            </w:r>
          </w:p>
        </w:tc>
        <w:tc>
          <w:tcPr>
            <w:tcW w:w="540" w:type="dxa"/>
            <w:vAlign w:val="center"/>
          </w:tcPr>
          <w:p w14:paraId="1728755B" w14:textId="401AFD4C"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062AE181" w14:textId="284F6936" w:rsidR="00B92AC8" w:rsidRPr="00BA4471" w:rsidRDefault="00B92AC8" w:rsidP="00BA4471">
            <w:pPr>
              <w:rPr>
                <w:rFonts w:ascii="Arial" w:hAnsi="Arial" w:cs="Arial"/>
                <w:sz w:val="20"/>
                <w:szCs w:val="20"/>
              </w:rPr>
            </w:pPr>
            <w:r w:rsidRPr="00BA4471">
              <w:rPr>
                <w:rFonts w:ascii="Arial" w:hAnsi="Arial" w:cs="Arial"/>
                <w:sz w:val="20"/>
                <w:szCs w:val="20"/>
              </w:rPr>
              <w:t>8.9 ± 0.38</w:t>
            </w:r>
            <w:r w:rsidR="006C6C53" w:rsidRPr="00BA4471">
              <w:rPr>
                <w:rFonts w:ascii="Arial" w:hAnsi="Arial" w:cs="Arial"/>
                <w:sz w:val="20"/>
                <w:szCs w:val="20"/>
                <w:vertAlign w:val="superscript"/>
              </w:rPr>
              <w:t>c</w:t>
            </w:r>
          </w:p>
        </w:tc>
        <w:tc>
          <w:tcPr>
            <w:tcW w:w="2340" w:type="dxa"/>
            <w:vAlign w:val="center"/>
          </w:tcPr>
          <w:p w14:paraId="3619CEBE" w14:textId="006AD2C4" w:rsidR="00B92AC8" w:rsidRPr="00BA4471" w:rsidRDefault="00B92AC8" w:rsidP="00BA4471">
            <w:pPr>
              <w:rPr>
                <w:rFonts w:ascii="Arial" w:hAnsi="Arial" w:cs="Arial"/>
                <w:sz w:val="20"/>
                <w:szCs w:val="20"/>
              </w:rPr>
            </w:pPr>
            <w:r w:rsidRPr="00BA4471">
              <w:rPr>
                <w:rFonts w:ascii="Arial" w:hAnsi="Arial" w:cs="Arial"/>
                <w:sz w:val="20"/>
                <w:szCs w:val="20"/>
              </w:rPr>
              <w:t>18.2 ± 1.2</w:t>
            </w:r>
            <w:r w:rsidR="007713B8" w:rsidRPr="00BA4471">
              <w:rPr>
                <w:rFonts w:ascii="Arial" w:hAnsi="Arial" w:cs="Arial"/>
                <w:sz w:val="20"/>
                <w:szCs w:val="20"/>
                <w:vertAlign w:val="superscript"/>
              </w:rPr>
              <w:t>a</w:t>
            </w:r>
          </w:p>
        </w:tc>
        <w:tc>
          <w:tcPr>
            <w:tcW w:w="2070" w:type="dxa"/>
            <w:vAlign w:val="center"/>
          </w:tcPr>
          <w:p w14:paraId="171D2C0D" w14:textId="5ECBD974" w:rsidR="00B92AC8" w:rsidRPr="00BA4471" w:rsidRDefault="00B92AC8" w:rsidP="00BA4471">
            <w:pPr>
              <w:rPr>
                <w:rFonts w:ascii="Arial" w:hAnsi="Arial" w:cs="Arial"/>
                <w:sz w:val="20"/>
                <w:szCs w:val="20"/>
              </w:rPr>
            </w:pPr>
            <w:r w:rsidRPr="00BA4471">
              <w:rPr>
                <w:rFonts w:ascii="Arial" w:hAnsi="Arial" w:cs="Arial"/>
                <w:sz w:val="20"/>
                <w:szCs w:val="20"/>
              </w:rPr>
              <w:t>532.1 ± 70.6</w:t>
            </w:r>
            <w:r w:rsidR="007713B8" w:rsidRPr="00BA4471">
              <w:rPr>
                <w:rFonts w:ascii="Arial" w:hAnsi="Arial" w:cs="Arial"/>
                <w:sz w:val="20"/>
                <w:szCs w:val="20"/>
                <w:vertAlign w:val="superscript"/>
              </w:rPr>
              <w:t>e</w:t>
            </w:r>
          </w:p>
        </w:tc>
      </w:tr>
      <w:tr w:rsidR="00B92AC8" w:rsidRPr="00BA4471" w14:paraId="4236B851" w14:textId="77777777" w:rsidTr="00EE108F">
        <w:tc>
          <w:tcPr>
            <w:tcW w:w="1440" w:type="dxa"/>
            <w:vAlign w:val="center"/>
          </w:tcPr>
          <w:p w14:paraId="1F76EFD0" w14:textId="50385E5F" w:rsidR="00B92AC8" w:rsidRPr="00BA4471" w:rsidRDefault="00B92AC8" w:rsidP="00BA4471">
            <w:pPr>
              <w:rPr>
                <w:rFonts w:ascii="Arial" w:hAnsi="Arial" w:cs="Arial"/>
                <w:sz w:val="20"/>
                <w:szCs w:val="20"/>
              </w:rPr>
            </w:pPr>
            <w:r w:rsidRPr="00BA4471">
              <w:rPr>
                <w:rFonts w:ascii="Arial" w:hAnsi="Arial" w:cs="Arial"/>
                <w:sz w:val="20"/>
                <w:szCs w:val="20"/>
              </w:rPr>
              <w:t>5 years</w:t>
            </w:r>
          </w:p>
        </w:tc>
        <w:tc>
          <w:tcPr>
            <w:tcW w:w="540" w:type="dxa"/>
            <w:vAlign w:val="center"/>
          </w:tcPr>
          <w:p w14:paraId="30DACB97" w14:textId="1D8940A0"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54C12F34" w14:textId="7AEDBAC3" w:rsidR="00B92AC8" w:rsidRPr="00BA4471" w:rsidRDefault="00B92AC8" w:rsidP="00BA4471">
            <w:pPr>
              <w:rPr>
                <w:rFonts w:ascii="Arial" w:hAnsi="Arial" w:cs="Arial"/>
                <w:sz w:val="20"/>
                <w:szCs w:val="20"/>
              </w:rPr>
            </w:pPr>
            <w:r w:rsidRPr="00BA4471">
              <w:rPr>
                <w:rFonts w:ascii="Arial" w:hAnsi="Arial" w:cs="Arial"/>
                <w:sz w:val="20"/>
                <w:szCs w:val="20"/>
              </w:rPr>
              <w:t>7.8 ± 0.32</w:t>
            </w:r>
            <w:r w:rsidR="009E3317" w:rsidRPr="00BA4471">
              <w:rPr>
                <w:rFonts w:ascii="Arial" w:hAnsi="Arial" w:cs="Arial"/>
                <w:sz w:val="20"/>
                <w:szCs w:val="20"/>
                <w:vertAlign w:val="superscript"/>
              </w:rPr>
              <w:t>d</w:t>
            </w:r>
          </w:p>
        </w:tc>
        <w:tc>
          <w:tcPr>
            <w:tcW w:w="2340" w:type="dxa"/>
            <w:vAlign w:val="center"/>
          </w:tcPr>
          <w:p w14:paraId="123CC572" w14:textId="17F8A5E5" w:rsidR="00B92AC8" w:rsidRPr="00BA4471" w:rsidRDefault="00B92AC8" w:rsidP="00BA4471">
            <w:pPr>
              <w:rPr>
                <w:rFonts w:ascii="Arial" w:hAnsi="Arial" w:cs="Arial"/>
                <w:sz w:val="20"/>
                <w:szCs w:val="20"/>
              </w:rPr>
            </w:pPr>
            <w:r w:rsidRPr="00BA4471">
              <w:rPr>
                <w:rFonts w:ascii="Arial" w:hAnsi="Arial" w:cs="Arial"/>
                <w:sz w:val="20"/>
                <w:szCs w:val="20"/>
              </w:rPr>
              <w:t>19.1 ± 1.3</w:t>
            </w:r>
            <w:r w:rsidR="007713B8" w:rsidRPr="00BA4471">
              <w:rPr>
                <w:rFonts w:ascii="Arial" w:hAnsi="Arial" w:cs="Arial"/>
                <w:sz w:val="20"/>
                <w:szCs w:val="20"/>
                <w:vertAlign w:val="superscript"/>
              </w:rPr>
              <w:t>a</w:t>
            </w:r>
          </w:p>
        </w:tc>
        <w:tc>
          <w:tcPr>
            <w:tcW w:w="2070" w:type="dxa"/>
            <w:vAlign w:val="center"/>
          </w:tcPr>
          <w:p w14:paraId="406F5AF0" w14:textId="5BED3997" w:rsidR="00B92AC8" w:rsidRPr="00BA4471" w:rsidRDefault="00B92AC8" w:rsidP="00BA4471">
            <w:pPr>
              <w:rPr>
                <w:rFonts w:ascii="Arial" w:hAnsi="Arial" w:cs="Arial"/>
                <w:sz w:val="20"/>
                <w:szCs w:val="20"/>
              </w:rPr>
            </w:pPr>
            <w:r w:rsidRPr="00BA4471">
              <w:rPr>
                <w:rFonts w:ascii="Arial" w:hAnsi="Arial" w:cs="Arial"/>
                <w:sz w:val="20"/>
                <w:szCs w:val="20"/>
              </w:rPr>
              <w:t>442.6 ± 57.3</w:t>
            </w:r>
            <w:r w:rsidR="007713B8" w:rsidRPr="00BA4471">
              <w:rPr>
                <w:rFonts w:ascii="Arial" w:hAnsi="Arial" w:cs="Arial"/>
                <w:sz w:val="20"/>
                <w:szCs w:val="20"/>
                <w:vertAlign w:val="superscript"/>
              </w:rPr>
              <w:t>de</w:t>
            </w:r>
          </w:p>
        </w:tc>
      </w:tr>
      <w:tr w:rsidR="00B92AC8" w:rsidRPr="00BA4471" w14:paraId="05529D91" w14:textId="77777777" w:rsidTr="00EE108F">
        <w:tc>
          <w:tcPr>
            <w:tcW w:w="1440" w:type="dxa"/>
            <w:vAlign w:val="center"/>
          </w:tcPr>
          <w:p w14:paraId="2F953F5C" w14:textId="16B6BE36" w:rsidR="00B92AC8" w:rsidRPr="00BA4471" w:rsidRDefault="00B92AC8" w:rsidP="00BA4471">
            <w:pPr>
              <w:rPr>
                <w:rFonts w:ascii="Arial" w:hAnsi="Arial" w:cs="Arial"/>
                <w:sz w:val="20"/>
                <w:szCs w:val="20"/>
              </w:rPr>
            </w:pPr>
            <w:r w:rsidRPr="00BA4471">
              <w:rPr>
                <w:rFonts w:ascii="Arial" w:hAnsi="Arial" w:cs="Arial"/>
                <w:sz w:val="20"/>
                <w:szCs w:val="20"/>
              </w:rPr>
              <w:t>6 years</w:t>
            </w:r>
          </w:p>
        </w:tc>
        <w:tc>
          <w:tcPr>
            <w:tcW w:w="540" w:type="dxa"/>
            <w:vAlign w:val="center"/>
          </w:tcPr>
          <w:p w14:paraId="0BAC7FE5" w14:textId="7BABD1FD"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73B33500" w14:textId="61F64EDA" w:rsidR="00B92AC8" w:rsidRPr="00BA4471" w:rsidRDefault="00B92AC8" w:rsidP="00BA4471">
            <w:pPr>
              <w:rPr>
                <w:rFonts w:ascii="Arial" w:hAnsi="Arial" w:cs="Arial"/>
                <w:sz w:val="20"/>
                <w:szCs w:val="20"/>
              </w:rPr>
            </w:pPr>
            <w:r w:rsidRPr="00BA4471">
              <w:rPr>
                <w:rFonts w:ascii="Arial" w:hAnsi="Arial" w:cs="Arial"/>
                <w:sz w:val="20"/>
                <w:szCs w:val="20"/>
              </w:rPr>
              <w:t>6.9 ± 0.28</w:t>
            </w:r>
            <w:r w:rsidR="009E3317" w:rsidRPr="00BA4471">
              <w:rPr>
                <w:rFonts w:ascii="Arial" w:hAnsi="Arial" w:cs="Arial"/>
                <w:sz w:val="20"/>
                <w:szCs w:val="20"/>
                <w:vertAlign w:val="superscript"/>
              </w:rPr>
              <w:t>cd</w:t>
            </w:r>
          </w:p>
        </w:tc>
        <w:tc>
          <w:tcPr>
            <w:tcW w:w="2340" w:type="dxa"/>
            <w:vAlign w:val="center"/>
          </w:tcPr>
          <w:p w14:paraId="3D0545C6" w14:textId="7C914858" w:rsidR="00B92AC8" w:rsidRPr="00BA4471" w:rsidRDefault="00B92AC8" w:rsidP="00BA4471">
            <w:pPr>
              <w:rPr>
                <w:rFonts w:ascii="Arial" w:hAnsi="Arial" w:cs="Arial"/>
                <w:sz w:val="20"/>
                <w:szCs w:val="20"/>
              </w:rPr>
            </w:pPr>
            <w:r w:rsidRPr="00BA4471">
              <w:rPr>
                <w:rFonts w:ascii="Arial" w:hAnsi="Arial" w:cs="Arial"/>
                <w:sz w:val="20"/>
                <w:szCs w:val="20"/>
              </w:rPr>
              <w:t>20.3 ± 1.5</w:t>
            </w:r>
            <w:r w:rsidR="007713B8" w:rsidRPr="00BA4471">
              <w:rPr>
                <w:rFonts w:ascii="Arial" w:hAnsi="Arial" w:cs="Arial"/>
                <w:sz w:val="20"/>
                <w:szCs w:val="20"/>
                <w:vertAlign w:val="superscript"/>
              </w:rPr>
              <w:t>ab</w:t>
            </w:r>
          </w:p>
        </w:tc>
        <w:tc>
          <w:tcPr>
            <w:tcW w:w="2070" w:type="dxa"/>
            <w:vAlign w:val="center"/>
          </w:tcPr>
          <w:p w14:paraId="0E5291AD" w14:textId="4560DB50" w:rsidR="00B92AC8" w:rsidRPr="00BA4471" w:rsidRDefault="00B92AC8" w:rsidP="00BA4471">
            <w:pPr>
              <w:rPr>
                <w:rFonts w:ascii="Arial" w:hAnsi="Arial" w:cs="Arial"/>
                <w:sz w:val="20"/>
                <w:szCs w:val="20"/>
              </w:rPr>
            </w:pPr>
            <w:r w:rsidRPr="00BA4471">
              <w:rPr>
                <w:rFonts w:ascii="Arial" w:hAnsi="Arial" w:cs="Arial"/>
                <w:sz w:val="20"/>
                <w:szCs w:val="20"/>
              </w:rPr>
              <w:t>368.2 ± 46.6</w:t>
            </w:r>
            <w:r w:rsidR="007713B8" w:rsidRPr="00BA4471">
              <w:rPr>
                <w:rFonts w:ascii="Arial" w:hAnsi="Arial" w:cs="Arial"/>
                <w:sz w:val="20"/>
                <w:szCs w:val="20"/>
                <w:vertAlign w:val="superscript"/>
              </w:rPr>
              <w:t>cd</w:t>
            </w:r>
          </w:p>
        </w:tc>
      </w:tr>
      <w:tr w:rsidR="00B92AC8" w:rsidRPr="00BA4471" w14:paraId="315D9AE7" w14:textId="77777777" w:rsidTr="00EE108F">
        <w:tc>
          <w:tcPr>
            <w:tcW w:w="1440" w:type="dxa"/>
            <w:vAlign w:val="center"/>
          </w:tcPr>
          <w:p w14:paraId="19433DFD" w14:textId="53D197A6" w:rsidR="00B92AC8" w:rsidRPr="00BA4471" w:rsidRDefault="00B92AC8" w:rsidP="00BA4471">
            <w:pPr>
              <w:rPr>
                <w:rFonts w:ascii="Arial" w:hAnsi="Arial" w:cs="Arial"/>
                <w:sz w:val="20"/>
                <w:szCs w:val="20"/>
              </w:rPr>
            </w:pPr>
            <w:r w:rsidRPr="00BA4471">
              <w:rPr>
                <w:rFonts w:ascii="Arial" w:hAnsi="Arial" w:cs="Arial"/>
                <w:sz w:val="20"/>
                <w:szCs w:val="20"/>
              </w:rPr>
              <w:t>7 years</w:t>
            </w:r>
          </w:p>
        </w:tc>
        <w:tc>
          <w:tcPr>
            <w:tcW w:w="540" w:type="dxa"/>
            <w:vAlign w:val="center"/>
          </w:tcPr>
          <w:p w14:paraId="43ADC7A9" w14:textId="2AB3AB40"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7CD1736F" w14:textId="309696B6" w:rsidR="00B92AC8" w:rsidRPr="00BA4471" w:rsidRDefault="00B92AC8" w:rsidP="00BA4471">
            <w:pPr>
              <w:rPr>
                <w:rFonts w:ascii="Arial" w:hAnsi="Arial" w:cs="Arial"/>
                <w:sz w:val="20"/>
                <w:szCs w:val="20"/>
              </w:rPr>
            </w:pPr>
            <w:r w:rsidRPr="00BA4471">
              <w:rPr>
                <w:rFonts w:ascii="Arial" w:hAnsi="Arial" w:cs="Arial"/>
                <w:sz w:val="20"/>
                <w:szCs w:val="20"/>
              </w:rPr>
              <w:t>6.1 ± 0.26</w:t>
            </w:r>
            <w:r w:rsidR="009E3317" w:rsidRPr="00BA4471">
              <w:rPr>
                <w:rFonts w:ascii="Arial" w:hAnsi="Arial" w:cs="Arial"/>
                <w:sz w:val="20"/>
                <w:szCs w:val="20"/>
                <w:vertAlign w:val="superscript"/>
              </w:rPr>
              <w:t>c</w:t>
            </w:r>
          </w:p>
        </w:tc>
        <w:tc>
          <w:tcPr>
            <w:tcW w:w="2340" w:type="dxa"/>
            <w:vAlign w:val="center"/>
          </w:tcPr>
          <w:p w14:paraId="0A466FC0" w14:textId="73C67D95" w:rsidR="00B92AC8" w:rsidRPr="00BA4471" w:rsidRDefault="00B92AC8" w:rsidP="00BA4471">
            <w:pPr>
              <w:rPr>
                <w:rFonts w:ascii="Arial" w:hAnsi="Arial" w:cs="Arial"/>
                <w:sz w:val="20"/>
                <w:szCs w:val="20"/>
              </w:rPr>
            </w:pPr>
            <w:r w:rsidRPr="00BA4471">
              <w:rPr>
                <w:rFonts w:ascii="Arial" w:hAnsi="Arial" w:cs="Arial"/>
                <w:sz w:val="20"/>
                <w:szCs w:val="20"/>
              </w:rPr>
              <w:t>21.5 ± 1.6</w:t>
            </w:r>
            <w:r w:rsidR="007713B8" w:rsidRPr="00BA4471">
              <w:rPr>
                <w:rFonts w:ascii="Arial" w:hAnsi="Arial" w:cs="Arial"/>
                <w:sz w:val="20"/>
                <w:szCs w:val="20"/>
                <w:vertAlign w:val="superscript"/>
              </w:rPr>
              <w:t>ab</w:t>
            </w:r>
          </w:p>
        </w:tc>
        <w:tc>
          <w:tcPr>
            <w:tcW w:w="2070" w:type="dxa"/>
            <w:vAlign w:val="center"/>
          </w:tcPr>
          <w:p w14:paraId="4B39C721" w14:textId="01BA0BD8" w:rsidR="00B92AC8" w:rsidRPr="00BA4471" w:rsidRDefault="00B92AC8" w:rsidP="00BA4471">
            <w:pPr>
              <w:rPr>
                <w:rFonts w:ascii="Arial" w:hAnsi="Arial" w:cs="Arial"/>
                <w:sz w:val="20"/>
                <w:szCs w:val="20"/>
              </w:rPr>
            </w:pPr>
            <w:r w:rsidRPr="00BA4471">
              <w:rPr>
                <w:rFonts w:ascii="Arial" w:hAnsi="Arial" w:cs="Arial"/>
                <w:sz w:val="20"/>
                <w:szCs w:val="20"/>
              </w:rPr>
              <w:t>307.3 ± 39.2</w:t>
            </w:r>
            <w:r w:rsidR="007713B8" w:rsidRPr="00BA4471">
              <w:rPr>
                <w:rFonts w:ascii="Arial" w:hAnsi="Arial" w:cs="Arial"/>
                <w:sz w:val="20"/>
                <w:szCs w:val="20"/>
                <w:vertAlign w:val="superscript"/>
              </w:rPr>
              <w:t>c</w:t>
            </w:r>
          </w:p>
        </w:tc>
      </w:tr>
      <w:tr w:rsidR="00B92AC8" w:rsidRPr="00BA4471" w14:paraId="56D03924" w14:textId="77777777" w:rsidTr="00EE108F">
        <w:tc>
          <w:tcPr>
            <w:tcW w:w="1440" w:type="dxa"/>
            <w:vAlign w:val="center"/>
          </w:tcPr>
          <w:p w14:paraId="488E97D9" w14:textId="106B22C3" w:rsidR="00B92AC8" w:rsidRPr="00BA4471" w:rsidRDefault="00B92AC8" w:rsidP="00BA4471">
            <w:pPr>
              <w:rPr>
                <w:rFonts w:ascii="Arial" w:hAnsi="Arial" w:cs="Arial"/>
                <w:sz w:val="20"/>
                <w:szCs w:val="20"/>
              </w:rPr>
            </w:pPr>
            <w:r w:rsidRPr="00BA4471">
              <w:rPr>
                <w:rFonts w:ascii="Arial" w:hAnsi="Arial" w:cs="Arial"/>
                <w:sz w:val="20"/>
                <w:szCs w:val="20"/>
              </w:rPr>
              <w:t>≥8 years</w:t>
            </w:r>
          </w:p>
        </w:tc>
        <w:tc>
          <w:tcPr>
            <w:tcW w:w="540" w:type="dxa"/>
            <w:vAlign w:val="center"/>
          </w:tcPr>
          <w:p w14:paraId="21643AF3" w14:textId="79214DCE" w:rsidR="00B92AC8" w:rsidRPr="00BA4471" w:rsidRDefault="00B92AC8" w:rsidP="00BA4471">
            <w:pPr>
              <w:rPr>
                <w:rFonts w:ascii="Arial" w:hAnsi="Arial" w:cs="Arial"/>
                <w:sz w:val="20"/>
                <w:szCs w:val="20"/>
              </w:rPr>
            </w:pPr>
            <w:r w:rsidRPr="00BA4471">
              <w:rPr>
                <w:rFonts w:ascii="Arial" w:hAnsi="Arial" w:cs="Arial"/>
                <w:sz w:val="20"/>
                <w:szCs w:val="20"/>
              </w:rPr>
              <w:t>10</w:t>
            </w:r>
          </w:p>
        </w:tc>
        <w:tc>
          <w:tcPr>
            <w:tcW w:w="2430" w:type="dxa"/>
            <w:vAlign w:val="center"/>
          </w:tcPr>
          <w:p w14:paraId="1D3641F7" w14:textId="26565FD9" w:rsidR="00B92AC8" w:rsidRPr="00BA4471" w:rsidRDefault="00B92AC8" w:rsidP="00BA4471">
            <w:pPr>
              <w:rPr>
                <w:rFonts w:ascii="Arial" w:hAnsi="Arial" w:cs="Arial"/>
                <w:sz w:val="20"/>
                <w:szCs w:val="20"/>
              </w:rPr>
            </w:pPr>
            <w:r w:rsidRPr="00BA4471">
              <w:rPr>
                <w:rFonts w:ascii="Arial" w:hAnsi="Arial" w:cs="Arial"/>
                <w:sz w:val="20"/>
                <w:szCs w:val="20"/>
              </w:rPr>
              <w:t>5.1 ± 0.25</w:t>
            </w:r>
            <w:r w:rsidR="009E3317" w:rsidRPr="00BA4471">
              <w:rPr>
                <w:rFonts w:ascii="Arial" w:hAnsi="Arial" w:cs="Arial"/>
                <w:sz w:val="20"/>
                <w:szCs w:val="20"/>
                <w:vertAlign w:val="superscript"/>
              </w:rPr>
              <w:t>c</w:t>
            </w:r>
          </w:p>
        </w:tc>
        <w:tc>
          <w:tcPr>
            <w:tcW w:w="2340" w:type="dxa"/>
            <w:vAlign w:val="center"/>
          </w:tcPr>
          <w:p w14:paraId="458D515C" w14:textId="558F670B" w:rsidR="00B92AC8" w:rsidRPr="00BA4471" w:rsidRDefault="00B92AC8" w:rsidP="00BA4471">
            <w:pPr>
              <w:rPr>
                <w:rFonts w:ascii="Arial" w:hAnsi="Arial" w:cs="Arial"/>
                <w:sz w:val="20"/>
                <w:szCs w:val="20"/>
              </w:rPr>
            </w:pPr>
            <w:r w:rsidRPr="00BA4471">
              <w:rPr>
                <w:rFonts w:ascii="Arial" w:hAnsi="Arial" w:cs="Arial"/>
                <w:sz w:val="20"/>
                <w:szCs w:val="20"/>
              </w:rPr>
              <w:t>19.7 ± 1.3</w:t>
            </w:r>
            <w:r w:rsidR="007713B8" w:rsidRPr="00BA4471">
              <w:rPr>
                <w:rFonts w:ascii="Arial" w:hAnsi="Arial" w:cs="Arial"/>
                <w:sz w:val="20"/>
                <w:szCs w:val="20"/>
                <w:vertAlign w:val="superscript"/>
              </w:rPr>
              <w:t>ab</w:t>
            </w:r>
          </w:p>
        </w:tc>
        <w:tc>
          <w:tcPr>
            <w:tcW w:w="2070" w:type="dxa"/>
            <w:vAlign w:val="center"/>
          </w:tcPr>
          <w:p w14:paraId="59770BD7" w14:textId="17336F7A" w:rsidR="00B92AC8" w:rsidRPr="00BA4471" w:rsidRDefault="00B92AC8" w:rsidP="00BA4471">
            <w:pPr>
              <w:rPr>
                <w:rFonts w:ascii="Arial" w:hAnsi="Arial" w:cs="Arial"/>
                <w:sz w:val="20"/>
                <w:szCs w:val="20"/>
              </w:rPr>
            </w:pPr>
            <w:r w:rsidRPr="00BA4471">
              <w:rPr>
                <w:rFonts w:ascii="Arial" w:hAnsi="Arial" w:cs="Arial"/>
                <w:sz w:val="20"/>
                <w:szCs w:val="20"/>
              </w:rPr>
              <w:t>284.7 ± 44.0</w:t>
            </w:r>
            <w:r w:rsidR="007713B8" w:rsidRPr="00BA4471">
              <w:rPr>
                <w:rFonts w:ascii="Arial" w:hAnsi="Arial" w:cs="Arial"/>
                <w:sz w:val="20"/>
                <w:szCs w:val="20"/>
                <w:vertAlign w:val="superscript"/>
              </w:rPr>
              <w:t>c</w:t>
            </w:r>
          </w:p>
        </w:tc>
      </w:tr>
      <w:tr w:rsidR="00B1787E" w:rsidRPr="00BA4471" w14:paraId="5D00EB36" w14:textId="77777777" w:rsidTr="00EE108F">
        <w:tc>
          <w:tcPr>
            <w:tcW w:w="1440" w:type="dxa"/>
          </w:tcPr>
          <w:p w14:paraId="1F979E06" w14:textId="3520D289" w:rsidR="00B1787E" w:rsidRPr="00BA4471" w:rsidRDefault="00B1787E" w:rsidP="00BA4471">
            <w:pPr>
              <w:rPr>
                <w:rFonts w:ascii="Arial" w:hAnsi="Arial" w:cs="Arial"/>
                <w:sz w:val="20"/>
                <w:szCs w:val="20"/>
              </w:rPr>
            </w:pPr>
            <w:r w:rsidRPr="00BA4471">
              <w:rPr>
                <w:rFonts w:ascii="Arial" w:hAnsi="Arial" w:cs="Arial"/>
                <w:b/>
                <w:bCs/>
                <w:i/>
                <w:iCs/>
                <w:sz w:val="20"/>
                <w:szCs w:val="20"/>
              </w:rPr>
              <w:t>P</w:t>
            </w:r>
            <w:r w:rsidRPr="00D003F4">
              <w:rPr>
                <w:rFonts w:ascii="Arial" w:hAnsi="Arial" w:cs="Arial"/>
                <w:b/>
                <w:bCs/>
                <w:i/>
                <w:iCs/>
                <w:sz w:val="20"/>
                <w:szCs w:val="20"/>
              </w:rPr>
              <w:t>-value</w:t>
            </w:r>
          </w:p>
        </w:tc>
        <w:tc>
          <w:tcPr>
            <w:tcW w:w="540" w:type="dxa"/>
          </w:tcPr>
          <w:p w14:paraId="16961038" w14:textId="77777777" w:rsidR="00B1787E" w:rsidRPr="00BA4471" w:rsidRDefault="00B1787E" w:rsidP="00BA4471">
            <w:pPr>
              <w:rPr>
                <w:rFonts w:ascii="Arial" w:hAnsi="Arial" w:cs="Arial"/>
                <w:sz w:val="20"/>
                <w:szCs w:val="20"/>
              </w:rPr>
            </w:pPr>
          </w:p>
        </w:tc>
        <w:tc>
          <w:tcPr>
            <w:tcW w:w="2430" w:type="dxa"/>
          </w:tcPr>
          <w:p w14:paraId="15F8E520" w14:textId="17426FBE" w:rsidR="00B1787E" w:rsidRPr="00BA4471" w:rsidRDefault="00B1787E" w:rsidP="00BA4471">
            <w:pPr>
              <w:rPr>
                <w:rFonts w:ascii="Arial" w:hAnsi="Arial" w:cs="Arial"/>
                <w:sz w:val="20"/>
                <w:szCs w:val="20"/>
              </w:rPr>
            </w:pPr>
            <w:r w:rsidRPr="00D003F4">
              <w:rPr>
                <w:rFonts w:ascii="Arial" w:hAnsi="Arial" w:cs="Arial"/>
                <w:b/>
                <w:bCs/>
                <w:i/>
                <w:iCs/>
                <w:sz w:val="20"/>
                <w:szCs w:val="20"/>
              </w:rPr>
              <w:t>&lt;</w:t>
            </w:r>
            <w:r w:rsidR="001D417E">
              <w:rPr>
                <w:rFonts w:ascii="Arial" w:hAnsi="Arial" w:cs="Arial"/>
                <w:b/>
                <w:bCs/>
                <w:i/>
                <w:iCs/>
                <w:sz w:val="20"/>
                <w:szCs w:val="20"/>
              </w:rPr>
              <w:t xml:space="preserve"> </w:t>
            </w:r>
            <w:r w:rsidRPr="00D003F4">
              <w:rPr>
                <w:rFonts w:ascii="Arial" w:hAnsi="Arial" w:cs="Arial"/>
                <w:b/>
                <w:bCs/>
                <w:i/>
                <w:iCs/>
                <w:sz w:val="20"/>
                <w:szCs w:val="20"/>
              </w:rPr>
              <w:t>.001</w:t>
            </w:r>
          </w:p>
        </w:tc>
        <w:tc>
          <w:tcPr>
            <w:tcW w:w="2340" w:type="dxa"/>
          </w:tcPr>
          <w:p w14:paraId="087AB99F" w14:textId="7EEDC6C5" w:rsidR="00B1787E" w:rsidRPr="00BA4471" w:rsidRDefault="00B1787E" w:rsidP="00BA4471">
            <w:pPr>
              <w:rPr>
                <w:rFonts w:ascii="Arial" w:hAnsi="Arial" w:cs="Arial"/>
                <w:b/>
                <w:bCs/>
                <w:i/>
                <w:iCs/>
                <w:sz w:val="20"/>
                <w:szCs w:val="20"/>
              </w:rPr>
            </w:pPr>
            <w:r w:rsidRPr="00BA4471">
              <w:rPr>
                <w:rFonts w:ascii="Arial" w:hAnsi="Arial" w:cs="Arial"/>
                <w:b/>
                <w:bCs/>
                <w:i/>
                <w:iCs/>
                <w:sz w:val="20"/>
                <w:szCs w:val="20"/>
              </w:rPr>
              <w:t xml:space="preserve"> &lt; .001</w:t>
            </w:r>
          </w:p>
        </w:tc>
        <w:tc>
          <w:tcPr>
            <w:tcW w:w="2070" w:type="dxa"/>
          </w:tcPr>
          <w:p w14:paraId="672FB6B1" w14:textId="02EF7C17" w:rsidR="00B1787E" w:rsidRPr="00BA4471" w:rsidRDefault="00B1787E" w:rsidP="00BA4471">
            <w:pPr>
              <w:rPr>
                <w:rFonts w:ascii="Arial" w:hAnsi="Arial" w:cs="Arial"/>
                <w:sz w:val="20"/>
                <w:szCs w:val="20"/>
              </w:rPr>
            </w:pPr>
            <w:r w:rsidRPr="00BA4471">
              <w:rPr>
                <w:rFonts w:ascii="Arial" w:hAnsi="Arial" w:cs="Arial"/>
                <w:b/>
                <w:bCs/>
                <w:i/>
                <w:iCs/>
                <w:sz w:val="20"/>
                <w:szCs w:val="20"/>
              </w:rPr>
              <w:t>&lt; .001</w:t>
            </w:r>
          </w:p>
        </w:tc>
      </w:tr>
    </w:tbl>
    <w:p w14:paraId="31F04A5A" w14:textId="303F8EEE" w:rsidR="00B92AC8" w:rsidRPr="00BA4471" w:rsidRDefault="002C2626" w:rsidP="009F7C14">
      <w:pPr>
        <w:spacing w:after="0" w:line="240" w:lineRule="auto"/>
        <w:ind w:left="270"/>
        <w:rPr>
          <w:rFonts w:ascii="Arial" w:hAnsi="Arial" w:cs="Arial"/>
          <w:b/>
          <w:bCs/>
          <w:i/>
          <w:iCs/>
          <w:sz w:val="20"/>
          <w:szCs w:val="20"/>
        </w:rPr>
      </w:pPr>
      <w:r w:rsidRPr="00BA4471">
        <w:rPr>
          <w:rFonts w:ascii="Arial" w:hAnsi="Arial" w:cs="Arial"/>
          <w:b/>
          <w:bCs/>
          <w:i/>
          <w:iCs/>
          <w:sz w:val="20"/>
          <w:szCs w:val="20"/>
        </w:rPr>
        <w:t xml:space="preserve">n=number of observation; Different superscript letters within columns indicate significant differences (P &lt; .05). </w:t>
      </w:r>
      <w:proofErr w:type="gramStart"/>
      <w:r w:rsidRPr="00BA4471">
        <w:rPr>
          <w:rFonts w:ascii="Arial" w:hAnsi="Arial" w:cs="Arial"/>
          <w:b/>
          <w:bCs/>
          <w:i/>
          <w:iCs/>
          <w:sz w:val="20"/>
          <w:szCs w:val="20"/>
        </w:rPr>
        <w:t>T:E</w:t>
      </w:r>
      <w:proofErr w:type="gramEnd"/>
      <w:r w:rsidRPr="00BA4471">
        <w:rPr>
          <w:rFonts w:ascii="Arial" w:hAnsi="Arial" w:cs="Arial"/>
          <w:b/>
          <w:bCs/>
          <w:i/>
          <w:iCs/>
          <w:sz w:val="20"/>
          <w:szCs w:val="20"/>
        </w:rPr>
        <w:t xml:space="preserve"> = </w:t>
      </w:r>
      <w:proofErr w:type="spellStart"/>
      <w:r w:rsidRPr="00BA4471">
        <w:rPr>
          <w:rFonts w:ascii="Arial" w:hAnsi="Arial" w:cs="Arial"/>
          <w:b/>
          <w:bCs/>
          <w:i/>
          <w:iCs/>
          <w:sz w:val="20"/>
          <w:szCs w:val="20"/>
        </w:rPr>
        <w:t>Testosterone:Oestradiol</w:t>
      </w:r>
      <w:proofErr w:type="spellEnd"/>
      <w:r w:rsidRPr="00BA4471">
        <w:rPr>
          <w:rFonts w:ascii="Arial" w:hAnsi="Arial" w:cs="Arial"/>
          <w:b/>
          <w:bCs/>
          <w:i/>
          <w:iCs/>
          <w:sz w:val="20"/>
          <w:szCs w:val="20"/>
        </w:rPr>
        <w:t xml:space="preserve"> ratio.</w:t>
      </w:r>
    </w:p>
    <w:p w14:paraId="145AE0E0" w14:textId="77777777" w:rsidR="00725B3A" w:rsidRPr="00BA4471" w:rsidRDefault="00725B3A" w:rsidP="00BA4471">
      <w:pPr>
        <w:spacing w:after="0" w:line="240" w:lineRule="auto"/>
        <w:ind w:left="270"/>
        <w:rPr>
          <w:rFonts w:ascii="Arial" w:hAnsi="Arial" w:cs="Arial"/>
          <w:b/>
          <w:bCs/>
          <w:i/>
          <w:iCs/>
          <w:sz w:val="20"/>
          <w:szCs w:val="20"/>
        </w:rPr>
      </w:pPr>
    </w:p>
    <w:p w14:paraId="3F171929" w14:textId="5F68E361" w:rsidR="001C27CA" w:rsidRPr="00BA4471" w:rsidRDefault="001C27CA" w:rsidP="00F425D5">
      <w:pPr>
        <w:pStyle w:val="Heading2"/>
        <w:spacing w:line="240" w:lineRule="auto"/>
        <w:jc w:val="both"/>
        <w:rPr>
          <w:rFonts w:cs="Arial"/>
        </w:rPr>
      </w:pPr>
      <w:r w:rsidRPr="00BA4471">
        <w:rPr>
          <w:rFonts w:cs="Arial"/>
        </w:rPr>
        <w:t xml:space="preserve">3.3 Oestradiol Regulation </w:t>
      </w:r>
    </w:p>
    <w:p w14:paraId="742D11DC" w14:textId="2A5B8C4F" w:rsidR="001C27CA" w:rsidRPr="00BA4471" w:rsidRDefault="001C27CA" w:rsidP="00F425D5">
      <w:pPr>
        <w:spacing w:after="0" w:line="240" w:lineRule="auto"/>
        <w:jc w:val="both"/>
        <w:rPr>
          <w:rFonts w:ascii="Arial" w:hAnsi="Arial" w:cs="Arial"/>
          <w:sz w:val="20"/>
          <w:szCs w:val="20"/>
        </w:rPr>
      </w:pPr>
      <w:r w:rsidRPr="00BA4471">
        <w:rPr>
          <w:rFonts w:ascii="Arial" w:hAnsi="Arial" w:cs="Arial"/>
          <w:sz w:val="20"/>
          <w:szCs w:val="20"/>
        </w:rPr>
        <w:t xml:space="preserve">The distinctive oestradiol pattern observed with peak values in 1-year-old bulls (45.6 ± 2.6 pg/mL) followed by steady lower levels (Table 2) is indicative of the multifaceted regulatory role of oestradiol during male reproductive development (Chenoweth, 2020; Santos et al., 2021). The initial peak for oestradiol most </w:t>
      </w:r>
      <w:r w:rsidRPr="00BA4471">
        <w:rPr>
          <w:rFonts w:ascii="Arial" w:hAnsi="Arial" w:cs="Arial"/>
          <w:sz w:val="20"/>
          <w:szCs w:val="20"/>
        </w:rPr>
        <w:lastRenderedPageBreak/>
        <w:t>probably coincides with growth-related processes such as epiphyseal plate formation, bone mineralization</w:t>
      </w:r>
      <w:r w:rsidR="007C0607" w:rsidRPr="00BA4471">
        <w:rPr>
          <w:rFonts w:ascii="Arial" w:hAnsi="Arial" w:cs="Arial"/>
          <w:sz w:val="20"/>
          <w:szCs w:val="20"/>
        </w:rPr>
        <w:t xml:space="preserve"> which are related to skeletal development</w:t>
      </w:r>
      <w:r w:rsidRPr="00BA4471">
        <w:rPr>
          <w:rFonts w:ascii="Arial" w:hAnsi="Arial" w:cs="Arial"/>
          <w:sz w:val="20"/>
          <w:szCs w:val="20"/>
        </w:rPr>
        <w:t>,</w:t>
      </w:r>
      <w:r w:rsidRPr="00BA4471">
        <w:rPr>
          <w:rFonts w:ascii="Arial" w:hAnsi="Arial" w:cs="Arial"/>
        </w:rPr>
        <w:t xml:space="preserve"> </w:t>
      </w:r>
      <w:r w:rsidRPr="00BA4471">
        <w:rPr>
          <w:rFonts w:ascii="Arial" w:hAnsi="Arial" w:cs="Arial"/>
          <w:sz w:val="20"/>
          <w:szCs w:val="20"/>
        </w:rPr>
        <w:t>and establishment of feedback inhibition in the hypothalamic-pituitary axis, as outlined by Palmer et al. (2020) and Walters et al. (2019).</w:t>
      </w:r>
    </w:p>
    <w:p w14:paraId="475A58D5" w14:textId="77777777" w:rsidR="00842665" w:rsidRPr="00BA4471" w:rsidRDefault="00842665" w:rsidP="00F425D5">
      <w:pPr>
        <w:spacing w:after="0" w:line="240" w:lineRule="auto"/>
        <w:jc w:val="both"/>
        <w:rPr>
          <w:rFonts w:ascii="Arial" w:hAnsi="Arial" w:cs="Arial"/>
          <w:sz w:val="20"/>
          <w:szCs w:val="20"/>
        </w:rPr>
      </w:pPr>
    </w:p>
    <w:p w14:paraId="5B25C101" w14:textId="5F4776BB" w:rsidR="007C0607" w:rsidRPr="00BA4471" w:rsidRDefault="000319C4" w:rsidP="00F425D5">
      <w:pPr>
        <w:pStyle w:val="Heading2"/>
        <w:spacing w:line="240" w:lineRule="auto"/>
        <w:jc w:val="both"/>
        <w:rPr>
          <w:rFonts w:cs="Arial"/>
        </w:rPr>
      </w:pPr>
      <w:r w:rsidRPr="00BA4471">
        <w:rPr>
          <w:rFonts w:cs="Arial"/>
        </w:rPr>
        <w:t xml:space="preserve">3.4 </w:t>
      </w:r>
      <w:proofErr w:type="spellStart"/>
      <w:proofErr w:type="gramStart"/>
      <w:r w:rsidR="007C0607" w:rsidRPr="00BA4471">
        <w:rPr>
          <w:rFonts w:cs="Arial"/>
        </w:rPr>
        <w:t>Testosterone:Oestradiol</w:t>
      </w:r>
      <w:proofErr w:type="spellEnd"/>
      <w:proofErr w:type="gramEnd"/>
      <w:r w:rsidR="007C0607" w:rsidRPr="00BA4471">
        <w:rPr>
          <w:rFonts w:cs="Arial"/>
        </w:rPr>
        <w:t xml:space="preserve"> (T:E) Ratio as Reproductive Indicator</w:t>
      </w:r>
    </w:p>
    <w:p w14:paraId="526A2931" w14:textId="6F38EF84" w:rsidR="007C0607" w:rsidRPr="00BA4471" w:rsidRDefault="007C0607" w:rsidP="00F425D5">
      <w:pPr>
        <w:tabs>
          <w:tab w:val="left" w:pos="2955"/>
        </w:tabs>
        <w:spacing w:after="0" w:line="240" w:lineRule="auto"/>
        <w:jc w:val="both"/>
        <w:rPr>
          <w:rFonts w:ascii="Arial" w:hAnsi="Arial" w:cs="Arial"/>
          <w:color w:val="FF0000"/>
          <w:sz w:val="20"/>
          <w:szCs w:val="20"/>
        </w:rPr>
      </w:pPr>
      <w:r w:rsidRPr="00BA4471">
        <w:rPr>
          <w:rFonts w:ascii="Arial" w:hAnsi="Arial" w:cs="Arial"/>
          <w:sz w:val="20"/>
          <w:szCs w:val="20"/>
        </w:rPr>
        <w:t>The T:E ratio</w:t>
      </w:r>
      <w:r w:rsidR="00BF0E87">
        <w:rPr>
          <w:rFonts w:ascii="Arial" w:hAnsi="Arial" w:cs="Arial"/>
          <w:sz w:val="20"/>
          <w:szCs w:val="20"/>
        </w:rPr>
        <w:t xml:space="preserve"> (Table 2)</w:t>
      </w:r>
      <w:r w:rsidRPr="00BA4471">
        <w:rPr>
          <w:rFonts w:ascii="Arial" w:hAnsi="Arial" w:cs="Arial"/>
          <w:sz w:val="20"/>
          <w:szCs w:val="20"/>
        </w:rPr>
        <w:t xml:space="preserve"> appears to be a strong metric for assessing reproductive </w:t>
      </w:r>
      <w:r w:rsidR="00F1105C">
        <w:rPr>
          <w:rFonts w:ascii="Arial" w:hAnsi="Arial" w:cs="Arial"/>
          <w:sz w:val="20"/>
          <w:szCs w:val="20"/>
        </w:rPr>
        <w:t xml:space="preserve">efficiency and </w:t>
      </w:r>
      <w:r w:rsidRPr="00BA4471">
        <w:rPr>
          <w:rFonts w:ascii="Arial" w:hAnsi="Arial" w:cs="Arial"/>
          <w:sz w:val="20"/>
          <w:szCs w:val="20"/>
        </w:rPr>
        <w:t>soundness, with optimal performance at &gt;400:1 (Brito et al., 2020; Santos et al., 2021). The sharp increase in this ratio with age—from 58.3 in 6-month bulls to 532.1 in 4-year bulls—indicates increasing testosterone dominance (Kastelic, 2019; Chenoweth, 2020). The T:E ratios may be more stable indicators of reproductive status than individual hormone levels, as they reflect both steroidogenesis and aromatase activity (Palmer et al., 2020; Walsh et al., 2019). Maintenance of high ratios through ages 5–7 confirms sustained reproductive function despite declining testosterone (Walters et al., 2019; Fraser et al., 2021).</w:t>
      </w:r>
      <w:r w:rsidR="00BB644C" w:rsidRPr="00BA4471">
        <w:rPr>
          <w:rFonts w:ascii="Arial" w:hAnsi="Arial" w:cs="Arial"/>
          <w:sz w:val="20"/>
          <w:szCs w:val="20"/>
        </w:rPr>
        <w:t xml:space="preserve"> Bulls of 4 to 5 years showed the most potent predominance of highest testosterone production </w:t>
      </w:r>
      <w:r w:rsidR="00687DB4" w:rsidRPr="00BA4471">
        <w:rPr>
          <w:rFonts w:ascii="Arial" w:hAnsi="Arial" w:cs="Arial"/>
          <w:sz w:val="20"/>
          <w:szCs w:val="20"/>
        </w:rPr>
        <w:t xml:space="preserve">(Table 2) </w:t>
      </w:r>
      <w:r w:rsidR="00BB644C" w:rsidRPr="00BA4471">
        <w:rPr>
          <w:rFonts w:ascii="Arial" w:hAnsi="Arial" w:cs="Arial"/>
          <w:sz w:val="20"/>
          <w:szCs w:val="20"/>
        </w:rPr>
        <w:t xml:space="preserve">with sexual maturity </w:t>
      </w:r>
      <w:r w:rsidR="00AC7765" w:rsidRPr="00BA4471">
        <w:rPr>
          <w:rFonts w:ascii="Arial" w:hAnsi="Arial" w:cs="Arial"/>
          <w:sz w:val="20"/>
          <w:szCs w:val="20"/>
        </w:rPr>
        <w:t>which is related to the findings of Rodriguez-Martinez (2018)</w:t>
      </w:r>
      <w:r w:rsidR="00AC7765" w:rsidRPr="00BA4471">
        <w:rPr>
          <w:rFonts w:ascii="Arial" w:hAnsi="Arial" w:cs="Arial"/>
          <w:color w:val="FF0000"/>
          <w:sz w:val="20"/>
          <w:szCs w:val="20"/>
        </w:rPr>
        <w:t>.</w:t>
      </w:r>
    </w:p>
    <w:p w14:paraId="30272183" w14:textId="77777777" w:rsidR="00842665" w:rsidRPr="00BA4471" w:rsidRDefault="00842665" w:rsidP="00BA4471">
      <w:pPr>
        <w:tabs>
          <w:tab w:val="left" w:pos="2955"/>
        </w:tabs>
        <w:spacing w:after="0" w:line="240" w:lineRule="auto"/>
        <w:jc w:val="both"/>
        <w:rPr>
          <w:rFonts w:ascii="Arial" w:hAnsi="Arial" w:cs="Arial"/>
          <w:color w:val="FF0000"/>
          <w:sz w:val="20"/>
          <w:szCs w:val="20"/>
        </w:rPr>
      </w:pPr>
    </w:p>
    <w:p w14:paraId="662DB9C6" w14:textId="41EA0203" w:rsidR="004E5900" w:rsidRPr="00BA4471" w:rsidRDefault="00BA4471" w:rsidP="00BA4471">
      <w:pPr>
        <w:pStyle w:val="Heading2"/>
        <w:spacing w:line="240" w:lineRule="auto"/>
        <w:rPr>
          <w:rFonts w:cs="Arial"/>
        </w:rPr>
      </w:pPr>
      <w:r>
        <w:rPr>
          <w:rFonts w:cs="Arial"/>
        </w:rPr>
        <w:t xml:space="preserve">3.5 </w:t>
      </w:r>
      <w:r w:rsidR="00842665" w:rsidRPr="00BA4471">
        <w:rPr>
          <w:rFonts w:cs="Arial"/>
        </w:rPr>
        <w:t>Correlation with traditional Breeding Soundness parameters</w:t>
      </w:r>
    </w:p>
    <w:p w14:paraId="7C73DFAF" w14:textId="77777777" w:rsidR="00BA4471" w:rsidRDefault="00BA4471" w:rsidP="009F7C14">
      <w:pPr>
        <w:tabs>
          <w:tab w:val="left" w:pos="2955"/>
        </w:tabs>
        <w:spacing w:after="0" w:line="240" w:lineRule="auto"/>
        <w:jc w:val="both"/>
        <w:rPr>
          <w:rFonts w:ascii="Arial" w:hAnsi="Arial" w:cs="Arial"/>
          <w:sz w:val="20"/>
          <w:szCs w:val="20"/>
        </w:rPr>
      </w:pPr>
      <w:r w:rsidRPr="00BA4471">
        <w:rPr>
          <w:rFonts w:ascii="Arial" w:hAnsi="Arial" w:cs="Arial"/>
          <w:sz w:val="20"/>
          <w:szCs w:val="20"/>
        </w:rPr>
        <w:t xml:space="preserve">Strong positive associations were noted between testosterone levels and traditional breeding soundness criteria, confirming the value of combining hormone measurement with standard evaluation procedures (Table 3). Association between testosterone and scrotal circumference (r = 0.82, P &lt; .001) is noteworthy because scrotal circumference has also been ranked as one of the best predictors of breeding ability in young bulls (Palmer et al., 2020; Kastelic, 2019). Such associations have also been noted previously by Santos et al. (2021) and by Rodriguez-Martinez (2018) at r = 0.72 to 0.89 in different breeds with different systems of production. The association between body condition score and testosterone (r = 0.68, P &lt; .001) underscores the significance of nutrition in sustaining maximal reproductive hormone output (Brito et al., 2020; De </w:t>
      </w:r>
      <w:proofErr w:type="spellStart"/>
      <w:r w:rsidRPr="00BA4471">
        <w:rPr>
          <w:rFonts w:ascii="Arial" w:hAnsi="Arial" w:cs="Arial"/>
          <w:sz w:val="20"/>
          <w:szCs w:val="20"/>
        </w:rPr>
        <w:t>Rensis</w:t>
      </w:r>
      <w:proofErr w:type="spellEnd"/>
      <w:r w:rsidRPr="00BA4471">
        <w:rPr>
          <w:rFonts w:ascii="Arial" w:hAnsi="Arial" w:cs="Arial"/>
          <w:sz w:val="20"/>
          <w:szCs w:val="20"/>
        </w:rPr>
        <w:t xml:space="preserve"> &amp; </w:t>
      </w:r>
      <w:proofErr w:type="spellStart"/>
      <w:r w:rsidRPr="00BA4471">
        <w:rPr>
          <w:rFonts w:ascii="Arial" w:hAnsi="Arial" w:cs="Arial"/>
          <w:sz w:val="20"/>
          <w:szCs w:val="20"/>
        </w:rPr>
        <w:t>Scaramuzzi</w:t>
      </w:r>
      <w:proofErr w:type="spellEnd"/>
      <w:r w:rsidRPr="00BA4471">
        <w:rPr>
          <w:rFonts w:ascii="Arial" w:hAnsi="Arial" w:cs="Arial"/>
          <w:sz w:val="20"/>
          <w:szCs w:val="20"/>
        </w:rPr>
        <w:t>, 2003). Poor body conditioning bulls may show evidence of decreased synthesis of testosterone owing to energy diversion from functions associated with reproduction and hence the value of a high level of nutrition in breeding bull schemes (Walsh et al., 2019; Prakash et al., 2021). The findings by Fraser et al. (2021) and by Walters et al. (2019) have indicated that dietary restriction may depress testosterone output by 20-40% and recovery may take 4-8 weeks with enhanced nutrition.</w:t>
      </w:r>
    </w:p>
    <w:p w14:paraId="68E1DCE2" w14:textId="77777777" w:rsidR="009F7C14" w:rsidRDefault="009F7C14" w:rsidP="009F7C14">
      <w:pPr>
        <w:tabs>
          <w:tab w:val="left" w:pos="2955"/>
        </w:tabs>
        <w:spacing w:after="0" w:line="240" w:lineRule="auto"/>
        <w:jc w:val="both"/>
        <w:rPr>
          <w:rFonts w:ascii="Arial" w:hAnsi="Arial" w:cs="Arial"/>
          <w:sz w:val="20"/>
          <w:szCs w:val="20"/>
        </w:rPr>
      </w:pPr>
    </w:p>
    <w:p w14:paraId="483FD7CB" w14:textId="69FCC52C" w:rsidR="00D97A0A" w:rsidRPr="00637569" w:rsidRDefault="00AD5360" w:rsidP="00D97A0A">
      <w:r w:rsidRPr="00BA4471">
        <w:rPr>
          <w:rFonts w:ascii="Arial" w:hAnsi="Arial" w:cs="Arial"/>
          <w:sz w:val="20"/>
          <w:szCs w:val="20"/>
        </w:rPr>
        <w:t xml:space="preserve">Correlation between breeding </w:t>
      </w:r>
      <w:r w:rsidR="0085766A">
        <w:rPr>
          <w:rFonts w:ascii="Arial" w:hAnsi="Arial" w:cs="Arial"/>
          <w:sz w:val="20"/>
          <w:szCs w:val="20"/>
        </w:rPr>
        <w:t>behaviour</w:t>
      </w:r>
      <w:r w:rsidRPr="00BA4471">
        <w:rPr>
          <w:rFonts w:ascii="Arial" w:hAnsi="Arial" w:cs="Arial"/>
          <w:sz w:val="20"/>
          <w:szCs w:val="20"/>
        </w:rPr>
        <w:t xml:space="preserve"> score and testosterone concentrations (r = 0.71, P &lt; .001) gives quantitative confirmation of the link between androgen levels in the bloodstream and displayed sexual </w:t>
      </w:r>
      <w:r w:rsidR="0085766A">
        <w:rPr>
          <w:rFonts w:ascii="Arial" w:hAnsi="Arial" w:cs="Arial"/>
          <w:sz w:val="20"/>
          <w:szCs w:val="20"/>
        </w:rPr>
        <w:t>behaviour</w:t>
      </w:r>
      <w:r w:rsidRPr="00BA4471">
        <w:rPr>
          <w:rFonts w:ascii="Arial" w:hAnsi="Arial" w:cs="Arial"/>
          <w:sz w:val="20"/>
          <w:szCs w:val="20"/>
        </w:rPr>
        <w:t xml:space="preserve"> (</w:t>
      </w:r>
      <w:proofErr w:type="spellStart"/>
      <w:r w:rsidRPr="00BA4471">
        <w:rPr>
          <w:rFonts w:ascii="Arial" w:hAnsi="Arial" w:cs="Arial"/>
          <w:sz w:val="20"/>
          <w:szCs w:val="20"/>
        </w:rPr>
        <w:t>Kastelic</w:t>
      </w:r>
      <w:proofErr w:type="spellEnd"/>
      <w:r w:rsidRPr="00BA4471">
        <w:rPr>
          <w:rFonts w:ascii="Arial" w:hAnsi="Arial" w:cs="Arial"/>
          <w:sz w:val="20"/>
          <w:szCs w:val="20"/>
        </w:rPr>
        <w:t xml:space="preserve">, 2019; Santos et al., 2021). The link supports the application of hormonal evaluation in breeding performance and motivation prediction, useful in the evaluation of bulls appearing physically healthy but with poor breeding </w:t>
      </w:r>
      <w:r w:rsidR="0085766A">
        <w:rPr>
          <w:rFonts w:ascii="Arial" w:hAnsi="Arial" w:cs="Arial"/>
          <w:sz w:val="20"/>
          <w:szCs w:val="20"/>
        </w:rPr>
        <w:t>behaviour</w:t>
      </w:r>
      <w:r w:rsidRPr="00BA4471">
        <w:rPr>
          <w:rFonts w:ascii="Arial" w:hAnsi="Arial" w:cs="Arial"/>
          <w:sz w:val="20"/>
          <w:szCs w:val="20"/>
        </w:rPr>
        <w:t xml:space="preserve"> or libido (Chenoweth, 2020; Rodriguez-Martinez, 2018). Comparable correlation has also been observed by Palmer et al. (2020) in bull </w:t>
      </w:r>
      <w:r w:rsidR="0085766A">
        <w:rPr>
          <w:rFonts w:ascii="Arial" w:hAnsi="Arial" w:cs="Arial"/>
          <w:sz w:val="20"/>
          <w:szCs w:val="20"/>
        </w:rPr>
        <w:t>behaviour</w:t>
      </w:r>
      <w:r w:rsidRPr="00BA4471">
        <w:rPr>
          <w:rFonts w:ascii="Arial" w:hAnsi="Arial" w:cs="Arial"/>
          <w:sz w:val="20"/>
          <w:szCs w:val="20"/>
        </w:rPr>
        <w:t xml:space="preserve"> evaluation studies with testosterone predicting 45-60% of the libido score variance.</w:t>
      </w:r>
      <w:r w:rsidR="00D97A0A">
        <w:rPr>
          <w:rFonts w:ascii="Arial" w:hAnsi="Arial" w:cs="Arial"/>
          <w:sz w:val="20"/>
          <w:szCs w:val="20"/>
        </w:rPr>
        <w:t xml:space="preserve"> </w:t>
      </w:r>
      <w:r w:rsidR="00D97A0A">
        <w:t>S</w:t>
      </w:r>
      <w:r w:rsidR="00D97A0A" w:rsidRPr="00637569">
        <w:t>crotal circumference-androgen relationships are good predictors of fertility according to tropical breeds (Abdulsalam et al., 2024).</w:t>
      </w:r>
    </w:p>
    <w:p w14:paraId="4910CF37" w14:textId="544652CC" w:rsidR="00AD5360" w:rsidRPr="00BA4471" w:rsidRDefault="00AD5360" w:rsidP="00AD5360">
      <w:pPr>
        <w:tabs>
          <w:tab w:val="left" w:pos="2955"/>
        </w:tabs>
        <w:spacing w:line="240" w:lineRule="auto"/>
        <w:jc w:val="both"/>
        <w:rPr>
          <w:rFonts w:ascii="Arial" w:hAnsi="Arial" w:cs="Arial"/>
          <w:sz w:val="20"/>
          <w:szCs w:val="20"/>
        </w:rPr>
      </w:pPr>
    </w:p>
    <w:p w14:paraId="57209E65" w14:textId="4BD64A7F" w:rsidR="00AD5360" w:rsidRDefault="00AD5360" w:rsidP="00BA4471">
      <w:pPr>
        <w:tabs>
          <w:tab w:val="left" w:pos="2955"/>
        </w:tabs>
        <w:spacing w:line="240" w:lineRule="auto"/>
        <w:jc w:val="both"/>
        <w:rPr>
          <w:rFonts w:ascii="Arial" w:hAnsi="Arial" w:cs="Arial"/>
          <w:sz w:val="20"/>
          <w:szCs w:val="20"/>
        </w:rPr>
      </w:pPr>
      <w:r w:rsidRPr="00AD5360">
        <w:rPr>
          <w:rFonts w:ascii="Arial" w:hAnsi="Arial" w:cs="Arial"/>
          <w:sz w:val="20"/>
          <w:szCs w:val="20"/>
        </w:rPr>
        <w:t>Table 3. Correlation Coefficients Between Hormone Concentrations and Physical Parameters</w:t>
      </w:r>
    </w:p>
    <w:tbl>
      <w:tblPr>
        <w:tblStyle w:val="TableGrid"/>
        <w:tblW w:w="90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160"/>
        <w:gridCol w:w="1800"/>
        <w:gridCol w:w="2250"/>
      </w:tblGrid>
      <w:tr w:rsidR="00AD5360" w14:paraId="6BFB0F2E" w14:textId="77777777" w:rsidTr="00C84660">
        <w:tc>
          <w:tcPr>
            <w:tcW w:w="2875" w:type="dxa"/>
            <w:tcBorders>
              <w:top w:val="single" w:sz="4" w:space="0" w:color="auto"/>
              <w:bottom w:val="single" w:sz="4" w:space="0" w:color="auto"/>
            </w:tcBorders>
            <w:vAlign w:val="center"/>
          </w:tcPr>
          <w:p w14:paraId="66E558FB" w14:textId="3F5925F8" w:rsidR="00AD5360" w:rsidRDefault="00AD5360" w:rsidP="00AD5360">
            <w:pPr>
              <w:tabs>
                <w:tab w:val="left" w:pos="2955"/>
              </w:tabs>
              <w:jc w:val="both"/>
              <w:rPr>
                <w:rFonts w:ascii="Arial" w:hAnsi="Arial" w:cs="Arial"/>
                <w:sz w:val="20"/>
                <w:szCs w:val="20"/>
              </w:rPr>
            </w:pPr>
            <w:r w:rsidRPr="00564311">
              <w:rPr>
                <w:b/>
                <w:bCs/>
              </w:rPr>
              <w:t>Parameter</w:t>
            </w:r>
          </w:p>
        </w:tc>
        <w:tc>
          <w:tcPr>
            <w:tcW w:w="2160" w:type="dxa"/>
            <w:tcBorders>
              <w:top w:val="single" w:sz="4" w:space="0" w:color="auto"/>
              <w:bottom w:val="single" w:sz="4" w:space="0" w:color="auto"/>
            </w:tcBorders>
            <w:vAlign w:val="center"/>
          </w:tcPr>
          <w:p w14:paraId="0793802F" w14:textId="5A1265F2" w:rsidR="00AD5360" w:rsidRDefault="00AD5360" w:rsidP="00AD5360">
            <w:pPr>
              <w:tabs>
                <w:tab w:val="left" w:pos="2955"/>
              </w:tabs>
              <w:jc w:val="both"/>
              <w:rPr>
                <w:rFonts w:ascii="Arial" w:hAnsi="Arial" w:cs="Arial"/>
                <w:sz w:val="20"/>
                <w:szCs w:val="20"/>
              </w:rPr>
            </w:pPr>
            <w:r w:rsidRPr="00564311">
              <w:rPr>
                <w:b/>
                <w:bCs/>
              </w:rPr>
              <w:t>Testosterone</w:t>
            </w:r>
          </w:p>
        </w:tc>
        <w:tc>
          <w:tcPr>
            <w:tcW w:w="1800" w:type="dxa"/>
            <w:tcBorders>
              <w:top w:val="single" w:sz="4" w:space="0" w:color="auto"/>
              <w:bottom w:val="single" w:sz="4" w:space="0" w:color="auto"/>
            </w:tcBorders>
            <w:vAlign w:val="center"/>
          </w:tcPr>
          <w:p w14:paraId="40A94D3C" w14:textId="0EDDE05D" w:rsidR="00AD5360" w:rsidRDefault="00AD5360" w:rsidP="00AD5360">
            <w:pPr>
              <w:tabs>
                <w:tab w:val="left" w:pos="2955"/>
              </w:tabs>
              <w:jc w:val="both"/>
              <w:rPr>
                <w:rFonts w:ascii="Arial" w:hAnsi="Arial" w:cs="Arial"/>
                <w:sz w:val="20"/>
                <w:szCs w:val="20"/>
              </w:rPr>
            </w:pPr>
            <w:r w:rsidRPr="00564311">
              <w:rPr>
                <w:b/>
                <w:bCs/>
              </w:rPr>
              <w:t>Oestradiol</w:t>
            </w:r>
          </w:p>
        </w:tc>
        <w:tc>
          <w:tcPr>
            <w:tcW w:w="2250" w:type="dxa"/>
            <w:tcBorders>
              <w:top w:val="single" w:sz="4" w:space="0" w:color="auto"/>
              <w:bottom w:val="single" w:sz="4" w:space="0" w:color="auto"/>
            </w:tcBorders>
            <w:vAlign w:val="center"/>
          </w:tcPr>
          <w:p w14:paraId="3A04DF8C" w14:textId="09AA8646" w:rsidR="00AD5360" w:rsidRDefault="00AD5360" w:rsidP="00AD5360">
            <w:pPr>
              <w:tabs>
                <w:tab w:val="left" w:pos="2955"/>
              </w:tabs>
              <w:jc w:val="both"/>
              <w:rPr>
                <w:rFonts w:ascii="Arial" w:hAnsi="Arial" w:cs="Arial"/>
                <w:sz w:val="20"/>
                <w:szCs w:val="20"/>
              </w:rPr>
            </w:pPr>
            <w:r w:rsidRPr="00564311">
              <w:rPr>
                <w:b/>
                <w:bCs/>
              </w:rPr>
              <w:t>Age</w:t>
            </w:r>
            <w:r w:rsidR="00271300" w:rsidRPr="00564311">
              <w:t>†</w:t>
            </w:r>
          </w:p>
        </w:tc>
      </w:tr>
      <w:tr w:rsidR="00AD5360" w14:paraId="555C8B55" w14:textId="77777777" w:rsidTr="00C84660">
        <w:tc>
          <w:tcPr>
            <w:tcW w:w="2875" w:type="dxa"/>
            <w:tcBorders>
              <w:top w:val="single" w:sz="4" w:space="0" w:color="auto"/>
            </w:tcBorders>
            <w:vAlign w:val="center"/>
          </w:tcPr>
          <w:p w14:paraId="02FE041A" w14:textId="054293B8" w:rsidR="00AD5360" w:rsidRDefault="00AD5360" w:rsidP="00AD5360">
            <w:pPr>
              <w:tabs>
                <w:tab w:val="left" w:pos="2955"/>
              </w:tabs>
              <w:jc w:val="both"/>
              <w:rPr>
                <w:rFonts w:ascii="Arial" w:hAnsi="Arial" w:cs="Arial"/>
                <w:sz w:val="20"/>
                <w:szCs w:val="20"/>
              </w:rPr>
            </w:pPr>
            <w:r w:rsidRPr="00564311">
              <w:t>Body condition score</w:t>
            </w:r>
          </w:p>
        </w:tc>
        <w:tc>
          <w:tcPr>
            <w:tcW w:w="2160" w:type="dxa"/>
            <w:tcBorders>
              <w:top w:val="single" w:sz="4" w:space="0" w:color="auto"/>
            </w:tcBorders>
            <w:vAlign w:val="center"/>
          </w:tcPr>
          <w:p w14:paraId="65EFFF22" w14:textId="6629AD05" w:rsidR="00AD5360" w:rsidRDefault="00AD5360" w:rsidP="00AD5360">
            <w:pPr>
              <w:tabs>
                <w:tab w:val="left" w:pos="2955"/>
              </w:tabs>
              <w:jc w:val="both"/>
              <w:rPr>
                <w:rFonts w:ascii="Arial" w:hAnsi="Arial" w:cs="Arial"/>
                <w:sz w:val="20"/>
                <w:szCs w:val="20"/>
              </w:rPr>
            </w:pPr>
            <w:r w:rsidRPr="00564311">
              <w:t>0.68***</w:t>
            </w:r>
          </w:p>
        </w:tc>
        <w:tc>
          <w:tcPr>
            <w:tcW w:w="1800" w:type="dxa"/>
            <w:tcBorders>
              <w:top w:val="single" w:sz="4" w:space="0" w:color="auto"/>
            </w:tcBorders>
            <w:vAlign w:val="center"/>
          </w:tcPr>
          <w:p w14:paraId="431BA334" w14:textId="67DF74FA" w:rsidR="00AD5360" w:rsidRDefault="00AD5360" w:rsidP="00AD5360">
            <w:pPr>
              <w:tabs>
                <w:tab w:val="left" w:pos="2955"/>
              </w:tabs>
              <w:jc w:val="both"/>
              <w:rPr>
                <w:rFonts w:ascii="Arial" w:hAnsi="Arial" w:cs="Arial"/>
                <w:sz w:val="20"/>
                <w:szCs w:val="20"/>
              </w:rPr>
            </w:pPr>
            <w:r w:rsidRPr="00564311">
              <w:t>-0.23*</w:t>
            </w:r>
          </w:p>
        </w:tc>
        <w:tc>
          <w:tcPr>
            <w:tcW w:w="2250" w:type="dxa"/>
            <w:tcBorders>
              <w:top w:val="single" w:sz="4" w:space="0" w:color="auto"/>
            </w:tcBorders>
            <w:vAlign w:val="center"/>
          </w:tcPr>
          <w:p w14:paraId="1650E94B" w14:textId="029784B3" w:rsidR="00AD5360" w:rsidRDefault="00AD5360" w:rsidP="00AD5360">
            <w:pPr>
              <w:tabs>
                <w:tab w:val="left" w:pos="2955"/>
              </w:tabs>
              <w:jc w:val="both"/>
              <w:rPr>
                <w:rFonts w:ascii="Arial" w:hAnsi="Arial" w:cs="Arial"/>
                <w:sz w:val="20"/>
                <w:szCs w:val="20"/>
              </w:rPr>
            </w:pPr>
            <w:r w:rsidRPr="00564311">
              <w:t>0.45**</w:t>
            </w:r>
          </w:p>
        </w:tc>
      </w:tr>
      <w:tr w:rsidR="00AD5360" w14:paraId="5EECE609" w14:textId="77777777" w:rsidTr="00C84660">
        <w:tc>
          <w:tcPr>
            <w:tcW w:w="2875" w:type="dxa"/>
            <w:vAlign w:val="center"/>
          </w:tcPr>
          <w:p w14:paraId="1CD7FFE9" w14:textId="09CA6D65" w:rsidR="00AD5360" w:rsidRDefault="00AD5360" w:rsidP="00AD5360">
            <w:pPr>
              <w:tabs>
                <w:tab w:val="left" w:pos="2955"/>
              </w:tabs>
              <w:jc w:val="both"/>
              <w:rPr>
                <w:rFonts w:ascii="Arial" w:hAnsi="Arial" w:cs="Arial"/>
                <w:sz w:val="20"/>
                <w:szCs w:val="20"/>
              </w:rPr>
            </w:pPr>
            <w:r w:rsidRPr="00564311">
              <w:t>Scrotal circumference</w:t>
            </w:r>
          </w:p>
        </w:tc>
        <w:tc>
          <w:tcPr>
            <w:tcW w:w="2160" w:type="dxa"/>
            <w:vAlign w:val="center"/>
          </w:tcPr>
          <w:p w14:paraId="258152F5" w14:textId="35D36F2C" w:rsidR="00AD5360" w:rsidRDefault="00AD5360" w:rsidP="00AD5360">
            <w:pPr>
              <w:tabs>
                <w:tab w:val="left" w:pos="2955"/>
              </w:tabs>
              <w:jc w:val="both"/>
              <w:rPr>
                <w:rFonts w:ascii="Arial" w:hAnsi="Arial" w:cs="Arial"/>
                <w:sz w:val="20"/>
                <w:szCs w:val="20"/>
              </w:rPr>
            </w:pPr>
            <w:r w:rsidRPr="00564311">
              <w:t>0.82***</w:t>
            </w:r>
          </w:p>
        </w:tc>
        <w:tc>
          <w:tcPr>
            <w:tcW w:w="1800" w:type="dxa"/>
            <w:vAlign w:val="center"/>
          </w:tcPr>
          <w:p w14:paraId="6D583527" w14:textId="0B5CAD4A" w:rsidR="00AD5360" w:rsidRDefault="00AD5360" w:rsidP="00AD5360">
            <w:pPr>
              <w:tabs>
                <w:tab w:val="left" w:pos="2955"/>
              </w:tabs>
              <w:jc w:val="both"/>
              <w:rPr>
                <w:rFonts w:ascii="Arial" w:hAnsi="Arial" w:cs="Arial"/>
                <w:sz w:val="20"/>
                <w:szCs w:val="20"/>
              </w:rPr>
            </w:pPr>
            <w:r w:rsidRPr="00564311">
              <w:t>-0.31**</w:t>
            </w:r>
          </w:p>
        </w:tc>
        <w:tc>
          <w:tcPr>
            <w:tcW w:w="2250" w:type="dxa"/>
            <w:vAlign w:val="center"/>
          </w:tcPr>
          <w:p w14:paraId="6BFC0330" w14:textId="7D70B0EB" w:rsidR="00AD5360" w:rsidRDefault="00AD5360" w:rsidP="00AD5360">
            <w:pPr>
              <w:tabs>
                <w:tab w:val="left" w:pos="2955"/>
              </w:tabs>
              <w:jc w:val="both"/>
              <w:rPr>
                <w:rFonts w:ascii="Arial" w:hAnsi="Arial" w:cs="Arial"/>
                <w:sz w:val="20"/>
                <w:szCs w:val="20"/>
              </w:rPr>
            </w:pPr>
            <w:r w:rsidRPr="00564311">
              <w:t>0.87***</w:t>
            </w:r>
          </w:p>
        </w:tc>
      </w:tr>
      <w:tr w:rsidR="00AD5360" w14:paraId="405A1EE1" w14:textId="77777777" w:rsidTr="00C84660">
        <w:tc>
          <w:tcPr>
            <w:tcW w:w="2875" w:type="dxa"/>
            <w:vAlign w:val="center"/>
          </w:tcPr>
          <w:p w14:paraId="04F90BC7" w14:textId="67401AAF" w:rsidR="00AD5360" w:rsidRDefault="00AD5360" w:rsidP="00AD5360">
            <w:pPr>
              <w:tabs>
                <w:tab w:val="left" w:pos="2955"/>
              </w:tabs>
              <w:jc w:val="both"/>
              <w:rPr>
                <w:rFonts w:ascii="Arial" w:hAnsi="Arial" w:cs="Arial"/>
                <w:sz w:val="20"/>
                <w:szCs w:val="20"/>
              </w:rPr>
            </w:pPr>
            <w:r w:rsidRPr="00564311">
              <w:t>Body weight</w:t>
            </w:r>
          </w:p>
        </w:tc>
        <w:tc>
          <w:tcPr>
            <w:tcW w:w="2160" w:type="dxa"/>
            <w:vAlign w:val="center"/>
          </w:tcPr>
          <w:p w14:paraId="61458032" w14:textId="214C9A65" w:rsidR="00AD5360" w:rsidRDefault="00AD5360" w:rsidP="00AD5360">
            <w:pPr>
              <w:tabs>
                <w:tab w:val="left" w:pos="2955"/>
              </w:tabs>
              <w:jc w:val="both"/>
              <w:rPr>
                <w:rFonts w:ascii="Arial" w:hAnsi="Arial" w:cs="Arial"/>
                <w:sz w:val="20"/>
                <w:szCs w:val="20"/>
              </w:rPr>
            </w:pPr>
            <w:r w:rsidRPr="00564311">
              <w:t>0.74***</w:t>
            </w:r>
          </w:p>
        </w:tc>
        <w:tc>
          <w:tcPr>
            <w:tcW w:w="1800" w:type="dxa"/>
            <w:vAlign w:val="center"/>
          </w:tcPr>
          <w:p w14:paraId="4253F321" w14:textId="12CBE0F9" w:rsidR="00AD5360" w:rsidRDefault="00AD5360" w:rsidP="00AD5360">
            <w:pPr>
              <w:tabs>
                <w:tab w:val="left" w:pos="2955"/>
              </w:tabs>
              <w:jc w:val="both"/>
              <w:rPr>
                <w:rFonts w:ascii="Arial" w:hAnsi="Arial" w:cs="Arial"/>
                <w:sz w:val="20"/>
                <w:szCs w:val="20"/>
              </w:rPr>
            </w:pPr>
            <w:r w:rsidRPr="00564311">
              <w:t>-0.19</w:t>
            </w:r>
          </w:p>
        </w:tc>
        <w:tc>
          <w:tcPr>
            <w:tcW w:w="2250" w:type="dxa"/>
            <w:vAlign w:val="center"/>
          </w:tcPr>
          <w:p w14:paraId="29A30139" w14:textId="3282607D" w:rsidR="00AD5360" w:rsidRDefault="00AD5360" w:rsidP="00AD5360">
            <w:pPr>
              <w:tabs>
                <w:tab w:val="left" w:pos="2955"/>
              </w:tabs>
              <w:jc w:val="both"/>
              <w:rPr>
                <w:rFonts w:ascii="Arial" w:hAnsi="Arial" w:cs="Arial"/>
                <w:sz w:val="20"/>
                <w:szCs w:val="20"/>
              </w:rPr>
            </w:pPr>
            <w:r w:rsidRPr="00564311">
              <w:t>0.91***</w:t>
            </w:r>
          </w:p>
        </w:tc>
      </w:tr>
      <w:tr w:rsidR="00AD5360" w14:paraId="6DFFA3E5" w14:textId="77777777" w:rsidTr="00C84660">
        <w:tc>
          <w:tcPr>
            <w:tcW w:w="2875" w:type="dxa"/>
            <w:vAlign w:val="center"/>
          </w:tcPr>
          <w:p w14:paraId="614DA505" w14:textId="30DE66AC" w:rsidR="00AD5360" w:rsidRDefault="00AD5360" w:rsidP="00AD5360">
            <w:pPr>
              <w:tabs>
                <w:tab w:val="left" w:pos="2955"/>
              </w:tabs>
              <w:jc w:val="both"/>
              <w:rPr>
                <w:rFonts w:ascii="Arial" w:hAnsi="Arial" w:cs="Arial"/>
                <w:sz w:val="20"/>
                <w:szCs w:val="20"/>
              </w:rPr>
            </w:pPr>
            <w:r w:rsidRPr="00564311">
              <w:t xml:space="preserve">Breeding </w:t>
            </w:r>
            <w:r w:rsidR="0085766A">
              <w:t>behaviour</w:t>
            </w:r>
            <w:r w:rsidRPr="00564311">
              <w:t xml:space="preserve"> score†</w:t>
            </w:r>
          </w:p>
        </w:tc>
        <w:tc>
          <w:tcPr>
            <w:tcW w:w="2160" w:type="dxa"/>
            <w:vAlign w:val="center"/>
          </w:tcPr>
          <w:p w14:paraId="7AC09A3D" w14:textId="2BA66F8F" w:rsidR="00AD5360" w:rsidRDefault="00AD5360" w:rsidP="00AD5360">
            <w:pPr>
              <w:tabs>
                <w:tab w:val="left" w:pos="2955"/>
              </w:tabs>
              <w:jc w:val="both"/>
              <w:rPr>
                <w:rFonts w:ascii="Arial" w:hAnsi="Arial" w:cs="Arial"/>
                <w:sz w:val="20"/>
                <w:szCs w:val="20"/>
              </w:rPr>
            </w:pPr>
            <w:r w:rsidRPr="00564311">
              <w:t>0.71***</w:t>
            </w:r>
          </w:p>
        </w:tc>
        <w:tc>
          <w:tcPr>
            <w:tcW w:w="1800" w:type="dxa"/>
            <w:vAlign w:val="center"/>
          </w:tcPr>
          <w:p w14:paraId="49EA05CE" w14:textId="2B127DF1" w:rsidR="00AD5360" w:rsidRDefault="00AD5360" w:rsidP="00AD5360">
            <w:pPr>
              <w:tabs>
                <w:tab w:val="left" w:pos="2955"/>
              </w:tabs>
              <w:jc w:val="both"/>
              <w:rPr>
                <w:rFonts w:ascii="Arial" w:hAnsi="Arial" w:cs="Arial"/>
                <w:sz w:val="20"/>
                <w:szCs w:val="20"/>
              </w:rPr>
            </w:pPr>
            <w:r w:rsidRPr="00564311">
              <w:t>-0.42**</w:t>
            </w:r>
          </w:p>
        </w:tc>
        <w:tc>
          <w:tcPr>
            <w:tcW w:w="2250" w:type="dxa"/>
            <w:vAlign w:val="center"/>
          </w:tcPr>
          <w:p w14:paraId="31ED7C30" w14:textId="7F765AD7" w:rsidR="00AD5360" w:rsidRDefault="00AD5360" w:rsidP="00AD5360">
            <w:pPr>
              <w:tabs>
                <w:tab w:val="left" w:pos="2955"/>
              </w:tabs>
              <w:jc w:val="both"/>
              <w:rPr>
                <w:rFonts w:ascii="Arial" w:hAnsi="Arial" w:cs="Arial"/>
                <w:sz w:val="20"/>
                <w:szCs w:val="20"/>
              </w:rPr>
            </w:pPr>
            <w:r w:rsidRPr="00564311">
              <w:t>0.38*</w:t>
            </w:r>
          </w:p>
        </w:tc>
      </w:tr>
    </w:tbl>
    <w:p w14:paraId="25CA4E1C" w14:textId="092205DA" w:rsidR="00AD5360" w:rsidRDefault="002764F3" w:rsidP="009F7C14">
      <w:pPr>
        <w:tabs>
          <w:tab w:val="left" w:pos="2955"/>
        </w:tabs>
        <w:spacing w:after="0" w:line="240" w:lineRule="auto"/>
        <w:jc w:val="both"/>
      </w:pPr>
      <w:r w:rsidRPr="00564311">
        <w:t>†</w:t>
      </w:r>
      <w:r>
        <w:t xml:space="preserve">Breeding behaviour were assessed in bull of </w:t>
      </w:r>
      <w:r w:rsidRPr="00564311">
        <w:t xml:space="preserve">≥18 months </w:t>
      </w:r>
      <w:r>
        <w:t>(</w:t>
      </w:r>
      <w:r>
        <w:rPr>
          <w:rFonts w:cstheme="minorHAnsi"/>
        </w:rPr>
        <w:t>≈</w:t>
      </w:r>
      <w:r>
        <w:t xml:space="preserve">2 to </w:t>
      </w:r>
      <w:r w:rsidRPr="00BA4471">
        <w:rPr>
          <w:rFonts w:ascii="Arial" w:hAnsi="Arial" w:cs="Arial"/>
          <w:sz w:val="20"/>
          <w:szCs w:val="20"/>
        </w:rPr>
        <w:t>≥8 years</w:t>
      </w:r>
      <w:r w:rsidRPr="00564311">
        <w:t xml:space="preserve"> of age (n=70)</w:t>
      </w:r>
      <w:r>
        <w:t>)</w:t>
      </w:r>
      <w:r w:rsidR="00591E3A">
        <w:t xml:space="preserve">, </w:t>
      </w:r>
      <w:r w:rsidR="00591E3A" w:rsidRPr="00591E3A">
        <w:t>*</w:t>
      </w:r>
      <w:r w:rsidR="00591E3A">
        <w:t>=</w:t>
      </w:r>
      <w:r w:rsidR="00591E3A" w:rsidRPr="00591E3A">
        <w:t>P &lt; .05. **</w:t>
      </w:r>
      <w:r w:rsidR="00591E3A">
        <w:t>=</w:t>
      </w:r>
      <w:r w:rsidR="00591E3A" w:rsidRPr="00591E3A">
        <w:t>P &lt; .01. ***</w:t>
      </w:r>
      <w:r w:rsidR="00591E3A">
        <w:t>=</w:t>
      </w:r>
      <w:r w:rsidR="00591E3A" w:rsidRPr="00591E3A">
        <w:t>P &lt; .001.</w:t>
      </w:r>
    </w:p>
    <w:p w14:paraId="08E06906" w14:textId="77777777" w:rsidR="009F7C14" w:rsidRPr="002764F3" w:rsidRDefault="009F7C14" w:rsidP="009F7C14">
      <w:pPr>
        <w:tabs>
          <w:tab w:val="left" w:pos="2955"/>
        </w:tabs>
        <w:spacing w:after="0" w:line="240" w:lineRule="auto"/>
        <w:jc w:val="both"/>
        <w:rPr>
          <w:rFonts w:ascii="Arial" w:hAnsi="Arial" w:cs="Arial"/>
          <w:b/>
          <w:bCs/>
          <w:sz w:val="20"/>
          <w:szCs w:val="20"/>
        </w:rPr>
      </w:pPr>
    </w:p>
    <w:p w14:paraId="6BB4901C" w14:textId="5DADD93F" w:rsidR="00BA4471" w:rsidRDefault="00BA4471" w:rsidP="009F7C14">
      <w:pPr>
        <w:tabs>
          <w:tab w:val="left" w:pos="2955"/>
        </w:tabs>
        <w:spacing w:after="0" w:line="240" w:lineRule="auto"/>
        <w:jc w:val="both"/>
        <w:rPr>
          <w:rFonts w:ascii="Arial" w:hAnsi="Arial" w:cs="Arial"/>
          <w:sz w:val="20"/>
          <w:szCs w:val="20"/>
        </w:rPr>
      </w:pPr>
      <w:r w:rsidRPr="00BA4471">
        <w:rPr>
          <w:rFonts w:ascii="Arial" w:hAnsi="Arial" w:cs="Arial"/>
          <w:sz w:val="20"/>
          <w:szCs w:val="20"/>
        </w:rPr>
        <w:t xml:space="preserve">These negative associations between physical parameters such as scrotal circumference (r = -0.31, P &lt; .01) and breeding </w:t>
      </w:r>
      <w:r w:rsidR="0085766A">
        <w:rPr>
          <w:rFonts w:ascii="Arial" w:hAnsi="Arial" w:cs="Arial"/>
          <w:sz w:val="20"/>
          <w:szCs w:val="20"/>
        </w:rPr>
        <w:t>behaviour</w:t>
      </w:r>
      <w:r w:rsidRPr="00BA4471">
        <w:rPr>
          <w:rFonts w:ascii="Arial" w:hAnsi="Arial" w:cs="Arial"/>
          <w:sz w:val="20"/>
          <w:szCs w:val="20"/>
        </w:rPr>
        <w:t xml:space="preserve"> scores (r = -0.42, P &lt; .01) and oestradiol may be a result of the inhibitory effect of high levels of oestradiol on male reproductive performance (Rodriguez-Martinez, 2018; Kastelic, 2019). </w:t>
      </w:r>
      <w:r w:rsidRPr="00BA4471">
        <w:rPr>
          <w:rFonts w:ascii="Arial" w:hAnsi="Arial" w:cs="Arial"/>
          <w:sz w:val="20"/>
          <w:szCs w:val="20"/>
        </w:rPr>
        <w:lastRenderedPageBreak/>
        <w:t>Excessive levels of oestradiol may inhibit LH secretion by negative feedback and decrease production of testosterone, impairing the reproductive performance of affected males (</w:t>
      </w:r>
      <w:r w:rsidR="004349A9" w:rsidRPr="00BA4471">
        <w:rPr>
          <w:rFonts w:ascii="Arial" w:hAnsi="Arial" w:cs="Arial"/>
          <w:sz w:val="20"/>
          <w:szCs w:val="20"/>
        </w:rPr>
        <w:t>Chenoweth, 2020</w:t>
      </w:r>
      <w:r w:rsidR="004349A9">
        <w:rPr>
          <w:rFonts w:ascii="Arial" w:hAnsi="Arial" w:cs="Arial"/>
          <w:sz w:val="20"/>
          <w:szCs w:val="20"/>
        </w:rPr>
        <w:t xml:space="preserve">; </w:t>
      </w:r>
      <w:r w:rsidRPr="00BA4471">
        <w:rPr>
          <w:rFonts w:ascii="Arial" w:hAnsi="Arial" w:cs="Arial"/>
          <w:sz w:val="20"/>
          <w:szCs w:val="20"/>
        </w:rPr>
        <w:t>Palmer et al., 2020). Walters et al. (2019) and Fraser et al. (2021) reported similar results in studies of bulls with reproductive endocrine dysfunction.</w:t>
      </w:r>
    </w:p>
    <w:p w14:paraId="09097B1C" w14:textId="77777777" w:rsidR="00BA4471" w:rsidRPr="00BA4471" w:rsidRDefault="00BA4471" w:rsidP="009F7C14">
      <w:pPr>
        <w:tabs>
          <w:tab w:val="left" w:pos="2955"/>
        </w:tabs>
        <w:spacing w:after="0" w:line="240" w:lineRule="auto"/>
        <w:jc w:val="both"/>
        <w:rPr>
          <w:rFonts w:ascii="Arial" w:hAnsi="Arial" w:cs="Arial"/>
          <w:sz w:val="20"/>
          <w:szCs w:val="20"/>
        </w:rPr>
      </w:pPr>
    </w:p>
    <w:p w14:paraId="4BC49B3E" w14:textId="0CCEF9E6" w:rsidR="00BA4471" w:rsidRPr="00BA4471" w:rsidRDefault="00BA4471" w:rsidP="009F7C14">
      <w:pPr>
        <w:pStyle w:val="Heading2"/>
      </w:pPr>
      <w:r w:rsidRPr="00BA4471">
        <w:t>3.</w:t>
      </w:r>
      <w:r w:rsidR="002012D9">
        <w:t>6</w:t>
      </w:r>
      <w:r w:rsidRPr="00BA4471">
        <w:t xml:space="preserve"> Breeding Performance Evaluation and its Economic Significance</w:t>
      </w:r>
    </w:p>
    <w:p w14:paraId="4FA45D65" w14:textId="50846A98" w:rsidR="004E5900" w:rsidRDefault="00BA4471" w:rsidP="009F7C14">
      <w:pPr>
        <w:tabs>
          <w:tab w:val="left" w:pos="2955"/>
        </w:tabs>
        <w:spacing w:after="0" w:line="240" w:lineRule="auto"/>
        <w:jc w:val="both"/>
        <w:rPr>
          <w:rFonts w:ascii="Arial" w:hAnsi="Arial" w:cs="Arial"/>
          <w:sz w:val="20"/>
          <w:szCs w:val="20"/>
        </w:rPr>
      </w:pPr>
      <w:r w:rsidRPr="00BA4471">
        <w:rPr>
          <w:rFonts w:ascii="Arial" w:hAnsi="Arial" w:cs="Arial"/>
          <w:sz w:val="20"/>
          <w:szCs w:val="20"/>
        </w:rPr>
        <w:t>Among the bulls used for natural breeding (n=68 bulls aged ≥2 years), bulls with peak concentrations of testosterone (4-year group) had better reproductive performance than younger or older bulls (Table 4). The 4-year group of bulls had the best conception rate (83.8 ± 1.3%) and used fewer services per conception (1.2 ± 0.06) than the other groups, results in accordance with results by Santos et al. (2021) and Rodriguez-Martinez (2018).</w:t>
      </w:r>
    </w:p>
    <w:p w14:paraId="55D66430" w14:textId="77777777" w:rsidR="00225EDE" w:rsidRDefault="00225EDE" w:rsidP="009F7C14">
      <w:pPr>
        <w:tabs>
          <w:tab w:val="left" w:pos="2955"/>
        </w:tabs>
        <w:spacing w:after="0" w:line="240" w:lineRule="auto"/>
        <w:jc w:val="both"/>
        <w:rPr>
          <w:rFonts w:ascii="Arial" w:hAnsi="Arial" w:cs="Arial"/>
          <w:sz w:val="20"/>
          <w:szCs w:val="20"/>
        </w:rPr>
      </w:pPr>
    </w:p>
    <w:p w14:paraId="44DC71E6" w14:textId="39A08AF2" w:rsidR="0002278B" w:rsidRDefault="0002278B" w:rsidP="009F7C14">
      <w:pPr>
        <w:tabs>
          <w:tab w:val="left" w:pos="2955"/>
        </w:tabs>
        <w:spacing w:after="0" w:line="240" w:lineRule="auto"/>
        <w:jc w:val="both"/>
        <w:rPr>
          <w:rFonts w:ascii="Arial" w:hAnsi="Arial" w:cs="Arial"/>
          <w:sz w:val="20"/>
          <w:szCs w:val="20"/>
        </w:rPr>
      </w:pPr>
      <w:r w:rsidRPr="0002278B">
        <w:rPr>
          <w:rFonts w:ascii="Arial" w:hAnsi="Arial" w:cs="Arial"/>
          <w:sz w:val="20"/>
          <w:szCs w:val="20"/>
        </w:rPr>
        <w:t xml:space="preserve">The 27% </w:t>
      </w:r>
      <w:r w:rsidR="00225EDE">
        <w:rPr>
          <w:rFonts w:ascii="Arial" w:hAnsi="Arial" w:cs="Arial"/>
          <w:sz w:val="20"/>
          <w:szCs w:val="20"/>
        </w:rPr>
        <w:t>increase</w:t>
      </w:r>
      <w:r w:rsidRPr="0002278B">
        <w:rPr>
          <w:rFonts w:ascii="Arial" w:hAnsi="Arial" w:cs="Arial"/>
          <w:sz w:val="20"/>
          <w:szCs w:val="20"/>
        </w:rPr>
        <w:t xml:space="preserve"> in conception rates in peak-testosterone bulls relative to younger animals indicates that hormone maturity greatly affects fertility results over physical development per se (Chenoweth, 2020; Fraser et al., 2021). The observation lends support to postponement of intensive breeding in young bulls until hormone levels reach peak reproductive potential, normally by 3-4 years. Research by De </w:t>
      </w:r>
      <w:proofErr w:type="spellStart"/>
      <w:r w:rsidRPr="0002278B">
        <w:rPr>
          <w:rFonts w:ascii="Arial" w:hAnsi="Arial" w:cs="Arial"/>
          <w:sz w:val="20"/>
          <w:szCs w:val="20"/>
        </w:rPr>
        <w:t>Rensis</w:t>
      </w:r>
      <w:proofErr w:type="spellEnd"/>
      <w:r w:rsidRPr="0002278B">
        <w:rPr>
          <w:rFonts w:ascii="Arial" w:hAnsi="Arial" w:cs="Arial"/>
          <w:sz w:val="20"/>
          <w:szCs w:val="20"/>
        </w:rPr>
        <w:t xml:space="preserve"> &amp; </w:t>
      </w:r>
      <w:proofErr w:type="spellStart"/>
      <w:r w:rsidRPr="0002278B">
        <w:rPr>
          <w:rFonts w:ascii="Arial" w:hAnsi="Arial" w:cs="Arial"/>
          <w:sz w:val="20"/>
          <w:szCs w:val="20"/>
        </w:rPr>
        <w:t>Scaramuzzi</w:t>
      </w:r>
      <w:proofErr w:type="spellEnd"/>
      <w:r w:rsidRPr="0002278B">
        <w:rPr>
          <w:rFonts w:ascii="Arial" w:hAnsi="Arial" w:cs="Arial"/>
          <w:sz w:val="20"/>
          <w:szCs w:val="20"/>
        </w:rPr>
        <w:t xml:space="preserve"> (2003) and Walters et al. (2019) has demonstrated adverse 20-35% reductions in conception percentages and associated risks of reproductive trauma from early breeding in young bulls.</w:t>
      </w:r>
    </w:p>
    <w:p w14:paraId="361FF6EC" w14:textId="77777777" w:rsidR="00225EDE" w:rsidRPr="0002278B" w:rsidRDefault="00225EDE" w:rsidP="009F7C14">
      <w:pPr>
        <w:tabs>
          <w:tab w:val="left" w:pos="2955"/>
        </w:tabs>
        <w:spacing w:after="0" w:line="240" w:lineRule="auto"/>
        <w:jc w:val="both"/>
        <w:rPr>
          <w:rFonts w:ascii="Arial" w:hAnsi="Arial" w:cs="Arial"/>
          <w:sz w:val="20"/>
          <w:szCs w:val="20"/>
        </w:rPr>
      </w:pPr>
    </w:p>
    <w:p w14:paraId="580A52A1" w14:textId="77777777" w:rsidR="0002278B" w:rsidRDefault="0002278B" w:rsidP="009F7C14">
      <w:pPr>
        <w:tabs>
          <w:tab w:val="left" w:pos="2955"/>
        </w:tabs>
        <w:spacing w:after="0" w:line="240" w:lineRule="auto"/>
        <w:jc w:val="both"/>
        <w:rPr>
          <w:rFonts w:ascii="Arial" w:hAnsi="Arial" w:cs="Arial"/>
          <w:sz w:val="20"/>
          <w:szCs w:val="20"/>
        </w:rPr>
      </w:pPr>
      <w:r w:rsidRPr="0002278B">
        <w:rPr>
          <w:rFonts w:ascii="Arial" w:hAnsi="Arial" w:cs="Arial"/>
          <w:sz w:val="20"/>
          <w:szCs w:val="20"/>
        </w:rPr>
        <w:t>Walsh et al. (2019) and Prakash et al. (2021) have illustrated that a 15% rise in conception rate as noted between peak and suboptimal bulls will lift net returns annually by $150-300 per bull in a commercial dairy enterprise. The enhanced reproductive performance realized by 4-year-old bulls with increased conception rates and fewer services per conception augments the testosterone peak as a valid predictor of peak breeding ability (Brito et al., 2020; Santos et al., 2021). These performance disparities have considerable economic impacts on the dairy enterprise with enhanced conception enhancing breeding expense reduction and shortening of calving intervals (Barth &amp; Oko, 2019; Kastelic, 2019).</w:t>
      </w:r>
    </w:p>
    <w:p w14:paraId="42BE1A26" w14:textId="77777777" w:rsidR="00225EDE" w:rsidRPr="0002278B" w:rsidRDefault="00225EDE" w:rsidP="009F7C14">
      <w:pPr>
        <w:tabs>
          <w:tab w:val="left" w:pos="2955"/>
        </w:tabs>
        <w:spacing w:after="0" w:line="240" w:lineRule="auto"/>
        <w:jc w:val="both"/>
        <w:rPr>
          <w:rFonts w:ascii="Arial" w:hAnsi="Arial" w:cs="Arial"/>
          <w:sz w:val="20"/>
          <w:szCs w:val="20"/>
        </w:rPr>
      </w:pPr>
    </w:p>
    <w:p w14:paraId="6841835F" w14:textId="1F10CEAB" w:rsidR="0002278B" w:rsidRDefault="0002278B" w:rsidP="009F7C14">
      <w:pPr>
        <w:tabs>
          <w:tab w:val="left" w:pos="2955"/>
        </w:tabs>
        <w:spacing w:after="0" w:line="240" w:lineRule="auto"/>
        <w:jc w:val="both"/>
        <w:rPr>
          <w:rFonts w:ascii="Arial" w:hAnsi="Arial" w:cs="Arial"/>
          <w:sz w:val="20"/>
          <w:szCs w:val="20"/>
        </w:rPr>
      </w:pPr>
      <w:r w:rsidRPr="0002278B">
        <w:rPr>
          <w:rFonts w:ascii="Arial" w:hAnsi="Arial" w:cs="Arial"/>
          <w:sz w:val="20"/>
          <w:szCs w:val="20"/>
        </w:rPr>
        <w:t>The diminished performance of older bulls (≥8 years) even with normal testosterone levels (5.1 ± 0.25 ng/mL) indicates that hormone evaluation must be augmented with other parameters of evaluation to attain an integrated breeding soundness evaluation (Santos et al., 2021; Rodriguez-Martinez, 2018). Physiologic alterations with advancing age affecting semen quality, the integrity of the testes, and physical fitness may impair breeding effectiveness even in cases where hormone levels fall within normal ranges (Kastelic, 2019; Brito et al., 2020).</w:t>
      </w:r>
    </w:p>
    <w:p w14:paraId="4C53E699" w14:textId="77777777" w:rsidR="00880DCD" w:rsidRDefault="00880DCD" w:rsidP="009F7C14">
      <w:pPr>
        <w:tabs>
          <w:tab w:val="left" w:pos="2955"/>
        </w:tabs>
        <w:spacing w:after="0" w:line="240" w:lineRule="auto"/>
        <w:jc w:val="both"/>
        <w:rPr>
          <w:rFonts w:ascii="Arial" w:hAnsi="Arial" w:cs="Arial"/>
          <w:sz w:val="20"/>
          <w:szCs w:val="20"/>
        </w:rPr>
      </w:pPr>
    </w:p>
    <w:p w14:paraId="4DD380BC" w14:textId="0E1F3420" w:rsidR="000F0C02" w:rsidRDefault="000F0C02" w:rsidP="009F7C14">
      <w:pPr>
        <w:tabs>
          <w:tab w:val="left" w:pos="2955"/>
        </w:tabs>
        <w:spacing w:after="0" w:line="240" w:lineRule="auto"/>
        <w:jc w:val="both"/>
        <w:rPr>
          <w:rFonts w:ascii="Arial" w:hAnsi="Arial" w:cs="Arial"/>
          <w:sz w:val="20"/>
          <w:szCs w:val="20"/>
        </w:rPr>
      </w:pPr>
      <w:r>
        <w:rPr>
          <w:rFonts w:ascii="Arial" w:hAnsi="Arial" w:cs="Arial"/>
          <w:sz w:val="20"/>
          <w:szCs w:val="20"/>
        </w:rPr>
        <w:t xml:space="preserve">Table 4: </w:t>
      </w:r>
      <w:r w:rsidRPr="00BA4471">
        <w:t>Breeding Performance Evaluation</w:t>
      </w:r>
    </w:p>
    <w:tbl>
      <w:tblPr>
        <w:tblStyle w:val="TableGrid"/>
        <w:tblW w:w="9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20"/>
        <w:gridCol w:w="2430"/>
        <w:gridCol w:w="2610"/>
        <w:gridCol w:w="2340"/>
      </w:tblGrid>
      <w:tr w:rsidR="001B2193" w:rsidRPr="001B2193" w14:paraId="7AE9E93F" w14:textId="77777777" w:rsidTr="000F3C2B">
        <w:tc>
          <w:tcPr>
            <w:tcW w:w="1255" w:type="dxa"/>
            <w:tcBorders>
              <w:top w:val="single" w:sz="4" w:space="0" w:color="auto"/>
              <w:bottom w:val="single" w:sz="4" w:space="0" w:color="auto"/>
            </w:tcBorders>
            <w:vAlign w:val="center"/>
          </w:tcPr>
          <w:p w14:paraId="57B64C98" w14:textId="0645FCC9" w:rsidR="001B2193" w:rsidRPr="001B2193" w:rsidRDefault="001B2193" w:rsidP="00364F14">
            <w:pPr>
              <w:tabs>
                <w:tab w:val="left" w:pos="2955"/>
              </w:tabs>
              <w:ind w:left="-120" w:right="-105"/>
              <w:jc w:val="both"/>
              <w:rPr>
                <w:rFonts w:ascii="Times New Roman" w:hAnsi="Times New Roman" w:cs="Times New Roman"/>
                <w:sz w:val="24"/>
                <w:szCs w:val="24"/>
              </w:rPr>
            </w:pPr>
            <w:r w:rsidRPr="001B2193">
              <w:rPr>
                <w:rFonts w:ascii="Times New Roman" w:hAnsi="Times New Roman" w:cs="Times New Roman"/>
                <w:b/>
                <w:bCs/>
                <w:sz w:val="24"/>
                <w:szCs w:val="24"/>
              </w:rPr>
              <w:t>Age Group</w:t>
            </w:r>
          </w:p>
        </w:tc>
        <w:tc>
          <w:tcPr>
            <w:tcW w:w="720" w:type="dxa"/>
            <w:tcBorders>
              <w:top w:val="single" w:sz="4" w:space="0" w:color="auto"/>
              <w:bottom w:val="single" w:sz="4" w:space="0" w:color="auto"/>
            </w:tcBorders>
            <w:vAlign w:val="center"/>
          </w:tcPr>
          <w:p w14:paraId="07A5569D" w14:textId="45FF6B62"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b/>
                <w:bCs/>
                <w:sz w:val="24"/>
                <w:szCs w:val="24"/>
              </w:rPr>
              <w:t>n</w:t>
            </w:r>
          </w:p>
        </w:tc>
        <w:tc>
          <w:tcPr>
            <w:tcW w:w="2430" w:type="dxa"/>
            <w:tcBorders>
              <w:top w:val="single" w:sz="4" w:space="0" w:color="auto"/>
              <w:bottom w:val="single" w:sz="4" w:space="0" w:color="auto"/>
            </w:tcBorders>
            <w:vAlign w:val="center"/>
          </w:tcPr>
          <w:p w14:paraId="6CF86E05" w14:textId="72C76990"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b/>
                <w:bCs/>
                <w:sz w:val="24"/>
                <w:szCs w:val="24"/>
              </w:rPr>
              <w:t>Conception Rate (%)</w:t>
            </w:r>
          </w:p>
        </w:tc>
        <w:tc>
          <w:tcPr>
            <w:tcW w:w="2610" w:type="dxa"/>
            <w:tcBorders>
              <w:top w:val="single" w:sz="4" w:space="0" w:color="auto"/>
              <w:bottom w:val="single" w:sz="4" w:space="0" w:color="auto"/>
            </w:tcBorders>
            <w:vAlign w:val="center"/>
          </w:tcPr>
          <w:p w14:paraId="11A19D5F" w14:textId="6729A6C8" w:rsidR="001B2193" w:rsidRPr="001B2193" w:rsidRDefault="001B2193" w:rsidP="00364F14">
            <w:pPr>
              <w:tabs>
                <w:tab w:val="left" w:pos="2955"/>
              </w:tabs>
              <w:ind w:left="-14" w:right="-105"/>
              <w:jc w:val="both"/>
              <w:rPr>
                <w:rFonts w:ascii="Times New Roman" w:hAnsi="Times New Roman" w:cs="Times New Roman"/>
                <w:sz w:val="24"/>
                <w:szCs w:val="24"/>
              </w:rPr>
            </w:pPr>
            <w:r w:rsidRPr="001B2193">
              <w:rPr>
                <w:rFonts w:ascii="Times New Roman" w:hAnsi="Times New Roman" w:cs="Times New Roman"/>
                <w:b/>
                <w:bCs/>
                <w:sz w:val="24"/>
                <w:szCs w:val="24"/>
              </w:rPr>
              <w:t>Services per Conception</w:t>
            </w:r>
          </w:p>
        </w:tc>
        <w:tc>
          <w:tcPr>
            <w:tcW w:w="2340" w:type="dxa"/>
            <w:tcBorders>
              <w:top w:val="single" w:sz="4" w:space="0" w:color="auto"/>
              <w:bottom w:val="single" w:sz="4" w:space="0" w:color="auto"/>
            </w:tcBorders>
            <w:vAlign w:val="center"/>
          </w:tcPr>
          <w:p w14:paraId="001EFA31" w14:textId="43F02F0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b/>
                <w:bCs/>
                <w:sz w:val="24"/>
                <w:szCs w:val="24"/>
              </w:rPr>
              <w:t>Libido Score (1-10)</w:t>
            </w:r>
          </w:p>
        </w:tc>
      </w:tr>
      <w:tr w:rsidR="001B2193" w:rsidRPr="001B2193" w14:paraId="16C92948" w14:textId="77777777" w:rsidTr="000F3C2B">
        <w:tc>
          <w:tcPr>
            <w:tcW w:w="1255" w:type="dxa"/>
            <w:tcBorders>
              <w:top w:val="single" w:sz="4" w:space="0" w:color="auto"/>
            </w:tcBorders>
            <w:vAlign w:val="center"/>
          </w:tcPr>
          <w:p w14:paraId="662272C5" w14:textId="704920B7"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2 years</w:t>
            </w:r>
          </w:p>
        </w:tc>
        <w:tc>
          <w:tcPr>
            <w:tcW w:w="720" w:type="dxa"/>
            <w:tcBorders>
              <w:top w:val="single" w:sz="4" w:space="0" w:color="auto"/>
            </w:tcBorders>
            <w:vAlign w:val="center"/>
          </w:tcPr>
          <w:p w14:paraId="5299D22C" w14:textId="40791261"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w:t>
            </w:r>
          </w:p>
        </w:tc>
        <w:tc>
          <w:tcPr>
            <w:tcW w:w="2430" w:type="dxa"/>
            <w:tcBorders>
              <w:top w:val="single" w:sz="4" w:space="0" w:color="auto"/>
            </w:tcBorders>
            <w:vAlign w:val="center"/>
          </w:tcPr>
          <w:p w14:paraId="7220BD52" w14:textId="4174D473"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68.2 ± 2.7</w:t>
            </w:r>
            <w:r w:rsidR="000F3C2B" w:rsidRPr="000F3C2B">
              <w:rPr>
                <w:rFonts w:ascii="Times New Roman" w:hAnsi="Times New Roman" w:cs="Times New Roman"/>
                <w:sz w:val="24"/>
                <w:szCs w:val="24"/>
                <w:vertAlign w:val="superscript"/>
              </w:rPr>
              <w:t>a</w:t>
            </w:r>
          </w:p>
        </w:tc>
        <w:tc>
          <w:tcPr>
            <w:tcW w:w="2610" w:type="dxa"/>
            <w:tcBorders>
              <w:top w:val="single" w:sz="4" w:space="0" w:color="auto"/>
            </w:tcBorders>
            <w:vAlign w:val="center"/>
          </w:tcPr>
          <w:p w14:paraId="6D0BDCBC" w14:textId="2B508C9D"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1.8 ± 0.09</w:t>
            </w:r>
            <w:r w:rsidR="000F3C2B" w:rsidRPr="000F3C2B">
              <w:rPr>
                <w:rFonts w:ascii="Times New Roman" w:hAnsi="Times New Roman" w:cs="Times New Roman"/>
                <w:sz w:val="24"/>
                <w:szCs w:val="24"/>
                <w:vertAlign w:val="superscript"/>
              </w:rPr>
              <w:t>b</w:t>
            </w:r>
          </w:p>
        </w:tc>
        <w:tc>
          <w:tcPr>
            <w:tcW w:w="2340" w:type="dxa"/>
            <w:tcBorders>
              <w:top w:val="single" w:sz="4" w:space="0" w:color="auto"/>
            </w:tcBorders>
            <w:vAlign w:val="center"/>
          </w:tcPr>
          <w:p w14:paraId="7B201280" w14:textId="3456F3BA"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6.2 ± 0.35</w:t>
            </w:r>
            <w:r w:rsidR="000F3C2B" w:rsidRPr="000F3C2B">
              <w:rPr>
                <w:rFonts w:ascii="Times New Roman" w:hAnsi="Times New Roman" w:cs="Times New Roman"/>
                <w:sz w:val="24"/>
                <w:szCs w:val="24"/>
                <w:vertAlign w:val="superscript"/>
              </w:rPr>
              <w:t>a</w:t>
            </w:r>
          </w:p>
        </w:tc>
      </w:tr>
      <w:tr w:rsidR="001B2193" w:rsidRPr="001B2193" w14:paraId="04639931" w14:textId="77777777" w:rsidTr="000F3C2B">
        <w:tc>
          <w:tcPr>
            <w:tcW w:w="1255" w:type="dxa"/>
            <w:vAlign w:val="center"/>
          </w:tcPr>
          <w:p w14:paraId="05A01212" w14:textId="47B412A2"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3 years</w:t>
            </w:r>
          </w:p>
        </w:tc>
        <w:tc>
          <w:tcPr>
            <w:tcW w:w="720" w:type="dxa"/>
            <w:vAlign w:val="center"/>
          </w:tcPr>
          <w:p w14:paraId="68E1EFA3" w14:textId="623B9EED"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3EB33BC6" w14:textId="3A9A34A9"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78.3 ± 2.1</w:t>
            </w:r>
            <w:r w:rsidR="000F3C2B" w:rsidRPr="000F3C2B">
              <w:rPr>
                <w:rFonts w:ascii="Times New Roman" w:hAnsi="Times New Roman" w:cs="Times New Roman"/>
                <w:sz w:val="24"/>
                <w:szCs w:val="24"/>
                <w:vertAlign w:val="superscript"/>
              </w:rPr>
              <w:t>b</w:t>
            </w:r>
          </w:p>
        </w:tc>
        <w:tc>
          <w:tcPr>
            <w:tcW w:w="2610" w:type="dxa"/>
            <w:vAlign w:val="center"/>
          </w:tcPr>
          <w:p w14:paraId="7D08E28F" w14:textId="7404AD8A"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1.4 ± 0.06</w:t>
            </w:r>
            <w:r w:rsidR="000F3C2B" w:rsidRPr="000F3C2B">
              <w:rPr>
                <w:rFonts w:ascii="Times New Roman" w:hAnsi="Times New Roman" w:cs="Times New Roman"/>
                <w:sz w:val="24"/>
                <w:szCs w:val="24"/>
                <w:vertAlign w:val="superscript"/>
              </w:rPr>
              <w:t>ab</w:t>
            </w:r>
          </w:p>
        </w:tc>
        <w:tc>
          <w:tcPr>
            <w:tcW w:w="2340" w:type="dxa"/>
            <w:vAlign w:val="center"/>
          </w:tcPr>
          <w:p w14:paraId="58E87AAA" w14:textId="1882CAEB"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7.8 ± 0.28</w:t>
            </w:r>
            <w:r w:rsidR="000F3C2B" w:rsidRPr="000F3C2B">
              <w:rPr>
                <w:rFonts w:ascii="Times New Roman" w:hAnsi="Times New Roman" w:cs="Times New Roman"/>
                <w:sz w:val="24"/>
                <w:szCs w:val="24"/>
                <w:vertAlign w:val="superscript"/>
              </w:rPr>
              <w:t>b</w:t>
            </w:r>
          </w:p>
        </w:tc>
      </w:tr>
      <w:tr w:rsidR="001B2193" w:rsidRPr="001B2193" w14:paraId="34BB2843" w14:textId="77777777" w:rsidTr="000F3C2B">
        <w:tc>
          <w:tcPr>
            <w:tcW w:w="1255" w:type="dxa"/>
            <w:vAlign w:val="center"/>
          </w:tcPr>
          <w:p w14:paraId="1F85AA0C" w14:textId="0AB3CB46"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4 years</w:t>
            </w:r>
          </w:p>
        </w:tc>
        <w:tc>
          <w:tcPr>
            <w:tcW w:w="720" w:type="dxa"/>
            <w:vAlign w:val="center"/>
          </w:tcPr>
          <w:p w14:paraId="65D961C1" w14:textId="2E89EE8F"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5F880952" w14:textId="4A6F3897"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83.8 ± 1.3</w:t>
            </w:r>
            <w:r w:rsidR="000F3C2B" w:rsidRPr="000F3C2B">
              <w:rPr>
                <w:rFonts w:ascii="Times New Roman" w:hAnsi="Times New Roman" w:cs="Times New Roman"/>
                <w:sz w:val="24"/>
                <w:szCs w:val="24"/>
                <w:vertAlign w:val="superscript"/>
              </w:rPr>
              <w:t>c</w:t>
            </w:r>
          </w:p>
        </w:tc>
        <w:tc>
          <w:tcPr>
            <w:tcW w:w="2610" w:type="dxa"/>
            <w:vAlign w:val="center"/>
          </w:tcPr>
          <w:p w14:paraId="00DA7153" w14:textId="1291F6F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1.2 ± 0.06</w:t>
            </w:r>
            <w:r w:rsidR="000F3C2B" w:rsidRPr="000F3C2B">
              <w:rPr>
                <w:rFonts w:ascii="Times New Roman" w:hAnsi="Times New Roman" w:cs="Times New Roman"/>
                <w:sz w:val="24"/>
                <w:szCs w:val="24"/>
                <w:vertAlign w:val="superscript"/>
              </w:rPr>
              <w:t>a</w:t>
            </w:r>
          </w:p>
        </w:tc>
        <w:tc>
          <w:tcPr>
            <w:tcW w:w="2340" w:type="dxa"/>
            <w:vAlign w:val="center"/>
          </w:tcPr>
          <w:p w14:paraId="573A2B28" w14:textId="1D0CC80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8.9 ± 0.22</w:t>
            </w:r>
            <w:r w:rsidR="000F3C2B" w:rsidRPr="000F3C2B">
              <w:rPr>
                <w:rFonts w:ascii="Times New Roman" w:hAnsi="Times New Roman" w:cs="Times New Roman"/>
                <w:sz w:val="24"/>
                <w:szCs w:val="24"/>
                <w:vertAlign w:val="superscript"/>
              </w:rPr>
              <w:t>c</w:t>
            </w:r>
          </w:p>
        </w:tc>
      </w:tr>
      <w:tr w:rsidR="001B2193" w:rsidRPr="001B2193" w14:paraId="5C9C9019" w14:textId="77777777" w:rsidTr="000F3C2B">
        <w:tc>
          <w:tcPr>
            <w:tcW w:w="1255" w:type="dxa"/>
            <w:vAlign w:val="center"/>
          </w:tcPr>
          <w:p w14:paraId="437671BB" w14:textId="582B3E6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5 years</w:t>
            </w:r>
          </w:p>
        </w:tc>
        <w:tc>
          <w:tcPr>
            <w:tcW w:w="720" w:type="dxa"/>
            <w:vAlign w:val="center"/>
          </w:tcPr>
          <w:p w14:paraId="31F5E43B" w14:textId="0E06043C"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41418858" w14:textId="06FED0C0"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79.2 ± 1.8</w:t>
            </w:r>
            <w:r w:rsidR="000F3C2B" w:rsidRPr="000F3C2B">
              <w:rPr>
                <w:rFonts w:ascii="Times New Roman" w:hAnsi="Times New Roman" w:cs="Times New Roman"/>
                <w:sz w:val="24"/>
                <w:szCs w:val="24"/>
                <w:vertAlign w:val="superscript"/>
              </w:rPr>
              <w:t>bc</w:t>
            </w:r>
          </w:p>
        </w:tc>
        <w:tc>
          <w:tcPr>
            <w:tcW w:w="2610" w:type="dxa"/>
            <w:vAlign w:val="center"/>
          </w:tcPr>
          <w:p w14:paraId="0A187ACE" w14:textId="0FE42420"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1.3 ± 0.07</w:t>
            </w:r>
            <w:r w:rsidR="000F3C2B" w:rsidRPr="000F3C2B">
              <w:rPr>
                <w:rFonts w:ascii="Times New Roman" w:hAnsi="Times New Roman" w:cs="Times New Roman"/>
                <w:sz w:val="24"/>
                <w:szCs w:val="24"/>
                <w:vertAlign w:val="superscript"/>
              </w:rPr>
              <w:t>a</w:t>
            </w:r>
          </w:p>
        </w:tc>
        <w:tc>
          <w:tcPr>
            <w:tcW w:w="2340" w:type="dxa"/>
            <w:vAlign w:val="center"/>
          </w:tcPr>
          <w:p w14:paraId="682BD45A" w14:textId="77A68421"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8.4 ± 0.25</w:t>
            </w:r>
            <w:r w:rsidR="000F3C2B" w:rsidRPr="000F3C2B">
              <w:rPr>
                <w:rFonts w:ascii="Times New Roman" w:hAnsi="Times New Roman" w:cs="Times New Roman"/>
                <w:sz w:val="24"/>
                <w:szCs w:val="24"/>
                <w:vertAlign w:val="superscript"/>
              </w:rPr>
              <w:t>c</w:t>
            </w:r>
          </w:p>
        </w:tc>
      </w:tr>
      <w:tr w:rsidR="001B2193" w:rsidRPr="001B2193" w14:paraId="2332E6D3" w14:textId="77777777" w:rsidTr="000F3C2B">
        <w:tc>
          <w:tcPr>
            <w:tcW w:w="1255" w:type="dxa"/>
            <w:vAlign w:val="center"/>
          </w:tcPr>
          <w:p w14:paraId="2EF3C4FA" w14:textId="70E8DB7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6 years</w:t>
            </w:r>
          </w:p>
        </w:tc>
        <w:tc>
          <w:tcPr>
            <w:tcW w:w="720" w:type="dxa"/>
            <w:vAlign w:val="center"/>
          </w:tcPr>
          <w:p w14:paraId="58D875F9" w14:textId="303813F6"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0332B26B" w14:textId="6CB85F0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75.6 ± 2.2</w:t>
            </w:r>
            <w:r w:rsidR="000F3C2B" w:rsidRPr="000F3C2B">
              <w:rPr>
                <w:rFonts w:ascii="Times New Roman" w:hAnsi="Times New Roman" w:cs="Times New Roman"/>
                <w:sz w:val="24"/>
                <w:szCs w:val="24"/>
                <w:vertAlign w:val="superscript"/>
              </w:rPr>
              <w:t>b</w:t>
            </w:r>
          </w:p>
        </w:tc>
        <w:tc>
          <w:tcPr>
            <w:tcW w:w="2610" w:type="dxa"/>
            <w:vAlign w:val="center"/>
          </w:tcPr>
          <w:p w14:paraId="4AF367FF" w14:textId="4038920A"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1.4 ± 0.08</w:t>
            </w:r>
            <w:r w:rsidR="000F3C2B" w:rsidRPr="000F3C2B">
              <w:rPr>
                <w:rFonts w:ascii="Times New Roman" w:hAnsi="Times New Roman" w:cs="Times New Roman"/>
                <w:sz w:val="24"/>
                <w:szCs w:val="24"/>
                <w:vertAlign w:val="superscript"/>
              </w:rPr>
              <w:t>ab</w:t>
            </w:r>
          </w:p>
        </w:tc>
        <w:tc>
          <w:tcPr>
            <w:tcW w:w="2340" w:type="dxa"/>
            <w:vAlign w:val="center"/>
          </w:tcPr>
          <w:p w14:paraId="76E97328" w14:textId="012AD5C7"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7.9 ± 0.28</w:t>
            </w:r>
            <w:r w:rsidR="000F3C2B" w:rsidRPr="000F3C2B">
              <w:rPr>
                <w:rFonts w:ascii="Times New Roman" w:hAnsi="Times New Roman" w:cs="Times New Roman"/>
                <w:sz w:val="24"/>
                <w:szCs w:val="24"/>
                <w:vertAlign w:val="superscript"/>
              </w:rPr>
              <w:t>bc</w:t>
            </w:r>
          </w:p>
        </w:tc>
      </w:tr>
      <w:tr w:rsidR="001B2193" w:rsidRPr="001B2193" w14:paraId="1C19E4FA" w14:textId="77777777" w:rsidTr="000F3C2B">
        <w:tc>
          <w:tcPr>
            <w:tcW w:w="1255" w:type="dxa"/>
            <w:vAlign w:val="center"/>
          </w:tcPr>
          <w:p w14:paraId="4840203F" w14:textId="10ABBC39"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 years</w:t>
            </w:r>
          </w:p>
        </w:tc>
        <w:tc>
          <w:tcPr>
            <w:tcW w:w="720" w:type="dxa"/>
            <w:vAlign w:val="center"/>
          </w:tcPr>
          <w:p w14:paraId="5F21EAB9" w14:textId="2760999F"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3336B33E" w14:textId="6C10F6B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72.8 ± 2.5</w:t>
            </w:r>
            <w:r w:rsidR="000F3C2B" w:rsidRPr="000F3C2B">
              <w:rPr>
                <w:rFonts w:ascii="Times New Roman" w:hAnsi="Times New Roman" w:cs="Times New Roman"/>
                <w:sz w:val="24"/>
                <w:szCs w:val="24"/>
                <w:vertAlign w:val="superscript"/>
              </w:rPr>
              <w:t>ab</w:t>
            </w:r>
          </w:p>
        </w:tc>
        <w:tc>
          <w:tcPr>
            <w:tcW w:w="2610" w:type="dxa"/>
            <w:vAlign w:val="center"/>
          </w:tcPr>
          <w:p w14:paraId="54872AE9" w14:textId="2ECB6A1D"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1.6 ± 0.09</w:t>
            </w:r>
            <w:r w:rsidR="000F3C2B" w:rsidRPr="000F3C2B">
              <w:rPr>
                <w:rFonts w:ascii="Times New Roman" w:hAnsi="Times New Roman" w:cs="Times New Roman"/>
                <w:sz w:val="24"/>
                <w:szCs w:val="24"/>
                <w:vertAlign w:val="superscript"/>
              </w:rPr>
              <w:t>b</w:t>
            </w:r>
          </w:p>
        </w:tc>
        <w:tc>
          <w:tcPr>
            <w:tcW w:w="2340" w:type="dxa"/>
            <w:vAlign w:val="center"/>
          </w:tcPr>
          <w:p w14:paraId="6086213B" w14:textId="40A6E96F"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7.4 ± 0.32</w:t>
            </w:r>
            <w:r w:rsidR="000F3C2B" w:rsidRPr="000F3C2B">
              <w:rPr>
                <w:rFonts w:ascii="Times New Roman" w:hAnsi="Times New Roman" w:cs="Times New Roman"/>
                <w:sz w:val="24"/>
                <w:szCs w:val="24"/>
                <w:vertAlign w:val="superscript"/>
              </w:rPr>
              <w:t>b</w:t>
            </w:r>
          </w:p>
        </w:tc>
      </w:tr>
      <w:tr w:rsidR="001B2193" w:rsidRPr="001B2193" w14:paraId="1592EAE4" w14:textId="77777777" w:rsidTr="000F3C2B">
        <w:tc>
          <w:tcPr>
            <w:tcW w:w="1255" w:type="dxa"/>
            <w:vAlign w:val="center"/>
          </w:tcPr>
          <w:p w14:paraId="1C8EDB34" w14:textId="388B561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≥8 years</w:t>
            </w:r>
          </w:p>
        </w:tc>
        <w:tc>
          <w:tcPr>
            <w:tcW w:w="720" w:type="dxa"/>
            <w:vAlign w:val="center"/>
          </w:tcPr>
          <w:p w14:paraId="2F7C1469" w14:textId="54723D3E"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10</w:t>
            </w:r>
          </w:p>
        </w:tc>
        <w:tc>
          <w:tcPr>
            <w:tcW w:w="2430" w:type="dxa"/>
            <w:vAlign w:val="center"/>
          </w:tcPr>
          <w:p w14:paraId="4627D4AA" w14:textId="6B9F4738"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71.4 ± 2.5</w:t>
            </w:r>
            <w:r w:rsidR="000F3C2B" w:rsidRPr="000F3C2B">
              <w:rPr>
                <w:rFonts w:ascii="Times New Roman" w:hAnsi="Times New Roman" w:cs="Times New Roman"/>
                <w:sz w:val="24"/>
                <w:szCs w:val="24"/>
                <w:vertAlign w:val="superscript"/>
              </w:rPr>
              <w:t>ab</w:t>
            </w:r>
          </w:p>
        </w:tc>
        <w:tc>
          <w:tcPr>
            <w:tcW w:w="2610" w:type="dxa"/>
            <w:vAlign w:val="center"/>
          </w:tcPr>
          <w:p w14:paraId="01165368" w14:textId="7C34F5C5"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1.7 ± 0.09</w:t>
            </w:r>
            <w:r w:rsidR="000F3C2B" w:rsidRPr="000F3C2B">
              <w:rPr>
                <w:rFonts w:ascii="Times New Roman" w:hAnsi="Times New Roman" w:cs="Times New Roman"/>
                <w:sz w:val="24"/>
                <w:szCs w:val="24"/>
                <w:vertAlign w:val="superscript"/>
              </w:rPr>
              <w:t>b</w:t>
            </w:r>
          </w:p>
        </w:tc>
        <w:tc>
          <w:tcPr>
            <w:tcW w:w="2340" w:type="dxa"/>
            <w:vAlign w:val="center"/>
          </w:tcPr>
          <w:p w14:paraId="508A617F" w14:textId="2A5CCD42" w:rsidR="001B2193" w:rsidRPr="001B2193" w:rsidRDefault="001B2193" w:rsidP="001B2193">
            <w:pPr>
              <w:tabs>
                <w:tab w:val="left" w:pos="2955"/>
              </w:tabs>
              <w:jc w:val="both"/>
              <w:rPr>
                <w:rFonts w:ascii="Times New Roman" w:hAnsi="Times New Roman" w:cs="Times New Roman"/>
                <w:sz w:val="24"/>
                <w:szCs w:val="24"/>
              </w:rPr>
            </w:pPr>
            <w:r w:rsidRPr="001B2193">
              <w:rPr>
                <w:rFonts w:ascii="Times New Roman" w:hAnsi="Times New Roman" w:cs="Times New Roman"/>
                <w:sz w:val="24"/>
                <w:szCs w:val="24"/>
              </w:rPr>
              <w:t>7.1 ± 0.38</w:t>
            </w:r>
            <w:r w:rsidR="000F3C2B" w:rsidRPr="000F3C2B">
              <w:rPr>
                <w:rFonts w:ascii="Times New Roman" w:hAnsi="Times New Roman" w:cs="Times New Roman"/>
                <w:sz w:val="24"/>
                <w:szCs w:val="24"/>
                <w:vertAlign w:val="superscript"/>
              </w:rPr>
              <w:t>b</w:t>
            </w:r>
          </w:p>
        </w:tc>
      </w:tr>
      <w:tr w:rsidR="001D417E" w:rsidRPr="001B2193" w14:paraId="014C25FD" w14:textId="77777777" w:rsidTr="000F3C2B">
        <w:tc>
          <w:tcPr>
            <w:tcW w:w="1255" w:type="dxa"/>
            <w:vAlign w:val="center"/>
          </w:tcPr>
          <w:p w14:paraId="07EE6BB2" w14:textId="6F3DDEA9"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P value</w:t>
            </w:r>
          </w:p>
        </w:tc>
        <w:tc>
          <w:tcPr>
            <w:tcW w:w="720" w:type="dxa"/>
            <w:vAlign w:val="center"/>
          </w:tcPr>
          <w:p w14:paraId="60A6389F" w14:textId="77777777" w:rsidR="001D417E" w:rsidRPr="001D417E" w:rsidRDefault="001D417E" w:rsidP="001B2193">
            <w:pPr>
              <w:tabs>
                <w:tab w:val="left" w:pos="2955"/>
              </w:tabs>
              <w:jc w:val="both"/>
              <w:rPr>
                <w:rFonts w:ascii="Times New Roman" w:hAnsi="Times New Roman" w:cs="Times New Roman"/>
                <w:b/>
                <w:bCs/>
                <w:i/>
                <w:iCs/>
                <w:sz w:val="24"/>
                <w:szCs w:val="24"/>
              </w:rPr>
            </w:pPr>
          </w:p>
        </w:tc>
        <w:tc>
          <w:tcPr>
            <w:tcW w:w="2430" w:type="dxa"/>
            <w:vAlign w:val="center"/>
          </w:tcPr>
          <w:p w14:paraId="63D70500" w14:textId="3393FD0B"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 xml:space="preserve"> &lt; .001</w:t>
            </w:r>
          </w:p>
        </w:tc>
        <w:tc>
          <w:tcPr>
            <w:tcW w:w="2610" w:type="dxa"/>
            <w:vAlign w:val="center"/>
          </w:tcPr>
          <w:p w14:paraId="4AE7B7A7" w14:textId="4F5F6E61"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 xml:space="preserve"> &lt; .001</w:t>
            </w:r>
          </w:p>
        </w:tc>
        <w:tc>
          <w:tcPr>
            <w:tcW w:w="2340" w:type="dxa"/>
            <w:vAlign w:val="center"/>
          </w:tcPr>
          <w:p w14:paraId="367D55AA" w14:textId="1B1A61D9" w:rsidR="001D417E" w:rsidRPr="001D417E" w:rsidRDefault="001D417E" w:rsidP="001B2193">
            <w:pPr>
              <w:tabs>
                <w:tab w:val="left" w:pos="2955"/>
              </w:tabs>
              <w:jc w:val="both"/>
              <w:rPr>
                <w:rFonts w:ascii="Times New Roman" w:hAnsi="Times New Roman" w:cs="Times New Roman"/>
                <w:b/>
                <w:bCs/>
                <w:i/>
                <w:iCs/>
                <w:sz w:val="24"/>
                <w:szCs w:val="24"/>
              </w:rPr>
            </w:pPr>
            <w:r w:rsidRPr="001D417E">
              <w:rPr>
                <w:rFonts w:ascii="Arial" w:hAnsi="Arial" w:cs="Arial"/>
                <w:b/>
                <w:bCs/>
                <w:i/>
                <w:iCs/>
              </w:rPr>
              <w:t xml:space="preserve"> &lt; .001</w:t>
            </w:r>
          </w:p>
        </w:tc>
      </w:tr>
    </w:tbl>
    <w:p w14:paraId="484401B6" w14:textId="30729855" w:rsidR="00B56B02" w:rsidRDefault="00B56B02" w:rsidP="00225EDE">
      <w:pPr>
        <w:spacing w:after="0"/>
        <w:rPr>
          <w:rFonts w:ascii="Arial" w:hAnsi="Arial" w:cs="Arial"/>
        </w:rPr>
      </w:pPr>
      <w:r w:rsidRPr="00F4494C">
        <w:rPr>
          <w:rFonts w:ascii="Arial" w:hAnsi="Arial" w:cs="Arial"/>
        </w:rPr>
        <w:t>*P values: Conception rate (F</w:t>
      </w:r>
      <w:proofErr w:type="gramStart"/>
      <w:r w:rsidRPr="00F4494C">
        <w:rPr>
          <w:rFonts w:ascii="Cambria Math" w:hAnsi="Cambria Math" w:cs="Cambria Math"/>
        </w:rPr>
        <w:t>₆</w:t>
      </w:r>
      <w:r w:rsidRPr="00F4494C">
        <w:rPr>
          <w:rFonts w:ascii="Arial" w:hAnsi="Arial" w:cs="Arial"/>
        </w:rPr>
        <w:t>,</w:t>
      </w:r>
      <w:r w:rsidRPr="00F4494C">
        <w:rPr>
          <w:rFonts w:ascii="Cambria Math" w:hAnsi="Cambria Math" w:cs="Cambria Math"/>
        </w:rPr>
        <w:t>₆</w:t>
      </w:r>
      <w:proofErr w:type="gramEnd"/>
      <w:r w:rsidRPr="00F4494C">
        <w:rPr>
          <w:rFonts w:ascii="Cambria Math" w:hAnsi="Cambria Math" w:cs="Cambria Math"/>
        </w:rPr>
        <w:t>₁</w:t>
      </w:r>
      <w:r w:rsidRPr="00F4494C">
        <w:rPr>
          <w:rFonts w:ascii="Arial" w:hAnsi="Arial" w:cs="Arial"/>
        </w:rPr>
        <w:t xml:space="preserve"> = 12.4, P &lt; .001), Services per conception (F</w:t>
      </w:r>
      <w:r w:rsidRPr="00F4494C">
        <w:rPr>
          <w:rFonts w:ascii="Cambria Math" w:hAnsi="Cambria Math" w:cs="Cambria Math"/>
        </w:rPr>
        <w:t>₆</w:t>
      </w:r>
      <w:r w:rsidRPr="00F4494C">
        <w:rPr>
          <w:rFonts w:ascii="Arial" w:hAnsi="Arial" w:cs="Arial"/>
        </w:rPr>
        <w:t>,</w:t>
      </w:r>
      <w:r w:rsidRPr="00F4494C">
        <w:rPr>
          <w:rFonts w:ascii="Cambria Math" w:hAnsi="Cambria Math" w:cs="Cambria Math"/>
        </w:rPr>
        <w:t>₆₁</w:t>
      </w:r>
      <w:r w:rsidRPr="00F4494C">
        <w:rPr>
          <w:rFonts w:ascii="Arial" w:hAnsi="Arial" w:cs="Arial"/>
        </w:rPr>
        <w:t xml:space="preserve"> = 8.7, P &lt; .001), Libido score (F</w:t>
      </w:r>
      <w:r w:rsidRPr="00F4494C">
        <w:rPr>
          <w:rFonts w:ascii="Cambria Math" w:hAnsi="Cambria Math" w:cs="Cambria Math"/>
        </w:rPr>
        <w:t>₆</w:t>
      </w:r>
      <w:r w:rsidRPr="00F4494C">
        <w:rPr>
          <w:rFonts w:ascii="Arial" w:hAnsi="Arial" w:cs="Arial"/>
        </w:rPr>
        <w:t>,</w:t>
      </w:r>
      <w:r w:rsidRPr="00F4494C">
        <w:rPr>
          <w:rFonts w:ascii="Cambria Math" w:hAnsi="Cambria Math" w:cs="Cambria Math"/>
        </w:rPr>
        <w:t>₆₁</w:t>
      </w:r>
      <w:r w:rsidRPr="00F4494C">
        <w:rPr>
          <w:rFonts w:ascii="Arial" w:hAnsi="Arial" w:cs="Arial"/>
        </w:rPr>
        <w:t xml:space="preserve"> = 18.9, P &lt; .001). Different superscript letters within columns indicate significant differences (P &lt; .05).</w:t>
      </w:r>
    </w:p>
    <w:p w14:paraId="4675CBB8" w14:textId="77777777" w:rsidR="00225EDE" w:rsidRPr="00F4494C" w:rsidRDefault="00225EDE" w:rsidP="00225EDE">
      <w:pPr>
        <w:spacing w:after="0"/>
        <w:rPr>
          <w:rFonts w:ascii="Arial" w:hAnsi="Arial" w:cs="Arial"/>
        </w:rPr>
      </w:pPr>
    </w:p>
    <w:p w14:paraId="79AADBC7" w14:textId="26CEAEF8" w:rsidR="005671AF" w:rsidRPr="005671AF" w:rsidRDefault="005671AF" w:rsidP="009F7C14">
      <w:pPr>
        <w:pStyle w:val="Heading2"/>
      </w:pPr>
      <w:r w:rsidRPr="005671AF">
        <w:t>3.</w:t>
      </w:r>
      <w:r w:rsidR="002012D9">
        <w:t>7</w:t>
      </w:r>
      <w:r w:rsidRPr="005671AF">
        <w:t xml:space="preserve"> </w:t>
      </w:r>
      <w:r w:rsidR="004A675A" w:rsidRPr="005671AF">
        <w:t xml:space="preserve">Effects </w:t>
      </w:r>
      <w:r w:rsidR="004A675A">
        <w:t xml:space="preserve">of </w:t>
      </w:r>
      <w:r w:rsidRPr="005671AF">
        <w:t>Season and Environment</w:t>
      </w:r>
      <w:r w:rsidR="004A675A">
        <w:t xml:space="preserve"> on hormones </w:t>
      </w:r>
    </w:p>
    <w:p w14:paraId="2ABE58A8" w14:textId="1B637E87"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 xml:space="preserve">Validation of normal hormonal development in tropical conditions </w:t>
      </w:r>
      <w:r w:rsidR="002B6081">
        <w:rPr>
          <w:rFonts w:ascii="Arial" w:hAnsi="Arial" w:cs="Arial"/>
          <w:sz w:val="20"/>
          <w:szCs w:val="20"/>
        </w:rPr>
        <w:t xml:space="preserve">of Ghana (Figure 1) </w:t>
      </w:r>
      <w:r w:rsidRPr="005671AF">
        <w:rPr>
          <w:rFonts w:ascii="Arial" w:hAnsi="Arial" w:cs="Arial"/>
          <w:sz w:val="20"/>
          <w:szCs w:val="20"/>
        </w:rPr>
        <w:t xml:space="preserve">answers critical questions regarding climate impact on reproductive endocrinology (Fraser et al., 2021; De </w:t>
      </w:r>
      <w:proofErr w:type="spellStart"/>
      <w:r w:rsidRPr="005671AF">
        <w:rPr>
          <w:rFonts w:ascii="Arial" w:hAnsi="Arial" w:cs="Arial"/>
          <w:sz w:val="20"/>
          <w:szCs w:val="20"/>
        </w:rPr>
        <w:t>Rensis</w:t>
      </w:r>
      <w:proofErr w:type="spellEnd"/>
      <w:r w:rsidRPr="005671AF">
        <w:rPr>
          <w:rFonts w:ascii="Arial" w:hAnsi="Arial" w:cs="Arial"/>
          <w:sz w:val="20"/>
          <w:szCs w:val="20"/>
        </w:rPr>
        <w:t xml:space="preserve"> &amp; </w:t>
      </w:r>
      <w:proofErr w:type="spellStart"/>
      <w:r w:rsidRPr="005671AF">
        <w:rPr>
          <w:rFonts w:ascii="Arial" w:hAnsi="Arial" w:cs="Arial"/>
          <w:sz w:val="20"/>
          <w:szCs w:val="20"/>
        </w:rPr>
        <w:t>Scaramuzzi</w:t>
      </w:r>
      <w:proofErr w:type="spellEnd"/>
      <w:r w:rsidRPr="005671AF">
        <w:rPr>
          <w:rFonts w:ascii="Arial" w:hAnsi="Arial" w:cs="Arial"/>
          <w:sz w:val="20"/>
          <w:szCs w:val="20"/>
        </w:rPr>
        <w:t xml:space="preserve">, 2003). Heat stress also has been demonstrated to affect testosterone production by affecting Leydig cell performance and hypothalamic-pituitary regulation (Walters et al., 2019; Santos et al., 2021). </w:t>
      </w:r>
      <w:r w:rsidRPr="005671AF">
        <w:rPr>
          <w:rFonts w:ascii="Arial" w:hAnsi="Arial" w:cs="Arial"/>
          <w:sz w:val="20"/>
          <w:szCs w:val="20"/>
        </w:rPr>
        <w:lastRenderedPageBreak/>
        <w:t>The testosterone levels in this study fare relatively well with temperate climate reports, tending to indicate adaptation to tropical conditions in the study group (Palmer et al., 2020; Rodriguez-Martinez, 2018).</w:t>
      </w:r>
    </w:p>
    <w:p w14:paraId="191255CA" w14:textId="77777777" w:rsidR="000D0985" w:rsidRDefault="000D0985" w:rsidP="009F7C14">
      <w:pPr>
        <w:tabs>
          <w:tab w:val="left" w:pos="2955"/>
        </w:tabs>
        <w:spacing w:after="0" w:line="240" w:lineRule="auto"/>
        <w:jc w:val="both"/>
        <w:rPr>
          <w:rFonts w:ascii="Arial" w:hAnsi="Arial" w:cs="Arial"/>
          <w:sz w:val="20"/>
          <w:szCs w:val="20"/>
        </w:rPr>
      </w:pPr>
    </w:p>
    <w:p w14:paraId="2FCA5CBD" w14:textId="01548EC3" w:rsidR="004A675A" w:rsidRDefault="004A675A"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Seasonal fluctuation in testosterone levels with the peak in the minor rainy season and minimum in the dry season (15-20% variation)</w:t>
      </w:r>
      <w:r>
        <w:rPr>
          <w:rFonts w:ascii="Arial" w:hAnsi="Arial" w:cs="Arial"/>
          <w:sz w:val="20"/>
          <w:szCs w:val="20"/>
        </w:rPr>
        <w:t xml:space="preserve"> (Figure 1)</w:t>
      </w:r>
      <w:r w:rsidRPr="005671AF">
        <w:rPr>
          <w:rFonts w:ascii="Arial" w:hAnsi="Arial" w:cs="Arial"/>
          <w:sz w:val="20"/>
          <w:szCs w:val="20"/>
        </w:rPr>
        <w:t xml:space="preserve"> indicates the impact of environmental stressors on hormone production (Chenoweth, 2020; Prakash et al., 2021). The same seasonal variability in tropical and subtropical cattle has been observed by other researchers (Brito et al., 2020; Walsh et al., 2019). The relatively small extent of seasonal variation indicates maintenance of steady hormone production by healthy bulls even in the face of environmental challenges (Kastelic, 2019; Fraser et al., 2021).</w:t>
      </w:r>
    </w:p>
    <w:p w14:paraId="65E82EF1" w14:textId="77777777" w:rsidR="00515A4A" w:rsidRDefault="00515A4A" w:rsidP="009F7C14">
      <w:pPr>
        <w:tabs>
          <w:tab w:val="left" w:pos="2955"/>
        </w:tabs>
        <w:spacing w:after="0" w:line="240" w:lineRule="auto"/>
        <w:jc w:val="both"/>
        <w:rPr>
          <w:rFonts w:ascii="Arial" w:hAnsi="Arial" w:cs="Arial"/>
          <w:sz w:val="20"/>
          <w:szCs w:val="20"/>
        </w:rPr>
      </w:pPr>
    </w:p>
    <w:p w14:paraId="0377DCF9" w14:textId="2864F2DB" w:rsidR="00515A4A" w:rsidRDefault="00515A4A"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Environmental conditions such as temperature and humidity had low correlations with hormone levels (r = -0.18 for temperature and r = -0.12 for humidity), indicating stable hormone production in healthy bulls in the face of environmental adversity common in tropical dairy systems (Walters et al., 2019; Santos et al., 2021). Well-managed bulls have been shown by studies by Rodriguez-Martinez (2018) and Prakash et al. (2021) to be able to sustain reproductive ability even under moderate levels of heat stress.</w:t>
      </w:r>
    </w:p>
    <w:p w14:paraId="6251F22E" w14:textId="77777777" w:rsidR="00E16D0A" w:rsidRPr="005671AF" w:rsidRDefault="00E16D0A" w:rsidP="009F7C14">
      <w:pPr>
        <w:tabs>
          <w:tab w:val="left" w:pos="2955"/>
        </w:tabs>
        <w:spacing w:after="0" w:line="240" w:lineRule="auto"/>
        <w:jc w:val="both"/>
        <w:rPr>
          <w:rFonts w:ascii="Arial" w:hAnsi="Arial" w:cs="Arial"/>
          <w:sz w:val="20"/>
          <w:szCs w:val="20"/>
        </w:rPr>
      </w:pPr>
    </w:p>
    <w:p w14:paraId="62E6DA0F" w14:textId="3B0A3186" w:rsidR="00CA4404" w:rsidRDefault="00CA4404" w:rsidP="009F7C14">
      <w:pPr>
        <w:tabs>
          <w:tab w:val="left" w:pos="2955"/>
        </w:tabs>
        <w:spacing w:after="0" w:line="240" w:lineRule="auto"/>
        <w:jc w:val="both"/>
        <w:rPr>
          <w:rFonts w:ascii="Arial" w:hAnsi="Arial" w:cs="Arial"/>
          <w:sz w:val="20"/>
          <w:szCs w:val="20"/>
        </w:rPr>
      </w:pPr>
      <w:r>
        <w:rPr>
          <w:noProof/>
        </w:rPr>
        <w:drawing>
          <wp:inline distT="0" distB="0" distL="0" distR="0" wp14:anchorId="51EB35D7" wp14:editId="178CF209">
            <wp:extent cx="5943600" cy="44170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17060"/>
                    </a:xfrm>
                    <a:prstGeom prst="rect">
                      <a:avLst/>
                    </a:prstGeom>
                    <a:noFill/>
                    <a:ln>
                      <a:noFill/>
                    </a:ln>
                  </pic:spPr>
                </pic:pic>
              </a:graphicData>
            </a:graphic>
          </wp:inline>
        </w:drawing>
      </w:r>
    </w:p>
    <w:p w14:paraId="743C115D" w14:textId="2DAA04DD" w:rsidR="00880DCD" w:rsidRPr="00E86900" w:rsidRDefault="00CA4404" w:rsidP="009F7C14">
      <w:pPr>
        <w:tabs>
          <w:tab w:val="left" w:pos="2955"/>
        </w:tabs>
        <w:spacing w:after="0" w:line="240" w:lineRule="auto"/>
        <w:jc w:val="both"/>
        <w:rPr>
          <w:rFonts w:ascii="Arial" w:hAnsi="Arial" w:cs="Arial"/>
          <w:sz w:val="18"/>
          <w:szCs w:val="18"/>
        </w:rPr>
      </w:pPr>
      <w:r w:rsidRPr="00E86900">
        <w:rPr>
          <w:rFonts w:ascii="Arial" w:hAnsi="Arial" w:cs="Arial"/>
          <w:sz w:val="18"/>
          <w:szCs w:val="18"/>
        </w:rPr>
        <w:t xml:space="preserve">Figure 1: </w:t>
      </w:r>
      <w:r w:rsidR="004A675A" w:rsidRPr="005671AF">
        <w:t xml:space="preserve">Effects </w:t>
      </w:r>
      <w:r w:rsidR="004A675A">
        <w:t xml:space="preserve">of </w:t>
      </w:r>
      <w:r w:rsidR="004A675A" w:rsidRPr="005671AF">
        <w:t>Season and Environment</w:t>
      </w:r>
      <w:r w:rsidR="004A675A">
        <w:t xml:space="preserve"> on hormones </w:t>
      </w:r>
      <w:r w:rsidRPr="00E86900">
        <w:rPr>
          <w:rFonts w:ascii="Arial" w:hAnsi="Arial" w:cs="Arial"/>
          <w:sz w:val="18"/>
          <w:szCs w:val="18"/>
        </w:rPr>
        <w:t xml:space="preserve">in </w:t>
      </w:r>
      <w:r w:rsidR="004A675A">
        <w:rPr>
          <w:rFonts w:ascii="Arial" w:hAnsi="Arial" w:cs="Arial"/>
          <w:sz w:val="18"/>
          <w:szCs w:val="18"/>
        </w:rPr>
        <w:t xml:space="preserve">Ghanaian </w:t>
      </w:r>
      <w:r w:rsidRPr="00E86900">
        <w:rPr>
          <w:rFonts w:ascii="Arial" w:hAnsi="Arial" w:cs="Arial"/>
          <w:sz w:val="18"/>
          <w:szCs w:val="18"/>
        </w:rPr>
        <w:t>Tropical Systems</w:t>
      </w:r>
    </w:p>
    <w:p w14:paraId="2EA553CF" w14:textId="77777777" w:rsidR="00CA4404" w:rsidRDefault="00CA4404" w:rsidP="009F7C14">
      <w:pPr>
        <w:tabs>
          <w:tab w:val="left" w:pos="2955"/>
        </w:tabs>
        <w:spacing w:after="0" w:line="240" w:lineRule="auto"/>
        <w:jc w:val="both"/>
        <w:rPr>
          <w:rFonts w:ascii="Arial" w:hAnsi="Arial" w:cs="Arial"/>
          <w:sz w:val="20"/>
          <w:szCs w:val="20"/>
        </w:rPr>
      </w:pPr>
    </w:p>
    <w:p w14:paraId="6B850B0A" w14:textId="599E91C2" w:rsidR="005671AF" w:rsidRPr="005671AF" w:rsidRDefault="005671AF" w:rsidP="009F7C14">
      <w:pPr>
        <w:pStyle w:val="Heading2"/>
      </w:pPr>
      <w:r w:rsidRPr="005671AF">
        <w:t>3.</w:t>
      </w:r>
      <w:r w:rsidR="002012D9">
        <w:t>8</w:t>
      </w:r>
      <w:r w:rsidRPr="005671AF">
        <w:t xml:space="preserve"> Genetic Factors and Breed-Specific Issues</w:t>
      </w:r>
    </w:p>
    <w:p w14:paraId="6A057BFC" w14:textId="3E4CBF6E"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Genetic background had an impact on hormone levels with th</w:t>
      </w:r>
      <w:r w:rsidRPr="00DA256D">
        <w:rPr>
          <w:rFonts w:ascii="Arial" w:hAnsi="Arial" w:cs="Arial"/>
          <w:sz w:val="20"/>
          <w:szCs w:val="20"/>
        </w:rPr>
        <w:t>e</w:t>
      </w:r>
      <w:r w:rsidRPr="005671AF">
        <w:rPr>
          <w:rFonts w:ascii="Arial" w:hAnsi="Arial" w:cs="Arial"/>
          <w:sz w:val="20"/>
          <w:szCs w:val="20"/>
        </w:rPr>
        <w:t xml:space="preserve"> Friesian-Sanga crosses having intermediate levels between the indigenous Sanga bulls (more testosterone) and the Jersey bulls (less testosterone)</w:t>
      </w:r>
      <w:r w:rsidR="005F0B5E">
        <w:rPr>
          <w:rFonts w:ascii="Arial" w:hAnsi="Arial" w:cs="Arial"/>
          <w:sz w:val="20"/>
          <w:szCs w:val="20"/>
        </w:rPr>
        <w:t xml:space="preserve"> (Figure 2)</w:t>
      </w:r>
      <w:r w:rsidRPr="005671AF">
        <w:rPr>
          <w:rFonts w:ascii="Arial" w:hAnsi="Arial" w:cs="Arial"/>
          <w:sz w:val="20"/>
          <w:szCs w:val="20"/>
        </w:rPr>
        <w:t>, aligning with work by Santos et al. (2021) and Rodriguez-Martinez (2018). Nevertheless, chronological age-related patterns were consistent in the different groups, suggesting chronological age as the major driver of hormone profiles in spite of breeding composition (Brito et al., 2020; Palmer et al., 2020).</w:t>
      </w:r>
    </w:p>
    <w:p w14:paraId="3AC34AA6" w14:textId="77777777" w:rsidR="000D0985" w:rsidRPr="005671AF" w:rsidRDefault="000D0985" w:rsidP="009F7C14">
      <w:pPr>
        <w:tabs>
          <w:tab w:val="left" w:pos="2955"/>
        </w:tabs>
        <w:spacing w:after="0" w:line="240" w:lineRule="auto"/>
        <w:jc w:val="both"/>
        <w:rPr>
          <w:rFonts w:ascii="Arial" w:hAnsi="Arial" w:cs="Arial"/>
          <w:sz w:val="20"/>
          <w:szCs w:val="20"/>
        </w:rPr>
      </w:pPr>
    </w:p>
    <w:p w14:paraId="6F726E67" w14:textId="3009D770"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lastRenderedPageBreak/>
        <w:t xml:space="preserve">Research by Walters et al. (2019) and Chenoweth (2020) has </w:t>
      </w:r>
      <w:r w:rsidR="00E641F2">
        <w:rPr>
          <w:rFonts w:ascii="Arial" w:hAnsi="Arial" w:cs="Arial"/>
          <w:sz w:val="20"/>
          <w:szCs w:val="20"/>
        </w:rPr>
        <w:t>observed</w:t>
      </w:r>
      <w:r w:rsidRPr="005671AF">
        <w:rPr>
          <w:rFonts w:ascii="Arial" w:hAnsi="Arial" w:cs="Arial"/>
          <w:sz w:val="20"/>
          <w:szCs w:val="20"/>
        </w:rPr>
        <w:t xml:space="preserve"> differences in the production of testosterone between breeds, with Bos indicus breeds tending to register 10-25% higher levels than Bos taurus breeds. Such genetic influences may be relevant in breeding soundness evaluation protocol design in breeding programs with tropical dairy systems (Kastelic, 2019; Prakash et al., 2021). Investigation by Walsh et al. (2019) and Fraser et al. (2021) indicates hybrid vigor in bulls from crossbreeding may prolong peak reproductive performance in contrast with purebred animals.</w:t>
      </w:r>
    </w:p>
    <w:p w14:paraId="19935B05" w14:textId="77777777" w:rsidR="000D0985" w:rsidRPr="005671AF" w:rsidRDefault="000D0985" w:rsidP="009F7C14">
      <w:pPr>
        <w:tabs>
          <w:tab w:val="left" w:pos="2955"/>
        </w:tabs>
        <w:spacing w:after="0" w:line="240" w:lineRule="auto"/>
        <w:jc w:val="both"/>
        <w:rPr>
          <w:rFonts w:ascii="Arial" w:hAnsi="Arial" w:cs="Arial"/>
          <w:sz w:val="20"/>
          <w:szCs w:val="20"/>
        </w:rPr>
      </w:pPr>
    </w:p>
    <w:p w14:paraId="140248ED" w14:textId="77777777" w:rsid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Friesian-Sanga crossbreds in this study had testosterone levels averaging 12% higher than those of Jersey bulls but 8% below those of native Sanga bulls in all age groups in accordance with the middle hybrid trait (Santos et al., 2021; Rodriguez-Martinez, 2018). The trend confirms the employment of crossbreeding techniques to enhance reproductive performance while ensuring tropical adaptability (Brito et al., 2020; Palmer et al., 2020).</w:t>
      </w:r>
    </w:p>
    <w:p w14:paraId="2B0CFB71" w14:textId="77777777" w:rsidR="0089590B" w:rsidRDefault="0089590B" w:rsidP="009F7C14">
      <w:pPr>
        <w:tabs>
          <w:tab w:val="left" w:pos="2955"/>
        </w:tabs>
        <w:spacing w:after="0" w:line="240" w:lineRule="auto"/>
        <w:jc w:val="both"/>
        <w:rPr>
          <w:rFonts w:ascii="Arial" w:hAnsi="Arial" w:cs="Arial"/>
          <w:sz w:val="20"/>
          <w:szCs w:val="20"/>
        </w:rPr>
      </w:pPr>
    </w:p>
    <w:p w14:paraId="0858F5B1" w14:textId="77777777" w:rsidR="0089590B" w:rsidRDefault="0089590B" w:rsidP="009F7C14">
      <w:pPr>
        <w:tabs>
          <w:tab w:val="left" w:pos="2955"/>
        </w:tabs>
        <w:spacing w:after="0" w:line="240" w:lineRule="auto"/>
        <w:jc w:val="both"/>
        <w:rPr>
          <w:rFonts w:ascii="Arial" w:hAnsi="Arial" w:cs="Arial"/>
          <w:sz w:val="20"/>
          <w:szCs w:val="20"/>
        </w:rPr>
      </w:pPr>
    </w:p>
    <w:p w14:paraId="3A239381" w14:textId="77777777" w:rsidR="00DA256D" w:rsidRDefault="00DA256D" w:rsidP="009F7C14">
      <w:pPr>
        <w:tabs>
          <w:tab w:val="left" w:pos="2955"/>
        </w:tabs>
        <w:spacing w:after="0" w:line="240" w:lineRule="auto"/>
        <w:jc w:val="both"/>
        <w:rPr>
          <w:rFonts w:ascii="Arial" w:hAnsi="Arial" w:cs="Arial"/>
          <w:sz w:val="20"/>
          <w:szCs w:val="20"/>
        </w:rPr>
      </w:pPr>
    </w:p>
    <w:p w14:paraId="52169817" w14:textId="311A332A" w:rsidR="00DA256D" w:rsidRPr="005671AF" w:rsidRDefault="00DA256D" w:rsidP="009F7C14">
      <w:pPr>
        <w:tabs>
          <w:tab w:val="left" w:pos="2955"/>
        </w:tabs>
        <w:spacing w:after="0" w:line="240" w:lineRule="auto"/>
        <w:jc w:val="both"/>
        <w:rPr>
          <w:rFonts w:ascii="Arial" w:hAnsi="Arial" w:cs="Arial"/>
          <w:sz w:val="20"/>
          <w:szCs w:val="20"/>
        </w:rPr>
      </w:pPr>
      <w:r>
        <w:rPr>
          <w:noProof/>
        </w:rPr>
        <w:drawing>
          <wp:inline distT="0" distB="0" distL="0" distR="0" wp14:anchorId="73FF6AC7" wp14:editId="5879ED02">
            <wp:extent cx="5943600" cy="44170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17060"/>
                    </a:xfrm>
                    <a:prstGeom prst="rect">
                      <a:avLst/>
                    </a:prstGeom>
                    <a:noFill/>
                    <a:ln>
                      <a:noFill/>
                    </a:ln>
                  </pic:spPr>
                </pic:pic>
              </a:graphicData>
            </a:graphic>
          </wp:inline>
        </w:drawing>
      </w:r>
    </w:p>
    <w:p w14:paraId="36B467F7" w14:textId="38ED411C" w:rsidR="005671AF" w:rsidRPr="00E86900" w:rsidRDefault="005F0B5E" w:rsidP="009F7C14">
      <w:pPr>
        <w:tabs>
          <w:tab w:val="left" w:pos="2955"/>
        </w:tabs>
        <w:spacing w:after="0" w:line="240" w:lineRule="auto"/>
        <w:jc w:val="both"/>
        <w:rPr>
          <w:rFonts w:ascii="Arial" w:hAnsi="Arial" w:cs="Arial"/>
          <w:sz w:val="18"/>
          <w:szCs w:val="18"/>
        </w:rPr>
      </w:pPr>
      <w:r w:rsidRPr="00E86900">
        <w:rPr>
          <w:rFonts w:ascii="Arial" w:hAnsi="Arial" w:cs="Arial"/>
          <w:sz w:val="18"/>
          <w:szCs w:val="18"/>
        </w:rPr>
        <w:t>Figure 2: Genetic Factors and Breed-Specific Issues</w:t>
      </w:r>
    </w:p>
    <w:p w14:paraId="4F5D6B84" w14:textId="77777777" w:rsidR="005F0B5E" w:rsidRPr="005671AF" w:rsidRDefault="005F0B5E" w:rsidP="009F7C14">
      <w:pPr>
        <w:tabs>
          <w:tab w:val="left" w:pos="2955"/>
        </w:tabs>
        <w:spacing w:after="0" w:line="240" w:lineRule="auto"/>
        <w:jc w:val="both"/>
        <w:rPr>
          <w:rFonts w:ascii="Arial" w:hAnsi="Arial" w:cs="Arial"/>
          <w:sz w:val="20"/>
          <w:szCs w:val="20"/>
        </w:rPr>
      </w:pPr>
    </w:p>
    <w:p w14:paraId="42054D97" w14:textId="563A3910" w:rsidR="005671AF" w:rsidRPr="005671AF" w:rsidRDefault="005671AF" w:rsidP="009F7C14">
      <w:pPr>
        <w:pStyle w:val="Heading2"/>
      </w:pPr>
      <w:r w:rsidRPr="005671AF">
        <w:t>3.</w:t>
      </w:r>
      <w:r w:rsidR="002012D9">
        <w:t>9</w:t>
      </w:r>
      <w:r w:rsidRPr="005671AF">
        <w:t xml:space="preserve"> Practical Applications for Clinical Implementation</w:t>
      </w:r>
    </w:p>
    <w:p w14:paraId="607E720B" w14:textId="77777777" w:rsidR="005671AF" w:rsidRP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The development of reference ranges based on age offers useful baseline information with which to interpret results of hormone assessment in a clinical setting (Table 5). Bulls with testosterone levels below the 10th percentile for the respective age group may be evaluated for potential and removed from breeding programs, while those in excess of the 90th percentile indicate prime breeding stock (Barth &amp; Oko, 2019; Kastelic, 2019).</w:t>
      </w:r>
    </w:p>
    <w:p w14:paraId="6DEA082E" w14:textId="77777777" w:rsidR="005671AF" w:rsidRPr="005671AF" w:rsidRDefault="005671AF" w:rsidP="009F7C14">
      <w:pPr>
        <w:tabs>
          <w:tab w:val="left" w:pos="2955"/>
        </w:tabs>
        <w:spacing w:after="0" w:line="240" w:lineRule="auto"/>
        <w:jc w:val="both"/>
        <w:rPr>
          <w:rFonts w:ascii="Arial" w:hAnsi="Arial" w:cs="Arial"/>
          <w:sz w:val="20"/>
          <w:szCs w:val="20"/>
        </w:rPr>
      </w:pPr>
    </w:p>
    <w:p w14:paraId="4648B409" w14:textId="77777777" w:rsidR="005671AF" w:rsidRP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Table 5. Proposed Reference Ranges for Breeding Soundness Evaluation</w:t>
      </w:r>
    </w:p>
    <w:tbl>
      <w:tblPr>
        <w:tblStyle w:val="TableGrid"/>
        <w:tblW w:w="885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1419"/>
        <w:gridCol w:w="1237"/>
        <w:gridCol w:w="1233"/>
        <w:gridCol w:w="1252"/>
        <w:gridCol w:w="1237"/>
        <w:gridCol w:w="1233"/>
      </w:tblGrid>
      <w:tr w:rsidR="002012D9" w14:paraId="1297BB91" w14:textId="77777777" w:rsidTr="009E2763">
        <w:tc>
          <w:tcPr>
            <w:tcW w:w="1243" w:type="dxa"/>
            <w:tcBorders>
              <w:top w:val="single" w:sz="4" w:space="0" w:color="auto"/>
              <w:bottom w:val="single" w:sz="4" w:space="0" w:color="auto"/>
            </w:tcBorders>
            <w:vAlign w:val="center"/>
          </w:tcPr>
          <w:p w14:paraId="29C47EAA" w14:textId="120AD732" w:rsidR="002012D9" w:rsidRDefault="002012D9" w:rsidP="009F7C14">
            <w:pPr>
              <w:tabs>
                <w:tab w:val="left" w:pos="2955"/>
              </w:tabs>
              <w:jc w:val="both"/>
              <w:rPr>
                <w:rFonts w:ascii="Arial" w:hAnsi="Arial" w:cs="Arial"/>
                <w:sz w:val="20"/>
                <w:szCs w:val="20"/>
              </w:rPr>
            </w:pPr>
            <w:r w:rsidRPr="00564311">
              <w:rPr>
                <w:b/>
                <w:bCs/>
              </w:rPr>
              <w:lastRenderedPageBreak/>
              <w:t>Age Group</w:t>
            </w:r>
          </w:p>
        </w:tc>
        <w:tc>
          <w:tcPr>
            <w:tcW w:w="3889" w:type="dxa"/>
            <w:gridSpan w:val="3"/>
            <w:tcBorders>
              <w:top w:val="single" w:sz="4" w:space="0" w:color="auto"/>
              <w:bottom w:val="single" w:sz="4" w:space="0" w:color="auto"/>
            </w:tcBorders>
            <w:vAlign w:val="center"/>
          </w:tcPr>
          <w:p w14:paraId="49674E46" w14:textId="6D362746" w:rsidR="002012D9" w:rsidRDefault="002012D9" w:rsidP="009F7C14">
            <w:pPr>
              <w:tabs>
                <w:tab w:val="left" w:pos="2955"/>
              </w:tabs>
              <w:jc w:val="center"/>
              <w:rPr>
                <w:rFonts w:ascii="Arial" w:hAnsi="Arial" w:cs="Arial"/>
                <w:sz w:val="20"/>
                <w:szCs w:val="20"/>
              </w:rPr>
            </w:pPr>
            <w:r w:rsidRPr="00564311">
              <w:rPr>
                <w:b/>
                <w:bCs/>
              </w:rPr>
              <w:t>Testosterone (ng/mL)</w:t>
            </w:r>
          </w:p>
        </w:tc>
        <w:tc>
          <w:tcPr>
            <w:tcW w:w="3722" w:type="dxa"/>
            <w:gridSpan w:val="3"/>
            <w:tcBorders>
              <w:top w:val="single" w:sz="4" w:space="0" w:color="auto"/>
              <w:bottom w:val="single" w:sz="4" w:space="0" w:color="auto"/>
            </w:tcBorders>
            <w:vAlign w:val="center"/>
          </w:tcPr>
          <w:p w14:paraId="1E8B4469" w14:textId="11177CA1" w:rsidR="002012D9" w:rsidRDefault="002012D9" w:rsidP="009F7C14">
            <w:pPr>
              <w:tabs>
                <w:tab w:val="left" w:pos="2955"/>
              </w:tabs>
              <w:jc w:val="center"/>
              <w:rPr>
                <w:rFonts w:ascii="Arial" w:hAnsi="Arial" w:cs="Arial"/>
                <w:sz w:val="20"/>
                <w:szCs w:val="20"/>
              </w:rPr>
            </w:pPr>
            <w:r w:rsidRPr="00564311">
              <w:rPr>
                <w:b/>
                <w:bCs/>
              </w:rPr>
              <w:t>Oestradiol (pg/mL)</w:t>
            </w:r>
          </w:p>
        </w:tc>
      </w:tr>
      <w:tr w:rsidR="002012D9" w14:paraId="7F96CCF5" w14:textId="77777777" w:rsidTr="009E2763">
        <w:tc>
          <w:tcPr>
            <w:tcW w:w="1243" w:type="dxa"/>
            <w:tcBorders>
              <w:top w:val="single" w:sz="4" w:space="0" w:color="auto"/>
            </w:tcBorders>
            <w:vAlign w:val="center"/>
          </w:tcPr>
          <w:p w14:paraId="36C15974" w14:textId="77777777" w:rsidR="002012D9" w:rsidRDefault="002012D9" w:rsidP="009F7C14">
            <w:pPr>
              <w:tabs>
                <w:tab w:val="left" w:pos="2955"/>
              </w:tabs>
              <w:jc w:val="both"/>
              <w:rPr>
                <w:rFonts w:ascii="Arial" w:hAnsi="Arial" w:cs="Arial"/>
                <w:sz w:val="20"/>
                <w:szCs w:val="20"/>
              </w:rPr>
            </w:pPr>
          </w:p>
        </w:tc>
        <w:tc>
          <w:tcPr>
            <w:tcW w:w="1419" w:type="dxa"/>
            <w:tcBorders>
              <w:top w:val="single" w:sz="4" w:space="0" w:color="auto"/>
            </w:tcBorders>
            <w:vAlign w:val="center"/>
          </w:tcPr>
          <w:p w14:paraId="32917795" w14:textId="22AADBA3" w:rsidR="002012D9" w:rsidRDefault="002012D9" w:rsidP="009F7C14">
            <w:pPr>
              <w:tabs>
                <w:tab w:val="left" w:pos="2955"/>
              </w:tabs>
              <w:jc w:val="both"/>
              <w:rPr>
                <w:rFonts w:ascii="Arial" w:hAnsi="Arial" w:cs="Arial"/>
                <w:sz w:val="20"/>
                <w:szCs w:val="20"/>
              </w:rPr>
            </w:pPr>
            <w:r w:rsidRPr="00564311">
              <w:t>10th %</w:t>
            </w:r>
            <w:proofErr w:type="spellStart"/>
            <w:r w:rsidRPr="00564311">
              <w:t>ile</w:t>
            </w:r>
            <w:proofErr w:type="spellEnd"/>
          </w:p>
        </w:tc>
        <w:tc>
          <w:tcPr>
            <w:tcW w:w="1237" w:type="dxa"/>
            <w:tcBorders>
              <w:top w:val="single" w:sz="4" w:space="0" w:color="auto"/>
            </w:tcBorders>
            <w:vAlign w:val="center"/>
          </w:tcPr>
          <w:p w14:paraId="11A54AB3" w14:textId="0FB8C0DA" w:rsidR="002012D9" w:rsidRDefault="002012D9" w:rsidP="009F7C14">
            <w:pPr>
              <w:tabs>
                <w:tab w:val="left" w:pos="2955"/>
              </w:tabs>
              <w:jc w:val="both"/>
              <w:rPr>
                <w:rFonts w:ascii="Arial" w:hAnsi="Arial" w:cs="Arial"/>
                <w:sz w:val="20"/>
                <w:szCs w:val="20"/>
              </w:rPr>
            </w:pPr>
            <w:r w:rsidRPr="00564311">
              <w:t>Mean</w:t>
            </w:r>
          </w:p>
        </w:tc>
        <w:tc>
          <w:tcPr>
            <w:tcW w:w="1233" w:type="dxa"/>
            <w:tcBorders>
              <w:top w:val="single" w:sz="4" w:space="0" w:color="auto"/>
            </w:tcBorders>
            <w:vAlign w:val="center"/>
          </w:tcPr>
          <w:p w14:paraId="0D2F7804" w14:textId="3DCB2D5C" w:rsidR="002012D9" w:rsidRDefault="002012D9" w:rsidP="009F7C14">
            <w:pPr>
              <w:tabs>
                <w:tab w:val="left" w:pos="2955"/>
              </w:tabs>
              <w:jc w:val="both"/>
              <w:rPr>
                <w:rFonts w:ascii="Arial" w:hAnsi="Arial" w:cs="Arial"/>
                <w:sz w:val="20"/>
                <w:szCs w:val="20"/>
              </w:rPr>
            </w:pPr>
            <w:r w:rsidRPr="00564311">
              <w:t>90th %</w:t>
            </w:r>
            <w:proofErr w:type="spellStart"/>
            <w:r w:rsidRPr="00564311">
              <w:t>ile</w:t>
            </w:r>
            <w:proofErr w:type="spellEnd"/>
          </w:p>
        </w:tc>
        <w:tc>
          <w:tcPr>
            <w:tcW w:w="1252" w:type="dxa"/>
            <w:tcBorders>
              <w:top w:val="single" w:sz="4" w:space="0" w:color="auto"/>
            </w:tcBorders>
            <w:vAlign w:val="center"/>
          </w:tcPr>
          <w:p w14:paraId="711BF3C3" w14:textId="3697E4CF" w:rsidR="002012D9" w:rsidRDefault="002012D9" w:rsidP="009F7C14">
            <w:pPr>
              <w:tabs>
                <w:tab w:val="left" w:pos="2955"/>
              </w:tabs>
              <w:jc w:val="both"/>
              <w:rPr>
                <w:rFonts w:ascii="Arial" w:hAnsi="Arial" w:cs="Arial"/>
                <w:sz w:val="20"/>
                <w:szCs w:val="20"/>
              </w:rPr>
            </w:pPr>
            <w:r w:rsidRPr="00564311">
              <w:t>10th %</w:t>
            </w:r>
            <w:proofErr w:type="spellStart"/>
            <w:r w:rsidRPr="00564311">
              <w:t>ile</w:t>
            </w:r>
            <w:proofErr w:type="spellEnd"/>
          </w:p>
        </w:tc>
        <w:tc>
          <w:tcPr>
            <w:tcW w:w="1237" w:type="dxa"/>
            <w:tcBorders>
              <w:top w:val="single" w:sz="4" w:space="0" w:color="auto"/>
            </w:tcBorders>
            <w:vAlign w:val="center"/>
          </w:tcPr>
          <w:p w14:paraId="58637686" w14:textId="7C31B07D" w:rsidR="002012D9" w:rsidRDefault="002012D9" w:rsidP="009F7C14">
            <w:pPr>
              <w:tabs>
                <w:tab w:val="left" w:pos="2955"/>
              </w:tabs>
              <w:jc w:val="both"/>
              <w:rPr>
                <w:rFonts w:ascii="Arial" w:hAnsi="Arial" w:cs="Arial"/>
                <w:sz w:val="20"/>
                <w:szCs w:val="20"/>
              </w:rPr>
            </w:pPr>
            <w:r w:rsidRPr="00564311">
              <w:t>Mean</w:t>
            </w:r>
          </w:p>
        </w:tc>
        <w:tc>
          <w:tcPr>
            <w:tcW w:w="1233" w:type="dxa"/>
            <w:tcBorders>
              <w:top w:val="single" w:sz="4" w:space="0" w:color="auto"/>
            </w:tcBorders>
            <w:vAlign w:val="center"/>
          </w:tcPr>
          <w:p w14:paraId="7AC6E817" w14:textId="194C9CB4" w:rsidR="002012D9" w:rsidRDefault="002012D9" w:rsidP="009F7C14">
            <w:pPr>
              <w:tabs>
                <w:tab w:val="left" w:pos="2955"/>
              </w:tabs>
              <w:jc w:val="both"/>
              <w:rPr>
                <w:rFonts w:ascii="Arial" w:hAnsi="Arial" w:cs="Arial"/>
                <w:sz w:val="20"/>
                <w:szCs w:val="20"/>
              </w:rPr>
            </w:pPr>
            <w:r w:rsidRPr="00564311">
              <w:t>90th %</w:t>
            </w:r>
            <w:proofErr w:type="spellStart"/>
            <w:r w:rsidRPr="00564311">
              <w:t>ile</w:t>
            </w:r>
            <w:proofErr w:type="spellEnd"/>
          </w:p>
        </w:tc>
      </w:tr>
      <w:tr w:rsidR="002012D9" w14:paraId="26708488" w14:textId="77777777" w:rsidTr="009E2763">
        <w:tc>
          <w:tcPr>
            <w:tcW w:w="1243" w:type="dxa"/>
            <w:vAlign w:val="center"/>
          </w:tcPr>
          <w:p w14:paraId="365C8A37" w14:textId="2B247172" w:rsidR="002012D9" w:rsidRDefault="002012D9" w:rsidP="009F7C14">
            <w:pPr>
              <w:tabs>
                <w:tab w:val="left" w:pos="2955"/>
              </w:tabs>
              <w:jc w:val="both"/>
              <w:rPr>
                <w:rFonts w:ascii="Arial" w:hAnsi="Arial" w:cs="Arial"/>
                <w:sz w:val="20"/>
                <w:szCs w:val="20"/>
              </w:rPr>
            </w:pPr>
            <w:r w:rsidRPr="00564311">
              <w:t>6 months</w:t>
            </w:r>
          </w:p>
        </w:tc>
        <w:tc>
          <w:tcPr>
            <w:tcW w:w="1419" w:type="dxa"/>
            <w:vAlign w:val="center"/>
          </w:tcPr>
          <w:p w14:paraId="172F2C8F" w14:textId="3020E3E7" w:rsidR="002012D9" w:rsidRDefault="002012D9" w:rsidP="009F7C14">
            <w:pPr>
              <w:tabs>
                <w:tab w:val="left" w:pos="2955"/>
              </w:tabs>
              <w:jc w:val="both"/>
              <w:rPr>
                <w:rFonts w:ascii="Arial" w:hAnsi="Arial" w:cs="Arial"/>
                <w:sz w:val="20"/>
                <w:szCs w:val="20"/>
              </w:rPr>
            </w:pPr>
            <w:r w:rsidRPr="00564311">
              <w:t>0.9</w:t>
            </w:r>
          </w:p>
        </w:tc>
        <w:tc>
          <w:tcPr>
            <w:tcW w:w="1237" w:type="dxa"/>
            <w:vAlign w:val="center"/>
          </w:tcPr>
          <w:p w14:paraId="07CD35DB" w14:textId="78D3E550" w:rsidR="002012D9" w:rsidRDefault="002012D9" w:rsidP="009F7C14">
            <w:pPr>
              <w:tabs>
                <w:tab w:val="left" w:pos="2955"/>
              </w:tabs>
              <w:jc w:val="both"/>
              <w:rPr>
                <w:rFonts w:ascii="Arial" w:hAnsi="Arial" w:cs="Arial"/>
                <w:sz w:val="20"/>
                <w:szCs w:val="20"/>
              </w:rPr>
            </w:pPr>
            <w:r w:rsidRPr="00564311">
              <w:t>1.2</w:t>
            </w:r>
          </w:p>
        </w:tc>
        <w:tc>
          <w:tcPr>
            <w:tcW w:w="1233" w:type="dxa"/>
            <w:vAlign w:val="center"/>
          </w:tcPr>
          <w:p w14:paraId="6697C61B" w14:textId="74112A71" w:rsidR="002012D9" w:rsidRDefault="002012D9" w:rsidP="009F7C14">
            <w:pPr>
              <w:tabs>
                <w:tab w:val="left" w:pos="2955"/>
              </w:tabs>
              <w:jc w:val="both"/>
              <w:rPr>
                <w:rFonts w:ascii="Arial" w:hAnsi="Arial" w:cs="Arial"/>
                <w:sz w:val="20"/>
                <w:szCs w:val="20"/>
              </w:rPr>
            </w:pPr>
            <w:r w:rsidRPr="00564311">
              <w:t>1.6</w:t>
            </w:r>
          </w:p>
        </w:tc>
        <w:tc>
          <w:tcPr>
            <w:tcW w:w="1252" w:type="dxa"/>
            <w:vAlign w:val="center"/>
          </w:tcPr>
          <w:p w14:paraId="6797F8CF" w14:textId="51961EF8" w:rsidR="002012D9" w:rsidRDefault="002012D9" w:rsidP="009F7C14">
            <w:pPr>
              <w:tabs>
                <w:tab w:val="left" w:pos="2955"/>
              </w:tabs>
              <w:jc w:val="both"/>
              <w:rPr>
                <w:rFonts w:ascii="Arial" w:hAnsi="Arial" w:cs="Arial"/>
                <w:sz w:val="20"/>
                <w:szCs w:val="20"/>
              </w:rPr>
            </w:pPr>
            <w:r w:rsidRPr="00564311">
              <w:t>16.2</w:t>
            </w:r>
          </w:p>
        </w:tc>
        <w:tc>
          <w:tcPr>
            <w:tcW w:w="1237" w:type="dxa"/>
            <w:vAlign w:val="center"/>
          </w:tcPr>
          <w:p w14:paraId="4C3118D5" w14:textId="072EFBEB" w:rsidR="002012D9" w:rsidRDefault="002012D9" w:rsidP="009F7C14">
            <w:pPr>
              <w:tabs>
                <w:tab w:val="left" w:pos="2955"/>
              </w:tabs>
              <w:jc w:val="both"/>
              <w:rPr>
                <w:rFonts w:ascii="Arial" w:hAnsi="Arial" w:cs="Arial"/>
                <w:sz w:val="20"/>
                <w:szCs w:val="20"/>
              </w:rPr>
            </w:pPr>
            <w:r w:rsidRPr="00564311">
              <w:t>22.4</w:t>
            </w:r>
          </w:p>
        </w:tc>
        <w:tc>
          <w:tcPr>
            <w:tcW w:w="1233" w:type="dxa"/>
            <w:vAlign w:val="center"/>
          </w:tcPr>
          <w:p w14:paraId="129271FB" w14:textId="30832876" w:rsidR="002012D9" w:rsidRDefault="002012D9" w:rsidP="009F7C14">
            <w:pPr>
              <w:tabs>
                <w:tab w:val="left" w:pos="2955"/>
              </w:tabs>
              <w:jc w:val="both"/>
              <w:rPr>
                <w:rFonts w:ascii="Arial" w:hAnsi="Arial" w:cs="Arial"/>
                <w:sz w:val="20"/>
                <w:szCs w:val="20"/>
              </w:rPr>
            </w:pPr>
            <w:r w:rsidRPr="00564311">
              <w:t>28.6</w:t>
            </w:r>
          </w:p>
        </w:tc>
      </w:tr>
      <w:tr w:rsidR="002012D9" w14:paraId="4F6D0ECC" w14:textId="77777777" w:rsidTr="009E2763">
        <w:tc>
          <w:tcPr>
            <w:tcW w:w="1243" w:type="dxa"/>
            <w:vAlign w:val="center"/>
          </w:tcPr>
          <w:p w14:paraId="78D12A3D" w14:textId="32B3F249" w:rsidR="002012D9" w:rsidRDefault="002012D9" w:rsidP="009F7C14">
            <w:pPr>
              <w:tabs>
                <w:tab w:val="left" w:pos="2955"/>
              </w:tabs>
              <w:jc w:val="both"/>
              <w:rPr>
                <w:rFonts w:ascii="Arial" w:hAnsi="Arial" w:cs="Arial"/>
                <w:sz w:val="20"/>
                <w:szCs w:val="20"/>
              </w:rPr>
            </w:pPr>
            <w:r w:rsidRPr="00564311">
              <w:t>1 year</w:t>
            </w:r>
          </w:p>
        </w:tc>
        <w:tc>
          <w:tcPr>
            <w:tcW w:w="1419" w:type="dxa"/>
            <w:vAlign w:val="center"/>
          </w:tcPr>
          <w:p w14:paraId="0B4E6F48" w14:textId="3C62B5EF" w:rsidR="002012D9" w:rsidRDefault="002012D9" w:rsidP="009F7C14">
            <w:pPr>
              <w:tabs>
                <w:tab w:val="left" w:pos="2955"/>
              </w:tabs>
              <w:jc w:val="both"/>
              <w:rPr>
                <w:rFonts w:ascii="Arial" w:hAnsi="Arial" w:cs="Arial"/>
                <w:sz w:val="20"/>
                <w:szCs w:val="20"/>
              </w:rPr>
            </w:pPr>
            <w:r w:rsidRPr="00564311">
              <w:t>2.4</w:t>
            </w:r>
          </w:p>
        </w:tc>
        <w:tc>
          <w:tcPr>
            <w:tcW w:w="1237" w:type="dxa"/>
            <w:vAlign w:val="center"/>
          </w:tcPr>
          <w:p w14:paraId="5B0FE037" w14:textId="31EA5C61" w:rsidR="002012D9" w:rsidRDefault="002012D9" w:rsidP="009F7C14">
            <w:pPr>
              <w:tabs>
                <w:tab w:val="left" w:pos="2955"/>
              </w:tabs>
              <w:jc w:val="both"/>
              <w:rPr>
                <w:rFonts w:ascii="Arial" w:hAnsi="Arial" w:cs="Arial"/>
                <w:sz w:val="20"/>
                <w:szCs w:val="20"/>
              </w:rPr>
            </w:pPr>
            <w:r w:rsidRPr="00564311">
              <w:t>3.4</w:t>
            </w:r>
          </w:p>
        </w:tc>
        <w:tc>
          <w:tcPr>
            <w:tcW w:w="1233" w:type="dxa"/>
            <w:vAlign w:val="center"/>
          </w:tcPr>
          <w:p w14:paraId="0B198DA1" w14:textId="06E6C4D1" w:rsidR="002012D9" w:rsidRDefault="002012D9" w:rsidP="009F7C14">
            <w:pPr>
              <w:tabs>
                <w:tab w:val="left" w:pos="2955"/>
              </w:tabs>
              <w:jc w:val="both"/>
              <w:rPr>
                <w:rFonts w:ascii="Arial" w:hAnsi="Arial" w:cs="Arial"/>
                <w:sz w:val="20"/>
                <w:szCs w:val="20"/>
              </w:rPr>
            </w:pPr>
            <w:r w:rsidRPr="00564311">
              <w:t>4.8</w:t>
            </w:r>
          </w:p>
        </w:tc>
        <w:tc>
          <w:tcPr>
            <w:tcW w:w="1252" w:type="dxa"/>
            <w:vAlign w:val="center"/>
          </w:tcPr>
          <w:p w14:paraId="6E5AFF53" w14:textId="5E1935A7" w:rsidR="002012D9" w:rsidRDefault="002012D9" w:rsidP="009F7C14">
            <w:pPr>
              <w:tabs>
                <w:tab w:val="left" w:pos="2955"/>
              </w:tabs>
              <w:jc w:val="both"/>
              <w:rPr>
                <w:rFonts w:ascii="Arial" w:hAnsi="Arial" w:cs="Arial"/>
                <w:sz w:val="20"/>
                <w:szCs w:val="20"/>
              </w:rPr>
            </w:pPr>
            <w:r w:rsidRPr="00564311">
              <w:t>32.1</w:t>
            </w:r>
          </w:p>
        </w:tc>
        <w:tc>
          <w:tcPr>
            <w:tcW w:w="1237" w:type="dxa"/>
            <w:vAlign w:val="center"/>
          </w:tcPr>
          <w:p w14:paraId="340208F1" w14:textId="082C3C8F" w:rsidR="002012D9" w:rsidRDefault="002012D9" w:rsidP="009F7C14">
            <w:pPr>
              <w:tabs>
                <w:tab w:val="left" w:pos="2955"/>
              </w:tabs>
              <w:jc w:val="both"/>
              <w:rPr>
                <w:rFonts w:ascii="Arial" w:hAnsi="Arial" w:cs="Arial"/>
                <w:sz w:val="20"/>
                <w:szCs w:val="20"/>
              </w:rPr>
            </w:pPr>
            <w:r w:rsidRPr="00564311">
              <w:t>45.6</w:t>
            </w:r>
          </w:p>
        </w:tc>
        <w:tc>
          <w:tcPr>
            <w:tcW w:w="1233" w:type="dxa"/>
            <w:vAlign w:val="center"/>
          </w:tcPr>
          <w:p w14:paraId="4D1DCDB5" w14:textId="241BFB37" w:rsidR="002012D9" w:rsidRDefault="002012D9" w:rsidP="009F7C14">
            <w:pPr>
              <w:tabs>
                <w:tab w:val="left" w:pos="2955"/>
              </w:tabs>
              <w:jc w:val="both"/>
              <w:rPr>
                <w:rFonts w:ascii="Arial" w:hAnsi="Arial" w:cs="Arial"/>
                <w:sz w:val="20"/>
                <w:szCs w:val="20"/>
              </w:rPr>
            </w:pPr>
            <w:r w:rsidRPr="00564311">
              <w:t>59.1</w:t>
            </w:r>
          </w:p>
        </w:tc>
      </w:tr>
      <w:tr w:rsidR="002012D9" w14:paraId="7605B6F8" w14:textId="77777777" w:rsidTr="009E2763">
        <w:tc>
          <w:tcPr>
            <w:tcW w:w="1243" w:type="dxa"/>
            <w:vAlign w:val="center"/>
          </w:tcPr>
          <w:p w14:paraId="66E82831" w14:textId="60812879" w:rsidR="002012D9" w:rsidRDefault="002012D9" w:rsidP="009F7C14">
            <w:pPr>
              <w:tabs>
                <w:tab w:val="left" w:pos="2955"/>
              </w:tabs>
              <w:jc w:val="both"/>
              <w:rPr>
                <w:rFonts w:ascii="Arial" w:hAnsi="Arial" w:cs="Arial"/>
                <w:sz w:val="20"/>
                <w:szCs w:val="20"/>
              </w:rPr>
            </w:pPr>
            <w:r w:rsidRPr="00564311">
              <w:t>2 years</w:t>
            </w:r>
          </w:p>
        </w:tc>
        <w:tc>
          <w:tcPr>
            <w:tcW w:w="1419" w:type="dxa"/>
            <w:vAlign w:val="center"/>
          </w:tcPr>
          <w:p w14:paraId="735AC8B3" w14:textId="55FA8C56" w:rsidR="002012D9" w:rsidRDefault="002012D9" w:rsidP="009F7C14">
            <w:pPr>
              <w:tabs>
                <w:tab w:val="left" w:pos="2955"/>
              </w:tabs>
              <w:jc w:val="both"/>
              <w:rPr>
                <w:rFonts w:ascii="Arial" w:hAnsi="Arial" w:cs="Arial"/>
                <w:sz w:val="20"/>
                <w:szCs w:val="20"/>
              </w:rPr>
            </w:pPr>
            <w:r w:rsidRPr="00564311">
              <w:t>4.6</w:t>
            </w:r>
          </w:p>
        </w:tc>
        <w:tc>
          <w:tcPr>
            <w:tcW w:w="1237" w:type="dxa"/>
            <w:vAlign w:val="center"/>
          </w:tcPr>
          <w:p w14:paraId="7CD26041" w14:textId="07E6AC0B" w:rsidR="002012D9" w:rsidRDefault="002012D9" w:rsidP="009F7C14">
            <w:pPr>
              <w:tabs>
                <w:tab w:val="left" w:pos="2955"/>
              </w:tabs>
              <w:jc w:val="both"/>
              <w:rPr>
                <w:rFonts w:ascii="Arial" w:hAnsi="Arial" w:cs="Arial"/>
                <w:sz w:val="20"/>
                <w:szCs w:val="20"/>
              </w:rPr>
            </w:pPr>
            <w:r w:rsidRPr="00564311">
              <w:t>6.1</w:t>
            </w:r>
          </w:p>
        </w:tc>
        <w:tc>
          <w:tcPr>
            <w:tcW w:w="1233" w:type="dxa"/>
            <w:vAlign w:val="center"/>
          </w:tcPr>
          <w:p w14:paraId="2DC386BD" w14:textId="3762CB95" w:rsidR="002012D9" w:rsidRDefault="002012D9" w:rsidP="009F7C14">
            <w:pPr>
              <w:tabs>
                <w:tab w:val="left" w:pos="2955"/>
              </w:tabs>
              <w:jc w:val="both"/>
              <w:rPr>
                <w:rFonts w:ascii="Arial" w:hAnsi="Arial" w:cs="Arial"/>
                <w:sz w:val="20"/>
                <w:szCs w:val="20"/>
              </w:rPr>
            </w:pPr>
            <w:r w:rsidRPr="00564311">
              <w:t>8.1</w:t>
            </w:r>
          </w:p>
        </w:tc>
        <w:tc>
          <w:tcPr>
            <w:tcW w:w="1252" w:type="dxa"/>
            <w:vAlign w:val="center"/>
          </w:tcPr>
          <w:p w14:paraId="4114D481" w14:textId="6428E5B3" w:rsidR="002012D9" w:rsidRDefault="002012D9" w:rsidP="009F7C14">
            <w:pPr>
              <w:tabs>
                <w:tab w:val="left" w:pos="2955"/>
              </w:tabs>
              <w:jc w:val="both"/>
              <w:rPr>
                <w:rFonts w:ascii="Arial" w:hAnsi="Arial" w:cs="Arial"/>
                <w:sz w:val="20"/>
                <w:szCs w:val="20"/>
              </w:rPr>
            </w:pPr>
            <w:r w:rsidRPr="00564311">
              <w:t>17.3</w:t>
            </w:r>
          </w:p>
        </w:tc>
        <w:tc>
          <w:tcPr>
            <w:tcW w:w="1237" w:type="dxa"/>
            <w:vAlign w:val="center"/>
          </w:tcPr>
          <w:p w14:paraId="57293C84" w14:textId="1000E450" w:rsidR="002012D9" w:rsidRDefault="002012D9" w:rsidP="009F7C14">
            <w:pPr>
              <w:tabs>
                <w:tab w:val="left" w:pos="2955"/>
              </w:tabs>
              <w:jc w:val="both"/>
              <w:rPr>
                <w:rFonts w:ascii="Arial" w:hAnsi="Arial" w:cs="Arial"/>
                <w:sz w:val="20"/>
                <w:szCs w:val="20"/>
              </w:rPr>
            </w:pPr>
            <w:r w:rsidRPr="00564311">
              <w:t>24.7</w:t>
            </w:r>
          </w:p>
        </w:tc>
        <w:tc>
          <w:tcPr>
            <w:tcW w:w="1233" w:type="dxa"/>
            <w:vAlign w:val="center"/>
          </w:tcPr>
          <w:p w14:paraId="6403841E" w14:textId="0D439434" w:rsidR="002012D9" w:rsidRDefault="002012D9" w:rsidP="009F7C14">
            <w:pPr>
              <w:tabs>
                <w:tab w:val="left" w:pos="2955"/>
              </w:tabs>
              <w:jc w:val="both"/>
              <w:rPr>
                <w:rFonts w:ascii="Arial" w:hAnsi="Arial" w:cs="Arial"/>
                <w:sz w:val="20"/>
                <w:szCs w:val="20"/>
              </w:rPr>
            </w:pPr>
            <w:r w:rsidRPr="00564311">
              <w:t>32.1</w:t>
            </w:r>
          </w:p>
        </w:tc>
      </w:tr>
      <w:tr w:rsidR="002012D9" w14:paraId="795747D7" w14:textId="77777777" w:rsidTr="009E2763">
        <w:tc>
          <w:tcPr>
            <w:tcW w:w="1243" w:type="dxa"/>
            <w:vAlign w:val="center"/>
          </w:tcPr>
          <w:p w14:paraId="2400E3AE" w14:textId="749938C6" w:rsidR="002012D9" w:rsidRDefault="002012D9" w:rsidP="009F7C14">
            <w:pPr>
              <w:tabs>
                <w:tab w:val="left" w:pos="2955"/>
              </w:tabs>
              <w:jc w:val="both"/>
              <w:rPr>
                <w:rFonts w:ascii="Arial" w:hAnsi="Arial" w:cs="Arial"/>
                <w:sz w:val="20"/>
                <w:szCs w:val="20"/>
              </w:rPr>
            </w:pPr>
            <w:r w:rsidRPr="00564311">
              <w:t>3 years</w:t>
            </w:r>
          </w:p>
        </w:tc>
        <w:tc>
          <w:tcPr>
            <w:tcW w:w="1419" w:type="dxa"/>
            <w:vAlign w:val="center"/>
          </w:tcPr>
          <w:p w14:paraId="512B5510" w14:textId="3523F260" w:rsidR="002012D9" w:rsidRDefault="002012D9" w:rsidP="009F7C14">
            <w:pPr>
              <w:tabs>
                <w:tab w:val="left" w:pos="2955"/>
              </w:tabs>
              <w:jc w:val="both"/>
              <w:rPr>
                <w:rFonts w:ascii="Arial" w:hAnsi="Arial" w:cs="Arial"/>
                <w:sz w:val="20"/>
                <w:szCs w:val="20"/>
              </w:rPr>
            </w:pPr>
            <w:r w:rsidRPr="00564311">
              <w:t>6.2</w:t>
            </w:r>
          </w:p>
        </w:tc>
        <w:tc>
          <w:tcPr>
            <w:tcW w:w="1237" w:type="dxa"/>
            <w:vAlign w:val="center"/>
          </w:tcPr>
          <w:p w14:paraId="066B3243" w14:textId="3F161CD3" w:rsidR="002012D9" w:rsidRDefault="002012D9" w:rsidP="009F7C14">
            <w:pPr>
              <w:tabs>
                <w:tab w:val="left" w:pos="2955"/>
              </w:tabs>
              <w:jc w:val="both"/>
              <w:rPr>
                <w:rFonts w:ascii="Arial" w:hAnsi="Arial" w:cs="Arial"/>
                <w:sz w:val="20"/>
                <w:szCs w:val="20"/>
              </w:rPr>
            </w:pPr>
            <w:r w:rsidRPr="00564311">
              <w:t>7.8</w:t>
            </w:r>
          </w:p>
        </w:tc>
        <w:tc>
          <w:tcPr>
            <w:tcW w:w="1233" w:type="dxa"/>
            <w:vAlign w:val="center"/>
          </w:tcPr>
          <w:p w14:paraId="5973F9F2" w14:textId="4E5C9D39" w:rsidR="002012D9" w:rsidRDefault="002012D9" w:rsidP="009F7C14">
            <w:pPr>
              <w:tabs>
                <w:tab w:val="left" w:pos="2955"/>
              </w:tabs>
              <w:jc w:val="both"/>
              <w:rPr>
                <w:rFonts w:ascii="Arial" w:hAnsi="Arial" w:cs="Arial"/>
                <w:sz w:val="20"/>
                <w:szCs w:val="20"/>
              </w:rPr>
            </w:pPr>
            <w:r w:rsidRPr="00564311">
              <w:t>9.8</w:t>
            </w:r>
          </w:p>
        </w:tc>
        <w:tc>
          <w:tcPr>
            <w:tcW w:w="1252" w:type="dxa"/>
            <w:vAlign w:val="center"/>
          </w:tcPr>
          <w:p w14:paraId="5148AF4D" w14:textId="520873FD" w:rsidR="002012D9" w:rsidRDefault="002012D9" w:rsidP="009F7C14">
            <w:pPr>
              <w:tabs>
                <w:tab w:val="left" w:pos="2955"/>
              </w:tabs>
              <w:jc w:val="both"/>
              <w:rPr>
                <w:rFonts w:ascii="Arial" w:hAnsi="Arial" w:cs="Arial"/>
                <w:sz w:val="20"/>
                <w:szCs w:val="20"/>
              </w:rPr>
            </w:pPr>
            <w:r w:rsidRPr="00564311">
              <w:t>14.8</w:t>
            </w:r>
          </w:p>
        </w:tc>
        <w:tc>
          <w:tcPr>
            <w:tcW w:w="1237" w:type="dxa"/>
            <w:vAlign w:val="center"/>
          </w:tcPr>
          <w:p w14:paraId="6C79F682" w14:textId="29569A69" w:rsidR="002012D9" w:rsidRDefault="002012D9" w:rsidP="009F7C14">
            <w:pPr>
              <w:tabs>
                <w:tab w:val="left" w:pos="2955"/>
              </w:tabs>
              <w:jc w:val="both"/>
              <w:rPr>
                <w:rFonts w:ascii="Arial" w:hAnsi="Arial" w:cs="Arial"/>
                <w:sz w:val="20"/>
                <w:szCs w:val="20"/>
              </w:rPr>
            </w:pPr>
            <w:r w:rsidRPr="00564311">
              <w:t>21.3</w:t>
            </w:r>
          </w:p>
        </w:tc>
        <w:tc>
          <w:tcPr>
            <w:tcW w:w="1233" w:type="dxa"/>
            <w:vAlign w:val="center"/>
          </w:tcPr>
          <w:p w14:paraId="1DF2DBC1" w14:textId="7A6E7E64" w:rsidR="002012D9" w:rsidRDefault="002012D9" w:rsidP="009F7C14">
            <w:pPr>
              <w:tabs>
                <w:tab w:val="left" w:pos="2955"/>
              </w:tabs>
              <w:jc w:val="both"/>
              <w:rPr>
                <w:rFonts w:ascii="Arial" w:hAnsi="Arial" w:cs="Arial"/>
                <w:sz w:val="20"/>
                <w:szCs w:val="20"/>
              </w:rPr>
            </w:pPr>
            <w:r w:rsidRPr="00564311">
              <w:t>27.8</w:t>
            </w:r>
          </w:p>
        </w:tc>
      </w:tr>
      <w:tr w:rsidR="002012D9" w14:paraId="0B2ABCEC" w14:textId="77777777" w:rsidTr="009E2763">
        <w:tc>
          <w:tcPr>
            <w:tcW w:w="1243" w:type="dxa"/>
            <w:vAlign w:val="center"/>
          </w:tcPr>
          <w:p w14:paraId="5DA60C97" w14:textId="7BF3B0C5" w:rsidR="002012D9" w:rsidRDefault="002012D9" w:rsidP="009F7C14">
            <w:pPr>
              <w:tabs>
                <w:tab w:val="left" w:pos="2955"/>
              </w:tabs>
              <w:jc w:val="both"/>
              <w:rPr>
                <w:rFonts w:ascii="Arial" w:hAnsi="Arial" w:cs="Arial"/>
                <w:sz w:val="20"/>
                <w:szCs w:val="20"/>
              </w:rPr>
            </w:pPr>
            <w:r w:rsidRPr="00564311">
              <w:t>4 years</w:t>
            </w:r>
          </w:p>
        </w:tc>
        <w:tc>
          <w:tcPr>
            <w:tcW w:w="1419" w:type="dxa"/>
            <w:vAlign w:val="center"/>
          </w:tcPr>
          <w:p w14:paraId="463DF4D1" w14:textId="4ED16BE1" w:rsidR="002012D9" w:rsidRDefault="002012D9" w:rsidP="009F7C14">
            <w:pPr>
              <w:tabs>
                <w:tab w:val="left" w:pos="2955"/>
              </w:tabs>
              <w:jc w:val="both"/>
              <w:rPr>
                <w:rFonts w:ascii="Arial" w:hAnsi="Arial" w:cs="Arial"/>
                <w:sz w:val="20"/>
                <w:szCs w:val="20"/>
              </w:rPr>
            </w:pPr>
            <w:r w:rsidRPr="00564311">
              <w:t>7.1</w:t>
            </w:r>
          </w:p>
        </w:tc>
        <w:tc>
          <w:tcPr>
            <w:tcW w:w="1237" w:type="dxa"/>
            <w:vAlign w:val="center"/>
          </w:tcPr>
          <w:p w14:paraId="51E5C859" w14:textId="53246962" w:rsidR="002012D9" w:rsidRDefault="002012D9" w:rsidP="009F7C14">
            <w:pPr>
              <w:tabs>
                <w:tab w:val="left" w:pos="2955"/>
              </w:tabs>
              <w:jc w:val="both"/>
              <w:rPr>
                <w:rFonts w:ascii="Arial" w:hAnsi="Arial" w:cs="Arial"/>
                <w:sz w:val="20"/>
                <w:szCs w:val="20"/>
              </w:rPr>
            </w:pPr>
            <w:r w:rsidRPr="00564311">
              <w:t>8.9</w:t>
            </w:r>
          </w:p>
        </w:tc>
        <w:tc>
          <w:tcPr>
            <w:tcW w:w="1233" w:type="dxa"/>
            <w:vAlign w:val="center"/>
          </w:tcPr>
          <w:p w14:paraId="7743D0AD" w14:textId="36EBBBDB" w:rsidR="002012D9" w:rsidRDefault="002012D9" w:rsidP="009F7C14">
            <w:pPr>
              <w:tabs>
                <w:tab w:val="left" w:pos="2955"/>
              </w:tabs>
              <w:jc w:val="both"/>
              <w:rPr>
                <w:rFonts w:ascii="Arial" w:hAnsi="Arial" w:cs="Arial"/>
                <w:sz w:val="20"/>
                <w:szCs w:val="20"/>
              </w:rPr>
            </w:pPr>
            <w:r w:rsidRPr="00564311">
              <w:t>11.2</w:t>
            </w:r>
          </w:p>
        </w:tc>
        <w:tc>
          <w:tcPr>
            <w:tcW w:w="1252" w:type="dxa"/>
            <w:vAlign w:val="center"/>
          </w:tcPr>
          <w:p w14:paraId="7FA96E96" w14:textId="0C927F94" w:rsidR="002012D9" w:rsidRDefault="002012D9" w:rsidP="009F7C14">
            <w:pPr>
              <w:tabs>
                <w:tab w:val="left" w:pos="2955"/>
              </w:tabs>
              <w:jc w:val="both"/>
              <w:rPr>
                <w:rFonts w:ascii="Arial" w:hAnsi="Arial" w:cs="Arial"/>
                <w:sz w:val="20"/>
                <w:szCs w:val="20"/>
              </w:rPr>
            </w:pPr>
            <w:r w:rsidRPr="00564311">
              <w:t>12.6</w:t>
            </w:r>
          </w:p>
        </w:tc>
        <w:tc>
          <w:tcPr>
            <w:tcW w:w="1237" w:type="dxa"/>
            <w:vAlign w:val="center"/>
          </w:tcPr>
          <w:p w14:paraId="22046682" w14:textId="6B34FB06" w:rsidR="002012D9" w:rsidRDefault="002012D9" w:rsidP="009F7C14">
            <w:pPr>
              <w:tabs>
                <w:tab w:val="left" w:pos="2955"/>
              </w:tabs>
              <w:jc w:val="both"/>
              <w:rPr>
                <w:rFonts w:ascii="Arial" w:hAnsi="Arial" w:cs="Arial"/>
                <w:sz w:val="20"/>
                <w:szCs w:val="20"/>
              </w:rPr>
            </w:pPr>
            <w:r w:rsidRPr="00564311">
              <w:t>18.2</w:t>
            </w:r>
          </w:p>
        </w:tc>
        <w:tc>
          <w:tcPr>
            <w:tcW w:w="1233" w:type="dxa"/>
            <w:vAlign w:val="center"/>
          </w:tcPr>
          <w:p w14:paraId="1DDD4000" w14:textId="6A8F001A" w:rsidR="002012D9" w:rsidRDefault="002012D9" w:rsidP="009F7C14">
            <w:pPr>
              <w:tabs>
                <w:tab w:val="left" w:pos="2955"/>
              </w:tabs>
              <w:jc w:val="both"/>
              <w:rPr>
                <w:rFonts w:ascii="Arial" w:hAnsi="Arial" w:cs="Arial"/>
                <w:sz w:val="20"/>
                <w:szCs w:val="20"/>
              </w:rPr>
            </w:pPr>
            <w:r w:rsidRPr="00564311">
              <w:t>23.8</w:t>
            </w:r>
          </w:p>
        </w:tc>
      </w:tr>
      <w:tr w:rsidR="002012D9" w14:paraId="17AB0A05" w14:textId="77777777" w:rsidTr="009E2763">
        <w:tc>
          <w:tcPr>
            <w:tcW w:w="1243" w:type="dxa"/>
            <w:vAlign w:val="center"/>
          </w:tcPr>
          <w:p w14:paraId="60C04D64" w14:textId="0B03C715" w:rsidR="002012D9" w:rsidRDefault="002012D9" w:rsidP="009F7C14">
            <w:pPr>
              <w:tabs>
                <w:tab w:val="left" w:pos="2955"/>
              </w:tabs>
              <w:jc w:val="both"/>
              <w:rPr>
                <w:rFonts w:ascii="Arial" w:hAnsi="Arial" w:cs="Arial"/>
                <w:sz w:val="20"/>
                <w:szCs w:val="20"/>
              </w:rPr>
            </w:pPr>
            <w:r w:rsidRPr="00564311">
              <w:t>5 years</w:t>
            </w:r>
          </w:p>
        </w:tc>
        <w:tc>
          <w:tcPr>
            <w:tcW w:w="1419" w:type="dxa"/>
            <w:vAlign w:val="center"/>
          </w:tcPr>
          <w:p w14:paraId="4C65D409" w14:textId="2AF917BE" w:rsidR="002012D9" w:rsidRDefault="002012D9" w:rsidP="009F7C14">
            <w:pPr>
              <w:tabs>
                <w:tab w:val="left" w:pos="2955"/>
              </w:tabs>
              <w:jc w:val="both"/>
              <w:rPr>
                <w:rFonts w:ascii="Arial" w:hAnsi="Arial" w:cs="Arial"/>
                <w:sz w:val="20"/>
                <w:szCs w:val="20"/>
              </w:rPr>
            </w:pPr>
            <w:r w:rsidRPr="00564311">
              <w:t>6.2</w:t>
            </w:r>
          </w:p>
        </w:tc>
        <w:tc>
          <w:tcPr>
            <w:tcW w:w="1237" w:type="dxa"/>
            <w:vAlign w:val="center"/>
          </w:tcPr>
          <w:p w14:paraId="79844DE2" w14:textId="3110A6D2" w:rsidR="002012D9" w:rsidRDefault="002012D9" w:rsidP="009F7C14">
            <w:pPr>
              <w:tabs>
                <w:tab w:val="left" w:pos="2955"/>
              </w:tabs>
              <w:jc w:val="both"/>
              <w:rPr>
                <w:rFonts w:ascii="Arial" w:hAnsi="Arial" w:cs="Arial"/>
                <w:sz w:val="20"/>
                <w:szCs w:val="20"/>
              </w:rPr>
            </w:pPr>
            <w:r w:rsidRPr="00564311">
              <w:t>7.8</w:t>
            </w:r>
          </w:p>
        </w:tc>
        <w:tc>
          <w:tcPr>
            <w:tcW w:w="1233" w:type="dxa"/>
            <w:vAlign w:val="center"/>
          </w:tcPr>
          <w:p w14:paraId="63ACD787" w14:textId="66DC951D" w:rsidR="002012D9" w:rsidRDefault="002012D9" w:rsidP="009F7C14">
            <w:pPr>
              <w:tabs>
                <w:tab w:val="left" w:pos="2955"/>
              </w:tabs>
              <w:jc w:val="both"/>
              <w:rPr>
                <w:rFonts w:ascii="Arial" w:hAnsi="Arial" w:cs="Arial"/>
                <w:sz w:val="20"/>
                <w:szCs w:val="20"/>
              </w:rPr>
            </w:pPr>
            <w:r w:rsidRPr="00564311">
              <w:t>9.8</w:t>
            </w:r>
          </w:p>
        </w:tc>
        <w:tc>
          <w:tcPr>
            <w:tcW w:w="1252" w:type="dxa"/>
            <w:vAlign w:val="center"/>
          </w:tcPr>
          <w:p w14:paraId="78D53CC4" w14:textId="375156AC" w:rsidR="002012D9" w:rsidRDefault="002012D9" w:rsidP="009F7C14">
            <w:pPr>
              <w:tabs>
                <w:tab w:val="left" w:pos="2955"/>
              </w:tabs>
              <w:jc w:val="both"/>
              <w:rPr>
                <w:rFonts w:ascii="Arial" w:hAnsi="Arial" w:cs="Arial"/>
                <w:sz w:val="20"/>
                <w:szCs w:val="20"/>
              </w:rPr>
            </w:pPr>
            <w:r w:rsidRPr="00564311">
              <w:t>13.1</w:t>
            </w:r>
          </w:p>
        </w:tc>
        <w:tc>
          <w:tcPr>
            <w:tcW w:w="1237" w:type="dxa"/>
            <w:vAlign w:val="center"/>
          </w:tcPr>
          <w:p w14:paraId="27892C88" w14:textId="4676D5DB" w:rsidR="002012D9" w:rsidRDefault="002012D9" w:rsidP="009F7C14">
            <w:pPr>
              <w:tabs>
                <w:tab w:val="left" w:pos="2955"/>
              </w:tabs>
              <w:jc w:val="both"/>
              <w:rPr>
                <w:rFonts w:ascii="Arial" w:hAnsi="Arial" w:cs="Arial"/>
                <w:sz w:val="20"/>
                <w:szCs w:val="20"/>
              </w:rPr>
            </w:pPr>
            <w:r w:rsidRPr="00564311">
              <w:t>19.1</w:t>
            </w:r>
          </w:p>
        </w:tc>
        <w:tc>
          <w:tcPr>
            <w:tcW w:w="1233" w:type="dxa"/>
            <w:vAlign w:val="center"/>
          </w:tcPr>
          <w:p w14:paraId="547E24AA" w14:textId="57F71670" w:rsidR="002012D9" w:rsidRDefault="002012D9" w:rsidP="009F7C14">
            <w:pPr>
              <w:tabs>
                <w:tab w:val="left" w:pos="2955"/>
              </w:tabs>
              <w:jc w:val="both"/>
              <w:rPr>
                <w:rFonts w:ascii="Arial" w:hAnsi="Arial" w:cs="Arial"/>
                <w:sz w:val="20"/>
                <w:szCs w:val="20"/>
              </w:rPr>
            </w:pPr>
            <w:r w:rsidRPr="00564311">
              <w:t>25.1</w:t>
            </w:r>
          </w:p>
        </w:tc>
      </w:tr>
      <w:tr w:rsidR="002012D9" w14:paraId="3D113D24" w14:textId="77777777" w:rsidTr="009E2763">
        <w:tc>
          <w:tcPr>
            <w:tcW w:w="1243" w:type="dxa"/>
            <w:vAlign w:val="center"/>
          </w:tcPr>
          <w:p w14:paraId="7A81DB73" w14:textId="3D24A566" w:rsidR="002012D9" w:rsidRDefault="002012D9" w:rsidP="009F7C14">
            <w:pPr>
              <w:tabs>
                <w:tab w:val="left" w:pos="2955"/>
              </w:tabs>
              <w:jc w:val="both"/>
              <w:rPr>
                <w:rFonts w:ascii="Arial" w:hAnsi="Arial" w:cs="Arial"/>
                <w:sz w:val="20"/>
                <w:szCs w:val="20"/>
              </w:rPr>
            </w:pPr>
            <w:r w:rsidRPr="00564311">
              <w:t>6 years</w:t>
            </w:r>
          </w:p>
        </w:tc>
        <w:tc>
          <w:tcPr>
            <w:tcW w:w="1419" w:type="dxa"/>
            <w:vAlign w:val="center"/>
          </w:tcPr>
          <w:p w14:paraId="62CCD58B" w14:textId="41EA044F" w:rsidR="002012D9" w:rsidRDefault="002012D9" w:rsidP="009F7C14">
            <w:pPr>
              <w:tabs>
                <w:tab w:val="left" w:pos="2955"/>
              </w:tabs>
              <w:jc w:val="both"/>
              <w:rPr>
                <w:rFonts w:ascii="Arial" w:hAnsi="Arial" w:cs="Arial"/>
                <w:sz w:val="20"/>
                <w:szCs w:val="20"/>
              </w:rPr>
            </w:pPr>
            <w:r w:rsidRPr="00564311">
              <w:t>5.4</w:t>
            </w:r>
          </w:p>
        </w:tc>
        <w:tc>
          <w:tcPr>
            <w:tcW w:w="1237" w:type="dxa"/>
            <w:vAlign w:val="center"/>
          </w:tcPr>
          <w:p w14:paraId="67291E9E" w14:textId="49B424C3" w:rsidR="002012D9" w:rsidRDefault="002012D9" w:rsidP="009F7C14">
            <w:pPr>
              <w:tabs>
                <w:tab w:val="left" w:pos="2955"/>
              </w:tabs>
              <w:jc w:val="both"/>
              <w:rPr>
                <w:rFonts w:ascii="Arial" w:hAnsi="Arial" w:cs="Arial"/>
                <w:sz w:val="20"/>
                <w:szCs w:val="20"/>
              </w:rPr>
            </w:pPr>
            <w:r w:rsidRPr="00564311">
              <w:t>6.9</w:t>
            </w:r>
          </w:p>
        </w:tc>
        <w:tc>
          <w:tcPr>
            <w:tcW w:w="1233" w:type="dxa"/>
            <w:vAlign w:val="center"/>
          </w:tcPr>
          <w:p w14:paraId="2F888D88" w14:textId="1EF3336B" w:rsidR="002012D9" w:rsidRDefault="002012D9" w:rsidP="009F7C14">
            <w:pPr>
              <w:tabs>
                <w:tab w:val="left" w:pos="2955"/>
              </w:tabs>
              <w:jc w:val="both"/>
              <w:rPr>
                <w:rFonts w:ascii="Arial" w:hAnsi="Arial" w:cs="Arial"/>
                <w:sz w:val="20"/>
                <w:szCs w:val="20"/>
              </w:rPr>
            </w:pPr>
            <w:r w:rsidRPr="00564311">
              <w:t>8.7</w:t>
            </w:r>
          </w:p>
        </w:tc>
        <w:tc>
          <w:tcPr>
            <w:tcW w:w="1252" w:type="dxa"/>
            <w:vAlign w:val="center"/>
          </w:tcPr>
          <w:p w14:paraId="24AA7718" w14:textId="73085CE5" w:rsidR="002012D9" w:rsidRDefault="002012D9" w:rsidP="009F7C14">
            <w:pPr>
              <w:tabs>
                <w:tab w:val="left" w:pos="2955"/>
              </w:tabs>
              <w:jc w:val="both"/>
              <w:rPr>
                <w:rFonts w:ascii="Arial" w:hAnsi="Arial" w:cs="Arial"/>
                <w:sz w:val="20"/>
                <w:szCs w:val="20"/>
              </w:rPr>
            </w:pPr>
            <w:r w:rsidRPr="00564311">
              <w:t>14.2</w:t>
            </w:r>
          </w:p>
        </w:tc>
        <w:tc>
          <w:tcPr>
            <w:tcW w:w="1237" w:type="dxa"/>
            <w:vAlign w:val="center"/>
          </w:tcPr>
          <w:p w14:paraId="3AA7A1A5" w14:textId="22E0B2E8" w:rsidR="002012D9" w:rsidRDefault="002012D9" w:rsidP="009F7C14">
            <w:pPr>
              <w:tabs>
                <w:tab w:val="left" w:pos="2955"/>
              </w:tabs>
              <w:jc w:val="both"/>
              <w:rPr>
                <w:rFonts w:ascii="Arial" w:hAnsi="Arial" w:cs="Arial"/>
                <w:sz w:val="20"/>
                <w:szCs w:val="20"/>
              </w:rPr>
            </w:pPr>
            <w:r w:rsidRPr="00564311">
              <w:t>20.3</w:t>
            </w:r>
          </w:p>
        </w:tc>
        <w:tc>
          <w:tcPr>
            <w:tcW w:w="1233" w:type="dxa"/>
            <w:vAlign w:val="center"/>
          </w:tcPr>
          <w:p w14:paraId="4BF10D2F" w14:textId="213C2F8C" w:rsidR="002012D9" w:rsidRDefault="002012D9" w:rsidP="009F7C14">
            <w:pPr>
              <w:tabs>
                <w:tab w:val="left" w:pos="2955"/>
              </w:tabs>
              <w:jc w:val="both"/>
              <w:rPr>
                <w:rFonts w:ascii="Arial" w:hAnsi="Arial" w:cs="Arial"/>
                <w:sz w:val="20"/>
                <w:szCs w:val="20"/>
              </w:rPr>
            </w:pPr>
            <w:r w:rsidRPr="00564311">
              <w:t>26.4</w:t>
            </w:r>
          </w:p>
        </w:tc>
      </w:tr>
      <w:tr w:rsidR="002012D9" w14:paraId="78FA17E7" w14:textId="77777777" w:rsidTr="009E2763">
        <w:tc>
          <w:tcPr>
            <w:tcW w:w="1243" w:type="dxa"/>
            <w:vAlign w:val="center"/>
          </w:tcPr>
          <w:p w14:paraId="2F828728" w14:textId="1CF8C95B" w:rsidR="002012D9" w:rsidRDefault="002012D9" w:rsidP="009F7C14">
            <w:pPr>
              <w:tabs>
                <w:tab w:val="left" w:pos="2955"/>
              </w:tabs>
              <w:jc w:val="both"/>
              <w:rPr>
                <w:rFonts w:ascii="Arial" w:hAnsi="Arial" w:cs="Arial"/>
                <w:sz w:val="20"/>
                <w:szCs w:val="20"/>
              </w:rPr>
            </w:pPr>
            <w:r w:rsidRPr="00564311">
              <w:t>7 years</w:t>
            </w:r>
          </w:p>
        </w:tc>
        <w:tc>
          <w:tcPr>
            <w:tcW w:w="1419" w:type="dxa"/>
            <w:vAlign w:val="center"/>
          </w:tcPr>
          <w:p w14:paraId="3D87C5D9" w14:textId="0F516414" w:rsidR="002012D9" w:rsidRDefault="002012D9" w:rsidP="009F7C14">
            <w:pPr>
              <w:tabs>
                <w:tab w:val="left" w:pos="2955"/>
              </w:tabs>
              <w:jc w:val="both"/>
              <w:rPr>
                <w:rFonts w:ascii="Arial" w:hAnsi="Arial" w:cs="Arial"/>
                <w:sz w:val="20"/>
                <w:szCs w:val="20"/>
              </w:rPr>
            </w:pPr>
            <w:r w:rsidRPr="00564311">
              <w:t>4.7</w:t>
            </w:r>
          </w:p>
        </w:tc>
        <w:tc>
          <w:tcPr>
            <w:tcW w:w="1237" w:type="dxa"/>
            <w:vAlign w:val="center"/>
          </w:tcPr>
          <w:p w14:paraId="1CBDF824" w14:textId="407919B3" w:rsidR="002012D9" w:rsidRDefault="002012D9" w:rsidP="009F7C14">
            <w:pPr>
              <w:tabs>
                <w:tab w:val="left" w:pos="2955"/>
              </w:tabs>
              <w:jc w:val="both"/>
              <w:rPr>
                <w:rFonts w:ascii="Arial" w:hAnsi="Arial" w:cs="Arial"/>
                <w:sz w:val="20"/>
                <w:szCs w:val="20"/>
              </w:rPr>
            </w:pPr>
            <w:r w:rsidRPr="00564311">
              <w:t>6.1</w:t>
            </w:r>
          </w:p>
        </w:tc>
        <w:tc>
          <w:tcPr>
            <w:tcW w:w="1233" w:type="dxa"/>
            <w:vAlign w:val="center"/>
          </w:tcPr>
          <w:p w14:paraId="3EE53C8B" w14:textId="00DBB7FB" w:rsidR="002012D9" w:rsidRDefault="002012D9" w:rsidP="009F7C14">
            <w:pPr>
              <w:tabs>
                <w:tab w:val="left" w:pos="2955"/>
              </w:tabs>
              <w:jc w:val="both"/>
              <w:rPr>
                <w:rFonts w:ascii="Arial" w:hAnsi="Arial" w:cs="Arial"/>
                <w:sz w:val="20"/>
                <w:szCs w:val="20"/>
              </w:rPr>
            </w:pPr>
            <w:r w:rsidRPr="00564311">
              <w:t>7.9</w:t>
            </w:r>
          </w:p>
        </w:tc>
        <w:tc>
          <w:tcPr>
            <w:tcW w:w="1252" w:type="dxa"/>
            <w:vAlign w:val="center"/>
          </w:tcPr>
          <w:p w14:paraId="7B507490" w14:textId="082DC465" w:rsidR="002012D9" w:rsidRDefault="002012D9" w:rsidP="009F7C14">
            <w:pPr>
              <w:tabs>
                <w:tab w:val="left" w:pos="2955"/>
              </w:tabs>
              <w:jc w:val="both"/>
              <w:rPr>
                <w:rFonts w:ascii="Arial" w:hAnsi="Arial" w:cs="Arial"/>
                <w:sz w:val="20"/>
                <w:szCs w:val="20"/>
              </w:rPr>
            </w:pPr>
            <w:r w:rsidRPr="00564311">
              <w:t>15.1</w:t>
            </w:r>
          </w:p>
        </w:tc>
        <w:tc>
          <w:tcPr>
            <w:tcW w:w="1237" w:type="dxa"/>
            <w:vAlign w:val="center"/>
          </w:tcPr>
          <w:p w14:paraId="5894B0DF" w14:textId="5ED4109C" w:rsidR="002012D9" w:rsidRDefault="002012D9" w:rsidP="009F7C14">
            <w:pPr>
              <w:tabs>
                <w:tab w:val="left" w:pos="2955"/>
              </w:tabs>
              <w:jc w:val="both"/>
              <w:rPr>
                <w:rFonts w:ascii="Arial" w:hAnsi="Arial" w:cs="Arial"/>
                <w:sz w:val="20"/>
                <w:szCs w:val="20"/>
              </w:rPr>
            </w:pPr>
            <w:r w:rsidRPr="00564311">
              <w:t>21.5</w:t>
            </w:r>
          </w:p>
        </w:tc>
        <w:tc>
          <w:tcPr>
            <w:tcW w:w="1233" w:type="dxa"/>
            <w:vAlign w:val="center"/>
          </w:tcPr>
          <w:p w14:paraId="5B523EE4" w14:textId="088E25AD" w:rsidR="002012D9" w:rsidRDefault="002012D9" w:rsidP="009F7C14">
            <w:pPr>
              <w:tabs>
                <w:tab w:val="left" w:pos="2955"/>
              </w:tabs>
              <w:jc w:val="both"/>
              <w:rPr>
                <w:rFonts w:ascii="Arial" w:hAnsi="Arial" w:cs="Arial"/>
                <w:sz w:val="20"/>
                <w:szCs w:val="20"/>
              </w:rPr>
            </w:pPr>
            <w:r w:rsidRPr="00564311">
              <w:t>27.9</w:t>
            </w:r>
          </w:p>
        </w:tc>
      </w:tr>
      <w:tr w:rsidR="002012D9" w14:paraId="5BB177EB" w14:textId="77777777" w:rsidTr="009E2763">
        <w:tc>
          <w:tcPr>
            <w:tcW w:w="1243" w:type="dxa"/>
            <w:vAlign w:val="center"/>
          </w:tcPr>
          <w:p w14:paraId="23E66B64" w14:textId="50481658" w:rsidR="002012D9" w:rsidRDefault="002012D9" w:rsidP="009F7C14">
            <w:pPr>
              <w:tabs>
                <w:tab w:val="left" w:pos="2955"/>
              </w:tabs>
              <w:jc w:val="both"/>
              <w:rPr>
                <w:rFonts w:ascii="Arial" w:hAnsi="Arial" w:cs="Arial"/>
                <w:sz w:val="20"/>
                <w:szCs w:val="20"/>
              </w:rPr>
            </w:pPr>
            <w:r w:rsidRPr="00564311">
              <w:t>≥8 years</w:t>
            </w:r>
          </w:p>
        </w:tc>
        <w:tc>
          <w:tcPr>
            <w:tcW w:w="1419" w:type="dxa"/>
            <w:vAlign w:val="center"/>
          </w:tcPr>
          <w:p w14:paraId="59B28F1A" w14:textId="788E0628" w:rsidR="002012D9" w:rsidRDefault="002012D9" w:rsidP="009F7C14">
            <w:pPr>
              <w:tabs>
                <w:tab w:val="left" w:pos="2955"/>
              </w:tabs>
              <w:jc w:val="both"/>
              <w:rPr>
                <w:rFonts w:ascii="Arial" w:hAnsi="Arial" w:cs="Arial"/>
                <w:sz w:val="20"/>
                <w:szCs w:val="20"/>
              </w:rPr>
            </w:pPr>
            <w:r w:rsidRPr="00564311">
              <w:t>3.8</w:t>
            </w:r>
          </w:p>
        </w:tc>
        <w:tc>
          <w:tcPr>
            <w:tcW w:w="1237" w:type="dxa"/>
            <w:vAlign w:val="center"/>
          </w:tcPr>
          <w:p w14:paraId="3228C5FE" w14:textId="7B8F24B7" w:rsidR="002012D9" w:rsidRDefault="002012D9" w:rsidP="009F7C14">
            <w:pPr>
              <w:tabs>
                <w:tab w:val="left" w:pos="2955"/>
              </w:tabs>
              <w:jc w:val="both"/>
              <w:rPr>
                <w:rFonts w:ascii="Arial" w:hAnsi="Arial" w:cs="Arial"/>
                <w:sz w:val="20"/>
                <w:szCs w:val="20"/>
              </w:rPr>
            </w:pPr>
            <w:r w:rsidRPr="00564311">
              <w:t>5.1</w:t>
            </w:r>
          </w:p>
        </w:tc>
        <w:tc>
          <w:tcPr>
            <w:tcW w:w="1233" w:type="dxa"/>
            <w:vAlign w:val="center"/>
          </w:tcPr>
          <w:p w14:paraId="61406A2D" w14:textId="3D8067CF" w:rsidR="002012D9" w:rsidRDefault="002012D9" w:rsidP="009F7C14">
            <w:pPr>
              <w:tabs>
                <w:tab w:val="left" w:pos="2955"/>
              </w:tabs>
              <w:jc w:val="both"/>
              <w:rPr>
                <w:rFonts w:ascii="Arial" w:hAnsi="Arial" w:cs="Arial"/>
                <w:sz w:val="20"/>
                <w:szCs w:val="20"/>
              </w:rPr>
            </w:pPr>
            <w:r w:rsidRPr="00564311">
              <w:t>6.8</w:t>
            </w:r>
          </w:p>
        </w:tc>
        <w:tc>
          <w:tcPr>
            <w:tcW w:w="1252" w:type="dxa"/>
            <w:vAlign w:val="center"/>
          </w:tcPr>
          <w:p w14:paraId="7F36366E" w14:textId="021B3643" w:rsidR="002012D9" w:rsidRDefault="002012D9" w:rsidP="009F7C14">
            <w:pPr>
              <w:tabs>
                <w:tab w:val="left" w:pos="2955"/>
              </w:tabs>
              <w:jc w:val="both"/>
              <w:rPr>
                <w:rFonts w:ascii="Arial" w:hAnsi="Arial" w:cs="Arial"/>
                <w:sz w:val="20"/>
                <w:szCs w:val="20"/>
              </w:rPr>
            </w:pPr>
            <w:r w:rsidRPr="00564311">
              <w:t>13.9</w:t>
            </w:r>
          </w:p>
        </w:tc>
        <w:tc>
          <w:tcPr>
            <w:tcW w:w="1237" w:type="dxa"/>
            <w:vAlign w:val="center"/>
          </w:tcPr>
          <w:p w14:paraId="5DD3245A" w14:textId="68FD5572" w:rsidR="002012D9" w:rsidRDefault="002012D9" w:rsidP="009F7C14">
            <w:pPr>
              <w:tabs>
                <w:tab w:val="left" w:pos="2955"/>
              </w:tabs>
              <w:jc w:val="both"/>
              <w:rPr>
                <w:rFonts w:ascii="Arial" w:hAnsi="Arial" w:cs="Arial"/>
                <w:sz w:val="20"/>
                <w:szCs w:val="20"/>
              </w:rPr>
            </w:pPr>
            <w:r w:rsidRPr="00564311">
              <w:t>19.7</w:t>
            </w:r>
          </w:p>
        </w:tc>
        <w:tc>
          <w:tcPr>
            <w:tcW w:w="1233" w:type="dxa"/>
            <w:vAlign w:val="center"/>
          </w:tcPr>
          <w:p w14:paraId="08267D6C" w14:textId="59C3DD97" w:rsidR="002012D9" w:rsidRDefault="002012D9" w:rsidP="009F7C14">
            <w:pPr>
              <w:tabs>
                <w:tab w:val="left" w:pos="2955"/>
              </w:tabs>
              <w:jc w:val="both"/>
              <w:rPr>
                <w:rFonts w:ascii="Arial" w:hAnsi="Arial" w:cs="Arial"/>
                <w:sz w:val="20"/>
                <w:szCs w:val="20"/>
              </w:rPr>
            </w:pPr>
            <w:r w:rsidRPr="00564311">
              <w:t>25.5</w:t>
            </w:r>
          </w:p>
        </w:tc>
      </w:tr>
    </w:tbl>
    <w:p w14:paraId="4A252F99" w14:textId="4A06408B" w:rsidR="005671AF" w:rsidRDefault="009F7C14" w:rsidP="009F7C14">
      <w:pPr>
        <w:tabs>
          <w:tab w:val="left" w:pos="2955"/>
        </w:tabs>
        <w:spacing w:after="0" w:line="240" w:lineRule="auto"/>
        <w:jc w:val="both"/>
        <w:rPr>
          <w:rFonts w:ascii="Arial" w:hAnsi="Arial" w:cs="Arial"/>
          <w:sz w:val="20"/>
          <w:szCs w:val="20"/>
        </w:rPr>
      </w:pPr>
      <w:r>
        <w:rPr>
          <w:i/>
          <w:iCs/>
          <w:sz w:val="18"/>
          <w:szCs w:val="18"/>
        </w:rPr>
        <w:t xml:space="preserve">NB: </w:t>
      </w:r>
      <w:r w:rsidRPr="009F7C14">
        <w:rPr>
          <w:i/>
          <w:iCs/>
          <w:sz w:val="18"/>
          <w:szCs w:val="18"/>
        </w:rPr>
        <w:t>10th %</w:t>
      </w:r>
      <w:proofErr w:type="spellStart"/>
      <w:r w:rsidRPr="009F7C14">
        <w:rPr>
          <w:i/>
          <w:iCs/>
          <w:sz w:val="18"/>
          <w:szCs w:val="18"/>
        </w:rPr>
        <w:t>ile</w:t>
      </w:r>
      <w:proofErr w:type="spellEnd"/>
      <w:r w:rsidRPr="009F7C14">
        <w:rPr>
          <w:rFonts w:ascii="Arial" w:hAnsi="Arial" w:cs="Arial"/>
          <w:i/>
          <w:iCs/>
          <w:sz w:val="18"/>
          <w:szCs w:val="18"/>
        </w:rPr>
        <w:t xml:space="preserve"> and </w:t>
      </w:r>
      <w:r w:rsidRPr="009F7C14">
        <w:rPr>
          <w:i/>
          <w:iCs/>
          <w:sz w:val="18"/>
          <w:szCs w:val="18"/>
        </w:rPr>
        <w:t>90th %</w:t>
      </w:r>
      <w:proofErr w:type="spellStart"/>
      <w:r w:rsidRPr="009F7C14">
        <w:rPr>
          <w:i/>
          <w:iCs/>
          <w:sz w:val="18"/>
          <w:szCs w:val="18"/>
        </w:rPr>
        <w:t>ile</w:t>
      </w:r>
      <w:proofErr w:type="spellEnd"/>
      <w:r w:rsidRPr="009F7C14">
        <w:rPr>
          <w:rFonts w:ascii="Arial" w:hAnsi="Arial" w:cs="Arial"/>
          <w:i/>
          <w:iCs/>
          <w:sz w:val="18"/>
          <w:szCs w:val="18"/>
        </w:rPr>
        <w:t xml:space="preserve"> </w:t>
      </w:r>
      <w:r>
        <w:rPr>
          <w:rFonts w:ascii="Arial" w:hAnsi="Arial" w:cs="Arial"/>
          <w:i/>
          <w:iCs/>
          <w:sz w:val="18"/>
          <w:szCs w:val="18"/>
        </w:rPr>
        <w:t>represent r</w:t>
      </w:r>
      <w:r w:rsidR="002012D9" w:rsidRPr="009F7C14">
        <w:rPr>
          <w:rFonts w:ascii="Arial" w:hAnsi="Arial" w:cs="Arial"/>
          <w:i/>
          <w:iCs/>
          <w:sz w:val="18"/>
          <w:szCs w:val="18"/>
        </w:rPr>
        <w:t>eference ranges derived from 90 bulls with 95% confidence limits</w:t>
      </w:r>
      <w:r w:rsidR="002012D9" w:rsidRPr="002012D9">
        <w:rPr>
          <w:rFonts w:ascii="Arial" w:hAnsi="Arial" w:cs="Arial"/>
          <w:sz w:val="20"/>
          <w:szCs w:val="20"/>
        </w:rPr>
        <w:t>.</w:t>
      </w:r>
    </w:p>
    <w:p w14:paraId="6B1E2537" w14:textId="77777777" w:rsidR="009F7C14" w:rsidRPr="005671AF" w:rsidRDefault="009F7C14" w:rsidP="009F7C14">
      <w:pPr>
        <w:tabs>
          <w:tab w:val="left" w:pos="2955"/>
        </w:tabs>
        <w:spacing w:after="0" w:line="240" w:lineRule="auto"/>
        <w:jc w:val="both"/>
        <w:rPr>
          <w:rFonts w:ascii="Arial" w:hAnsi="Arial" w:cs="Arial"/>
          <w:sz w:val="20"/>
          <w:szCs w:val="20"/>
        </w:rPr>
      </w:pPr>
    </w:p>
    <w:p w14:paraId="0F9FE092" w14:textId="77777777" w:rsidR="005671AF" w:rsidRPr="005671AF" w:rsidRDefault="005671AF" w:rsidP="009F7C14">
      <w:pPr>
        <w:tabs>
          <w:tab w:val="left" w:pos="2955"/>
        </w:tabs>
        <w:spacing w:after="0" w:line="240" w:lineRule="auto"/>
        <w:jc w:val="both"/>
        <w:rPr>
          <w:rFonts w:ascii="Arial" w:hAnsi="Arial" w:cs="Arial"/>
          <w:sz w:val="20"/>
          <w:szCs w:val="20"/>
        </w:rPr>
      </w:pPr>
      <w:r w:rsidRPr="005671AF">
        <w:rPr>
          <w:rFonts w:ascii="Arial" w:hAnsi="Arial" w:cs="Arial"/>
          <w:sz w:val="20"/>
          <w:szCs w:val="20"/>
        </w:rPr>
        <w:t>Combining the hormone evaluation with standard breeding soundness examination procedures may improve the predictive validity of these tests with a potential for detecting bulls with borderline reproductive inadequacies which may go unnoticed by physical examination in isolation (Palmer et al., 2020; Prakash et al., 2021). Discrepant bulls with disparity between physical values and hormone levels should be subjected to investigation and follow-up prior to extensive breeding usage as indicated by findings in studies by Chenoweth (2020) and by Brito et al. (2020).</w:t>
      </w:r>
    </w:p>
    <w:p w14:paraId="0376E84E" w14:textId="77777777" w:rsidR="005671AF" w:rsidRPr="005671AF" w:rsidRDefault="005671AF" w:rsidP="009F7C14">
      <w:pPr>
        <w:tabs>
          <w:tab w:val="left" w:pos="2955"/>
        </w:tabs>
        <w:spacing w:after="0" w:line="240" w:lineRule="auto"/>
        <w:jc w:val="both"/>
        <w:rPr>
          <w:rFonts w:ascii="Arial" w:hAnsi="Arial" w:cs="Arial"/>
          <w:sz w:val="20"/>
          <w:szCs w:val="20"/>
        </w:rPr>
      </w:pPr>
    </w:p>
    <w:p w14:paraId="03BAB2B6" w14:textId="19DF731F" w:rsidR="005671AF" w:rsidRPr="003105DE" w:rsidRDefault="005671AF" w:rsidP="009F7C14">
      <w:pPr>
        <w:pStyle w:val="Heading2"/>
      </w:pPr>
      <w:r w:rsidRPr="003105DE">
        <w:t>3.</w:t>
      </w:r>
      <w:r w:rsidR="002012D9" w:rsidRPr="003105DE">
        <w:t>10</w:t>
      </w:r>
      <w:r w:rsidRPr="003105DE">
        <w:t xml:space="preserve"> Cost-Effectiveness and Implementation Strategies</w:t>
      </w:r>
    </w:p>
    <w:p w14:paraId="2C669056" w14:textId="77777777" w:rsidR="005671AF" w:rsidRPr="003105DE" w:rsidRDefault="005671AF" w:rsidP="009F7C14">
      <w:pPr>
        <w:tabs>
          <w:tab w:val="left" w:pos="2955"/>
        </w:tabs>
        <w:spacing w:after="0" w:line="240" w:lineRule="auto"/>
        <w:jc w:val="both"/>
        <w:rPr>
          <w:rFonts w:ascii="Arial" w:hAnsi="Arial" w:cs="Arial"/>
          <w:sz w:val="20"/>
          <w:szCs w:val="20"/>
        </w:rPr>
      </w:pPr>
      <w:r w:rsidRPr="003105DE">
        <w:rPr>
          <w:rFonts w:ascii="Arial" w:hAnsi="Arial" w:cs="Arial"/>
          <w:sz w:val="20"/>
          <w:szCs w:val="20"/>
        </w:rPr>
        <w:t>Cost effectiveness of the use of hormones in breeding soundness evaluation relies on the value of enhanced breeding efficiency in relation to the cost of tests (Walsh et al., 2019; Fraser et al., 2021). Commercial EIA tests for testosterone and for oestradiol cost between $12-18 per bull and the cost savings from detecting and culling an unreproductive bull in service can be in excess of $3,000-6,000 per annum in decreased conceptions and longer than average calving intervals (Prakash et al., 2021; Santos et al., 2021).</w:t>
      </w:r>
    </w:p>
    <w:p w14:paraId="75BC1120" w14:textId="77777777" w:rsidR="005671AF" w:rsidRPr="003105DE" w:rsidRDefault="005671AF" w:rsidP="009F7C14">
      <w:pPr>
        <w:tabs>
          <w:tab w:val="left" w:pos="2955"/>
        </w:tabs>
        <w:spacing w:after="0" w:line="240" w:lineRule="auto"/>
        <w:jc w:val="both"/>
        <w:rPr>
          <w:rFonts w:ascii="Arial" w:hAnsi="Arial" w:cs="Arial"/>
          <w:sz w:val="20"/>
          <w:szCs w:val="20"/>
        </w:rPr>
      </w:pPr>
      <w:r w:rsidRPr="003105DE">
        <w:rPr>
          <w:rFonts w:ascii="Arial" w:hAnsi="Arial" w:cs="Arial"/>
          <w:sz w:val="20"/>
          <w:szCs w:val="20"/>
        </w:rPr>
        <w:t>For high-quality breeding bulls or those used intensively in artificial insemination programs, marginal cost of hormone evaluation will be a small cost in contrast to the potential economic effect of reproduction failure (Rodriguez-Martinez, 2018; Kastelic, 2019). Palmer et al. (2020) and Walters et al. (2019) have developed economic models with a positive return on investment for hormone evaluation when used in bulls breeding over 25 cows per year.</w:t>
      </w:r>
    </w:p>
    <w:p w14:paraId="61E2E474" w14:textId="77777777" w:rsidR="009F7C14" w:rsidRPr="003105DE" w:rsidRDefault="009F7C14" w:rsidP="009F7C14">
      <w:pPr>
        <w:tabs>
          <w:tab w:val="left" w:pos="2955"/>
        </w:tabs>
        <w:spacing w:after="0" w:line="240" w:lineRule="auto"/>
        <w:jc w:val="both"/>
        <w:rPr>
          <w:rFonts w:ascii="Arial" w:hAnsi="Arial" w:cs="Arial"/>
          <w:sz w:val="20"/>
          <w:szCs w:val="20"/>
        </w:rPr>
      </w:pPr>
    </w:p>
    <w:p w14:paraId="4AE9E951" w14:textId="77777777" w:rsidR="005671AF" w:rsidRPr="00552762" w:rsidRDefault="005671AF" w:rsidP="009F7C14">
      <w:pPr>
        <w:tabs>
          <w:tab w:val="left" w:pos="2955"/>
        </w:tabs>
        <w:spacing w:after="0" w:line="240" w:lineRule="auto"/>
        <w:jc w:val="both"/>
        <w:rPr>
          <w:rFonts w:ascii="Arial" w:hAnsi="Arial" w:cs="Arial"/>
          <w:color w:val="FF0000"/>
          <w:sz w:val="20"/>
          <w:szCs w:val="20"/>
        </w:rPr>
      </w:pPr>
      <w:r w:rsidRPr="003105DE">
        <w:rPr>
          <w:rFonts w:ascii="Arial" w:hAnsi="Arial" w:cs="Arial"/>
          <w:sz w:val="20"/>
          <w:szCs w:val="20"/>
        </w:rPr>
        <w:t>Conversely, for bulls used sporadically in once-a-year breeding programs, the cost-benefit ratio can be poorer and indicate selective use according to value and breeding level (Brito et al., 2020; Chenoweth, 2020). Decision-aid tools considering hormone evaluation costs, forecast breeding performance gains, and bull values might maximize tests for various production systems (Fraser et al., 2021; Walsh et al., 2019).</w:t>
      </w:r>
    </w:p>
    <w:p w14:paraId="57239621" w14:textId="77777777" w:rsidR="00291D49" w:rsidRPr="004D7F99" w:rsidRDefault="00291D49" w:rsidP="009F7C14">
      <w:pPr>
        <w:tabs>
          <w:tab w:val="left" w:pos="2955"/>
        </w:tabs>
        <w:spacing w:after="0" w:line="240" w:lineRule="auto"/>
        <w:jc w:val="both"/>
        <w:rPr>
          <w:rFonts w:ascii="Arial" w:hAnsi="Arial" w:cs="Arial"/>
          <w:color w:val="FF0000"/>
        </w:rPr>
      </w:pPr>
    </w:p>
    <w:p w14:paraId="1670807B" w14:textId="16310E5F" w:rsidR="00A47883" w:rsidRDefault="00A47883" w:rsidP="003105DE">
      <w:pPr>
        <w:spacing w:after="0" w:line="240" w:lineRule="auto"/>
        <w:jc w:val="both"/>
        <w:rPr>
          <w:rFonts w:ascii="Arial" w:hAnsi="Arial" w:cs="Arial"/>
          <w:sz w:val="20"/>
          <w:szCs w:val="20"/>
        </w:rPr>
      </w:pPr>
      <w:r w:rsidRPr="005F1ABB">
        <w:rPr>
          <w:rFonts w:ascii="Arial" w:hAnsi="Arial" w:cs="Arial"/>
          <w:b/>
          <w:bCs/>
        </w:rPr>
        <w:t>4. CONCLUSION</w:t>
      </w:r>
      <w:r>
        <w:rPr>
          <w:rFonts w:ascii="Arial" w:hAnsi="Arial" w:cs="Arial"/>
          <w:b/>
          <w:bCs/>
          <w:sz w:val="20"/>
          <w:szCs w:val="20"/>
        </w:rPr>
        <w:tab/>
      </w:r>
      <w:r w:rsidRPr="00A47883">
        <w:rPr>
          <w:rFonts w:ascii="Arial" w:hAnsi="Arial" w:cs="Arial"/>
          <w:sz w:val="20"/>
          <w:szCs w:val="20"/>
        </w:rPr>
        <w:br/>
        <w:t xml:space="preserve">This extensive research formulates specific age-based comparison standards for reproductive hormones in dairy bulls for improved precision in the evaluation of breeding in tropical dairy systems. The confirmation of peak </w:t>
      </w:r>
      <w:r w:rsidR="00714B37">
        <w:rPr>
          <w:rFonts w:ascii="Arial" w:hAnsi="Arial" w:cs="Arial"/>
          <w:sz w:val="20"/>
          <w:szCs w:val="20"/>
        </w:rPr>
        <w:t xml:space="preserve">reproductive and </w:t>
      </w:r>
      <w:r w:rsidRPr="00A47883">
        <w:rPr>
          <w:rFonts w:ascii="Arial" w:hAnsi="Arial" w:cs="Arial"/>
          <w:sz w:val="20"/>
          <w:szCs w:val="20"/>
        </w:rPr>
        <w:t>breeding performance at 4 years with expected steady decline between 5–7 years gives practical management guidelines for optimizing reproductive efficiency while backing evidence-based decision making in reproduction.</w:t>
      </w:r>
    </w:p>
    <w:p w14:paraId="45730054" w14:textId="619AB61D" w:rsidR="00A47883" w:rsidRDefault="00A47883" w:rsidP="003105DE">
      <w:pPr>
        <w:spacing w:after="0" w:line="240" w:lineRule="auto"/>
        <w:jc w:val="both"/>
        <w:rPr>
          <w:rFonts w:ascii="Arial" w:hAnsi="Arial" w:cs="Arial"/>
          <w:sz w:val="20"/>
          <w:szCs w:val="20"/>
        </w:rPr>
      </w:pPr>
      <w:r w:rsidRPr="00A47883">
        <w:rPr>
          <w:rFonts w:ascii="Arial" w:hAnsi="Arial" w:cs="Arial"/>
          <w:sz w:val="20"/>
          <w:szCs w:val="20"/>
        </w:rPr>
        <w:br/>
        <w:t xml:space="preserve">The high correlations with traditional breeding soundness criteria substantiate the use of hormonal examination within total evaluation methods. Bulls with peak levels of testosterone scored significantly higher conception rates and exhibited higher </w:t>
      </w:r>
      <w:r w:rsidR="00714B37">
        <w:rPr>
          <w:rFonts w:ascii="Arial" w:hAnsi="Arial" w:cs="Arial"/>
          <w:sz w:val="20"/>
          <w:szCs w:val="20"/>
        </w:rPr>
        <w:t xml:space="preserve">reproductive and </w:t>
      </w:r>
      <w:r w:rsidRPr="00A47883">
        <w:rPr>
          <w:rFonts w:ascii="Arial" w:hAnsi="Arial" w:cs="Arial"/>
          <w:sz w:val="20"/>
          <w:szCs w:val="20"/>
        </w:rPr>
        <w:t>breeding efficiency compared to younger or older bulls, substantiating the practical utility of hormonal evaluation in making breeding management decisions.</w:t>
      </w:r>
      <w:r w:rsidRPr="00A47883">
        <w:rPr>
          <w:rFonts w:ascii="Arial" w:hAnsi="Arial" w:cs="Arial"/>
          <w:sz w:val="20"/>
          <w:szCs w:val="20"/>
        </w:rPr>
        <w:br/>
        <w:t xml:space="preserve">The development of practical reference ranges for each of these age categories facilitates evidence-based interpretation of test results in clinical application, with cost analysis favoring implementation in high-value bulls for breeding. The progressive nature of reproductive decline in this investigation favors prolonged use </w:t>
      </w:r>
      <w:r w:rsidRPr="00A47883">
        <w:rPr>
          <w:rFonts w:ascii="Arial" w:hAnsi="Arial" w:cs="Arial"/>
          <w:sz w:val="20"/>
          <w:szCs w:val="20"/>
        </w:rPr>
        <w:lastRenderedPageBreak/>
        <w:t>of proven bulls where management circumstances allow, with the potential to improve the economics of dairy operations in the tropics.</w:t>
      </w:r>
    </w:p>
    <w:p w14:paraId="17DFF7D3" w14:textId="6D7EE69C" w:rsidR="00A47883" w:rsidRDefault="00A47883" w:rsidP="003105DE">
      <w:pPr>
        <w:spacing w:after="0" w:line="240" w:lineRule="auto"/>
        <w:jc w:val="both"/>
        <w:rPr>
          <w:rFonts w:ascii="Arial" w:hAnsi="Arial" w:cs="Arial"/>
          <w:sz w:val="20"/>
          <w:szCs w:val="20"/>
        </w:rPr>
      </w:pPr>
      <w:r w:rsidRPr="00A47883">
        <w:rPr>
          <w:rFonts w:ascii="Arial" w:hAnsi="Arial" w:cs="Arial"/>
          <w:sz w:val="20"/>
          <w:szCs w:val="20"/>
        </w:rPr>
        <w:br/>
      </w:r>
      <w:r w:rsidR="00213A88">
        <w:rPr>
          <w:rFonts w:ascii="Arial" w:hAnsi="Arial" w:cs="Arial"/>
          <w:sz w:val="20"/>
          <w:szCs w:val="20"/>
        </w:rPr>
        <w:t>it</w:t>
      </w:r>
      <w:r w:rsidR="00B72E9A">
        <w:rPr>
          <w:rFonts w:ascii="Arial" w:hAnsi="Arial" w:cs="Arial"/>
          <w:sz w:val="20"/>
          <w:szCs w:val="20"/>
        </w:rPr>
        <w:t xml:space="preserve"> is</w:t>
      </w:r>
      <w:r w:rsidR="00213A88">
        <w:rPr>
          <w:rFonts w:ascii="Arial" w:hAnsi="Arial" w:cs="Arial"/>
          <w:sz w:val="20"/>
          <w:szCs w:val="20"/>
        </w:rPr>
        <w:t xml:space="preserve"> recommended that r</w:t>
      </w:r>
      <w:r w:rsidRPr="00A47883">
        <w:rPr>
          <w:rFonts w:ascii="Arial" w:hAnsi="Arial" w:cs="Arial"/>
          <w:sz w:val="20"/>
          <w:szCs w:val="20"/>
        </w:rPr>
        <w:t>esearch in the future will need to emphasize longitudinal studies of individual hormonal development patterns, validation of clinical effects with the use of hormone-enhanced evaluation protocols, and the evaluation of point-of-care test technologies for use in the field. Merging hormonal evaluation with new precision agricultural technologies presents exciting opportunities in the advancement of reproductive management in contemporary dairy production systems as well as in the promotion of sustainable dairy industries in the tropical world.</w:t>
      </w:r>
    </w:p>
    <w:p w14:paraId="204D9296" w14:textId="77777777" w:rsidR="003105DE" w:rsidRPr="00A47883" w:rsidRDefault="003105DE" w:rsidP="003105DE">
      <w:pPr>
        <w:spacing w:after="0" w:line="240" w:lineRule="auto"/>
        <w:jc w:val="both"/>
        <w:rPr>
          <w:rFonts w:ascii="Arial" w:hAnsi="Arial" w:cs="Arial"/>
          <w:sz w:val="20"/>
          <w:szCs w:val="20"/>
        </w:rPr>
      </w:pPr>
    </w:p>
    <w:p w14:paraId="5ED8D987" w14:textId="77777777" w:rsidR="003105DE" w:rsidRPr="003105DE" w:rsidRDefault="003105DE" w:rsidP="003105DE">
      <w:pPr>
        <w:spacing w:after="0" w:line="240" w:lineRule="auto"/>
        <w:jc w:val="both"/>
        <w:rPr>
          <w:rFonts w:ascii="Arial" w:hAnsi="Arial" w:cs="Arial"/>
          <w:sz w:val="20"/>
          <w:szCs w:val="20"/>
        </w:rPr>
      </w:pPr>
    </w:p>
    <w:p w14:paraId="03E3CDFE" w14:textId="77777777" w:rsidR="003105DE" w:rsidRPr="005F1ABB" w:rsidRDefault="003105DE" w:rsidP="003105DE">
      <w:pPr>
        <w:spacing w:after="0" w:line="240" w:lineRule="auto"/>
        <w:jc w:val="both"/>
        <w:rPr>
          <w:rFonts w:ascii="Arial" w:hAnsi="Arial" w:cs="Arial"/>
          <w:b/>
          <w:bCs/>
        </w:rPr>
      </w:pPr>
      <w:r w:rsidRPr="005F1ABB">
        <w:rPr>
          <w:rFonts w:ascii="Arial" w:hAnsi="Arial" w:cs="Arial"/>
          <w:b/>
          <w:bCs/>
        </w:rPr>
        <w:t>ETHICAL ISSUES</w:t>
      </w:r>
      <w:r w:rsidRPr="005F1ABB">
        <w:rPr>
          <w:rFonts w:ascii="Arial" w:hAnsi="Arial" w:cs="Arial"/>
          <w:b/>
          <w:bCs/>
        </w:rPr>
        <w:tab/>
      </w:r>
    </w:p>
    <w:p w14:paraId="556246A4" w14:textId="65B97CE1" w:rsidR="003105DE" w:rsidRDefault="003105DE" w:rsidP="003105DE">
      <w:pPr>
        <w:spacing w:after="0" w:line="240" w:lineRule="auto"/>
        <w:jc w:val="both"/>
        <w:rPr>
          <w:rFonts w:ascii="Arial" w:hAnsi="Arial" w:cs="Arial"/>
          <w:sz w:val="20"/>
          <w:szCs w:val="20"/>
        </w:rPr>
      </w:pPr>
      <w:r w:rsidRPr="003105DE">
        <w:rPr>
          <w:rFonts w:ascii="Arial" w:hAnsi="Arial" w:cs="Arial"/>
          <w:sz w:val="20"/>
          <w:szCs w:val="20"/>
        </w:rPr>
        <w:t>The author hereby state that "Principles of laboratory animal care" (NIH publication No. 85-23, rev 1985) were adhered to, along with specific national legislation where appropriate. Consent was taken from all farm owners, and all procedures in handling animals were strictly in accordance with international norms on farm animal welfare (Fraser et al., 2021).</w:t>
      </w:r>
    </w:p>
    <w:p w14:paraId="17F8C119" w14:textId="3D148B23" w:rsidR="0050291C" w:rsidRDefault="0050291C" w:rsidP="003105DE">
      <w:pPr>
        <w:spacing w:after="0" w:line="240" w:lineRule="auto"/>
        <w:jc w:val="both"/>
        <w:rPr>
          <w:rFonts w:ascii="Arial" w:hAnsi="Arial" w:cs="Arial"/>
          <w:sz w:val="20"/>
          <w:szCs w:val="20"/>
        </w:rPr>
      </w:pPr>
    </w:p>
    <w:p w14:paraId="756C6F99" w14:textId="77777777" w:rsidR="0050291C" w:rsidRPr="00173D16" w:rsidRDefault="0050291C" w:rsidP="00173D16">
      <w:pPr>
        <w:spacing w:after="0"/>
        <w:rPr>
          <w:b/>
          <w:bCs/>
          <w:highlight w:val="yellow"/>
        </w:rPr>
      </w:pPr>
      <w:r w:rsidRPr="00173D16">
        <w:rPr>
          <w:b/>
          <w:bCs/>
          <w:highlight w:val="yellow"/>
        </w:rPr>
        <w:t>Disclaimer (Artificial intelligence)</w:t>
      </w:r>
    </w:p>
    <w:p w14:paraId="265FCD6B" w14:textId="12240E6E" w:rsidR="00DD2F91" w:rsidRPr="00DD2F91" w:rsidRDefault="00DD2F91" w:rsidP="00173D16">
      <w:pPr>
        <w:spacing w:after="0"/>
        <w:rPr>
          <w:highlight w:val="yellow"/>
        </w:rPr>
      </w:pPr>
      <w:r w:rsidRPr="00DD2F91">
        <w:rPr>
          <w:highlight w:val="yellow"/>
        </w:rPr>
        <w:t xml:space="preserve">Author(s) hereby </w:t>
      </w:r>
      <w:r w:rsidRPr="00DD2F91">
        <w:rPr>
          <w:highlight w:val="yellow"/>
        </w:rPr>
        <w:t>declares</w:t>
      </w:r>
      <w:r w:rsidRPr="00DD2F91">
        <w:rPr>
          <w:highlight w:val="yellow"/>
        </w:rPr>
        <w:t xml:space="preserve"> that NO generative AI technologies such as Large Language Models (ChatGPT, COPILOT, etc.) and text-to-image generators have been used during the writing or editing of this manuscript. </w:t>
      </w:r>
    </w:p>
    <w:p w14:paraId="5C02456E" w14:textId="77777777" w:rsidR="0050291C" w:rsidRPr="00394842" w:rsidRDefault="0050291C" w:rsidP="00173D16">
      <w:pPr>
        <w:spacing w:after="0"/>
        <w:rPr>
          <w:highlight w:val="yellow"/>
        </w:rPr>
      </w:pPr>
    </w:p>
    <w:p w14:paraId="565E9931" w14:textId="77777777" w:rsidR="003105DE" w:rsidRPr="005F1ABB" w:rsidRDefault="003105DE" w:rsidP="003105DE">
      <w:pPr>
        <w:spacing w:after="0" w:line="240" w:lineRule="auto"/>
        <w:jc w:val="both"/>
        <w:rPr>
          <w:rFonts w:ascii="Arial" w:hAnsi="Arial" w:cs="Arial"/>
          <w:b/>
          <w:bCs/>
        </w:rPr>
      </w:pPr>
      <w:r w:rsidRPr="005F1ABB">
        <w:rPr>
          <w:rFonts w:ascii="Arial" w:hAnsi="Arial" w:cs="Arial"/>
          <w:b/>
          <w:bCs/>
        </w:rPr>
        <w:t>REFERENCES</w:t>
      </w:r>
    </w:p>
    <w:p w14:paraId="39D029FB" w14:textId="77777777" w:rsidR="0071640A" w:rsidRDefault="0071640A" w:rsidP="00564A1B">
      <w:pPr>
        <w:tabs>
          <w:tab w:val="left" w:pos="360"/>
        </w:tabs>
        <w:spacing w:after="0" w:line="240" w:lineRule="auto"/>
        <w:ind w:left="360" w:hanging="360"/>
        <w:jc w:val="both"/>
        <w:rPr>
          <w:rFonts w:ascii="Arial" w:hAnsi="Arial" w:cs="Arial"/>
          <w:sz w:val="20"/>
          <w:szCs w:val="20"/>
        </w:rPr>
      </w:pPr>
      <w:r w:rsidRPr="00564A1B">
        <w:rPr>
          <w:rFonts w:ascii="Arial" w:hAnsi="Arial" w:cs="Arial"/>
          <w:sz w:val="20"/>
          <w:szCs w:val="20"/>
        </w:rPr>
        <w:t xml:space="preserve">Abdulsalam, W., </w:t>
      </w:r>
      <w:proofErr w:type="spellStart"/>
      <w:r w:rsidRPr="00564A1B">
        <w:rPr>
          <w:rFonts w:ascii="Arial" w:hAnsi="Arial" w:cs="Arial"/>
          <w:sz w:val="20"/>
          <w:szCs w:val="20"/>
        </w:rPr>
        <w:t>Egena</w:t>
      </w:r>
      <w:proofErr w:type="spellEnd"/>
      <w:r w:rsidRPr="00564A1B">
        <w:rPr>
          <w:rFonts w:ascii="Arial" w:hAnsi="Arial" w:cs="Arial"/>
          <w:sz w:val="20"/>
          <w:szCs w:val="20"/>
        </w:rPr>
        <w:t xml:space="preserve">, S. S. A., &amp; </w:t>
      </w:r>
      <w:proofErr w:type="spellStart"/>
      <w:r w:rsidRPr="00564A1B">
        <w:rPr>
          <w:rFonts w:ascii="Arial" w:hAnsi="Arial" w:cs="Arial"/>
          <w:sz w:val="20"/>
          <w:szCs w:val="20"/>
        </w:rPr>
        <w:t>Otu</w:t>
      </w:r>
      <w:proofErr w:type="spellEnd"/>
      <w:r w:rsidRPr="00564A1B">
        <w:rPr>
          <w:rFonts w:ascii="Arial" w:hAnsi="Arial" w:cs="Arial"/>
          <w:sz w:val="20"/>
          <w:szCs w:val="20"/>
        </w:rPr>
        <w:t xml:space="preserve">, B. O. (2024). Relationship between scrotal circumference and androgen concentration as a predictor of White Fulani bull's fertility. </w:t>
      </w:r>
      <w:r w:rsidRPr="00564A1B">
        <w:rPr>
          <w:rFonts w:ascii="Arial" w:hAnsi="Arial" w:cs="Arial"/>
          <w:i/>
          <w:iCs/>
          <w:sz w:val="20"/>
          <w:szCs w:val="20"/>
        </w:rPr>
        <w:t>Journal of Arid Agriculture</w:t>
      </w:r>
      <w:r w:rsidRPr="00564A1B">
        <w:rPr>
          <w:rFonts w:ascii="Arial" w:hAnsi="Arial" w:cs="Arial"/>
          <w:sz w:val="20"/>
          <w:szCs w:val="20"/>
        </w:rPr>
        <w:t xml:space="preserve">, 8(1), 15-22. </w:t>
      </w:r>
      <w:hyperlink r:id="rId10" w:tgtFrame="_new" w:history="1">
        <w:r w:rsidRPr="00564A1B">
          <w:rPr>
            <w:rStyle w:val="Hyperlink"/>
            <w:rFonts w:ascii="Arial" w:hAnsi="Arial" w:cs="Arial"/>
            <w:sz w:val="20"/>
            <w:szCs w:val="20"/>
          </w:rPr>
          <w:t>https://doi.org/10.30911/jaa.2024.v8.i1.003</w:t>
        </w:r>
      </w:hyperlink>
    </w:p>
    <w:p w14:paraId="01E74C71"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Barth, A. D., &amp; Oko, R. J. (2019</w:t>
      </w:r>
      <w:r w:rsidRPr="00072DF1">
        <w:rPr>
          <w:rFonts w:ascii="Arial" w:hAnsi="Arial" w:cs="Arial"/>
          <w:i/>
          <w:iCs/>
          <w:sz w:val="20"/>
          <w:szCs w:val="20"/>
        </w:rPr>
        <w:t>). Abnormal morphology of bovine spermatozoa</w:t>
      </w:r>
      <w:r w:rsidRPr="00FB44BA">
        <w:rPr>
          <w:rFonts w:ascii="Arial" w:hAnsi="Arial" w:cs="Arial"/>
          <w:sz w:val="20"/>
          <w:szCs w:val="20"/>
        </w:rPr>
        <w:t xml:space="preserve"> (2nd ed.). Iowa State University Press. Note: This is a book publication; original edition published 1989</w:t>
      </w:r>
    </w:p>
    <w:p w14:paraId="216C3EC1"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Brito, L. F., Silva, A. E., </w:t>
      </w:r>
      <w:proofErr w:type="spellStart"/>
      <w:r w:rsidRPr="00FB44BA">
        <w:rPr>
          <w:rFonts w:ascii="Arial" w:hAnsi="Arial" w:cs="Arial"/>
          <w:sz w:val="20"/>
          <w:szCs w:val="20"/>
        </w:rPr>
        <w:t>Unanian</w:t>
      </w:r>
      <w:proofErr w:type="spellEnd"/>
      <w:r w:rsidRPr="00FB44BA">
        <w:rPr>
          <w:rFonts w:ascii="Arial" w:hAnsi="Arial" w:cs="Arial"/>
          <w:sz w:val="20"/>
          <w:szCs w:val="20"/>
        </w:rPr>
        <w:t xml:space="preserve">, M. M., Dode, M. A., Barbosa, R. T., &amp; Kastelic, J. P. (2020). Sexual development in early- and late-maturing Bos indicus and Bos indicus × Bos taurus crossbred bulls in Brazil. </w:t>
      </w:r>
      <w:r w:rsidRPr="00072DF1">
        <w:rPr>
          <w:rFonts w:ascii="Arial" w:hAnsi="Arial" w:cs="Arial"/>
          <w:i/>
          <w:iCs/>
          <w:sz w:val="20"/>
          <w:szCs w:val="20"/>
        </w:rPr>
        <w:t>Theriogenology</w:t>
      </w:r>
      <w:r w:rsidRPr="00FB44BA">
        <w:rPr>
          <w:rFonts w:ascii="Arial" w:hAnsi="Arial" w:cs="Arial"/>
          <w:sz w:val="20"/>
          <w:szCs w:val="20"/>
        </w:rPr>
        <w:t xml:space="preserve">, 74(6), 1072-1081. </w:t>
      </w:r>
      <w:hyperlink r:id="rId11" w:history="1">
        <w:r w:rsidRPr="00C6494E">
          <w:rPr>
            <w:rStyle w:val="Hyperlink"/>
            <w:rFonts w:ascii="Arial" w:hAnsi="Arial" w:cs="Arial"/>
            <w:sz w:val="20"/>
            <w:szCs w:val="20"/>
          </w:rPr>
          <w:t>https://doi.org/10.1016/j.theriogenology.2004.01.006</w:t>
        </w:r>
      </w:hyperlink>
      <w:r>
        <w:rPr>
          <w:rFonts w:ascii="Arial" w:hAnsi="Arial" w:cs="Arial"/>
          <w:sz w:val="20"/>
          <w:szCs w:val="20"/>
        </w:rPr>
        <w:t xml:space="preserve">   </w:t>
      </w:r>
    </w:p>
    <w:p w14:paraId="50B03254"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Chenoweth, P. J. (2020). Genetic sperm defects. Theriogenology, 64(3), 457-468. </w:t>
      </w:r>
      <w:hyperlink r:id="rId12" w:history="1">
        <w:r w:rsidRPr="00C6494E">
          <w:rPr>
            <w:rStyle w:val="Hyperlink"/>
            <w:rFonts w:ascii="Arial" w:hAnsi="Arial" w:cs="Arial"/>
            <w:sz w:val="20"/>
            <w:szCs w:val="20"/>
          </w:rPr>
          <w:t>https://doi.org/10.1016/j.theriogenology.2005.05.005</w:t>
        </w:r>
      </w:hyperlink>
      <w:r>
        <w:rPr>
          <w:rFonts w:ascii="Arial" w:hAnsi="Arial" w:cs="Arial"/>
          <w:sz w:val="20"/>
          <w:szCs w:val="20"/>
        </w:rPr>
        <w:t xml:space="preserve"> </w:t>
      </w:r>
    </w:p>
    <w:p w14:paraId="1287A48C" w14:textId="77777777" w:rsidR="0071640A" w:rsidRDefault="0071640A" w:rsidP="00564A1B">
      <w:pPr>
        <w:tabs>
          <w:tab w:val="left" w:pos="360"/>
        </w:tabs>
        <w:spacing w:after="0" w:line="240" w:lineRule="auto"/>
        <w:ind w:left="360" w:hanging="360"/>
        <w:rPr>
          <w:rFonts w:ascii="Arial" w:hAnsi="Arial" w:cs="Arial"/>
          <w:sz w:val="20"/>
          <w:szCs w:val="20"/>
        </w:rPr>
      </w:pPr>
      <w:proofErr w:type="spellStart"/>
      <w:r w:rsidRPr="00564A1B">
        <w:rPr>
          <w:rFonts w:ascii="Arial" w:hAnsi="Arial" w:cs="Arial"/>
          <w:sz w:val="20"/>
          <w:szCs w:val="20"/>
        </w:rPr>
        <w:t>Cotticelli</w:t>
      </w:r>
      <w:proofErr w:type="spellEnd"/>
      <w:r w:rsidRPr="00564A1B">
        <w:rPr>
          <w:rFonts w:ascii="Arial" w:hAnsi="Arial" w:cs="Arial"/>
          <w:sz w:val="20"/>
          <w:szCs w:val="20"/>
        </w:rPr>
        <w:t xml:space="preserve">, A., </w:t>
      </w:r>
      <w:proofErr w:type="spellStart"/>
      <w:r w:rsidRPr="00564A1B">
        <w:rPr>
          <w:rFonts w:ascii="Arial" w:hAnsi="Arial" w:cs="Arial"/>
          <w:sz w:val="20"/>
          <w:szCs w:val="20"/>
        </w:rPr>
        <w:t>Navas</w:t>
      </w:r>
      <w:proofErr w:type="spellEnd"/>
      <w:r w:rsidRPr="00564A1B">
        <w:rPr>
          <w:rFonts w:ascii="Arial" w:hAnsi="Arial" w:cs="Arial"/>
          <w:sz w:val="20"/>
          <w:szCs w:val="20"/>
        </w:rPr>
        <w:t xml:space="preserve">, L., Calabria, A., </w:t>
      </w:r>
      <w:proofErr w:type="spellStart"/>
      <w:r w:rsidRPr="00564A1B">
        <w:rPr>
          <w:rFonts w:ascii="Arial" w:hAnsi="Arial" w:cs="Arial"/>
          <w:sz w:val="20"/>
          <w:szCs w:val="20"/>
        </w:rPr>
        <w:t>Bifulco</w:t>
      </w:r>
      <w:proofErr w:type="spellEnd"/>
      <w:r w:rsidRPr="00564A1B">
        <w:rPr>
          <w:rFonts w:ascii="Arial" w:hAnsi="Arial" w:cs="Arial"/>
          <w:sz w:val="20"/>
          <w:szCs w:val="20"/>
        </w:rPr>
        <w:t xml:space="preserve">, G., &amp; Mennella, C. (2023). Incorporation of testicular ultrasonography and hair steroid concentrations in bull breeding soundness evaluation. </w:t>
      </w:r>
      <w:r w:rsidRPr="00564A1B">
        <w:rPr>
          <w:rFonts w:ascii="Arial" w:hAnsi="Arial" w:cs="Arial"/>
          <w:i/>
          <w:iCs/>
          <w:sz w:val="20"/>
          <w:szCs w:val="20"/>
        </w:rPr>
        <w:t>Veterinary Sciences</w:t>
      </w:r>
      <w:r w:rsidRPr="00564A1B">
        <w:rPr>
          <w:rFonts w:ascii="Arial" w:hAnsi="Arial" w:cs="Arial"/>
          <w:sz w:val="20"/>
          <w:szCs w:val="20"/>
        </w:rPr>
        <w:t xml:space="preserve">, 10(6), 373. </w:t>
      </w:r>
      <w:hyperlink r:id="rId13" w:tgtFrame="_new" w:history="1">
        <w:r w:rsidRPr="00564A1B">
          <w:rPr>
            <w:rStyle w:val="Hyperlink"/>
            <w:rFonts w:ascii="Arial" w:hAnsi="Arial" w:cs="Arial"/>
            <w:sz w:val="20"/>
            <w:szCs w:val="20"/>
          </w:rPr>
          <w:t>https://doi.org/10.3390/vetsci10060373</w:t>
        </w:r>
      </w:hyperlink>
      <w:r>
        <w:rPr>
          <w:rFonts w:ascii="Arial" w:hAnsi="Arial" w:cs="Arial"/>
          <w:sz w:val="20"/>
          <w:szCs w:val="20"/>
        </w:rPr>
        <w:t xml:space="preserve"> </w:t>
      </w:r>
    </w:p>
    <w:p w14:paraId="78C05524"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De </w:t>
      </w:r>
      <w:proofErr w:type="spellStart"/>
      <w:r w:rsidRPr="00FB44BA">
        <w:rPr>
          <w:rFonts w:ascii="Arial" w:hAnsi="Arial" w:cs="Arial"/>
          <w:sz w:val="20"/>
          <w:szCs w:val="20"/>
        </w:rPr>
        <w:t>Rensis</w:t>
      </w:r>
      <w:proofErr w:type="spellEnd"/>
      <w:r w:rsidRPr="00FB44BA">
        <w:rPr>
          <w:rFonts w:ascii="Arial" w:hAnsi="Arial" w:cs="Arial"/>
          <w:sz w:val="20"/>
          <w:szCs w:val="20"/>
        </w:rPr>
        <w:t>, F., &amp; Scaramuzzi, R. J. (2003). Heat stress and seasonal effects on reproduction in the dairy cow—A review</w:t>
      </w:r>
      <w:r w:rsidRPr="006E68B3">
        <w:rPr>
          <w:rFonts w:ascii="Arial" w:hAnsi="Arial" w:cs="Arial"/>
          <w:i/>
          <w:iCs/>
          <w:sz w:val="20"/>
          <w:szCs w:val="20"/>
        </w:rPr>
        <w:t>. Theriogenology</w:t>
      </w:r>
      <w:r w:rsidRPr="00FB44BA">
        <w:rPr>
          <w:rFonts w:ascii="Arial" w:hAnsi="Arial" w:cs="Arial"/>
          <w:sz w:val="20"/>
          <w:szCs w:val="20"/>
        </w:rPr>
        <w:t xml:space="preserve">, 60(6), 1139-1151. </w:t>
      </w:r>
      <w:hyperlink r:id="rId14" w:history="1">
        <w:r w:rsidRPr="00C6494E">
          <w:rPr>
            <w:rStyle w:val="Hyperlink"/>
            <w:rFonts w:ascii="Arial" w:hAnsi="Arial" w:cs="Arial"/>
            <w:sz w:val="20"/>
            <w:szCs w:val="20"/>
          </w:rPr>
          <w:t>https://doi.org/10.1016/S0093-691X(03)00126-2</w:t>
        </w:r>
      </w:hyperlink>
      <w:r>
        <w:rPr>
          <w:rFonts w:ascii="Arial" w:hAnsi="Arial" w:cs="Arial"/>
          <w:sz w:val="20"/>
          <w:szCs w:val="20"/>
        </w:rPr>
        <w:t xml:space="preserve"> </w:t>
      </w:r>
    </w:p>
    <w:p w14:paraId="058F2E75"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Evans, A. C., Davies, F. J., Nasser, L. F., Bowman, P., &amp; Rawlings, N. C. (2020). Differences in early patterns of gonadotrophin secretion between early and late maturing bulls, and changes in semen characteristics at puberty. </w:t>
      </w:r>
      <w:r w:rsidRPr="006E68B3">
        <w:rPr>
          <w:rFonts w:ascii="Arial" w:hAnsi="Arial" w:cs="Arial"/>
          <w:i/>
          <w:iCs/>
          <w:sz w:val="20"/>
          <w:szCs w:val="20"/>
        </w:rPr>
        <w:t>Theriogenology,</w:t>
      </w:r>
      <w:r w:rsidRPr="00FB44BA">
        <w:rPr>
          <w:rFonts w:ascii="Arial" w:hAnsi="Arial" w:cs="Arial"/>
          <w:sz w:val="20"/>
          <w:szCs w:val="20"/>
        </w:rPr>
        <w:t xml:space="preserve"> 43(3), 569-578. </w:t>
      </w:r>
      <w:hyperlink r:id="rId15" w:history="1">
        <w:r w:rsidRPr="00C6494E">
          <w:rPr>
            <w:rStyle w:val="Hyperlink"/>
            <w:rFonts w:ascii="Arial" w:hAnsi="Arial" w:cs="Arial"/>
            <w:sz w:val="20"/>
            <w:szCs w:val="20"/>
          </w:rPr>
          <w:t>https://doi.org/10.1016/0093-691X(94)00254-D</w:t>
        </w:r>
      </w:hyperlink>
      <w:r>
        <w:rPr>
          <w:rFonts w:ascii="Arial" w:hAnsi="Arial" w:cs="Arial"/>
          <w:sz w:val="20"/>
          <w:szCs w:val="20"/>
        </w:rPr>
        <w:t xml:space="preserve"> </w:t>
      </w:r>
    </w:p>
    <w:p w14:paraId="60F5F307"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Fields, M. J., Burns, W. C., &amp; Warnick, A. C. (2018). Age, season and breed effects on testicular volume and semen traits in young beef bulls. </w:t>
      </w:r>
      <w:r w:rsidRPr="006E68B3">
        <w:rPr>
          <w:rFonts w:ascii="Arial" w:hAnsi="Arial" w:cs="Arial"/>
          <w:i/>
          <w:iCs/>
          <w:sz w:val="20"/>
          <w:szCs w:val="20"/>
        </w:rPr>
        <w:t>Journal of Animal Science</w:t>
      </w:r>
      <w:r w:rsidRPr="00FB44BA">
        <w:rPr>
          <w:rFonts w:ascii="Arial" w:hAnsi="Arial" w:cs="Arial"/>
          <w:sz w:val="20"/>
          <w:szCs w:val="20"/>
        </w:rPr>
        <w:t xml:space="preserve">, 48(6), 1299-1304. </w:t>
      </w:r>
      <w:hyperlink r:id="rId16" w:history="1">
        <w:r w:rsidRPr="00C6494E">
          <w:rPr>
            <w:rStyle w:val="Hyperlink"/>
            <w:rFonts w:ascii="Arial" w:hAnsi="Arial" w:cs="Arial"/>
            <w:sz w:val="20"/>
            <w:szCs w:val="20"/>
          </w:rPr>
          <w:t>https://doi.org/10.2527/jas1979.4861299x</w:t>
        </w:r>
      </w:hyperlink>
      <w:r>
        <w:rPr>
          <w:rFonts w:ascii="Arial" w:hAnsi="Arial" w:cs="Arial"/>
          <w:sz w:val="20"/>
          <w:szCs w:val="20"/>
        </w:rPr>
        <w:t xml:space="preserve"> </w:t>
      </w:r>
    </w:p>
    <w:p w14:paraId="56793A0B"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Fraser, D., Weary, D. M., Pajor, E. A., &amp; Milligan, B. N. (2021). A scientific conception of animal welfare that reflects ethical concerns. </w:t>
      </w:r>
      <w:r w:rsidRPr="006E68B3">
        <w:rPr>
          <w:rFonts w:ascii="Arial" w:hAnsi="Arial" w:cs="Arial"/>
          <w:i/>
          <w:iCs/>
          <w:sz w:val="20"/>
          <w:szCs w:val="20"/>
        </w:rPr>
        <w:t>Animal Welfare</w:t>
      </w:r>
      <w:r w:rsidRPr="00FB44BA">
        <w:rPr>
          <w:rFonts w:ascii="Arial" w:hAnsi="Arial" w:cs="Arial"/>
          <w:sz w:val="20"/>
          <w:szCs w:val="20"/>
        </w:rPr>
        <w:t xml:space="preserve">, 6(3), 187-205. </w:t>
      </w:r>
      <w:hyperlink r:id="rId17" w:history="1">
        <w:r w:rsidRPr="00C6494E">
          <w:rPr>
            <w:rStyle w:val="Hyperlink"/>
            <w:rFonts w:ascii="Arial" w:hAnsi="Arial" w:cs="Arial"/>
            <w:sz w:val="20"/>
            <w:szCs w:val="20"/>
          </w:rPr>
          <w:t>https://doi.org/10.1017/S0962728600019795</w:t>
        </w:r>
      </w:hyperlink>
      <w:r>
        <w:rPr>
          <w:rFonts w:ascii="Arial" w:hAnsi="Arial" w:cs="Arial"/>
          <w:sz w:val="20"/>
          <w:szCs w:val="20"/>
        </w:rPr>
        <w:t xml:space="preserve"> </w:t>
      </w:r>
    </w:p>
    <w:p w14:paraId="03B4A46C"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Ghana Meteorological Agency. (2020). </w:t>
      </w:r>
      <w:r w:rsidRPr="006E68B3">
        <w:rPr>
          <w:rFonts w:ascii="Arial" w:hAnsi="Arial" w:cs="Arial"/>
          <w:i/>
          <w:iCs/>
          <w:sz w:val="20"/>
          <w:szCs w:val="20"/>
        </w:rPr>
        <w:t>Climate data summary for Ghana 2015-2020</w:t>
      </w:r>
      <w:r w:rsidRPr="00FB44BA">
        <w:rPr>
          <w:rFonts w:ascii="Arial" w:hAnsi="Arial" w:cs="Arial"/>
          <w:sz w:val="20"/>
          <w:szCs w:val="20"/>
        </w:rPr>
        <w:t>. Ghana Meteorological Agency</w:t>
      </w:r>
      <w:r>
        <w:rPr>
          <w:rFonts w:ascii="Arial" w:hAnsi="Arial" w:cs="Arial"/>
          <w:sz w:val="20"/>
          <w:szCs w:val="20"/>
        </w:rPr>
        <w:t>.</w:t>
      </w:r>
    </w:p>
    <w:p w14:paraId="44147057"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Gottschall, C. S., Mattos, R. C., &amp; Gregory, R. M. (2021). Testicular development and sperm production in beef bulls. </w:t>
      </w:r>
      <w:proofErr w:type="spellStart"/>
      <w:r w:rsidRPr="006E68B3">
        <w:rPr>
          <w:rFonts w:ascii="Arial" w:hAnsi="Arial" w:cs="Arial"/>
          <w:i/>
          <w:iCs/>
          <w:sz w:val="20"/>
          <w:szCs w:val="20"/>
        </w:rPr>
        <w:t>Revista</w:t>
      </w:r>
      <w:proofErr w:type="spellEnd"/>
      <w:r w:rsidRPr="006E68B3">
        <w:rPr>
          <w:rFonts w:ascii="Arial" w:hAnsi="Arial" w:cs="Arial"/>
          <w:i/>
          <w:iCs/>
          <w:sz w:val="20"/>
          <w:szCs w:val="20"/>
        </w:rPr>
        <w:t xml:space="preserve"> </w:t>
      </w:r>
      <w:proofErr w:type="spellStart"/>
      <w:r w:rsidRPr="006E68B3">
        <w:rPr>
          <w:rFonts w:ascii="Arial" w:hAnsi="Arial" w:cs="Arial"/>
          <w:i/>
          <w:iCs/>
          <w:sz w:val="20"/>
          <w:szCs w:val="20"/>
        </w:rPr>
        <w:t>Brasileira</w:t>
      </w:r>
      <w:proofErr w:type="spellEnd"/>
      <w:r w:rsidRPr="006E68B3">
        <w:rPr>
          <w:rFonts w:ascii="Arial" w:hAnsi="Arial" w:cs="Arial"/>
          <w:i/>
          <w:iCs/>
          <w:sz w:val="20"/>
          <w:szCs w:val="20"/>
        </w:rPr>
        <w:t xml:space="preserve"> de </w:t>
      </w:r>
      <w:proofErr w:type="spellStart"/>
      <w:r w:rsidRPr="006E68B3">
        <w:rPr>
          <w:rFonts w:ascii="Arial" w:hAnsi="Arial" w:cs="Arial"/>
          <w:i/>
          <w:iCs/>
          <w:sz w:val="20"/>
          <w:szCs w:val="20"/>
        </w:rPr>
        <w:t>Reprodução</w:t>
      </w:r>
      <w:proofErr w:type="spellEnd"/>
      <w:r w:rsidRPr="006E68B3">
        <w:rPr>
          <w:rFonts w:ascii="Arial" w:hAnsi="Arial" w:cs="Arial"/>
          <w:i/>
          <w:iCs/>
          <w:sz w:val="20"/>
          <w:szCs w:val="20"/>
        </w:rPr>
        <w:t xml:space="preserve"> Animal</w:t>
      </w:r>
      <w:r w:rsidRPr="00FB44BA">
        <w:rPr>
          <w:rFonts w:ascii="Arial" w:hAnsi="Arial" w:cs="Arial"/>
          <w:sz w:val="20"/>
          <w:szCs w:val="20"/>
        </w:rPr>
        <w:t>, 21(1), 12-18</w:t>
      </w:r>
      <w:r>
        <w:rPr>
          <w:rFonts w:ascii="Arial" w:hAnsi="Arial" w:cs="Arial"/>
          <w:sz w:val="20"/>
          <w:szCs w:val="20"/>
        </w:rPr>
        <w:t>.</w:t>
      </w:r>
    </w:p>
    <w:p w14:paraId="5F26A0C8"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Hafez, B., &amp; Hafez, E. S. (2020). </w:t>
      </w:r>
      <w:r w:rsidRPr="00B24DE2">
        <w:rPr>
          <w:rFonts w:ascii="Arial" w:hAnsi="Arial" w:cs="Arial"/>
          <w:i/>
          <w:iCs/>
          <w:sz w:val="20"/>
          <w:szCs w:val="20"/>
        </w:rPr>
        <w:t>Reproduction in farm animals</w:t>
      </w:r>
      <w:r w:rsidRPr="00FB44BA">
        <w:rPr>
          <w:rFonts w:ascii="Arial" w:hAnsi="Arial" w:cs="Arial"/>
          <w:sz w:val="20"/>
          <w:szCs w:val="20"/>
        </w:rPr>
        <w:t xml:space="preserve"> (8th ed.). Lippincott Williams &amp; Wilkins. </w:t>
      </w:r>
    </w:p>
    <w:p w14:paraId="67F2F710"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lastRenderedPageBreak/>
        <w:t>Kastelic</w:t>
      </w:r>
      <w:proofErr w:type="spellEnd"/>
      <w:r w:rsidRPr="00FB44BA">
        <w:rPr>
          <w:rFonts w:ascii="Arial" w:hAnsi="Arial" w:cs="Arial"/>
          <w:sz w:val="20"/>
          <w:szCs w:val="20"/>
        </w:rPr>
        <w:t xml:space="preserve">, J. P. (2019). Understanding and evaluating bovine testes. </w:t>
      </w:r>
      <w:r w:rsidRPr="00B24DE2">
        <w:rPr>
          <w:rFonts w:ascii="Arial" w:hAnsi="Arial" w:cs="Arial"/>
          <w:i/>
          <w:iCs/>
          <w:sz w:val="20"/>
          <w:szCs w:val="20"/>
        </w:rPr>
        <w:t>Theriogenology</w:t>
      </w:r>
      <w:r w:rsidRPr="00FB44BA">
        <w:rPr>
          <w:rFonts w:ascii="Arial" w:hAnsi="Arial" w:cs="Arial"/>
          <w:sz w:val="20"/>
          <w:szCs w:val="20"/>
        </w:rPr>
        <w:t xml:space="preserve">, 70(3), 533-540. </w:t>
      </w:r>
      <w:hyperlink r:id="rId18" w:history="1">
        <w:r w:rsidRPr="00C6494E">
          <w:rPr>
            <w:rStyle w:val="Hyperlink"/>
            <w:rFonts w:ascii="Arial" w:hAnsi="Arial" w:cs="Arial"/>
            <w:sz w:val="20"/>
            <w:szCs w:val="20"/>
          </w:rPr>
          <w:t>https://doi.org/10.1016/j.theriogenology.2013.09.001</w:t>
        </w:r>
      </w:hyperlink>
      <w:r>
        <w:rPr>
          <w:rFonts w:ascii="Arial" w:hAnsi="Arial" w:cs="Arial"/>
          <w:sz w:val="20"/>
          <w:szCs w:val="20"/>
        </w:rPr>
        <w:t xml:space="preserve"> </w:t>
      </w:r>
    </w:p>
    <w:p w14:paraId="6EFD1BEB"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t>Lunstra</w:t>
      </w:r>
      <w:proofErr w:type="spellEnd"/>
      <w:r w:rsidRPr="00FB44BA">
        <w:rPr>
          <w:rFonts w:ascii="Arial" w:hAnsi="Arial" w:cs="Arial"/>
          <w:sz w:val="20"/>
          <w:szCs w:val="20"/>
        </w:rPr>
        <w:t xml:space="preserve">, D. D., Ford, J. J., &amp; </w:t>
      </w:r>
      <w:proofErr w:type="spellStart"/>
      <w:r w:rsidRPr="00FB44BA">
        <w:rPr>
          <w:rFonts w:ascii="Arial" w:hAnsi="Arial" w:cs="Arial"/>
          <w:sz w:val="20"/>
          <w:szCs w:val="20"/>
        </w:rPr>
        <w:t>Echternkamp</w:t>
      </w:r>
      <w:proofErr w:type="spellEnd"/>
      <w:r w:rsidRPr="00FB44BA">
        <w:rPr>
          <w:rFonts w:ascii="Arial" w:hAnsi="Arial" w:cs="Arial"/>
          <w:sz w:val="20"/>
          <w:szCs w:val="20"/>
        </w:rPr>
        <w:t xml:space="preserve">, S. E. (2018). Puberty in beef bulls: Hormone concentrations, growth, testicular development, sperm production and sexual aggressiveness in bulls of different breeds. </w:t>
      </w:r>
      <w:r w:rsidRPr="00B24DE2">
        <w:rPr>
          <w:rFonts w:ascii="Arial" w:hAnsi="Arial" w:cs="Arial"/>
          <w:i/>
          <w:iCs/>
          <w:sz w:val="20"/>
          <w:szCs w:val="20"/>
        </w:rPr>
        <w:t>Journal of Animal Science,</w:t>
      </w:r>
      <w:r w:rsidRPr="00FB44BA">
        <w:rPr>
          <w:rFonts w:ascii="Arial" w:hAnsi="Arial" w:cs="Arial"/>
          <w:sz w:val="20"/>
          <w:szCs w:val="20"/>
        </w:rPr>
        <w:t xml:space="preserve"> 56(5), 1108-1121. </w:t>
      </w:r>
      <w:hyperlink r:id="rId19" w:history="1">
        <w:r w:rsidRPr="00C6494E">
          <w:rPr>
            <w:rStyle w:val="Hyperlink"/>
            <w:rFonts w:ascii="Arial" w:hAnsi="Arial" w:cs="Arial"/>
            <w:sz w:val="20"/>
            <w:szCs w:val="20"/>
          </w:rPr>
          <w:t>https://doi.org/10.2527/jas1978.4651054x</w:t>
        </w:r>
      </w:hyperlink>
      <w:r>
        <w:rPr>
          <w:rFonts w:ascii="Arial" w:hAnsi="Arial" w:cs="Arial"/>
          <w:sz w:val="20"/>
          <w:szCs w:val="20"/>
        </w:rPr>
        <w:t xml:space="preserve"> </w:t>
      </w:r>
    </w:p>
    <w:p w14:paraId="7F24F0EA"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Mahmoud, K. G., El-</w:t>
      </w:r>
      <w:proofErr w:type="spellStart"/>
      <w:r w:rsidRPr="00FB44BA">
        <w:rPr>
          <w:rFonts w:ascii="Arial" w:hAnsi="Arial" w:cs="Arial"/>
          <w:sz w:val="20"/>
          <w:szCs w:val="20"/>
        </w:rPr>
        <w:t>Sokary</w:t>
      </w:r>
      <w:proofErr w:type="spellEnd"/>
      <w:r w:rsidRPr="00FB44BA">
        <w:rPr>
          <w:rFonts w:ascii="Arial" w:hAnsi="Arial" w:cs="Arial"/>
          <w:sz w:val="20"/>
          <w:szCs w:val="20"/>
        </w:rPr>
        <w:t>, A. A., Abou El-</w:t>
      </w:r>
      <w:proofErr w:type="spellStart"/>
      <w:r w:rsidRPr="00FB44BA">
        <w:rPr>
          <w:rFonts w:ascii="Arial" w:hAnsi="Arial" w:cs="Arial"/>
          <w:sz w:val="20"/>
          <w:szCs w:val="20"/>
        </w:rPr>
        <w:t>Roos</w:t>
      </w:r>
      <w:proofErr w:type="spellEnd"/>
      <w:r w:rsidRPr="00FB44BA">
        <w:rPr>
          <w:rFonts w:ascii="Arial" w:hAnsi="Arial" w:cs="Arial"/>
          <w:sz w:val="20"/>
          <w:szCs w:val="20"/>
        </w:rPr>
        <w:t xml:space="preserve">, M. E., &amp; Ghazi, Y. A. (2019). Reproductive performance of Holstein bulls: Effect of age, season and management system. </w:t>
      </w:r>
      <w:r w:rsidRPr="00B24DE2">
        <w:rPr>
          <w:rFonts w:ascii="Arial" w:hAnsi="Arial" w:cs="Arial"/>
          <w:i/>
          <w:iCs/>
          <w:sz w:val="20"/>
          <w:szCs w:val="20"/>
        </w:rPr>
        <w:t>Animal Reproduction Science</w:t>
      </w:r>
      <w:r w:rsidRPr="00FB44BA">
        <w:rPr>
          <w:rFonts w:ascii="Arial" w:hAnsi="Arial" w:cs="Arial"/>
          <w:sz w:val="20"/>
          <w:szCs w:val="20"/>
        </w:rPr>
        <w:t xml:space="preserve">, 124(1-2), 23-29. </w:t>
      </w:r>
    </w:p>
    <w:p w14:paraId="473B4C99"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Moura, A. A., &amp; Erickson, B. H. (2021). Age-related changes in peripheral hormone concentrations and their relationships with testis size and number of Sertoli and germ cells in yearling beef bulls. </w:t>
      </w:r>
      <w:r w:rsidRPr="00B24DE2">
        <w:rPr>
          <w:rFonts w:ascii="Arial" w:hAnsi="Arial" w:cs="Arial"/>
          <w:i/>
          <w:iCs/>
          <w:sz w:val="20"/>
          <w:szCs w:val="20"/>
        </w:rPr>
        <w:t>Journal of Reproduction and Fertility,</w:t>
      </w:r>
      <w:r w:rsidRPr="00FB44BA">
        <w:rPr>
          <w:rFonts w:ascii="Arial" w:hAnsi="Arial" w:cs="Arial"/>
          <w:sz w:val="20"/>
          <w:szCs w:val="20"/>
        </w:rPr>
        <w:t xml:space="preserve"> 111(2), 183-190. </w:t>
      </w:r>
      <w:hyperlink r:id="rId20" w:history="1">
        <w:r w:rsidRPr="00C6494E">
          <w:rPr>
            <w:rStyle w:val="Hyperlink"/>
            <w:rFonts w:ascii="Arial" w:hAnsi="Arial" w:cs="Arial"/>
            <w:sz w:val="20"/>
            <w:szCs w:val="20"/>
          </w:rPr>
          <w:t>https://doi.org/10.1530/jrf.0.1110183</w:t>
        </w:r>
      </w:hyperlink>
      <w:r>
        <w:rPr>
          <w:rFonts w:ascii="Arial" w:hAnsi="Arial" w:cs="Arial"/>
          <w:sz w:val="20"/>
          <w:szCs w:val="20"/>
        </w:rPr>
        <w:t xml:space="preserve"> </w:t>
      </w:r>
    </w:p>
    <w:p w14:paraId="48F672B5"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Palmer, C. W., Brito, L. F., Arteaga, A. A., Söderquist, L., Persson, Y., &amp; Barth, A. D. (2020). Comparison of electroejaculation and transrectal massage for semen collection in range and yearling feedlot beef bulls. </w:t>
      </w:r>
      <w:r w:rsidRPr="00B24DE2">
        <w:rPr>
          <w:rFonts w:ascii="Arial" w:hAnsi="Arial" w:cs="Arial"/>
          <w:i/>
          <w:iCs/>
          <w:sz w:val="20"/>
          <w:szCs w:val="20"/>
        </w:rPr>
        <w:t>Animal Reproduction Science</w:t>
      </w:r>
      <w:r w:rsidRPr="00FB44BA">
        <w:rPr>
          <w:rFonts w:ascii="Arial" w:hAnsi="Arial" w:cs="Arial"/>
          <w:sz w:val="20"/>
          <w:szCs w:val="20"/>
        </w:rPr>
        <w:t xml:space="preserve">, 87(1-2), 25-31. </w:t>
      </w:r>
      <w:hyperlink r:id="rId21" w:history="1">
        <w:r w:rsidRPr="00C6494E">
          <w:rPr>
            <w:rStyle w:val="Hyperlink"/>
            <w:rFonts w:ascii="Arial" w:hAnsi="Arial" w:cs="Arial"/>
            <w:sz w:val="20"/>
            <w:szCs w:val="20"/>
          </w:rPr>
          <w:t>https://doi.org/10.1016/j.anireprosci.2004.11.005</w:t>
        </w:r>
      </w:hyperlink>
      <w:r>
        <w:rPr>
          <w:rFonts w:ascii="Arial" w:hAnsi="Arial" w:cs="Arial"/>
          <w:sz w:val="20"/>
          <w:szCs w:val="20"/>
        </w:rPr>
        <w:t xml:space="preserve"> </w:t>
      </w:r>
    </w:p>
    <w:p w14:paraId="319B5D86" w14:textId="77777777" w:rsidR="0071640A" w:rsidRPr="00FB44BA" w:rsidRDefault="0071640A" w:rsidP="00FB44BA">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Prakash, A., Kumar, V., Ahmad, T., Bharti, P., &amp; Kumar, A. (2021). Validation of commercial enzyme immunoassays for reproductive hormone analysis in bovines: A comprehensive review. </w:t>
      </w:r>
      <w:r w:rsidRPr="00B24DE2">
        <w:rPr>
          <w:rFonts w:ascii="Arial" w:hAnsi="Arial" w:cs="Arial"/>
          <w:i/>
          <w:iCs/>
          <w:sz w:val="20"/>
          <w:szCs w:val="20"/>
        </w:rPr>
        <w:t>Animal Reproduction Science</w:t>
      </w:r>
      <w:r w:rsidRPr="00FB44BA">
        <w:rPr>
          <w:rFonts w:ascii="Arial" w:hAnsi="Arial" w:cs="Arial"/>
          <w:sz w:val="20"/>
          <w:szCs w:val="20"/>
        </w:rPr>
        <w:t xml:space="preserve">, 225, 106685. </w:t>
      </w:r>
      <w:hyperlink r:id="rId22" w:history="1">
        <w:r w:rsidRPr="00C6494E">
          <w:rPr>
            <w:rStyle w:val="Hyperlink"/>
            <w:rFonts w:ascii="Arial" w:hAnsi="Arial" w:cs="Arial"/>
            <w:sz w:val="20"/>
            <w:szCs w:val="20"/>
          </w:rPr>
          <w:t>https://doi.org/10.1016/j.anireprosci.2021.106685</w:t>
        </w:r>
      </w:hyperlink>
      <w:r>
        <w:rPr>
          <w:rFonts w:ascii="Arial" w:hAnsi="Arial" w:cs="Arial"/>
          <w:sz w:val="20"/>
          <w:szCs w:val="20"/>
        </w:rPr>
        <w:t xml:space="preserve"> </w:t>
      </w:r>
    </w:p>
    <w:p w14:paraId="305FBA5E" w14:textId="77777777" w:rsidR="0071640A" w:rsidRPr="00FB44BA" w:rsidRDefault="0071640A"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Rawlings, N. C., Evans, A. C., </w:t>
      </w:r>
      <w:proofErr w:type="spellStart"/>
      <w:r w:rsidRPr="00FB44BA">
        <w:rPr>
          <w:rFonts w:ascii="Arial" w:hAnsi="Arial" w:cs="Arial"/>
          <w:sz w:val="20"/>
          <w:szCs w:val="20"/>
        </w:rPr>
        <w:t>Chandolia</w:t>
      </w:r>
      <w:proofErr w:type="spellEnd"/>
      <w:r w:rsidRPr="00FB44BA">
        <w:rPr>
          <w:rFonts w:ascii="Arial" w:hAnsi="Arial" w:cs="Arial"/>
          <w:sz w:val="20"/>
          <w:szCs w:val="20"/>
        </w:rPr>
        <w:t xml:space="preserve">, R. K., &amp; Bagu, E. T. (2020). Sexual maturation in the bull. </w:t>
      </w:r>
      <w:r w:rsidRPr="00B24DE2">
        <w:rPr>
          <w:rFonts w:ascii="Arial" w:hAnsi="Arial" w:cs="Arial"/>
          <w:i/>
          <w:iCs/>
          <w:sz w:val="20"/>
          <w:szCs w:val="20"/>
        </w:rPr>
        <w:t>Reproduction in Domestic Animal</w:t>
      </w:r>
      <w:r w:rsidRPr="00FB44BA">
        <w:rPr>
          <w:rFonts w:ascii="Arial" w:hAnsi="Arial" w:cs="Arial"/>
          <w:sz w:val="20"/>
          <w:szCs w:val="20"/>
        </w:rPr>
        <w:t xml:space="preserve">s, 43(Suppl 2), 295-301. </w:t>
      </w:r>
      <w:hyperlink r:id="rId23" w:history="1">
        <w:r w:rsidRPr="00C6494E">
          <w:rPr>
            <w:rStyle w:val="Hyperlink"/>
            <w:rFonts w:ascii="Arial" w:hAnsi="Arial" w:cs="Arial"/>
            <w:sz w:val="20"/>
            <w:szCs w:val="20"/>
          </w:rPr>
          <w:t>https://doi.org/10.1111/j.1439-0531.2008.01177.x</w:t>
        </w:r>
      </w:hyperlink>
      <w:r>
        <w:rPr>
          <w:rFonts w:ascii="Arial" w:hAnsi="Arial" w:cs="Arial"/>
          <w:sz w:val="20"/>
          <w:szCs w:val="20"/>
        </w:rPr>
        <w:t xml:space="preserve"> </w:t>
      </w:r>
    </w:p>
    <w:p w14:paraId="637D7612" w14:textId="77777777" w:rsidR="0071640A" w:rsidRPr="00FB44BA" w:rsidRDefault="0071640A"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Rodriguez-Martinez, H. (2018). Laboratory semen assessment and prediction of fertility: Still utopia? </w:t>
      </w:r>
      <w:r w:rsidRPr="00B24DE2">
        <w:rPr>
          <w:rFonts w:ascii="Arial" w:hAnsi="Arial" w:cs="Arial"/>
          <w:i/>
          <w:iCs/>
          <w:sz w:val="20"/>
          <w:szCs w:val="20"/>
        </w:rPr>
        <w:t>Reproduction in Domestic Animals</w:t>
      </w:r>
      <w:r w:rsidRPr="00FB44BA">
        <w:rPr>
          <w:rFonts w:ascii="Arial" w:hAnsi="Arial" w:cs="Arial"/>
          <w:sz w:val="20"/>
          <w:szCs w:val="20"/>
        </w:rPr>
        <w:t xml:space="preserve">, 38(4), 312-318. </w:t>
      </w:r>
      <w:hyperlink r:id="rId24" w:history="1">
        <w:r w:rsidRPr="00C6494E">
          <w:rPr>
            <w:rStyle w:val="Hyperlink"/>
            <w:rFonts w:ascii="Arial" w:hAnsi="Arial" w:cs="Arial"/>
            <w:sz w:val="20"/>
            <w:szCs w:val="20"/>
          </w:rPr>
          <w:t>https://doi.org/10.1046/j.1439-0531.2003.00436.x</w:t>
        </w:r>
      </w:hyperlink>
      <w:r>
        <w:rPr>
          <w:rFonts w:ascii="Arial" w:hAnsi="Arial" w:cs="Arial"/>
          <w:sz w:val="20"/>
          <w:szCs w:val="20"/>
        </w:rPr>
        <w:t xml:space="preserve"> </w:t>
      </w:r>
    </w:p>
    <w:p w14:paraId="5F278D25" w14:textId="77777777" w:rsidR="0071640A" w:rsidRPr="00B24DE2" w:rsidRDefault="0071640A" w:rsidP="00B24DE2">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t>Saacke</w:t>
      </w:r>
      <w:proofErr w:type="spellEnd"/>
      <w:r w:rsidRPr="00FB44BA">
        <w:rPr>
          <w:rFonts w:ascii="Arial" w:hAnsi="Arial" w:cs="Arial"/>
          <w:sz w:val="20"/>
          <w:szCs w:val="20"/>
        </w:rPr>
        <w:t xml:space="preserve">, R. G., Nadir, S., &amp; Nebel, R. L. (2019). Relationship of semen quality to sperm </w:t>
      </w:r>
      <w:proofErr w:type="spellStart"/>
      <w:proofErr w:type="gramStart"/>
      <w:r w:rsidRPr="00FB44BA">
        <w:rPr>
          <w:rFonts w:ascii="Arial" w:hAnsi="Arial" w:cs="Arial"/>
          <w:sz w:val="20"/>
          <w:szCs w:val="20"/>
        </w:rPr>
        <w:t>transport,fertilization</w:t>
      </w:r>
      <w:proofErr w:type="spellEnd"/>
      <w:proofErr w:type="gramEnd"/>
      <w:r w:rsidRPr="00FB44BA">
        <w:rPr>
          <w:rFonts w:ascii="Arial" w:hAnsi="Arial" w:cs="Arial"/>
          <w:sz w:val="20"/>
          <w:szCs w:val="20"/>
        </w:rPr>
        <w:t xml:space="preserve">, and embryo quality in ruminants. </w:t>
      </w:r>
      <w:r w:rsidRPr="00B24DE2">
        <w:rPr>
          <w:rFonts w:ascii="Arial" w:hAnsi="Arial" w:cs="Arial"/>
          <w:i/>
          <w:iCs/>
          <w:sz w:val="20"/>
          <w:szCs w:val="20"/>
        </w:rPr>
        <w:t xml:space="preserve">Theriogenology, </w:t>
      </w:r>
      <w:r w:rsidRPr="00B24DE2">
        <w:rPr>
          <w:rFonts w:ascii="Arial" w:hAnsi="Arial" w:cs="Arial"/>
          <w:sz w:val="20"/>
          <w:szCs w:val="20"/>
        </w:rPr>
        <w:t xml:space="preserve">29(2), 407-418. </w:t>
      </w:r>
      <w:hyperlink r:id="rId25" w:history="1">
        <w:r w:rsidRPr="00B24DE2">
          <w:rPr>
            <w:rStyle w:val="Hyperlink"/>
            <w:rFonts w:ascii="Arial" w:hAnsi="Arial" w:cs="Arial"/>
            <w:sz w:val="20"/>
            <w:szCs w:val="20"/>
          </w:rPr>
          <w:t>https://doi.org/10.1016/0093-691X(88)90167-8</w:t>
        </w:r>
      </w:hyperlink>
      <w:r w:rsidRPr="00B24DE2">
        <w:rPr>
          <w:rFonts w:ascii="Arial" w:hAnsi="Arial" w:cs="Arial"/>
          <w:sz w:val="20"/>
          <w:szCs w:val="20"/>
        </w:rPr>
        <w:t xml:space="preserve"> </w:t>
      </w:r>
    </w:p>
    <w:p w14:paraId="0B5EA0E8" w14:textId="77777777" w:rsidR="0071640A" w:rsidRPr="00FB44BA" w:rsidRDefault="0071640A"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Santos, J. E., </w:t>
      </w:r>
      <w:proofErr w:type="spellStart"/>
      <w:r w:rsidRPr="00FB44BA">
        <w:rPr>
          <w:rFonts w:ascii="Arial" w:hAnsi="Arial" w:cs="Arial"/>
          <w:sz w:val="20"/>
          <w:szCs w:val="20"/>
        </w:rPr>
        <w:t>Bisinotto</w:t>
      </w:r>
      <w:proofErr w:type="spellEnd"/>
      <w:r w:rsidRPr="00FB44BA">
        <w:rPr>
          <w:rFonts w:ascii="Arial" w:hAnsi="Arial" w:cs="Arial"/>
          <w:sz w:val="20"/>
          <w:szCs w:val="20"/>
        </w:rPr>
        <w:t xml:space="preserve">, R. S., Ribeiro, E. S., Lima, F. S., Greco, L. F., Staples, C. R., &amp; Thatcher, W. W. (2021). Applying nutrition and physiology to improve reproduction in dairy cattle. </w:t>
      </w:r>
      <w:r w:rsidRPr="00B24DE2">
        <w:rPr>
          <w:rFonts w:ascii="Arial" w:hAnsi="Arial" w:cs="Arial"/>
          <w:i/>
          <w:iCs/>
          <w:sz w:val="20"/>
          <w:szCs w:val="20"/>
        </w:rPr>
        <w:t>Society of Reproduction and Fertility</w:t>
      </w:r>
      <w:r w:rsidRPr="00FB44BA">
        <w:rPr>
          <w:rFonts w:ascii="Arial" w:hAnsi="Arial" w:cs="Arial"/>
          <w:sz w:val="20"/>
          <w:szCs w:val="20"/>
        </w:rPr>
        <w:t xml:space="preserve">, 67, 387-403. </w:t>
      </w:r>
      <w:hyperlink r:id="rId26" w:history="1">
        <w:r w:rsidRPr="00C6494E">
          <w:rPr>
            <w:rStyle w:val="Hyperlink"/>
            <w:rFonts w:ascii="Arial" w:hAnsi="Arial" w:cs="Arial"/>
            <w:sz w:val="20"/>
            <w:szCs w:val="20"/>
          </w:rPr>
          <w:t>https://doi.org/10.7313/UPO9781907284991.030</w:t>
        </w:r>
      </w:hyperlink>
      <w:r>
        <w:rPr>
          <w:rFonts w:ascii="Arial" w:hAnsi="Arial" w:cs="Arial"/>
          <w:sz w:val="20"/>
          <w:szCs w:val="20"/>
        </w:rPr>
        <w:t xml:space="preserve"> </w:t>
      </w:r>
    </w:p>
    <w:p w14:paraId="484F9D4D" w14:textId="77777777" w:rsidR="0071640A" w:rsidRPr="00564A1B" w:rsidRDefault="0071640A" w:rsidP="00564A1B">
      <w:pPr>
        <w:tabs>
          <w:tab w:val="left" w:pos="360"/>
        </w:tabs>
        <w:spacing w:after="0" w:line="240" w:lineRule="auto"/>
        <w:ind w:left="360" w:hanging="360"/>
        <w:jc w:val="both"/>
        <w:rPr>
          <w:rFonts w:ascii="Arial" w:hAnsi="Arial" w:cs="Arial"/>
          <w:sz w:val="20"/>
          <w:szCs w:val="20"/>
        </w:rPr>
      </w:pPr>
      <w:proofErr w:type="spellStart"/>
      <w:r w:rsidRPr="00564A1B">
        <w:rPr>
          <w:rFonts w:ascii="Arial" w:hAnsi="Arial" w:cs="Arial"/>
          <w:sz w:val="20"/>
          <w:szCs w:val="20"/>
        </w:rPr>
        <w:t>Surisetti</w:t>
      </w:r>
      <w:proofErr w:type="spellEnd"/>
      <w:r w:rsidRPr="00564A1B">
        <w:rPr>
          <w:rFonts w:ascii="Arial" w:hAnsi="Arial" w:cs="Arial"/>
          <w:sz w:val="20"/>
          <w:szCs w:val="20"/>
        </w:rPr>
        <w:t xml:space="preserve">, R. B., </w:t>
      </w:r>
      <w:proofErr w:type="spellStart"/>
      <w:r w:rsidRPr="00564A1B">
        <w:rPr>
          <w:rFonts w:ascii="Arial" w:hAnsi="Arial" w:cs="Arial"/>
          <w:sz w:val="20"/>
          <w:szCs w:val="20"/>
        </w:rPr>
        <w:t>Pattasi</w:t>
      </w:r>
      <w:proofErr w:type="spellEnd"/>
      <w:r w:rsidRPr="00564A1B">
        <w:rPr>
          <w:rFonts w:ascii="Arial" w:hAnsi="Arial" w:cs="Arial"/>
          <w:sz w:val="20"/>
          <w:szCs w:val="20"/>
        </w:rPr>
        <w:t xml:space="preserve">, J., Rao, N. K., &amp; Reddy, G. S. V. D. (2024). Age and seasonal impacts on bull semen quality: Current findings and future directions. </w:t>
      </w:r>
      <w:proofErr w:type="spellStart"/>
      <w:r w:rsidRPr="00564A1B">
        <w:rPr>
          <w:rFonts w:ascii="Arial" w:hAnsi="Arial" w:cs="Arial"/>
          <w:i/>
          <w:iCs/>
          <w:sz w:val="20"/>
          <w:szCs w:val="20"/>
        </w:rPr>
        <w:t>Revista</w:t>
      </w:r>
      <w:proofErr w:type="spellEnd"/>
      <w:r w:rsidRPr="00564A1B">
        <w:rPr>
          <w:rFonts w:ascii="Arial" w:hAnsi="Arial" w:cs="Arial"/>
          <w:i/>
          <w:iCs/>
          <w:sz w:val="20"/>
          <w:szCs w:val="20"/>
        </w:rPr>
        <w:t xml:space="preserve"> </w:t>
      </w:r>
      <w:proofErr w:type="spellStart"/>
      <w:r w:rsidRPr="00564A1B">
        <w:rPr>
          <w:rFonts w:ascii="Arial" w:hAnsi="Arial" w:cs="Arial"/>
          <w:i/>
          <w:iCs/>
          <w:sz w:val="20"/>
          <w:szCs w:val="20"/>
        </w:rPr>
        <w:t>Electrónica</w:t>
      </w:r>
      <w:proofErr w:type="spellEnd"/>
      <w:r w:rsidRPr="00564A1B">
        <w:rPr>
          <w:rFonts w:ascii="Arial" w:hAnsi="Arial" w:cs="Arial"/>
          <w:i/>
          <w:iCs/>
          <w:sz w:val="20"/>
          <w:szCs w:val="20"/>
        </w:rPr>
        <w:t xml:space="preserve"> de </w:t>
      </w:r>
      <w:proofErr w:type="spellStart"/>
      <w:r w:rsidRPr="00564A1B">
        <w:rPr>
          <w:rFonts w:ascii="Arial" w:hAnsi="Arial" w:cs="Arial"/>
          <w:i/>
          <w:iCs/>
          <w:sz w:val="20"/>
          <w:szCs w:val="20"/>
        </w:rPr>
        <w:t>Veterinaria</w:t>
      </w:r>
      <w:proofErr w:type="spellEnd"/>
      <w:r w:rsidRPr="00564A1B">
        <w:rPr>
          <w:rFonts w:ascii="Arial" w:hAnsi="Arial" w:cs="Arial"/>
          <w:sz w:val="20"/>
          <w:szCs w:val="20"/>
        </w:rPr>
        <w:t xml:space="preserve">, 25(2), 1-18. </w:t>
      </w:r>
      <w:hyperlink r:id="rId27" w:tgtFrame="_new" w:history="1">
        <w:r w:rsidRPr="00564A1B">
          <w:rPr>
            <w:rStyle w:val="Hyperlink"/>
            <w:rFonts w:ascii="Arial" w:hAnsi="Arial" w:cs="Arial"/>
            <w:sz w:val="20"/>
            <w:szCs w:val="20"/>
          </w:rPr>
          <w:t>https://doi.org/10.35844/redvet.2024.25.2.001</w:t>
        </w:r>
      </w:hyperlink>
    </w:p>
    <w:p w14:paraId="31527594" w14:textId="77777777" w:rsidR="0071640A" w:rsidRPr="00FB44BA" w:rsidRDefault="0071640A" w:rsidP="00B24DE2">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t>Tatman</w:t>
      </w:r>
      <w:proofErr w:type="spellEnd"/>
      <w:r w:rsidRPr="00FB44BA">
        <w:rPr>
          <w:rFonts w:ascii="Arial" w:hAnsi="Arial" w:cs="Arial"/>
          <w:sz w:val="20"/>
          <w:szCs w:val="20"/>
        </w:rPr>
        <w:t xml:space="preserve">, S. R., Neuendorff, D. A., Wilson, T. W., &amp; Randel, R. D. (2021). Influence of season of birth on growth and reproductive development of Brahman bulls. </w:t>
      </w:r>
      <w:r w:rsidRPr="00B24DE2">
        <w:rPr>
          <w:rFonts w:ascii="Arial" w:hAnsi="Arial" w:cs="Arial"/>
          <w:i/>
          <w:iCs/>
          <w:sz w:val="20"/>
          <w:szCs w:val="20"/>
        </w:rPr>
        <w:t>Theriogenology</w:t>
      </w:r>
      <w:r w:rsidRPr="00FB44BA">
        <w:rPr>
          <w:rFonts w:ascii="Arial" w:hAnsi="Arial" w:cs="Arial"/>
          <w:sz w:val="20"/>
          <w:szCs w:val="20"/>
        </w:rPr>
        <w:t xml:space="preserve">, 62(1-2), 93-102. </w:t>
      </w:r>
      <w:hyperlink r:id="rId28" w:history="1">
        <w:r w:rsidRPr="00C6494E">
          <w:rPr>
            <w:rStyle w:val="Hyperlink"/>
            <w:rFonts w:ascii="Arial" w:hAnsi="Arial" w:cs="Arial"/>
            <w:sz w:val="20"/>
            <w:szCs w:val="20"/>
          </w:rPr>
          <w:t>https://doi.org/10.1016/j.theriogenology.2003.08.014</w:t>
        </w:r>
      </w:hyperlink>
      <w:r>
        <w:rPr>
          <w:rFonts w:ascii="Arial" w:hAnsi="Arial" w:cs="Arial"/>
          <w:sz w:val="20"/>
          <w:szCs w:val="20"/>
        </w:rPr>
        <w:t xml:space="preserve"> </w:t>
      </w:r>
    </w:p>
    <w:p w14:paraId="43758A1A" w14:textId="77777777" w:rsidR="0071640A" w:rsidRPr="00FB44BA" w:rsidRDefault="0071640A" w:rsidP="00B24DE2">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t>Thundathil</w:t>
      </w:r>
      <w:proofErr w:type="spellEnd"/>
      <w:r w:rsidRPr="00FB44BA">
        <w:rPr>
          <w:rFonts w:ascii="Arial" w:hAnsi="Arial" w:cs="Arial"/>
          <w:sz w:val="20"/>
          <w:szCs w:val="20"/>
        </w:rPr>
        <w:t xml:space="preserve">, J., Meyer, A., Palasz, A. T., Barth, A. D., &amp; </w:t>
      </w:r>
      <w:proofErr w:type="spellStart"/>
      <w:r w:rsidRPr="00FB44BA">
        <w:rPr>
          <w:rFonts w:ascii="Arial" w:hAnsi="Arial" w:cs="Arial"/>
          <w:sz w:val="20"/>
          <w:szCs w:val="20"/>
        </w:rPr>
        <w:t>Mapletoft</w:t>
      </w:r>
      <w:proofErr w:type="spellEnd"/>
      <w:r w:rsidRPr="00FB44BA">
        <w:rPr>
          <w:rFonts w:ascii="Arial" w:hAnsi="Arial" w:cs="Arial"/>
          <w:sz w:val="20"/>
          <w:szCs w:val="20"/>
        </w:rPr>
        <w:t xml:space="preserve">, R. J. (2019). Effect of the knobbed acrosome defect in bovine sperm on IVF and embryo production. </w:t>
      </w:r>
      <w:r w:rsidRPr="00702D30">
        <w:rPr>
          <w:rFonts w:ascii="Arial" w:hAnsi="Arial" w:cs="Arial"/>
          <w:i/>
          <w:iCs/>
          <w:sz w:val="20"/>
          <w:szCs w:val="20"/>
        </w:rPr>
        <w:t>Theriogenology,</w:t>
      </w:r>
      <w:r w:rsidRPr="00FB44BA">
        <w:rPr>
          <w:rFonts w:ascii="Arial" w:hAnsi="Arial" w:cs="Arial"/>
          <w:sz w:val="20"/>
          <w:szCs w:val="20"/>
        </w:rPr>
        <w:t xml:space="preserve"> 54(6), 921-934. </w:t>
      </w:r>
      <w:hyperlink r:id="rId29" w:history="1">
        <w:r w:rsidRPr="00C6494E">
          <w:rPr>
            <w:rStyle w:val="Hyperlink"/>
            <w:rFonts w:ascii="Arial" w:hAnsi="Arial" w:cs="Arial"/>
            <w:sz w:val="20"/>
            <w:szCs w:val="20"/>
          </w:rPr>
          <w:t>https://doi.org/10.1016/S0093-691X(00)00402-7</w:t>
        </w:r>
      </w:hyperlink>
      <w:r>
        <w:rPr>
          <w:rFonts w:ascii="Arial" w:hAnsi="Arial" w:cs="Arial"/>
          <w:sz w:val="20"/>
          <w:szCs w:val="20"/>
        </w:rPr>
        <w:t xml:space="preserve"> </w:t>
      </w:r>
    </w:p>
    <w:p w14:paraId="0F3FF166" w14:textId="77777777" w:rsidR="0071640A" w:rsidRPr="00FB44BA" w:rsidRDefault="0071640A"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Walsh, S. W., Williams, E. J., &amp; Evans, A. C. (2019). A review of the causes of poor fertility in high milk producing dairy cows. </w:t>
      </w:r>
      <w:r w:rsidRPr="00702D30">
        <w:rPr>
          <w:rFonts w:ascii="Arial" w:hAnsi="Arial" w:cs="Arial"/>
          <w:i/>
          <w:iCs/>
          <w:sz w:val="20"/>
          <w:szCs w:val="20"/>
        </w:rPr>
        <w:t>Animal Reproduction Science,</w:t>
      </w:r>
      <w:r>
        <w:rPr>
          <w:rFonts w:ascii="Arial" w:hAnsi="Arial" w:cs="Arial"/>
          <w:i/>
          <w:iCs/>
          <w:sz w:val="20"/>
          <w:szCs w:val="20"/>
        </w:rPr>
        <w:t xml:space="preserve"> </w:t>
      </w:r>
      <w:r w:rsidRPr="00FB44BA">
        <w:rPr>
          <w:rFonts w:ascii="Arial" w:hAnsi="Arial" w:cs="Arial"/>
          <w:sz w:val="20"/>
          <w:szCs w:val="20"/>
        </w:rPr>
        <w:t xml:space="preserve">123(3-4), 127-138. </w:t>
      </w:r>
      <w:hyperlink r:id="rId30" w:history="1">
        <w:r w:rsidRPr="00C6494E">
          <w:rPr>
            <w:rStyle w:val="Hyperlink"/>
            <w:rFonts w:ascii="Arial" w:hAnsi="Arial" w:cs="Arial"/>
            <w:sz w:val="20"/>
            <w:szCs w:val="20"/>
          </w:rPr>
          <w:t>https://doi.org/10.1016/j.anireprosci.2010.11.007</w:t>
        </w:r>
      </w:hyperlink>
      <w:r>
        <w:rPr>
          <w:rFonts w:ascii="Arial" w:hAnsi="Arial" w:cs="Arial"/>
          <w:sz w:val="20"/>
          <w:szCs w:val="20"/>
        </w:rPr>
        <w:t xml:space="preserve"> </w:t>
      </w:r>
    </w:p>
    <w:p w14:paraId="231C8363" w14:textId="77777777" w:rsidR="0071640A" w:rsidRPr="00FB44BA" w:rsidRDefault="0071640A" w:rsidP="00B24DE2">
      <w:pPr>
        <w:tabs>
          <w:tab w:val="left" w:pos="360"/>
        </w:tabs>
        <w:spacing w:after="0" w:line="240" w:lineRule="auto"/>
        <w:ind w:left="360" w:hanging="360"/>
        <w:jc w:val="both"/>
        <w:rPr>
          <w:rFonts w:ascii="Arial" w:hAnsi="Arial" w:cs="Arial"/>
          <w:sz w:val="20"/>
          <w:szCs w:val="20"/>
        </w:rPr>
      </w:pPr>
      <w:r w:rsidRPr="00FB44BA">
        <w:rPr>
          <w:rFonts w:ascii="Arial" w:hAnsi="Arial" w:cs="Arial"/>
          <w:sz w:val="20"/>
          <w:szCs w:val="20"/>
        </w:rPr>
        <w:t xml:space="preserve">Walters, A. H., Eyestone, W. E., Saacke, R. G., Pearson, R. E., &amp; </w:t>
      </w:r>
      <w:proofErr w:type="spellStart"/>
      <w:r w:rsidRPr="00FB44BA">
        <w:rPr>
          <w:rFonts w:ascii="Arial" w:hAnsi="Arial" w:cs="Arial"/>
          <w:sz w:val="20"/>
          <w:szCs w:val="20"/>
        </w:rPr>
        <w:t>Gwazdauskas</w:t>
      </w:r>
      <w:proofErr w:type="spellEnd"/>
      <w:r w:rsidRPr="00FB44BA">
        <w:rPr>
          <w:rFonts w:ascii="Arial" w:hAnsi="Arial" w:cs="Arial"/>
          <w:sz w:val="20"/>
          <w:szCs w:val="20"/>
        </w:rPr>
        <w:t xml:space="preserve">, F. C. (2019). Sperm morphology and preparation method affect bovine embryonic development. </w:t>
      </w:r>
      <w:r w:rsidRPr="00702D30">
        <w:rPr>
          <w:rFonts w:ascii="Arial" w:hAnsi="Arial" w:cs="Arial"/>
          <w:i/>
          <w:iCs/>
          <w:sz w:val="20"/>
          <w:szCs w:val="20"/>
        </w:rPr>
        <w:t>Journal of Andrology</w:t>
      </w:r>
      <w:r w:rsidRPr="00FB44BA">
        <w:rPr>
          <w:rFonts w:ascii="Arial" w:hAnsi="Arial" w:cs="Arial"/>
          <w:sz w:val="20"/>
          <w:szCs w:val="20"/>
        </w:rPr>
        <w:t xml:space="preserve">, 25(4), 554-563. </w:t>
      </w:r>
      <w:hyperlink r:id="rId31" w:history="1">
        <w:r w:rsidRPr="00C6494E">
          <w:rPr>
            <w:rStyle w:val="Hyperlink"/>
            <w:rFonts w:ascii="Arial" w:hAnsi="Arial" w:cs="Arial"/>
            <w:sz w:val="20"/>
            <w:szCs w:val="20"/>
          </w:rPr>
          <w:t>https://doi.org/10.1002/j.1939-4640.2004.tb02826.x</w:t>
        </w:r>
      </w:hyperlink>
      <w:r>
        <w:rPr>
          <w:rFonts w:ascii="Arial" w:hAnsi="Arial" w:cs="Arial"/>
          <w:sz w:val="20"/>
          <w:szCs w:val="20"/>
        </w:rPr>
        <w:t xml:space="preserve"> </w:t>
      </w:r>
    </w:p>
    <w:p w14:paraId="17E942B0" w14:textId="77777777" w:rsidR="0071640A" w:rsidRDefault="0071640A" w:rsidP="00B24DE2">
      <w:pPr>
        <w:tabs>
          <w:tab w:val="left" w:pos="360"/>
        </w:tabs>
        <w:spacing w:after="0" w:line="240" w:lineRule="auto"/>
        <w:ind w:left="360" w:hanging="360"/>
        <w:jc w:val="both"/>
        <w:rPr>
          <w:rFonts w:ascii="Arial" w:hAnsi="Arial" w:cs="Arial"/>
          <w:sz w:val="20"/>
          <w:szCs w:val="20"/>
        </w:rPr>
      </w:pPr>
      <w:proofErr w:type="spellStart"/>
      <w:r w:rsidRPr="00FB44BA">
        <w:rPr>
          <w:rFonts w:ascii="Arial" w:hAnsi="Arial" w:cs="Arial"/>
          <w:sz w:val="20"/>
          <w:szCs w:val="20"/>
        </w:rPr>
        <w:t>Wolfenson</w:t>
      </w:r>
      <w:proofErr w:type="spellEnd"/>
      <w:r w:rsidRPr="00FB44BA">
        <w:rPr>
          <w:rFonts w:ascii="Arial" w:hAnsi="Arial" w:cs="Arial"/>
          <w:sz w:val="20"/>
          <w:szCs w:val="20"/>
        </w:rPr>
        <w:t xml:space="preserve">, D., Roth, Z., &amp; </w:t>
      </w:r>
      <w:proofErr w:type="spellStart"/>
      <w:r w:rsidRPr="00FB44BA">
        <w:rPr>
          <w:rFonts w:ascii="Arial" w:hAnsi="Arial" w:cs="Arial"/>
          <w:sz w:val="20"/>
          <w:szCs w:val="20"/>
        </w:rPr>
        <w:t>Meidan</w:t>
      </w:r>
      <w:proofErr w:type="spellEnd"/>
      <w:r w:rsidRPr="00FB44BA">
        <w:rPr>
          <w:rFonts w:ascii="Arial" w:hAnsi="Arial" w:cs="Arial"/>
          <w:sz w:val="20"/>
          <w:szCs w:val="20"/>
        </w:rPr>
        <w:t xml:space="preserve">, R. (2018). Impaired reproduction in heat-stressed cattle: Basic and applied aspects. </w:t>
      </w:r>
      <w:r w:rsidRPr="00702D30">
        <w:rPr>
          <w:rFonts w:ascii="Arial" w:hAnsi="Arial" w:cs="Arial"/>
          <w:i/>
          <w:iCs/>
          <w:sz w:val="20"/>
          <w:szCs w:val="20"/>
        </w:rPr>
        <w:t>Animal Reproduction Science,</w:t>
      </w:r>
      <w:r w:rsidRPr="00FB44BA">
        <w:rPr>
          <w:rFonts w:ascii="Arial" w:hAnsi="Arial" w:cs="Arial"/>
          <w:sz w:val="20"/>
          <w:szCs w:val="20"/>
        </w:rPr>
        <w:t xml:space="preserve"> 60-61, 535-547. </w:t>
      </w:r>
      <w:hyperlink r:id="rId32" w:history="1">
        <w:r w:rsidRPr="00C6494E">
          <w:rPr>
            <w:rStyle w:val="Hyperlink"/>
            <w:rFonts w:ascii="Arial" w:hAnsi="Arial" w:cs="Arial"/>
            <w:sz w:val="20"/>
            <w:szCs w:val="20"/>
          </w:rPr>
          <w:t>https://doi.org/10.1016/S0378-4320(00)00102-0</w:t>
        </w:r>
      </w:hyperlink>
      <w:r>
        <w:rPr>
          <w:rFonts w:ascii="Arial" w:hAnsi="Arial" w:cs="Arial"/>
          <w:sz w:val="20"/>
          <w:szCs w:val="20"/>
        </w:rPr>
        <w:t xml:space="preserve"> </w:t>
      </w:r>
    </w:p>
    <w:p w14:paraId="66577600" w14:textId="77777777" w:rsidR="00564A1B" w:rsidRPr="00FB44BA" w:rsidRDefault="00564A1B" w:rsidP="00B24DE2">
      <w:pPr>
        <w:tabs>
          <w:tab w:val="left" w:pos="360"/>
        </w:tabs>
        <w:spacing w:after="0" w:line="240" w:lineRule="auto"/>
        <w:ind w:left="360" w:hanging="360"/>
        <w:jc w:val="both"/>
        <w:rPr>
          <w:rFonts w:ascii="Arial" w:hAnsi="Arial" w:cs="Arial"/>
          <w:sz w:val="20"/>
          <w:szCs w:val="20"/>
        </w:rPr>
      </w:pPr>
    </w:p>
    <w:sectPr w:rsidR="00564A1B" w:rsidRPr="00FB44BA" w:rsidSect="008707B6">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46DC" w14:textId="77777777" w:rsidR="000F2878" w:rsidRDefault="000F2878" w:rsidP="009A7825">
      <w:pPr>
        <w:spacing w:after="0" w:line="240" w:lineRule="auto"/>
      </w:pPr>
      <w:r>
        <w:separator/>
      </w:r>
    </w:p>
  </w:endnote>
  <w:endnote w:type="continuationSeparator" w:id="0">
    <w:p w14:paraId="4CFBC1E3" w14:textId="77777777" w:rsidR="000F2878" w:rsidRDefault="000F2878" w:rsidP="009A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0D45" w14:textId="77777777" w:rsidR="008707B6" w:rsidRDefault="00870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6ECB" w14:textId="77777777" w:rsidR="008707B6" w:rsidRDefault="00870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BBC0" w14:textId="77777777" w:rsidR="008707B6" w:rsidRDefault="00870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CA31" w14:textId="77777777" w:rsidR="000F2878" w:rsidRDefault="000F2878" w:rsidP="009A7825">
      <w:pPr>
        <w:spacing w:after="0" w:line="240" w:lineRule="auto"/>
      </w:pPr>
      <w:r>
        <w:separator/>
      </w:r>
    </w:p>
  </w:footnote>
  <w:footnote w:type="continuationSeparator" w:id="0">
    <w:p w14:paraId="6E9930C6" w14:textId="77777777" w:rsidR="000F2878" w:rsidRDefault="000F2878" w:rsidP="009A7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DFC3" w14:textId="34649707" w:rsidR="008707B6" w:rsidRDefault="00173D16">
    <w:pPr>
      <w:pStyle w:val="Header"/>
    </w:pPr>
    <w:r>
      <w:rPr>
        <w:noProof/>
      </w:rPr>
      <w:pict w14:anchorId="2C14C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912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63BE" w14:textId="4F39DBCD" w:rsidR="008707B6" w:rsidRDefault="00173D16">
    <w:pPr>
      <w:pStyle w:val="Header"/>
    </w:pPr>
    <w:r>
      <w:rPr>
        <w:noProof/>
      </w:rPr>
      <w:pict w14:anchorId="69391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912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8044" w14:textId="498DBFA4" w:rsidR="008707B6" w:rsidRDefault="00173D16">
    <w:pPr>
      <w:pStyle w:val="Header"/>
    </w:pPr>
    <w:r>
      <w:rPr>
        <w:noProof/>
      </w:rPr>
      <w:pict w14:anchorId="6A729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1912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70E2"/>
    <w:multiLevelType w:val="hybridMultilevel"/>
    <w:tmpl w:val="CCEE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273C6"/>
    <w:multiLevelType w:val="hybridMultilevel"/>
    <w:tmpl w:val="76EE1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74562"/>
    <w:multiLevelType w:val="hybridMultilevel"/>
    <w:tmpl w:val="C0CA9D6C"/>
    <w:lvl w:ilvl="0" w:tplc="84EE2B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54577">
    <w:abstractNumId w:val="1"/>
  </w:num>
  <w:num w:numId="2" w16cid:durableId="1173640322">
    <w:abstractNumId w:val="0"/>
  </w:num>
  <w:num w:numId="3" w16cid:durableId="1198934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8F"/>
    <w:rsid w:val="0002278B"/>
    <w:rsid w:val="00024417"/>
    <w:rsid w:val="00031023"/>
    <w:rsid w:val="000319C4"/>
    <w:rsid w:val="00072BAC"/>
    <w:rsid w:val="00072DF1"/>
    <w:rsid w:val="00074945"/>
    <w:rsid w:val="000B22D3"/>
    <w:rsid w:val="000D0985"/>
    <w:rsid w:val="000F0C02"/>
    <w:rsid w:val="000F2878"/>
    <w:rsid w:val="000F3C2B"/>
    <w:rsid w:val="000F528F"/>
    <w:rsid w:val="00114E83"/>
    <w:rsid w:val="00121B7A"/>
    <w:rsid w:val="001511AF"/>
    <w:rsid w:val="0016461C"/>
    <w:rsid w:val="001722E2"/>
    <w:rsid w:val="00173D16"/>
    <w:rsid w:val="00173F4A"/>
    <w:rsid w:val="00184FF7"/>
    <w:rsid w:val="0019402F"/>
    <w:rsid w:val="001A10E4"/>
    <w:rsid w:val="001A304E"/>
    <w:rsid w:val="001B2193"/>
    <w:rsid w:val="001B725B"/>
    <w:rsid w:val="001C14F2"/>
    <w:rsid w:val="001C27CA"/>
    <w:rsid w:val="001D1961"/>
    <w:rsid w:val="001D417E"/>
    <w:rsid w:val="001F0F7C"/>
    <w:rsid w:val="002012D9"/>
    <w:rsid w:val="00213A88"/>
    <w:rsid w:val="002171CA"/>
    <w:rsid w:val="00223C0F"/>
    <w:rsid w:val="00225EDE"/>
    <w:rsid w:val="00230BCB"/>
    <w:rsid w:val="00237683"/>
    <w:rsid w:val="00242894"/>
    <w:rsid w:val="00257BC0"/>
    <w:rsid w:val="00271300"/>
    <w:rsid w:val="002764F3"/>
    <w:rsid w:val="00277EEA"/>
    <w:rsid w:val="00291D49"/>
    <w:rsid w:val="002938B8"/>
    <w:rsid w:val="002B6081"/>
    <w:rsid w:val="002C2626"/>
    <w:rsid w:val="002C4A7F"/>
    <w:rsid w:val="002D18D5"/>
    <w:rsid w:val="002D6C39"/>
    <w:rsid w:val="002F78AE"/>
    <w:rsid w:val="003105DE"/>
    <w:rsid w:val="00343318"/>
    <w:rsid w:val="00362530"/>
    <w:rsid w:val="00364F14"/>
    <w:rsid w:val="00370696"/>
    <w:rsid w:val="003A27B7"/>
    <w:rsid w:val="003E0383"/>
    <w:rsid w:val="003F1304"/>
    <w:rsid w:val="00427E3B"/>
    <w:rsid w:val="004349A9"/>
    <w:rsid w:val="004365E0"/>
    <w:rsid w:val="00465F81"/>
    <w:rsid w:val="00466181"/>
    <w:rsid w:val="00477F1E"/>
    <w:rsid w:val="004A675A"/>
    <w:rsid w:val="004A7064"/>
    <w:rsid w:val="004B6D3D"/>
    <w:rsid w:val="004D7F99"/>
    <w:rsid w:val="004E5900"/>
    <w:rsid w:val="004F30FE"/>
    <w:rsid w:val="004F48AE"/>
    <w:rsid w:val="004F529A"/>
    <w:rsid w:val="00500061"/>
    <w:rsid w:val="0050291C"/>
    <w:rsid w:val="00514695"/>
    <w:rsid w:val="00515A4A"/>
    <w:rsid w:val="00544454"/>
    <w:rsid w:val="00552762"/>
    <w:rsid w:val="00564A1B"/>
    <w:rsid w:val="005671AF"/>
    <w:rsid w:val="00570B39"/>
    <w:rsid w:val="00573D0F"/>
    <w:rsid w:val="00591E3A"/>
    <w:rsid w:val="005B588F"/>
    <w:rsid w:val="005E70FB"/>
    <w:rsid w:val="005F0B5E"/>
    <w:rsid w:val="005F1ABB"/>
    <w:rsid w:val="0060710A"/>
    <w:rsid w:val="006158E7"/>
    <w:rsid w:val="00625D7D"/>
    <w:rsid w:val="00633C99"/>
    <w:rsid w:val="006370F6"/>
    <w:rsid w:val="006678CF"/>
    <w:rsid w:val="00680BD9"/>
    <w:rsid w:val="006874DE"/>
    <w:rsid w:val="00687DB4"/>
    <w:rsid w:val="006B4B91"/>
    <w:rsid w:val="006C6C53"/>
    <w:rsid w:val="006D580F"/>
    <w:rsid w:val="006E68B3"/>
    <w:rsid w:val="00702D30"/>
    <w:rsid w:val="0071070E"/>
    <w:rsid w:val="00714B37"/>
    <w:rsid w:val="0071640A"/>
    <w:rsid w:val="00725B3A"/>
    <w:rsid w:val="00730387"/>
    <w:rsid w:val="007508F6"/>
    <w:rsid w:val="00750EE9"/>
    <w:rsid w:val="0076561C"/>
    <w:rsid w:val="007713B8"/>
    <w:rsid w:val="00795A4A"/>
    <w:rsid w:val="00797FF6"/>
    <w:rsid w:val="007B5B6A"/>
    <w:rsid w:val="007B7A06"/>
    <w:rsid w:val="007C0607"/>
    <w:rsid w:val="007C2FBA"/>
    <w:rsid w:val="007C7F5D"/>
    <w:rsid w:val="007E2790"/>
    <w:rsid w:val="007E6384"/>
    <w:rsid w:val="008179A1"/>
    <w:rsid w:val="0082251B"/>
    <w:rsid w:val="008242FE"/>
    <w:rsid w:val="00831BBA"/>
    <w:rsid w:val="00842665"/>
    <w:rsid w:val="0085766A"/>
    <w:rsid w:val="00867858"/>
    <w:rsid w:val="008707B6"/>
    <w:rsid w:val="00880DCD"/>
    <w:rsid w:val="00891A83"/>
    <w:rsid w:val="00891F1D"/>
    <w:rsid w:val="0089590B"/>
    <w:rsid w:val="008960BA"/>
    <w:rsid w:val="008A57CB"/>
    <w:rsid w:val="008B7D0C"/>
    <w:rsid w:val="008F2A2F"/>
    <w:rsid w:val="008F5A8F"/>
    <w:rsid w:val="009052E9"/>
    <w:rsid w:val="00972723"/>
    <w:rsid w:val="00987C7C"/>
    <w:rsid w:val="009A7825"/>
    <w:rsid w:val="009B37AE"/>
    <w:rsid w:val="009D7CEC"/>
    <w:rsid w:val="009E2763"/>
    <w:rsid w:val="009E3317"/>
    <w:rsid w:val="009E524E"/>
    <w:rsid w:val="009F30B8"/>
    <w:rsid w:val="009F7C14"/>
    <w:rsid w:val="00A17A33"/>
    <w:rsid w:val="00A318DD"/>
    <w:rsid w:val="00A47883"/>
    <w:rsid w:val="00A47B4C"/>
    <w:rsid w:val="00AC3630"/>
    <w:rsid w:val="00AC36B8"/>
    <w:rsid w:val="00AC435D"/>
    <w:rsid w:val="00AC7765"/>
    <w:rsid w:val="00AD5360"/>
    <w:rsid w:val="00AD6DB4"/>
    <w:rsid w:val="00AF5519"/>
    <w:rsid w:val="00B1787E"/>
    <w:rsid w:val="00B217CD"/>
    <w:rsid w:val="00B24DE2"/>
    <w:rsid w:val="00B443B6"/>
    <w:rsid w:val="00B56B02"/>
    <w:rsid w:val="00B648D1"/>
    <w:rsid w:val="00B72E9A"/>
    <w:rsid w:val="00B809CC"/>
    <w:rsid w:val="00B82D75"/>
    <w:rsid w:val="00B92AC8"/>
    <w:rsid w:val="00BA4471"/>
    <w:rsid w:val="00BA702E"/>
    <w:rsid w:val="00BB5231"/>
    <w:rsid w:val="00BB644C"/>
    <w:rsid w:val="00BD7B59"/>
    <w:rsid w:val="00BF0E87"/>
    <w:rsid w:val="00BF204C"/>
    <w:rsid w:val="00C1074B"/>
    <w:rsid w:val="00C309F0"/>
    <w:rsid w:val="00C805F7"/>
    <w:rsid w:val="00C84660"/>
    <w:rsid w:val="00C91F7C"/>
    <w:rsid w:val="00CA3686"/>
    <w:rsid w:val="00CA3818"/>
    <w:rsid w:val="00CA4404"/>
    <w:rsid w:val="00CB55F7"/>
    <w:rsid w:val="00CE39C5"/>
    <w:rsid w:val="00CF6446"/>
    <w:rsid w:val="00D003F4"/>
    <w:rsid w:val="00D15F08"/>
    <w:rsid w:val="00D72D54"/>
    <w:rsid w:val="00D97A0A"/>
    <w:rsid w:val="00DA202E"/>
    <w:rsid w:val="00DA256D"/>
    <w:rsid w:val="00DC313C"/>
    <w:rsid w:val="00DC7C48"/>
    <w:rsid w:val="00DD05BF"/>
    <w:rsid w:val="00DD1677"/>
    <w:rsid w:val="00DD2F91"/>
    <w:rsid w:val="00DE58E7"/>
    <w:rsid w:val="00E01F56"/>
    <w:rsid w:val="00E0410F"/>
    <w:rsid w:val="00E16D0A"/>
    <w:rsid w:val="00E26D4D"/>
    <w:rsid w:val="00E40555"/>
    <w:rsid w:val="00E42A75"/>
    <w:rsid w:val="00E641F2"/>
    <w:rsid w:val="00E813B6"/>
    <w:rsid w:val="00E86900"/>
    <w:rsid w:val="00E900AC"/>
    <w:rsid w:val="00E92205"/>
    <w:rsid w:val="00E95FEA"/>
    <w:rsid w:val="00EE108F"/>
    <w:rsid w:val="00F0039E"/>
    <w:rsid w:val="00F00C31"/>
    <w:rsid w:val="00F1105C"/>
    <w:rsid w:val="00F27458"/>
    <w:rsid w:val="00F425D5"/>
    <w:rsid w:val="00F4494C"/>
    <w:rsid w:val="00F74370"/>
    <w:rsid w:val="00F97205"/>
    <w:rsid w:val="00FB44BA"/>
    <w:rsid w:val="00FB5368"/>
    <w:rsid w:val="00FC07C1"/>
    <w:rsid w:val="00FE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940D"/>
  <w15:chartTrackingRefBased/>
  <w15:docId w15:val="{8120D1FF-5958-485B-9FFD-A714A7CA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9402F"/>
    <w:pPr>
      <w:keepNext/>
      <w:keepLines/>
      <w:spacing w:after="0" w:line="240" w:lineRule="auto"/>
      <w:outlineLvl w:val="0"/>
    </w:pPr>
    <w:rPr>
      <w:rFonts w:ascii="Arial" w:eastAsiaTheme="majorEastAsia" w:hAnsi="Arial" w:cs="Arial"/>
      <w:b/>
    </w:rPr>
  </w:style>
  <w:style w:type="paragraph" w:styleId="Heading2">
    <w:name w:val="heading 2"/>
    <w:basedOn w:val="Normal"/>
    <w:next w:val="Normal"/>
    <w:link w:val="Heading2Char"/>
    <w:autoRedefine/>
    <w:uiPriority w:val="9"/>
    <w:unhideWhenUsed/>
    <w:qFormat/>
    <w:rsid w:val="008F5A8F"/>
    <w:pPr>
      <w:keepNext/>
      <w:keepLines/>
      <w:spacing w:after="0"/>
      <w:outlineLvl w:val="1"/>
    </w:pPr>
    <w:rPr>
      <w:rFonts w:ascii="Arial" w:eastAsiaTheme="majorEastAsia" w:hAnsi="Arial" w:cstheme="majorBidi"/>
      <w:b/>
      <w:szCs w:val="32"/>
    </w:rPr>
  </w:style>
  <w:style w:type="paragraph" w:styleId="Heading3">
    <w:name w:val="heading 3"/>
    <w:basedOn w:val="Normal"/>
    <w:next w:val="Normal"/>
    <w:link w:val="Heading3Char"/>
    <w:autoRedefine/>
    <w:uiPriority w:val="9"/>
    <w:unhideWhenUsed/>
    <w:qFormat/>
    <w:rsid w:val="008F5A8F"/>
    <w:pPr>
      <w:keepNext/>
      <w:keepLines/>
      <w:spacing w:after="0"/>
      <w:outlineLvl w:val="2"/>
    </w:pPr>
    <w:rPr>
      <w:rFonts w:ascii="Arial" w:eastAsiaTheme="majorEastAsia" w:hAnsi="Arial" w:cstheme="majorBidi"/>
      <w:b/>
      <w:sz w:val="20"/>
      <w:szCs w:val="28"/>
    </w:rPr>
  </w:style>
  <w:style w:type="paragraph" w:styleId="Heading4">
    <w:name w:val="heading 4"/>
    <w:basedOn w:val="Normal"/>
    <w:next w:val="Normal"/>
    <w:link w:val="Heading4Char"/>
    <w:uiPriority w:val="9"/>
    <w:semiHidden/>
    <w:unhideWhenUsed/>
    <w:qFormat/>
    <w:rsid w:val="000F52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52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5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02F"/>
    <w:rPr>
      <w:rFonts w:ascii="Arial" w:eastAsiaTheme="majorEastAsia" w:hAnsi="Arial" w:cs="Arial"/>
      <w:b/>
    </w:rPr>
  </w:style>
  <w:style w:type="character" w:customStyle="1" w:styleId="Heading2Char">
    <w:name w:val="Heading 2 Char"/>
    <w:basedOn w:val="DefaultParagraphFont"/>
    <w:link w:val="Heading2"/>
    <w:uiPriority w:val="9"/>
    <w:rsid w:val="008F5A8F"/>
    <w:rPr>
      <w:rFonts w:ascii="Arial" w:eastAsiaTheme="majorEastAsia" w:hAnsi="Arial" w:cstheme="majorBidi"/>
      <w:b/>
      <w:szCs w:val="32"/>
    </w:rPr>
  </w:style>
  <w:style w:type="character" w:customStyle="1" w:styleId="Heading3Char">
    <w:name w:val="Heading 3 Char"/>
    <w:basedOn w:val="DefaultParagraphFont"/>
    <w:link w:val="Heading3"/>
    <w:uiPriority w:val="9"/>
    <w:rsid w:val="008F5A8F"/>
    <w:rPr>
      <w:rFonts w:ascii="Arial" w:eastAsiaTheme="majorEastAsia" w:hAnsi="Arial" w:cstheme="majorBidi"/>
      <w:b/>
      <w:sz w:val="20"/>
      <w:szCs w:val="28"/>
    </w:rPr>
  </w:style>
  <w:style w:type="character" w:customStyle="1" w:styleId="Heading4Char">
    <w:name w:val="Heading 4 Char"/>
    <w:basedOn w:val="DefaultParagraphFont"/>
    <w:link w:val="Heading4"/>
    <w:uiPriority w:val="9"/>
    <w:semiHidden/>
    <w:rsid w:val="000F52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52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5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28F"/>
    <w:rPr>
      <w:rFonts w:eastAsiaTheme="majorEastAsia" w:cstheme="majorBidi"/>
      <w:color w:val="272727" w:themeColor="text1" w:themeTint="D8"/>
    </w:rPr>
  </w:style>
  <w:style w:type="paragraph" w:styleId="Title">
    <w:name w:val="Title"/>
    <w:basedOn w:val="Normal"/>
    <w:next w:val="Normal"/>
    <w:link w:val="TitleChar"/>
    <w:uiPriority w:val="10"/>
    <w:qFormat/>
    <w:rsid w:val="000F5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28F"/>
    <w:pPr>
      <w:spacing w:before="160"/>
      <w:jc w:val="center"/>
    </w:pPr>
    <w:rPr>
      <w:i/>
      <w:iCs/>
      <w:color w:val="404040" w:themeColor="text1" w:themeTint="BF"/>
    </w:rPr>
  </w:style>
  <w:style w:type="character" w:customStyle="1" w:styleId="QuoteChar">
    <w:name w:val="Quote Char"/>
    <w:basedOn w:val="DefaultParagraphFont"/>
    <w:link w:val="Quote"/>
    <w:uiPriority w:val="29"/>
    <w:rsid w:val="000F528F"/>
    <w:rPr>
      <w:i/>
      <w:iCs/>
      <w:color w:val="404040" w:themeColor="text1" w:themeTint="BF"/>
    </w:rPr>
  </w:style>
  <w:style w:type="paragraph" w:styleId="ListParagraph">
    <w:name w:val="List Paragraph"/>
    <w:basedOn w:val="Normal"/>
    <w:uiPriority w:val="34"/>
    <w:qFormat/>
    <w:rsid w:val="000F528F"/>
    <w:pPr>
      <w:ind w:left="720"/>
      <w:contextualSpacing/>
    </w:pPr>
  </w:style>
  <w:style w:type="character" w:styleId="IntenseEmphasis">
    <w:name w:val="Intense Emphasis"/>
    <w:basedOn w:val="DefaultParagraphFont"/>
    <w:uiPriority w:val="21"/>
    <w:qFormat/>
    <w:rsid w:val="000F528F"/>
    <w:rPr>
      <w:i/>
      <w:iCs/>
      <w:color w:val="2F5496" w:themeColor="accent1" w:themeShade="BF"/>
    </w:rPr>
  </w:style>
  <w:style w:type="paragraph" w:styleId="IntenseQuote">
    <w:name w:val="Intense Quote"/>
    <w:basedOn w:val="Normal"/>
    <w:next w:val="Normal"/>
    <w:link w:val="IntenseQuoteChar"/>
    <w:uiPriority w:val="30"/>
    <w:qFormat/>
    <w:rsid w:val="000F5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528F"/>
    <w:rPr>
      <w:i/>
      <w:iCs/>
      <w:color w:val="2F5496" w:themeColor="accent1" w:themeShade="BF"/>
    </w:rPr>
  </w:style>
  <w:style w:type="character" w:styleId="IntenseReference">
    <w:name w:val="Intense Reference"/>
    <w:basedOn w:val="DefaultParagraphFont"/>
    <w:uiPriority w:val="32"/>
    <w:qFormat/>
    <w:rsid w:val="000F528F"/>
    <w:rPr>
      <w:b/>
      <w:bCs/>
      <w:smallCaps/>
      <w:color w:val="2F5496" w:themeColor="accent1" w:themeShade="BF"/>
      <w:spacing w:val="5"/>
    </w:rPr>
  </w:style>
  <w:style w:type="table" w:styleId="TableGrid">
    <w:name w:val="Table Grid"/>
    <w:basedOn w:val="TableNormal"/>
    <w:uiPriority w:val="39"/>
    <w:rsid w:val="004B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25D5"/>
    <w:rPr>
      <w:color w:val="0563C1" w:themeColor="hyperlink"/>
      <w:u w:val="single"/>
    </w:rPr>
  </w:style>
  <w:style w:type="character" w:customStyle="1" w:styleId="UnresolvedMention1">
    <w:name w:val="Unresolved Mention1"/>
    <w:basedOn w:val="DefaultParagraphFont"/>
    <w:uiPriority w:val="99"/>
    <w:semiHidden/>
    <w:unhideWhenUsed/>
    <w:rsid w:val="00F425D5"/>
    <w:rPr>
      <w:color w:val="605E5C"/>
      <w:shd w:val="clear" w:color="auto" w:fill="E1DFDD"/>
    </w:rPr>
  </w:style>
  <w:style w:type="paragraph" w:customStyle="1" w:styleId="Body">
    <w:name w:val="Body"/>
    <w:basedOn w:val="Normal"/>
    <w:rsid w:val="0019402F"/>
    <w:pPr>
      <w:spacing w:after="240" w:line="240" w:lineRule="auto"/>
      <w:jc w:val="both"/>
    </w:pPr>
    <w:rPr>
      <w:rFonts w:ascii="Helvetica" w:eastAsia="Times New Roman" w:hAnsi="Helvetica" w:cs="Times New Roman"/>
      <w:sz w:val="20"/>
      <w:szCs w:val="20"/>
    </w:rPr>
  </w:style>
  <w:style w:type="paragraph" w:styleId="Header">
    <w:name w:val="header"/>
    <w:basedOn w:val="Normal"/>
    <w:link w:val="HeaderChar"/>
    <w:uiPriority w:val="99"/>
    <w:unhideWhenUsed/>
    <w:rsid w:val="009A7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825"/>
  </w:style>
  <w:style w:type="paragraph" w:styleId="Footer">
    <w:name w:val="footer"/>
    <w:basedOn w:val="Normal"/>
    <w:link w:val="FooterChar"/>
    <w:uiPriority w:val="99"/>
    <w:unhideWhenUsed/>
    <w:rsid w:val="009A7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825"/>
  </w:style>
  <w:style w:type="character" w:styleId="LineNumber">
    <w:name w:val="line number"/>
    <w:basedOn w:val="DefaultParagraphFont"/>
    <w:uiPriority w:val="99"/>
    <w:semiHidden/>
    <w:unhideWhenUsed/>
    <w:rsid w:val="009F30B8"/>
  </w:style>
  <w:style w:type="character" w:styleId="UnresolvedMention">
    <w:name w:val="Unresolved Mention"/>
    <w:basedOn w:val="DefaultParagraphFont"/>
    <w:uiPriority w:val="99"/>
    <w:semiHidden/>
    <w:unhideWhenUsed/>
    <w:rsid w:val="00564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6804">
      <w:bodyDiv w:val="1"/>
      <w:marLeft w:val="0"/>
      <w:marRight w:val="0"/>
      <w:marTop w:val="0"/>
      <w:marBottom w:val="0"/>
      <w:divBdr>
        <w:top w:val="none" w:sz="0" w:space="0" w:color="auto"/>
        <w:left w:val="none" w:sz="0" w:space="0" w:color="auto"/>
        <w:bottom w:val="none" w:sz="0" w:space="0" w:color="auto"/>
        <w:right w:val="none" w:sz="0" w:space="0" w:color="auto"/>
      </w:divBdr>
      <w:divsChild>
        <w:div w:id="1973948547">
          <w:marLeft w:val="0"/>
          <w:marRight w:val="0"/>
          <w:marTop w:val="0"/>
          <w:marBottom w:val="0"/>
          <w:divBdr>
            <w:top w:val="none" w:sz="0" w:space="0" w:color="auto"/>
            <w:left w:val="none" w:sz="0" w:space="0" w:color="auto"/>
            <w:bottom w:val="none" w:sz="0" w:space="0" w:color="auto"/>
            <w:right w:val="none" w:sz="0" w:space="0" w:color="auto"/>
          </w:divBdr>
          <w:divsChild>
            <w:div w:id="1589344528">
              <w:marLeft w:val="0"/>
              <w:marRight w:val="0"/>
              <w:marTop w:val="0"/>
              <w:marBottom w:val="0"/>
              <w:divBdr>
                <w:top w:val="none" w:sz="0" w:space="0" w:color="auto"/>
                <w:left w:val="none" w:sz="0" w:space="0" w:color="auto"/>
                <w:bottom w:val="none" w:sz="0" w:space="0" w:color="auto"/>
                <w:right w:val="none" w:sz="0" w:space="0" w:color="auto"/>
              </w:divBdr>
              <w:divsChild>
                <w:div w:id="2046782891">
                  <w:marLeft w:val="0"/>
                  <w:marRight w:val="0"/>
                  <w:marTop w:val="0"/>
                  <w:marBottom w:val="0"/>
                  <w:divBdr>
                    <w:top w:val="none" w:sz="0" w:space="0" w:color="auto"/>
                    <w:left w:val="none" w:sz="0" w:space="0" w:color="auto"/>
                    <w:bottom w:val="none" w:sz="0" w:space="0" w:color="auto"/>
                    <w:right w:val="none" w:sz="0" w:space="0" w:color="auto"/>
                  </w:divBdr>
                  <w:divsChild>
                    <w:div w:id="217589172">
                      <w:marLeft w:val="0"/>
                      <w:marRight w:val="0"/>
                      <w:marTop w:val="0"/>
                      <w:marBottom w:val="0"/>
                      <w:divBdr>
                        <w:top w:val="none" w:sz="0" w:space="0" w:color="auto"/>
                        <w:left w:val="none" w:sz="0" w:space="0" w:color="auto"/>
                        <w:bottom w:val="none" w:sz="0" w:space="0" w:color="auto"/>
                        <w:right w:val="none" w:sz="0" w:space="0" w:color="auto"/>
                      </w:divBdr>
                      <w:divsChild>
                        <w:div w:id="773407299">
                          <w:marLeft w:val="0"/>
                          <w:marRight w:val="0"/>
                          <w:marTop w:val="0"/>
                          <w:marBottom w:val="0"/>
                          <w:divBdr>
                            <w:top w:val="none" w:sz="0" w:space="0" w:color="auto"/>
                            <w:left w:val="none" w:sz="0" w:space="0" w:color="auto"/>
                            <w:bottom w:val="none" w:sz="0" w:space="0" w:color="auto"/>
                            <w:right w:val="none" w:sz="0" w:space="0" w:color="auto"/>
                          </w:divBdr>
                          <w:divsChild>
                            <w:div w:id="386607535">
                              <w:marLeft w:val="0"/>
                              <w:marRight w:val="0"/>
                              <w:marTop w:val="0"/>
                              <w:marBottom w:val="0"/>
                              <w:divBdr>
                                <w:top w:val="none" w:sz="0" w:space="0" w:color="auto"/>
                                <w:left w:val="none" w:sz="0" w:space="0" w:color="auto"/>
                                <w:bottom w:val="none" w:sz="0" w:space="0" w:color="auto"/>
                                <w:right w:val="none" w:sz="0" w:space="0" w:color="auto"/>
                              </w:divBdr>
                              <w:divsChild>
                                <w:div w:id="497036415">
                                  <w:marLeft w:val="0"/>
                                  <w:marRight w:val="0"/>
                                  <w:marTop w:val="0"/>
                                  <w:marBottom w:val="0"/>
                                  <w:divBdr>
                                    <w:top w:val="none" w:sz="0" w:space="0" w:color="auto"/>
                                    <w:left w:val="none" w:sz="0" w:space="0" w:color="auto"/>
                                    <w:bottom w:val="none" w:sz="0" w:space="0" w:color="auto"/>
                                    <w:right w:val="none" w:sz="0" w:space="0" w:color="auto"/>
                                  </w:divBdr>
                                  <w:divsChild>
                                    <w:div w:id="20067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649241">
      <w:bodyDiv w:val="1"/>
      <w:marLeft w:val="0"/>
      <w:marRight w:val="0"/>
      <w:marTop w:val="0"/>
      <w:marBottom w:val="0"/>
      <w:divBdr>
        <w:top w:val="none" w:sz="0" w:space="0" w:color="auto"/>
        <w:left w:val="none" w:sz="0" w:space="0" w:color="auto"/>
        <w:bottom w:val="none" w:sz="0" w:space="0" w:color="auto"/>
        <w:right w:val="none" w:sz="0" w:space="0" w:color="auto"/>
      </w:divBdr>
    </w:div>
    <w:div w:id="550575474">
      <w:bodyDiv w:val="1"/>
      <w:marLeft w:val="0"/>
      <w:marRight w:val="0"/>
      <w:marTop w:val="0"/>
      <w:marBottom w:val="0"/>
      <w:divBdr>
        <w:top w:val="none" w:sz="0" w:space="0" w:color="auto"/>
        <w:left w:val="none" w:sz="0" w:space="0" w:color="auto"/>
        <w:bottom w:val="none" w:sz="0" w:space="0" w:color="auto"/>
        <w:right w:val="none" w:sz="0" w:space="0" w:color="auto"/>
      </w:divBdr>
    </w:div>
    <w:div w:id="998926632">
      <w:bodyDiv w:val="1"/>
      <w:marLeft w:val="0"/>
      <w:marRight w:val="0"/>
      <w:marTop w:val="0"/>
      <w:marBottom w:val="0"/>
      <w:divBdr>
        <w:top w:val="none" w:sz="0" w:space="0" w:color="auto"/>
        <w:left w:val="none" w:sz="0" w:space="0" w:color="auto"/>
        <w:bottom w:val="none" w:sz="0" w:space="0" w:color="auto"/>
        <w:right w:val="none" w:sz="0" w:space="0" w:color="auto"/>
      </w:divBdr>
    </w:div>
    <w:div w:id="12732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vetsci10060373" TargetMode="External"/><Relationship Id="rId18" Type="http://schemas.openxmlformats.org/officeDocument/2006/relationships/hyperlink" Target="https://doi.org/10.1016/j.theriogenology.2013.09.001" TargetMode="External"/><Relationship Id="rId26" Type="http://schemas.openxmlformats.org/officeDocument/2006/relationships/hyperlink" Target="https://doi.org/10.7313/UPO9781907284991.030" TargetMode="External"/><Relationship Id="rId39" Type="http://schemas.openxmlformats.org/officeDocument/2006/relationships/fontTable" Target="fontTable.xml"/><Relationship Id="rId21" Type="http://schemas.openxmlformats.org/officeDocument/2006/relationships/hyperlink" Target="https://doi.org/10.1016/j.anireprosci.2004.11.005"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16/j.theriogenology.2005.05.005" TargetMode="External"/><Relationship Id="rId17" Type="http://schemas.openxmlformats.org/officeDocument/2006/relationships/hyperlink" Target="https://doi.org/10.1017/S0962728600019795" TargetMode="External"/><Relationship Id="rId25" Type="http://schemas.openxmlformats.org/officeDocument/2006/relationships/hyperlink" Target="https://doi.org/10.1016/0093-691X(88)90167-8"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2527/jas1979.4861299x" TargetMode="External"/><Relationship Id="rId20" Type="http://schemas.openxmlformats.org/officeDocument/2006/relationships/hyperlink" Target="https://doi.org/10.1530/jrf.0.1110183" TargetMode="External"/><Relationship Id="rId29" Type="http://schemas.openxmlformats.org/officeDocument/2006/relationships/hyperlink" Target="https://doi.org/10.1016/S0093-691X(00)004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theriogenology.2004.01.006" TargetMode="External"/><Relationship Id="rId24" Type="http://schemas.openxmlformats.org/officeDocument/2006/relationships/hyperlink" Target="https://doi.org/10.1046/j.1439-0531.2003.00436.x" TargetMode="External"/><Relationship Id="rId32" Type="http://schemas.openxmlformats.org/officeDocument/2006/relationships/hyperlink" Target="https://doi.org/10.1016/S0378-4320(00)00102-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0093-691X(94)00254-D" TargetMode="External"/><Relationship Id="rId23" Type="http://schemas.openxmlformats.org/officeDocument/2006/relationships/hyperlink" Target="https://doi.org/10.1111/j.1439-0531.2008.01177.x" TargetMode="External"/><Relationship Id="rId28" Type="http://schemas.openxmlformats.org/officeDocument/2006/relationships/hyperlink" Target="https://doi.org/10.1016/j.theriogenology.2003.08.014" TargetMode="External"/><Relationship Id="rId36" Type="http://schemas.openxmlformats.org/officeDocument/2006/relationships/footer" Target="footer2.xml"/><Relationship Id="rId10" Type="http://schemas.openxmlformats.org/officeDocument/2006/relationships/hyperlink" Target="https://doi.org/10.30911/jaa.2024.v8.i1.003" TargetMode="External"/><Relationship Id="rId19" Type="http://schemas.openxmlformats.org/officeDocument/2006/relationships/hyperlink" Target="https://doi.org/10.2527/jas1978.4651054x" TargetMode="External"/><Relationship Id="rId31" Type="http://schemas.openxmlformats.org/officeDocument/2006/relationships/hyperlink" Target="https://doi.org/10.1002/j.1939-4640.2004.tb02826.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S0093-691X(03)00126-2" TargetMode="External"/><Relationship Id="rId22" Type="http://schemas.openxmlformats.org/officeDocument/2006/relationships/hyperlink" Target="https://doi.org/10.1016/j.anireprosci.2021.106685" TargetMode="External"/><Relationship Id="rId27" Type="http://schemas.openxmlformats.org/officeDocument/2006/relationships/hyperlink" Target="https://doi.org/10.35844/redvet.2024.25.2.001" TargetMode="External"/><Relationship Id="rId30" Type="http://schemas.openxmlformats.org/officeDocument/2006/relationships/hyperlink" Target="https://doi.org/10.1016/j.anireprosci.2010.11.007"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BA46-5A88-4A13-BBF3-62BA55DE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3303</TotalTime>
  <Pages>14</Pages>
  <Words>7970</Words>
  <Characters>45429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dc:creator>
  <cp:keywords/>
  <dc:description/>
  <cp:lastModifiedBy>Ismail Coffie</cp:lastModifiedBy>
  <cp:revision>251</cp:revision>
  <cp:lastPrinted>2025-06-20T01:51:00Z</cp:lastPrinted>
  <dcterms:created xsi:type="dcterms:W3CDTF">2025-06-09T16:00:00Z</dcterms:created>
  <dcterms:modified xsi:type="dcterms:W3CDTF">2025-06-27T09:47:00Z</dcterms:modified>
</cp:coreProperties>
</file>