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B575" w14:textId="77777777" w:rsidR="00754C9A" w:rsidRPr="006134C3" w:rsidRDefault="00754C9A" w:rsidP="00441B6F">
      <w:pPr>
        <w:pStyle w:val="Title"/>
        <w:spacing w:after="0"/>
        <w:jc w:val="both"/>
        <w:rPr>
          <w:rFonts w:ascii="Arial" w:hAnsi="Arial" w:cs="Arial"/>
        </w:rPr>
      </w:pPr>
      <w:bookmarkStart w:id="0" w:name="_Hlk203730530"/>
      <w:bookmarkEnd w:id="0"/>
    </w:p>
    <w:p w14:paraId="73E20C1D" w14:textId="0B82CD25" w:rsidR="00163BC4" w:rsidRPr="006134C3" w:rsidRDefault="009F7D8E" w:rsidP="00441B6F">
      <w:pPr>
        <w:pStyle w:val="Author"/>
        <w:spacing w:line="240" w:lineRule="auto"/>
        <w:rPr>
          <w:rFonts w:ascii="Arial" w:hAnsi="Arial" w:cs="Arial"/>
          <w:bCs/>
          <w:iCs/>
          <w:kern w:val="28"/>
          <w:sz w:val="36"/>
        </w:rPr>
      </w:pPr>
      <w:r w:rsidRPr="006134C3">
        <w:rPr>
          <w:rFonts w:ascii="Arial" w:hAnsi="Arial" w:cs="Arial"/>
          <w:bCs/>
          <w:iCs/>
          <w:kern w:val="28"/>
          <w:sz w:val="36"/>
        </w:rPr>
        <w:t>Growth and Yield Response of Soybean (</w:t>
      </w:r>
      <w:r w:rsidRPr="006134C3">
        <w:rPr>
          <w:rFonts w:ascii="Arial" w:hAnsi="Arial" w:cs="Arial"/>
          <w:bCs/>
          <w:i/>
          <w:kern w:val="28"/>
          <w:sz w:val="36"/>
        </w:rPr>
        <w:t>Gl</w:t>
      </w:r>
      <w:r w:rsidR="006134C3" w:rsidRPr="006134C3">
        <w:rPr>
          <w:rFonts w:ascii="Arial" w:hAnsi="Arial" w:cs="Arial"/>
          <w:bCs/>
          <w:i/>
          <w:kern w:val="28"/>
          <w:sz w:val="36"/>
        </w:rPr>
        <w:t>y</w:t>
      </w:r>
      <w:r w:rsidRPr="006134C3">
        <w:rPr>
          <w:rFonts w:ascii="Arial" w:hAnsi="Arial" w:cs="Arial"/>
          <w:bCs/>
          <w:i/>
          <w:kern w:val="28"/>
          <w:sz w:val="36"/>
        </w:rPr>
        <w:t>cine max</w:t>
      </w:r>
      <w:r w:rsidRPr="006134C3">
        <w:rPr>
          <w:rFonts w:ascii="Arial" w:hAnsi="Arial" w:cs="Arial"/>
          <w:bCs/>
          <w:iCs/>
          <w:kern w:val="28"/>
          <w:sz w:val="36"/>
        </w:rPr>
        <w:t xml:space="preserve"> (L.) Merril) to Application of Water Hyacinth Compost (</w:t>
      </w:r>
      <w:r w:rsidRPr="006134C3">
        <w:rPr>
          <w:rFonts w:ascii="Arial" w:hAnsi="Arial" w:cs="Arial"/>
          <w:bCs/>
          <w:i/>
          <w:kern w:val="28"/>
          <w:sz w:val="36"/>
        </w:rPr>
        <w:t>Eichornia crassipes</w:t>
      </w:r>
      <w:r w:rsidRPr="006134C3">
        <w:rPr>
          <w:rFonts w:ascii="Arial" w:hAnsi="Arial" w:cs="Arial"/>
          <w:bCs/>
          <w:iCs/>
          <w:kern w:val="28"/>
          <w:sz w:val="36"/>
        </w:rPr>
        <w:t>) and SP-36 Fertilizer in Ultisols</w:t>
      </w:r>
    </w:p>
    <w:p w14:paraId="3B243B45" w14:textId="7350E6F2" w:rsidR="00B01FCD" w:rsidRPr="006134C3" w:rsidRDefault="006134C3" w:rsidP="00441B6F">
      <w:pPr>
        <w:pStyle w:val="Copyright"/>
        <w:spacing w:after="0" w:line="240" w:lineRule="auto"/>
        <w:jc w:val="both"/>
        <w:rPr>
          <w:rFonts w:ascii="Arial" w:hAnsi="Arial" w:cs="Arial"/>
        </w:rPr>
        <w:sectPr w:rsidR="00B01FCD" w:rsidRPr="006134C3" w:rsidSect="00C1109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6134C3">
        <w:rPr>
          <w:rFonts w:ascii="Arial" w:hAnsi="Arial" w:cs="Arial"/>
          <w:noProof/>
        </w:rPr>
        <mc:AlternateContent>
          <mc:Choice Requires="wps">
            <w:drawing>
              <wp:inline distT="0" distB="0" distL="0" distR="0" wp14:anchorId="4F420971" wp14:editId="1B67DAF5">
                <wp:extent cx="5303520" cy="635"/>
                <wp:effectExtent l="11430" t="12065" r="9525" b="1651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du="http://schemas.microsoft.com/office/word/2023/wordml/word16du">
            <w:pict>
              <v:shapetype w14:anchorId="77472E7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6134C3">
        <w:rPr>
          <w:rFonts w:ascii="Arial" w:hAnsi="Arial" w:cs="Arial"/>
        </w:rPr>
        <w:t>.</w:t>
      </w:r>
    </w:p>
    <w:p w14:paraId="78028A06" w14:textId="51AF6867" w:rsidR="00B01FCD" w:rsidRPr="006134C3" w:rsidRDefault="00B01FCD" w:rsidP="00441B6F">
      <w:pPr>
        <w:pStyle w:val="AbstHead"/>
        <w:spacing w:after="0"/>
        <w:jc w:val="both"/>
        <w:rPr>
          <w:rFonts w:ascii="Arial" w:hAnsi="Arial" w:cs="Arial"/>
        </w:rPr>
      </w:pPr>
      <w:r w:rsidRPr="006134C3">
        <w:rPr>
          <w:rFonts w:ascii="Arial" w:hAnsi="Arial" w:cs="Arial"/>
        </w:rPr>
        <w:t>ABSTRACT</w:t>
      </w:r>
      <w:r w:rsidR="0066510A" w:rsidRPr="006134C3">
        <w:rPr>
          <w:rFonts w:ascii="Arial" w:hAnsi="Arial" w:cs="Arial"/>
        </w:rPr>
        <w:t xml:space="preserve"> </w:t>
      </w:r>
    </w:p>
    <w:p w14:paraId="1475FEB8" w14:textId="77777777" w:rsidR="00790ADA" w:rsidRPr="006134C3"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6134C3" w14:paraId="05B631BD" w14:textId="77777777" w:rsidTr="004D2689">
        <w:trPr>
          <w:trHeight w:val="2866"/>
        </w:trPr>
        <w:tc>
          <w:tcPr>
            <w:tcW w:w="9576" w:type="dxa"/>
            <w:shd w:val="clear" w:color="auto" w:fill="F2F2F2"/>
          </w:tcPr>
          <w:p w14:paraId="229693F0" w14:textId="6D9DBD17" w:rsidR="00505F06" w:rsidRPr="006134C3" w:rsidRDefault="0092646C" w:rsidP="00441B6F">
            <w:pPr>
              <w:pStyle w:val="Body"/>
              <w:spacing w:after="0"/>
              <w:rPr>
                <w:rFonts w:ascii="Arial" w:eastAsia="Calibri" w:hAnsi="Arial" w:cs="Arial"/>
                <w:szCs w:val="22"/>
              </w:rPr>
            </w:pPr>
            <w:r w:rsidRPr="0092646C">
              <w:rPr>
                <w:rFonts w:ascii="Arial" w:hAnsi="Arial" w:cs="Arial"/>
                <w:color w:val="000000"/>
              </w:rPr>
              <w:t>Fertilization is one of the key factors in soybean cultivation to increase growth and yield, particularly when using organic materials such as compost and inorganic fertilizers like SP-36. The study aimed to evaluate the effect of compost and SP-36 fertilizer on soybean growth and yield. This research was conducted from October 2024 to February 2025 in a farmer farm at Bentiring Permai Village, Bengkulu City, Indonesia at an altitude of 24.7 m above sea level. The experiment was arranged in a factorial Randomized Complete Block Design (RCBD) with three replications and two factors. The first factor was the dose of water hyacinth compost, with levels as follows 0,15, 30, and 45 tons/ha. The second factor was the SP-36 fertilizer dose, with the following levels: 0, 70, 140 and 210 kg/ha. The study demonstrated that water hyacinth compost significantly influenced several growth and yield variables of soybean. The water hyacinth compost at 45 tons/ha had a notable positive effect on plant height, number of leaves, number of branches, shoot dry weight, root dry weight, number of filled pods, and seed weight per plant. Increasing compost doses resulted in a linear improvement across all observed variables. The control treatment (0 ton/ha) consistently showed the lowest values for all parameters, while at dose of 45 tons/ha produced the highest plant height, number of leaves, number of branches, shoot and root dry weight, number of filled pods, and seed weight per pl</w:t>
            </w:r>
            <w:r w:rsidR="00F16E5D">
              <w:rPr>
                <w:rFonts w:ascii="Arial" w:hAnsi="Arial" w:cs="Arial"/>
                <w:color w:val="000000"/>
              </w:rPr>
              <w:t>o</w:t>
            </w:r>
            <w:r w:rsidRPr="0092646C">
              <w:rPr>
                <w:rFonts w:ascii="Arial" w:hAnsi="Arial" w:cs="Arial"/>
                <w:color w:val="000000"/>
              </w:rPr>
              <w:t>t. In contrast, the application of SP-36 fertilizer did not significantly affect any of the observed variables. These findings highlight the potential of water hyacinth compost as a sustainable soil amendment that can significantly improve soybean productivity in Ultisol soils.</w:t>
            </w:r>
          </w:p>
        </w:tc>
      </w:tr>
    </w:tbl>
    <w:p w14:paraId="399EC114" w14:textId="77777777" w:rsidR="00636EB2" w:rsidRPr="006134C3" w:rsidRDefault="00636EB2" w:rsidP="00441B6F">
      <w:pPr>
        <w:pStyle w:val="Body"/>
        <w:spacing w:after="0"/>
        <w:rPr>
          <w:rFonts w:ascii="Arial" w:hAnsi="Arial" w:cs="Arial"/>
          <w:i/>
        </w:rPr>
      </w:pPr>
    </w:p>
    <w:p w14:paraId="1A61F68F" w14:textId="0A1DA3AB" w:rsidR="00A24E7E" w:rsidRPr="006134C3" w:rsidRDefault="00A24E7E" w:rsidP="00441B6F">
      <w:pPr>
        <w:pStyle w:val="Body"/>
        <w:spacing w:after="0"/>
        <w:rPr>
          <w:rFonts w:ascii="Arial" w:hAnsi="Arial" w:cs="Arial"/>
          <w:i/>
        </w:rPr>
      </w:pPr>
      <w:r w:rsidRPr="006134C3">
        <w:rPr>
          <w:rFonts w:ascii="Arial" w:hAnsi="Arial" w:cs="Arial"/>
          <w:i/>
        </w:rPr>
        <w:t xml:space="preserve">Keywords: </w:t>
      </w:r>
      <w:r w:rsidR="00F827AF" w:rsidRPr="006134C3">
        <w:rPr>
          <w:rFonts w:ascii="Arial" w:hAnsi="Arial" w:cs="Arial"/>
          <w:i/>
          <w:szCs w:val="24"/>
        </w:rPr>
        <w:t xml:space="preserve">Organic </w:t>
      </w:r>
      <w:r w:rsidR="0092646C">
        <w:rPr>
          <w:rFonts w:ascii="Arial" w:hAnsi="Arial" w:cs="Arial"/>
          <w:i/>
          <w:szCs w:val="24"/>
        </w:rPr>
        <w:t>F</w:t>
      </w:r>
      <w:r w:rsidR="00F827AF" w:rsidRPr="006134C3">
        <w:rPr>
          <w:rFonts w:ascii="Arial" w:hAnsi="Arial" w:cs="Arial"/>
          <w:i/>
          <w:szCs w:val="24"/>
        </w:rPr>
        <w:t xml:space="preserve">ertilizer, </w:t>
      </w:r>
      <w:r w:rsidR="00F827AF" w:rsidRPr="006134C3">
        <w:rPr>
          <w:rFonts w:ascii="Arial" w:hAnsi="Arial" w:cs="Arial"/>
          <w:i/>
          <w:szCs w:val="24"/>
          <w:lang w:val="id-ID"/>
        </w:rPr>
        <w:t>Soybeans, SP-36 Fertilizer</w:t>
      </w:r>
      <w:r w:rsidR="00F827AF" w:rsidRPr="006134C3">
        <w:rPr>
          <w:rFonts w:ascii="Arial" w:hAnsi="Arial" w:cs="Arial"/>
          <w:i/>
          <w:szCs w:val="24"/>
        </w:rPr>
        <w:t>,</w:t>
      </w:r>
      <w:r w:rsidR="00F827AF" w:rsidRPr="006134C3">
        <w:rPr>
          <w:rFonts w:ascii="Arial" w:hAnsi="Arial" w:cs="Arial"/>
          <w:i/>
          <w:szCs w:val="24"/>
          <w:lang w:val="id-ID"/>
        </w:rPr>
        <w:t xml:space="preserve"> </w:t>
      </w:r>
      <w:r w:rsidR="00F827AF" w:rsidRPr="006134C3">
        <w:rPr>
          <w:rFonts w:ascii="Arial" w:hAnsi="Arial" w:cs="Arial"/>
          <w:i/>
          <w:szCs w:val="24"/>
        </w:rPr>
        <w:t xml:space="preserve">Ultisol, </w:t>
      </w:r>
      <w:r w:rsidR="00F827AF" w:rsidRPr="006134C3">
        <w:rPr>
          <w:rFonts w:ascii="Arial" w:hAnsi="Arial" w:cs="Arial"/>
          <w:i/>
          <w:szCs w:val="24"/>
          <w:lang w:val="id-ID"/>
        </w:rPr>
        <w:t>Water Hyacinth Compost</w:t>
      </w:r>
    </w:p>
    <w:p w14:paraId="19DD81D0" w14:textId="77777777" w:rsidR="00505F06" w:rsidRPr="006134C3" w:rsidRDefault="00505F06" w:rsidP="00441B6F">
      <w:pPr>
        <w:pStyle w:val="Body"/>
        <w:spacing w:after="0"/>
        <w:rPr>
          <w:rFonts w:ascii="Arial" w:hAnsi="Arial" w:cs="Arial"/>
          <w:i/>
        </w:rPr>
      </w:pPr>
    </w:p>
    <w:p w14:paraId="61C9C028" w14:textId="1408C7B2" w:rsidR="007F7B32" w:rsidRPr="006134C3" w:rsidRDefault="00902823" w:rsidP="00441B6F">
      <w:pPr>
        <w:pStyle w:val="AbstHead"/>
        <w:spacing w:after="0"/>
        <w:jc w:val="both"/>
        <w:rPr>
          <w:rFonts w:ascii="Arial" w:hAnsi="Arial" w:cs="Arial"/>
        </w:rPr>
      </w:pPr>
      <w:r w:rsidRPr="006134C3">
        <w:rPr>
          <w:rFonts w:ascii="Arial" w:hAnsi="Arial" w:cs="Arial"/>
        </w:rPr>
        <w:t xml:space="preserve">1. </w:t>
      </w:r>
      <w:r w:rsidR="00B01FCD" w:rsidRPr="006134C3">
        <w:rPr>
          <w:rFonts w:ascii="Arial" w:hAnsi="Arial" w:cs="Arial"/>
        </w:rPr>
        <w:t>INTRODUCTION</w:t>
      </w:r>
      <w:r w:rsidR="007F7B32" w:rsidRPr="006134C3">
        <w:rPr>
          <w:rFonts w:ascii="Arial" w:hAnsi="Arial" w:cs="Arial"/>
        </w:rPr>
        <w:t xml:space="preserve"> </w:t>
      </w:r>
    </w:p>
    <w:p w14:paraId="13DDB632" w14:textId="77777777" w:rsidR="00790ADA" w:rsidRPr="006134C3" w:rsidRDefault="00790ADA" w:rsidP="00441B6F">
      <w:pPr>
        <w:pStyle w:val="AbstHead"/>
        <w:spacing w:after="0"/>
        <w:jc w:val="both"/>
        <w:rPr>
          <w:rFonts w:ascii="Arial" w:hAnsi="Arial" w:cs="Arial"/>
        </w:rPr>
      </w:pPr>
    </w:p>
    <w:p w14:paraId="269C357A" w14:textId="1370EA1D" w:rsidR="00F827AF" w:rsidRPr="006134C3" w:rsidRDefault="00F827AF" w:rsidP="00F827AF">
      <w:pPr>
        <w:jc w:val="both"/>
        <w:rPr>
          <w:rFonts w:ascii="Arial" w:hAnsi="Arial" w:cs="Arial"/>
        </w:rPr>
      </w:pPr>
      <w:r w:rsidRPr="006134C3">
        <w:rPr>
          <w:rFonts w:ascii="Arial" w:hAnsi="Arial" w:cs="Arial"/>
          <w:lang w:val="id-ID"/>
        </w:rPr>
        <w:t>Soybean (</w:t>
      </w:r>
      <w:r w:rsidRPr="006134C3">
        <w:rPr>
          <w:rFonts w:ascii="Arial" w:hAnsi="Arial" w:cs="Arial"/>
          <w:i/>
          <w:lang w:val="id-ID"/>
        </w:rPr>
        <w:t>Glycine max</w:t>
      </w:r>
      <w:r w:rsidRPr="006134C3">
        <w:rPr>
          <w:rFonts w:ascii="Arial" w:hAnsi="Arial" w:cs="Arial"/>
          <w:lang w:val="id-ID"/>
        </w:rPr>
        <w:t xml:space="preserve"> L. Merril) is a vital legume crop widely used in East Asian foods like tofu, tempeh, and soy sauce. It serves as a primary source of high-quality plant-based protein and oil, containing essential amino acids beneficial for human health (</w:t>
      </w:r>
      <w:r w:rsidRPr="006134C3">
        <w:rPr>
          <w:rFonts w:ascii="Arial" w:hAnsi="Arial" w:cs="Arial"/>
        </w:rPr>
        <w:t>Jid</w:t>
      </w:r>
      <w:r w:rsidR="0092646C">
        <w:rPr>
          <w:rFonts w:ascii="Arial" w:hAnsi="Arial" w:cs="Arial"/>
        </w:rPr>
        <w:t>ea</w:t>
      </w:r>
      <w:r w:rsidRPr="006134C3">
        <w:rPr>
          <w:rFonts w:ascii="Arial" w:hAnsi="Arial" w:cs="Arial"/>
        </w:rPr>
        <w:t>ni</w:t>
      </w:r>
      <w:r w:rsidRPr="006134C3">
        <w:rPr>
          <w:rFonts w:ascii="Arial" w:hAnsi="Arial" w:cs="Arial"/>
          <w:lang w:val="id-ID"/>
        </w:rPr>
        <w:t>, 20</w:t>
      </w:r>
      <w:r w:rsidRPr="006134C3">
        <w:rPr>
          <w:rFonts w:ascii="Arial" w:hAnsi="Arial" w:cs="Arial"/>
        </w:rPr>
        <w:t>1</w:t>
      </w:r>
      <w:r w:rsidRPr="006134C3">
        <w:rPr>
          <w:rFonts w:ascii="Arial" w:hAnsi="Arial" w:cs="Arial"/>
          <w:lang w:val="id-ID"/>
        </w:rPr>
        <w:t>1). Soybean seeds are nutritionally rich, providing protein, fats, vitamins, and minerals such as phytic acid, making them an affordable and accessible nutrient source (</w:t>
      </w:r>
      <w:r w:rsidRPr="006134C3">
        <w:rPr>
          <w:rFonts w:ascii="Arial" w:hAnsi="Arial" w:cs="Arial"/>
        </w:rPr>
        <w:t>Li and Qi</w:t>
      </w:r>
      <w:r w:rsidRPr="006134C3">
        <w:rPr>
          <w:rFonts w:ascii="Arial" w:hAnsi="Arial" w:cs="Arial"/>
          <w:lang w:val="id-ID"/>
        </w:rPr>
        <w:t>, 202</w:t>
      </w:r>
      <w:r w:rsidRPr="006134C3">
        <w:rPr>
          <w:rFonts w:ascii="Arial" w:hAnsi="Arial" w:cs="Arial"/>
        </w:rPr>
        <w:t>2</w:t>
      </w:r>
      <w:r w:rsidRPr="006134C3">
        <w:rPr>
          <w:rFonts w:ascii="Arial" w:hAnsi="Arial" w:cs="Arial"/>
          <w:lang w:val="id-ID"/>
        </w:rPr>
        <w:t>).</w:t>
      </w:r>
      <w:r w:rsidRPr="006134C3">
        <w:rPr>
          <w:rFonts w:ascii="Arial" w:hAnsi="Arial" w:cs="Arial"/>
        </w:rPr>
        <w:t xml:space="preserve"> </w:t>
      </w:r>
    </w:p>
    <w:p w14:paraId="51BC444A" w14:textId="77777777" w:rsidR="00F827AF" w:rsidRPr="006134C3" w:rsidRDefault="00F827AF" w:rsidP="00F827AF">
      <w:pPr>
        <w:jc w:val="both"/>
        <w:rPr>
          <w:rFonts w:ascii="Arial" w:hAnsi="Arial" w:cs="Arial"/>
        </w:rPr>
      </w:pPr>
    </w:p>
    <w:p w14:paraId="3E94A2D9" w14:textId="77777777" w:rsidR="00F827AF" w:rsidRPr="006134C3" w:rsidRDefault="00F827AF" w:rsidP="00F827AF">
      <w:pPr>
        <w:jc w:val="both"/>
        <w:rPr>
          <w:rFonts w:ascii="Arial" w:hAnsi="Arial" w:cs="Arial"/>
          <w:lang w:val="id-ID"/>
        </w:rPr>
      </w:pPr>
      <w:r w:rsidRPr="006134C3">
        <w:rPr>
          <w:rFonts w:ascii="Arial" w:hAnsi="Arial" w:cs="Arial"/>
          <w:lang w:val="id-ID"/>
        </w:rPr>
        <w:t>Bengkulu Province, Indonesia, is predominantly characterized by acidic Ultisols, which account for approximately 89.87% of its suboptimal agricultural land (Sarwani, 2013</w:t>
      </w:r>
      <w:r w:rsidRPr="006134C3">
        <w:rPr>
          <w:rFonts w:ascii="Arial" w:hAnsi="Arial" w:cs="Arial"/>
        </w:rPr>
        <w:t xml:space="preserve">). </w:t>
      </w:r>
      <w:r w:rsidRPr="006134C3">
        <w:rPr>
          <w:rFonts w:ascii="Arial" w:hAnsi="Arial" w:cs="Arial"/>
          <w:lang w:val="id-ID"/>
        </w:rPr>
        <w:t>This prevalence underscores Ultisol as the dominant soil type in the region. Given its inherent constraints—including low pH, poor nutrient availability, and high aluminum toxicity—targeted soil management strategies are essential to enhance fertility and support optimal crop productivity (</w:t>
      </w:r>
      <w:r w:rsidRPr="006134C3">
        <w:rPr>
          <w:rFonts w:ascii="Arial" w:hAnsi="Arial" w:cs="Arial"/>
        </w:rPr>
        <w:t xml:space="preserve">Purwanto </w:t>
      </w:r>
      <w:r w:rsidRPr="006134C3">
        <w:rPr>
          <w:rFonts w:ascii="Arial" w:hAnsi="Arial" w:cs="Arial"/>
          <w:lang w:val="id-ID"/>
        </w:rPr>
        <w:t>et al., 202</w:t>
      </w:r>
      <w:r w:rsidRPr="006134C3">
        <w:rPr>
          <w:rFonts w:ascii="Arial" w:hAnsi="Arial" w:cs="Arial"/>
        </w:rPr>
        <w:t>1</w:t>
      </w:r>
      <w:r w:rsidRPr="006134C3">
        <w:rPr>
          <w:rFonts w:ascii="Arial" w:hAnsi="Arial" w:cs="Arial"/>
          <w:lang w:val="id-ID"/>
        </w:rPr>
        <w:t>). Effective interventions, such as organic amendments and lime application, are critical to mitigate these limitations and maximize agricultural yields on Ultisols (</w:t>
      </w:r>
      <w:r w:rsidRPr="006134C3">
        <w:rPr>
          <w:rFonts w:ascii="Arial" w:hAnsi="Arial" w:cs="Arial"/>
        </w:rPr>
        <w:t>Ayodele and Shittu, 2014; Dejene et al., 2023</w:t>
      </w:r>
      <w:r w:rsidRPr="006134C3">
        <w:rPr>
          <w:rFonts w:ascii="Arial" w:hAnsi="Arial" w:cs="Arial"/>
          <w:lang w:val="id-ID"/>
        </w:rPr>
        <w:t>).</w:t>
      </w:r>
    </w:p>
    <w:p w14:paraId="6738421C" w14:textId="77777777" w:rsidR="00F827AF" w:rsidRPr="006134C3" w:rsidRDefault="00F827AF" w:rsidP="00F827AF">
      <w:pPr>
        <w:jc w:val="both"/>
        <w:rPr>
          <w:rFonts w:ascii="Arial" w:hAnsi="Arial" w:cs="Arial"/>
          <w:lang w:val="id-ID"/>
        </w:rPr>
      </w:pPr>
    </w:p>
    <w:p w14:paraId="744D1FDC" w14:textId="77777777" w:rsidR="00F827AF" w:rsidRPr="006134C3" w:rsidRDefault="00F827AF" w:rsidP="00F827AF">
      <w:pPr>
        <w:jc w:val="both"/>
        <w:rPr>
          <w:rFonts w:ascii="Arial" w:hAnsi="Arial" w:cs="Arial"/>
          <w:lang w:val="id-ID"/>
        </w:rPr>
      </w:pPr>
      <w:r w:rsidRPr="006134C3">
        <w:rPr>
          <w:rFonts w:ascii="Arial" w:hAnsi="Arial" w:cs="Arial"/>
          <w:lang w:val="id-ID"/>
        </w:rPr>
        <w:lastRenderedPageBreak/>
        <w:t>Ultisols are highly weathered, acidic mineral soils characterized by reddish-yellow to dark red coloration, clayey texture, and poor fertility (</w:t>
      </w:r>
      <w:r w:rsidRPr="006134C3">
        <w:rPr>
          <w:rFonts w:ascii="Arial" w:hAnsi="Arial" w:cs="Arial"/>
        </w:rPr>
        <w:t>Sanchez</w:t>
      </w:r>
      <w:r w:rsidRPr="006134C3">
        <w:rPr>
          <w:rFonts w:ascii="Arial" w:hAnsi="Arial" w:cs="Arial"/>
          <w:lang w:val="id-ID"/>
        </w:rPr>
        <w:t>, 20</w:t>
      </w:r>
      <w:r w:rsidRPr="006134C3">
        <w:rPr>
          <w:rFonts w:ascii="Arial" w:hAnsi="Arial" w:cs="Arial"/>
        </w:rPr>
        <w:t>19</w:t>
      </w:r>
      <w:r w:rsidRPr="006134C3">
        <w:rPr>
          <w:rFonts w:ascii="Arial" w:hAnsi="Arial" w:cs="Arial"/>
          <w:lang w:val="id-ID"/>
        </w:rPr>
        <w:t>). These soils exhibit a pH below 5, low cation exchange capacity (CEC), and base saturation, along</w:t>
      </w:r>
      <w:r w:rsidRPr="006134C3">
        <w:rPr>
          <w:rFonts w:ascii="Arial" w:hAnsi="Arial" w:cs="Arial"/>
        </w:rPr>
        <w:t xml:space="preserve"> with</w:t>
      </w:r>
      <w:r w:rsidRPr="006134C3">
        <w:rPr>
          <w:rFonts w:ascii="Arial" w:hAnsi="Arial" w:cs="Arial"/>
          <w:lang w:val="id-ID"/>
        </w:rPr>
        <w:t xml:space="preserve"> high aluminum toxicity and low organic carbon content (</w:t>
      </w:r>
      <w:r w:rsidRPr="006134C3">
        <w:rPr>
          <w:rFonts w:ascii="Arial" w:hAnsi="Arial" w:cs="Arial"/>
        </w:rPr>
        <w:t>Brady</w:t>
      </w:r>
      <w:r w:rsidRPr="006134C3">
        <w:rPr>
          <w:rFonts w:ascii="Arial" w:hAnsi="Arial" w:cs="Arial"/>
          <w:lang w:val="id-ID"/>
        </w:rPr>
        <w:t xml:space="preserve"> et al., 20</w:t>
      </w:r>
      <w:r w:rsidRPr="006134C3">
        <w:rPr>
          <w:rFonts w:ascii="Arial" w:hAnsi="Arial" w:cs="Arial"/>
        </w:rPr>
        <w:t>08</w:t>
      </w:r>
      <w:r w:rsidRPr="006134C3">
        <w:rPr>
          <w:rFonts w:ascii="Arial" w:hAnsi="Arial" w:cs="Arial"/>
          <w:lang w:val="id-ID"/>
        </w:rPr>
        <w:t>). A critical limitation is phosphorus (P) fixation due to binding with iron oxides and kaolinite, rendering P unavailable to plants (</w:t>
      </w:r>
      <w:r w:rsidRPr="006134C3">
        <w:rPr>
          <w:rFonts w:ascii="Arial" w:hAnsi="Arial" w:cs="Arial"/>
        </w:rPr>
        <w:t>Wang</w:t>
      </w:r>
      <w:r w:rsidRPr="006134C3">
        <w:rPr>
          <w:rFonts w:ascii="Arial" w:hAnsi="Arial" w:cs="Arial"/>
          <w:lang w:val="id-ID"/>
        </w:rPr>
        <w:t xml:space="preserve"> et al., 20</w:t>
      </w:r>
      <w:r w:rsidRPr="006134C3">
        <w:rPr>
          <w:rFonts w:ascii="Arial" w:hAnsi="Arial" w:cs="Arial"/>
        </w:rPr>
        <w:t>15</w:t>
      </w:r>
      <w:r w:rsidRPr="006134C3">
        <w:rPr>
          <w:rFonts w:ascii="Arial" w:hAnsi="Arial" w:cs="Arial"/>
          <w:lang w:val="id-ID"/>
        </w:rPr>
        <w:t xml:space="preserve">). Consequently, aluminum toxicity and phosphorus deficiency represent the primary constraints for crop production in Ultisols (Siregar &amp; Nugroho, 2021; </w:t>
      </w:r>
      <w:r w:rsidRPr="006134C3">
        <w:rPr>
          <w:rFonts w:ascii="Arial" w:hAnsi="Arial" w:cs="Arial"/>
        </w:rPr>
        <w:t>He</w:t>
      </w:r>
      <w:r w:rsidRPr="006134C3">
        <w:rPr>
          <w:rFonts w:ascii="Arial" w:hAnsi="Arial" w:cs="Arial"/>
          <w:lang w:val="id-ID"/>
        </w:rPr>
        <w:t xml:space="preserve"> et al., 20</w:t>
      </w:r>
      <w:r w:rsidRPr="006134C3">
        <w:rPr>
          <w:rFonts w:ascii="Arial" w:hAnsi="Arial" w:cs="Arial"/>
        </w:rPr>
        <w:t>11</w:t>
      </w:r>
      <w:r w:rsidRPr="006134C3">
        <w:rPr>
          <w:rFonts w:ascii="Arial" w:hAnsi="Arial" w:cs="Arial"/>
          <w:lang w:val="id-ID"/>
        </w:rPr>
        <w:t>).</w:t>
      </w:r>
    </w:p>
    <w:p w14:paraId="4DCC2625" w14:textId="77777777" w:rsidR="00F827AF" w:rsidRPr="006134C3" w:rsidRDefault="00F827AF" w:rsidP="00F827AF">
      <w:pPr>
        <w:jc w:val="both"/>
        <w:rPr>
          <w:rFonts w:ascii="Arial" w:hAnsi="Arial" w:cs="Arial"/>
          <w:lang w:val="id-ID"/>
        </w:rPr>
      </w:pPr>
    </w:p>
    <w:p w14:paraId="2BE03096" w14:textId="5FBEADDF" w:rsidR="00F827AF" w:rsidRPr="008A185A" w:rsidRDefault="00F827AF" w:rsidP="00F827AF">
      <w:pPr>
        <w:jc w:val="both"/>
        <w:rPr>
          <w:rFonts w:ascii="Arial" w:hAnsi="Arial" w:cs="Arial"/>
          <w:highlight w:val="yellow"/>
        </w:rPr>
      </w:pPr>
      <w:r w:rsidRPr="006134C3">
        <w:rPr>
          <w:rFonts w:ascii="Arial" w:hAnsi="Arial" w:cs="Arial"/>
        </w:rPr>
        <w:t>F</w:t>
      </w:r>
      <w:r w:rsidRPr="006134C3">
        <w:rPr>
          <w:rFonts w:ascii="Arial" w:hAnsi="Arial" w:cs="Arial"/>
          <w:lang w:val="id-ID"/>
        </w:rPr>
        <w:t>ertilizers are categorized into organic and inorganic types based on their origin and nutrient composition (</w:t>
      </w:r>
      <w:r w:rsidRPr="006134C3">
        <w:rPr>
          <w:rFonts w:ascii="Arial" w:hAnsi="Arial" w:cs="Arial"/>
        </w:rPr>
        <w:t>Rashmi</w:t>
      </w:r>
      <w:r w:rsidRPr="006134C3">
        <w:rPr>
          <w:rFonts w:ascii="Arial" w:hAnsi="Arial" w:cs="Arial"/>
          <w:lang w:val="id-ID"/>
        </w:rPr>
        <w:t xml:space="preserve"> et al., 2020). Organic fertilizers, derived from natural sources like animal manure, compost, and plant residues, enhance soil structure and microbial activity while slowly releasing nutrients (</w:t>
      </w:r>
      <w:r w:rsidRPr="006134C3">
        <w:rPr>
          <w:rFonts w:ascii="Arial" w:hAnsi="Arial" w:cs="Arial"/>
        </w:rPr>
        <w:t>Singh</w:t>
      </w:r>
      <w:r w:rsidRPr="006134C3">
        <w:rPr>
          <w:rFonts w:ascii="Arial" w:hAnsi="Arial" w:cs="Arial"/>
          <w:lang w:val="id-ID"/>
        </w:rPr>
        <w:t xml:space="preserve"> et al., 202</w:t>
      </w:r>
      <w:r w:rsidRPr="006134C3">
        <w:rPr>
          <w:rFonts w:ascii="Arial" w:hAnsi="Arial" w:cs="Arial"/>
        </w:rPr>
        <w:t>0</w:t>
      </w:r>
      <w:r w:rsidRPr="006134C3">
        <w:rPr>
          <w:rFonts w:ascii="Arial" w:hAnsi="Arial" w:cs="Arial"/>
          <w:lang w:val="id-ID"/>
        </w:rPr>
        <w:t>). In contrast, inorganic fertilizers such as urea (N), SP-36 (P), and KCl (K) are industrially produced for rapid nutrient availability (</w:t>
      </w:r>
      <w:r w:rsidRPr="006134C3">
        <w:rPr>
          <w:rFonts w:ascii="Arial" w:hAnsi="Arial" w:cs="Arial"/>
        </w:rPr>
        <w:t>Hera</w:t>
      </w:r>
      <w:r w:rsidRPr="006134C3">
        <w:rPr>
          <w:rFonts w:ascii="Arial" w:hAnsi="Arial" w:cs="Arial"/>
          <w:lang w:val="id-ID"/>
        </w:rPr>
        <w:t xml:space="preserve">, </w:t>
      </w:r>
      <w:r w:rsidRPr="006134C3">
        <w:rPr>
          <w:rFonts w:ascii="Arial" w:hAnsi="Arial" w:cs="Arial"/>
        </w:rPr>
        <w:t>1995</w:t>
      </w:r>
      <w:r w:rsidRPr="006134C3">
        <w:rPr>
          <w:rFonts w:ascii="Arial" w:hAnsi="Arial" w:cs="Arial"/>
          <w:lang w:val="id-ID"/>
        </w:rPr>
        <w:t>).</w:t>
      </w:r>
      <w:r w:rsidRPr="006134C3">
        <w:rPr>
          <w:rFonts w:ascii="Arial" w:hAnsi="Arial" w:cs="Arial"/>
        </w:rPr>
        <w:t xml:space="preserve"> </w:t>
      </w:r>
      <w:r w:rsidRPr="006134C3">
        <w:rPr>
          <w:rFonts w:ascii="Arial" w:hAnsi="Arial" w:cs="Arial"/>
          <w:lang w:val="id-ID"/>
        </w:rPr>
        <w:t>While inorganic fertilizers boost immediate plant growth, excessive use can degrade soil quality and cause environmental pollution (</w:t>
      </w:r>
      <w:r w:rsidRPr="006134C3">
        <w:rPr>
          <w:rFonts w:ascii="Arial" w:hAnsi="Arial" w:cs="Arial"/>
        </w:rPr>
        <w:t>Jote</w:t>
      </w:r>
      <w:r w:rsidRPr="006134C3">
        <w:rPr>
          <w:rFonts w:ascii="Arial" w:hAnsi="Arial" w:cs="Arial"/>
          <w:lang w:val="id-ID"/>
        </w:rPr>
        <w:t>, 2023</w:t>
      </w:r>
      <w:r w:rsidRPr="006134C3">
        <w:rPr>
          <w:rFonts w:ascii="Arial" w:hAnsi="Arial" w:cs="Arial"/>
        </w:rPr>
        <w:t>)</w:t>
      </w:r>
      <w:r w:rsidRPr="006134C3">
        <w:rPr>
          <w:rFonts w:ascii="Arial" w:hAnsi="Arial" w:cs="Arial"/>
          <w:lang w:val="id-ID"/>
        </w:rPr>
        <w:t xml:space="preserve">. Sustainable practices combining both fertilizer types are </w:t>
      </w:r>
      <w:r w:rsidRPr="008A185A">
        <w:rPr>
          <w:rFonts w:ascii="Arial" w:hAnsi="Arial" w:cs="Arial"/>
          <w:lang w:val="id-ID"/>
        </w:rPr>
        <w:t>recommended for optimal crop production and soil health maintenance (Sharma and Chetani, 2017</w:t>
      </w:r>
      <w:r w:rsidRPr="008A185A">
        <w:rPr>
          <w:rFonts w:ascii="Arial" w:hAnsi="Arial" w:cs="Arial"/>
        </w:rPr>
        <w:t>; Chejara et al., 2021).</w:t>
      </w:r>
      <w:r w:rsidR="007424D2" w:rsidRPr="008A185A">
        <w:rPr>
          <w:rFonts w:ascii="Arial" w:hAnsi="Arial" w:cs="Arial"/>
        </w:rPr>
        <w:t xml:space="preserve"> </w:t>
      </w:r>
      <w:r w:rsidR="007424D2" w:rsidRPr="008A185A">
        <w:rPr>
          <w:rFonts w:ascii="Arial" w:hAnsi="Arial" w:cs="Arial" w:hint="eastAsia"/>
          <w:lang w:eastAsia="zh-CN"/>
        </w:rPr>
        <w:t xml:space="preserve">Organic manures, such as farmyard manure (FYM), vermicompost, and poultry manure, play a vital role in improving various aspects of soil health (Dotaniya et al., 2020). The organic inputs enhance soil physical properties (Khandagle et al., 2019a), chemical properties (Khandagle et al., 2019b), and biological properties (Yashona et al., 2018). Further, the regular application of organic manures helps increase soil organic carbon content (Aher et al., 2019). The enhanced organic carbon acts as a habitat for variety of microbes and enhances the spore life of the beneficial microbes in adverse conditions which is crucial for long-term soil fertility and climate resilience (Argal et al., 2015). The release of nutrients from the mineralization of added organics enhances yield and nutrient uptake of the crops (Mandale et al., 2019). These improvements in soil properties contribute significantly to support sustainable </w:t>
      </w:r>
      <w:r w:rsidR="007424D2" w:rsidRPr="008A185A">
        <w:rPr>
          <w:rFonts w:ascii="Arial" w:hAnsi="Arial" w:cs="Arial"/>
          <w:lang w:eastAsia="zh-CN"/>
        </w:rPr>
        <w:t>agriculture</w:t>
      </w:r>
      <w:r w:rsidR="007424D2" w:rsidRPr="008A185A">
        <w:rPr>
          <w:rFonts w:ascii="Arial" w:hAnsi="Arial" w:cs="Arial" w:hint="eastAsia"/>
          <w:lang w:eastAsia="zh-CN"/>
        </w:rPr>
        <w:t xml:space="preserve"> production.</w:t>
      </w:r>
      <w:r w:rsidR="007424D2" w:rsidRPr="008A185A">
        <w:rPr>
          <w:rFonts w:ascii="Arial" w:hAnsi="Arial" w:cs="Arial"/>
          <w:lang w:eastAsia="zh-CN"/>
        </w:rPr>
        <w:t xml:space="preserve"> </w:t>
      </w:r>
      <w:r w:rsidR="007424D2" w:rsidRPr="008A185A">
        <w:rPr>
          <w:rFonts w:ascii="Arial" w:hAnsi="Arial" w:cs="Arial"/>
          <w:szCs w:val="24"/>
          <w:lang w:val="en-IN" w:eastAsia="en-IN"/>
        </w:rPr>
        <w:t>Besides improvement in soil properties and crop yield, the organic inputs also known for enhancing the nutritional properties of the crop produce (Aher et al., 2018; Yashona et al., 2018).</w:t>
      </w:r>
    </w:p>
    <w:p w14:paraId="52B4A77C" w14:textId="77777777" w:rsidR="00F827AF" w:rsidRPr="008A185A" w:rsidRDefault="00F827AF" w:rsidP="00F827AF">
      <w:pPr>
        <w:jc w:val="both"/>
        <w:rPr>
          <w:rFonts w:ascii="Arial" w:hAnsi="Arial" w:cs="Arial"/>
        </w:rPr>
      </w:pPr>
    </w:p>
    <w:p w14:paraId="778A1457" w14:textId="77777777" w:rsidR="00F827AF" w:rsidRPr="006134C3" w:rsidRDefault="00F827AF" w:rsidP="00F827AF">
      <w:pPr>
        <w:jc w:val="both"/>
        <w:rPr>
          <w:rFonts w:ascii="Arial" w:hAnsi="Arial" w:cs="Arial"/>
          <w:lang w:val="id-ID"/>
        </w:rPr>
      </w:pPr>
      <w:r w:rsidRPr="008A185A">
        <w:rPr>
          <w:rFonts w:ascii="Arial" w:hAnsi="Arial" w:cs="Arial"/>
          <w:lang w:val="id-ID"/>
        </w:rPr>
        <w:t>SP-36 is a water-soluble phosphorus (P) fertilizer that rapidly supplies P to plants, addressing P deficiency in agricultural soils (</w:t>
      </w:r>
      <w:r w:rsidRPr="008A185A">
        <w:rPr>
          <w:rFonts w:ascii="Arial" w:hAnsi="Arial" w:cs="Arial"/>
        </w:rPr>
        <w:t>Samreen and Kausar</w:t>
      </w:r>
      <w:r w:rsidRPr="006134C3">
        <w:rPr>
          <w:rFonts w:ascii="Arial" w:hAnsi="Arial" w:cs="Arial"/>
        </w:rPr>
        <w:t>, 2019; Bindraban et al., 2020)</w:t>
      </w:r>
      <w:r w:rsidRPr="006134C3">
        <w:rPr>
          <w:rFonts w:ascii="Arial" w:hAnsi="Arial" w:cs="Arial"/>
          <w:lang w:val="id-ID"/>
        </w:rPr>
        <w:t>. However, its high solubility increases the risk of P fixation by aluminum (Al) and iron (Fe) in acidic soils, reducing its availability to plants and decreasing fertilizer efficiency (</w:t>
      </w:r>
      <w:r w:rsidRPr="006134C3">
        <w:rPr>
          <w:rFonts w:ascii="Arial" w:hAnsi="Arial" w:cs="Arial"/>
        </w:rPr>
        <w:t>Wang</w:t>
      </w:r>
      <w:r w:rsidRPr="006134C3">
        <w:rPr>
          <w:rFonts w:ascii="Arial" w:hAnsi="Arial" w:cs="Arial"/>
          <w:lang w:val="id-ID"/>
        </w:rPr>
        <w:t xml:space="preserve"> et al., 202</w:t>
      </w:r>
      <w:r w:rsidRPr="006134C3">
        <w:rPr>
          <w:rFonts w:ascii="Arial" w:hAnsi="Arial" w:cs="Arial"/>
        </w:rPr>
        <w:t>1</w:t>
      </w:r>
      <w:r w:rsidRPr="006134C3">
        <w:rPr>
          <w:rFonts w:ascii="Arial" w:hAnsi="Arial" w:cs="Arial"/>
          <w:lang w:val="id-ID"/>
        </w:rPr>
        <w:t>). Recent studies suggest combining SP-36 with organic amendments to mitigate P fixation and improve long-term soil P availability (</w:t>
      </w:r>
      <w:r w:rsidRPr="006134C3">
        <w:rPr>
          <w:rFonts w:ascii="Arial" w:hAnsi="Arial" w:cs="Arial"/>
        </w:rPr>
        <w:t>Chen et al., 2021; Hu et al., 2023</w:t>
      </w:r>
      <w:r w:rsidRPr="006134C3">
        <w:rPr>
          <w:rFonts w:ascii="Arial" w:hAnsi="Arial" w:cs="Arial"/>
          <w:lang w:val="id-ID"/>
        </w:rPr>
        <w:t>).</w:t>
      </w:r>
    </w:p>
    <w:p w14:paraId="073B34B6" w14:textId="77777777" w:rsidR="00F827AF" w:rsidRPr="006134C3" w:rsidRDefault="00F827AF" w:rsidP="00F827AF">
      <w:pPr>
        <w:jc w:val="both"/>
        <w:rPr>
          <w:rFonts w:ascii="Arial" w:hAnsi="Arial" w:cs="Arial"/>
          <w:lang w:val="id-ID"/>
        </w:rPr>
      </w:pPr>
    </w:p>
    <w:p w14:paraId="0561DB33" w14:textId="77777777" w:rsidR="00F827AF" w:rsidRPr="006134C3" w:rsidRDefault="00F827AF" w:rsidP="00F827AF">
      <w:pPr>
        <w:jc w:val="both"/>
        <w:rPr>
          <w:rFonts w:ascii="Arial" w:hAnsi="Arial" w:cs="Arial"/>
          <w:lang w:val="id-ID"/>
        </w:rPr>
      </w:pPr>
      <w:r w:rsidRPr="006134C3">
        <w:rPr>
          <w:rFonts w:ascii="Arial" w:hAnsi="Arial" w:cs="Arial"/>
          <w:lang w:val="id-ID"/>
        </w:rPr>
        <w:t>Phosphorus application, through both organic and inorganic (SP-36) fertilizers, significantly improves soybean yield by enhancing seed mass (</w:t>
      </w:r>
      <w:r w:rsidRPr="006134C3">
        <w:rPr>
          <w:rFonts w:ascii="Arial" w:hAnsi="Arial" w:cs="Arial"/>
        </w:rPr>
        <w:t xml:space="preserve">Ngui </w:t>
      </w:r>
      <w:r w:rsidRPr="006134C3">
        <w:rPr>
          <w:rFonts w:ascii="Arial" w:hAnsi="Arial" w:cs="Arial"/>
          <w:lang w:val="id-ID"/>
        </w:rPr>
        <w:t>et al., 202</w:t>
      </w:r>
      <w:r w:rsidRPr="006134C3">
        <w:rPr>
          <w:rFonts w:ascii="Arial" w:hAnsi="Arial" w:cs="Arial"/>
        </w:rPr>
        <w:t>4; Wu et al., 2024</w:t>
      </w:r>
      <w:r w:rsidRPr="006134C3">
        <w:rPr>
          <w:rFonts w:ascii="Arial" w:hAnsi="Arial" w:cs="Arial"/>
          <w:lang w:val="id-ID"/>
        </w:rPr>
        <w:t>). Organic fertilizers release humic acids during decomposition, which chelate aluminum (Al) and iron (Fe), thereby increasing phosphorus (P) availability in soils (</w:t>
      </w:r>
      <w:r w:rsidRPr="006134C3">
        <w:rPr>
          <w:rFonts w:ascii="Arial" w:hAnsi="Arial" w:cs="Arial"/>
        </w:rPr>
        <w:t xml:space="preserve">Xiong </w:t>
      </w:r>
      <w:r w:rsidRPr="006134C3">
        <w:rPr>
          <w:rFonts w:ascii="Arial" w:hAnsi="Arial" w:cs="Arial"/>
          <w:lang w:val="id-ID"/>
        </w:rPr>
        <w:t>et al., 202</w:t>
      </w:r>
      <w:r w:rsidRPr="006134C3">
        <w:rPr>
          <w:rFonts w:ascii="Arial" w:hAnsi="Arial" w:cs="Arial"/>
        </w:rPr>
        <w:t>3</w:t>
      </w:r>
      <w:r w:rsidRPr="006134C3">
        <w:rPr>
          <w:rFonts w:ascii="Arial" w:hAnsi="Arial" w:cs="Arial"/>
          <w:lang w:val="id-ID"/>
        </w:rPr>
        <w:t xml:space="preserve">). </w:t>
      </w:r>
    </w:p>
    <w:p w14:paraId="1622E608" w14:textId="77777777" w:rsidR="00F827AF" w:rsidRPr="006134C3" w:rsidRDefault="00F827AF" w:rsidP="00F827AF">
      <w:pPr>
        <w:jc w:val="both"/>
        <w:rPr>
          <w:rFonts w:ascii="Arial" w:hAnsi="Arial" w:cs="Arial"/>
          <w:lang w:val="id-ID"/>
        </w:rPr>
      </w:pPr>
    </w:p>
    <w:p w14:paraId="53DF84B7" w14:textId="77777777" w:rsidR="00F827AF" w:rsidRPr="006134C3" w:rsidRDefault="00F827AF" w:rsidP="00F827AF">
      <w:pPr>
        <w:jc w:val="both"/>
        <w:rPr>
          <w:rFonts w:ascii="Arial" w:hAnsi="Arial" w:cs="Arial"/>
          <w:lang w:val="id-ID"/>
        </w:rPr>
      </w:pPr>
      <w:r w:rsidRPr="006134C3">
        <w:rPr>
          <w:rFonts w:ascii="Arial" w:hAnsi="Arial" w:cs="Arial"/>
        </w:rPr>
        <w:t>Compost is decomposed organic matter (leaves, straw, grass, crop residues, manure) that enhances soil quality by providing essential plant nutrients (Brichi et al., 2023; Kassa et al., 2025). Water hyacinth, a fast-growing weed, demonstrates remarkable productivity, water hyacinth to produce biochar, high-quality bio-fertilizer, animal feed, and several other valuable products (Jha et al., 2024). When composted, it contains valuable nutrients, C-organic, total N, P, and K. Optimal application improves soil chemistry, increasing pH and nutrient availability (Begum et al., 2022). Precise dosing is crucial for maximizing plant growth and yield.</w:t>
      </w:r>
    </w:p>
    <w:p w14:paraId="40F34915" w14:textId="77777777" w:rsidR="00F827AF" w:rsidRPr="006134C3" w:rsidRDefault="00F827AF" w:rsidP="00F827AF">
      <w:pPr>
        <w:pStyle w:val="Body"/>
        <w:spacing w:after="0"/>
        <w:rPr>
          <w:rFonts w:ascii="Arial" w:hAnsi="Arial" w:cs="Arial"/>
        </w:rPr>
      </w:pPr>
    </w:p>
    <w:p w14:paraId="71FAC21D" w14:textId="77777777" w:rsidR="00790ADA" w:rsidRPr="006134C3" w:rsidRDefault="00790ADA" w:rsidP="00441B6F">
      <w:pPr>
        <w:pStyle w:val="Body"/>
        <w:spacing w:after="0"/>
        <w:rPr>
          <w:rFonts w:ascii="Arial" w:hAnsi="Arial" w:cs="Arial"/>
        </w:rPr>
      </w:pPr>
    </w:p>
    <w:p w14:paraId="3BF5CDB8" w14:textId="747DE8E7" w:rsidR="007F7B32" w:rsidRPr="006134C3" w:rsidRDefault="00902823" w:rsidP="00441B6F">
      <w:pPr>
        <w:pStyle w:val="AbstHead"/>
        <w:spacing w:after="0"/>
        <w:jc w:val="both"/>
        <w:rPr>
          <w:rFonts w:ascii="Arial" w:hAnsi="Arial" w:cs="Arial"/>
        </w:rPr>
      </w:pPr>
      <w:r w:rsidRPr="006134C3">
        <w:rPr>
          <w:rFonts w:ascii="Arial" w:hAnsi="Arial" w:cs="Arial"/>
        </w:rPr>
        <w:lastRenderedPageBreak/>
        <w:t>2. material and method</w:t>
      </w:r>
      <w:r w:rsidR="00000F8F" w:rsidRPr="006134C3">
        <w:rPr>
          <w:rFonts w:ascii="Arial" w:hAnsi="Arial" w:cs="Arial"/>
        </w:rPr>
        <w:t xml:space="preserve">s </w:t>
      </w:r>
    </w:p>
    <w:p w14:paraId="1D5CD364" w14:textId="77777777" w:rsidR="00F827AF" w:rsidRPr="006134C3" w:rsidRDefault="00F827AF" w:rsidP="00441B6F">
      <w:pPr>
        <w:pStyle w:val="AbstHead"/>
        <w:spacing w:after="0"/>
        <w:jc w:val="both"/>
        <w:rPr>
          <w:rFonts w:ascii="Arial" w:hAnsi="Arial" w:cs="Arial"/>
        </w:rPr>
      </w:pPr>
    </w:p>
    <w:p w14:paraId="5FE1D6FF" w14:textId="3E76EA02" w:rsidR="00790ADA" w:rsidRPr="006134C3" w:rsidRDefault="00F827AF" w:rsidP="00441B6F">
      <w:pPr>
        <w:pStyle w:val="AbstHead"/>
        <w:spacing w:after="0"/>
        <w:jc w:val="both"/>
        <w:rPr>
          <w:rFonts w:ascii="Arial" w:hAnsi="Arial" w:cs="Arial"/>
        </w:rPr>
      </w:pPr>
      <w:r w:rsidRPr="006134C3">
        <w:rPr>
          <w:rFonts w:ascii="Arial" w:hAnsi="Arial" w:cs="Arial"/>
        </w:rPr>
        <w:t xml:space="preserve">2.1 </w:t>
      </w:r>
      <w:r w:rsidRPr="006134C3">
        <w:rPr>
          <w:rFonts w:ascii="Arial" w:hAnsi="Arial" w:cs="Arial"/>
          <w:caps w:val="0"/>
        </w:rPr>
        <w:t>Time, Location Site, And Research Design</w:t>
      </w:r>
    </w:p>
    <w:p w14:paraId="4215A849" w14:textId="77777777" w:rsidR="00F827AF" w:rsidRPr="006134C3" w:rsidRDefault="00F827AF" w:rsidP="00441B6F">
      <w:pPr>
        <w:pStyle w:val="AbstHead"/>
        <w:spacing w:after="0"/>
        <w:jc w:val="both"/>
        <w:rPr>
          <w:rFonts w:ascii="Arial" w:hAnsi="Arial" w:cs="Arial"/>
        </w:rPr>
      </w:pPr>
    </w:p>
    <w:p w14:paraId="6800D96E" w14:textId="7623BF66" w:rsidR="00F827AF" w:rsidRPr="006134C3" w:rsidRDefault="00F827AF" w:rsidP="00F827AF">
      <w:pPr>
        <w:pStyle w:val="ListParagraph"/>
        <w:spacing w:after="0" w:line="240" w:lineRule="auto"/>
        <w:ind w:left="0"/>
        <w:jc w:val="both"/>
        <w:rPr>
          <w:rFonts w:ascii="Arial" w:hAnsi="Arial" w:cs="Arial"/>
          <w:b/>
          <w:sz w:val="20"/>
          <w:szCs w:val="20"/>
          <w:lang w:val="id-ID"/>
        </w:rPr>
      </w:pPr>
      <w:r w:rsidRPr="006134C3">
        <w:rPr>
          <w:rFonts w:ascii="Arial" w:hAnsi="Arial" w:cs="Arial"/>
          <w:sz w:val="20"/>
          <w:szCs w:val="20"/>
          <w:lang w:val="id-ID"/>
        </w:rPr>
        <w:t xml:space="preserve">This research was conducted from October 2024 to January 2025 </w:t>
      </w:r>
      <w:r w:rsidRPr="006134C3">
        <w:rPr>
          <w:rFonts w:ascii="Arial" w:hAnsi="Arial" w:cs="Arial"/>
          <w:sz w:val="20"/>
          <w:szCs w:val="20"/>
          <w:lang w:val="en-US"/>
        </w:rPr>
        <w:t>in Bentiring Permai</w:t>
      </w:r>
      <w:r w:rsidRPr="006134C3">
        <w:rPr>
          <w:rFonts w:ascii="Arial" w:hAnsi="Arial" w:cs="Arial"/>
          <w:sz w:val="20"/>
          <w:szCs w:val="20"/>
          <w:lang w:val="id-ID"/>
        </w:rPr>
        <w:t xml:space="preserve"> </w:t>
      </w:r>
      <w:r w:rsidRPr="006134C3">
        <w:rPr>
          <w:rFonts w:ascii="Arial" w:hAnsi="Arial" w:cs="Arial"/>
          <w:sz w:val="20"/>
          <w:szCs w:val="20"/>
          <w:lang w:val="en-US"/>
        </w:rPr>
        <w:t>B</w:t>
      </w:r>
      <w:r w:rsidRPr="006134C3">
        <w:rPr>
          <w:rFonts w:ascii="Arial" w:hAnsi="Arial" w:cs="Arial"/>
          <w:sz w:val="20"/>
          <w:szCs w:val="20"/>
          <w:lang w:val="id-ID"/>
        </w:rPr>
        <w:t xml:space="preserve">engkulu City at an altitude of 24.7 </w:t>
      </w:r>
      <w:r w:rsidRPr="006134C3">
        <w:rPr>
          <w:rFonts w:ascii="Arial" w:hAnsi="Arial" w:cs="Arial"/>
          <w:spacing w:val="-2"/>
          <w:sz w:val="20"/>
          <w:szCs w:val="20"/>
          <w:lang w:val="id-ID"/>
        </w:rPr>
        <w:t>m above sea level.</w:t>
      </w:r>
      <w:r w:rsidRPr="006134C3">
        <w:rPr>
          <w:rFonts w:ascii="Arial" w:hAnsi="Arial" w:cs="Arial"/>
          <w:b/>
          <w:sz w:val="20"/>
          <w:szCs w:val="20"/>
          <w:lang w:val="en-US"/>
        </w:rPr>
        <w:t xml:space="preserve"> </w:t>
      </w:r>
      <w:r w:rsidRPr="006134C3">
        <w:rPr>
          <w:rFonts w:ascii="Arial" w:hAnsi="Arial" w:cs="Arial"/>
          <w:sz w:val="20"/>
          <w:szCs w:val="20"/>
          <w:lang w:val="id-ID"/>
        </w:rPr>
        <w:t xml:space="preserve">This study used a randomized complete block design </w:t>
      </w:r>
      <w:r w:rsidRPr="006134C3">
        <w:rPr>
          <w:rFonts w:ascii="Arial" w:hAnsi="Arial" w:cs="Arial"/>
          <w:sz w:val="20"/>
          <w:szCs w:val="20"/>
          <w:lang w:val="en-US"/>
        </w:rPr>
        <w:t xml:space="preserve">(RCBD) </w:t>
      </w:r>
      <w:r w:rsidRPr="006134C3">
        <w:rPr>
          <w:rFonts w:ascii="Arial" w:hAnsi="Arial" w:cs="Arial"/>
          <w:sz w:val="20"/>
          <w:szCs w:val="20"/>
          <w:lang w:val="id-ID"/>
        </w:rPr>
        <w:t xml:space="preserve">with two factors. The first factor </w:t>
      </w:r>
      <w:r w:rsidRPr="006134C3">
        <w:rPr>
          <w:rFonts w:ascii="Arial" w:hAnsi="Arial" w:cs="Arial"/>
          <w:sz w:val="20"/>
          <w:szCs w:val="20"/>
          <w:lang w:val="en-US"/>
        </w:rPr>
        <w:t>was</w:t>
      </w:r>
      <w:r w:rsidRPr="006134C3">
        <w:rPr>
          <w:rFonts w:ascii="Arial" w:hAnsi="Arial" w:cs="Arial"/>
          <w:sz w:val="20"/>
          <w:szCs w:val="20"/>
          <w:lang w:val="id-ID"/>
        </w:rPr>
        <w:t xml:space="preserve"> the dose of water hyacinth compost (K) consisting of 4 levels, namely K0 =0 tons/ha, K1 = 15 tons/ha, K2 = 30 tons/ha,</w:t>
      </w:r>
      <w:r w:rsidRPr="006134C3">
        <w:rPr>
          <w:rFonts w:ascii="Arial" w:hAnsi="Arial" w:cs="Arial"/>
          <w:sz w:val="20"/>
          <w:szCs w:val="20"/>
          <w:lang w:val="en-US"/>
        </w:rPr>
        <w:t xml:space="preserve"> and </w:t>
      </w:r>
      <w:r w:rsidRPr="006134C3">
        <w:rPr>
          <w:rFonts w:ascii="Arial" w:hAnsi="Arial" w:cs="Arial"/>
          <w:sz w:val="20"/>
          <w:szCs w:val="20"/>
          <w:lang w:val="id-ID"/>
        </w:rPr>
        <w:t xml:space="preserve">K3 = 45 tons/ha. The second factor </w:t>
      </w:r>
      <w:r w:rsidRPr="006134C3">
        <w:rPr>
          <w:rFonts w:ascii="Arial" w:hAnsi="Arial" w:cs="Arial"/>
          <w:sz w:val="20"/>
          <w:szCs w:val="20"/>
          <w:lang w:val="en-US"/>
        </w:rPr>
        <w:t>was</w:t>
      </w:r>
      <w:r w:rsidRPr="006134C3">
        <w:rPr>
          <w:rFonts w:ascii="Arial" w:hAnsi="Arial" w:cs="Arial"/>
          <w:sz w:val="20"/>
          <w:szCs w:val="20"/>
          <w:lang w:val="id-ID"/>
        </w:rPr>
        <w:t xml:space="preserve"> the dose of SP-36 fertilizer (S) consisting of 4 levels S0 = 0 kg/ha, S1 = 70 kg/ha, S2 = 140 kg/ha, </w:t>
      </w:r>
      <w:r w:rsidRPr="006134C3">
        <w:rPr>
          <w:rFonts w:ascii="Arial" w:hAnsi="Arial" w:cs="Arial"/>
          <w:sz w:val="20"/>
          <w:szCs w:val="20"/>
          <w:lang w:val="en-US"/>
        </w:rPr>
        <w:t xml:space="preserve">and </w:t>
      </w:r>
      <w:r w:rsidRPr="006134C3">
        <w:rPr>
          <w:rFonts w:ascii="Arial" w:hAnsi="Arial" w:cs="Arial"/>
          <w:sz w:val="20"/>
          <w:szCs w:val="20"/>
          <w:lang w:val="id-ID"/>
        </w:rPr>
        <w:t>S3 = 210 kg/ha.</w:t>
      </w:r>
    </w:p>
    <w:p w14:paraId="6C1CADD3" w14:textId="77777777" w:rsidR="00790ADA" w:rsidRPr="006134C3" w:rsidRDefault="00790ADA" w:rsidP="00441B6F">
      <w:pPr>
        <w:pStyle w:val="Body"/>
        <w:spacing w:after="0"/>
        <w:rPr>
          <w:rFonts w:ascii="Arial" w:hAnsi="Arial" w:cs="Arial"/>
        </w:rPr>
      </w:pPr>
    </w:p>
    <w:p w14:paraId="23457B01" w14:textId="48113338" w:rsidR="00AA74E0" w:rsidRPr="006134C3" w:rsidRDefault="00AA74E0" w:rsidP="00441B6F">
      <w:pPr>
        <w:pStyle w:val="Body"/>
        <w:spacing w:after="0"/>
        <w:rPr>
          <w:rFonts w:ascii="Arial" w:hAnsi="Arial" w:cs="Arial"/>
          <w:b/>
          <w:sz w:val="22"/>
        </w:rPr>
      </w:pPr>
      <w:r w:rsidRPr="006134C3">
        <w:rPr>
          <w:rFonts w:ascii="Arial" w:hAnsi="Arial" w:cs="Arial"/>
          <w:b/>
          <w:caps/>
          <w:sz w:val="22"/>
        </w:rPr>
        <w:t>2.</w:t>
      </w:r>
      <w:r w:rsidR="00F827AF" w:rsidRPr="006134C3">
        <w:rPr>
          <w:rFonts w:ascii="Arial" w:hAnsi="Arial" w:cs="Arial"/>
          <w:b/>
          <w:caps/>
          <w:sz w:val="22"/>
        </w:rPr>
        <w:t xml:space="preserve">2 </w:t>
      </w:r>
      <w:r w:rsidR="00F827AF" w:rsidRPr="006134C3">
        <w:rPr>
          <w:rFonts w:ascii="Arial" w:hAnsi="Arial" w:cs="Arial"/>
          <w:b/>
          <w:sz w:val="22"/>
        </w:rPr>
        <w:t>Compost Preparation</w:t>
      </w:r>
    </w:p>
    <w:p w14:paraId="56E6CD46" w14:textId="5C735B82" w:rsidR="00F827AF" w:rsidRPr="006134C3" w:rsidRDefault="00F827AF" w:rsidP="00441B6F">
      <w:pPr>
        <w:pStyle w:val="Body"/>
        <w:spacing w:after="0"/>
        <w:rPr>
          <w:rFonts w:ascii="Arial" w:hAnsi="Arial" w:cs="Arial"/>
          <w:b/>
          <w:sz w:val="22"/>
        </w:rPr>
      </w:pPr>
    </w:p>
    <w:p w14:paraId="3045F02A" w14:textId="58C7527A" w:rsidR="00F827AF" w:rsidRPr="006134C3" w:rsidRDefault="00F827AF" w:rsidP="00F827AF">
      <w:pPr>
        <w:pStyle w:val="ListParagraph"/>
        <w:spacing w:after="0" w:line="240" w:lineRule="auto"/>
        <w:ind w:left="0"/>
        <w:jc w:val="both"/>
        <w:rPr>
          <w:rFonts w:ascii="Arial" w:hAnsi="Arial" w:cs="Arial"/>
          <w:sz w:val="20"/>
          <w:szCs w:val="20"/>
          <w:lang w:val="id-ID"/>
        </w:rPr>
      </w:pPr>
      <w:r w:rsidRPr="006134C3">
        <w:rPr>
          <w:rFonts w:ascii="Arial" w:hAnsi="Arial" w:cs="Arial"/>
          <w:color w:val="000000"/>
          <w:sz w:val="20"/>
          <w:szCs w:val="20"/>
        </w:rPr>
        <w:t>The composting process of water hyacinth began by chopping it into small pieces measuring 0.5–2 cm using a machete. The chopped material was then stacked, with cow dung placed in the center of the pile to accelerate decomposition. The pile was moistened by evenly pouring 5 liters of a clean water and EM4 mixture, ensuring uniform moisture distribution through thorough mixing. The moistened material was then placed into large burlap sacks. Every three days, the contents were removed and stirred to accelerate the decomposition process. Once composting was complete, the compost was sieved using a 0.5 cm mesh to remove impurities. The finished compost was then filtered and weighed according to the treatment requirements for each experimental plot</w:t>
      </w:r>
      <w:r w:rsidR="006134C3">
        <w:rPr>
          <w:rFonts w:ascii="Arial" w:hAnsi="Arial" w:cs="Arial"/>
          <w:sz w:val="20"/>
          <w:szCs w:val="20"/>
          <w:lang w:val="en-US"/>
        </w:rPr>
        <w:t>.</w:t>
      </w:r>
    </w:p>
    <w:p w14:paraId="508A620B" w14:textId="77777777" w:rsidR="00F827AF" w:rsidRPr="006134C3" w:rsidRDefault="00F827AF" w:rsidP="00441B6F">
      <w:pPr>
        <w:pStyle w:val="Body"/>
        <w:spacing w:after="0"/>
        <w:rPr>
          <w:rFonts w:ascii="Arial" w:hAnsi="Arial" w:cs="Arial"/>
        </w:rPr>
      </w:pPr>
    </w:p>
    <w:p w14:paraId="51DFCC9F" w14:textId="7F1394E8" w:rsidR="00F827AF" w:rsidRPr="006134C3" w:rsidRDefault="00F827AF" w:rsidP="00F827AF">
      <w:pPr>
        <w:pStyle w:val="Body"/>
        <w:spacing w:after="0"/>
        <w:rPr>
          <w:rFonts w:ascii="Arial" w:hAnsi="Arial" w:cs="Arial"/>
          <w:b/>
          <w:caps/>
          <w:sz w:val="22"/>
        </w:rPr>
      </w:pPr>
      <w:r w:rsidRPr="006134C3">
        <w:rPr>
          <w:rFonts w:ascii="Arial" w:hAnsi="Arial" w:cs="Arial"/>
          <w:b/>
          <w:caps/>
          <w:sz w:val="22"/>
        </w:rPr>
        <w:t xml:space="preserve">2.3 </w:t>
      </w:r>
      <w:r w:rsidRPr="006134C3">
        <w:rPr>
          <w:rFonts w:ascii="Arial" w:hAnsi="Arial" w:cs="Arial"/>
          <w:b/>
          <w:sz w:val="22"/>
        </w:rPr>
        <w:t>Land Preparation</w:t>
      </w:r>
    </w:p>
    <w:p w14:paraId="2B49ED90" w14:textId="77777777" w:rsidR="00F827AF" w:rsidRPr="006134C3" w:rsidRDefault="00F827AF" w:rsidP="00F827AF">
      <w:pPr>
        <w:pStyle w:val="Body"/>
        <w:spacing w:after="0"/>
        <w:rPr>
          <w:rFonts w:ascii="Arial" w:hAnsi="Arial" w:cs="Arial"/>
          <w:b/>
          <w:caps/>
          <w:sz w:val="22"/>
        </w:rPr>
      </w:pPr>
    </w:p>
    <w:p w14:paraId="462DCACA" w14:textId="114BD398" w:rsidR="00F827AF" w:rsidRDefault="00F827AF" w:rsidP="00F827AF">
      <w:pPr>
        <w:pStyle w:val="BodyText"/>
        <w:tabs>
          <w:tab w:val="left" w:pos="8647"/>
        </w:tabs>
        <w:jc w:val="both"/>
        <w:rPr>
          <w:rFonts w:ascii="Arial" w:hAnsi="Arial" w:cs="Arial"/>
          <w:color w:val="000000"/>
        </w:rPr>
      </w:pPr>
      <w:r w:rsidRPr="006134C3">
        <w:rPr>
          <w:rFonts w:ascii="Arial" w:hAnsi="Arial" w:cs="Arial"/>
          <w:color w:val="000000"/>
        </w:rPr>
        <w:t>Land preparation began with manually clearing the area of weeds and plant debris using tools such as hoes, sickles, and machetes. Once the land was cleared, plot marking was carried out using a hoe, with each plot measuring 1.5 m x 0.6 m (length x width).</w:t>
      </w:r>
    </w:p>
    <w:p w14:paraId="250127B1" w14:textId="77777777" w:rsidR="006134C3" w:rsidRPr="006134C3" w:rsidRDefault="006134C3" w:rsidP="00F827AF">
      <w:pPr>
        <w:pStyle w:val="BodyText"/>
        <w:tabs>
          <w:tab w:val="left" w:pos="8647"/>
        </w:tabs>
        <w:jc w:val="both"/>
        <w:rPr>
          <w:rFonts w:ascii="Arial" w:hAnsi="Arial" w:cs="Arial"/>
          <w:color w:val="000000"/>
        </w:rPr>
      </w:pPr>
    </w:p>
    <w:p w14:paraId="0A69DF32" w14:textId="4A06DADD" w:rsidR="00F827AF" w:rsidRPr="006134C3" w:rsidRDefault="00F827AF" w:rsidP="00F827AF">
      <w:pPr>
        <w:pStyle w:val="Body"/>
        <w:spacing w:after="0"/>
        <w:rPr>
          <w:rFonts w:ascii="Arial" w:hAnsi="Arial" w:cs="Arial"/>
          <w:b/>
          <w:sz w:val="22"/>
        </w:rPr>
      </w:pPr>
      <w:r w:rsidRPr="006134C3">
        <w:rPr>
          <w:rFonts w:ascii="Arial" w:hAnsi="Arial" w:cs="Arial"/>
          <w:b/>
          <w:caps/>
          <w:sz w:val="22"/>
        </w:rPr>
        <w:t xml:space="preserve">2.4 </w:t>
      </w:r>
      <w:r w:rsidR="00870B4A" w:rsidRPr="006134C3">
        <w:rPr>
          <w:rFonts w:ascii="Arial" w:hAnsi="Arial" w:cs="Arial"/>
          <w:b/>
          <w:sz w:val="22"/>
        </w:rPr>
        <w:t>Planting</w:t>
      </w:r>
    </w:p>
    <w:p w14:paraId="04072748" w14:textId="277A6D9B" w:rsidR="00870B4A" w:rsidRPr="006134C3" w:rsidRDefault="00870B4A" w:rsidP="00F827AF">
      <w:pPr>
        <w:pStyle w:val="Body"/>
        <w:spacing w:after="0"/>
        <w:rPr>
          <w:rFonts w:ascii="Arial" w:hAnsi="Arial" w:cs="Arial"/>
          <w:b/>
          <w:sz w:val="22"/>
        </w:rPr>
      </w:pPr>
    </w:p>
    <w:p w14:paraId="1ECB8B95" w14:textId="688433F5" w:rsidR="00870B4A" w:rsidRPr="006134C3" w:rsidRDefault="00870B4A" w:rsidP="00870B4A">
      <w:pPr>
        <w:pStyle w:val="BodyText"/>
        <w:tabs>
          <w:tab w:val="left" w:pos="9356"/>
        </w:tabs>
        <w:spacing w:after="0"/>
        <w:jc w:val="both"/>
        <w:rPr>
          <w:rFonts w:ascii="Arial" w:hAnsi="Arial" w:cs="Arial"/>
        </w:rPr>
      </w:pPr>
      <w:r w:rsidRPr="006134C3">
        <w:rPr>
          <w:rFonts w:ascii="Arial" w:hAnsi="Arial" w:cs="Arial"/>
          <w:color w:val="000000"/>
        </w:rPr>
        <w:t>Planting was carried out in the morning by placing 2–3 soybean seeds into holes 2–3 cm deep with the plant spacing of 20 cm x 30 cm. Furadan was applied to each planting hole to protect the seeds from ants and other soil-dwelling insects, after which the holes was covered with soil</w:t>
      </w:r>
      <w:r w:rsidRPr="006134C3">
        <w:rPr>
          <w:rFonts w:ascii="Arial" w:hAnsi="Arial" w:cs="Arial"/>
          <w:color w:val="000000"/>
          <w:sz w:val="27"/>
          <w:szCs w:val="27"/>
        </w:rPr>
        <w:t>.</w:t>
      </w:r>
    </w:p>
    <w:p w14:paraId="2F1F7BAF" w14:textId="77777777" w:rsidR="00F827AF" w:rsidRPr="006134C3" w:rsidRDefault="00F827AF" w:rsidP="00F827AF">
      <w:pPr>
        <w:pStyle w:val="Body"/>
        <w:spacing w:after="0"/>
        <w:rPr>
          <w:rFonts w:ascii="Arial" w:hAnsi="Arial" w:cs="Arial"/>
          <w:b/>
          <w:sz w:val="22"/>
        </w:rPr>
      </w:pPr>
    </w:p>
    <w:p w14:paraId="09E3E257" w14:textId="0CDC31AF" w:rsidR="00F827AF" w:rsidRPr="006134C3" w:rsidRDefault="00F827AF" w:rsidP="00F827AF">
      <w:pPr>
        <w:pStyle w:val="Body"/>
        <w:spacing w:after="0"/>
        <w:rPr>
          <w:rFonts w:ascii="Arial" w:hAnsi="Arial" w:cs="Arial"/>
          <w:b/>
          <w:sz w:val="22"/>
        </w:rPr>
      </w:pPr>
      <w:r w:rsidRPr="006134C3">
        <w:rPr>
          <w:rFonts w:ascii="Arial" w:hAnsi="Arial" w:cs="Arial"/>
          <w:b/>
          <w:caps/>
          <w:sz w:val="22"/>
        </w:rPr>
        <w:t xml:space="preserve">2.5 </w:t>
      </w:r>
      <w:r w:rsidRPr="006134C3">
        <w:rPr>
          <w:rFonts w:ascii="Arial" w:hAnsi="Arial" w:cs="Arial"/>
          <w:b/>
          <w:sz w:val="22"/>
        </w:rPr>
        <w:t>Harvesting</w:t>
      </w:r>
    </w:p>
    <w:p w14:paraId="766AC489" w14:textId="42695A93" w:rsidR="00870B4A" w:rsidRPr="006134C3" w:rsidRDefault="00870B4A" w:rsidP="00F827AF">
      <w:pPr>
        <w:pStyle w:val="Body"/>
        <w:spacing w:after="0"/>
        <w:rPr>
          <w:rFonts w:ascii="Arial" w:hAnsi="Arial" w:cs="Arial"/>
          <w:b/>
          <w:sz w:val="22"/>
        </w:rPr>
      </w:pPr>
    </w:p>
    <w:p w14:paraId="1595C93D" w14:textId="77777777" w:rsidR="00870B4A" w:rsidRPr="006134C3" w:rsidRDefault="00870B4A" w:rsidP="00870B4A">
      <w:pPr>
        <w:pStyle w:val="Body"/>
        <w:spacing w:after="0"/>
        <w:rPr>
          <w:rFonts w:ascii="Arial" w:hAnsi="Arial" w:cs="Arial"/>
          <w:caps/>
          <w:sz w:val="18"/>
          <w:szCs w:val="16"/>
        </w:rPr>
      </w:pPr>
      <w:r w:rsidRPr="006134C3">
        <w:rPr>
          <w:rFonts w:ascii="Arial" w:hAnsi="Arial" w:cs="Arial"/>
          <w:color w:val="000000"/>
        </w:rPr>
        <w:t>Soybean was harvested when most of the stems and pods turn brownish-yellow, and the leaves had yellowed and begun to fall. Harvesting was done by pulling the entire plant from the ground, removing any remaining soil, and collecting the plants for further analysis.</w:t>
      </w:r>
    </w:p>
    <w:p w14:paraId="5EC49C3B" w14:textId="77777777" w:rsidR="00870B4A" w:rsidRPr="006134C3" w:rsidRDefault="00870B4A" w:rsidP="00F827AF">
      <w:pPr>
        <w:pStyle w:val="Body"/>
        <w:spacing w:after="0"/>
        <w:rPr>
          <w:rFonts w:ascii="Arial" w:hAnsi="Arial" w:cs="Arial"/>
          <w:b/>
          <w:sz w:val="22"/>
        </w:rPr>
      </w:pPr>
    </w:p>
    <w:p w14:paraId="63FC0D52" w14:textId="31211FA6" w:rsidR="00F827AF" w:rsidRPr="006134C3" w:rsidRDefault="00F827AF" w:rsidP="00F827AF">
      <w:pPr>
        <w:pStyle w:val="Body"/>
        <w:tabs>
          <w:tab w:val="left" w:pos="2625"/>
        </w:tabs>
        <w:spacing w:after="0"/>
        <w:rPr>
          <w:rFonts w:ascii="Arial" w:hAnsi="Arial" w:cs="Arial"/>
          <w:b/>
          <w:sz w:val="22"/>
        </w:rPr>
      </w:pPr>
      <w:r w:rsidRPr="006134C3">
        <w:rPr>
          <w:rFonts w:ascii="Arial" w:hAnsi="Arial" w:cs="Arial"/>
          <w:b/>
          <w:caps/>
          <w:sz w:val="22"/>
        </w:rPr>
        <w:t xml:space="preserve">2.6 </w:t>
      </w:r>
      <w:r w:rsidR="00870B4A" w:rsidRPr="006134C3">
        <w:rPr>
          <w:rFonts w:ascii="Arial" w:hAnsi="Arial" w:cs="Arial"/>
          <w:b/>
          <w:sz w:val="22"/>
        </w:rPr>
        <w:t>Obse</w:t>
      </w:r>
      <w:r w:rsidR="007424D2">
        <w:rPr>
          <w:rFonts w:ascii="Arial" w:hAnsi="Arial" w:cs="Arial"/>
          <w:b/>
          <w:sz w:val="22"/>
        </w:rPr>
        <w:t>r</w:t>
      </w:r>
      <w:r w:rsidR="00870B4A" w:rsidRPr="006134C3">
        <w:rPr>
          <w:rFonts w:ascii="Arial" w:hAnsi="Arial" w:cs="Arial"/>
          <w:b/>
          <w:sz w:val="22"/>
        </w:rPr>
        <w:t>ved Variables</w:t>
      </w:r>
    </w:p>
    <w:p w14:paraId="3E0FC5A8" w14:textId="16B7786E" w:rsidR="00870B4A" w:rsidRPr="006134C3" w:rsidRDefault="00870B4A" w:rsidP="00F827AF">
      <w:pPr>
        <w:pStyle w:val="Body"/>
        <w:tabs>
          <w:tab w:val="left" w:pos="2625"/>
        </w:tabs>
        <w:spacing w:after="0"/>
        <w:rPr>
          <w:rFonts w:ascii="Arial" w:hAnsi="Arial" w:cs="Arial"/>
          <w:b/>
          <w:sz w:val="22"/>
        </w:rPr>
      </w:pPr>
    </w:p>
    <w:p w14:paraId="73F2F38D" w14:textId="75B165EB" w:rsidR="00870B4A" w:rsidRPr="006134C3" w:rsidRDefault="00870B4A" w:rsidP="00870B4A">
      <w:pPr>
        <w:jc w:val="both"/>
        <w:rPr>
          <w:rFonts w:ascii="Arial" w:hAnsi="Arial" w:cs="Arial"/>
          <w:color w:val="000000"/>
        </w:rPr>
      </w:pPr>
      <w:r w:rsidRPr="006134C3">
        <w:rPr>
          <w:rFonts w:ascii="Arial" w:hAnsi="Arial" w:cs="Arial"/>
          <w:color w:val="000000"/>
        </w:rPr>
        <w:t>In this study, several variables were observed, including plant height (cm), number of leaves, number of branches, days to flowering, days to harvest, shoot fresh weight (g), roots fresh weight (g), shoot dry weight (g), roots dry weight (g), number of filled pods, number of empty pods, seed weight per pl</w:t>
      </w:r>
      <w:r w:rsidR="00F16E5D">
        <w:rPr>
          <w:rFonts w:ascii="Arial" w:hAnsi="Arial" w:cs="Arial"/>
          <w:color w:val="000000"/>
        </w:rPr>
        <w:t>ot</w:t>
      </w:r>
      <w:r w:rsidRPr="006134C3">
        <w:rPr>
          <w:rFonts w:ascii="Arial" w:hAnsi="Arial" w:cs="Arial"/>
          <w:color w:val="000000"/>
        </w:rPr>
        <w:t xml:space="preserve"> (g), and weight of 100 seeds (g)</w:t>
      </w:r>
    </w:p>
    <w:p w14:paraId="1793E483" w14:textId="77777777" w:rsidR="00870B4A" w:rsidRPr="006134C3" w:rsidRDefault="00870B4A" w:rsidP="00F827AF">
      <w:pPr>
        <w:pStyle w:val="Body"/>
        <w:tabs>
          <w:tab w:val="left" w:pos="2625"/>
        </w:tabs>
        <w:spacing w:after="0"/>
        <w:rPr>
          <w:rFonts w:ascii="Arial" w:hAnsi="Arial" w:cs="Arial"/>
          <w:b/>
          <w:sz w:val="22"/>
        </w:rPr>
      </w:pPr>
    </w:p>
    <w:p w14:paraId="09D66CCF" w14:textId="2E7189C9" w:rsidR="00F827AF" w:rsidRPr="006134C3" w:rsidRDefault="00F827AF" w:rsidP="00F827AF">
      <w:pPr>
        <w:pStyle w:val="Body"/>
        <w:spacing w:after="0"/>
        <w:rPr>
          <w:rFonts w:ascii="Arial" w:hAnsi="Arial" w:cs="Arial"/>
          <w:b/>
          <w:sz w:val="22"/>
        </w:rPr>
      </w:pPr>
      <w:r w:rsidRPr="006134C3">
        <w:rPr>
          <w:rFonts w:ascii="Arial" w:hAnsi="Arial" w:cs="Arial"/>
          <w:b/>
          <w:caps/>
          <w:sz w:val="22"/>
        </w:rPr>
        <w:t xml:space="preserve">2.7 </w:t>
      </w:r>
      <w:r w:rsidRPr="006134C3">
        <w:rPr>
          <w:rFonts w:ascii="Arial" w:hAnsi="Arial" w:cs="Arial"/>
          <w:b/>
          <w:sz w:val="22"/>
        </w:rPr>
        <w:t>Data A</w:t>
      </w:r>
      <w:r w:rsidR="00870B4A" w:rsidRPr="006134C3">
        <w:rPr>
          <w:rFonts w:ascii="Arial" w:hAnsi="Arial" w:cs="Arial"/>
          <w:b/>
          <w:sz w:val="22"/>
        </w:rPr>
        <w:t>naly</w:t>
      </w:r>
      <w:r w:rsidRPr="006134C3">
        <w:rPr>
          <w:rFonts w:ascii="Arial" w:hAnsi="Arial" w:cs="Arial"/>
          <w:b/>
          <w:sz w:val="22"/>
        </w:rPr>
        <w:t>sis</w:t>
      </w:r>
    </w:p>
    <w:p w14:paraId="54BF9D6A" w14:textId="7477154C" w:rsidR="00870B4A" w:rsidRPr="006134C3" w:rsidRDefault="00870B4A" w:rsidP="00F827AF">
      <w:pPr>
        <w:pStyle w:val="Body"/>
        <w:spacing w:after="0"/>
        <w:rPr>
          <w:rFonts w:ascii="Arial" w:hAnsi="Arial" w:cs="Arial"/>
          <w:b/>
          <w:sz w:val="22"/>
        </w:rPr>
      </w:pPr>
    </w:p>
    <w:p w14:paraId="5FBF7FC0" w14:textId="71BF7D58" w:rsidR="00F827AF" w:rsidRPr="006134C3" w:rsidRDefault="00870B4A" w:rsidP="00870B4A">
      <w:pPr>
        <w:pStyle w:val="ListParagraph"/>
        <w:spacing w:after="0" w:line="240" w:lineRule="auto"/>
        <w:ind w:left="0"/>
        <w:jc w:val="both"/>
        <w:rPr>
          <w:rFonts w:ascii="Arial" w:hAnsi="Arial" w:cs="Arial"/>
          <w:sz w:val="20"/>
          <w:szCs w:val="20"/>
          <w:lang w:val="en-US"/>
        </w:rPr>
      </w:pPr>
      <w:r w:rsidRPr="008A185A">
        <w:rPr>
          <w:rFonts w:ascii="Arial" w:hAnsi="Arial" w:cs="Arial"/>
          <w:sz w:val="20"/>
          <w:szCs w:val="20"/>
        </w:rPr>
        <w:t xml:space="preserve">The collected data was statistically analyzed using Analysis of Variance (ANOVA) with an F-test at </w:t>
      </w:r>
      <w:r w:rsidR="001B6E6C" w:rsidRPr="008A185A">
        <w:rPr>
          <w:rFonts w:ascii="Arial" w:hAnsi="Arial" w:cs="Arial"/>
          <w:sz w:val="20"/>
          <w:szCs w:val="20"/>
        </w:rPr>
        <w:t xml:space="preserve">the α= </w:t>
      </w:r>
      <w:r w:rsidRPr="008A185A">
        <w:rPr>
          <w:rFonts w:ascii="Arial" w:hAnsi="Arial" w:cs="Arial"/>
          <w:sz w:val="20"/>
          <w:szCs w:val="20"/>
        </w:rPr>
        <w:t xml:space="preserve">5% significance level. Variables showing </w:t>
      </w:r>
      <w:r w:rsidRPr="006134C3">
        <w:rPr>
          <w:rFonts w:ascii="Arial" w:hAnsi="Arial" w:cs="Arial"/>
          <w:color w:val="000000"/>
          <w:sz w:val="20"/>
          <w:szCs w:val="20"/>
        </w:rPr>
        <w:t>a significant effect was further analyzed using the Orthogonal Polynomial.</w:t>
      </w:r>
    </w:p>
    <w:p w14:paraId="3B8C98E0" w14:textId="77777777" w:rsidR="00505F06" w:rsidRPr="006134C3" w:rsidRDefault="00505F06" w:rsidP="00441B6F">
      <w:pPr>
        <w:pStyle w:val="Body"/>
        <w:spacing w:after="0"/>
        <w:rPr>
          <w:rFonts w:ascii="Arial" w:hAnsi="Arial" w:cs="Arial"/>
        </w:rPr>
      </w:pPr>
    </w:p>
    <w:p w14:paraId="7AC6B64B" w14:textId="3467805C" w:rsidR="00790ADA" w:rsidRPr="006134C3" w:rsidRDefault="00000F8F" w:rsidP="00441B6F">
      <w:pPr>
        <w:pStyle w:val="Head1"/>
        <w:spacing w:after="0"/>
        <w:jc w:val="both"/>
        <w:rPr>
          <w:rFonts w:ascii="Arial" w:hAnsi="Arial" w:cs="Arial"/>
        </w:rPr>
      </w:pPr>
      <w:r w:rsidRPr="006134C3">
        <w:rPr>
          <w:rFonts w:ascii="Arial" w:hAnsi="Arial" w:cs="Arial"/>
        </w:rPr>
        <w:t>3</w:t>
      </w:r>
      <w:r w:rsidR="00902823" w:rsidRPr="006134C3">
        <w:rPr>
          <w:rFonts w:ascii="Arial" w:hAnsi="Arial" w:cs="Arial"/>
        </w:rPr>
        <w:t xml:space="preserve">. </w:t>
      </w:r>
      <w:r w:rsidRPr="006134C3">
        <w:rPr>
          <w:rFonts w:ascii="Arial" w:hAnsi="Arial" w:cs="Arial"/>
        </w:rPr>
        <w:t>results and discussion</w:t>
      </w:r>
    </w:p>
    <w:p w14:paraId="7D24F068" w14:textId="3BB2ADCB" w:rsidR="00870B4A" w:rsidRPr="006134C3" w:rsidRDefault="00870B4A" w:rsidP="006134C3">
      <w:pPr>
        <w:pStyle w:val="Body"/>
        <w:spacing w:after="0"/>
        <w:rPr>
          <w:rFonts w:ascii="Arial" w:hAnsi="Arial" w:cs="Arial"/>
          <w:b/>
          <w:sz w:val="22"/>
        </w:rPr>
      </w:pPr>
      <w:r w:rsidRPr="006134C3">
        <w:rPr>
          <w:rFonts w:ascii="Arial" w:hAnsi="Arial" w:cs="Arial"/>
          <w:b/>
          <w:sz w:val="22"/>
        </w:rPr>
        <w:t>3.1 Soybean Plant Growth Pattern</w:t>
      </w:r>
    </w:p>
    <w:p w14:paraId="6AC5CE33" w14:textId="07D4B77D" w:rsidR="00790ADA" w:rsidRPr="006134C3" w:rsidRDefault="00870B4A" w:rsidP="00441B6F">
      <w:pPr>
        <w:pStyle w:val="Body"/>
        <w:spacing w:after="0"/>
        <w:rPr>
          <w:rFonts w:ascii="Arial" w:hAnsi="Arial" w:cs="Arial"/>
          <w:b/>
          <w:u w:val="single"/>
        </w:rPr>
      </w:pPr>
      <w:r w:rsidRPr="006134C3">
        <w:rPr>
          <w:rFonts w:ascii="Arial" w:hAnsi="Arial" w:cs="Arial"/>
          <w:b/>
          <w:u w:val="single"/>
        </w:rPr>
        <w:t>3.1.1 Plant Height</w:t>
      </w:r>
    </w:p>
    <w:p w14:paraId="77767B5E" w14:textId="77777777" w:rsidR="00870B4A" w:rsidRPr="006134C3" w:rsidRDefault="00870B4A" w:rsidP="00441B6F">
      <w:pPr>
        <w:pStyle w:val="Body"/>
        <w:spacing w:after="0"/>
        <w:rPr>
          <w:rFonts w:ascii="Arial" w:hAnsi="Arial" w:cs="Arial"/>
        </w:rPr>
      </w:pPr>
    </w:p>
    <w:p w14:paraId="3AFC610D" w14:textId="38D0A218" w:rsidR="00376BBE" w:rsidRPr="006134C3" w:rsidRDefault="00870B4A" w:rsidP="00870B4A">
      <w:pPr>
        <w:pStyle w:val="Body"/>
        <w:spacing w:after="0"/>
        <w:jc w:val="center"/>
        <w:rPr>
          <w:rFonts w:ascii="Arial" w:hAnsi="Arial" w:cs="Arial"/>
        </w:rPr>
      </w:pPr>
      <w:r w:rsidRPr="006134C3">
        <w:rPr>
          <w:rFonts w:ascii="Arial" w:hAnsi="Arial" w:cs="Arial"/>
          <w:noProof/>
          <w:sz w:val="24"/>
          <w:szCs w:val="24"/>
        </w:rPr>
        <w:drawing>
          <wp:inline distT="0" distB="0" distL="0" distR="0" wp14:anchorId="36E755ED" wp14:editId="63D82B74">
            <wp:extent cx="3942893" cy="2655418"/>
            <wp:effectExtent l="0" t="0" r="635" b="0"/>
            <wp:docPr id="1" name="Chart 1">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23F1F5" w14:textId="77777777" w:rsidR="00376BBE" w:rsidRPr="006134C3" w:rsidRDefault="00376BBE" w:rsidP="00441B6F">
      <w:pPr>
        <w:pStyle w:val="Body"/>
        <w:spacing w:after="0"/>
        <w:rPr>
          <w:rFonts w:ascii="Arial" w:hAnsi="Arial" w:cs="Arial"/>
        </w:rPr>
      </w:pPr>
    </w:p>
    <w:p w14:paraId="11F1B68C" w14:textId="77777777" w:rsidR="00870B4A" w:rsidRPr="006134C3" w:rsidRDefault="00870B4A" w:rsidP="00870B4A">
      <w:pPr>
        <w:ind w:left="360"/>
        <w:jc w:val="center"/>
        <w:rPr>
          <w:rFonts w:ascii="Arial" w:hAnsi="Arial" w:cs="Arial"/>
          <w:i/>
          <w:iCs/>
          <w:sz w:val="18"/>
          <w:szCs w:val="18"/>
          <w:lang w:val="id-ID"/>
        </w:rPr>
      </w:pPr>
      <w:r w:rsidRPr="006134C3">
        <w:rPr>
          <w:rFonts w:ascii="Arial" w:hAnsi="Arial" w:cs="Arial"/>
          <w:i/>
          <w:iCs/>
          <w:sz w:val="18"/>
          <w:szCs w:val="18"/>
        </w:rPr>
        <w:t>W</w:t>
      </w:r>
      <w:r w:rsidRPr="006134C3">
        <w:rPr>
          <w:rFonts w:ascii="Arial" w:hAnsi="Arial" w:cs="Arial"/>
          <w:i/>
          <w:iCs/>
          <w:sz w:val="18"/>
          <w:szCs w:val="18"/>
          <w:lang w:val="id-ID"/>
        </w:rPr>
        <w:t>ater hyacinth compost (K</w:t>
      </w:r>
      <w:r w:rsidRPr="006134C3">
        <w:rPr>
          <w:rFonts w:ascii="Arial" w:hAnsi="Arial" w:cs="Arial"/>
          <w:i/>
          <w:iCs/>
          <w:sz w:val="18"/>
          <w:szCs w:val="18"/>
        </w:rPr>
        <w:t xml:space="preserve">); </w:t>
      </w:r>
      <w:r w:rsidRPr="006134C3">
        <w:rPr>
          <w:rFonts w:ascii="Arial" w:hAnsi="Arial" w:cs="Arial"/>
          <w:i/>
          <w:iCs/>
          <w:sz w:val="18"/>
          <w:szCs w:val="18"/>
          <w:lang w:val="id-ID"/>
        </w:rPr>
        <w:t>K0 = 0 tons/ha, K1 = 15 tons/ha, K2 = 30 tons/ha, K3 = 45 tons/ha. SP-36 (S)</w:t>
      </w:r>
      <w:r w:rsidRPr="006134C3">
        <w:rPr>
          <w:rFonts w:ascii="Arial" w:hAnsi="Arial" w:cs="Arial"/>
          <w:i/>
          <w:iCs/>
          <w:sz w:val="18"/>
          <w:szCs w:val="18"/>
        </w:rPr>
        <w:t xml:space="preserve">; </w:t>
      </w:r>
      <w:r w:rsidRPr="006134C3">
        <w:rPr>
          <w:rFonts w:ascii="Arial" w:hAnsi="Arial" w:cs="Arial"/>
          <w:i/>
          <w:iCs/>
          <w:sz w:val="18"/>
          <w:szCs w:val="18"/>
          <w:lang w:val="id-ID"/>
        </w:rPr>
        <w:t>S0 = 0 kg/ha, S1 =</w:t>
      </w:r>
      <w:r w:rsidRPr="006134C3">
        <w:rPr>
          <w:rFonts w:ascii="Arial" w:hAnsi="Arial" w:cs="Arial"/>
          <w:i/>
          <w:iCs/>
          <w:sz w:val="18"/>
          <w:szCs w:val="18"/>
        </w:rPr>
        <w:t xml:space="preserve"> </w:t>
      </w:r>
      <w:r w:rsidRPr="006134C3">
        <w:rPr>
          <w:rFonts w:ascii="Arial" w:hAnsi="Arial" w:cs="Arial"/>
          <w:i/>
          <w:iCs/>
          <w:sz w:val="18"/>
          <w:szCs w:val="18"/>
          <w:lang w:val="id-ID"/>
        </w:rPr>
        <w:t>70 kg/ha, S2 =</w:t>
      </w:r>
      <w:r w:rsidRPr="006134C3">
        <w:rPr>
          <w:rFonts w:ascii="Arial" w:hAnsi="Arial" w:cs="Arial"/>
          <w:i/>
          <w:iCs/>
          <w:sz w:val="18"/>
          <w:szCs w:val="18"/>
        </w:rPr>
        <w:t xml:space="preserve"> </w:t>
      </w:r>
      <w:r w:rsidRPr="006134C3">
        <w:rPr>
          <w:rFonts w:ascii="Arial" w:hAnsi="Arial" w:cs="Arial"/>
          <w:i/>
          <w:iCs/>
          <w:sz w:val="18"/>
          <w:szCs w:val="18"/>
          <w:lang w:val="id-ID"/>
        </w:rPr>
        <w:t>140 kg/ha, S3 = 210 kg/ha.</w:t>
      </w:r>
    </w:p>
    <w:p w14:paraId="05FB1375" w14:textId="77777777" w:rsidR="00927834" w:rsidRPr="006134C3" w:rsidRDefault="00927834" w:rsidP="00441B6F">
      <w:pPr>
        <w:autoSpaceDE w:val="0"/>
        <w:autoSpaceDN w:val="0"/>
        <w:adjustRightInd w:val="0"/>
        <w:jc w:val="both"/>
        <w:rPr>
          <w:rFonts w:ascii="Arial" w:hAnsi="Arial" w:cs="Arial"/>
          <w:b/>
          <w:bCs/>
          <w:szCs w:val="22"/>
        </w:rPr>
      </w:pPr>
    </w:p>
    <w:p w14:paraId="3EF57296" w14:textId="77777777" w:rsidR="00870B4A" w:rsidRPr="006134C3" w:rsidRDefault="00870B4A" w:rsidP="00870B4A">
      <w:pPr>
        <w:ind w:left="360"/>
        <w:jc w:val="center"/>
        <w:rPr>
          <w:rFonts w:ascii="Arial" w:hAnsi="Arial" w:cs="Arial"/>
          <w:b/>
          <w:szCs w:val="24"/>
        </w:rPr>
      </w:pPr>
      <w:r w:rsidRPr="006134C3">
        <w:rPr>
          <w:rFonts w:ascii="Arial" w:hAnsi="Arial" w:cs="Arial"/>
          <w:b/>
          <w:szCs w:val="24"/>
          <w:lang w:val="id-ID"/>
        </w:rPr>
        <w:t xml:space="preserve">Figure 1. </w:t>
      </w:r>
      <w:r w:rsidRPr="006134C3">
        <w:rPr>
          <w:rFonts w:ascii="Arial" w:hAnsi="Arial" w:cs="Arial"/>
          <w:b/>
          <w:szCs w:val="24"/>
        </w:rPr>
        <w:t>S</w:t>
      </w:r>
      <w:r w:rsidRPr="006134C3">
        <w:rPr>
          <w:rFonts w:ascii="Arial" w:hAnsi="Arial" w:cs="Arial"/>
          <w:b/>
          <w:szCs w:val="24"/>
          <w:lang w:val="id-ID"/>
        </w:rPr>
        <w:t xml:space="preserve">oybean plant height </w:t>
      </w:r>
      <w:r w:rsidRPr="006134C3">
        <w:rPr>
          <w:rFonts w:ascii="Arial" w:hAnsi="Arial" w:cs="Arial"/>
          <w:b/>
          <w:szCs w:val="24"/>
        </w:rPr>
        <w:t xml:space="preserve">growth pattern </w:t>
      </w:r>
      <w:r w:rsidRPr="006134C3">
        <w:rPr>
          <w:rFonts w:ascii="Arial" w:hAnsi="Arial" w:cs="Arial"/>
          <w:b/>
          <w:szCs w:val="24"/>
          <w:lang w:val="id-ID"/>
        </w:rPr>
        <w:t>2</w:t>
      </w:r>
      <w:r w:rsidRPr="006134C3">
        <w:rPr>
          <w:rFonts w:ascii="Arial" w:hAnsi="Arial" w:cs="Arial"/>
          <w:b/>
          <w:szCs w:val="24"/>
        </w:rPr>
        <w:t>-6</w:t>
      </w:r>
      <w:r w:rsidRPr="006134C3">
        <w:rPr>
          <w:rFonts w:ascii="Arial" w:hAnsi="Arial" w:cs="Arial"/>
          <w:b/>
          <w:szCs w:val="24"/>
          <w:lang w:val="id-ID"/>
        </w:rPr>
        <w:t xml:space="preserve"> Weeks After Planting (WAP) </w:t>
      </w:r>
    </w:p>
    <w:p w14:paraId="6939C213" w14:textId="77777777" w:rsidR="00870B4A" w:rsidRPr="006134C3" w:rsidRDefault="00870B4A" w:rsidP="00870B4A">
      <w:pPr>
        <w:ind w:firstLine="567"/>
        <w:jc w:val="both"/>
        <w:rPr>
          <w:rFonts w:ascii="Arial" w:hAnsi="Arial" w:cs="Arial"/>
          <w:b/>
          <w:color w:val="FF0000"/>
          <w:szCs w:val="24"/>
        </w:rPr>
      </w:pPr>
    </w:p>
    <w:p w14:paraId="67D74E15" w14:textId="1F8B6698" w:rsidR="00870B4A" w:rsidRDefault="00870B4A" w:rsidP="00870B4A">
      <w:pPr>
        <w:jc w:val="both"/>
        <w:rPr>
          <w:rFonts w:ascii="Arial" w:hAnsi="Arial" w:cs="Arial"/>
        </w:rPr>
      </w:pPr>
      <w:r w:rsidRPr="006134C3">
        <w:rPr>
          <w:rFonts w:ascii="Arial" w:hAnsi="Arial" w:cs="Arial"/>
          <w:color w:val="000000" w:themeColor="text1"/>
        </w:rPr>
        <w:t>The study demonstrated that soybean fertilized with a combination of water hyacinth compost and SP-36 fertilizer exhibited better growth compared to unfertilized plants. Specifically, the control (K0S0) had the lowest average plant height of 76 cm. In contrast, the treatment with the highest fertilizer dosage (K3S3) achieved an average height of 82 cm. This result indicates a positive linear growth trend, where increased fertilizer application correlates with enhanced plant height. Fertilizers, including SP-36 (a phosphate-based fertilizer), supply essential macronutrients such as phosphorus (P), which is critical for root development, energy transfer (ATP), and photosynthesis (Schachtman et al., 1998). Water hyacinth compost also contributes organic matter and micronutrients, improving soil structure and nutrient retention (Ndimele et al., 2011</w:t>
      </w:r>
      <w:r w:rsidRPr="006134C3">
        <w:rPr>
          <w:rFonts w:ascii="Arial" w:hAnsi="Arial" w:cs="Arial"/>
        </w:rPr>
        <w:t>). The linear increase in plant height with higher fertilizer doses aligns with the Law of the Minimum (Liebig’s Law), which states that plant growth is limited by the scarcest resource (van der Ploeg et al., 1999). Adequate phosphorus (from SP-36 and compost) likely reduced growth-limiting factors. Excessive fertilization can lead to diminishing returns or toxicity, but within the tested range (up to K3S3), the dose-response relationship remained positive, suggesting that the applied levels were within the optimal nutrient range. The findings implies that balanced fertilization enhances soybean growth, emphasizing the importance of integrated nutrient management combining organic (compost) and inorganic (SP-36) sources for sustainable agriculture.</w:t>
      </w:r>
    </w:p>
    <w:p w14:paraId="41EB96EE" w14:textId="77777777" w:rsidR="006134C3" w:rsidRPr="006134C3" w:rsidRDefault="006134C3" w:rsidP="00870B4A">
      <w:pPr>
        <w:jc w:val="both"/>
        <w:rPr>
          <w:rFonts w:ascii="Arial" w:hAnsi="Arial" w:cs="Arial"/>
        </w:rPr>
      </w:pPr>
    </w:p>
    <w:p w14:paraId="3BD6A517" w14:textId="77777777" w:rsidR="00E053D0" w:rsidRPr="006134C3" w:rsidRDefault="00E053D0" w:rsidP="00441B6F">
      <w:pPr>
        <w:pStyle w:val="Body"/>
        <w:spacing w:after="0"/>
        <w:rPr>
          <w:rFonts w:ascii="Arial" w:hAnsi="Arial" w:cs="Arial"/>
        </w:rPr>
      </w:pPr>
    </w:p>
    <w:p w14:paraId="4760868D" w14:textId="60974BC8" w:rsidR="00870B4A" w:rsidRPr="006134C3" w:rsidRDefault="00870B4A" w:rsidP="00870B4A">
      <w:pPr>
        <w:pStyle w:val="Body"/>
        <w:spacing w:after="0"/>
        <w:rPr>
          <w:rFonts w:ascii="Arial" w:hAnsi="Arial" w:cs="Arial"/>
          <w:b/>
          <w:sz w:val="22"/>
        </w:rPr>
      </w:pPr>
      <w:r w:rsidRPr="006134C3">
        <w:rPr>
          <w:rFonts w:ascii="Arial" w:hAnsi="Arial" w:cs="Arial"/>
          <w:b/>
          <w:sz w:val="22"/>
        </w:rPr>
        <w:lastRenderedPageBreak/>
        <w:t xml:space="preserve">3.2 Analysis </w:t>
      </w:r>
      <w:proofErr w:type="gramStart"/>
      <w:r w:rsidRPr="006134C3">
        <w:rPr>
          <w:rFonts w:ascii="Arial" w:hAnsi="Arial" w:cs="Arial"/>
          <w:b/>
          <w:sz w:val="22"/>
        </w:rPr>
        <w:t>Of</w:t>
      </w:r>
      <w:proofErr w:type="gramEnd"/>
      <w:r w:rsidRPr="006134C3">
        <w:rPr>
          <w:rFonts w:ascii="Arial" w:hAnsi="Arial" w:cs="Arial"/>
          <w:b/>
          <w:sz w:val="22"/>
        </w:rPr>
        <w:t xml:space="preserve"> Variance</w:t>
      </w:r>
    </w:p>
    <w:p w14:paraId="25E5C459" w14:textId="77777777" w:rsidR="00870B4A" w:rsidRPr="006134C3" w:rsidRDefault="00870B4A" w:rsidP="00870B4A">
      <w:pPr>
        <w:jc w:val="both"/>
        <w:rPr>
          <w:rFonts w:ascii="Arial" w:hAnsi="Arial" w:cs="Arial"/>
          <w:lang w:val="id-ID"/>
        </w:rPr>
      </w:pPr>
    </w:p>
    <w:p w14:paraId="3E34B157" w14:textId="566D5A86" w:rsidR="00870B4A" w:rsidRPr="006134C3" w:rsidRDefault="00870B4A" w:rsidP="00870B4A">
      <w:pPr>
        <w:jc w:val="both"/>
        <w:rPr>
          <w:rFonts w:ascii="Arial" w:hAnsi="Arial" w:cs="Arial"/>
          <w:lang w:val="id-ID"/>
        </w:rPr>
      </w:pPr>
      <w:r w:rsidRPr="006134C3">
        <w:rPr>
          <w:rFonts w:ascii="Arial" w:hAnsi="Arial" w:cs="Arial"/>
          <w:lang w:val="id-ID"/>
        </w:rPr>
        <w:t xml:space="preserve">The results of the </w:t>
      </w:r>
      <w:r w:rsidRPr="006134C3">
        <w:rPr>
          <w:rFonts w:ascii="Arial" w:hAnsi="Arial" w:cs="Arial"/>
        </w:rPr>
        <w:t>ANOVA</w:t>
      </w:r>
      <w:r w:rsidRPr="006134C3">
        <w:rPr>
          <w:rFonts w:ascii="Arial" w:hAnsi="Arial" w:cs="Arial"/>
          <w:lang w:val="id-ID"/>
        </w:rPr>
        <w:t xml:space="preserve"> showed that there was no interaction between compost and SP-36 fertilizer on all observed variables</w:t>
      </w:r>
      <w:r w:rsidRPr="006134C3">
        <w:rPr>
          <w:rFonts w:ascii="Arial" w:hAnsi="Arial" w:cs="Arial"/>
        </w:rPr>
        <w:t xml:space="preserve">. </w:t>
      </w:r>
      <w:r w:rsidRPr="006134C3">
        <w:rPr>
          <w:rFonts w:ascii="Arial" w:hAnsi="Arial" w:cs="Arial"/>
          <w:lang w:val="id-ID"/>
        </w:rPr>
        <w:t xml:space="preserve">Compost treatment affected the variables of plant height, number of leaves, number of branches, </w:t>
      </w:r>
      <w:r w:rsidRPr="006134C3">
        <w:rPr>
          <w:rFonts w:ascii="Arial" w:hAnsi="Arial" w:cs="Arial"/>
        </w:rPr>
        <w:t xml:space="preserve">shoot </w:t>
      </w:r>
      <w:r w:rsidRPr="006134C3">
        <w:rPr>
          <w:rFonts w:ascii="Arial" w:hAnsi="Arial" w:cs="Arial"/>
          <w:lang w:val="id-ID"/>
        </w:rPr>
        <w:t xml:space="preserve">dry weight, </w:t>
      </w:r>
      <w:r w:rsidRPr="006134C3">
        <w:rPr>
          <w:rFonts w:ascii="Arial" w:hAnsi="Arial" w:cs="Arial"/>
        </w:rPr>
        <w:t xml:space="preserve">roots </w:t>
      </w:r>
      <w:r w:rsidRPr="006134C3">
        <w:rPr>
          <w:rFonts w:ascii="Arial" w:hAnsi="Arial" w:cs="Arial"/>
          <w:lang w:val="id-ID"/>
        </w:rPr>
        <w:t>dry weight, number of f</w:t>
      </w:r>
      <w:r w:rsidRPr="006134C3">
        <w:rPr>
          <w:rFonts w:ascii="Arial" w:hAnsi="Arial" w:cs="Arial"/>
        </w:rPr>
        <w:t>illed</w:t>
      </w:r>
      <w:r w:rsidRPr="006134C3">
        <w:rPr>
          <w:rFonts w:ascii="Arial" w:hAnsi="Arial" w:cs="Arial"/>
          <w:lang w:val="id-ID"/>
        </w:rPr>
        <w:t xml:space="preserve"> pods, and seed weight per p</w:t>
      </w:r>
      <w:r w:rsidR="00CA4F15">
        <w:rPr>
          <w:rFonts w:ascii="Arial" w:hAnsi="Arial" w:cs="Arial"/>
        </w:rPr>
        <w:t>lo</w:t>
      </w:r>
      <w:r w:rsidRPr="006134C3">
        <w:rPr>
          <w:rFonts w:ascii="Arial" w:hAnsi="Arial" w:cs="Arial"/>
          <w:lang w:val="id-ID"/>
        </w:rPr>
        <w:t>t. SP-36 fertilizer treatment did not have a significant effect on all observed variables (Table 1). The variables that had an effect were further tested using Orthogonal Polynomials.</w:t>
      </w:r>
    </w:p>
    <w:p w14:paraId="207F91B1" w14:textId="77777777" w:rsidR="00870B4A" w:rsidRPr="006134C3" w:rsidRDefault="00870B4A" w:rsidP="00870B4A">
      <w:pPr>
        <w:jc w:val="both"/>
        <w:rPr>
          <w:rFonts w:ascii="Arial" w:hAnsi="Arial" w:cs="Arial"/>
          <w:lang w:val="id-ID"/>
        </w:rPr>
      </w:pPr>
    </w:p>
    <w:p w14:paraId="7EA071D6" w14:textId="23E63B26" w:rsidR="00870B4A" w:rsidRPr="006134C3" w:rsidRDefault="00870B4A" w:rsidP="00870B4A">
      <w:pPr>
        <w:pStyle w:val="Body"/>
        <w:spacing w:after="0"/>
        <w:rPr>
          <w:rFonts w:ascii="Arial" w:hAnsi="Arial" w:cs="Arial"/>
          <w:b/>
          <w:sz w:val="22"/>
        </w:rPr>
      </w:pPr>
      <w:r w:rsidRPr="006134C3">
        <w:rPr>
          <w:rFonts w:ascii="Arial" w:hAnsi="Arial" w:cs="Arial"/>
          <w:b/>
          <w:sz w:val="22"/>
        </w:rPr>
        <w:t>Table 1. Sumarry of Analysis of Variance</w:t>
      </w:r>
    </w:p>
    <w:tbl>
      <w:tblPr>
        <w:tblW w:w="8188" w:type="dxa"/>
        <w:tblBorders>
          <w:top w:val="single" w:sz="4" w:space="0" w:color="auto"/>
          <w:bottom w:val="single" w:sz="4" w:space="0" w:color="auto"/>
        </w:tblBorders>
        <w:tblLook w:val="04A0" w:firstRow="1" w:lastRow="0" w:firstColumn="1" w:lastColumn="0" w:noHBand="0" w:noVBand="1"/>
      </w:tblPr>
      <w:tblGrid>
        <w:gridCol w:w="2842"/>
        <w:gridCol w:w="1507"/>
        <w:gridCol w:w="1188"/>
        <w:gridCol w:w="1553"/>
        <w:gridCol w:w="1098"/>
      </w:tblGrid>
      <w:tr w:rsidR="00870B4A" w:rsidRPr="006134C3" w14:paraId="65B7C1B9" w14:textId="77777777" w:rsidTr="00117718">
        <w:trPr>
          <w:trHeight w:val="20"/>
        </w:trPr>
        <w:tc>
          <w:tcPr>
            <w:tcW w:w="2842" w:type="dxa"/>
            <w:vMerge w:val="restart"/>
            <w:noWrap/>
            <w:vAlign w:val="center"/>
            <w:hideMark/>
          </w:tcPr>
          <w:p w14:paraId="6C3C0907" w14:textId="77777777" w:rsidR="00870B4A" w:rsidRPr="006134C3" w:rsidRDefault="00870B4A" w:rsidP="00117718">
            <w:pPr>
              <w:rPr>
                <w:rFonts w:ascii="Arial" w:hAnsi="Arial" w:cs="Arial"/>
                <w:lang w:val="en"/>
              </w:rPr>
            </w:pPr>
            <w:r w:rsidRPr="006134C3">
              <w:rPr>
                <w:rFonts w:ascii="Arial" w:hAnsi="Arial" w:cs="Arial"/>
              </w:rPr>
              <w:t>Observed Variables</w:t>
            </w:r>
          </w:p>
        </w:tc>
        <w:tc>
          <w:tcPr>
            <w:tcW w:w="4248" w:type="dxa"/>
            <w:gridSpan w:val="3"/>
            <w:tcBorders>
              <w:bottom w:val="single" w:sz="4" w:space="0" w:color="auto"/>
            </w:tcBorders>
            <w:noWrap/>
            <w:vAlign w:val="center"/>
            <w:hideMark/>
          </w:tcPr>
          <w:p w14:paraId="56333186" w14:textId="77777777" w:rsidR="00870B4A" w:rsidRPr="006134C3" w:rsidRDefault="00870B4A" w:rsidP="00117718">
            <w:pPr>
              <w:jc w:val="center"/>
              <w:rPr>
                <w:rFonts w:ascii="Arial" w:hAnsi="Arial" w:cs="Arial"/>
              </w:rPr>
            </w:pPr>
            <w:r w:rsidRPr="006134C3">
              <w:rPr>
                <w:rFonts w:ascii="Arial" w:hAnsi="Arial" w:cs="Arial"/>
              </w:rPr>
              <w:t>T</w:t>
            </w:r>
            <w:r w:rsidRPr="006134C3">
              <w:rPr>
                <w:rFonts w:ascii="Arial" w:hAnsi="Arial" w:cs="Arial"/>
                <w:lang w:val="id-ID"/>
              </w:rPr>
              <w:t>reatment</w:t>
            </w:r>
            <w:r w:rsidRPr="006134C3">
              <w:rPr>
                <w:rFonts w:ascii="Arial" w:hAnsi="Arial" w:cs="Arial"/>
              </w:rPr>
              <w:t>s</w:t>
            </w:r>
          </w:p>
        </w:tc>
        <w:tc>
          <w:tcPr>
            <w:tcW w:w="1098" w:type="dxa"/>
            <w:tcBorders>
              <w:bottom w:val="single" w:sz="4" w:space="0" w:color="auto"/>
            </w:tcBorders>
            <w:noWrap/>
            <w:vAlign w:val="center"/>
            <w:hideMark/>
          </w:tcPr>
          <w:p w14:paraId="04FFD5BF" w14:textId="77777777" w:rsidR="00870B4A" w:rsidRPr="006134C3" w:rsidRDefault="00870B4A" w:rsidP="00117718">
            <w:pPr>
              <w:rPr>
                <w:rFonts w:ascii="Arial" w:hAnsi="Arial" w:cs="Arial"/>
                <w:lang w:val="en"/>
              </w:rPr>
            </w:pPr>
            <w:r w:rsidRPr="006134C3">
              <w:rPr>
                <w:rFonts w:ascii="Arial" w:hAnsi="Arial" w:cs="Arial"/>
              </w:rPr>
              <w:t> </w:t>
            </w:r>
          </w:p>
        </w:tc>
      </w:tr>
      <w:tr w:rsidR="00870B4A" w:rsidRPr="006134C3" w14:paraId="5CB70567" w14:textId="77777777" w:rsidTr="00117718">
        <w:trPr>
          <w:trHeight w:val="20"/>
        </w:trPr>
        <w:tc>
          <w:tcPr>
            <w:tcW w:w="2842" w:type="dxa"/>
            <w:vMerge/>
            <w:vAlign w:val="center"/>
            <w:hideMark/>
          </w:tcPr>
          <w:p w14:paraId="558FBF08" w14:textId="77777777" w:rsidR="00870B4A" w:rsidRPr="006134C3" w:rsidRDefault="00870B4A" w:rsidP="00117718">
            <w:pPr>
              <w:rPr>
                <w:rFonts w:ascii="Arial" w:hAnsi="Arial" w:cs="Arial"/>
                <w:lang w:val="en"/>
              </w:rPr>
            </w:pPr>
          </w:p>
        </w:tc>
        <w:tc>
          <w:tcPr>
            <w:tcW w:w="1507" w:type="dxa"/>
            <w:tcBorders>
              <w:top w:val="single" w:sz="4" w:space="0" w:color="auto"/>
              <w:bottom w:val="nil"/>
            </w:tcBorders>
            <w:noWrap/>
            <w:vAlign w:val="center"/>
            <w:hideMark/>
          </w:tcPr>
          <w:p w14:paraId="06A0742B" w14:textId="77777777" w:rsidR="00870B4A" w:rsidRPr="006134C3" w:rsidRDefault="00870B4A" w:rsidP="00117718">
            <w:pPr>
              <w:jc w:val="center"/>
              <w:rPr>
                <w:rFonts w:ascii="Arial" w:hAnsi="Arial" w:cs="Arial"/>
                <w:lang w:val="en"/>
              </w:rPr>
            </w:pPr>
            <w:r w:rsidRPr="006134C3">
              <w:rPr>
                <w:rFonts w:ascii="Arial" w:hAnsi="Arial" w:cs="Arial"/>
              </w:rPr>
              <w:t>Compost</w:t>
            </w:r>
          </w:p>
        </w:tc>
        <w:tc>
          <w:tcPr>
            <w:tcW w:w="1188" w:type="dxa"/>
            <w:tcBorders>
              <w:top w:val="single" w:sz="4" w:space="0" w:color="auto"/>
              <w:bottom w:val="nil"/>
            </w:tcBorders>
            <w:noWrap/>
            <w:vAlign w:val="center"/>
            <w:hideMark/>
          </w:tcPr>
          <w:p w14:paraId="54955C6D" w14:textId="77777777" w:rsidR="00870B4A" w:rsidRPr="006134C3" w:rsidRDefault="00870B4A" w:rsidP="00117718">
            <w:pPr>
              <w:jc w:val="center"/>
              <w:rPr>
                <w:rFonts w:ascii="Arial" w:hAnsi="Arial" w:cs="Arial"/>
                <w:lang w:val="en"/>
              </w:rPr>
            </w:pPr>
            <w:r w:rsidRPr="006134C3">
              <w:rPr>
                <w:rFonts w:ascii="Arial" w:hAnsi="Arial" w:cs="Arial"/>
              </w:rPr>
              <w:t>SP-36</w:t>
            </w:r>
          </w:p>
        </w:tc>
        <w:tc>
          <w:tcPr>
            <w:tcW w:w="1553" w:type="dxa"/>
            <w:tcBorders>
              <w:top w:val="single" w:sz="4" w:space="0" w:color="auto"/>
              <w:bottom w:val="nil"/>
            </w:tcBorders>
            <w:noWrap/>
            <w:vAlign w:val="center"/>
            <w:hideMark/>
          </w:tcPr>
          <w:p w14:paraId="0107B464" w14:textId="77777777" w:rsidR="00870B4A" w:rsidRPr="006134C3" w:rsidRDefault="00870B4A" w:rsidP="00117718">
            <w:pPr>
              <w:jc w:val="center"/>
              <w:rPr>
                <w:rFonts w:ascii="Arial" w:hAnsi="Arial" w:cs="Arial"/>
                <w:lang w:val="en"/>
              </w:rPr>
            </w:pPr>
            <w:r w:rsidRPr="006134C3">
              <w:rPr>
                <w:rFonts w:ascii="Arial" w:hAnsi="Arial" w:cs="Arial"/>
              </w:rPr>
              <w:t>Interaction</w:t>
            </w:r>
          </w:p>
        </w:tc>
        <w:tc>
          <w:tcPr>
            <w:tcW w:w="1098" w:type="dxa"/>
            <w:tcBorders>
              <w:top w:val="single" w:sz="4" w:space="0" w:color="auto"/>
              <w:bottom w:val="nil"/>
            </w:tcBorders>
            <w:noWrap/>
            <w:vAlign w:val="center"/>
            <w:hideMark/>
          </w:tcPr>
          <w:p w14:paraId="1FA01E4C" w14:textId="77777777" w:rsidR="00870B4A" w:rsidRPr="006134C3" w:rsidRDefault="00870B4A" w:rsidP="00117718">
            <w:pPr>
              <w:jc w:val="center"/>
              <w:rPr>
                <w:rFonts w:ascii="Arial" w:hAnsi="Arial" w:cs="Arial"/>
                <w:lang w:val="en"/>
              </w:rPr>
            </w:pPr>
            <w:proofErr w:type="gramStart"/>
            <w:r w:rsidRPr="006134C3">
              <w:rPr>
                <w:rFonts w:ascii="Arial" w:hAnsi="Arial" w:cs="Arial"/>
              </w:rPr>
              <w:t>CV(</w:t>
            </w:r>
            <w:proofErr w:type="gramEnd"/>
            <w:r w:rsidRPr="006134C3">
              <w:rPr>
                <w:rFonts w:ascii="Arial" w:hAnsi="Arial" w:cs="Arial"/>
              </w:rPr>
              <w:t>%)</w:t>
            </w:r>
          </w:p>
        </w:tc>
      </w:tr>
      <w:tr w:rsidR="00870B4A" w:rsidRPr="006134C3" w14:paraId="36627A5D" w14:textId="77777777" w:rsidTr="00117718">
        <w:trPr>
          <w:trHeight w:val="20"/>
        </w:trPr>
        <w:tc>
          <w:tcPr>
            <w:tcW w:w="2842" w:type="dxa"/>
            <w:vMerge/>
            <w:tcBorders>
              <w:bottom w:val="single" w:sz="4" w:space="0" w:color="auto"/>
            </w:tcBorders>
            <w:vAlign w:val="center"/>
            <w:hideMark/>
          </w:tcPr>
          <w:p w14:paraId="745723CF" w14:textId="77777777" w:rsidR="00870B4A" w:rsidRPr="006134C3" w:rsidRDefault="00870B4A" w:rsidP="00117718">
            <w:pPr>
              <w:rPr>
                <w:rFonts w:ascii="Arial" w:hAnsi="Arial" w:cs="Arial"/>
                <w:lang w:val="en"/>
              </w:rPr>
            </w:pPr>
          </w:p>
        </w:tc>
        <w:tc>
          <w:tcPr>
            <w:tcW w:w="1507" w:type="dxa"/>
            <w:tcBorders>
              <w:top w:val="nil"/>
              <w:bottom w:val="single" w:sz="4" w:space="0" w:color="auto"/>
            </w:tcBorders>
            <w:noWrap/>
            <w:vAlign w:val="center"/>
            <w:hideMark/>
          </w:tcPr>
          <w:p w14:paraId="4E05A732" w14:textId="77777777" w:rsidR="00870B4A" w:rsidRPr="006134C3" w:rsidRDefault="00870B4A" w:rsidP="00117718">
            <w:pPr>
              <w:jc w:val="center"/>
              <w:rPr>
                <w:rFonts w:ascii="Arial" w:hAnsi="Arial" w:cs="Arial"/>
                <w:lang w:val="en"/>
              </w:rPr>
            </w:pPr>
            <w:r w:rsidRPr="006134C3">
              <w:rPr>
                <w:rFonts w:ascii="Arial" w:hAnsi="Arial" w:cs="Arial"/>
              </w:rPr>
              <w:t>(K)</w:t>
            </w:r>
          </w:p>
        </w:tc>
        <w:tc>
          <w:tcPr>
            <w:tcW w:w="1188" w:type="dxa"/>
            <w:tcBorders>
              <w:top w:val="nil"/>
              <w:bottom w:val="single" w:sz="4" w:space="0" w:color="auto"/>
            </w:tcBorders>
            <w:noWrap/>
            <w:vAlign w:val="center"/>
            <w:hideMark/>
          </w:tcPr>
          <w:p w14:paraId="49EC11B0" w14:textId="77777777" w:rsidR="00870B4A" w:rsidRPr="006134C3" w:rsidRDefault="00870B4A" w:rsidP="00117718">
            <w:pPr>
              <w:jc w:val="center"/>
              <w:rPr>
                <w:rFonts w:ascii="Arial" w:hAnsi="Arial" w:cs="Arial"/>
                <w:lang w:val="en"/>
              </w:rPr>
            </w:pPr>
            <w:r w:rsidRPr="006134C3">
              <w:rPr>
                <w:rFonts w:ascii="Arial" w:hAnsi="Arial" w:cs="Arial"/>
              </w:rPr>
              <w:t>(S)</w:t>
            </w:r>
          </w:p>
        </w:tc>
        <w:tc>
          <w:tcPr>
            <w:tcW w:w="1553" w:type="dxa"/>
            <w:tcBorders>
              <w:top w:val="nil"/>
              <w:bottom w:val="single" w:sz="4" w:space="0" w:color="auto"/>
            </w:tcBorders>
            <w:noWrap/>
            <w:vAlign w:val="center"/>
            <w:hideMark/>
          </w:tcPr>
          <w:p w14:paraId="006F75B1" w14:textId="77777777" w:rsidR="00870B4A" w:rsidRPr="006134C3" w:rsidRDefault="00870B4A" w:rsidP="00117718">
            <w:pPr>
              <w:jc w:val="center"/>
              <w:rPr>
                <w:rFonts w:ascii="Arial" w:hAnsi="Arial" w:cs="Arial"/>
                <w:lang w:val="en"/>
              </w:rPr>
            </w:pPr>
            <w:r w:rsidRPr="006134C3">
              <w:rPr>
                <w:rFonts w:ascii="Arial" w:hAnsi="Arial" w:cs="Arial"/>
              </w:rPr>
              <w:t>(K x S)</w:t>
            </w:r>
          </w:p>
        </w:tc>
        <w:tc>
          <w:tcPr>
            <w:tcW w:w="1098" w:type="dxa"/>
            <w:tcBorders>
              <w:top w:val="nil"/>
              <w:bottom w:val="single" w:sz="4" w:space="0" w:color="auto"/>
            </w:tcBorders>
            <w:noWrap/>
            <w:vAlign w:val="center"/>
            <w:hideMark/>
          </w:tcPr>
          <w:p w14:paraId="4F02B83A" w14:textId="77777777" w:rsidR="00870B4A" w:rsidRPr="006134C3" w:rsidRDefault="00870B4A" w:rsidP="00117718">
            <w:pPr>
              <w:rPr>
                <w:rFonts w:ascii="Arial" w:hAnsi="Arial" w:cs="Arial"/>
                <w:lang w:val="en"/>
              </w:rPr>
            </w:pPr>
          </w:p>
        </w:tc>
      </w:tr>
      <w:tr w:rsidR="00870B4A" w:rsidRPr="006134C3" w14:paraId="3FA23E3C" w14:textId="77777777" w:rsidTr="00117718">
        <w:trPr>
          <w:trHeight w:val="20"/>
        </w:trPr>
        <w:tc>
          <w:tcPr>
            <w:tcW w:w="2842" w:type="dxa"/>
            <w:tcBorders>
              <w:top w:val="single" w:sz="4" w:space="0" w:color="auto"/>
              <w:bottom w:val="nil"/>
            </w:tcBorders>
            <w:noWrap/>
            <w:vAlign w:val="center"/>
            <w:hideMark/>
          </w:tcPr>
          <w:p w14:paraId="7AFD194C" w14:textId="77777777" w:rsidR="00870B4A" w:rsidRPr="006134C3" w:rsidRDefault="00870B4A" w:rsidP="00117718">
            <w:pPr>
              <w:rPr>
                <w:rFonts w:ascii="Arial" w:hAnsi="Arial" w:cs="Arial"/>
                <w:lang w:val="id-ID"/>
              </w:rPr>
            </w:pPr>
            <w:r w:rsidRPr="006134C3">
              <w:rPr>
                <w:rFonts w:ascii="Arial" w:hAnsi="Arial" w:cs="Arial"/>
              </w:rPr>
              <w:t xml:space="preserve">Plant Height 6 </w:t>
            </w:r>
            <w:r w:rsidRPr="006134C3">
              <w:rPr>
                <w:rFonts w:ascii="Arial" w:hAnsi="Arial" w:cs="Arial"/>
                <w:lang w:val="id-ID"/>
              </w:rPr>
              <w:t>WAP</w:t>
            </w:r>
          </w:p>
        </w:tc>
        <w:tc>
          <w:tcPr>
            <w:tcW w:w="1507" w:type="dxa"/>
            <w:tcBorders>
              <w:top w:val="single" w:sz="4" w:space="0" w:color="auto"/>
              <w:bottom w:val="nil"/>
            </w:tcBorders>
            <w:noWrap/>
            <w:vAlign w:val="bottom"/>
            <w:hideMark/>
          </w:tcPr>
          <w:p w14:paraId="5AC07ECE" w14:textId="77777777" w:rsidR="00870B4A" w:rsidRPr="006134C3" w:rsidRDefault="00870B4A" w:rsidP="00117718">
            <w:pPr>
              <w:jc w:val="center"/>
              <w:rPr>
                <w:rFonts w:ascii="Arial" w:hAnsi="Arial" w:cs="Arial"/>
                <w:lang w:val="en"/>
              </w:rPr>
            </w:pPr>
            <w:r w:rsidRPr="006134C3">
              <w:rPr>
                <w:rFonts w:ascii="Arial" w:hAnsi="Arial" w:cs="Arial"/>
              </w:rPr>
              <w:t>18.00 **</w:t>
            </w:r>
          </w:p>
        </w:tc>
        <w:tc>
          <w:tcPr>
            <w:tcW w:w="1188" w:type="dxa"/>
            <w:tcBorders>
              <w:top w:val="single" w:sz="4" w:space="0" w:color="auto"/>
              <w:bottom w:val="nil"/>
            </w:tcBorders>
            <w:noWrap/>
            <w:vAlign w:val="bottom"/>
            <w:hideMark/>
          </w:tcPr>
          <w:p w14:paraId="25CD8AF7" w14:textId="77777777" w:rsidR="00870B4A" w:rsidRPr="006134C3" w:rsidRDefault="00870B4A" w:rsidP="00117718">
            <w:pPr>
              <w:jc w:val="center"/>
              <w:rPr>
                <w:rFonts w:ascii="Arial" w:hAnsi="Arial" w:cs="Arial"/>
                <w:lang w:val="en"/>
              </w:rPr>
            </w:pPr>
            <w:r w:rsidRPr="006134C3">
              <w:rPr>
                <w:rFonts w:ascii="Arial" w:hAnsi="Arial" w:cs="Arial"/>
              </w:rPr>
              <w:t>1.81 ns</w:t>
            </w:r>
          </w:p>
        </w:tc>
        <w:tc>
          <w:tcPr>
            <w:tcW w:w="1553" w:type="dxa"/>
            <w:tcBorders>
              <w:top w:val="single" w:sz="4" w:space="0" w:color="auto"/>
              <w:bottom w:val="nil"/>
            </w:tcBorders>
            <w:noWrap/>
            <w:vAlign w:val="center"/>
            <w:hideMark/>
          </w:tcPr>
          <w:p w14:paraId="5958EF4F" w14:textId="77777777" w:rsidR="00870B4A" w:rsidRPr="006134C3" w:rsidRDefault="00870B4A" w:rsidP="00117718">
            <w:pPr>
              <w:jc w:val="center"/>
              <w:rPr>
                <w:rFonts w:ascii="Arial" w:hAnsi="Arial" w:cs="Arial"/>
                <w:lang w:val="en"/>
              </w:rPr>
            </w:pPr>
            <w:r w:rsidRPr="006134C3">
              <w:rPr>
                <w:rFonts w:ascii="Arial" w:hAnsi="Arial" w:cs="Arial"/>
              </w:rPr>
              <w:t>0.71 ns</w:t>
            </w:r>
          </w:p>
        </w:tc>
        <w:tc>
          <w:tcPr>
            <w:tcW w:w="1098" w:type="dxa"/>
            <w:tcBorders>
              <w:top w:val="single" w:sz="4" w:space="0" w:color="auto"/>
              <w:bottom w:val="nil"/>
            </w:tcBorders>
            <w:noWrap/>
            <w:vAlign w:val="bottom"/>
            <w:hideMark/>
          </w:tcPr>
          <w:p w14:paraId="43E191C6" w14:textId="77777777" w:rsidR="00870B4A" w:rsidRPr="006134C3" w:rsidRDefault="00870B4A" w:rsidP="00117718">
            <w:pPr>
              <w:jc w:val="center"/>
              <w:rPr>
                <w:rFonts w:ascii="Arial" w:hAnsi="Arial" w:cs="Arial"/>
                <w:lang w:val="en"/>
              </w:rPr>
            </w:pPr>
            <w:r w:rsidRPr="006134C3">
              <w:rPr>
                <w:rFonts w:ascii="Arial" w:hAnsi="Arial" w:cs="Arial"/>
              </w:rPr>
              <w:t>3.08</w:t>
            </w:r>
          </w:p>
        </w:tc>
      </w:tr>
      <w:tr w:rsidR="00870B4A" w:rsidRPr="006134C3" w14:paraId="17A9E532" w14:textId="77777777" w:rsidTr="00117718">
        <w:trPr>
          <w:trHeight w:val="20"/>
        </w:trPr>
        <w:tc>
          <w:tcPr>
            <w:tcW w:w="2842" w:type="dxa"/>
            <w:tcBorders>
              <w:top w:val="nil"/>
            </w:tcBorders>
            <w:noWrap/>
            <w:vAlign w:val="center"/>
            <w:hideMark/>
          </w:tcPr>
          <w:p w14:paraId="4E3A4D73" w14:textId="77777777" w:rsidR="00870B4A" w:rsidRPr="006134C3" w:rsidRDefault="00870B4A" w:rsidP="00117718">
            <w:pPr>
              <w:rPr>
                <w:rFonts w:ascii="Arial" w:hAnsi="Arial" w:cs="Arial"/>
                <w:lang w:val="en"/>
              </w:rPr>
            </w:pPr>
            <w:r w:rsidRPr="006134C3">
              <w:rPr>
                <w:rFonts w:ascii="Arial" w:hAnsi="Arial" w:cs="Arial"/>
              </w:rPr>
              <w:t>Number of Leaves</w:t>
            </w:r>
          </w:p>
        </w:tc>
        <w:tc>
          <w:tcPr>
            <w:tcW w:w="1507" w:type="dxa"/>
            <w:tcBorders>
              <w:top w:val="nil"/>
            </w:tcBorders>
            <w:noWrap/>
            <w:vAlign w:val="bottom"/>
            <w:hideMark/>
          </w:tcPr>
          <w:p w14:paraId="2DBA23D3" w14:textId="77777777" w:rsidR="00870B4A" w:rsidRPr="006134C3" w:rsidRDefault="00870B4A" w:rsidP="00117718">
            <w:pPr>
              <w:jc w:val="center"/>
              <w:rPr>
                <w:rFonts w:ascii="Arial" w:hAnsi="Arial" w:cs="Arial"/>
                <w:lang w:val="en"/>
              </w:rPr>
            </w:pPr>
            <w:r w:rsidRPr="006134C3">
              <w:rPr>
                <w:rFonts w:ascii="Arial" w:hAnsi="Arial" w:cs="Arial"/>
              </w:rPr>
              <w:t>6.89 **</w:t>
            </w:r>
          </w:p>
        </w:tc>
        <w:tc>
          <w:tcPr>
            <w:tcW w:w="1188" w:type="dxa"/>
            <w:tcBorders>
              <w:top w:val="nil"/>
            </w:tcBorders>
            <w:noWrap/>
            <w:vAlign w:val="bottom"/>
            <w:hideMark/>
          </w:tcPr>
          <w:p w14:paraId="58FD1078" w14:textId="77777777" w:rsidR="00870B4A" w:rsidRPr="006134C3" w:rsidRDefault="00870B4A" w:rsidP="00117718">
            <w:pPr>
              <w:jc w:val="center"/>
              <w:rPr>
                <w:rFonts w:ascii="Arial" w:hAnsi="Arial" w:cs="Arial"/>
                <w:lang w:val="en"/>
              </w:rPr>
            </w:pPr>
            <w:r w:rsidRPr="006134C3">
              <w:rPr>
                <w:rFonts w:ascii="Arial" w:hAnsi="Arial" w:cs="Arial"/>
              </w:rPr>
              <w:t>2.43 ns</w:t>
            </w:r>
          </w:p>
        </w:tc>
        <w:tc>
          <w:tcPr>
            <w:tcW w:w="1553" w:type="dxa"/>
            <w:tcBorders>
              <w:top w:val="nil"/>
            </w:tcBorders>
            <w:noWrap/>
            <w:vAlign w:val="center"/>
            <w:hideMark/>
          </w:tcPr>
          <w:p w14:paraId="7F6DBBFC" w14:textId="77777777" w:rsidR="00870B4A" w:rsidRPr="006134C3" w:rsidRDefault="00870B4A" w:rsidP="00117718">
            <w:pPr>
              <w:jc w:val="center"/>
              <w:rPr>
                <w:rFonts w:ascii="Arial" w:hAnsi="Arial" w:cs="Arial"/>
                <w:lang w:val="en"/>
              </w:rPr>
            </w:pPr>
            <w:r w:rsidRPr="006134C3">
              <w:rPr>
                <w:rFonts w:ascii="Arial" w:hAnsi="Arial" w:cs="Arial"/>
              </w:rPr>
              <w:t>1.37 ns</w:t>
            </w:r>
          </w:p>
        </w:tc>
        <w:tc>
          <w:tcPr>
            <w:tcW w:w="1098" w:type="dxa"/>
            <w:tcBorders>
              <w:top w:val="nil"/>
            </w:tcBorders>
            <w:noWrap/>
            <w:vAlign w:val="bottom"/>
            <w:hideMark/>
          </w:tcPr>
          <w:p w14:paraId="2FD19E12" w14:textId="77777777" w:rsidR="00870B4A" w:rsidRPr="006134C3" w:rsidRDefault="00870B4A" w:rsidP="00117718">
            <w:pPr>
              <w:jc w:val="center"/>
              <w:rPr>
                <w:rFonts w:ascii="Arial" w:hAnsi="Arial" w:cs="Arial"/>
                <w:lang w:val="en"/>
              </w:rPr>
            </w:pPr>
            <w:r w:rsidRPr="006134C3">
              <w:rPr>
                <w:rFonts w:ascii="Arial" w:hAnsi="Arial" w:cs="Arial"/>
              </w:rPr>
              <w:t>8.58</w:t>
            </w:r>
          </w:p>
        </w:tc>
      </w:tr>
      <w:tr w:rsidR="00870B4A" w:rsidRPr="006134C3" w14:paraId="2DC7B8BD" w14:textId="77777777" w:rsidTr="00117718">
        <w:trPr>
          <w:trHeight w:val="20"/>
        </w:trPr>
        <w:tc>
          <w:tcPr>
            <w:tcW w:w="2842" w:type="dxa"/>
            <w:noWrap/>
            <w:vAlign w:val="center"/>
            <w:hideMark/>
          </w:tcPr>
          <w:p w14:paraId="6BCA5BAB" w14:textId="77777777" w:rsidR="00870B4A" w:rsidRPr="006134C3" w:rsidRDefault="00870B4A" w:rsidP="00117718">
            <w:pPr>
              <w:rPr>
                <w:rFonts w:ascii="Arial" w:hAnsi="Arial" w:cs="Arial"/>
                <w:lang w:val="en"/>
              </w:rPr>
            </w:pPr>
            <w:r w:rsidRPr="006134C3">
              <w:rPr>
                <w:rFonts w:ascii="Arial" w:hAnsi="Arial" w:cs="Arial"/>
              </w:rPr>
              <w:t>Number of Branches</w:t>
            </w:r>
          </w:p>
        </w:tc>
        <w:tc>
          <w:tcPr>
            <w:tcW w:w="1507" w:type="dxa"/>
            <w:noWrap/>
            <w:vAlign w:val="bottom"/>
            <w:hideMark/>
          </w:tcPr>
          <w:p w14:paraId="4D2BAB47" w14:textId="77777777" w:rsidR="00870B4A" w:rsidRPr="006134C3" w:rsidRDefault="00870B4A" w:rsidP="00117718">
            <w:pPr>
              <w:jc w:val="center"/>
              <w:rPr>
                <w:rFonts w:ascii="Arial" w:hAnsi="Arial" w:cs="Arial"/>
                <w:lang w:val="en"/>
              </w:rPr>
            </w:pPr>
            <w:r w:rsidRPr="006134C3">
              <w:rPr>
                <w:rFonts w:ascii="Arial" w:hAnsi="Arial" w:cs="Arial"/>
              </w:rPr>
              <w:t>13.66 **</w:t>
            </w:r>
          </w:p>
        </w:tc>
        <w:tc>
          <w:tcPr>
            <w:tcW w:w="1188" w:type="dxa"/>
            <w:noWrap/>
            <w:vAlign w:val="bottom"/>
            <w:hideMark/>
          </w:tcPr>
          <w:p w14:paraId="1F569BE3" w14:textId="77777777" w:rsidR="00870B4A" w:rsidRPr="006134C3" w:rsidRDefault="00870B4A" w:rsidP="00117718">
            <w:pPr>
              <w:jc w:val="center"/>
              <w:rPr>
                <w:rFonts w:ascii="Arial" w:hAnsi="Arial" w:cs="Arial"/>
                <w:lang w:val="en"/>
              </w:rPr>
            </w:pPr>
            <w:r w:rsidRPr="006134C3">
              <w:rPr>
                <w:rFonts w:ascii="Arial" w:hAnsi="Arial" w:cs="Arial"/>
              </w:rPr>
              <w:t>0.76 ns</w:t>
            </w:r>
          </w:p>
        </w:tc>
        <w:tc>
          <w:tcPr>
            <w:tcW w:w="1553" w:type="dxa"/>
            <w:noWrap/>
            <w:vAlign w:val="bottom"/>
            <w:hideMark/>
          </w:tcPr>
          <w:p w14:paraId="58A705D1" w14:textId="77777777" w:rsidR="00870B4A" w:rsidRPr="006134C3" w:rsidRDefault="00870B4A" w:rsidP="00117718">
            <w:pPr>
              <w:jc w:val="center"/>
              <w:rPr>
                <w:rFonts w:ascii="Arial" w:hAnsi="Arial" w:cs="Arial"/>
                <w:lang w:val="en"/>
              </w:rPr>
            </w:pPr>
            <w:r w:rsidRPr="006134C3">
              <w:rPr>
                <w:rFonts w:ascii="Arial" w:hAnsi="Arial" w:cs="Arial"/>
              </w:rPr>
              <w:t>0.51 ns</w:t>
            </w:r>
          </w:p>
        </w:tc>
        <w:tc>
          <w:tcPr>
            <w:tcW w:w="1098" w:type="dxa"/>
            <w:noWrap/>
            <w:vAlign w:val="bottom"/>
            <w:hideMark/>
          </w:tcPr>
          <w:p w14:paraId="1A96FF2A" w14:textId="77777777" w:rsidR="00870B4A" w:rsidRPr="006134C3" w:rsidRDefault="00870B4A" w:rsidP="00117718">
            <w:pPr>
              <w:jc w:val="center"/>
              <w:rPr>
                <w:rFonts w:ascii="Arial" w:hAnsi="Arial" w:cs="Arial"/>
                <w:lang w:val="en"/>
              </w:rPr>
            </w:pPr>
            <w:r w:rsidRPr="006134C3">
              <w:rPr>
                <w:rFonts w:ascii="Arial" w:hAnsi="Arial" w:cs="Arial"/>
              </w:rPr>
              <w:t>10.89</w:t>
            </w:r>
          </w:p>
        </w:tc>
      </w:tr>
      <w:tr w:rsidR="00870B4A" w:rsidRPr="006134C3" w14:paraId="48490319" w14:textId="77777777" w:rsidTr="00117718">
        <w:trPr>
          <w:trHeight w:val="20"/>
        </w:trPr>
        <w:tc>
          <w:tcPr>
            <w:tcW w:w="2842" w:type="dxa"/>
            <w:noWrap/>
            <w:vAlign w:val="center"/>
            <w:hideMark/>
          </w:tcPr>
          <w:p w14:paraId="6206F344" w14:textId="77777777" w:rsidR="00870B4A" w:rsidRPr="006134C3" w:rsidRDefault="00870B4A" w:rsidP="00117718">
            <w:pPr>
              <w:rPr>
                <w:rFonts w:ascii="Arial" w:hAnsi="Arial" w:cs="Arial"/>
                <w:lang w:val="en"/>
              </w:rPr>
            </w:pPr>
            <w:r w:rsidRPr="006134C3">
              <w:rPr>
                <w:rFonts w:ascii="Arial" w:hAnsi="Arial" w:cs="Arial"/>
              </w:rPr>
              <w:t>Flowering Time</w:t>
            </w:r>
          </w:p>
        </w:tc>
        <w:tc>
          <w:tcPr>
            <w:tcW w:w="1507" w:type="dxa"/>
            <w:noWrap/>
            <w:vAlign w:val="bottom"/>
            <w:hideMark/>
          </w:tcPr>
          <w:p w14:paraId="3FAF51EB" w14:textId="77777777" w:rsidR="00870B4A" w:rsidRPr="006134C3" w:rsidRDefault="00870B4A" w:rsidP="00117718">
            <w:pPr>
              <w:jc w:val="center"/>
              <w:rPr>
                <w:rFonts w:ascii="Arial" w:hAnsi="Arial" w:cs="Arial"/>
                <w:lang w:val="en"/>
              </w:rPr>
            </w:pPr>
            <w:r w:rsidRPr="006134C3">
              <w:rPr>
                <w:rFonts w:ascii="Arial" w:hAnsi="Arial" w:cs="Arial"/>
              </w:rPr>
              <w:t>0.41 ns</w:t>
            </w:r>
          </w:p>
        </w:tc>
        <w:tc>
          <w:tcPr>
            <w:tcW w:w="1188" w:type="dxa"/>
            <w:noWrap/>
            <w:vAlign w:val="bottom"/>
            <w:hideMark/>
          </w:tcPr>
          <w:p w14:paraId="43E67285" w14:textId="06202CFA" w:rsidR="00870B4A" w:rsidRPr="008A185A" w:rsidRDefault="00B040C6" w:rsidP="00117718">
            <w:pPr>
              <w:jc w:val="center"/>
              <w:rPr>
                <w:rFonts w:ascii="Arial" w:hAnsi="Arial" w:cs="Arial"/>
                <w:lang w:val="en"/>
              </w:rPr>
            </w:pPr>
            <w:r w:rsidRPr="008A185A">
              <w:rPr>
                <w:rFonts w:ascii="Arial" w:hAnsi="Arial" w:cs="Arial"/>
              </w:rPr>
              <w:t>1.57</w:t>
            </w:r>
            <w:r w:rsidR="00870B4A" w:rsidRPr="008A185A">
              <w:rPr>
                <w:rFonts w:ascii="Arial" w:hAnsi="Arial" w:cs="Arial"/>
              </w:rPr>
              <w:t xml:space="preserve"> ns</w:t>
            </w:r>
          </w:p>
        </w:tc>
        <w:tc>
          <w:tcPr>
            <w:tcW w:w="1553" w:type="dxa"/>
            <w:noWrap/>
            <w:vAlign w:val="center"/>
            <w:hideMark/>
          </w:tcPr>
          <w:p w14:paraId="7AC44376" w14:textId="77777777" w:rsidR="00870B4A" w:rsidRPr="008A185A" w:rsidRDefault="00870B4A" w:rsidP="00117718">
            <w:pPr>
              <w:jc w:val="center"/>
              <w:rPr>
                <w:rFonts w:ascii="Arial" w:hAnsi="Arial" w:cs="Arial"/>
                <w:lang w:val="en"/>
              </w:rPr>
            </w:pPr>
            <w:r w:rsidRPr="008A185A">
              <w:rPr>
                <w:rFonts w:ascii="Arial" w:hAnsi="Arial" w:cs="Arial"/>
              </w:rPr>
              <w:t>0.37 ns</w:t>
            </w:r>
          </w:p>
        </w:tc>
        <w:tc>
          <w:tcPr>
            <w:tcW w:w="1098" w:type="dxa"/>
            <w:noWrap/>
            <w:vAlign w:val="bottom"/>
            <w:hideMark/>
          </w:tcPr>
          <w:p w14:paraId="565CFC54" w14:textId="77777777" w:rsidR="00870B4A" w:rsidRPr="006134C3" w:rsidRDefault="00870B4A" w:rsidP="00117718">
            <w:pPr>
              <w:jc w:val="center"/>
              <w:rPr>
                <w:rFonts w:ascii="Arial" w:hAnsi="Arial" w:cs="Arial"/>
                <w:lang w:val="en"/>
              </w:rPr>
            </w:pPr>
            <w:r w:rsidRPr="006134C3">
              <w:rPr>
                <w:rFonts w:ascii="Arial" w:hAnsi="Arial" w:cs="Arial"/>
              </w:rPr>
              <w:t>5.56</w:t>
            </w:r>
          </w:p>
        </w:tc>
      </w:tr>
      <w:tr w:rsidR="00870B4A" w:rsidRPr="006134C3" w14:paraId="6C902B08" w14:textId="77777777" w:rsidTr="00117718">
        <w:trPr>
          <w:trHeight w:val="20"/>
        </w:trPr>
        <w:tc>
          <w:tcPr>
            <w:tcW w:w="2842" w:type="dxa"/>
            <w:noWrap/>
            <w:vAlign w:val="center"/>
            <w:hideMark/>
          </w:tcPr>
          <w:p w14:paraId="3408B518" w14:textId="77777777" w:rsidR="00870B4A" w:rsidRPr="006134C3" w:rsidRDefault="00870B4A" w:rsidP="00117718">
            <w:pPr>
              <w:rPr>
                <w:rFonts w:ascii="Arial" w:hAnsi="Arial" w:cs="Arial"/>
                <w:lang w:val="en"/>
              </w:rPr>
            </w:pPr>
            <w:r w:rsidRPr="006134C3">
              <w:rPr>
                <w:rFonts w:ascii="Arial" w:hAnsi="Arial" w:cs="Arial"/>
              </w:rPr>
              <w:t>Harvest Time</w:t>
            </w:r>
          </w:p>
        </w:tc>
        <w:tc>
          <w:tcPr>
            <w:tcW w:w="1507" w:type="dxa"/>
            <w:noWrap/>
            <w:vAlign w:val="bottom"/>
            <w:hideMark/>
          </w:tcPr>
          <w:p w14:paraId="4D18197B" w14:textId="77777777" w:rsidR="00870B4A" w:rsidRPr="006134C3" w:rsidRDefault="00870B4A" w:rsidP="00117718">
            <w:pPr>
              <w:jc w:val="center"/>
              <w:rPr>
                <w:rFonts w:ascii="Arial" w:hAnsi="Arial" w:cs="Arial"/>
                <w:lang w:val="en"/>
              </w:rPr>
            </w:pPr>
            <w:r w:rsidRPr="006134C3">
              <w:rPr>
                <w:rFonts w:ascii="Arial" w:hAnsi="Arial" w:cs="Arial"/>
              </w:rPr>
              <w:t>1.17 ns</w:t>
            </w:r>
          </w:p>
        </w:tc>
        <w:tc>
          <w:tcPr>
            <w:tcW w:w="1188" w:type="dxa"/>
            <w:noWrap/>
            <w:vAlign w:val="bottom"/>
            <w:hideMark/>
          </w:tcPr>
          <w:p w14:paraId="309673A1" w14:textId="77777777" w:rsidR="00870B4A" w:rsidRPr="008A185A" w:rsidRDefault="00870B4A" w:rsidP="00117718">
            <w:pPr>
              <w:jc w:val="center"/>
              <w:rPr>
                <w:rFonts w:ascii="Arial" w:hAnsi="Arial" w:cs="Arial"/>
                <w:lang w:val="en"/>
              </w:rPr>
            </w:pPr>
            <w:r w:rsidRPr="008A185A">
              <w:rPr>
                <w:rFonts w:ascii="Arial" w:hAnsi="Arial" w:cs="Arial"/>
              </w:rPr>
              <w:t>2.19 ns</w:t>
            </w:r>
          </w:p>
        </w:tc>
        <w:tc>
          <w:tcPr>
            <w:tcW w:w="1553" w:type="dxa"/>
            <w:noWrap/>
            <w:vAlign w:val="bottom"/>
            <w:hideMark/>
          </w:tcPr>
          <w:p w14:paraId="16DEA934" w14:textId="77777777" w:rsidR="00870B4A" w:rsidRPr="008A185A" w:rsidRDefault="00870B4A" w:rsidP="00117718">
            <w:pPr>
              <w:jc w:val="center"/>
              <w:rPr>
                <w:rFonts w:ascii="Arial" w:hAnsi="Arial" w:cs="Arial"/>
                <w:lang w:val="en"/>
              </w:rPr>
            </w:pPr>
            <w:r w:rsidRPr="008A185A">
              <w:rPr>
                <w:rFonts w:ascii="Arial" w:hAnsi="Arial" w:cs="Arial"/>
              </w:rPr>
              <w:t>0.50 ns</w:t>
            </w:r>
          </w:p>
        </w:tc>
        <w:tc>
          <w:tcPr>
            <w:tcW w:w="1098" w:type="dxa"/>
            <w:noWrap/>
            <w:vAlign w:val="bottom"/>
            <w:hideMark/>
          </w:tcPr>
          <w:p w14:paraId="770DEED4" w14:textId="77777777" w:rsidR="00870B4A" w:rsidRPr="006134C3" w:rsidRDefault="00870B4A" w:rsidP="00117718">
            <w:pPr>
              <w:jc w:val="center"/>
              <w:rPr>
                <w:rFonts w:ascii="Arial" w:hAnsi="Arial" w:cs="Arial"/>
                <w:lang w:val="en"/>
              </w:rPr>
            </w:pPr>
            <w:r w:rsidRPr="006134C3">
              <w:rPr>
                <w:rFonts w:ascii="Arial" w:hAnsi="Arial" w:cs="Arial"/>
              </w:rPr>
              <w:t>2.71</w:t>
            </w:r>
          </w:p>
        </w:tc>
      </w:tr>
      <w:tr w:rsidR="00870B4A" w:rsidRPr="006134C3" w14:paraId="52EF99D4" w14:textId="77777777" w:rsidTr="00117718">
        <w:trPr>
          <w:trHeight w:val="20"/>
        </w:trPr>
        <w:tc>
          <w:tcPr>
            <w:tcW w:w="2842" w:type="dxa"/>
            <w:noWrap/>
            <w:vAlign w:val="center"/>
            <w:hideMark/>
          </w:tcPr>
          <w:p w14:paraId="71CFC106" w14:textId="77777777" w:rsidR="00870B4A" w:rsidRPr="006134C3" w:rsidRDefault="00870B4A" w:rsidP="00117718">
            <w:pPr>
              <w:rPr>
                <w:rFonts w:ascii="Arial" w:hAnsi="Arial" w:cs="Arial"/>
                <w:lang w:val="en"/>
              </w:rPr>
            </w:pPr>
            <w:r w:rsidRPr="006134C3">
              <w:rPr>
                <w:rFonts w:ascii="Arial" w:hAnsi="Arial" w:cs="Arial"/>
              </w:rPr>
              <w:t xml:space="preserve">Shoot Fresh Weight </w:t>
            </w:r>
          </w:p>
        </w:tc>
        <w:tc>
          <w:tcPr>
            <w:tcW w:w="1507" w:type="dxa"/>
            <w:noWrap/>
            <w:vAlign w:val="bottom"/>
            <w:hideMark/>
          </w:tcPr>
          <w:p w14:paraId="4A2CEB68" w14:textId="77777777" w:rsidR="00870B4A" w:rsidRPr="006134C3" w:rsidRDefault="00870B4A" w:rsidP="00117718">
            <w:pPr>
              <w:jc w:val="center"/>
              <w:rPr>
                <w:rFonts w:ascii="Arial" w:hAnsi="Arial" w:cs="Arial"/>
                <w:lang w:val="en"/>
              </w:rPr>
            </w:pPr>
            <w:r w:rsidRPr="006134C3">
              <w:rPr>
                <w:rFonts w:ascii="Arial" w:hAnsi="Arial" w:cs="Arial"/>
              </w:rPr>
              <w:t>1.11 ns</w:t>
            </w:r>
          </w:p>
        </w:tc>
        <w:tc>
          <w:tcPr>
            <w:tcW w:w="1188" w:type="dxa"/>
            <w:noWrap/>
            <w:vAlign w:val="bottom"/>
            <w:hideMark/>
          </w:tcPr>
          <w:p w14:paraId="384FC1BC" w14:textId="77777777" w:rsidR="00870B4A" w:rsidRPr="008A185A" w:rsidRDefault="00870B4A" w:rsidP="00117718">
            <w:pPr>
              <w:jc w:val="center"/>
              <w:rPr>
                <w:rFonts w:ascii="Arial" w:hAnsi="Arial" w:cs="Arial"/>
                <w:lang w:val="en"/>
              </w:rPr>
            </w:pPr>
            <w:r w:rsidRPr="008A185A">
              <w:rPr>
                <w:rFonts w:ascii="Arial" w:hAnsi="Arial" w:cs="Arial"/>
              </w:rPr>
              <w:t>1.19 ns</w:t>
            </w:r>
          </w:p>
        </w:tc>
        <w:tc>
          <w:tcPr>
            <w:tcW w:w="1553" w:type="dxa"/>
            <w:noWrap/>
            <w:vAlign w:val="center"/>
            <w:hideMark/>
          </w:tcPr>
          <w:p w14:paraId="66C811AD" w14:textId="77777777" w:rsidR="00870B4A" w:rsidRPr="008A185A" w:rsidRDefault="00870B4A" w:rsidP="00117718">
            <w:pPr>
              <w:jc w:val="center"/>
              <w:rPr>
                <w:rFonts w:ascii="Arial" w:hAnsi="Arial" w:cs="Arial"/>
                <w:lang w:val="en"/>
              </w:rPr>
            </w:pPr>
            <w:r w:rsidRPr="008A185A">
              <w:rPr>
                <w:rFonts w:ascii="Arial" w:hAnsi="Arial" w:cs="Arial"/>
              </w:rPr>
              <w:t>0.40 ns</w:t>
            </w:r>
          </w:p>
        </w:tc>
        <w:tc>
          <w:tcPr>
            <w:tcW w:w="1098" w:type="dxa"/>
            <w:noWrap/>
            <w:vAlign w:val="bottom"/>
            <w:hideMark/>
          </w:tcPr>
          <w:p w14:paraId="245B0586" w14:textId="77777777" w:rsidR="00870B4A" w:rsidRPr="006134C3" w:rsidRDefault="00870B4A" w:rsidP="00117718">
            <w:pPr>
              <w:jc w:val="center"/>
              <w:rPr>
                <w:rFonts w:ascii="Arial" w:hAnsi="Arial" w:cs="Arial"/>
                <w:lang w:val="en"/>
              </w:rPr>
            </w:pPr>
            <w:r w:rsidRPr="006134C3">
              <w:rPr>
                <w:rFonts w:ascii="Arial" w:hAnsi="Arial" w:cs="Arial"/>
              </w:rPr>
              <w:t>9.43</w:t>
            </w:r>
          </w:p>
        </w:tc>
      </w:tr>
      <w:tr w:rsidR="00870B4A" w:rsidRPr="006134C3" w14:paraId="372C3E9E" w14:textId="77777777" w:rsidTr="00117718">
        <w:trPr>
          <w:trHeight w:val="20"/>
        </w:trPr>
        <w:tc>
          <w:tcPr>
            <w:tcW w:w="2842" w:type="dxa"/>
            <w:noWrap/>
            <w:vAlign w:val="center"/>
            <w:hideMark/>
          </w:tcPr>
          <w:p w14:paraId="4CED440A" w14:textId="77777777" w:rsidR="00870B4A" w:rsidRPr="006134C3" w:rsidRDefault="00870B4A" w:rsidP="00117718">
            <w:pPr>
              <w:rPr>
                <w:rFonts w:ascii="Arial" w:hAnsi="Arial" w:cs="Arial"/>
                <w:vertAlign w:val="superscript"/>
                <w:lang w:val="en"/>
              </w:rPr>
            </w:pPr>
            <w:r w:rsidRPr="006134C3">
              <w:rPr>
                <w:rFonts w:ascii="Arial" w:hAnsi="Arial" w:cs="Arial"/>
              </w:rPr>
              <w:t xml:space="preserve">Root Fresh Weight </w:t>
            </w:r>
            <w:r w:rsidRPr="006134C3">
              <w:rPr>
                <w:rFonts w:ascii="Arial" w:hAnsi="Arial" w:cs="Arial"/>
                <w:vertAlign w:val="superscript"/>
              </w:rPr>
              <w:t>T</w:t>
            </w:r>
          </w:p>
        </w:tc>
        <w:tc>
          <w:tcPr>
            <w:tcW w:w="1507" w:type="dxa"/>
            <w:noWrap/>
            <w:vAlign w:val="bottom"/>
            <w:hideMark/>
          </w:tcPr>
          <w:p w14:paraId="45580E4C" w14:textId="77777777" w:rsidR="00870B4A" w:rsidRPr="006134C3" w:rsidRDefault="00870B4A" w:rsidP="00117718">
            <w:pPr>
              <w:jc w:val="center"/>
              <w:rPr>
                <w:rFonts w:ascii="Arial" w:hAnsi="Arial" w:cs="Arial"/>
                <w:lang w:val="en"/>
              </w:rPr>
            </w:pPr>
            <w:r w:rsidRPr="006134C3">
              <w:rPr>
                <w:rFonts w:ascii="Arial" w:hAnsi="Arial" w:cs="Arial"/>
              </w:rPr>
              <w:t>1</w:t>
            </w:r>
            <w:r w:rsidRPr="006134C3">
              <w:rPr>
                <w:rFonts w:ascii="Arial" w:hAnsi="Arial" w:cs="Arial"/>
                <w:lang w:val="id-ID"/>
              </w:rPr>
              <w:t>.</w:t>
            </w:r>
            <w:r w:rsidRPr="006134C3">
              <w:rPr>
                <w:rFonts w:ascii="Arial" w:hAnsi="Arial" w:cs="Arial"/>
              </w:rPr>
              <w:t>97 ns</w:t>
            </w:r>
          </w:p>
        </w:tc>
        <w:tc>
          <w:tcPr>
            <w:tcW w:w="1188" w:type="dxa"/>
            <w:noWrap/>
            <w:vAlign w:val="bottom"/>
            <w:hideMark/>
          </w:tcPr>
          <w:p w14:paraId="5E294B34" w14:textId="77777777" w:rsidR="00870B4A" w:rsidRPr="008A185A" w:rsidRDefault="00870B4A" w:rsidP="00117718">
            <w:pPr>
              <w:jc w:val="center"/>
              <w:rPr>
                <w:rFonts w:ascii="Arial" w:hAnsi="Arial" w:cs="Arial"/>
                <w:lang w:val="en"/>
              </w:rPr>
            </w:pPr>
            <w:r w:rsidRPr="008A185A">
              <w:rPr>
                <w:rFonts w:ascii="Arial" w:hAnsi="Arial" w:cs="Arial"/>
              </w:rPr>
              <w:t>0.65 ns</w:t>
            </w:r>
          </w:p>
        </w:tc>
        <w:tc>
          <w:tcPr>
            <w:tcW w:w="1553" w:type="dxa"/>
            <w:noWrap/>
            <w:vAlign w:val="center"/>
            <w:hideMark/>
          </w:tcPr>
          <w:p w14:paraId="713702AC" w14:textId="77777777" w:rsidR="00870B4A" w:rsidRPr="008A185A" w:rsidRDefault="00870B4A" w:rsidP="00117718">
            <w:pPr>
              <w:jc w:val="center"/>
              <w:rPr>
                <w:rFonts w:ascii="Arial" w:hAnsi="Arial" w:cs="Arial"/>
                <w:lang w:val="en"/>
              </w:rPr>
            </w:pPr>
            <w:r w:rsidRPr="008A185A">
              <w:rPr>
                <w:rFonts w:ascii="Arial" w:hAnsi="Arial" w:cs="Arial"/>
              </w:rPr>
              <w:t>1.02 ns</w:t>
            </w:r>
          </w:p>
        </w:tc>
        <w:tc>
          <w:tcPr>
            <w:tcW w:w="1098" w:type="dxa"/>
            <w:shd w:val="clear" w:color="auto" w:fill="FFFFFF"/>
            <w:noWrap/>
            <w:vAlign w:val="bottom"/>
            <w:hideMark/>
          </w:tcPr>
          <w:p w14:paraId="666E7931" w14:textId="51BBD165" w:rsidR="00870B4A" w:rsidRPr="006134C3" w:rsidRDefault="00870B4A" w:rsidP="00117718">
            <w:pPr>
              <w:jc w:val="center"/>
              <w:rPr>
                <w:rFonts w:ascii="Arial" w:hAnsi="Arial" w:cs="Arial"/>
                <w:lang w:val="en"/>
              </w:rPr>
            </w:pPr>
            <w:r w:rsidRPr="006134C3">
              <w:rPr>
                <w:rFonts w:ascii="Arial" w:hAnsi="Arial" w:cs="Arial"/>
              </w:rPr>
              <w:t>14</w:t>
            </w:r>
            <w:r w:rsidRPr="006134C3">
              <w:rPr>
                <w:rFonts w:ascii="Arial" w:hAnsi="Arial" w:cs="Arial"/>
                <w:lang w:val="id-ID"/>
              </w:rPr>
              <w:t>.</w:t>
            </w:r>
            <w:r w:rsidRPr="006134C3">
              <w:rPr>
                <w:rFonts w:ascii="Arial" w:hAnsi="Arial" w:cs="Arial"/>
              </w:rPr>
              <w:t>81 t</w:t>
            </w:r>
          </w:p>
        </w:tc>
      </w:tr>
      <w:tr w:rsidR="00870B4A" w:rsidRPr="006134C3" w14:paraId="0BAC3FB1" w14:textId="77777777" w:rsidTr="00117718">
        <w:trPr>
          <w:trHeight w:val="20"/>
        </w:trPr>
        <w:tc>
          <w:tcPr>
            <w:tcW w:w="2842" w:type="dxa"/>
            <w:noWrap/>
            <w:vAlign w:val="center"/>
            <w:hideMark/>
          </w:tcPr>
          <w:p w14:paraId="376B09DE" w14:textId="77777777" w:rsidR="00870B4A" w:rsidRPr="006134C3" w:rsidRDefault="00870B4A" w:rsidP="00117718">
            <w:pPr>
              <w:rPr>
                <w:rFonts w:ascii="Arial" w:hAnsi="Arial" w:cs="Arial"/>
                <w:lang w:val="en"/>
              </w:rPr>
            </w:pPr>
            <w:r w:rsidRPr="006134C3">
              <w:rPr>
                <w:rFonts w:ascii="Arial" w:hAnsi="Arial" w:cs="Arial"/>
              </w:rPr>
              <w:t>Shoot Dry Weight</w:t>
            </w:r>
          </w:p>
        </w:tc>
        <w:tc>
          <w:tcPr>
            <w:tcW w:w="1507" w:type="dxa"/>
            <w:noWrap/>
            <w:vAlign w:val="bottom"/>
            <w:hideMark/>
          </w:tcPr>
          <w:p w14:paraId="206654A7" w14:textId="77777777" w:rsidR="00870B4A" w:rsidRPr="006134C3" w:rsidRDefault="00870B4A" w:rsidP="00117718">
            <w:pPr>
              <w:jc w:val="center"/>
              <w:rPr>
                <w:rFonts w:ascii="Arial" w:hAnsi="Arial" w:cs="Arial"/>
                <w:lang w:val="en"/>
              </w:rPr>
            </w:pPr>
            <w:r w:rsidRPr="006134C3">
              <w:rPr>
                <w:rFonts w:ascii="Arial" w:hAnsi="Arial" w:cs="Arial"/>
              </w:rPr>
              <w:t>4.17 *</w:t>
            </w:r>
          </w:p>
        </w:tc>
        <w:tc>
          <w:tcPr>
            <w:tcW w:w="1188" w:type="dxa"/>
            <w:noWrap/>
            <w:vAlign w:val="bottom"/>
            <w:hideMark/>
          </w:tcPr>
          <w:p w14:paraId="10CA5DB1" w14:textId="77777777" w:rsidR="00870B4A" w:rsidRPr="008A185A" w:rsidRDefault="00870B4A" w:rsidP="00117718">
            <w:pPr>
              <w:jc w:val="center"/>
              <w:rPr>
                <w:rFonts w:ascii="Arial" w:hAnsi="Arial" w:cs="Arial"/>
                <w:lang w:val="en"/>
              </w:rPr>
            </w:pPr>
            <w:r w:rsidRPr="008A185A">
              <w:rPr>
                <w:rFonts w:ascii="Arial" w:hAnsi="Arial" w:cs="Arial"/>
              </w:rPr>
              <w:t>0.22 ns</w:t>
            </w:r>
          </w:p>
        </w:tc>
        <w:tc>
          <w:tcPr>
            <w:tcW w:w="1553" w:type="dxa"/>
            <w:noWrap/>
            <w:vAlign w:val="center"/>
            <w:hideMark/>
          </w:tcPr>
          <w:p w14:paraId="3E790CAB" w14:textId="77777777" w:rsidR="00870B4A" w:rsidRPr="008A185A" w:rsidRDefault="00870B4A" w:rsidP="00117718">
            <w:pPr>
              <w:jc w:val="center"/>
              <w:rPr>
                <w:rFonts w:ascii="Arial" w:hAnsi="Arial" w:cs="Arial"/>
                <w:lang w:val="en"/>
              </w:rPr>
            </w:pPr>
            <w:r w:rsidRPr="008A185A">
              <w:rPr>
                <w:rFonts w:ascii="Arial" w:hAnsi="Arial" w:cs="Arial"/>
              </w:rPr>
              <w:t>1.16 ns</w:t>
            </w:r>
          </w:p>
        </w:tc>
        <w:tc>
          <w:tcPr>
            <w:tcW w:w="1098" w:type="dxa"/>
            <w:noWrap/>
            <w:vAlign w:val="bottom"/>
            <w:hideMark/>
          </w:tcPr>
          <w:p w14:paraId="44E7CCE5" w14:textId="77777777" w:rsidR="00870B4A" w:rsidRPr="006134C3" w:rsidRDefault="00870B4A" w:rsidP="00117718">
            <w:pPr>
              <w:jc w:val="center"/>
              <w:rPr>
                <w:rFonts w:ascii="Arial" w:hAnsi="Arial" w:cs="Arial"/>
                <w:lang w:val="en"/>
              </w:rPr>
            </w:pPr>
            <w:r w:rsidRPr="006134C3">
              <w:rPr>
                <w:rFonts w:ascii="Arial" w:hAnsi="Arial" w:cs="Arial"/>
              </w:rPr>
              <w:t>12.41</w:t>
            </w:r>
          </w:p>
        </w:tc>
      </w:tr>
      <w:tr w:rsidR="00870B4A" w:rsidRPr="006134C3" w14:paraId="7292E8E3" w14:textId="77777777" w:rsidTr="00117718">
        <w:trPr>
          <w:trHeight w:val="20"/>
        </w:trPr>
        <w:tc>
          <w:tcPr>
            <w:tcW w:w="2842" w:type="dxa"/>
            <w:noWrap/>
            <w:vAlign w:val="center"/>
            <w:hideMark/>
          </w:tcPr>
          <w:p w14:paraId="6A141C40" w14:textId="77777777" w:rsidR="00870B4A" w:rsidRPr="006134C3" w:rsidRDefault="00870B4A" w:rsidP="00117718">
            <w:pPr>
              <w:rPr>
                <w:rFonts w:ascii="Arial" w:hAnsi="Arial" w:cs="Arial"/>
                <w:vertAlign w:val="superscript"/>
                <w:lang w:val="en"/>
              </w:rPr>
            </w:pPr>
            <w:r w:rsidRPr="006134C3">
              <w:rPr>
                <w:rFonts w:ascii="Arial" w:hAnsi="Arial" w:cs="Arial"/>
              </w:rPr>
              <w:t xml:space="preserve">Root Dry Weight </w:t>
            </w:r>
            <w:r w:rsidRPr="006134C3">
              <w:rPr>
                <w:rFonts w:ascii="Arial" w:hAnsi="Arial" w:cs="Arial"/>
                <w:vertAlign w:val="superscript"/>
              </w:rPr>
              <w:t>T</w:t>
            </w:r>
          </w:p>
        </w:tc>
        <w:tc>
          <w:tcPr>
            <w:tcW w:w="1507" w:type="dxa"/>
            <w:noWrap/>
            <w:vAlign w:val="bottom"/>
            <w:hideMark/>
          </w:tcPr>
          <w:p w14:paraId="208CB0DF" w14:textId="77777777" w:rsidR="00870B4A" w:rsidRPr="006134C3" w:rsidRDefault="00870B4A" w:rsidP="00117718">
            <w:pPr>
              <w:jc w:val="center"/>
              <w:rPr>
                <w:rFonts w:ascii="Arial" w:hAnsi="Arial" w:cs="Arial"/>
                <w:lang w:val="en"/>
              </w:rPr>
            </w:pPr>
            <w:r w:rsidRPr="006134C3">
              <w:rPr>
                <w:rFonts w:ascii="Arial" w:hAnsi="Arial" w:cs="Arial"/>
              </w:rPr>
              <w:t>3.62 *</w:t>
            </w:r>
          </w:p>
        </w:tc>
        <w:tc>
          <w:tcPr>
            <w:tcW w:w="1188" w:type="dxa"/>
            <w:noWrap/>
            <w:vAlign w:val="bottom"/>
            <w:hideMark/>
          </w:tcPr>
          <w:p w14:paraId="506A2AE2" w14:textId="77777777" w:rsidR="00870B4A" w:rsidRPr="008A185A" w:rsidRDefault="00870B4A" w:rsidP="00117718">
            <w:pPr>
              <w:jc w:val="center"/>
              <w:rPr>
                <w:rFonts w:ascii="Arial" w:hAnsi="Arial" w:cs="Arial"/>
                <w:lang w:val="en"/>
              </w:rPr>
            </w:pPr>
            <w:r w:rsidRPr="008A185A">
              <w:rPr>
                <w:rFonts w:ascii="Arial" w:hAnsi="Arial" w:cs="Arial"/>
              </w:rPr>
              <w:t>0.34 ns</w:t>
            </w:r>
          </w:p>
        </w:tc>
        <w:tc>
          <w:tcPr>
            <w:tcW w:w="1553" w:type="dxa"/>
            <w:noWrap/>
            <w:vAlign w:val="center"/>
            <w:hideMark/>
          </w:tcPr>
          <w:p w14:paraId="13FC1212" w14:textId="77777777" w:rsidR="00870B4A" w:rsidRPr="008A185A" w:rsidRDefault="00870B4A" w:rsidP="00117718">
            <w:pPr>
              <w:jc w:val="center"/>
              <w:rPr>
                <w:rFonts w:ascii="Arial" w:hAnsi="Arial" w:cs="Arial"/>
                <w:lang w:val="en"/>
              </w:rPr>
            </w:pPr>
            <w:r w:rsidRPr="008A185A">
              <w:rPr>
                <w:rFonts w:ascii="Arial" w:hAnsi="Arial" w:cs="Arial"/>
              </w:rPr>
              <w:t>1.56 ns</w:t>
            </w:r>
          </w:p>
        </w:tc>
        <w:tc>
          <w:tcPr>
            <w:tcW w:w="1098" w:type="dxa"/>
            <w:shd w:val="clear" w:color="auto" w:fill="FFFFFF"/>
            <w:noWrap/>
            <w:vAlign w:val="bottom"/>
            <w:hideMark/>
          </w:tcPr>
          <w:p w14:paraId="484DFA94" w14:textId="573D1276" w:rsidR="00870B4A" w:rsidRPr="006134C3" w:rsidRDefault="00870B4A" w:rsidP="00117718">
            <w:pPr>
              <w:jc w:val="center"/>
              <w:rPr>
                <w:rFonts w:ascii="Arial" w:hAnsi="Arial" w:cs="Arial"/>
                <w:lang w:val="en"/>
              </w:rPr>
            </w:pPr>
            <w:r w:rsidRPr="006134C3">
              <w:rPr>
                <w:rFonts w:ascii="Arial" w:hAnsi="Arial" w:cs="Arial"/>
              </w:rPr>
              <w:t>14.47 t</w:t>
            </w:r>
          </w:p>
        </w:tc>
      </w:tr>
      <w:tr w:rsidR="00870B4A" w:rsidRPr="006134C3" w14:paraId="3CD6DA90" w14:textId="77777777" w:rsidTr="00117718">
        <w:trPr>
          <w:trHeight w:val="20"/>
        </w:trPr>
        <w:tc>
          <w:tcPr>
            <w:tcW w:w="2842" w:type="dxa"/>
            <w:noWrap/>
            <w:vAlign w:val="center"/>
            <w:hideMark/>
          </w:tcPr>
          <w:p w14:paraId="08FD469A" w14:textId="77777777" w:rsidR="00870B4A" w:rsidRPr="006134C3" w:rsidRDefault="00870B4A" w:rsidP="00117718">
            <w:pPr>
              <w:rPr>
                <w:rFonts w:ascii="Arial" w:hAnsi="Arial" w:cs="Arial"/>
                <w:lang w:val="en"/>
              </w:rPr>
            </w:pPr>
            <w:r w:rsidRPr="006134C3">
              <w:rPr>
                <w:rFonts w:ascii="Arial" w:hAnsi="Arial" w:cs="Arial"/>
              </w:rPr>
              <w:t>Number of Filled Pods</w:t>
            </w:r>
          </w:p>
        </w:tc>
        <w:tc>
          <w:tcPr>
            <w:tcW w:w="1507" w:type="dxa"/>
            <w:noWrap/>
            <w:vAlign w:val="bottom"/>
            <w:hideMark/>
          </w:tcPr>
          <w:p w14:paraId="778A386A" w14:textId="77777777" w:rsidR="00870B4A" w:rsidRPr="006134C3" w:rsidRDefault="00870B4A" w:rsidP="00117718">
            <w:pPr>
              <w:jc w:val="center"/>
              <w:rPr>
                <w:rFonts w:ascii="Arial" w:hAnsi="Arial" w:cs="Arial"/>
                <w:lang w:val="en"/>
              </w:rPr>
            </w:pPr>
            <w:r w:rsidRPr="006134C3">
              <w:rPr>
                <w:rFonts w:ascii="Arial" w:hAnsi="Arial" w:cs="Arial"/>
              </w:rPr>
              <w:t>16.61 **</w:t>
            </w:r>
          </w:p>
        </w:tc>
        <w:tc>
          <w:tcPr>
            <w:tcW w:w="1188" w:type="dxa"/>
            <w:noWrap/>
            <w:vAlign w:val="bottom"/>
            <w:hideMark/>
          </w:tcPr>
          <w:p w14:paraId="0CA33CBD" w14:textId="77777777" w:rsidR="00870B4A" w:rsidRPr="008A185A" w:rsidRDefault="00870B4A" w:rsidP="00117718">
            <w:pPr>
              <w:jc w:val="center"/>
              <w:rPr>
                <w:rFonts w:ascii="Arial" w:hAnsi="Arial" w:cs="Arial"/>
                <w:lang w:val="en"/>
              </w:rPr>
            </w:pPr>
            <w:r w:rsidRPr="008A185A">
              <w:rPr>
                <w:rFonts w:ascii="Arial" w:hAnsi="Arial" w:cs="Arial"/>
              </w:rPr>
              <w:t>0.41 ns</w:t>
            </w:r>
          </w:p>
        </w:tc>
        <w:tc>
          <w:tcPr>
            <w:tcW w:w="1553" w:type="dxa"/>
            <w:noWrap/>
            <w:vAlign w:val="center"/>
            <w:hideMark/>
          </w:tcPr>
          <w:p w14:paraId="6D5DC672" w14:textId="4E5599F3" w:rsidR="00870B4A" w:rsidRPr="008A185A" w:rsidRDefault="00B040C6" w:rsidP="00117718">
            <w:pPr>
              <w:jc w:val="center"/>
              <w:rPr>
                <w:rFonts w:ascii="Arial" w:hAnsi="Arial" w:cs="Arial"/>
                <w:lang w:val="en"/>
              </w:rPr>
            </w:pPr>
            <w:r w:rsidRPr="008A185A">
              <w:rPr>
                <w:rFonts w:ascii="Arial" w:hAnsi="Arial" w:cs="Arial"/>
              </w:rPr>
              <w:t>1.21</w:t>
            </w:r>
            <w:r w:rsidR="00870B4A" w:rsidRPr="008A185A">
              <w:rPr>
                <w:rFonts w:ascii="Arial" w:hAnsi="Arial" w:cs="Arial"/>
              </w:rPr>
              <w:t xml:space="preserve"> ns</w:t>
            </w:r>
          </w:p>
        </w:tc>
        <w:tc>
          <w:tcPr>
            <w:tcW w:w="1098" w:type="dxa"/>
            <w:noWrap/>
            <w:vAlign w:val="bottom"/>
            <w:hideMark/>
          </w:tcPr>
          <w:p w14:paraId="4192EE90" w14:textId="77777777" w:rsidR="00870B4A" w:rsidRPr="006134C3" w:rsidRDefault="00870B4A" w:rsidP="00117718">
            <w:pPr>
              <w:jc w:val="center"/>
              <w:rPr>
                <w:rFonts w:ascii="Arial" w:hAnsi="Arial" w:cs="Arial"/>
                <w:lang w:val="en"/>
              </w:rPr>
            </w:pPr>
            <w:r w:rsidRPr="006134C3">
              <w:rPr>
                <w:rFonts w:ascii="Arial" w:hAnsi="Arial" w:cs="Arial"/>
              </w:rPr>
              <w:t>16.00</w:t>
            </w:r>
          </w:p>
        </w:tc>
      </w:tr>
      <w:tr w:rsidR="00870B4A" w:rsidRPr="006134C3" w14:paraId="4811EC49" w14:textId="77777777" w:rsidTr="00117718">
        <w:trPr>
          <w:trHeight w:val="20"/>
        </w:trPr>
        <w:tc>
          <w:tcPr>
            <w:tcW w:w="2842" w:type="dxa"/>
            <w:noWrap/>
            <w:vAlign w:val="center"/>
            <w:hideMark/>
          </w:tcPr>
          <w:p w14:paraId="198B8E65" w14:textId="77777777" w:rsidR="00870B4A" w:rsidRPr="006134C3" w:rsidRDefault="00870B4A" w:rsidP="00117718">
            <w:pPr>
              <w:rPr>
                <w:rFonts w:ascii="Arial" w:hAnsi="Arial" w:cs="Arial"/>
                <w:lang w:val="en"/>
              </w:rPr>
            </w:pPr>
            <w:r w:rsidRPr="006134C3">
              <w:rPr>
                <w:rFonts w:ascii="Arial" w:hAnsi="Arial" w:cs="Arial"/>
              </w:rPr>
              <w:t>Number of Empty Pods</w:t>
            </w:r>
          </w:p>
        </w:tc>
        <w:tc>
          <w:tcPr>
            <w:tcW w:w="1507" w:type="dxa"/>
            <w:noWrap/>
            <w:vAlign w:val="bottom"/>
            <w:hideMark/>
          </w:tcPr>
          <w:p w14:paraId="19E2887E" w14:textId="77777777" w:rsidR="00870B4A" w:rsidRPr="006134C3" w:rsidRDefault="00870B4A" w:rsidP="00117718">
            <w:pPr>
              <w:jc w:val="center"/>
              <w:rPr>
                <w:rFonts w:ascii="Arial" w:hAnsi="Arial" w:cs="Arial"/>
                <w:lang w:val="en"/>
              </w:rPr>
            </w:pPr>
            <w:r w:rsidRPr="006134C3">
              <w:rPr>
                <w:rFonts w:ascii="Arial" w:hAnsi="Arial" w:cs="Arial"/>
              </w:rPr>
              <w:t>1.32 ns</w:t>
            </w:r>
          </w:p>
        </w:tc>
        <w:tc>
          <w:tcPr>
            <w:tcW w:w="1188" w:type="dxa"/>
            <w:noWrap/>
            <w:vAlign w:val="bottom"/>
            <w:hideMark/>
          </w:tcPr>
          <w:p w14:paraId="229B0E69" w14:textId="77777777" w:rsidR="00870B4A" w:rsidRPr="008A185A" w:rsidRDefault="00870B4A" w:rsidP="00117718">
            <w:pPr>
              <w:jc w:val="center"/>
              <w:rPr>
                <w:rFonts w:ascii="Arial" w:hAnsi="Arial" w:cs="Arial"/>
                <w:lang w:val="en"/>
              </w:rPr>
            </w:pPr>
            <w:r w:rsidRPr="008A185A">
              <w:rPr>
                <w:rFonts w:ascii="Arial" w:hAnsi="Arial" w:cs="Arial"/>
              </w:rPr>
              <w:t>0.42 ns</w:t>
            </w:r>
          </w:p>
        </w:tc>
        <w:tc>
          <w:tcPr>
            <w:tcW w:w="1553" w:type="dxa"/>
            <w:noWrap/>
            <w:vAlign w:val="center"/>
            <w:hideMark/>
          </w:tcPr>
          <w:p w14:paraId="3184944F" w14:textId="77777777" w:rsidR="00870B4A" w:rsidRPr="008A185A" w:rsidRDefault="00870B4A" w:rsidP="00117718">
            <w:pPr>
              <w:jc w:val="center"/>
              <w:rPr>
                <w:rFonts w:ascii="Arial" w:hAnsi="Arial" w:cs="Arial"/>
                <w:lang w:val="en"/>
              </w:rPr>
            </w:pPr>
            <w:r w:rsidRPr="008A185A">
              <w:rPr>
                <w:rFonts w:ascii="Arial" w:hAnsi="Arial" w:cs="Arial"/>
              </w:rPr>
              <w:t>1.10 ns</w:t>
            </w:r>
          </w:p>
        </w:tc>
        <w:tc>
          <w:tcPr>
            <w:tcW w:w="1098" w:type="dxa"/>
            <w:noWrap/>
            <w:vAlign w:val="bottom"/>
            <w:hideMark/>
          </w:tcPr>
          <w:p w14:paraId="463A5D16" w14:textId="77777777" w:rsidR="00870B4A" w:rsidRPr="006134C3" w:rsidRDefault="00870B4A" w:rsidP="00117718">
            <w:pPr>
              <w:jc w:val="center"/>
              <w:rPr>
                <w:rFonts w:ascii="Arial" w:hAnsi="Arial" w:cs="Arial"/>
                <w:lang w:val="en"/>
              </w:rPr>
            </w:pPr>
            <w:r w:rsidRPr="006134C3">
              <w:rPr>
                <w:rFonts w:ascii="Arial" w:hAnsi="Arial" w:cs="Arial"/>
              </w:rPr>
              <w:t>23.31</w:t>
            </w:r>
          </w:p>
        </w:tc>
      </w:tr>
      <w:tr w:rsidR="00870B4A" w:rsidRPr="006134C3" w14:paraId="42D435FF" w14:textId="77777777" w:rsidTr="00117718">
        <w:trPr>
          <w:trHeight w:val="20"/>
        </w:trPr>
        <w:tc>
          <w:tcPr>
            <w:tcW w:w="2842" w:type="dxa"/>
            <w:noWrap/>
            <w:vAlign w:val="center"/>
            <w:hideMark/>
          </w:tcPr>
          <w:p w14:paraId="72A27772" w14:textId="6CED6674" w:rsidR="00870B4A" w:rsidRPr="006134C3" w:rsidRDefault="006F384B" w:rsidP="00117718">
            <w:pPr>
              <w:rPr>
                <w:rFonts w:ascii="Arial" w:hAnsi="Arial" w:cs="Arial"/>
                <w:lang w:val="en"/>
              </w:rPr>
            </w:pPr>
            <w:r>
              <w:rPr>
                <w:rFonts w:ascii="Arial" w:hAnsi="Arial" w:cs="Arial"/>
                <w:lang w:val="en"/>
              </w:rPr>
              <w:t>Seed Weight per Plot</w:t>
            </w:r>
          </w:p>
        </w:tc>
        <w:tc>
          <w:tcPr>
            <w:tcW w:w="1507" w:type="dxa"/>
            <w:noWrap/>
            <w:vAlign w:val="bottom"/>
            <w:hideMark/>
          </w:tcPr>
          <w:p w14:paraId="5DCD42D4" w14:textId="68C0F754" w:rsidR="00870B4A" w:rsidRPr="006134C3" w:rsidRDefault="006F384B" w:rsidP="00117718">
            <w:pPr>
              <w:jc w:val="center"/>
              <w:rPr>
                <w:rFonts w:ascii="Arial" w:hAnsi="Arial" w:cs="Arial"/>
                <w:lang w:val="en"/>
              </w:rPr>
            </w:pPr>
            <w:r>
              <w:rPr>
                <w:rFonts w:ascii="Arial" w:hAnsi="Arial" w:cs="Arial"/>
              </w:rPr>
              <w:t>6.52</w:t>
            </w:r>
            <w:r w:rsidR="00870B4A" w:rsidRPr="006134C3">
              <w:rPr>
                <w:rFonts w:ascii="Arial" w:hAnsi="Arial" w:cs="Arial"/>
              </w:rPr>
              <w:t xml:space="preserve"> **</w:t>
            </w:r>
          </w:p>
        </w:tc>
        <w:tc>
          <w:tcPr>
            <w:tcW w:w="1188" w:type="dxa"/>
            <w:shd w:val="clear" w:color="auto" w:fill="FFFFFF"/>
            <w:noWrap/>
            <w:vAlign w:val="bottom"/>
            <w:hideMark/>
          </w:tcPr>
          <w:p w14:paraId="2689A6F1" w14:textId="0F46EAEB" w:rsidR="00870B4A" w:rsidRPr="008A185A" w:rsidRDefault="006F384B" w:rsidP="00117718">
            <w:pPr>
              <w:jc w:val="center"/>
              <w:rPr>
                <w:rFonts w:ascii="Arial" w:hAnsi="Arial" w:cs="Arial"/>
                <w:lang w:val="en"/>
              </w:rPr>
            </w:pPr>
            <w:r>
              <w:rPr>
                <w:rFonts w:ascii="Arial" w:hAnsi="Arial" w:cs="Arial"/>
              </w:rPr>
              <w:t>1.49</w:t>
            </w:r>
            <w:r w:rsidR="00870B4A" w:rsidRPr="008A185A">
              <w:rPr>
                <w:rFonts w:ascii="Arial" w:hAnsi="Arial" w:cs="Arial"/>
              </w:rPr>
              <w:t xml:space="preserve"> ns</w:t>
            </w:r>
          </w:p>
        </w:tc>
        <w:tc>
          <w:tcPr>
            <w:tcW w:w="1553" w:type="dxa"/>
            <w:shd w:val="clear" w:color="auto" w:fill="FFFFFF"/>
            <w:noWrap/>
            <w:vAlign w:val="center"/>
            <w:hideMark/>
          </w:tcPr>
          <w:p w14:paraId="09D642EC" w14:textId="11F58486" w:rsidR="00870B4A" w:rsidRPr="008A185A" w:rsidRDefault="006F384B" w:rsidP="00117718">
            <w:pPr>
              <w:jc w:val="center"/>
              <w:rPr>
                <w:rFonts w:ascii="Arial" w:hAnsi="Arial" w:cs="Arial"/>
                <w:lang w:val="en"/>
              </w:rPr>
            </w:pPr>
            <w:r>
              <w:rPr>
                <w:rFonts w:ascii="Arial" w:hAnsi="Arial" w:cs="Arial"/>
              </w:rPr>
              <w:t>0.34</w:t>
            </w:r>
            <w:r w:rsidR="00870B4A" w:rsidRPr="008A185A">
              <w:rPr>
                <w:rFonts w:ascii="Arial" w:hAnsi="Arial" w:cs="Arial"/>
              </w:rPr>
              <w:t xml:space="preserve"> </w:t>
            </w:r>
            <w:r w:rsidR="004D2689" w:rsidRPr="008A185A">
              <w:rPr>
                <w:rFonts w:ascii="Arial" w:hAnsi="Arial" w:cs="Arial"/>
              </w:rPr>
              <w:t>ns</w:t>
            </w:r>
          </w:p>
        </w:tc>
        <w:tc>
          <w:tcPr>
            <w:tcW w:w="1098" w:type="dxa"/>
            <w:noWrap/>
            <w:vAlign w:val="bottom"/>
            <w:hideMark/>
          </w:tcPr>
          <w:p w14:paraId="7BD20344" w14:textId="343FE358" w:rsidR="00870B4A" w:rsidRPr="006134C3" w:rsidRDefault="00870B4A" w:rsidP="00117718">
            <w:pPr>
              <w:jc w:val="center"/>
              <w:rPr>
                <w:rFonts w:ascii="Arial" w:hAnsi="Arial" w:cs="Arial"/>
                <w:lang w:val="en"/>
              </w:rPr>
            </w:pPr>
            <w:r w:rsidRPr="006134C3">
              <w:rPr>
                <w:rFonts w:ascii="Arial" w:hAnsi="Arial" w:cs="Arial"/>
              </w:rPr>
              <w:t>2</w:t>
            </w:r>
            <w:r w:rsidR="006F384B">
              <w:rPr>
                <w:rFonts w:ascii="Arial" w:hAnsi="Arial" w:cs="Arial"/>
              </w:rPr>
              <w:t>7.52</w:t>
            </w:r>
          </w:p>
        </w:tc>
      </w:tr>
      <w:tr w:rsidR="00870B4A" w:rsidRPr="006134C3" w14:paraId="002328FE" w14:textId="77777777" w:rsidTr="00117718">
        <w:trPr>
          <w:trHeight w:val="20"/>
        </w:trPr>
        <w:tc>
          <w:tcPr>
            <w:tcW w:w="2842" w:type="dxa"/>
            <w:tcBorders>
              <w:bottom w:val="single" w:sz="4" w:space="0" w:color="auto"/>
            </w:tcBorders>
            <w:noWrap/>
            <w:vAlign w:val="bottom"/>
            <w:hideMark/>
          </w:tcPr>
          <w:p w14:paraId="62285FDC" w14:textId="77777777" w:rsidR="00870B4A" w:rsidRPr="006134C3" w:rsidRDefault="00870B4A" w:rsidP="00117718">
            <w:pPr>
              <w:rPr>
                <w:rFonts w:ascii="Arial" w:hAnsi="Arial" w:cs="Arial"/>
                <w:lang w:val="en"/>
              </w:rPr>
            </w:pPr>
            <w:r w:rsidRPr="006134C3">
              <w:rPr>
                <w:rFonts w:ascii="Arial" w:hAnsi="Arial" w:cs="Arial"/>
              </w:rPr>
              <w:t>Weight 100 Seeds</w:t>
            </w:r>
          </w:p>
        </w:tc>
        <w:tc>
          <w:tcPr>
            <w:tcW w:w="1507" w:type="dxa"/>
            <w:tcBorders>
              <w:bottom w:val="single" w:sz="4" w:space="0" w:color="auto"/>
            </w:tcBorders>
            <w:noWrap/>
            <w:vAlign w:val="bottom"/>
            <w:hideMark/>
          </w:tcPr>
          <w:p w14:paraId="41F26E29" w14:textId="77777777" w:rsidR="00870B4A" w:rsidRPr="006134C3" w:rsidRDefault="00870B4A" w:rsidP="00117718">
            <w:pPr>
              <w:jc w:val="center"/>
              <w:rPr>
                <w:rFonts w:ascii="Arial" w:hAnsi="Arial" w:cs="Arial"/>
                <w:lang w:val="en"/>
              </w:rPr>
            </w:pPr>
            <w:r w:rsidRPr="006134C3">
              <w:rPr>
                <w:rFonts w:ascii="Arial" w:hAnsi="Arial" w:cs="Arial"/>
              </w:rPr>
              <w:t>1.96 ns</w:t>
            </w:r>
          </w:p>
        </w:tc>
        <w:tc>
          <w:tcPr>
            <w:tcW w:w="1188" w:type="dxa"/>
            <w:tcBorders>
              <w:bottom w:val="single" w:sz="4" w:space="0" w:color="auto"/>
            </w:tcBorders>
            <w:noWrap/>
            <w:vAlign w:val="bottom"/>
            <w:hideMark/>
          </w:tcPr>
          <w:p w14:paraId="0C7902AC" w14:textId="77777777" w:rsidR="00870B4A" w:rsidRPr="006134C3" w:rsidRDefault="00870B4A" w:rsidP="00117718">
            <w:pPr>
              <w:jc w:val="center"/>
              <w:rPr>
                <w:rFonts w:ascii="Arial" w:hAnsi="Arial" w:cs="Arial"/>
                <w:lang w:val="en"/>
              </w:rPr>
            </w:pPr>
            <w:r w:rsidRPr="006134C3">
              <w:rPr>
                <w:rFonts w:ascii="Arial" w:hAnsi="Arial" w:cs="Arial"/>
              </w:rPr>
              <w:t>0.46 ns</w:t>
            </w:r>
          </w:p>
        </w:tc>
        <w:tc>
          <w:tcPr>
            <w:tcW w:w="1553" w:type="dxa"/>
            <w:tcBorders>
              <w:bottom w:val="single" w:sz="4" w:space="0" w:color="auto"/>
            </w:tcBorders>
            <w:noWrap/>
            <w:vAlign w:val="bottom"/>
            <w:hideMark/>
          </w:tcPr>
          <w:p w14:paraId="196849EB" w14:textId="77777777" w:rsidR="00870B4A" w:rsidRPr="006134C3" w:rsidRDefault="00870B4A" w:rsidP="00117718">
            <w:pPr>
              <w:jc w:val="center"/>
              <w:rPr>
                <w:rFonts w:ascii="Arial" w:hAnsi="Arial" w:cs="Arial"/>
                <w:lang w:val="en"/>
              </w:rPr>
            </w:pPr>
            <w:r w:rsidRPr="006134C3">
              <w:rPr>
                <w:rFonts w:ascii="Arial" w:hAnsi="Arial" w:cs="Arial"/>
              </w:rPr>
              <w:t>1.61 ns</w:t>
            </w:r>
          </w:p>
        </w:tc>
        <w:tc>
          <w:tcPr>
            <w:tcW w:w="1098" w:type="dxa"/>
            <w:tcBorders>
              <w:bottom w:val="single" w:sz="4" w:space="0" w:color="auto"/>
            </w:tcBorders>
            <w:noWrap/>
            <w:vAlign w:val="bottom"/>
            <w:hideMark/>
          </w:tcPr>
          <w:p w14:paraId="50E87025" w14:textId="77777777" w:rsidR="00870B4A" w:rsidRPr="006134C3" w:rsidRDefault="00870B4A" w:rsidP="00117718">
            <w:pPr>
              <w:jc w:val="center"/>
              <w:rPr>
                <w:rFonts w:ascii="Arial" w:hAnsi="Arial" w:cs="Arial"/>
                <w:lang w:val="en"/>
              </w:rPr>
            </w:pPr>
            <w:r w:rsidRPr="006134C3">
              <w:rPr>
                <w:rFonts w:ascii="Arial" w:hAnsi="Arial" w:cs="Arial"/>
              </w:rPr>
              <w:t>16.16</w:t>
            </w:r>
          </w:p>
        </w:tc>
      </w:tr>
      <w:tr w:rsidR="00870B4A" w:rsidRPr="006134C3" w14:paraId="78C695B8" w14:textId="77777777" w:rsidTr="00117718">
        <w:trPr>
          <w:trHeight w:val="20"/>
        </w:trPr>
        <w:tc>
          <w:tcPr>
            <w:tcW w:w="2842" w:type="dxa"/>
            <w:tcBorders>
              <w:top w:val="single" w:sz="4" w:space="0" w:color="auto"/>
              <w:bottom w:val="single" w:sz="4" w:space="0" w:color="auto"/>
            </w:tcBorders>
            <w:noWrap/>
            <w:vAlign w:val="center"/>
            <w:hideMark/>
          </w:tcPr>
          <w:p w14:paraId="5FE83AD0" w14:textId="77777777" w:rsidR="00870B4A" w:rsidRPr="006134C3" w:rsidRDefault="00870B4A" w:rsidP="00117718">
            <w:pPr>
              <w:rPr>
                <w:rFonts w:ascii="Arial" w:hAnsi="Arial" w:cs="Arial"/>
                <w:lang w:val="en"/>
              </w:rPr>
            </w:pPr>
            <w:r w:rsidRPr="006134C3">
              <w:rPr>
                <w:rFonts w:ascii="Arial" w:hAnsi="Arial" w:cs="Arial"/>
              </w:rPr>
              <w:t xml:space="preserve">F-Table </w:t>
            </w:r>
            <w:proofErr w:type="gramStart"/>
            <w:r w:rsidRPr="006134C3">
              <w:rPr>
                <w:rFonts w:ascii="Arial" w:hAnsi="Arial" w:cs="Arial"/>
              </w:rPr>
              <w:t>( 5</w:t>
            </w:r>
            <w:proofErr w:type="gramEnd"/>
            <w:r w:rsidRPr="006134C3">
              <w:rPr>
                <w:rFonts w:ascii="Arial" w:hAnsi="Arial" w:cs="Arial"/>
              </w:rPr>
              <w:t>%)</w:t>
            </w:r>
          </w:p>
        </w:tc>
        <w:tc>
          <w:tcPr>
            <w:tcW w:w="1507" w:type="dxa"/>
            <w:tcBorders>
              <w:top w:val="single" w:sz="4" w:space="0" w:color="auto"/>
              <w:bottom w:val="single" w:sz="4" w:space="0" w:color="auto"/>
            </w:tcBorders>
            <w:noWrap/>
            <w:vAlign w:val="bottom"/>
            <w:hideMark/>
          </w:tcPr>
          <w:p w14:paraId="6B2533A6" w14:textId="77777777" w:rsidR="00870B4A" w:rsidRPr="006134C3" w:rsidRDefault="00870B4A" w:rsidP="00117718">
            <w:pPr>
              <w:jc w:val="center"/>
              <w:rPr>
                <w:rFonts w:ascii="Arial" w:hAnsi="Arial" w:cs="Arial"/>
                <w:lang w:val="en"/>
              </w:rPr>
            </w:pPr>
            <w:r w:rsidRPr="006134C3">
              <w:rPr>
                <w:rFonts w:ascii="Arial" w:hAnsi="Arial" w:cs="Arial"/>
              </w:rPr>
              <w:t>2</w:t>
            </w:r>
            <w:r w:rsidRPr="006134C3">
              <w:rPr>
                <w:rFonts w:ascii="Arial" w:hAnsi="Arial" w:cs="Arial"/>
                <w:lang w:val="id-ID"/>
              </w:rPr>
              <w:t>.</w:t>
            </w:r>
            <w:r w:rsidRPr="006134C3">
              <w:rPr>
                <w:rFonts w:ascii="Arial" w:hAnsi="Arial" w:cs="Arial"/>
              </w:rPr>
              <w:t>9</w:t>
            </w:r>
          </w:p>
        </w:tc>
        <w:tc>
          <w:tcPr>
            <w:tcW w:w="1188" w:type="dxa"/>
            <w:tcBorders>
              <w:top w:val="single" w:sz="4" w:space="0" w:color="auto"/>
              <w:bottom w:val="single" w:sz="4" w:space="0" w:color="auto"/>
            </w:tcBorders>
            <w:noWrap/>
            <w:vAlign w:val="bottom"/>
            <w:hideMark/>
          </w:tcPr>
          <w:p w14:paraId="0D3B59B9" w14:textId="77777777" w:rsidR="00870B4A" w:rsidRPr="006134C3" w:rsidRDefault="00870B4A" w:rsidP="00117718">
            <w:pPr>
              <w:jc w:val="center"/>
              <w:rPr>
                <w:rFonts w:ascii="Arial" w:hAnsi="Arial" w:cs="Arial"/>
                <w:lang w:val="en"/>
              </w:rPr>
            </w:pPr>
            <w:r w:rsidRPr="006134C3">
              <w:rPr>
                <w:rFonts w:ascii="Arial" w:hAnsi="Arial" w:cs="Arial"/>
              </w:rPr>
              <w:t>2</w:t>
            </w:r>
            <w:r w:rsidRPr="006134C3">
              <w:rPr>
                <w:rFonts w:ascii="Arial" w:hAnsi="Arial" w:cs="Arial"/>
                <w:lang w:val="id-ID"/>
              </w:rPr>
              <w:t>.</w:t>
            </w:r>
            <w:r w:rsidRPr="006134C3">
              <w:rPr>
                <w:rFonts w:ascii="Arial" w:hAnsi="Arial" w:cs="Arial"/>
              </w:rPr>
              <w:t>9</w:t>
            </w:r>
          </w:p>
        </w:tc>
        <w:tc>
          <w:tcPr>
            <w:tcW w:w="1553" w:type="dxa"/>
            <w:tcBorders>
              <w:top w:val="single" w:sz="4" w:space="0" w:color="auto"/>
              <w:bottom w:val="single" w:sz="4" w:space="0" w:color="auto"/>
            </w:tcBorders>
            <w:noWrap/>
            <w:vAlign w:val="bottom"/>
            <w:hideMark/>
          </w:tcPr>
          <w:p w14:paraId="38EDCFC5" w14:textId="77777777" w:rsidR="00870B4A" w:rsidRPr="006134C3" w:rsidRDefault="00870B4A" w:rsidP="00117718">
            <w:pPr>
              <w:jc w:val="center"/>
              <w:rPr>
                <w:rFonts w:ascii="Arial" w:hAnsi="Arial" w:cs="Arial"/>
                <w:lang w:val="en"/>
              </w:rPr>
            </w:pPr>
            <w:r w:rsidRPr="006134C3">
              <w:rPr>
                <w:rFonts w:ascii="Arial" w:hAnsi="Arial" w:cs="Arial"/>
              </w:rPr>
              <w:t>2</w:t>
            </w:r>
            <w:r w:rsidRPr="006134C3">
              <w:rPr>
                <w:rFonts w:ascii="Arial" w:hAnsi="Arial" w:cs="Arial"/>
                <w:lang w:val="id-ID"/>
              </w:rPr>
              <w:t>.</w:t>
            </w:r>
            <w:r w:rsidRPr="006134C3">
              <w:rPr>
                <w:rFonts w:ascii="Arial" w:hAnsi="Arial" w:cs="Arial"/>
              </w:rPr>
              <w:t>21</w:t>
            </w:r>
          </w:p>
        </w:tc>
        <w:tc>
          <w:tcPr>
            <w:tcW w:w="1098" w:type="dxa"/>
            <w:tcBorders>
              <w:top w:val="single" w:sz="4" w:space="0" w:color="auto"/>
              <w:bottom w:val="single" w:sz="4" w:space="0" w:color="auto"/>
            </w:tcBorders>
            <w:noWrap/>
            <w:vAlign w:val="bottom"/>
            <w:hideMark/>
          </w:tcPr>
          <w:p w14:paraId="16488FF0" w14:textId="77777777" w:rsidR="00870B4A" w:rsidRPr="006134C3" w:rsidRDefault="00870B4A" w:rsidP="00117718">
            <w:pPr>
              <w:rPr>
                <w:rFonts w:ascii="Arial" w:hAnsi="Arial" w:cs="Arial"/>
                <w:lang w:val="en"/>
              </w:rPr>
            </w:pPr>
          </w:p>
        </w:tc>
      </w:tr>
    </w:tbl>
    <w:p w14:paraId="756AA223" w14:textId="47AA5089" w:rsidR="00870B4A" w:rsidRPr="006134C3" w:rsidRDefault="00870B4A" w:rsidP="00870B4A">
      <w:pPr>
        <w:ind w:left="142"/>
        <w:jc w:val="both"/>
        <w:rPr>
          <w:rFonts w:ascii="Arial" w:hAnsi="Arial" w:cs="Arial"/>
          <w:i/>
          <w:iCs/>
          <w:szCs w:val="24"/>
          <w:lang w:val="id-ID"/>
        </w:rPr>
      </w:pPr>
      <w:r w:rsidRPr="006134C3">
        <w:rPr>
          <w:rFonts w:ascii="Arial" w:hAnsi="Arial" w:cs="Arial"/>
          <w:i/>
          <w:iCs/>
          <w:szCs w:val="24"/>
        </w:rPr>
        <w:t xml:space="preserve">CV = Coefficient Variation, </w:t>
      </w:r>
      <w:r w:rsidRPr="006134C3">
        <w:rPr>
          <w:rFonts w:ascii="Arial" w:hAnsi="Arial" w:cs="Arial"/>
          <w:i/>
          <w:iCs/>
          <w:szCs w:val="24"/>
          <w:lang w:val="id-ID"/>
        </w:rPr>
        <w:t>* = Significant</w:t>
      </w:r>
      <w:r w:rsidRPr="006134C3">
        <w:rPr>
          <w:rFonts w:ascii="Arial" w:hAnsi="Arial" w:cs="Arial"/>
          <w:i/>
          <w:iCs/>
          <w:szCs w:val="24"/>
        </w:rPr>
        <w:t xml:space="preserve"> Different (5%),</w:t>
      </w:r>
      <w:r w:rsidRPr="006134C3">
        <w:rPr>
          <w:rFonts w:ascii="Arial" w:hAnsi="Arial" w:cs="Arial"/>
          <w:i/>
          <w:iCs/>
          <w:szCs w:val="24"/>
          <w:lang w:val="id-ID"/>
        </w:rPr>
        <w:t xml:space="preserve"> ** = </w:t>
      </w:r>
      <w:r w:rsidRPr="006134C3">
        <w:rPr>
          <w:rFonts w:ascii="Arial" w:hAnsi="Arial" w:cs="Arial"/>
          <w:i/>
          <w:iCs/>
          <w:szCs w:val="24"/>
        </w:rPr>
        <w:t xml:space="preserve">Highly </w:t>
      </w:r>
      <w:r w:rsidRPr="006134C3">
        <w:rPr>
          <w:rFonts w:ascii="Arial" w:hAnsi="Arial" w:cs="Arial"/>
          <w:i/>
          <w:iCs/>
          <w:szCs w:val="24"/>
          <w:lang w:val="id-ID"/>
        </w:rPr>
        <w:t xml:space="preserve">Significant </w:t>
      </w:r>
      <w:r w:rsidRPr="006134C3">
        <w:rPr>
          <w:rFonts w:ascii="Arial" w:hAnsi="Arial" w:cs="Arial"/>
          <w:i/>
          <w:iCs/>
          <w:szCs w:val="24"/>
        </w:rPr>
        <w:t>Different (1%</w:t>
      </w:r>
      <w:proofErr w:type="gramStart"/>
      <w:r w:rsidRPr="006134C3">
        <w:rPr>
          <w:rFonts w:ascii="Arial" w:hAnsi="Arial" w:cs="Arial"/>
          <w:i/>
          <w:iCs/>
          <w:szCs w:val="24"/>
        </w:rPr>
        <w:t xml:space="preserve">), </w:t>
      </w:r>
      <w:r w:rsidRPr="006134C3">
        <w:rPr>
          <w:rFonts w:ascii="Arial" w:hAnsi="Arial" w:cs="Arial"/>
          <w:i/>
          <w:iCs/>
          <w:szCs w:val="24"/>
          <w:lang w:val="id-ID"/>
        </w:rPr>
        <w:t xml:space="preserve"> </w:t>
      </w:r>
      <w:r w:rsidRPr="006134C3">
        <w:rPr>
          <w:rFonts w:ascii="Arial" w:hAnsi="Arial" w:cs="Arial"/>
          <w:i/>
          <w:iCs/>
          <w:szCs w:val="24"/>
        </w:rPr>
        <w:t>n</w:t>
      </w:r>
      <w:r w:rsidRPr="006134C3">
        <w:rPr>
          <w:rFonts w:ascii="Arial" w:hAnsi="Arial" w:cs="Arial"/>
          <w:i/>
          <w:iCs/>
          <w:szCs w:val="24"/>
          <w:lang w:val="id-ID"/>
        </w:rPr>
        <w:t>s</w:t>
      </w:r>
      <w:proofErr w:type="gramEnd"/>
      <w:r w:rsidRPr="006134C3">
        <w:rPr>
          <w:rFonts w:ascii="Arial" w:hAnsi="Arial" w:cs="Arial"/>
          <w:i/>
          <w:iCs/>
          <w:szCs w:val="24"/>
        </w:rPr>
        <w:t xml:space="preserve"> </w:t>
      </w:r>
      <w:r w:rsidRPr="006134C3">
        <w:rPr>
          <w:rFonts w:ascii="Arial" w:hAnsi="Arial" w:cs="Arial"/>
          <w:i/>
          <w:iCs/>
          <w:szCs w:val="24"/>
          <w:lang w:val="id-ID"/>
        </w:rPr>
        <w:t>=</w:t>
      </w:r>
      <w:r w:rsidRPr="006134C3">
        <w:rPr>
          <w:rFonts w:ascii="Arial" w:hAnsi="Arial" w:cs="Arial"/>
          <w:i/>
          <w:iCs/>
          <w:szCs w:val="24"/>
        </w:rPr>
        <w:t xml:space="preserve"> N</w:t>
      </w:r>
      <w:r w:rsidRPr="006134C3">
        <w:rPr>
          <w:rFonts w:ascii="Arial" w:hAnsi="Arial" w:cs="Arial"/>
          <w:i/>
          <w:iCs/>
          <w:szCs w:val="24"/>
          <w:lang w:val="id-ID"/>
        </w:rPr>
        <w:t>o Significant</w:t>
      </w:r>
      <w:r w:rsidRPr="006134C3">
        <w:rPr>
          <w:rFonts w:ascii="Arial" w:hAnsi="Arial" w:cs="Arial"/>
          <w:i/>
          <w:iCs/>
          <w:szCs w:val="24"/>
        </w:rPr>
        <w:t xml:space="preserve"> Different (5%)</w:t>
      </w:r>
      <w:r w:rsidRPr="006134C3">
        <w:rPr>
          <w:rFonts w:ascii="Arial" w:hAnsi="Arial" w:cs="Arial"/>
          <w:i/>
          <w:iCs/>
          <w:szCs w:val="24"/>
          <w:lang w:val="id-ID"/>
        </w:rPr>
        <w:t xml:space="preserve">, T =  </w:t>
      </w:r>
      <w:r w:rsidRPr="006134C3">
        <w:rPr>
          <w:rFonts w:ascii="Arial" w:hAnsi="Arial" w:cs="Arial"/>
          <w:i/>
          <w:iCs/>
          <w:szCs w:val="24"/>
        </w:rPr>
        <w:t>T</w:t>
      </w:r>
      <w:r w:rsidRPr="006134C3">
        <w:rPr>
          <w:rFonts w:ascii="Arial" w:hAnsi="Arial" w:cs="Arial"/>
          <w:i/>
          <w:iCs/>
          <w:szCs w:val="24"/>
          <w:lang w:val="id-ID"/>
        </w:rPr>
        <w:t>ransformed Data.</w:t>
      </w:r>
    </w:p>
    <w:p w14:paraId="6BE06551" w14:textId="77777777" w:rsidR="00CB5CBF" w:rsidRPr="006134C3" w:rsidRDefault="00CB5CBF" w:rsidP="00870B4A">
      <w:pPr>
        <w:ind w:left="142"/>
        <w:jc w:val="both"/>
        <w:rPr>
          <w:rFonts w:ascii="Arial" w:hAnsi="Arial" w:cs="Arial"/>
          <w:i/>
          <w:iCs/>
          <w:szCs w:val="24"/>
          <w:lang w:val="id-ID"/>
        </w:rPr>
      </w:pPr>
    </w:p>
    <w:p w14:paraId="46443D55" w14:textId="77777777" w:rsidR="00CB5CBF" w:rsidRPr="006134C3" w:rsidRDefault="00CB5CBF" w:rsidP="00CB5CBF">
      <w:pPr>
        <w:pStyle w:val="Body"/>
        <w:spacing w:after="0"/>
        <w:rPr>
          <w:rFonts w:ascii="Arial" w:hAnsi="Arial" w:cs="Arial"/>
          <w:b/>
          <w:sz w:val="22"/>
        </w:rPr>
      </w:pPr>
      <w:r w:rsidRPr="006134C3">
        <w:rPr>
          <w:rFonts w:ascii="Arial" w:hAnsi="Arial" w:cs="Arial"/>
          <w:b/>
          <w:sz w:val="22"/>
        </w:rPr>
        <w:t xml:space="preserve">3.3 Effect of Water Hyacinth Compost Dosage on Growth and Yield of </w:t>
      </w:r>
    </w:p>
    <w:p w14:paraId="71B46A92" w14:textId="671E52EC" w:rsidR="00CB5CBF" w:rsidRPr="006134C3" w:rsidRDefault="00CB5CBF" w:rsidP="00CB5CBF">
      <w:pPr>
        <w:pStyle w:val="Body"/>
        <w:spacing w:after="0"/>
        <w:rPr>
          <w:rFonts w:ascii="Arial" w:hAnsi="Arial" w:cs="Arial"/>
          <w:b/>
          <w:sz w:val="22"/>
        </w:rPr>
      </w:pPr>
      <w:r w:rsidRPr="006134C3">
        <w:rPr>
          <w:rFonts w:ascii="Arial" w:hAnsi="Arial" w:cs="Arial"/>
          <w:b/>
          <w:sz w:val="22"/>
        </w:rPr>
        <w:t xml:space="preserve">      Soybean</w:t>
      </w:r>
    </w:p>
    <w:p w14:paraId="3488310F" w14:textId="0D5A42C1" w:rsidR="00790ADA" w:rsidRPr="006134C3" w:rsidRDefault="00790ADA" w:rsidP="00441B6F">
      <w:pPr>
        <w:pStyle w:val="Body"/>
        <w:spacing w:after="0"/>
        <w:rPr>
          <w:rFonts w:ascii="Arial" w:hAnsi="Arial" w:cs="Arial"/>
        </w:rPr>
      </w:pPr>
    </w:p>
    <w:p w14:paraId="05A832AB" w14:textId="1CB51B33" w:rsidR="00CB5CBF" w:rsidRPr="006134C3" w:rsidRDefault="00CB5CBF" w:rsidP="00CB5CBF">
      <w:pPr>
        <w:jc w:val="both"/>
        <w:rPr>
          <w:rFonts w:ascii="Arial" w:hAnsi="Arial" w:cs="Arial"/>
          <w:lang w:val="id-ID"/>
        </w:rPr>
      </w:pPr>
      <w:r w:rsidRPr="006134C3">
        <w:rPr>
          <w:rFonts w:ascii="Arial" w:hAnsi="Arial" w:cs="Arial"/>
          <w:lang w:val="id-ID"/>
        </w:rPr>
        <w:t xml:space="preserve">The </w:t>
      </w:r>
      <w:r w:rsidRPr="006134C3">
        <w:rPr>
          <w:rFonts w:ascii="Arial" w:hAnsi="Arial" w:cs="Arial"/>
        </w:rPr>
        <w:t xml:space="preserve">results of the analysis of variance (ANOVA) of water hyacinth compost showed significant differences in soybean growth and yield component, including plant height, number of leaves, number of branches, shoot dry weight, roots dry weight, filled pods number </w:t>
      </w:r>
      <w:r w:rsidRPr="006134C3">
        <w:rPr>
          <w:rFonts w:ascii="Arial" w:hAnsi="Arial" w:cs="Arial"/>
          <w:lang w:val="id-ID"/>
        </w:rPr>
        <w:t xml:space="preserve">and </w:t>
      </w:r>
      <w:r w:rsidRPr="006134C3">
        <w:rPr>
          <w:rFonts w:ascii="Arial" w:hAnsi="Arial" w:cs="Arial"/>
        </w:rPr>
        <w:t>seed weight per pl</w:t>
      </w:r>
      <w:r w:rsidR="00F16E5D">
        <w:rPr>
          <w:rFonts w:ascii="Arial" w:hAnsi="Arial" w:cs="Arial"/>
        </w:rPr>
        <w:t>ot</w:t>
      </w:r>
      <w:r w:rsidRPr="006134C3">
        <w:rPr>
          <w:rFonts w:ascii="Arial" w:hAnsi="Arial" w:cs="Arial"/>
          <w:lang w:val="id-ID"/>
        </w:rPr>
        <w:t>.</w:t>
      </w:r>
    </w:p>
    <w:p w14:paraId="7431838B" w14:textId="77777777" w:rsidR="00CB5CBF" w:rsidRPr="006134C3" w:rsidRDefault="00CB5CBF" w:rsidP="00CB5CBF">
      <w:pPr>
        <w:jc w:val="both"/>
        <w:rPr>
          <w:rFonts w:ascii="Arial" w:hAnsi="Arial" w:cs="Arial"/>
          <w:lang w:val="id-ID"/>
        </w:rPr>
      </w:pPr>
    </w:p>
    <w:p w14:paraId="152039FA" w14:textId="67F6A1DB" w:rsidR="00CB5CBF" w:rsidRPr="006134C3" w:rsidRDefault="00CB5CBF" w:rsidP="00CB5CBF">
      <w:pPr>
        <w:pStyle w:val="Body"/>
        <w:spacing w:after="0"/>
        <w:jc w:val="center"/>
        <w:rPr>
          <w:rFonts w:ascii="Arial" w:hAnsi="Arial" w:cs="Arial"/>
          <w:b/>
          <w:sz w:val="22"/>
        </w:rPr>
      </w:pPr>
      <w:r w:rsidRPr="006134C3">
        <w:rPr>
          <w:rFonts w:ascii="Arial" w:hAnsi="Arial" w:cs="Arial"/>
          <w:noProof/>
        </w:rPr>
        <w:drawing>
          <wp:inline distT="0" distB="0" distL="0" distR="0" wp14:anchorId="0D18D1E2" wp14:editId="0C388300">
            <wp:extent cx="2904135" cy="1704442"/>
            <wp:effectExtent l="0" t="0" r="10795" b="10160"/>
            <wp:docPr id="9" name="Chart 9">
              <a:extLst xmlns:a="http://schemas.openxmlformats.org/drawingml/2006/main">
                <a:ext uri="{FF2B5EF4-FFF2-40B4-BE49-F238E27FC236}">
                  <a16:creationId xmlns:a16="http://schemas.microsoft.com/office/drawing/2014/main" id="{00000000-0008-0000-1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AC3030" w14:textId="5798F1E6" w:rsidR="00CB5CBF" w:rsidRPr="006134C3" w:rsidRDefault="00CB5CBF" w:rsidP="00CB5CBF">
      <w:pPr>
        <w:pStyle w:val="Body"/>
        <w:spacing w:after="0"/>
        <w:jc w:val="center"/>
        <w:rPr>
          <w:rFonts w:ascii="Arial" w:hAnsi="Arial" w:cs="Arial"/>
          <w:bCs/>
          <w:sz w:val="22"/>
        </w:rPr>
      </w:pPr>
      <w:r w:rsidRPr="006134C3">
        <w:rPr>
          <w:rFonts w:ascii="Arial" w:hAnsi="Arial" w:cs="Arial"/>
          <w:bCs/>
          <w:sz w:val="22"/>
        </w:rPr>
        <w:t>A</w:t>
      </w:r>
    </w:p>
    <w:p w14:paraId="5581F4F8" w14:textId="6F0EB1A5" w:rsidR="00CB5CBF" w:rsidRPr="006134C3" w:rsidRDefault="00CB5CBF" w:rsidP="00CB5CBF">
      <w:pPr>
        <w:pStyle w:val="Body"/>
        <w:spacing w:after="0"/>
        <w:jc w:val="center"/>
        <w:rPr>
          <w:rFonts w:ascii="Arial" w:hAnsi="Arial" w:cs="Arial"/>
          <w:bCs/>
          <w:sz w:val="22"/>
        </w:rPr>
      </w:pPr>
      <w:r w:rsidRPr="006134C3">
        <w:rPr>
          <w:rFonts w:ascii="Arial" w:hAnsi="Arial" w:cs="Arial"/>
          <w:noProof/>
        </w:rPr>
        <w:lastRenderedPageBreak/>
        <w:drawing>
          <wp:inline distT="0" distB="0" distL="0" distR="0" wp14:anchorId="21C1F1DE" wp14:editId="069D07A6">
            <wp:extent cx="2838298" cy="1594714"/>
            <wp:effectExtent l="0" t="0" r="0" b="0"/>
            <wp:docPr id="11" name="Chart 11">
              <a:extLst xmlns:a="http://schemas.openxmlformats.org/drawingml/2006/main">
                <a:ext uri="{FF2B5EF4-FFF2-40B4-BE49-F238E27FC236}">
                  <a16:creationId xmlns:a16="http://schemas.microsoft.com/office/drawing/2014/main" id="{00000000-0008-0000-1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08A9E2" w14:textId="22D6340B" w:rsidR="00CB5CBF" w:rsidRPr="006134C3" w:rsidRDefault="00CB5CBF" w:rsidP="00CB5CBF">
      <w:pPr>
        <w:pStyle w:val="Body"/>
        <w:spacing w:after="0"/>
        <w:rPr>
          <w:rFonts w:ascii="Arial" w:hAnsi="Arial" w:cs="Arial"/>
          <w:bCs/>
          <w:sz w:val="22"/>
        </w:rPr>
      </w:pPr>
      <w:r w:rsidRPr="006134C3">
        <w:rPr>
          <w:rFonts w:ascii="Arial" w:hAnsi="Arial" w:cs="Arial"/>
          <w:bCs/>
          <w:sz w:val="22"/>
        </w:rPr>
        <w:t xml:space="preserve">                                                                   B</w:t>
      </w:r>
    </w:p>
    <w:p w14:paraId="1E4DB59A" w14:textId="1F614894" w:rsidR="00CB5CBF" w:rsidRPr="006134C3" w:rsidRDefault="00A4351A" w:rsidP="00CB5CBF">
      <w:pPr>
        <w:pStyle w:val="Body"/>
        <w:spacing w:after="0"/>
        <w:jc w:val="center"/>
        <w:rPr>
          <w:rFonts w:ascii="Arial" w:hAnsi="Arial" w:cs="Arial"/>
          <w:b/>
          <w:sz w:val="22"/>
        </w:rPr>
      </w:pPr>
      <w:r w:rsidRPr="006134C3">
        <w:rPr>
          <w:rFonts w:ascii="Arial" w:hAnsi="Arial" w:cs="Arial"/>
          <w:noProof/>
        </w:rPr>
        <w:drawing>
          <wp:inline distT="0" distB="0" distL="0" distR="0" wp14:anchorId="722A2184" wp14:editId="5554B74B">
            <wp:extent cx="2876550" cy="1704975"/>
            <wp:effectExtent l="0" t="0" r="0" b="9525"/>
            <wp:docPr id="12" name="Chart 12">
              <a:extLst xmlns:a="http://schemas.openxmlformats.org/drawingml/2006/main">
                <a:ext uri="{FF2B5EF4-FFF2-40B4-BE49-F238E27FC236}">
                  <a16:creationId xmlns:a16="http://schemas.microsoft.com/office/drawing/2014/main" id="{00000000-0008-0000-1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46A655" w14:textId="471354FC" w:rsidR="00A4351A" w:rsidRPr="006134C3" w:rsidRDefault="00CB5CBF" w:rsidP="00A4351A">
      <w:pPr>
        <w:pStyle w:val="Body"/>
        <w:spacing w:after="0"/>
        <w:jc w:val="center"/>
        <w:rPr>
          <w:rFonts w:ascii="Arial" w:hAnsi="Arial" w:cs="Arial"/>
          <w:bCs/>
          <w:sz w:val="22"/>
        </w:rPr>
      </w:pPr>
      <w:r w:rsidRPr="006134C3">
        <w:rPr>
          <w:rFonts w:ascii="Arial" w:hAnsi="Arial" w:cs="Arial"/>
          <w:bCs/>
          <w:sz w:val="22"/>
        </w:rPr>
        <w:t>C</w:t>
      </w:r>
    </w:p>
    <w:p w14:paraId="5ABF9551" w14:textId="46EBD5D5" w:rsidR="00CB5CBF" w:rsidRPr="006134C3" w:rsidRDefault="00CB5CBF" w:rsidP="00441B6F">
      <w:pPr>
        <w:pStyle w:val="Body"/>
        <w:spacing w:after="0"/>
        <w:rPr>
          <w:rFonts w:ascii="Arial" w:hAnsi="Arial" w:cs="Arial"/>
        </w:rPr>
      </w:pPr>
    </w:p>
    <w:p w14:paraId="15BDF99B" w14:textId="77777777" w:rsidR="00A4351A" w:rsidRPr="006134C3" w:rsidRDefault="00A4351A" w:rsidP="00A4351A">
      <w:pPr>
        <w:rPr>
          <w:rFonts w:ascii="Arial" w:hAnsi="Arial" w:cs="Arial"/>
          <w:b/>
          <w:lang w:val="id-ID"/>
        </w:rPr>
      </w:pPr>
      <w:r w:rsidRPr="006134C3">
        <w:rPr>
          <w:rFonts w:ascii="Arial" w:hAnsi="Arial" w:cs="Arial"/>
          <w:b/>
          <w:lang w:val="id-ID"/>
        </w:rPr>
        <w:t>Figure 2. Relationship between water hyacinth compost</w:t>
      </w:r>
      <w:r w:rsidRPr="006134C3">
        <w:rPr>
          <w:rFonts w:ascii="Arial" w:hAnsi="Arial" w:cs="Arial"/>
          <w:b/>
        </w:rPr>
        <w:t xml:space="preserve"> dosage</w:t>
      </w:r>
      <w:r w:rsidRPr="006134C3">
        <w:rPr>
          <w:rFonts w:ascii="Arial" w:hAnsi="Arial" w:cs="Arial"/>
          <w:b/>
          <w:lang w:val="id-ID"/>
        </w:rPr>
        <w:t xml:space="preserve"> and Plant height (A), </w:t>
      </w:r>
    </w:p>
    <w:p w14:paraId="3B5855B2" w14:textId="0BF2566A" w:rsidR="00A4351A" w:rsidRPr="006134C3" w:rsidRDefault="00A4351A" w:rsidP="00A4351A">
      <w:pPr>
        <w:rPr>
          <w:rFonts w:ascii="Arial" w:hAnsi="Arial" w:cs="Arial"/>
          <w:b/>
          <w:lang w:val="id-ID"/>
        </w:rPr>
      </w:pPr>
      <w:r w:rsidRPr="006134C3">
        <w:rPr>
          <w:rFonts w:ascii="Arial" w:hAnsi="Arial" w:cs="Arial"/>
          <w:b/>
        </w:rPr>
        <w:t xml:space="preserve">                </w:t>
      </w:r>
      <w:r w:rsidRPr="006134C3">
        <w:rPr>
          <w:rFonts w:ascii="Arial" w:hAnsi="Arial" w:cs="Arial"/>
          <w:b/>
          <w:lang w:val="id-ID"/>
        </w:rPr>
        <w:t>Number of Leaves (B), Number of Bra</w:t>
      </w:r>
      <w:r w:rsidRPr="006134C3">
        <w:rPr>
          <w:rFonts w:ascii="Arial" w:hAnsi="Arial" w:cs="Arial"/>
          <w:b/>
        </w:rPr>
        <w:t>nch</w:t>
      </w:r>
      <w:r w:rsidRPr="006134C3">
        <w:rPr>
          <w:rFonts w:ascii="Arial" w:hAnsi="Arial" w:cs="Arial"/>
          <w:b/>
          <w:lang w:val="id-ID"/>
        </w:rPr>
        <w:t>es (C)</w:t>
      </w:r>
    </w:p>
    <w:p w14:paraId="46DC585E" w14:textId="77777777" w:rsidR="00A4351A" w:rsidRPr="006134C3" w:rsidRDefault="00A4351A" w:rsidP="00A4351A">
      <w:pPr>
        <w:rPr>
          <w:rFonts w:ascii="Arial" w:hAnsi="Arial" w:cs="Arial"/>
          <w:lang w:val="id-ID"/>
        </w:rPr>
      </w:pPr>
      <w:r w:rsidRPr="006134C3">
        <w:rPr>
          <w:rFonts w:ascii="Arial" w:hAnsi="Arial" w:cs="Arial"/>
          <w:lang w:val="id-ID"/>
        </w:rPr>
        <w:t xml:space="preserve">               </w:t>
      </w:r>
    </w:p>
    <w:p w14:paraId="0E36EBAA" w14:textId="77777777" w:rsidR="00A4351A" w:rsidRPr="006134C3" w:rsidRDefault="00A4351A" w:rsidP="00A4351A">
      <w:pPr>
        <w:jc w:val="both"/>
        <w:rPr>
          <w:rFonts w:ascii="Arial" w:hAnsi="Arial" w:cs="Arial"/>
          <w:lang w:val="id-ID"/>
        </w:rPr>
      </w:pPr>
      <w:r w:rsidRPr="006134C3">
        <w:rPr>
          <w:rFonts w:ascii="Arial" w:hAnsi="Arial" w:cs="Arial"/>
          <w:lang w:val="id-ID"/>
        </w:rPr>
        <w:t>The significant linear regression (y = 0.021</w:t>
      </w:r>
      <w:r w:rsidRPr="006134C3">
        <w:rPr>
          <w:rFonts w:ascii="Arial" w:hAnsi="Arial" w:cs="Arial"/>
        </w:rPr>
        <w:t>3</w:t>
      </w:r>
      <w:r w:rsidRPr="006134C3">
        <w:rPr>
          <w:rFonts w:ascii="Arial" w:hAnsi="Arial" w:cs="Arial"/>
          <w:lang w:val="id-ID"/>
        </w:rPr>
        <w:t>x + 80.353; R² = 0.817) between water hyacinth compost dosage and plant height demonstrates a strong, predictable growth response. This dose-dependent improvement aligns with findings by Khoirya et al. (2025), who reported enhanced nutrient mineralization and auxin production from organic composts, directly stimulating cell elongation. The absence of a growth plateau suggests no nutrient saturation occurred within the tested range, consistent with Liebig's Law of the Minimum (van der Ploeg et al., 1999).</w:t>
      </w:r>
    </w:p>
    <w:p w14:paraId="6BFB803E" w14:textId="77777777" w:rsidR="00A4351A" w:rsidRPr="006134C3" w:rsidRDefault="00A4351A" w:rsidP="00A4351A">
      <w:pPr>
        <w:jc w:val="both"/>
        <w:rPr>
          <w:rFonts w:ascii="Arial" w:hAnsi="Arial" w:cs="Arial"/>
          <w:lang w:val="id-ID"/>
        </w:rPr>
      </w:pPr>
    </w:p>
    <w:p w14:paraId="2A73C02A" w14:textId="769B2B9C" w:rsidR="00A4351A" w:rsidRPr="006134C3" w:rsidRDefault="00A4351A" w:rsidP="00A4351A">
      <w:pPr>
        <w:jc w:val="both"/>
        <w:rPr>
          <w:rFonts w:ascii="Arial" w:hAnsi="Arial" w:cs="Arial"/>
          <w:lang w:val="id-ID"/>
        </w:rPr>
      </w:pPr>
      <w:r w:rsidRPr="006134C3">
        <w:rPr>
          <w:rFonts w:ascii="Arial" w:hAnsi="Arial" w:cs="Arial"/>
          <w:lang w:val="id-ID"/>
        </w:rPr>
        <w:t xml:space="preserve">The ANOVA results further validate compost's significant effects on key growth parameters (plant height, leaves, branches, and biomass). These findings </w:t>
      </w:r>
      <w:r w:rsidRPr="006134C3">
        <w:rPr>
          <w:rFonts w:ascii="Arial" w:hAnsi="Arial" w:cs="Arial"/>
        </w:rPr>
        <w:t>inline with that reported by</w:t>
      </w:r>
      <w:r w:rsidRPr="006134C3">
        <w:rPr>
          <w:rFonts w:ascii="Arial" w:hAnsi="Arial" w:cs="Arial"/>
          <w:lang w:val="id-ID"/>
        </w:rPr>
        <w:t xml:space="preserve"> Yuliana et al. (2025), where organic amendments improved soil physicochemical properties, facilitating sustained nutrient uptake. The high R² value (0.817) indicates that compost dosage is a dominant growth-limiting factor, supporting its use as a scalable organic fertilizer in sustainable agriculture.</w:t>
      </w:r>
    </w:p>
    <w:p w14:paraId="39E50A11" w14:textId="70814815" w:rsidR="00A4351A" w:rsidRPr="006134C3" w:rsidRDefault="00A4351A" w:rsidP="00A4351A">
      <w:pPr>
        <w:jc w:val="both"/>
        <w:rPr>
          <w:rFonts w:ascii="Arial" w:hAnsi="Arial" w:cs="Arial"/>
          <w:lang w:val="id-ID"/>
        </w:rPr>
      </w:pPr>
    </w:p>
    <w:p w14:paraId="2AB73089" w14:textId="5E8A2F84" w:rsidR="00A4351A" w:rsidRPr="006134C3" w:rsidRDefault="00A4351A" w:rsidP="00A4351A">
      <w:pPr>
        <w:jc w:val="center"/>
        <w:rPr>
          <w:rFonts w:ascii="Arial" w:hAnsi="Arial" w:cs="Arial"/>
          <w:lang w:val="id-ID"/>
        </w:rPr>
      </w:pPr>
      <w:r w:rsidRPr="006134C3">
        <w:rPr>
          <w:rFonts w:ascii="Arial" w:hAnsi="Arial" w:cs="Arial"/>
          <w:noProof/>
        </w:rPr>
        <w:lastRenderedPageBreak/>
        <w:drawing>
          <wp:inline distT="0" distB="0" distL="0" distR="0" wp14:anchorId="15A1140C" wp14:editId="5F8AD8BD">
            <wp:extent cx="3581400" cy="1771650"/>
            <wp:effectExtent l="0" t="0" r="0" b="0"/>
            <wp:docPr id="13" name="Chart 13">
              <a:extLst xmlns:a="http://schemas.openxmlformats.org/drawingml/2006/main">
                <a:ext uri="{FF2B5EF4-FFF2-40B4-BE49-F238E27FC236}">
                  <a16:creationId xmlns:a16="http://schemas.microsoft.com/office/drawing/2014/main" id="{00000000-0008-0000-1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4DBF5B" w14:textId="2716BF39" w:rsidR="00A4351A" w:rsidRPr="006134C3" w:rsidRDefault="00A4351A" w:rsidP="00A4351A">
      <w:pPr>
        <w:jc w:val="center"/>
        <w:rPr>
          <w:rFonts w:ascii="Arial" w:hAnsi="Arial" w:cs="Arial"/>
        </w:rPr>
      </w:pPr>
      <w:r w:rsidRPr="006134C3">
        <w:rPr>
          <w:rFonts w:ascii="Arial" w:hAnsi="Arial" w:cs="Arial"/>
        </w:rPr>
        <w:t>A</w:t>
      </w:r>
    </w:p>
    <w:p w14:paraId="33F5652B" w14:textId="534BEAF8" w:rsidR="00A4351A" w:rsidRPr="006134C3" w:rsidRDefault="00A4351A" w:rsidP="00A4351A">
      <w:pPr>
        <w:jc w:val="center"/>
        <w:rPr>
          <w:rFonts w:ascii="Arial" w:hAnsi="Arial" w:cs="Arial"/>
        </w:rPr>
      </w:pPr>
      <w:r w:rsidRPr="006134C3">
        <w:rPr>
          <w:rFonts w:ascii="Arial" w:hAnsi="Arial" w:cs="Arial"/>
          <w:noProof/>
        </w:rPr>
        <w:drawing>
          <wp:inline distT="0" distB="0" distL="0" distR="0" wp14:anchorId="69DB2533" wp14:editId="172EFEA8">
            <wp:extent cx="3609975" cy="1857375"/>
            <wp:effectExtent l="0" t="0" r="9525" b="9525"/>
            <wp:docPr id="14" name="Chart 14">
              <a:extLst xmlns:a="http://schemas.openxmlformats.org/drawingml/2006/main">
                <a:ext uri="{FF2B5EF4-FFF2-40B4-BE49-F238E27FC236}">
                  <a16:creationId xmlns:a16="http://schemas.microsoft.com/office/drawing/2014/main" id="{00000000-0008-0000-17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281FF7E" w14:textId="0159C51C" w:rsidR="00A4351A" w:rsidRPr="006134C3" w:rsidRDefault="00A4351A" w:rsidP="00A4351A">
      <w:pPr>
        <w:jc w:val="center"/>
        <w:rPr>
          <w:rFonts w:ascii="Arial" w:hAnsi="Arial" w:cs="Arial"/>
        </w:rPr>
      </w:pPr>
      <w:r w:rsidRPr="006134C3">
        <w:rPr>
          <w:rFonts w:ascii="Arial" w:hAnsi="Arial" w:cs="Arial"/>
        </w:rPr>
        <w:t>B</w:t>
      </w:r>
    </w:p>
    <w:p w14:paraId="6BEB76F2" w14:textId="5306C568" w:rsidR="00A4351A" w:rsidRPr="006134C3" w:rsidRDefault="00A4351A" w:rsidP="00A4351A">
      <w:pPr>
        <w:rPr>
          <w:rFonts w:ascii="Arial" w:hAnsi="Arial" w:cs="Arial"/>
        </w:rPr>
      </w:pPr>
    </w:p>
    <w:p w14:paraId="6333CAF5" w14:textId="77777777" w:rsidR="00A4351A" w:rsidRPr="006134C3" w:rsidRDefault="00A4351A" w:rsidP="00A4351A">
      <w:pPr>
        <w:rPr>
          <w:rFonts w:ascii="Arial" w:hAnsi="Arial" w:cs="Arial"/>
          <w:b/>
          <w:lang w:val="id-ID"/>
        </w:rPr>
      </w:pPr>
      <w:r w:rsidRPr="006134C3">
        <w:rPr>
          <w:rFonts w:ascii="Arial" w:hAnsi="Arial" w:cs="Arial"/>
          <w:b/>
          <w:lang w:val="id-ID"/>
        </w:rPr>
        <w:t xml:space="preserve">Figure 3. Relationship between water hyacinth compost and Plant Dry Weight </w:t>
      </w:r>
    </w:p>
    <w:p w14:paraId="54FE1648" w14:textId="77777777" w:rsidR="00A4351A" w:rsidRPr="006134C3" w:rsidRDefault="00A4351A" w:rsidP="00A4351A">
      <w:pPr>
        <w:rPr>
          <w:rFonts w:ascii="Arial" w:hAnsi="Arial" w:cs="Arial"/>
          <w:b/>
          <w:lang w:val="id-ID"/>
        </w:rPr>
      </w:pPr>
      <w:r w:rsidRPr="006134C3">
        <w:rPr>
          <w:rFonts w:ascii="Arial" w:hAnsi="Arial" w:cs="Arial"/>
          <w:b/>
        </w:rPr>
        <w:t xml:space="preserve">                </w:t>
      </w:r>
      <w:r w:rsidRPr="006134C3">
        <w:rPr>
          <w:rFonts w:ascii="Arial" w:hAnsi="Arial" w:cs="Arial"/>
          <w:b/>
          <w:lang w:val="id-ID"/>
        </w:rPr>
        <w:t>(A), Root Dry Weight</w:t>
      </w:r>
      <w:r w:rsidRPr="006134C3">
        <w:rPr>
          <w:rFonts w:ascii="Arial" w:hAnsi="Arial" w:cs="Arial"/>
          <w:b/>
        </w:rPr>
        <w:t xml:space="preserve"> </w:t>
      </w:r>
      <w:r w:rsidRPr="006134C3">
        <w:rPr>
          <w:rFonts w:ascii="Arial" w:hAnsi="Arial" w:cs="Arial"/>
          <w:b/>
          <w:lang w:val="id-ID"/>
        </w:rPr>
        <w:t>(B)</w:t>
      </w:r>
    </w:p>
    <w:p w14:paraId="32A9BCF8" w14:textId="77777777" w:rsidR="00A4351A" w:rsidRPr="006134C3" w:rsidRDefault="00A4351A" w:rsidP="00A4351A">
      <w:pPr>
        <w:rPr>
          <w:rFonts w:ascii="Arial" w:hAnsi="Arial" w:cs="Arial"/>
          <w:b/>
          <w:lang w:val="id-ID"/>
        </w:rPr>
      </w:pPr>
    </w:p>
    <w:p w14:paraId="34C356C1" w14:textId="77777777" w:rsidR="00A4351A" w:rsidRPr="006134C3" w:rsidRDefault="00A4351A" w:rsidP="00A4351A">
      <w:pPr>
        <w:jc w:val="both"/>
        <w:rPr>
          <w:rFonts w:ascii="Arial" w:hAnsi="Arial" w:cs="Arial"/>
          <w:lang w:val="id-ID"/>
        </w:rPr>
      </w:pPr>
      <w:r w:rsidRPr="006134C3">
        <w:rPr>
          <w:rFonts w:ascii="Arial" w:hAnsi="Arial" w:cs="Arial"/>
        </w:rPr>
        <w:t>T</w:t>
      </w:r>
      <w:r w:rsidRPr="006134C3">
        <w:rPr>
          <w:rFonts w:ascii="Arial" w:hAnsi="Arial" w:cs="Arial"/>
          <w:lang w:val="id-ID"/>
        </w:rPr>
        <w:t>he regression analysis revealed contrasting relationships between water hyacinth compost dosage and plant growth parameters. For plant dry weight (</w:t>
      </w:r>
      <w:r w:rsidRPr="006134C3">
        <w:rPr>
          <w:rFonts w:ascii="Arial" w:hAnsi="Arial" w:cs="Arial"/>
        </w:rPr>
        <w:t>Figure 3</w:t>
      </w:r>
      <w:r w:rsidRPr="006134C3">
        <w:rPr>
          <w:rFonts w:ascii="Arial" w:hAnsi="Arial" w:cs="Arial"/>
          <w:lang w:val="id-ID"/>
        </w:rPr>
        <w:t xml:space="preserve">A), the weak correlation (y = 0.0017x + 4.4993; R² = -0.0193) indicates that compost application explained only 1.93% of the variability, suggesting minimal influence on shoot biomass accumulation. This </w:t>
      </w:r>
      <w:r w:rsidRPr="006134C3">
        <w:rPr>
          <w:rFonts w:ascii="Arial" w:hAnsi="Arial" w:cs="Arial"/>
        </w:rPr>
        <w:t xml:space="preserve">result </w:t>
      </w:r>
      <w:r w:rsidRPr="006134C3">
        <w:rPr>
          <w:rFonts w:ascii="Arial" w:hAnsi="Arial" w:cs="Arial"/>
          <w:lang w:val="id-ID"/>
        </w:rPr>
        <w:t>aligns with findings by Suci et al. (2025), who demonstrated that water hyacinth compost primarily enhances nutrient availability for root development rather than aerial biomass. In contrast, the strong linear relationship for root dry weight (</w:t>
      </w:r>
      <w:r w:rsidRPr="006134C3">
        <w:rPr>
          <w:rFonts w:ascii="Arial" w:hAnsi="Arial" w:cs="Arial"/>
        </w:rPr>
        <w:t>Figure 3</w:t>
      </w:r>
      <w:r w:rsidRPr="006134C3">
        <w:rPr>
          <w:rFonts w:ascii="Arial" w:hAnsi="Arial" w:cs="Arial"/>
          <w:lang w:val="id-ID"/>
        </w:rPr>
        <w:t>B: y = 0.0347x + 1.288; R² = 0.9514) implies that 95.14% of root biomass variation was attributable to compost dosage. This pronounced effect on roots from the compost's</w:t>
      </w:r>
      <w:r w:rsidRPr="006134C3">
        <w:rPr>
          <w:rFonts w:ascii="Arial" w:hAnsi="Arial" w:cs="Arial"/>
        </w:rPr>
        <w:t xml:space="preserve"> nutrient</w:t>
      </w:r>
      <w:r w:rsidRPr="006134C3">
        <w:rPr>
          <w:rFonts w:ascii="Arial" w:hAnsi="Arial" w:cs="Arial"/>
          <w:lang w:val="id-ID"/>
        </w:rPr>
        <w:t xml:space="preserve"> content and hormone-like substances (e.g., auxins) that preferentially stimulate root proliferation (Jindo et al., 20</w:t>
      </w:r>
      <w:r w:rsidRPr="006134C3">
        <w:rPr>
          <w:rFonts w:ascii="Arial" w:hAnsi="Arial" w:cs="Arial"/>
        </w:rPr>
        <w:t>12</w:t>
      </w:r>
      <w:r w:rsidRPr="006134C3">
        <w:rPr>
          <w:rFonts w:ascii="Arial" w:hAnsi="Arial" w:cs="Arial"/>
          <w:lang w:val="id-ID"/>
        </w:rPr>
        <w:t>). The differential response between organs reflects distinct nutrient partitioning strategies, where roots capitalize on compost-derived resources more efficiently than shoots.</w:t>
      </w:r>
    </w:p>
    <w:p w14:paraId="44E3E9BA" w14:textId="77777777" w:rsidR="00A4351A" w:rsidRPr="006134C3" w:rsidRDefault="00A4351A" w:rsidP="00A4351A">
      <w:pPr>
        <w:jc w:val="both"/>
        <w:rPr>
          <w:rFonts w:ascii="Arial" w:hAnsi="Arial" w:cs="Arial"/>
          <w:lang w:val="id-ID"/>
        </w:rPr>
      </w:pPr>
    </w:p>
    <w:p w14:paraId="768A6693" w14:textId="77777777" w:rsidR="00A4351A" w:rsidRPr="006134C3" w:rsidRDefault="00A4351A" w:rsidP="00A4351A">
      <w:pPr>
        <w:jc w:val="both"/>
        <w:rPr>
          <w:rFonts w:ascii="Arial" w:hAnsi="Arial" w:cs="Arial"/>
        </w:rPr>
      </w:pPr>
      <w:r w:rsidRPr="006134C3">
        <w:rPr>
          <w:rFonts w:ascii="Arial" w:hAnsi="Arial" w:cs="Arial"/>
          <w:lang w:val="id-ID"/>
        </w:rPr>
        <w:t>Plants demonstrate distinct allocation patterns between roots and shoots, typically prioritizing root growth under nutrient-limited conditions to enhance resource acquisition (Poorte</w:t>
      </w:r>
      <w:r w:rsidRPr="006134C3">
        <w:rPr>
          <w:rFonts w:ascii="Arial" w:hAnsi="Arial" w:cs="Arial"/>
        </w:rPr>
        <w:t>r</w:t>
      </w:r>
      <w:r w:rsidRPr="006134C3">
        <w:rPr>
          <w:rFonts w:ascii="Arial" w:hAnsi="Arial" w:cs="Arial"/>
          <w:lang w:val="id-ID"/>
        </w:rPr>
        <w:t xml:space="preserve"> et al., 20</w:t>
      </w:r>
      <w:r w:rsidRPr="006134C3">
        <w:rPr>
          <w:rFonts w:ascii="Arial" w:hAnsi="Arial" w:cs="Arial"/>
        </w:rPr>
        <w:t>12</w:t>
      </w:r>
      <w:r w:rsidRPr="006134C3">
        <w:rPr>
          <w:rFonts w:ascii="Arial" w:hAnsi="Arial" w:cs="Arial"/>
          <w:lang w:val="id-ID"/>
        </w:rPr>
        <w:t>), a response potentially triggered by water hyacinth compost's rich soluble carbon compounds. This root-focused development is further amplified by compost-derived auxins and cytokinins that disproportionately stimulate root cell division and elongation (</w:t>
      </w:r>
      <w:r w:rsidRPr="006134C3">
        <w:rPr>
          <w:rFonts w:ascii="Arial" w:hAnsi="Arial" w:cs="Arial"/>
          <w:color w:val="222222"/>
          <w:shd w:val="clear" w:color="auto" w:fill="FFFFFF"/>
        </w:rPr>
        <w:t>Arancon</w:t>
      </w:r>
      <w:r w:rsidRPr="006134C3">
        <w:rPr>
          <w:rFonts w:ascii="Arial" w:hAnsi="Arial" w:cs="Arial"/>
          <w:lang w:val="id-ID"/>
        </w:rPr>
        <w:t xml:space="preserve"> et al., 20</w:t>
      </w:r>
      <w:r w:rsidRPr="006134C3">
        <w:rPr>
          <w:rFonts w:ascii="Arial" w:hAnsi="Arial" w:cs="Arial"/>
        </w:rPr>
        <w:t>04</w:t>
      </w:r>
      <w:r w:rsidRPr="006134C3">
        <w:rPr>
          <w:rFonts w:ascii="Arial" w:hAnsi="Arial" w:cs="Arial"/>
          <w:lang w:val="id-ID"/>
        </w:rPr>
        <w:t xml:space="preserve">). </w:t>
      </w:r>
      <w:r w:rsidRPr="006134C3">
        <w:rPr>
          <w:rFonts w:ascii="Arial" w:hAnsi="Arial" w:cs="Arial"/>
        </w:rPr>
        <w:t>The root absorption of immobile nutrients like phosphorus from compost limits their translocation to shoots (Richardson &amp; Simpson, 2011), with typically &lt;20% of acquired P being allocated aboveground (Wang et al., 2021) due to rapid immobilization in root tissues (Nziguheba &amp; Smolders, 2008).</w:t>
      </w:r>
    </w:p>
    <w:p w14:paraId="4BAF4E4C" w14:textId="1F5BA3DC" w:rsidR="00CA4F15" w:rsidRPr="006134C3" w:rsidRDefault="006F384B" w:rsidP="00CA4F15">
      <w:pPr>
        <w:jc w:val="center"/>
        <w:rPr>
          <w:rFonts w:ascii="Arial" w:hAnsi="Arial" w:cs="Arial"/>
        </w:rPr>
      </w:pPr>
      <w:r>
        <w:rPr>
          <w:noProof/>
        </w:rPr>
        <w:lastRenderedPageBreak/>
        <w:drawing>
          <wp:anchor distT="0" distB="0" distL="114300" distR="114300" simplePos="0" relativeHeight="251659264" behindDoc="1" locked="0" layoutInCell="1" allowOverlap="1" wp14:anchorId="2ADA56D5" wp14:editId="45E80B39">
            <wp:simplePos x="0" y="0"/>
            <wp:positionH relativeFrom="margin">
              <wp:align>center</wp:align>
            </wp:positionH>
            <wp:positionV relativeFrom="margin">
              <wp:posOffset>885825</wp:posOffset>
            </wp:positionV>
            <wp:extent cx="3152775" cy="1809750"/>
            <wp:effectExtent l="0" t="0" r="9525" b="0"/>
            <wp:wrapTight wrapText="bothSides">
              <wp:wrapPolygon edited="0">
                <wp:start x="0" y="0"/>
                <wp:lineTo x="0" y="21373"/>
                <wp:lineTo x="21535" y="21373"/>
                <wp:lineTo x="21535" y="0"/>
                <wp:lineTo x="0" y="0"/>
              </wp:wrapPolygon>
            </wp:wrapTight>
            <wp:docPr id="4" name="Chart 4">
              <a:extLst xmlns:a="http://schemas.openxmlformats.org/drawingml/2006/main">
                <a:ext uri="{FF2B5EF4-FFF2-40B4-BE49-F238E27FC236}">
                  <a16:creationId xmlns:a16="http://schemas.microsoft.com/office/drawing/2014/main" id="{00000000-0008-0000-18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A4351A" w:rsidRPr="006134C3">
        <w:rPr>
          <w:rFonts w:ascii="Arial" w:hAnsi="Arial" w:cs="Arial"/>
          <w:noProof/>
        </w:rPr>
        <w:drawing>
          <wp:inline distT="0" distB="0" distL="0" distR="0" wp14:anchorId="656C7EE7" wp14:editId="40B6B1B8">
            <wp:extent cx="3293745" cy="1676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691B726" w14:textId="0A420DA3" w:rsidR="00A4351A" w:rsidRPr="006134C3" w:rsidRDefault="00A4351A" w:rsidP="00A4351A">
      <w:pPr>
        <w:jc w:val="center"/>
        <w:rPr>
          <w:rFonts w:ascii="Arial" w:hAnsi="Arial" w:cs="Arial"/>
        </w:rPr>
      </w:pPr>
      <w:r w:rsidRPr="006134C3">
        <w:rPr>
          <w:rFonts w:ascii="Arial" w:hAnsi="Arial" w:cs="Arial"/>
        </w:rPr>
        <w:t>A</w:t>
      </w:r>
    </w:p>
    <w:p w14:paraId="41A36E84" w14:textId="0C21F9F2" w:rsidR="00A4351A" w:rsidRPr="006134C3" w:rsidRDefault="00A4351A" w:rsidP="00CA4F15">
      <w:pPr>
        <w:pStyle w:val="Body"/>
        <w:spacing w:after="0"/>
        <w:rPr>
          <w:rFonts w:ascii="Arial" w:hAnsi="Arial" w:cs="Arial"/>
        </w:rPr>
      </w:pPr>
    </w:p>
    <w:p w14:paraId="2DA17FC3" w14:textId="77777777" w:rsidR="00CA4F15" w:rsidRDefault="00A4351A" w:rsidP="00A4351A">
      <w:pPr>
        <w:rPr>
          <w:rFonts w:ascii="Arial" w:hAnsi="Arial" w:cs="Arial"/>
          <w:b/>
          <w:lang w:val="id-ID"/>
        </w:rPr>
      </w:pPr>
      <w:r w:rsidRPr="006134C3">
        <w:rPr>
          <w:rFonts w:ascii="Arial" w:hAnsi="Arial" w:cs="Arial"/>
          <w:b/>
          <w:lang w:val="id-ID"/>
        </w:rPr>
        <w:t>Figure 4. Relationship between water hyacinth compost and the</w:t>
      </w:r>
      <w:r w:rsidR="00CA4F15">
        <w:rPr>
          <w:rFonts w:ascii="Arial" w:hAnsi="Arial" w:cs="Arial"/>
          <w:b/>
        </w:rPr>
        <w:t xml:space="preserve"> Seed Weight per Plot</w:t>
      </w:r>
      <w:r w:rsidRPr="006134C3">
        <w:rPr>
          <w:rFonts w:ascii="Arial" w:hAnsi="Arial" w:cs="Arial"/>
          <w:b/>
          <w:lang w:val="id-ID"/>
        </w:rPr>
        <w:t xml:space="preserve"> </w:t>
      </w:r>
    </w:p>
    <w:p w14:paraId="1EC219FE" w14:textId="486F759B" w:rsidR="00A4351A" w:rsidRPr="006134C3" w:rsidRDefault="00CA4F15" w:rsidP="00A4351A">
      <w:pPr>
        <w:rPr>
          <w:rFonts w:ascii="Arial" w:hAnsi="Arial" w:cs="Arial"/>
          <w:b/>
          <w:lang w:val="id-ID"/>
        </w:rPr>
      </w:pPr>
      <w:r>
        <w:rPr>
          <w:rFonts w:ascii="Arial" w:hAnsi="Arial" w:cs="Arial"/>
          <w:b/>
        </w:rPr>
        <w:t xml:space="preserve">                </w:t>
      </w:r>
      <w:r w:rsidR="00A4351A" w:rsidRPr="006134C3">
        <w:rPr>
          <w:rFonts w:ascii="Arial" w:hAnsi="Arial" w:cs="Arial"/>
          <w:b/>
          <w:lang w:val="id-ID"/>
        </w:rPr>
        <w:t xml:space="preserve">(A), </w:t>
      </w:r>
      <w:r>
        <w:rPr>
          <w:rFonts w:ascii="Arial" w:hAnsi="Arial" w:cs="Arial"/>
          <w:b/>
        </w:rPr>
        <w:t>Number of Filled Pods</w:t>
      </w:r>
      <w:r w:rsidR="00A4351A" w:rsidRPr="006134C3">
        <w:rPr>
          <w:rFonts w:ascii="Arial" w:hAnsi="Arial" w:cs="Arial"/>
          <w:b/>
          <w:lang w:val="id-ID"/>
        </w:rPr>
        <w:t>(</w:t>
      </w:r>
      <w:r>
        <w:rPr>
          <w:rFonts w:ascii="Arial" w:hAnsi="Arial" w:cs="Arial"/>
          <w:b/>
        </w:rPr>
        <w:t>B</w:t>
      </w:r>
      <w:r w:rsidR="00A4351A" w:rsidRPr="006134C3">
        <w:rPr>
          <w:rFonts w:ascii="Arial" w:hAnsi="Arial" w:cs="Arial"/>
          <w:b/>
          <w:lang w:val="id-ID"/>
        </w:rPr>
        <w:t>)</w:t>
      </w:r>
    </w:p>
    <w:p w14:paraId="176BE87D" w14:textId="77777777" w:rsidR="00A4351A" w:rsidRPr="006134C3" w:rsidRDefault="00A4351A" w:rsidP="00A4351A">
      <w:pPr>
        <w:rPr>
          <w:rFonts w:ascii="Arial" w:hAnsi="Arial" w:cs="Arial"/>
          <w:sz w:val="24"/>
          <w:szCs w:val="24"/>
          <w:lang w:val="id-ID"/>
        </w:rPr>
      </w:pPr>
      <w:r w:rsidRPr="006134C3">
        <w:rPr>
          <w:rFonts w:ascii="Arial" w:hAnsi="Arial" w:cs="Arial"/>
          <w:sz w:val="24"/>
          <w:szCs w:val="24"/>
          <w:lang w:val="id-ID"/>
        </w:rPr>
        <w:t xml:space="preserve">           </w:t>
      </w:r>
    </w:p>
    <w:p w14:paraId="21C2B444" w14:textId="5C318A5C" w:rsidR="00A4351A" w:rsidRPr="006134C3" w:rsidRDefault="00A4351A" w:rsidP="00A4351A">
      <w:pPr>
        <w:tabs>
          <w:tab w:val="left" w:pos="2410"/>
        </w:tabs>
        <w:jc w:val="both"/>
        <w:rPr>
          <w:rFonts w:ascii="Arial" w:hAnsi="Arial" w:cs="Arial"/>
          <w:szCs w:val="16"/>
          <w:lang w:val="id-ID"/>
        </w:rPr>
      </w:pPr>
      <w:r w:rsidRPr="006134C3">
        <w:rPr>
          <w:rFonts w:ascii="Arial" w:hAnsi="Arial" w:cs="Arial"/>
          <w:szCs w:val="16"/>
          <w:lang w:val="id-ID"/>
        </w:rPr>
        <w:t>Water hyacinth compost application significantly enhanced plant productivity, as demonstrated by positive dose-response relationships for both pod formation (y = 0.2063x + 32.053; R² = 0.5071) and seed weight (y = 0</w:t>
      </w:r>
      <w:r w:rsidR="00CA4F15">
        <w:rPr>
          <w:rFonts w:ascii="Arial" w:hAnsi="Arial" w:cs="Arial"/>
          <w:szCs w:val="16"/>
        </w:rPr>
        <w:t>.0098</w:t>
      </w:r>
      <w:r w:rsidRPr="006134C3">
        <w:rPr>
          <w:rFonts w:ascii="Arial" w:hAnsi="Arial" w:cs="Arial"/>
          <w:szCs w:val="16"/>
          <w:lang w:val="id-ID"/>
        </w:rPr>
        <w:t xml:space="preserve">x + </w:t>
      </w:r>
      <w:r w:rsidR="00CA4F15">
        <w:rPr>
          <w:rFonts w:ascii="Arial" w:hAnsi="Arial" w:cs="Arial"/>
          <w:szCs w:val="16"/>
        </w:rPr>
        <w:t>2.6033</w:t>
      </w:r>
      <w:r w:rsidRPr="006134C3">
        <w:rPr>
          <w:rFonts w:ascii="Arial" w:hAnsi="Arial" w:cs="Arial"/>
          <w:szCs w:val="16"/>
          <w:lang w:val="id-ID"/>
        </w:rPr>
        <w:t>; R² = 0.</w:t>
      </w:r>
      <w:r w:rsidR="00CA4F15">
        <w:rPr>
          <w:rFonts w:ascii="Arial" w:hAnsi="Arial" w:cs="Arial"/>
          <w:szCs w:val="16"/>
        </w:rPr>
        <w:t>2742</w:t>
      </w:r>
      <w:r w:rsidRPr="006134C3">
        <w:rPr>
          <w:rFonts w:ascii="Arial" w:hAnsi="Arial" w:cs="Arial"/>
          <w:szCs w:val="16"/>
          <w:lang w:val="id-ID"/>
        </w:rPr>
        <w:t>). These regression models indicate that 50.71% and 64.85% of the variability in f</w:t>
      </w:r>
      <w:r w:rsidRPr="006134C3">
        <w:rPr>
          <w:rFonts w:ascii="Arial" w:hAnsi="Arial" w:cs="Arial"/>
          <w:szCs w:val="16"/>
        </w:rPr>
        <w:t>il</w:t>
      </w:r>
      <w:r w:rsidRPr="006134C3">
        <w:rPr>
          <w:rFonts w:ascii="Arial" w:hAnsi="Arial" w:cs="Arial"/>
          <w:szCs w:val="16"/>
          <w:lang w:val="id-ID"/>
        </w:rPr>
        <w:t>l</w:t>
      </w:r>
      <w:r w:rsidRPr="006134C3">
        <w:rPr>
          <w:rFonts w:ascii="Arial" w:hAnsi="Arial" w:cs="Arial"/>
          <w:szCs w:val="16"/>
        </w:rPr>
        <w:t>ed</w:t>
      </w:r>
      <w:r w:rsidRPr="006134C3">
        <w:rPr>
          <w:rFonts w:ascii="Arial" w:hAnsi="Arial" w:cs="Arial"/>
          <w:szCs w:val="16"/>
          <w:lang w:val="id-ID"/>
        </w:rPr>
        <w:t xml:space="preserve"> pod number and seed weight, respectively, can be attributed to compost dosage, suggesting its effectiveness as an organic amendment for improving yield components.</w:t>
      </w:r>
    </w:p>
    <w:p w14:paraId="458A58AA" w14:textId="77777777" w:rsidR="00A4351A" w:rsidRPr="006134C3" w:rsidRDefault="00A4351A" w:rsidP="00A4351A">
      <w:pPr>
        <w:tabs>
          <w:tab w:val="left" w:pos="2410"/>
        </w:tabs>
        <w:ind w:firstLine="567"/>
        <w:jc w:val="both"/>
        <w:rPr>
          <w:rFonts w:ascii="Arial" w:hAnsi="Arial" w:cs="Arial"/>
          <w:szCs w:val="16"/>
          <w:lang w:val="id-ID"/>
        </w:rPr>
      </w:pPr>
    </w:p>
    <w:p w14:paraId="677841EE" w14:textId="77777777" w:rsidR="00A4351A" w:rsidRPr="006134C3" w:rsidRDefault="00A4351A" w:rsidP="00A4351A">
      <w:pPr>
        <w:tabs>
          <w:tab w:val="left" w:pos="2410"/>
        </w:tabs>
        <w:jc w:val="both"/>
        <w:rPr>
          <w:rFonts w:ascii="Arial" w:hAnsi="Arial" w:cs="Arial"/>
          <w:szCs w:val="16"/>
          <w:lang w:val="id-ID"/>
        </w:rPr>
      </w:pPr>
      <w:r w:rsidRPr="006134C3">
        <w:rPr>
          <w:rFonts w:ascii="Arial" w:hAnsi="Arial" w:cs="Arial"/>
          <w:szCs w:val="16"/>
          <w:lang w:val="id-ID"/>
        </w:rPr>
        <w:t xml:space="preserve">The K0S0 treatment exhibited limited soybean growth due to nutrient-deficient ultisol soil (total N: 0.31%; available P: 4.71%; pH: 4.63), consistent with findings that acidic, low-fertility soils inhibit </w:t>
      </w:r>
      <w:r w:rsidRPr="006134C3">
        <w:rPr>
          <w:rFonts w:ascii="Arial" w:hAnsi="Arial" w:cs="Arial"/>
          <w:szCs w:val="16"/>
        </w:rPr>
        <w:t xml:space="preserve">plant </w:t>
      </w:r>
      <w:r w:rsidRPr="006134C3">
        <w:rPr>
          <w:rFonts w:ascii="Arial" w:hAnsi="Arial" w:cs="Arial"/>
          <w:szCs w:val="16"/>
          <w:lang w:val="id-ID"/>
        </w:rPr>
        <w:t>development (Osman et al., 2018). In contrast, K3S3 treatment with water hyacinth compost (1.48% N, 1.25% P, 0.17% K) significantly improved growth parameters, aligning with</w:t>
      </w:r>
      <w:r w:rsidRPr="006134C3">
        <w:rPr>
          <w:rFonts w:ascii="Arial" w:hAnsi="Arial" w:cs="Arial"/>
          <w:szCs w:val="16"/>
        </w:rPr>
        <w:t xml:space="preserve"> Moe et al. </w:t>
      </w:r>
      <w:r w:rsidRPr="006134C3">
        <w:rPr>
          <w:rFonts w:ascii="Arial" w:hAnsi="Arial" w:cs="Arial"/>
          <w:szCs w:val="16"/>
          <w:lang w:val="id-ID"/>
        </w:rPr>
        <w:t>(20</w:t>
      </w:r>
      <w:r w:rsidRPr="006134C3">
        <w:rPr>
          <w:rFonts w:ascii="Arial" w:hAnsi="Arial" w:cs="Arial"/>
          <w:szCs w:val="16"/>
        </w:rPr>
        <w:t>19</w:t>
      </w:r>
      <w:r w:rsidRPr="006134C3">
        <w:rPr>
          <w:rFonts w:ascii="Arial" w:hAnsi="Arial" w:cs="Arial"/>
          <w:szCs w:val="16"/>
          <w:lang w:val="id-ID"/>
        </w:rPr>
        <w:t>) report on its high macr</w:t>
      </w:r>
      <w:r w:rsidRPr="006134C3">
        <w:rPr>
          <w:rFonts w:ascii="Arial" w:hAnsi="Arial" w:cs="Arial"/>
          <w:szCs w:val="16"/>
        </w:rPr>
        <w:t>o</w:t>
      </w:r>
      <w:r w:rsidRPr="006134C3">
        <w:rPr>
          <w:rFonts w:ascii="Arial" w:hAnsi="Arial" w:cs="Arial"/>
          <w:szCs w:val="16"/>
          <w:lang w:val="id-ID"/>
        </w:rPr>
        <w:t>nutrient content</w:t>
      </w:r>
      <w:r w:rsidRPr="006134C3">
        <w:rPr>
          <w:rFonts w:ascii="Arial" w:hAnsi="Arial" w:cs="Arial"/>
          <w:szCs w:val="16"/>
        </w:rPr>
        <w:t xml:space="preserve"> on rice and soybean (Perkasa and Utomo, 2016). </w:t>
      </w:r>
      <w:r w:rsidRPr="006134C3">
        <w:rPr>
          <w:rFonts w:ascii="Arial" w:hAnsi="Arial" w:cs="Arial"/>
          <w:szCs w:val="16"/>
          <w:lang w:val="id-ID"/>
        </w:rPr>
        <w:t xml:space="preserve">The nutrient content of water hyacinth compost was 28.75% organic-C, 1.75% total N, 16.43 C/N ratio, 0.54% P, 2.58% K as reported by Septiaswin et al. </w:t>
      </w:r>
      <w:r w:rsidRPr="006134C3">
        <w:rPr>
          <w:rFonts w:ascii="Arial" w:hAnsi="Arial" w:cs="Arial"/>
          <w:szCs w:val="16"/>
          <w:lang w:val="id-ID"/>
        </w:rPr>
        <w:lastRenderedPageBreak/>
        <w:t xml:space="preserve">(2021). The compost's efficacy from its organic matter, enhances soil properties </w:t>
      </w:r>
      <w:r w:rsidRPr="006134C3">
        <w:rPr>
          <w:rFonts w:ascii="Arial" w:hAnsi="Arial" w:cs="Arial"/>
          <w:szCs w:val="16"/>
        </w:rPr>
        <w:t xml:space="preserve">and nutrients </w:t>
      </w:r>
      <w:r w:rsidRPr="006134C3">
        <w:rPr>
          <w:rFonts w:ascii="Arial" w:hAnsi="Arial" w:cs="Arial"/>
          <w:szCs w:val="16"/>
          <w:lang w:val="id-ID"/>
        </w:rPr>
        <w:t>through microbial decomposition (</w:t>
      </w:r>
      <w:r w:rsidRPr="006134C3">
        <w:rPr>
          <w:rFonts w:ascii="Arial" w:hAnsi="Arial" w:cs="Arial"/>
          <w:szCs w:val="16"/>
        </w:rPr>
        <w:t>Bashir</w:t>
      </w:r>
      <w:r w:rsidRPr="006134C3">
        <w:rPr>
          <w:rFonts w:ascii="Arial" w:hAnsi="Arial" w:cs="Arial"/>
          <w:szCs w:val="16"/>
          <w:lang w:val="id-ID"/>
        </w:rPr>
        <w:t xml:space="preserve"> et al., </w:t>
      </w:r>
      <w:r w:rsidRPr="006134C3">
        <w:rPr>
          <w:rFonts w:ascii="Arial" w:hAnsi="Arial" w:cs="Arial"/>
          <w:szCs w:val="16"/>
        </w:rPr>
        <w:t>2021</w:t>
      </w:r>
      <w:r w:rsidRPr="006134C3">
        <w:rPr>
          <w:rFonts w:ascii="Arial" w:hAnsi="Arial" w:cs="Arial"/>
          <w:szCs w:val="16"/>
          <w:lang w:val="id-ID"/>
        </w:rPr>
        <w:t>). Composting represents one of the earliest applications of effective microorganisms (EM) in environmental management. Plant and animal waste residues have been successfully composted using EM to produce biofertilizers (Aseel et al, 2024)</w:t>
      </w:r>
      <w:r w:rsidRPr="006134C3">
        <w:rPr>
          <w:rFonts w:ascii="Arial" w:hAnsi="Arial" w:cs="Arial"/>
          <w:szCs w:val="16"/>
        </w:rPr>
        <w:t xml:space="preserve">. </w:t>
      </w:r>
      <w:r w:rsidRPr="006134C3">
        <w:rPr>
          <w:rFonts w:ascii="Arial" w:hAnsi="Arial" w:cs="Arial"/>
          <w:szCs w:val="16"/>
          <w:lang w:val="id-ID"/>
        </w:rPr>
        <w:t xml:space="preserve">As demonstrated by </w:t>
      </w:r>
      <w:r w:rsidRPr="006134C3">
        <w:rPr>
          <w:rFonts w:ascii="Arial" w:hAnsi="Arial" w:cs="Arial"/>
          <w:szCs w:val="16"/>
        </w:rPr>
        <w:t>Zhou</w:t>
      </w:r>
      <w:r w:rsidRPr="006134C3">
        <w:rPr>
          <w:rFonts w:ascii="Arial" w:hAnsi="Arial" w:cs="Arial"/>
          <w:szCs w:val="16"/>
          <w:lang w:val="id-ID"/>
        </w:rPr>
        <w:t xml:space="preserve"> et al. (202</w:t>
      </w:r>
      <w:r w:rsidRPr="006134C3">
        <w:rPr>
          <w:rFonts w:ascii="Arial" w:hAnsi="Arial" w:cs="Arial"/>
          <w:szCs w:val="16"/>
        </w:rPr>
        <w:t>0</w:t>
      </w:r>
      <w:r w:rsidRPr="006134C3">
        <w:rPr>
          <w:rFonts w:ascii="Arial" w:hAnsi="Arial" w:cs="Arial"/>
          <w:szCs w:val="16"/>
          <w:lang w:val="id-ID"/>
        </w:rPr>
        <w:t>), such organic amendments increase water retention and ultimately crop yields (</w:t>
      </w:r>
      <w:r w:rsidRPr="006134C3">
        <w:rPr>
          <w:rFonts w:ascii="Arial" w:hAnsi="Arial" w:cs="Arial"/>
          <w:szCs w:val="16"/>
          <w:shd w:val="clear" w:color="auto" w:fill="FFFFFF"/>
        </w:rPr>
        <w:t>Agegnehu</w:t>
      </w:r>
      <w:r w:rsidRPr="006134C3">
        <w:rPr>
          <w:rFonts w:ascii="Arial" w:hAnsi="Arial" w:cs="Arial"/>
          <w:szCs w:val="16"/>
        </w:rPr>
        <w:t xml:space="preserve"> et al., 2016)</w:t>
      </w:r>
      <w:r w:rsidRPr="006134C3">
        <w:rPr>
          <w:rFonts w:ascii="Arial" w:hAnsi="Arial" w:cs="Arial"/>
          <w:szCs w:val="16"/>
          <w:lang w:val="id-ID"/>
        </w:rPr>
        <w:t xml:space="preserve"> while maintaining environmental sustainability.</w:t>
      </w:r>
      <w:r w:rsidRPr="006134C3">
        <w:rPr>
          <w:rFonts w:ascii="Arial" w:hAnsi="Arial" w:cs="Arial"/>
        </w:rPr>
        <w:t xml:space="preserve">  </w:t>
      </w:r>
    </w:p>
    <w:p w14:paraId="0B862EF1" w14:textId="5A12D847" w:rsidR="00A4351A" w:rsidRPr="006134C3" w:rsidRDefault="00A4351A" w:rsidP="00A4351A">
      <w:pPr>
        <w:tabs>
          <w:tab w:val="left" w:pos="2410"/>
        </w:tabs>
        <w:jc w:val="both"/>
        <w:rPr>
          <w:rFonts w:ascii="Arial" w:hAnsi="Arial" w:cs="Arial"/>
          <w:szCs w:val="16"/>
        </w:rPr>
      </w:pPr>
      <w:r w:rsidRPr="006134C3">
        <w:rPr>
          <w:rFonts w:ascii="Arial" w:hAnsi="Arial" w:cs="Arial"/>
          <w:szCs w:val="16"/>
        </w:rPr>
        <w:t>Organic fertilizers enhance overall soil quality by improving nutrient availability, physicochemical properties, and microbial activity. They supply essential macro- and micronutrients while promoting soil structure, porosity, and water retention through organic matter decomposition. Water hyacinth compost, in particular, increases soil aeration and drainage due to its high organic content (Begum et al., 2022; Canning, 2025). These improvements in soil health directly support plant growth and productivity by enhancing root development and nutrient uptake efficiency.</w:t>
      </w:r>
    </w:p>
    <w:p w14:paraId="200003A5" w14:textId="1D6B0B37" w:rsidR="00A4351A" w:rsidRPr="006134C3" w:rsidRDefault="00A4351A" w:rsidP="00A4351A">
      <w:pPr>
        <w:tabs>
          <w:tab w:val="left" w:pos="2410"/>
        </w:tabs>
        <w:jc w:val="both"/>
        <w:rPr>
          <w:rFonts w:ascii="Arial" w:hAnsi="Arial" w:cs="Arial"/>
          <w:szCs w:val="16"/>
          <w:lang w:val="id-ID"/>
        </w:rPr>
      </w:pPr>
    </w:p>
    <w:p w14:paraId="2E99FC5F" w14:textId="38BA7D28" w:rsidR="00A4351A" w:rsidRPr="006134C3" w:rsidRDefault="00A4351A" w:rsidP="00A4351A">
      <w:pPr>
        <w:tabs>
          <w:tab w:val="left" w:pos="2410"/>
        </w:tabs>
        <w:jc w:val="both"/>
        <w:rPr>
          <w:rFonts w:ascii="Arial" w:hAnsi="Arial" w:cs="Arial"/>
          <w:szCs w:val="16"/>
          <w:lang w:val="id-ID"/>
        </w:rPr>
      </w:pPr>
    </w:p>
    <w:p w14:paraId="49B1B9B2" w14:textId="0F423DBC" w:rsidR="00A4351A" w:rsidRPr="006134C3" w:rsidRDefault="00A4351A" w:rsidP="00A4351A">
      <w:pPr>
        <w:pStyle w:val="Body"/>
        <w:spacing w:after="0"/>
        <w:rPr>
          <w:rFonts w:ascii="Arial" w:hAnsi="Arial" w:cs="Arial"/>
          <w:b/>
          <w:sz w:val="22"/>
        </w:rPr>
      </w:pPr>
      <w:r w:rsidRPr="006134C3">
        <w:rPr>
          <w:rFonts w:ascii="Arial" w:hAnsi="Arial" w:cs="Arial"/>
          <w:b/>
          <w:sz w:val="22"/>
        </w:rPr>
        <w:t>3.4 Effect of SP-36 Fertilizer Dosage on Soybean Plant Growth and Yield</w:t>
      </w:r>
    </w:p>
    <w:p w14:paraId="6560268B" w14:textId="77777777" w:rsidR="00A4351A" w:rsidRPr="006134C3" w:rsidRDefault="00A4351A" w:rsidP="00A4351A">
      <w:pPr>
        <w:tabs>
          <w:tab w:val="left" w:pos="2410"/>
        </w:tabs>
        <w:jc w:val="both"/>
        <w:rPr>
          <w:rFonts w:ascii="Arial" w:hAnsi="Arial" w:cs="Arial"/>
          <w:szCs w:val="16"/>
          <w:lang w:val="id-ID"/>
        </w:rPr>
      </w:pPr>
    </w:p>
    <w:p w14:paraId="420C9501" w14:textId="75C65838" w:rsidR="00A4351A" w:rsidRPr="006134C3" w:rsidRDefault="00A4351A" w:rsidP="00441B6F">
      <w:pPr>
        <w:pStyle w:val="ConcHead"/>
        <w:spacing w:after="0"/>
        <w:jc w:val="both"/>
        <w:rPr>
          <w:rFonts w:ascii="Arial" w:hAnsi="Arial" w:cs="Arial"/>
          <w:b w:val="0"/>
          <w:bCs/>
          <w:caps w:val="0"/>
          <w:sz w:val="20"/>
          <w:szCs w:val="18"/>
          <w:lang w:val="id-ID"/>
        </w:rPr>
      </w:pPr>
      <w:r w:rsidRPr="006134C3">
        <w:rPr>
          <w:rFonts w:ascii="Arial" w:hAnsi="Arial" w:cs="Arial"/>
          <w:b w:val="0"/>
          <w:bCs/>
          <w:caps w:val="0"/>
          <w:sz w:val="20"/>
          <w:szCs w:val="18"/>
          <w:lang w:val="id-ID"/>
        </w:rPr>
        <w:t xml:space="preserve">Table </w:t>
      </w:r>
      <w:r w:rsidRPr="006134C3">
        <w:rPr>
          <w:rFonts w:ascii="Arial" w:hAnsi="Arial" w:cs="Arial"/>
          <w:b w:val="0"/>
          <w:bCs/>
          <w:caps w:val="0"/>
          <w:sz w:val="20"/>
          <w:szCs w:val="18"/>
        </w:rPr>
        <w:t>2 Showed</w:t>
      </w:r>
      <w:r w:rsidRPr="006134C3">
        <w:rPr>
          <w:rFonts w:ascii="Arial" w:hAnsi="Arial" w:cs="Arial"/>
          <w:b w:val="0"/>
          <w:bCs/>
          <w:caps w:val="0"/>
          <w:sz w:val="20"/>
          <w:szCs w:val="18"/>
          <w:lang w:val="id-ID"/>
        </w:rPr>
        <w:t xml:space="preserve"> That Sp-36 Fertilization Did Not Significantly Influence Any Measured Soybean Growth</w:t>
      </w:r>
      <w:r w:rsidRPr="006134C3">
        <w:rPr>
          <w:rFonts w:ascii="Arial" w:hAnsi="Arial" w:cs="Arial"/>
          <w:b w:val="0"/>
          <w:bCs/>
          <w:caps w:val="0"/>
          <w:sz w:val="20"/>
          <w:szCs w:val="18"/>
        </w:rPr>
        <w:t xml:space="preserve"> And Yield</w:t>
      </w:r>
      <w:r w:rsidRPr="006134C3">
        <w:rPr>
          <w:rFonts w:ascii="Arial" w:hAnsi="Arial" w:cs="Arial"/>
          <w:b w:val="0"/>
          <w:bCs/>
          <w:caps w:val="0"/>
          <w:sz w:val="20"/>
          <w:szCs w:val="18"/>
          <w:lang w:val="id-ID"/>
        </w:rPr>
        <w:t xml:space="preserve"> </w:t>
      </w:r>
      <w:r w:rsidRPr="006134C3">
        <w:rPr>
          <w:rFonts w:ascii="Arial" w:hAnsi="Arial" w:cs="Arial"/>
          <w:b w:val="0"/>
          <w:bCs/>
          <w:caps w:val="0"/>
          <w:sz w:val="20"/>
          <w:szCs w:val="18"/>
        </w:rPr>
        <w:t>Component</w:t>
      </w:r>
      <w:r w:rsidRPr="006134C3">
        <w:rPr>
          <w:rFonts w:ascii="Arial" w:hAnsi="Arial" w:cs="Arial"/>
          <w:b w:val="0"/>
          <w:bCs/>
          <w:caps w:val="0"/>
          <w:sz w:val="20"/>
          <w:szCs w:val="18"/>
          <w:lang w:val="id-ID"/>
        </w:rPr>
        <w:t xml:space="preserve"> (P &gt; 0.05).</w:t>
      </w:r>
    </w:p>
    <w:p w14:paraId="55335534" w14:textId="77777777" w:rsidR="00A4351A" w:rsidRPr="006134C3" w:rsidRDefault="00A4351A" w:rsidP="00441B6F">
      <w:pPr>
        <w:pStyle w:val="ConcHead"/>
        <w:spacing w:after="0"/>
        <w:jc w:val="both"/>
        <w:rPr>
          <w:rFonts w:ascii="Arial" w:hAnsi="Arial" w:cs="Arial"/>
          <w:b w:val="0"/>
          <w:bCs/>
          <w:caps w:val="0"/>
          <w:sz w:val="20"/>
          <w:szCs w:val="18"/>
          <w:lang w:val="id-ID"/>
        </w:rPr>
      </w:pPr>
    </w:p>
    <w:p w14:paraId="41D2C5C2" w14:textId="77777777" w:rsidR="00A4351A" w:rsidRPr="006134C3" w:rsidRDefault="00A4351A" w:rsidP="00A4351A">
      <w:pPr>
        <w:jc w:val="both"/>
        <w:rPr>
          <w:rFonts w:ascii="Arial" w:hAnsi="Arial" w:cs="Arial"/>
          <w:b/>
          <w:color w:val="FF0000"/>
        </w:rPr>
      </w:pPr>
      <w:r w:rsidRPr="006134C3">
        <w:rPr>
          <w:rFonts w:ascii="Arial" w:hAnsi="Arial" w:cs="Arial"/>
          <w:b/>
          <w:lang w:val="id-ID"/>
        </w:rPr>
        <w:t xml:space="preserve">Table 2. Effect of SP-36 fertilizer dose on </w:t>
      </w:r>
      <w:r w:rsidRPr="006134C3">
        <w:rPr>
          <w:rFonts w:ascii="Arial" w:hAnsi="Arial" w:cs="Arial"/>
          <w:b/>
        </w:rPr>
        <w:t>soybean growth and yield component</w:t>
      </w:r>
    </w:p>
    <w:tbl>
      <w:tblPr>
        <w:tblW w:w="8282" w:type="dxa"/>
        <w:jc w:val="center"/>
        <w:tblBorders>
          <w:top w:val="single" w:sz="4" w:space="0" w:color="auto"/>
          <w:bottom w:val="single" w:sz="4" w:space="0" w:color="auto"/>
        </w:tblBorders>
        <w:tblLook w:val="04A0" w:firstRow="1" w:lastRow="0" w:firstColumn="1" w:lastColumn="0" w:noHBand="0" w:noVBand="1"/>
      </w:tblPr>
      <w:tblGrid>
        <w:gridCol w:w="1518"/>
        <w:gridCol w:w="1024"/>
        <w:gridCol w:w="1100"/>
        <w:gridCol w:w="853"/>
        <w:gridCol w:w="883"/>
        <w:gridCol w:w="1379"/>
        <w:gridCol w:w="816"/>
        <w:gridCol w:w="709"/>
      </w:tblGrid>
      <w:tr w:rsidR="00A4351A" w:rsidRPr="006134C3" w14:paraId="782F53C0" w14:textId="77777777" w:rsidTr="00117718">
        <w:trPr>
          <w:trHeight w:val="57"/>
          <w:jc w:val="center"/>
        </w:trPr>
        <w:tc>
          <w:tcPr>
            <w:tcW w:w="8277" w:type="dxa"/>
            <w:gridSpan w:val="8"/>
            <w:tcBorders>
              <w:bottom w:val="single" w:sz="4" w:space="0" w:color="auto"/>
            </w:tcBorders>
            <w:noWrap/>
            <w:vAlign w:val="bottom"/>
            <w:hideMark/>
          </w:tcPr>
          <w:p w14:paraId="4DF9834F" w14:textId="77777777" w:rsidR="00A4351A" w:rsidRPr="006134C3" w:rsidRDefault="00A4351A" w:rsidP="00117718">
            <w:pPr>
              <w:jc w:val="center"/>
              <w:rPr>
                <w:rFonts w:ascii="Arial" w:hAnsi="Arial" w:cs="Arial"/>
                <w:color w:val="000000"/>
              </w:rPr>
            </w:pPr>
            <w:r w:rsidRPr="006134C3">
              <w:rPr>
                <w:rFonts w:ascii="Arial" w:hAnsi="Arial" w:cs="Arial"/>
                <w:color w:val="000000"/>
              </w:rPr>
              <w:t>Growth component</w:t>
            </w:r>
          </w:p>
        </w:tc>
      </w:tr>
      <w:tr w:rsidR="00A4351A" w:rsidRPr="006134C3" w14:paraId="041F117A" w14:textId="77777777" w:rsidTr="00117718">
        <w:trPr>
          <w:trHeight w:val="57"/>
          <w:jc w:val="center"/>
        </w:trPr>
        <w:tc>
          <w:tcPr>
            <w:tcW w:w="1518" w:type="dxa"/>
            <w:tcBorders>
              <w:top w:val="single" w:sz="4" w:space="0" w:color="auto"/>
              <w:bottom w:val="single" w:sz="4" w:space="0" w:color="auto"/>
            </w:tcBorders>
            <w:noWrap/>
            <w:vAlign w:val="bottom"/>
            <w:hideMark/>
          </w:tcPr>
          <w:p w14:paraId="4AACD5B9"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rPr>
              <w:t xml:space="preserve">Dosage </w:t>
            </w:r>
            <w:r w:rsidRPr="006134C3">
              <w:rPr>
                <w:rFonts w:ascii="Arial" w:hAnsi="Arial" w:cs="Arial"/>
                <w:color w:val="000000"/>
                <w:lang w:val="id-ID"/>
              </w:rPr>
              <w:t>kg/ha</w:t>
            </w:r>
          </w:p>
        </w:tc>
        <w:tc>
          <w:tcPr>
            <w:tcW w:w="1024" w:type="dxa"/>
            <w:tcBorders>
              <w:top w:val="single" w:sz="4" w:space="0" w:color="auto"/>
              <w:bottom w:val="single" w:sz="4" w:space="0" w:color="auto"/>
            </w:tcBorders>
            <w:noWrap/>
            <w:vAlign w:val="bottom"/>
            <w:hideMark/>
          </w:tcPr>
          <w:p w14:paraId="6390067A" w14:textId="77777777" w:rsidR="00A4351A" w:rsidRPr="006134C3" w:rsidRDefault="00A4351A" w:rsidP="00117718">
            <w:pPr>
              <w:jc w:val="center"/>
              <w:rPr>
                <w:rFonts w:ascii="Arial" w:hAnsi="Arial" w:cs="Arial"/>
                <w:color w:val="000000"/>
              </w:rPr>
            </w:pPr>
            <w:r w:rsidRPr="006134C3">
              <w:rPr>
                <w:rFonts w:ascii="Arial" w:hAnsi="Arial" w:cs="Arial"/>
                <w:color w:val="000000"/>
                <w:lang w:val="id-ID"/>
              </w:rPr>
              <w:t>PH</w:t>
            </w:r>
            <w:r w:rsidRPr="006134C3">
              <w:rPr>
                <w:rFonts w:ascii="Arial" w:hAnsi="Arial" w:cs="Arial"/>
                <w:color w:val="000000"/>
              </w:rPr>
              <w:t xml:space="preserve"> </w:t>
            </w:r>
          </w:p>
        </w:tc>
        <w:tc>
          <w:tcPr>
            <w:tcW w:w="1100" w:type="dxa"/>
            <w:tcBorders>
              <w:top w:val="single" w:sz="4" w:space="0" w:color="auto"/>
              <w:bottom w:val="single" w:sz="4" w:space="0" w:color="auto"/>
            </w:tcBorders>
            <w:noWrap/>
            <w:vAlign w:val="bottom"/>
            <w:hideMark/>
          </w:tcPr>
          <w:p w14:paraId="27556238" w14:textId="77777777" w:rsidR="00A4351A" w:rsidRPr="006134C3" w:rsidRDefault="00A4351A" w:rsidP="00117718">
            <w:pPr>
              <w:jc w:val="center"/>
              <w:rPr>
                <w:rFonts w:ascii="Arial" w:hAnsi="Arial" w:cs="Arial"/>
                <w:color w:val="000000"/>
              </w:rPr>
            </w:pPr>
            <w:r w:rsidRPr="006134C3">
              <w:rPr>
                <w:rFonts w:ascii="Arial" w:hAnsi="Arial" w:cs="Arial"/>
                <w:color w:val="000000"/>
                <w:lang w:val="id-ID"/>
              </w:rPr>
              <w:t>L</w:t>
            </w:r>
            <w:r w:rsidRPr="006134C3">
              <w:rPr>
                <w:rFonts w:ascii="Arial" w:hAnsi="Arial" w:cs="Arial"/>
                <w:color w:val="000000"/>
              </w:rPr>
              <w:t>N</w:t>
            </w:r>
          </w:p>
        </w:tc>
        <w:tc>
          <w:tcPr>
            <w:tcW w:w="853" w:type="dxa"/>
            <w:tcBorders>
              <w:top w:val="single" w:sz="4" w:space="0" w:color="auto"/>
              <w:bottom w:val="single" w:sz="4" w:space="0" w:color="auto"/>
            </w:tcBorders>
            <w:noWrap/>
            <w:vAlign w:val="bottom"/>
            <w:hideMark/>
          </w:tcPr>
          <w:p w14:paraId="11A5C767"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NB</w:t>
            </w:r>
          </w:p>
        </w:tc>
        <w:tc>
          <w:tcPr>
            <w:tcW w:w="883" w:type="dxa"/>
            <w:tcBorders>
              <w:top w:val="single" w:sz="4" w:space="0" w:color="auto"/>
              <w:bottom w:val="single" w:sz="4" w:space="0" w:color="auto"/>
            </w:tcBorders>
            <w:noWrap/>
            <w:vAlign w:val="bottom"/>
            <w:hideMark/>
          </w:tcPr>
          <w:p w14:paraId="1FDF71B8" w14:textId="77777777" w:rsidR="00A4351A" w:rsidRPr="006134C3" w:rsidRDefault="00A4351A" w:rsidP="00117718">
            <w:pPr>
              <w:jc w:val="center"/>
              <w:rPr>
                <w:rFonts w:ascii="Arial" w:hAnsi="Arial" w:cs="Arial"/>
                <w:color w:val="000000"/>
              </w:rPr>
            </w:pPr>
            <w:r w:rsidRPr="006134C3">
              <w:rPr>
                <w:rFonts w:ascii="Arial" w:hAnsi="Arial" w:cs="Arial"/>
                <w:color w:val="000000"/>
                <w:lang w:val="id-ID"/>
              </w:rPr>
              <w:t>F</w:t>
            </w:r>
            <w:r w:rsidRPr="006134C3">
              <w:rPr>
                <w:rFonts w:ascii="Arial" w:hAnsi="Arial" w:cs="Arial"/>
                <w:color w:val="000000"/>
              </w:rPr>
              <w:t xml:space="preserve">T </w:t>
            </w:r>
          </w:p>
        </w:tc>
        <w:tc>
          <w:tcPr>
            <w:tcW w:w="1379" w:type="dxa"/>
            <w:tcBorders>
              <w:top w:val="single" w:sz="4" w:space="0" w:color="auto"/>
              <w:bottom w:val="single" w:sz="4" w:space="0" w:color="auto"/>
            </w:tcBorders>
            <w:noWrap/>
            <w:vAlign w:val="bottom"/>
            <w:hideMark/>
          </w:tcPr>
          <w:p w14:paraId="5A1A5544" w14:textId="77777777" w:rsidR="00A4351A" w:rsidRPr="006134C3" w:rsidRDefault="00A4351A" w:rsidP="00117718">
            <w:pPr>
              <w:jc w:val="center"/>
              <w:rPr>
                <w:rFonts w:ascii="Arial" w:hAnsi="Arial" w:cs="Arial"/>
                <w:color w:val="000000"/>
              </w:rPr>
            </w:pPr>
            <w:r w:rsidRPr="006134C3">
              <w:rPr>
                <w:rFonts w:ascii="Arial" w:hAnsi="Arial" w:cs="Arial"/>
                <w:color w:val="000000"/>
                <w:lang w:val="id-ID"/>
              </w:rPr>
              <w:t>H</w:t>
            </w:r>
            <w:r w:rsidRPr="006134C3">
              <w:rPr>
                <w:rFonts w:ascii="Arial" w:hAnsi="Arial" w:cs="Arial"/>
                <w:color w:val="000000"/>
              </w:rPr>
              <w:t>T</w:t>
            </w:r>
          </w:p>
        </w:tc>
        <w:tc>
          <w:tcPr>
            <w:tcW w:w="816" w:type="dxa"/>
            <w:tcBorders>
              <w:top w:val="single" w:sz="4" w:space="0" w:color="auto"/>
              <w:bottom w:val="single" w:sz="4" w:space="0" w:color="auto"/>
            </w:tcBorders>
            <w:noWrap/>
            <w:vAlign w:val="bottom"/>
            <w:hideMark/>
          </w:tcPr>
          <w:p w14:paraId="3F45FF19" w14:textId="77777777" w:rsidR="00A4351A" w:rsidRPr="006134C3" w:rsidRDefault="00A4351A" w:rsidP="00117718">
            <w:pPr>
              <w:jc w:val="center"/>
              <w:rPr>
                <w:rFonts w:ascii="Arial" w:hAnsi="Arial" w:cs="Arial"/>
                <w:color w:val="000000"/>
              </w:rPr>
            </w:pPr>
            <w:r w:rsidRPr="006134C3">
              <w:rPr>
                <w:rFonts w:ascii="Arial" w:hAnsi="Arial" w:cs="Arial"/>
                <w:color w:val="000000"/>
              </w:rPr>
              <w:t>SFW</w:t>
            </w:r>
          </w:p>
        </w:tc>
        <w:tc>
          <w:tcPr>
            <w:tcW w:w="709" w:type="dxa"/>
            <w:tcBorders>
              <w:top w:val="single" w:sz="4" w:space="0" w:color="auto"/>
              <w:bottom w:val="single" w:sz="4" w:space="0" w:color="auto"/>
            </w:tcBorders>
            <w:noWrap/>
            <w:vAlign w:val="bottom"/>
            <w:hideMark/>
          </w:tcPr>
          <w:p w14:paraId="7B584369" w14:textId="77777777" w:rsidR="00A4351A" w:rsidRPr="006134C3" w:rsidRDefault="00A4351A" w:rsidP="00117718">
            <w:pPr>
              <w:jc w:val="center"/>
              <w:rPr>
                <w:rFonts w:ascii="Arial" w:hAnsi="Arial" w:cs="Arial"/>
                <w:color w:val="000000"/>
              </w:rPr>
            </w:pPr>
            <w:r w:rsidRPr="006134C3">
              <w:rPr>
                <w:rFonts w:ascii="Arial" w:hAnsi="Arial" w:cs="Arial"/>
                <w:color w:val="000000"/>
              </w:rPr>
              <w:t>SDW</w:t>
            </w:r>
          </w:p>
        </w:tc>
      </w:tr>
      <w:tr w:rsidR="00A4351A" w:rsidRPr="006134C3" w14:paraId="4603B5C0" w14:textId="77777777" w:rsidTr="00117718">
        <w:trPr>
          <w:trHeight w:val="57"/>
          <w:jc w:val="center"/>
        </w:trPr>
        <w:tc>
          <w:tcPr>
            <w:tcW w:w="1518" w:type="dxa"/>
            <w:tcBorders>
              <w:top w:val="single" w:sz="4" w:space="0" w:color="auto"/>
              <w:bottom w:val="nil"/>
            </w:tcBorders>
            <w:noWrap/>
            <w:vAlign w:val="bottom"/>
            <w:hideMark/>
          </w:tcPr>
          <w:p w14:paraId="36EE3263"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rPr>
              <w:t>0</w:t>
            </w:r>
          </w:p>
        </w:tc>
        <w:tc>
          <w:tcPr>
            <w:tcW w:w="1024" w:type="dxa"/>
            <w:tcBorders>
              <w:top w:val="single" w:sz="4" w:space="0" w:color="auto"/>
              <w:bottom w:val="nil"/>
            </w:tcBorders>
            <w:noWrap/>
            <w:vAlign w:val="center"/>
            <w:hideMark/>
          </w:tcPr>
          <w:p w14:paraId="6B0FDB3A"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76</w:t>
            </w:r>
          </w:p>
        </w:tc>
        <w:tc>
          <w:tcPr>
            <w:tcW w:w="1100" w:type="dxa"/>
            <w:tcBorders>
              <w:top w:val="single" w:sz="4" w:space="0" w:color="auto"/>
              <w:bottom w:val="nil"/>
            </w:tcBorders>
            <w:noWrap/>
            <w:vAlign w:val="center"/>
            <w:hideMark/>
          </w:tcPr>
          <w:p w14:paraId="5A5A230D"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54</w:t>
            </w:r>
          </w:p>
        </w:tc>
        <w:tc>
          <w:tcPr>
            <w:tcW w:w="853" w:type="dxa"/>
            <w:tcBorders>
              <w:top w:val="single" w:sz="4" w:space="0" w:color="auto"/>
              <w:bottom w:val="nil"/>
            </w:tcBorders>
            <w:noWrap/>
            <w:vAlign w:val="center"/>
            <w:hideMark/>
          </w:tcPr>
          <w:p w14:paraId="4EFF819D" w14:textId="77777777" w:rsidR="00A4351A" w:rsidRPr="006134C3" w:rsidRDefault="00A4351A" w:rsidP="00117718">
            <w:pPr>
              <w:jc w:val="center"/>
              <w:rPr>
                <w:rFonts w:ascii="Arial" w:hAnsi="Arial" w:cs="Arial"/>
                <w:color w:val="000000"/>
              </w:rPr>
            </w:pPr>
            <w:r w:rsidRPr="006134C3">
              <w:rPr>
                <w:rFonts w:ascii="Arial" w:hAnsi="Arial" w:cs="Arial"/>
                <w:color w:val="000000"/>
              </w:rPr>
              <w:t>5</w:t>
            </w:r>
          </w:p>
        </w:tc>
        <w:tc>
          <w:tcPr>
            <w:tcW w:w="883" w:type="dxa"/>
            <w:tcBorders>
              <w:top w:val="single" w:sz="4" w:space="0" w:color="auto"/>
              <w:bottom w:val="nil"/>
            </w:tcBorders>
            <w:noWrap/>
            <w:vAlign w:val="center"/>
            <w:hideMark/>
          </w:tcPr>
          <w:p w14:paraId="3B1C4059" w14:textId="77777777" w:rsidR="00A4351A" w:rsidRPr="006134C3" w:rsidRDefault="00A4351A" w:rsidP="00117718">
            <w:pPr>
              <w:jc w:val="center"/>
              <w:rPr>
                <w:rFonts w:ascii="Arial" w:hAnsi="Arial" w:cs="Arial"/>
                <w:color w:val="000000"/>
              </w:rPr>
            </w:pPr>
            <w:r w:rsidRPr="006134C3">
              <w:rPr>
                <w:rFonts w:ascii="Arial" w:hAnsi="Arial" w:cs="Arial"/>
                <w:color w:val="000000"/>
              </w:rPr>
              <w:t>31</w:t>
            </w:r>
          </w:p>
        </w:tc>
        <w:tc>
          <w:tcPr>
            <w:tcW w:w="1379" w:type="dxa"/>
            <w:tcBorders>
              <w:top w:val="single" w:sz="4" w:space="0" w:color="auto"/>
              <w:bottom w:val="nil"/>
            </w:tcBorders>
            <w:noWrap/>
            <w:vAlign w:val="center"/>
            <w:hideMark/>
          </w:tcPr>
          <w:p w14:paraId="45DD67C7"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86</w:t>
            </w:r>
          </w:p>
        </w:tc>
        <w:tc>
          <w:tcPr>
            <w:tcW w:w="816" w:type="dxa"/>
            <w:tcBorders>
              <w:top w:val="single" w:sz="4" w:space="0" w:color="auto"/>
              <w:bottom w:val="nil"/>
            </w:tcBorders>
            <w:noWrap/>
            <w:vAlign w:val="center"/>
            <w:hideMark/>
          </w:tcPr>
          <w:p w14:paraId="59E32824" w14:textId="77777777" w:rsidR="00A4351A" w:rsidRPr="006134C3" w:rsidRDefault="00A4351A" w:rsidP="00117718">
            <w:pPr>
              <w:jc w:val="center"/>
              <w:rPr>
                <w:rFonts w:ascii="Arial" w:hAnsi="Arial" w:cs="Arial"/>
                <w:color w:val="000000"/>
              </w:rPr>
            </w:pPr>
            <w:r w:rsidRPr="006134C3">
              <w:rPr>
                <w:rFonts w:ascii="Arial" w:hAnsi="Arial" w:cs="Arial"/>
                <w:color w:val="000000"/>
                <w:lang w:val="id-ID"/>
              </w:rPr>
              <w:t>6</w:t>
            </w:r>
            <w:r w:rsidRPr="006134C3">
              <w:rPr>
                <w:rFonts w:ascii="Arial" w:hAnsi="Arial" w:cs="Arial"/>
                <w:color w:val="000000"/>
              </w:rPr>
              <w:t>.0</w:t>
            </w:r>
          </w:p>
        </w:tc>
        <w:tc>
          <w:tcPr>
            <w:tcW w:w="709" w:type="dxa"/>
            <w:tcBorders>
              <w:top w:val="single" w:sz="4" w:space="0" w:color="auto"/>
              <w:bottom w:val="nil"/>
            </w:tcBorders>
            <w:noWrap/>
            <w:vAlign w:val="center"/>
            <w:hideMark/>
          </w:tcPr>
          <w:p w14:paraId="7A87C7AA" w14:textId="77777777" w:rsidR="00A4351A" w:rsidRPr="006134C3" w:rsidRDefault="00A4351A" w:rsidP="00117718">
            <w:pPr>
              <w:jc w:val="center"/>
              <w:rPr>
                <w:rFonts w:ascii="Arial" w:hAnsi="Arial" w:cs="Arial"/>
                <w:color w:val="000000"/>
              </w:rPr>
            </w:pPr>
            <w:r w:rsidRPr="006134C3">
              <w:rPr>
                <w:rFonts w:ascii="Arial" w:hAnsi="Arial" w:cs="Arial"/>
                <w:color w:val="000000"/>
                <w:lang w:val="id-ID"/>
              </w:rPr>
              <w:t>2.</w:t>
            </w:r>
            <w:r w:rsidRPr="006134C3">
              <w:rPr>
                <w:rFonts w:ascii="Arial" w:hAnsi="Arial" w:cs="Arial"/>
                <w:color w:val="000000"/>
              </w:rPr>
              <w:t>3</w:t>
            </w:r>
          </w:p>
        </w:tc>
      </w:tr>
      <w:tr w:rsidR="00A4351A" w:rsidRPr="006134C3" w14:paraId="20AE6C49" w14:textId="77777777" w:rsidTr="00117718">
        <w:trPr>
          <w:trHeight w:val="57"/>
          <w:jc w:val="center"/>
        </w:trPr>
        <w:tc>
          <w:tcPr>
            <w:tcW w:w="1518" w:type="dxa"/>
            <w:tcBorders>
              <w:top w:val="nil"/>
            </w:tcBorders>
            <w:noWrap/>
            <w:vAlign w:val="center"/>
            <w:hideMark/>
          </w:tcPr>
          <w:p w14:paraId="17605D4C"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rPr>
              <w:t>70</w:t>
            </w:r>
          </w:p>
        </w:tc>
        <w:tc>
          <w:tcPr>
            <w:tcW w:w="1024" w:type="dxa"/>
            <w:tcBorders>
              <w:top w:val="nil"/>
            </w:tcBorders>
            <w:noWrap/>
            <w:vAlign w:val="center"/>
            <w:hideMark/>
          </w:tcPr>
          <w:p w14:paraId="66E7D837"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80</w:t>
            </w:r>
          </w:p>
        </w:tc>
        <w:tc>
          <w:tcPr>
            <w:tcW w:w="1100" w:type="dxa"/>
            <w:tcBorders>
              <w:top w:val="nil"/>
            </w:tcBorders>
            <w:noWrap/>
            <w:vAlign w:val="center"/>
            <w:hideMark/>
          </w:tcPr>
          <w:p w14:paraId="675EAB3E"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58</w:t>
            </w:r>
          </w:p>
        </w:tc>
        <w:tc>
          <w:tcPr>
            <w:tcW w:w="853" w:type="dxa"/>
            <w:tcBorders>
              <w:top w:val="nil"/>
            </w:tcBorders>
            <w:noWrap/>
            <w:vAlign w:val="center"/>
            <w:hideMark/>
          </w:tcPr>
          <w:p w14:paraId="35DC4DA1" w14:textId="77777777" w:rsidR="00A4351A" w:rsidRPr="006134C3" w:rsidRDefault="00A4351A" w:rsidP="00117718">
            <w:pPr>
              <w:jc w:val="center"/>
              <w:rPr>
                <w:rFonts w:ascii="Arial" w:hAnsi="Arial" w:cs="Arial"/>
                <w:color w:val="000000"/>
              </w:rPr>
            </w:pPr>
            <w:r w:rsidRPr="006134C3">
              <w:rPr>
                <w:rFonts w:ascii="Arial" w:hAnsi="Arial" w:cs="Arial"/>
                <w:color w:val="000000"/>
              </w:rPr>
              <w:t>6</w:t>
            </w:r>
          </w:p>
        </w:tc>
        <w:tc>
          <w:tcPr>
            <w:tcW w:w="883" w:type="dxa"/>
            <w:tcBorders>
              <w:top w:val="nil"/>
            </w:tcBorders>
            <w:noWrap/>
            <w:vAlign w:val="center"/>
            <w:hideMark/>
          </w:tcPr>
          <w:p w14:paraId="5F9AE6BD" w14:textId="77777777" w:rsidR="00A4351A" w:rsidRPr="006134C3" w:rsidRDefault="00A4351A" w:rsidP="00117718">
            <w:pPr>
              <w:jc w:val="center"/>
              <w:rPr>
                <w:rFonts w:ascii="Arial" w:hAnsi="Arial" w:cs="Arial"/>
                <w:color w:val="000000"/>
              </w:rPr>
            </w:pPr>
            <w:r w:rsidRPr="006134C3">
              <w:rPr>
                <w:rFonts w:ascii="Arial" w:hAnsi="Arial" w:cs="Arial"/>
                <w:color w:val="000000"/>
              </w:rPr>
              <w:t>30</w:t>
            </w:r>
          </w:p>
        </w:tc>
        <w:tc>
          <w:tcPr>
            <w:tcW w:w="1379" w:type="dxa"/>
            <w:tcBorders>
              <w:top w:val="nil"/>
            </w:tcBorders>
            <w:noWrap/>
            <w:vAlign w:val="center"/>
            <w:hideMark/>
          </w:tcPr>
          <w:p w14:paraId="5492C4EA"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87</w:t>
            </w:r>
          </w:p>
        </w:tc>
        <w:tc>
          <w:tcPr>
            <w:tcW w:w="816" w:type="dxa"/>
            <w:tcBorders>
              <w:top w:val="nil"/>
            </w:tcBorders>
            <w:noWrap/>
            <w:vAlign w:val="center"/>
            <w:hideMark/>
          </w:tcPr>
          <w:p w14:paraId="1D992033" w14:textId="77777777" w:rsidR="00A4351A" w:rsidRPr="006134C3" w:rsidRDefault="00A4351A" w:rsidP="00117718">
            <w:pPr>
              <w:jc w:val="center"/>
              <w:rPr>
                <w:rFonts w:ascii="Arial" w:hAnsi="Arial" w:cs="Arial"/>
                <w:color w:val="000000"/>
              </w:rPr>
            </w:pPr>
            <w:r w:rsidRPr="006134C3">
              <w:rPr>
                <w:rFonts w:ascii="Arial" w:hAnsi="Arial" w:cs="Arial"/>
                <w:color w:val="000000"/>
                <w:lang w:val="id-ID"/>
              </w:rPr>
              <w:t>6</w:t>
            </w:r>
            <w:r w:rsidRPr="006134C3">
              <w:rPr>
                <w:rFonts w:ascii="Arial" w:hAnsi="Arial" w:cs="Arial"/>
                <w:color w:val="000000"/>
              </w:rPr>
              <w:t>.0</w:t>
            </w:r>
          </w:p>
        </w:tc>
        <w:tc>
          <w:tcPr>
            <w:tcW w:w="709" w:type="dxa"/>
            <w:tcBorders>
              <w:top w:val="nil"/>
            </w:tcBorders>
            <w:noWrap/>
            <w:vAlign w:val="center"/>
            <w:hideMark/>
          </w:tcPr>
          <w:p w14:paraId="1674FA2E"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3.2</w:t>
            </w:r>
          </w:p>
        </w:tc>
      </w:tr>
      <w:tr w:rsidR="00A4351A" w:rsidRPr="006134C3" w14:paraId="70B8552F" w14:textId="77777777" w:rsidTr="00117718">
        <w:trPr>
          <w:trHeight w:val="57"/>
          <w:jc w:val="center"/>
        </w:trPr>
        <w:tc>
          <w:tcPr>
            <w:tcW w:w="1518" w:type="dxa"/>
            <w:noWrap/>
            <w:vAlign w:val="center"/>
            <w:hideMark/>
          </w:tcPr>
          <w:p w14:paraId="5E7D017D" w14:textId="77777777" w:rsidR="00A4351A" w:rsidRPr="006134C3" w:rsidRDefault="00A4351A" w:rsidP="00117718">
            <w:pPr>
              <w:jc w:val="center"/>
              <w:rPr>
                <w:rFonts w:ascii="Arial" w:hAnsi="Arial" w:cs="Arial"/>
                <w:color w:val="000000"/>
              </w:rPr>
            </w:pPr>
            <w:r w:rsidRPr="006134C3">
              <w:rPr>
                <w:rFonts w:ascii="Arial" w:hAnsi="Arial" w:cs="Arial"/>
                <w:color w:val="000000"/>
              </w:rPr>
              <w:t>140</w:t>
            </w:r>
          </w:p>
        </w:tc>
        <w:tc>
          <w:tcPr>
            <w:tcW w:w="1024" w:type="dxa"/>
            <w:noWrap/>
            <w:vAlign w:val="center"/>
            <w:hideMark/>
          </w:tcPr>
          <w:p w14:paraId="7CAEF17F"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82</w:t>
            </w:r>
          </w:p>
        </w:tc>
        <w:tc>
          <w:tcPr>
            <w:tcW w:w="1100" w:type="dxa"/>
            <w:noWrap/>
            <w:vAlign w:val="center"/>
            <w:hideMark/>
          </w:tcPr>
          <w:p w14:paraId="5E739437"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60</w:t>
            </w:r>
          </w:p>
        </w:tc>
        <w:tc>
          <w:tcPr>
            <w:tcW w:w="853" w:type="dxa"/>
            <w:noWrap/>
            <w:vAlign w:val="center"/>
            <w:hideMark/>
          </w:tcPr>
          <w:p w14:paraId="1309DE38" w14:textId="77777777" w:rsidR="00A4351A" w:rsidRPr="006134C3" w:rsidRDefault="00A4351A" w:rsidP="00117718">
            <w:pPr>
              <w:jc w:val="center"/>
              <w:rPr>
                <w:rFonts w:ascii="Arial" w:hAnsi="Arial" w:cs="Arial"/>
                <w:color w:val="000000"/>
              </w:rPr>
            </w:pPr>
            <w:r w:rsidRPr="006134C3">
              <w:rPr>
                <w:rFonts w:ascii="Arial" w:hAnsi="Arial" w:cs="Arial"/>
                <w:color w:val="000000"/>
              </w:rPr>
              <w:t>6</w:t>
            </w:r>
          </w:p>
        </w:tc>
        <w:tc>
          <w:tcPr>
            <w:tcW w:w="883" w:type="dxa"/>
            <w:noWrap/>
            <w:vAlign w:val="center"/>
            <w:hideMark/>
          </w:tcPr>
          <w:p w14:paraId="7C9ED4D2" w14:textId="77777777" w:rsidR="00A4351A" w:rsidRPr="006134C3" w:rsidRDefault="00A4351A" w:rsidP="00117718">
            <w:pPr>
              <w:jc w:val="center"/>
              <w:rPr>
                <w:rFonts w:ascii="Arial" w:hAnsi="Arial" w:cs="Arial"/>
                <w:color w:val="000000"/>
              </w:rPr>
            </w:pPr>
            <w:r w:rsidRPr="006134C3">
              <w:rPr>
                <w:rFonts w:ascii="Arial" w:hAnsi="Arial" w:cs="Arial"/>
                <w:color w:val="000000"/>
              </w:rPr>
              <w:t>30</w:t>
            </w:r>
          </w:p>
        </w:tc>
        <w:tc>
          <w:tcPr>
            <w:tcW w:w="1379" w:type="dxa"/>
            <w:noWrap/>
            <w:vAlign w:val="center"/>
            <w:hideMark/>
          </w:tcPr>
          <w:p w14:paraId="74576B41"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88</w:t>
            </w:r>
          </w:p>
        </w:tc>
        <w:tc>
          <w:tcPr>
            <w:tcW w:w="816" w:type="dxa"/>
            <w:noWrap/>
            <w:vAlign w:val="center"/>
            <w:hideMark/>
          </w:tcPr>
          <w:p w14:paraId="58BA9D44" w14:textId="77777777" w:rsidR="00A4351A" w:rsidRPr="006134C3" w:rsidRDefault="00A4351A" w:rsidP="00117718">
            <w:pPr>
              <w:jc w:val="center"/>
              <w:rPr>
                <w:rFonts w:ascii="Arial" w:hAnsi="Arial" w:cs="Arial"/>
                <w:color w:val="000000"/>
              </w:rPr>
            </w:pPr>
            <w:r w:rsidRPr="006134C3">
              <w:rPr>
                <w:rFonts w:ascii="Arial" w:hAnsi="Arial" w:cs="Arial"/>
                <w:color w:val="000000"/>
                <w:lang w:val="id-ID"/>
              </w:rPr>
              <w:t>6</w:t>
            </w:r>
            <w:r w:rsidRPr="006134C3">
              <w:rPr>
                <w:rFonts w:ascii="Arial" w:hAnsi="Arial" w:cs="Arial"/>
                <w:color w:val="000000"/>
              </w:rPr>
              <w:t>.0</w:t>
            </w:r>
          </w:p>
        </w:tc>
        <w:tc>
          <w:tcPr>
            <w:tcW w:w="709" w:type="dxa"/>
            <w:noWrap/>
            <w:vAlign w:val="center"/>
            <w:hideMark/>
          </w:tcPr>
          <w:p w14:paraId="0A300EE6"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2.5</w:t>
            </w:r>
          </w:p>
        </w:tc>
      </w:tr>
      <w:tr w:rsidR="00A4351A" w:rsidRPr="006134C3" w14:paraId="087DBB93" w14:textId="77777777" w:rsidTr="00117718">
        <w:trPr>
          <w:trHeight w:val="57"/>
          <w:jc w:val="center"/>
        </w:trPr>
        <w:tc>
          <w:tcPr>
            <w:tcW w:w="1518" w:type="dxa"/>
            <w:noWrap/>
            <w:vAlign w:val="center"/>
            <w:hideMark/>
          </w:tcPr>
          <w:p w14:paraId="6AA8DECA" w14:textId="77777777" w:rsidR="00A4351A" w:rsidRPr="006134C3" w:rsidRDefault="00A4351A" w:rsidP="00117718">
            <w:pPr>
              <w:jc w:val="center"/>
              <w:rPr>
                <w:rFonts w:ascii="Arial" w:hAnsi="Arial" w:cs="Arial"/>
                <w:color w:val="000000"/>
              </w:rPr>
            </w:pPr>
            <w:r w:rsidRPr="006134C3">
              <w:rPr>
                <w:rFonts w:ascii="Arial" w:hAnsi="Arial" w:cs="Arial"/>
                <w:color w:val="000000"/>
              </w:rPr>
              <w:t>210</w:t>
            </w:r>
          </w:p>
        </w:tc>
        <w:tc>
          <w:tcPr>
            <w:tcW w:w="1024" w:type="dxa"/>
            <w:noWrap/>
            <w:vAlign w:val="center"/>
            <w:hideMark/>
          </w:tcPr>
          <w:p w14:paraId="6B77C8D1"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81</w:t>
            </w:r>
          </w:p>
        </w:tc>
        <w:tc>
          <w:tcPr>
            <w:tcW w:w="1100" w:type="dxa"/>
            <w:noWrap/>
            <w:vAlign w:val="center"/>
            <w:hideMark/>
          </w:tcPr>
          <w:p w14:paraId="6D5FE72B"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63</w:t>
            </w:r>
          </w:p>
        </w:tc>
        <w:tc>
          <w:tcPr>
            <w:tcW w:w="853" w:type="dxa"/>
            <w:noWrap/>
            <w:vAlign w:val="center"/>
            <w:hideMark/>
          </w:tcPr>
          <w:p w14:paraId="13345688" w14:textId="77777777" w:rsidR="00A4351A" w:rsidRPr="006134C3" w:rsidRDefault="00A4351A" w:rsidP="00117718">
            <w:pPr>
              <w:jc w:val="center"/>
              <w:rPr>
                <w:rFonts w:ascii="Arial" w:hAnsi="Arial" w:cs="Arial"/>
                <w:color w:val="000000"/>
              </w:rPr>
            </w:pPr>
            <w:r w:rsidRPr="006134C3">
              <w:rPr>
                <w:rFonts w:ascii="Arial" w:hAnsi="Arial" w:cs="Arial"/>
                <w:color w:val="000000"/>
              </w:rPr>
              <w:t>7</w:t>
            </w:r>
          </w:p>
        </w:tc>
        <w:tc>
          <w:tcPr>
            <w:tcW w:w="883" w:type="dxa"/>
            <w:noWrap/>
            <w:vAlign w:val="center"/>
            <w:hideMark/>
          </w:tcPr>
          <w:p w14:paraId="59E86743" w14:textId="77777777" w:rsidR="00A4351A" w:rsidRPr="006134C3" w:rsidRDefault="00A4351A" w:rsidP="00117718">
            <w:pPr>
              <w:jc w:val="center"/>
              <w:rPr>
                <w:rFonts w:ascii="Arial" w:hAnsi="Arial" w:cs="Arial"/>
                <w:color w:val="000000"/>
              </w:rPr>
            </w:pPr>
            <w:r w:rsidRPr="006134C3">
              <w:rPr>
                <w:rFonts w:ascii="Arial" w:hAnsi="Arial" w:cs="Arial"/>
                <w:color w:val="000000"/>
              </w:rPr>
              <w:t>29</w:t>
            </w:r>
          </w:p>
        </w:tc>
        <w:tc>
          <w:tcPr>
            <w:tcW w:w="1379" w:type="dxa"/>
            <w:noWrap/>
            <w:vAlign w:val="center"/>
            <w:hideMark/>
          </w:tcPr>
          <w:p w14:paraId="43CE5699"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86</w:t>
            </w:r>
          </w:p>
        </w:tc>
        <w:tc>
          <w:tcPr>
            <w:tcW w:w="816" w:type="dxa"/>
            <w:noWrap/>
            <w:vAlign w:val="center"/>
            <w:hideMark/>
          </w:tcPr>
          <w:p w14:paraId="5DDCFC94"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5.8</w:t>
            </w:r>
          </w:p>
        </w:tc>
        <w:tc>
          <w:tcPr>
            <w:tcW w:w="709" w:type="dxa"/>
            <w:noWrap/>
            <w:vAlign w:val="center"/>
            <w:hideMark/>
          </w:tcPr>
          <w:p w14:paraId="01D2A12C"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3.2</w:t>
            </w:r>
          </w:p>
        </w:tc>
      </w:tr>
    </w:tbl>
    <w:p w14:paraId="5A91BEC9" w14:textId="77777777" w:rsidR="00A4351A" w:rsidRPr="006134C3" w:rsidRDefault="00A4351A" w:rsidP="00A4351A">
      <w:pPr>
        <w:rPr>
          <w:rFonts w:ascii="Arial" w:hAnsi="Arial" w:cs="Arial"/>
        </w:rPr>
      </w:pPr>
    </w:p>
    <w:tbl>
      <w:tblPr>
        <w:tblW w:w="8727" w:type="dxa"/>
        <w:jc w:val="center"/>
        <w:tblBorders>
          <w:top w:val="single" w:sz="4" w:space="0" w:color="auto"/>
          <w:bottom w:val="single" w:sz="4" w:space="0" w:color="auto"/>
        </w:tblBorders>
        <w:tblLook w:val="04A0" w:firstRow="1" w:lastRow="0" w:firstColumn="1" w:lastColumn="0" w:noHBand="0" w:noVBand="1"/>
      </w:tblPr>
      <w:tblGrid>
        <w:gridCol w:w="1674"/>
        <w:gridCol w:w="1348"/>
        <w:gridCol w:w="1084"/>
        <w:gridCol w:w="1072"/>
        <w:gridCol w:w="1157"/>
        <w:gridCol w:w="1173"/>
        <w:gridCol w:w="1219"/>
      </w:tblGrid>
      <w:tr w:rsidR="00A4351A" w:rsidRPr="006134C3" w14:paraId="4102D8D0" w14:textId="77777777" w:rsidTr="00117718">
        <w:trPr>
          <w:trHeight w:val="57"/>
          <w:jc w:val="center"/>
        </w:trPr>
        <w:tc>
          <w:tcPr>
            <w:tcW w:w="1674" w:type="dxa"/>
            <w:vMerge w:val="restart"/>
            <w:noWrap/>
            <w:vAlign w:val="center"/>
          </w:tcPr>
          <w:p w14:paraId="24510153" w14:textId="77777777" w:rsidR="00A4351A" w:rsidRPr="006134C3" w:rsidRDefault="00A4351A" w:rsidP="00117718">
            <w:pPr>
              <w:jc w:val="center"/>
              <w:rPr>
                <w:rFonts w:ascii="Arial" w:hAnsi="Arial" w:cs="Arial"/>
                <w:color w:val="000000"/>
              </w:rPr>
            </w:pPr>
            <w:r w:rsidRPr="006134C3">
              <w:rPr>
                <w:rFonts w:ascii="Arial" w:hAnsi="Arial" w:cs="Arial"/>
                <w:color w:val="000000"/>
              </w:rPr>
              <w:t>Dos</w:t>
            </w:r>
            <w:r w:rsidRPr="006134C3">
              <w:rPr>
                <w:rFonts w:ascii="Arial" w:hAnsi="Arial" w:cs="Arial"/>
                <w:color w:val="000000"/>
                <w:lang w:val="id-ID"/>
              </w:rPr>
              <w:t xml:space="preserve">age </w:t>
            </w:r>
            <w:r w:rsidRPr="006134C3">
              <w:rPr>
                <w:rFonts w:ascii="Arial" w:hAnsi="Arial" w:cs="Arial"/>
                <w:color w:val="000000"/>
              </w:rPr>
              <w:t>(</w:t>
            </w:r>
            <w:r w:rsidRPr="006134C3">
              <w:rPr>
                <w:rFonts w:ascii="Arial" w:hAnsi="Arial" w:cs="Arial"/>
                <w:color w:val="000000"/>
                <w:lang w:val="id-ID"/>
              </w:rPr>
              <w:t>kg/ha</w:t>
            </w:r>
            <w:r w:rsidRPr="006134C3">
              <w:rPr>
                <w:rFonts w:ascii="Arial" w:hAnsi="Arial" w:cs="Arial"/>
                <w:color w:val="000000"/>
              </w:rPr>
              <w:t>)</w:t>
            </w:r>
          </w:p>
        </w:tc>
        <w:tc>
          <w:tcPr>
            <w:tcW w:w="7053" w:type="dxa"/>
            <w:gridSpan w:val="6"/>
            <w:tcBorders>
              <w:bottom w:val="single" w:sz="4" w:space="0" w:color="auto"/>
            </w:tcBorders>
            <w:noWrap/>
            <w:vAlign w:val="bottom"/>
          </w:tcPr>
          <w:p w14:paraId="52AC8F50" w14:textId="77777777" w:rsidR="00A4351A" w:rsidRPr="006134C3" w:rsidRDefault="00A4351A" w:rsidP="00117718">
            <w:pPr>
              <w:jc w:val="center"/>
              <w:rPr>
                <w:rFonts w:ascii="Arial" w:hAnsi="Arial" w:cs="Arial"/>
                <w:color w:val="000000"/>
              </w:rPr>
            </w:pPr>
            <w:r w:rsidRPr="006134C3">
              <w:rPr>
                <w:rFonts w:ascii="Arial" w:hAnsi="Arial" w:cs="Arial"/>
                <w:color w:val="000000"/>
              </w:rPr>
              <w:t>Yield component</w:t>
            </w:r>
          </w:p>
        </w:tc>
      </w:tr>
      <w:tr w:rsidR="00A4351A" w:rsidRPr="006134C3" w14:paraId="45AC488B" w14:textId="77777777" w:rsidTr="00117718">
        <w:trPr>
          <w:trHeight w:val="57"/>
          <w:jc w:val="center"/>
        </w:trPr>
        <w:tc>
          <w:tcPr>
            <w:tcW w:w="1674" w:type="dxa"/>
            <w:vMerge/>
            <w:tcBorders>
              <w:bottom w:val="single" w:sz="4" w:space="0" w:color="auto"/>
            </w:tcBorders>
            <w:noWrap/>
            <w:vAlign w:val="bottom"/>
            <w:hideMark/>
          </w:tcPr>
          <w:p w14:paraId="25447ADB" w14:textId="77777777" w:rsidR="00A4351A" w:rsidRPr="006134C3" w:rsidRDefault="00A4351A" w:rsidP="00117718">
            <w:pPr>
              <w:jc w:val="center"/>
              <w:rPr>
                <w:rFonts w:ascii="Arial" w:hAnsi="Arial" w:cs="Arial"/>
                <w:color w:val="000000"/>
                <w:lang w:val="id-ID"/>
              </w:rPr>
            </w:pPr>
          </w:p>
        </w:tc>
        <w:tc>
          <w:tcPr>
            <w:tcW w:w="1348" w:type="dxa"/>
            <w:tcBorders>
              <w:top w:val="single" w:sz="4" w:space="0" w:color="auto"/>
              <w:bottom w:val="single" w:sz="4" w:space="0" w:color="auto"/>
            </w:tcBorders>
            <w:noWrap/>
            <w:vAlign w:val="bottom"/>
            <w:hideMark/>
          </w:tcPr>
          <w:p w14:paraId="4F29EE7C" w14:textId="77777777" w:rsidR="00A4351A" w:rsidRPr="006134C3" w:rsidRDefault="00A4351A" w:rsidP="00117718">
            <w:pPr>
              <w:jc w:val="center"/>
              <w:rPr>
                <w:rFonts w:ascii="Arial" w:hAnsi="Arial" w:cs="Arial"/>
                <w:color w:val="000000"/>
              </w:rPr>
            </w:pPr>
            <w:r w:rsidRPr="006134C3">
              <w:rPr>
                <w:rFonts w:ascii="Arial" w:hAnsi="Arial" w:cs="Arial"/>
                <w:color w:val="000000"/>
              </w:rPr>
              <w:t xml:space="preserve">RFW </w:t>
            </w:r>
          </w:p>
        </w:tc>
        <w:tc>
          <w:tcPr>
            <w:tcW w:w="1084" w:type="dxa"/>
            <w:tcBorders>
              <w:top w:val="single" w:sz="4" w:space="0" w:color="auto"/>
              <w:bottom w:val="single" w:sz="4" w:space="0" w:color="auto"/>
            </w:tcBorders>
            <w:noWrap/>
            <w:vAlign w:val="bottom"/>
            <w:hideMark/>
          </w:tcPr>
          <w:p w14:paraId="16AEFD77" w14:textId="77777777" w:rsidR="00A4351A" w:rsidRPr="006134C3" w:rsidRDefault="00A4351A" w:rsidP="00117718">
            <w:pPr>
              <w:jc w:val="center"/>
              <w:rPr>
                <w:rFonts w:ascii="Arial" w:hAnsi="Arial" w:cs="Arial"/>
                <w:color w:val="000000"/>
              </w:rPr>
            </w:pPr>
            <w:r w:rsidRPr="006134C3">
              <w:rPr>
                <w:rFonts w:ascii="Arial" w:hAnsi="Arial" w:cs="Arial"/>
                <w:color w:val="000000"/>
              </w:rPr>
              <w:t xml:space="preserve">RDW </w:t>
            </w:r>
          </w:p>
        </w:tc>
        <w:tc>
          <w:tcPr>
            <w:tcW w:w="1072" w:type="dxa"/>
            <w:tcBorders>
              <w:top w:val="single" w:sz="4" w:space="0" w:color="auto"/>
              <w:bottom w:val="single" w:sz="4" w:space="0" w:color="auto"/>
            </w:tcBorders>
            <w:noWrap/>
            <w:vAlign w:val="bottom"/>
            <w:hideMark/>
          </w:tcPr>
          <w:p w14:paraId="523E7FB8" w14:textId="77777777" w:rsidR="00A4351A" w:rsidRPr="006134C3" w:rsidRDefault="00A4351A" w:rsidP="00117718">
            <w:pPr>
              <w:jc w:val="center"/>
              <w:rPr>
                <w:rFonts w:ascii="Arial" w:hAnsi="Arial" w:cs="Arial"/>
                <w:color w:val="000000"/>
              </w:rPr>
            </w:pPr>
            <w:r w:rsidRPr="006134C3">
              <w:rPr>
                <w:rFonts w:ascii="Arial" w:hAnsi="Arial" w:cs="Arial"/>
                <w:color w:val="000000"/>
              </w:rPr>
              <w:t>FPN</w:t>
            </w:r>
          </w:p>
        </w:tc>
        <w:tc>
          <w:tcPr>
            <w:tcW w:w="1157" w:type="dxa"/>
            <w:tcBorders>
              <w:top w:val="single" w:sz="4" w:space="0" w:color="auto"/>
              <w:bottom w:val="single" w:sz="4" w:space="0" w:color="auto"/>
            </w:tcBorders>
            <w:noWrap/>
            <w:vAlign w:val="bottom"/>
            <w:hideMark/>
          </w:tcPr>
          <w:p w14:paraId="42B6863E" w14:textId="77777777" w:rsidR="00A4351A" w:rsidRPr="006134C3" w:rsidRDefault="00A4351A" w:rsidP="00117718">
            <w:pPr>
              <w:jc w:val="center"/>
              <w:rPr>
                <w:rFonts w:ascii="Arial" w:hAnsi="Arial" w:cs="Arial"/>
                <w:color w:val="000000"/>
              </w:rPr>
            </w:pPr>
            <w:r w:rsidRPr="006134C3">
              <w:rPr>
                <w:rFonts w:ascii="Arial" w:hAnsi="Arial" w:cs="Arial"/>
                <w:color w:val="000000"/>
              </w:rPr>
              <w:t>EPN</w:t>
            </w:r>
          </w:p>
        </w:tc>
        <w:tc>
          <w:tcPr>
            <w:tcW w:w="1173" w:type="dxa"/>
            <w:tcBorders>
              <w:top w:val="single" w:sz="4" w:space="0" w:color="auto"/>
              <w:bottom w:val="single" w:sz="4" w:space="0" w:color="auto"/>
            </w:tcBorders>
            <w:noWrap/>
            <w:vAlign w:val="bottom"/>
            <w:hideMark/>
          </w:tcPr>
          <w:p w14:paraId="6F48CE8A"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SWPP</w:t>
            </w:r>
            <w:r w:rsidRPr="006134C3">
              <w:rPr>
                <w:rFonts w:ascii="Arial" w:hAnsi="Arial" w:cs="Arial"/>
                <w:color w:val="000000"/>
              </w:rPr>
              <w:t xml:space="preserve"> </w:t>
            </w:r>
          </w:p>
        </w:tc>
        <w:tc>
          <w:tcPr>
            <w:tcW w:w="1219" w:type="dxa"/>
            <w:tcBorders>
              <w:top w:val="single" w:sz="4" w:space="0" w:color="auto"/>
              <w:bottom w:val="single" w:sz="4" w:space="0" w:color="auto"/>
            </w:tcBorders>
            <w:noWrap/>
            <w:vAlign w:val="bottom"/>
            <w:hideMark/>
          </w:tcPr>
          <w:p w14:paraId="5728720D" w14:textId="77777777" w:rsidR="00A4351A" w:rsidRPr="006134C3" w:rsidRDefault="00A4351A" w:rsidP="00117718">
            <w:pPr>
              <w:jc w:val="center"/>
              <w:rPr>
                <w:rFonts w:ascii="Arial" w:hAnsi="Arial" w:cs="Arial"/>
                <w:color w:val="000000"/>
              </w:rPr>
            </w:pPr>
            <w:r w:rsidRPr="006134C3">
              <w:rPr>
                <w:rFonts w:ascii="Arial" w:hAnsi="Arial" w:cs="Arial"/>
                <w:color w:val="000000"/>
              </w:rPr>
              <w:t xml:space="preserve">SW </w:t>
            </w:r>
          </w:p>
        </w:tc>
      </w:tr>
      <w:tr w:rsidR="00A4351A" w:rsidRPr="006134C3" w14:paraId="14F04760" w14:textId="77777777" w:rsidTr="00117718">
        <w:trPr>
          <w:trHeight w:val="57"/>
          <w:jc w:val="center"/>
        </w:trPr>
        <w:tc>
          <w:tcPr>
            <w:tcW w:w="1674" w:type="dxa"/>
            <w:tcBorders>
              <w:top w:val="single" w:sz="4" w:space="0" w:color="auto"/>
              <w:bottom w:val="nil"/>
            </w:tcBorders>
            <w:noWrap/>
            <w:vAlign w:val="bottom"/>
            <w:hideMark/>
          </w:tcPr>
          <w:p w14:paraId="7D67E4F1" w14:textId="77777777" w:rsidR="00A4351A" w:rsidRPr="006134C3" w:rsidRDefault="00A4351A" w:rsidP="00117718">
            <w:pPr>
              <w:jc w:val="center"/>
              <w:rPr>
                <w:rFonts w:ascii="Arial" w:hAnsi="Arial" w:cs="Arial"/>
                <w:color w:val="000000"/>
              </w:rPr>
            </w:pPr>
            <w:r w:rsidRPr="006134C3">
              <w:rPr>
                <w:rFonts w:ascii="Arial" w:hAnsi="Arial" w:cs="Arial"/>
                <w:color w:val="000000"/>
              </w:rPr>
              <w:t>0</w:t>
            </w:r>
          </w:p>
        </w:tc>
        <w:tc>
          <w:tcPr>
            <w:tcW w:w="1348" w:type="dxa"/>
            <w:tcBorders>
              <w:top w:val="single" w:sz="4" w:space="0" w:color="auto"/>
              <w:bottom w:val="nil"/>
            </w:tcBorders>
            <w:noWrap/>
            <w:vAlign w:val="center"/>
            <w:hideMark/>
          </w:tcPr>
          <w:p w14:paraId="15C6F9B3"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5.9</w:t>
            </w:r>
          </w:p>
        </w:tc>
        <w:tc>
          <w:tcPr>
            <w:tcW w:w="1084" w:type="dxa"/>
            <w:tcBorders>
              <w:top w:val="single" w:sz="4" w:space="0" w:color="auto"/>
              <w:bottom w:val="nil"/>
            </w:tcBorders>
            <w:noWrap/>
            <w:vAlign w:val="center"/>
            <w:hideMark/>
          </w:tcPr>
          <w:p w14:paraId="0D65FD28" w14:textId="77777777" w:rsidR="00A4351A" w:rsidRPr="006134C3" w:rsidRDefault="00A4351A" w:rsidP="00117718">
            <w:pPr>
              <w:jc w:val="center"/>
              <w:rPr>
                <w:rFonts w:ascii="Arial" w:hAnsi="Arial" w:cs="Arial"/>
                <w:color w:val="000000"/>
              </w:rPr>
            </w:pPr>
            <w:r w:rsidRPr="006134C3">
              <w:rPr>
                <w:rFonts w:ascii="Arial" w:hAnsi="Arial" w:cs="Arial"/>
                <w:color w:val="000000"/>
              </w:rPr>
              <w:t>1.5</w:t>
            </w:r>
          </w:p>
        </w:tc>
        <w:tc>
          <w:tcPr>
            <w:tcW w:w="1072" w:type="dxa"/>
            <w:tcBorders>
              <w:top w:val="single" w:sz="4" w:space="0" w:color="auto"/>
              <w:bottom w:val="nil"/>
            </w:tcBorders>
            <w:noWrap/>
            <w:vAlign w:val="center"/>
            <w:hideMark/>
          </w:tcPr>
          <w:p w14:paraId="1CAD92B1" w14:textId="77777777" w:rsidR="00A4351A" w:rsidRPr="006134C3" w:rsidRDefault="00A4351A" w:rsidP="00117718">
            <w:pPr>
              <w:jc w:val="center"/>
              <w:rPr>
                <w:rFonts w:ascii="Arial" w:hAnsi="Arial" w:cs="Arial"/>
                <w:color w:val="000000"/>
              </w:rPr>
            </w:pPr>
            <w:r w:rsidRPr="006134C3">
              <w:rPr>
                <w:rFonts w:ascii="Arial" w:hAnsi="Arial" w:cs="Arial"/>
                <w:color w:val="000000"/>
              </w:rPr>
              <w:t>34</w:t>
            </w:r>
          </w:p>
        </w:tc>
        <w:tc>
          <w:tcPr>
            <w:tcW w:w="1157" w:type="dxa"/>
            <w:tcBorders>
              <w:top w:val="single" w:sz="4" w:space="0" w:color="auto"/>
              <w:bottom w:val="nil"/>
            </w:tcBorders>
            <w:noWrap/>
            <w:vAlign w:val="center"/>
            <w:hideMark/>
          </w:tcPr>
          <w:p w14:paraId="49E15BC1"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8</w:t>
            </w:r>
          </w:p>
        </w:tc>
        <w:tc>
          <w:tcPr>
            <w:tcW w:w="1173" w:type="dxa"/>
            <w:tcBorders>
              <w:top w:val="single" w:sz="4" w:space="0" w:color="auto"/>
              <w:bottom w:val="nil"/>
            </w:tcBorders>
            <w:noWrap/>
            <w:vAlign w:val="center"/>
            <w:hideMark/>
          </w:tcPr>
          <w:p w14:paraId="6589D194"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1.7</w:t>
            </w:r>
          </w:p>
        </w:tc>
        <w:tc>
          <w:tcPr>
            <w:tcW w:w="1219" w:type="dxa"/>
            <w:tcBorders>
              <w:top w:val="single" w:sz="4" w:space="0" w:color="auto"/>
              <w:bottom w:val="nil"/>
            </w:tcBorders>
            <w:noWrap/>
            <w:vAlign w:val="center"/>
            <w:hideMark/>
          </w:tcPr>
          <w:p w14:paraId="733A0C21"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0.42</w:t>
            </w:r>
          </w:p>
        </w:tc>
      </w:tr>
      <w:tr w:rsidR="00A4351A" w:rsidRPr="006134C3" w14:paraId="502899A3" w14:textId="77777777" w:rsidTr="00117718">
        <w:trPr>
          <w:trHeight w:val="57"/>
          <w:jc w:val="center"/>
        </w:trPr>
        <w:tc>
          <w:tcPr>
            <w:tcW w:w="1674" w:type="dxa"/>
            <w:tcBorders>
              <w:top w:val="nil"/>
            </w:tcBorders>
            <w:noWrap/>
            <w:vAlign w:val="center"/>
            <w:hideMark/>
          </w:tcPr>
          <w:p w14:paraId="60EEEB3D" w14:textId="77777777" w:rsidR="00A4351A" w:rsidRPr="006134C3" w:rsidRDefault="00A4351A" w:rsidP="00117718">
            <w:pPr>
              <w:jc w:val="center"/>
              <w:rPr>
                <w:rFonts w:ascii="Arial" w:hAnsi="Arial" w:cs="Arial"/>
                <w:color w:val="000000"/>
              </w:rPr>
            </w:pPr>
            <w:r w:rsidRPr="006134C3">
              <w:rPr>
                <w:rFonts w:ascii="Arial" w:hAnsi="Arial" w:cs="Arial"/>
                <w:color w:val="000000"/>
              </w:rPr>
              <w:t>70</w:t>
            </w:r>
          </w:p>
        </w:tc>
        <w:tc>
          <w:tcPr>
            <w:tcW w:w="1348" w:type="dxa"/>
            <w:tcBorders>
              <w:top w:val="nil"/>
            </w:tcBorders>
            <w:noWrap/>
            <w:vAlign w:val="center"/>
            <w:hideMark/>
          </w:tcPr>
          <w:p w14:paraId="48C37A4C"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4.9</w:t>
            </w:r>
          </w:p>
        </w:tc>
        <w:tc>
          <w:tcPr>
            <w:tcW w:w="1084" w:type="dxa"/>
            <w:tcBorders>
              <w:top w:val="nil"/>
            </w:tcBorders>
            <w:noWrap/>
            <w:vAlign w:val="center"/>
            <w:hideMark/>
          </w:tcPr>
          <w:p w14:paraId="0E37881C" w14:textId="77777777" w:rsidR="00A4351A" w:rsidRPr="006134C3" w:rsidRDefault="00A4351A" w:rsidP="00117718">
            <w:pPr>
              <w:jc w:val="center"/>
              <w:rPr>
                <w:rFonts w:ascii="Arial" w:hAnsi="Arial" w:cs="Arial"/>
                <w:color w:val="000000"/>
              </w:rPr>
            </w:pPr>
            <w:r w:rsidRPr="006134C3">
              <w:rPr>
                <w:rFonts w:ascii="Arial" w:hAnsi="Arial" w:cs="Arial"/>
                <w:color w:val="000000"/>
              </w:rPr>
              <w:t>1.7</w:t>
            </w:r>
          </w:p>
        </w:tc>
        <w:tc>
          <w:tcPr>
            <w:tcW w:w="1072" w:type="dxa"/>
            <w:tcBorders>
              <w:top w:val="nil"/>
            </w:tcBorders>
            <w:noWrap/>
            <w:vAlign w:val="center"/>
            <w:hideMark/>
          </w:tcPr>
          <w:p w14:paraId="036D4D21" w14:textId="77777777" w:rsidR="00A4351A" w:rsidRPr="006134C3" w:rsidRDefault="00A4351A" w:rsidP="00117718">
            <w:pPr>
              <w:jc w:val="center"/>
              <w:rPr>
                <w:rFonts w:ascii="Arial" w:hAnsi="Arial" w:cs="Arial"/>
                <w:color w:val="000000"/>
              </w:rPr>
            </w:pPr>
            <w:r w:rsidRPr="006134C3">
              <w:rPr>
                <w:rFonts w:ascii="Arial" w:hAnsi="Arial" w:cs="Arial"/>
                <w:color w:val="000000"/>
              </w:rPr>
              <w:t>42</w:t>
            </w:r>
          </w:p>
        </w:tc>
        <w:tc>
          <w:tcPr>
            <w:tcW w:w="1157" w:type="dxa"/>
            <w:tcBorders>
              <w:top w:val="nil"/>
            </w:tcBorders>
            <w:noWrap/>
            <w:vAlign w:val="center"/>
            <w:hideMark/>
          </w:tcPr>
          <w:p w14:paraId="13348BE3"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9</w:t>
            </w:r>
          </w:p>
        </w:tc>
        <w:tc>
          <w:tcPr>
            <w:tcW w:w="1173" w:type="dxa"/>
            <w:tcBorders>
              <w:top w:val="nil"/>
            </w:tcBorders>
            <w:noWrap/>
            <w:vAlign w:val="center"/>
            <w:hideMark/>
          </w:tcPr>
          <w:p w14:paraId="61E72CF9"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2.1</w:t>
            </w:r>
          </w:p>
        </w:tc>
        <w:tc>
          <w:tcPr>
            <w:tcW w:w="1219" w:type="dxa"/>
            <w:tcBorders>
              <w:top w:val="nil"/>
            </w:tcBorders>
            <w:noWrap/>
            <w:vAlign w:val="center"/>
            <w:hideMark/>
          </w:tcPr>
          <w:p w14:paraId="7CB53E6B"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0.41</w:t>
            </w:r>
          </w:p>
        </w:tc>
      </w:tr>
      <w:tr w:rsidR="00A4351A" w:rsidRPr="006134C3" w14:paraId="060A58DF" w14:textId="77777777" w:rsidTr="00117718">
        <w:trPr>
          <w:trHeight w:val="57"/>
          <w:jc w:val="center"/>
        </w:trPr>
        <w:tc>
          <w:tcPr>
            <w:tcW w:w="1674" w:type="dxa"/>
            <w:noWrap/>
            <w:vAlign w:val="center"/>
            <w:hideMark/>
          </w:tcPr>
          <w:p w14:paraId="409AEB57" w14:textId="77777777" w:rsidR="00A4351A" w:rsidRPr="006134C3" w:rsidRDefault="00A4351A" w:rsidP="00117718">
            <w:pPr>
              <w:jc w:val="center"/>
              <w:rPr>
                <w:rFonts w:ascii="Arial" w:hAnsi="Arial" w:cs="Arial"/>
                <w:color w:val="000000"/>
              </w:rPr>
            </w:pPr>
            <w:r w:rsidRPr="006134C3">
              <w:rPr>
                <w:rFonts w:ascii="Arial" w:hAnsi="Arial" w:cs="Arial"/>
                <w:color w:val="000000"/>
              </w:rPr>
              <w:t>140</w:t>
            </w:r>
          </w:p>
        </w:tc>
        <w:tc>
          <w:tcPr>
            <w:tcW w:w="1348" w:type="dxa"/>
            <w:noWrap/>
            <w:vAlign w:val="center"/>
            <w:hideMark/>
          </w:tcPr>
          <w:p w14:paraId="12433C61"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6.4</w:t>
            </w:r>
          </w:p>
        </w:tc>
        <w:tc>
          <w:tcPr>
            <w:tcW w:w="1084" w:type="dxa"/>
            <w:noWrap/>
            <w:vAlign w:val="center"/>
            <w:hideMark/>
          </w:tcPr>
          <w:p w14:paraId="38700B90" w14:textId="77777777" w:rsidR="00A4351A" w:rsidRPr="006134C3" w:rsidRDefault="00A4351A" w:rsidP="00117718">
            <w:pPr>
              <w:jc w:val="center"/>
              <w:rPr>
                <w:rFonts w:ascii="Arial" w:hAnsi="Arial" w:cs="Arial"/>
                <w:color w:val="000000"/>
              </w:rPr>
            </w:pPr>
            <w:r w:rsidRPr="006134C3">
              <w:rPr>
                <w:rFonts w:ascii="Arial" w:hAnsi="Arial" w:cs="Arial"/>
                <w:color w:val="000000"/>
              </w:rPr>
              <w:t>1.7</w:t>
            </w:r>
          </w:p>
        </w:tc>
        <w:tc>
          <w:tcPr>
            <w:tcW w:w="1072" w:type="dxa"/>
            <w:noWrap/>
            <w:vAlign w:val="center"/>
            <w:hideMark/>
          </w:tcPr>
          <w:p w14:paraId="3D78613D" w14:textId="77777777" w:rsidR="00A4351A" w:rsidRPr="006134C3" w:rsidRDefault="00A4351A" w:rsidP="00117718">
            <w:pPr>
              <w:jc w:val="center"/>
              <w:rPr>
                <w:rFonts w:ascii="Arial" w:hAnsi="Arial" w:cs="Arial"/>
                <w:color w:val="000000"/>
              </w:rPr>
            </w:pPr>
            <w:r w:rsidRPr="006134C3">
              <w:rPr>
                <w:rFonts w:ascii="Arial" w:hAnsi="Arial" w:cs="Arial"/>
                <w:color w:val="000000"/>
              </w:rPr>
              <w:t>43</w:t>
            </w:r>
          </w:p>
        </w:tc>
        <w:tc>
          <w:tcPr>
            <w:tcW w:w="1157" w:type="dxa"/>
            <w:noWrap/>
            <w:vAlign w:val="center"/>
            <w:hideMark/>
          </w:tcPr>
          <w:p w14:paraId="4E373767"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8</w:t>
            </w:r>
          </w:p>
        </w:tc>
        <w:tc>
          <w:tcPr>
            <w:tcW w:w="1173" w:type="dxa"/>
            <w:noWrap/>
            <w:vAlign w:val="center"/>
            <w:hideMark/>
          </w:tcPr>
          <w:p w14:paraId="375546E1"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2.1</w:t>
            </w:r>
          </w:p>
        </w:tc>
        <w:tc>
          <w:tcPr>
            <w:tcW w:w="1219" w:type="dxa"/>
            <w:noWrap/>
            <w:vAlign w:val="center"/>
            <w:hideMark/>
          </w:tcPr>
          <w:p w14:paraId="5D8D051F" w14:textId="77777777" w:rsidR="00A4351A" w:rsidRPr="006134C3" w:rsidRDefault="00A4351A" w:rsidP="00117718">
            <w:pPr>
              <w:ind w:firstLine="10"/>
              <w:jc w:val="center"/>
              <w:rPr>
                <w:rFonts w:ascii="Arial" w:hAnsi="Arial" w:cs="Arial"/>
                <w:color w:val="000000"/>
                <w:lang w:val="id-ID"/>
              </w:rPr>
            </w:pPr>
            <w:r w:rsidRPr="006134C3">
              <w:rPr>
                <w:rFonts w:ascii="Arial" w:hAnsi="Arial" w:cs="Arial"/>
                <w:color w:val="000000"/>
                <w:lang w:val="id-ID"/>
              </w:rPr>
              <w:t>0.39</w:t>
            </w:r>
          </w:p>
        </w:tc>
      </w:tr>
      <w:tr w:rsidR="00A4351A" w:rsidRPr="006134C3" w14:paraId="0F9C1B20" w14:textId="77777777" w:rsidTr="00117718">
        <w:trPr>
          <w:trHeight w:val="57"/>
          <w:jc w:val="center"/>
        </w:trPr>
        <w:tc>
          <w:tcPr>
            <w:tcW w:w="1674" w:type="dxa"/>
            <w:noWrap/>
            <w:vAlign w:val="center"/>
            <w:hideMark/>
          </w:tcPr>
          <w:p w14:paraId="560017FC" w14:textId="77777777" w:rsidR="00A4351A" w:rsidRPr="006134C3" w:rsidRDefault="00A4351A" w:rsidP="00117718">
            <w:pPr>
              <w:jc w:val="center"/>
              <w:rPr>
                <w:rFonts w:ascii="Arial" w:hAnsi="Arial" w:cs="Arial"/>
                <w:color w:val="000000"/>
              </w:rPr>
            </w:pPr>
            <w:r w:rsidRPr="006134C3">
              <w:rPr>
                <w:rFonts w:ascii="Arial" w:hAnsi="Arial" w:cs="Arial"/>
                <w:color w:val="000000"/>
              </w:rPr>
              <w:t>210</w:t>
            </w:r>
          </w:p>
        </w:tc>
        <w:tc>
          <w:tcPr>
            <w:tcW w:w="1348" w:type="dxa"/>
            <w:noWrap/>
            <w:vAlign w:val="center"/>
            <w:hideMark/>
          </w:tcPr>
          <w:p w14:paraId="5CA5087E"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6.7</w:t>
            </w:r>
          </w:p>
        </w:tc>
        <w:tc>
          <w:tcPr>
            <w:tcW w:w="1084" w:type="dxa"/>
            <w:noWrap/>
            <w:vAlign w:val="center"/>
            <w:hideMark/>
          </w:tcPr>
          <w:p w14:paraId="4243C3D5" w14:textId="77777777" w:rsidR="00A4351A" w:rsidRPr="006134C3" w:rsidRDefault="00A4351A" w:rsidP="00117718">
            <w:pPr>
              <w:jc w:val="center"/>
              <w:rPr>
                <w:rFonts w:ascii="Arial" w:hAnsi="Arial" w:cs="Arial"/>
                <w:color w:val="000000"/>
              </w:rPr>
            </w:pPr>
            <w:r w:rsidRPr="006134C3">
              <w:rPr>
                <w:rFonts w:ascii="Arial" w:hAnsi="Arial" w:cs="Arial"/>
                <w:color w:val="000000"/>
              </w:rPr>
              <w:t>1.8</w:t>
            </w:r>
          </w:p>
        </w:tc>
        <w:tc>
          <w:tcPr>
            <w:tcW w:w="1072" w:type="dxa"/>
            <w:noWrap/>
            <w:vAlign w:val="center"/>
            <w:hideMark/>
          </w:tcPr>
          <w:p w14:paraId="3CBC9819" w14:textId="77777777" w:rsidR="00A4351A" w:rsidRPr="006134C3" w:rsidRDefault="00A4351A" w:rsidP="00117718">
            <w:pPr>
              <w:jc w:val="center"/>
              <w:rPr>
                <w:rFonts w:ascii="Arial" w:hAnsi="Arial" w:cs="Arial"/>
                <w:color w:val="000000"/>
              </w:rPr>
            </w:pPr>
            <w:r w:rsidRPr="006134C3">
              <w:rPr>
                <w:rFonts w:ascii="Arial" w:hAnsi="Arial" w:cs="Arial"/>
                <w:color w:val="000000"/>
              </w:rPr>
              <w:t>54</w:t>
            </w:r>
          </w:p>
        </w:tc>
        <w:tc>
          <w:tcPr>
            <w:tcW w:w="1157" w:type="dxa"/>
            <w:noWrap/>
            <w:vAlign w:val="center"/>
            <w:hideMark/>
          </w:tcPr>
          <w:p w14:paraId="2A23C921"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10</w:t>
            </w:r>
          </w:p>
        </w:tc>
        <w:tc>
          <w:tcPr>
            <w:tcW w:w="1173" w:type="dxa"/>
            <w:noWrap/>
            <w:vAlign w:val="center"/>
            <w:hideMark/>
          </w:tcPr>
          <w:p w14:paraId="39E7CCDB"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2.9</w:t>
            </w:r>
          </w:p>
        </w:tc>
        <w:tc>
          <w:tcPr>
            <w:tcW w:w="1219" w:type="dxa"/>
            <w:noWrap/>
            <w:vAlign w:val="center"/>
            <w:hideMark/>
          </w:tcPr>
          <w:p w14:paraId="0CAACD8C"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0.41</w:t>
            </w:r>
          </w:p>
        </w:tc>
      </w:tr>
    </w:tbl>
    <w:p w14:paraId="72C954FE" w14:textId="77777777" w:rsidR="00A4351A" w:rsidRPr="006134C3" w:rsidRDefault="00A4351A" w:rsidP="00A4351A">
      <w:pPr>
        <w:ind w:right="141"/>
        <w:rPr>
          <w:rFonts w:ascii="Arial" w:hAnsi="Arial" w:cs="Arial"/>
          <w:iCs/>
          <w:lang w:val="id-ID"/>
        </w:rPr>
      </w:pPr>
    </w:p>
    <w:p w14:paraId="30CE8138" w14:textId="7C8E5C39" w:rsidR="00A4351A" w:rsidRPr="006134C3" w:rsidRDefault="00A4351A" w:rsidP="00A4351A">
      <w:pPr>
        <w:ind w:left="284" w:right="141"/>
        <w:jc w:val="both"/>
        <w:rPr>
          <w:rFonts w:ascii="Arial" w:hAnsi="Arial" w:cs="Arial"/>
          <w:i/>
          <w:sz w:val="18"/>
          <w:szCs w:val="18"/>
        </w:rPr>
      </w:pPr>
      <w:r w:rsidRPr="006134C3">
        <w:rPr>
          <w:rFonts w:ascii="Arial" w:hAnsi="Arial" w:cs="Arial"/>
          <w:i/>
          <w:sz w:val="18"/>
          <w:szCs w:val="18"/>
          <w:lang w:val="id-ID"/>
        </w:rPr>
        <w:t xml:space="preserve">PH = </w:t>
      </w:r>
      <w:r w:rsidRPr="006134C3">
        <w:rPr>
          <w:rFonts w:ascii="Arial" w:hAnsi="Arial" w:cs="Arial"/>
          <w:i/>
          <w:sz w:val="18"/>
          <w:szCs w:val="18"/>
        </w:rPr>
        <w:t>p</w:t>
      </w:r>
      <w:r w:rsidRPr="006134C3">
        <w:rPr>
          <w:rFonts w:ascii="Arial" w:hAnsi="Arial" w:cs="Arial"/>
          <w:i/>
          <w:sz w:val="18"/>
          <w:szCs w:val="18"/>
          <w:lang w:val="id-ID"/>
        </w:rPr>
        <w:t xml:space="preserve">lant </w:t>
      </w:r>
      <w:r w:rsidRPr="006134C3">
        <w:rPr>
          <w:rFonts w:ascii="Arial" w:hAnsi="Arial" w:cs="Arial"/>
          <w:i/>
          <w:sz w:val="18"/>
          <w:szCs w:val="18"/>
        </w:rPr>
        <w:t>h</w:t>
      </w:r>
      <w:r w:rsidRPr="006134C3">
        <w:rPr>
          <w:rFonts w:ascii="Arial" w:hAnsi="Arial" w:cs="Arial"/>
          <w:i/>
          <w:sz w:val="18"/>
          <w:szCs w:val="18"/>
          <w:lang w:val="id-ID"/>
        </w:rPr>
        <w:t>eight</w:t>
      </w:r>
      <w:r w:rsidRPr="006134C3">
        <w:rPr>
          <w:rFonts w:ascii="Arial" w:hAnsi="Arial" w:cs="Arial"/>
          <w:i/>
          <w:sz w:val="18"/>
          <w:szCs w:val="18"/>
        </w:rPr>
        <w:t xml:space="preserve"> (cm)</w:t>
      </w:r>
      <w:r w:rsidRPr="006134C3">
        <w:rPr>
          <w:rFonts w:ascii="Arial" w:hAnsi="Arial" w:cs="Arial"/>
          <w:i/>
          <w:sz w:val="18"/>
          <w:szCs w:val="18"/>
          <w:lang w:val="id-ID"/>
        </w:rPr>
        <w:t>, L</w:t>
      </w:r>
      <w:r w:rsidRPr="006134C3">
        <w:rPr>
          <w:rFonts w:ascii="Arial" w:hAnsi="Arial" w:cs="Arial"/>
          <w:i/>
          <w:sz w:val="18"/>
          <w:szCs w:val="18"/>
        </w:rPr>
        <w:t>N</w:t>
      </w:r>
      <w:r w:rsidRPr="006134C3">
        <w:rPr>
          <w:rFonts w:ascii="Arial" w:hAnsi="Arial" w:cs="Arial"/>
          <w:i/>
          <w:sz w:val="18"/>
          <w:szCs w:val="18"/>
          <w:lang w:val="id-ID"/>
        </w:rPr>
        <w:t xml:space="preserve"> = </w:t>
      </w:r>
      <w:r w:rsidRPr="006134C3">
        <w:rPr>
          <w:rFonts w:ascii="Arial" w:hAnsi="Arial" w:cs="Arial"/>
          <w:i/>
          <w:sz w:val="18"/>
          <w:szCs w:val="18"/>
        </w:rPr>
        <w:t>l</w:t>
      </w:r>
      <w:r w:rsidRPr="006134C3">
        <w:rPr>
          <w:rFonts w:ascii="Arial" w:hAnsi="Arial" w:cs="Arial"/>
          <w:i/>
          <w:sz w:val="18"/>
          <w:szCs w:val="18"/>
          <w:lang w:val="id-ID"/>
        </w:rPr>
        <w:t>eaves</w:t>
      </w:r>
      <w:r w:rsidRPr="006134C3">
        <w:rPr>
          <w:rFonts w:ascii="Arial" w:hAnsi="Arial" w:cs="Arial"/>
          <w:i/>
          <w:sz w:val="18"/>
          <w:szCs w:val="18"/>
        </w:rPr>
        <w:t xml:space="preserve"> number</w:t>
      </w:r>
      <w:r w:rsidRPr="006134C3">
        <w:rPr>
          <w:rFonts w:ascii="Arial" w:hAnsi="Arial" w:cs="Arial"/>
          <w:i/>
          <w:sz w:val="18"/>
          <w:szCs w:val="18"/>
          <w:lang w:val="id-ID"/>
        </w:rPr>
        <w:t xml:space="preserve">, NB = </w:t>
      </w:r>
      <w:r w:rsidRPr="006134C3">
        <w:rPr>
          <w:rFonts w:ascii="Arial" w:hAnsi="Arial" w:cs="Arial"/>
          <w:i/>
          <w:sz w:val="18"/>
          <w:szCs w:val="18"/>
        </w:rPr>
        <w:t>n</w:t>
      </w:r>
      <w:r w:rsidRPr="006134C3">
        <w:rPr>
          <w:rFonts w:ascii="Arial" w:hAnsi="Arial" w:cs="Arial"/>
          <w:i/>
          <w:sz w:val="18"/>
          <w:szCs w:val="18"/>
          <w:lang w:val="id-ID"/>
        </w:rPr>
        <w:t xml:space="preserve">umber of </w:t>
      </w:r>
      <w:r w:rsidRPr="006134C3">
        <w:rPr>
          <w:rFonts w:ascii="Arial" w:hAnsi="Arial" w:cs="Arial"/>
          <w:i/>
          <w:sz w:val="18"/>
          <w:szCs w:val="18"/>
        </w:rPr>
        <w:t>b</w:t>
      </w:r>
      <w:r w:rsidRPr="006134C3">
        <w:rPr>
          <w:rFonts w:ascii="Arial" w:hAnsi="Arial" w:cs="Arial"/>
          <w:i/>
          <w:sz w:val="18"/>
          <w:szCs w:val="18"/>
          <w:lang w:val="id-ID"/>
        </w:rPr>
        <w:t>ranches, F</w:t>
      </w:r>
      <w:r w:rsidRPr="006134C3">
        <w:rPr>
          <w:rFonts w:ascii="Arial" w:hAnsi="Arial" w:cs="Arial"/>
          <w:i/>
          <w:sz w:val="18"/>
          <w:szCs w:val="18"/>
        </w:rPr>
        <w:t>T</w:t>
      </w:r>
      <w:r w:rsidRPr="006134C3">
        <w:rPr>
          <w:rFonts w:ascii="Arial" w:hAnsi="Arial" w:cs="Arial"/>
          <w:i/>
          <w:sz w:val="18"/>
          <w:szCs w:val="18"/>
          <w:lang w:val="id-ID"/>
        </w:rPr>
        <w:t xml:space="preserve"> = </w:t>
      </w:r>
      <w:r w:rsidRPr="006134C3">
        <w:rPr>
          <w:rFonts w:ascii="Arial" w:hAnsi="Arial" w:cs="Arial"/>
          <w:i/>
          <w:sz w:val="18"/>
          <w:szCs w:val="18"/>
        </w:rPr>
        <w:t>f</w:t>
      </w:r>
      <w:r w:rsidRPr="006134C3">
        <w:rPr>
          <w:rFonts w:ascii="Arial" w:hAnsi="Arial" w:cs="Arial"/>
          <w:i/>
          <w:sz w:val="18"/>
          <w:szCs w:val="18"/>
          <w:lang w:val="id-ID"/>
        </w:rPr>
        <w:t>lowerin</w:t>
      </w:r>
      <w:r w:rsidRPr="006134C3">
        <w:rPr>
          <w:rFonts w:ascii="Arial" w:hAnsi="Arial" w:cs="Arial"/>
          <w:i/>
          <w:sz w:val="18"/>
          <w:szCs w:val="18"/>
        </w:rPr>
        <w:t>g time (days)</w:t>
      </w:r>
      <w:r w:rsidRPr="006134C3">
        <w:rPr>
          <w:rFonts w:ascii="Arial" w:hAnsi="Arial" w:cs="Arial"/>
          <w:i/>
          <w:sz w:val="18"/>
          <w:szCs w:val="18"/>
          <w:lang w:val="id-ID"/>
        </w:rPr>
        <w:t xml:space="preserve">, HA = </w:t>
      </w:r>
      <w:r w:rsidRPr="006134C3">
        <w:rPr>
          <w:rFonts w:ascii="Arial" w:hAnsi="Arial" w:cs="Arial"/>
          <w:i/>
          <w:sz w:val="18"/>
          <w:szCs w:val="18"/>
        </w:rPr>
        <w:t>h</w:t>
      </w:r>
      <w:r w:rsidRPr="006134C3">
        <w:rPr>
          <w:rFonts w:ascii="Arial" w:hAnsi="Arial" w:cs="Arial"/>
          <w:i/>
          <w:sz w:val="18"/>
          <w:szCs w:val="18"/>
          <w:lang w:val="id-ID"/>
        </w:rPr>
        <w:t>arvest</w:t>
      </w:r>
      <w:r w:rsidRPr="006134C3">
        <w:rPr>
          <w:rFonts w:ascii="Arial" w:hAnsi="Arial" w:cs="Arial"/>
          <w:i/>
          <w:sz w:val="18"/>
          <w:szCs w:val="18"/>
        </w:rPr>
        <w:t>ing time (days)</w:t>
      </w:r>
      <w:r w:rsidRPr="006134C3">
        <w:rPr>
          <w:rFonts w:ascii="Arial" w:hAnsi="Arial" w:cs="Arial"/>
          <w:i/>
          <w:sz w:val="18"/>
          <w:szCs w:val="18"/>
          <w:lang w:val="id-ID"/>
        </w:rPr>
        <w:t xml:space="preserve">, </w:t>
      </w:r>
      <w:r w:rsidRPr="006134C3">
        <w:rPr>
          <w:rFonts w:ascii="Arial" w:hAnsi="Arial" w:cs="Arial"/>
          <w:i/>
          <w:sz w:val="18"/>
          <w:szCs w:val="18"/>
        </w:rPr>
        <w:t>SFW</w:t>
      </w:r>
      <w:r w:rsidRPr="006134C3">
        <w:rPr>
          <w:rFonts w:ascii="Arial" w:hAnsi="Arial" w:cs="Arial"/>
          <w:i/>
          <w:sz w:val="18"/>
          <w:szCs w:val="18"/>
          <w:lang w:val="id-ID"/>
        </w:rPr>
        <w:t xml:space="preserve"> = </w:t>
      </w:r>
      <w:r w:rsidRPr="006134C3">
        <w:rPr>
          <w:rFonts w:ascii="Arial" w:hAnsi="Arial" w:cs="Arial"/>
          <w:i/>
          <w:sz w:val="18"/>
          <w:szCs w:val="18"/>
        </w:rPr>
        <w:t>shoot f</w:t>
      </w:r>
      <w:r w:rsidRPr="006134C3">
        <w:rPr>
          <w:rFonts w:ascii="Arial" w:hAnsi="Arial" w:cs="Arial"/>
          <w:i/>
          <w:sz w:val="18"/>
          <w:szCs w:val="18"/>
          <w:lang w:val="id-ID"/>
        </w:rPr>
        <w:t xml:space="preserve">resh </w:t>
      </w:r>
      <w:r w:rsidRPr="006134C3">
        <w:rPr>
          <w:rFonts w:ascii="Arial" w:hAnsi="Arial" w:cs="Arial"/>
          <w:i/>
          <w:sz w:val="18"/>
          <w:szCs w:val="18"/>
        </w:rPr>
        <w:t>w</w:t>
      </w:r>
      <w:r w:rsidRPr="006134C3">
        <w:rPr>
          <w:rFonts w:ascii="Arial" w:hAnsi="Arial" w:cs="Arial"/>
          <w:i/>
          <w:sz w:val="18"/>
          <w:szCs w:val="18"/>
          <w:lang w:val="id-ID"/>
        </w:rPr>
        <w:t>eight</w:t>
      </w:r>
      <w:r w:rsidRPr="006134C3">
        <w:rPr>
          <w:rFonts w:ascii="Arial" w:hAnsi="Arial" w:cs="Arial"/>
          <w:i/>
          <w:sz w:val="18"/>
          <w:szCs w:val="18"/>
        </w:rPr>
        <w:t xml:space="preserve"> (g)</w:t>
      </w:r>
      <w:r w:rsidRPr="006134C3">
        <w:rPr>
          <w:rFonts w:ascii="Arial" w:hAnsi="Arial" w:cs="Arial"/>
          <w:i/>
          <w:sz w:val="18"/>
          <w:szCs w:val="18"/>
          <w:lang w:val="id-ID"/>
        </w:rPr>
        <w:t xml:space="preserve">, </w:t>
      </w:r>
      <w:r w:rsidRPr="006134C3">
        <w:rPr>
          <w:rFonts w:ascii="Arial" w:hAnsi="Arial" w:cs="Arial"/>
          <w:i/>
          <w:sz w:val="18"/>
          <w:szCs w:val="18"/>
        </w:rPr>
        <w:t>S</w:t>
      </w:r>
      <w:r w:rsidRPr="006134C3">
        <w:rPr>
          <w:rFonts w:ascii="Arial" w:hAnsi="Arial" w:cs="Arial"/>
          <w:i/>
          <w:sz w:val="18"/>
          <w:szCs w:val="18"/>
          <w:lang w:val="id-ID"/>
        </w:rPr>
        <w:t xml:space="preserve">DW = </w:t>
      </w:r>
      <w:r w:rsidRPr="006134C3">
        <w:rPr>
          <w:rFonts w:ascii="Arial" w:hAnsi="Arial" w:cs="Arial"/>
          <w:i/>
          <w:sz w:val="18"/>
          <w:szCs w:val="18"/>
        </w:rPr>
        <w:t>shoot d</w:t>
      </w:r>
      <w:r w:rsidRPr="006134C3">
        <w:rPr>
          <w:rFonts w:ascii="Arial" w:hAnsi="Arial" w:cs="Arial"/>
          <w:i/>
          <w:sz w:val="18"/>
          <w:szCs w:val="18"/>
          <w:lang w:val="id-ID"/>
        </w:rPr>
        <w:t xml:space="preserve">ry </w:t>
      </w:r>
      <w:r w:rsidRPr="006134C3">
        <w:rPr>
          <w:rFonts w:ascii="Arial" w:hAnsi="Arial" w:cs="Arial"/>
          <w:i/>
          <w:sz w:val="18"/>
          <w:szCs w:val="18"/>
        </w:rPr>
        <w:t>w</w:t>
      </w:r>
      <w:r w:rsidRPr="006134C3">
        <w:rPr>
          <w:rFonts w:ascii="Arial" w:hAnsi="Arial" w:cs="Arial"/>
          <w:i/>
          <w:sz w:val="18"/>
          <w:szCs w:val="18"/>
          <w:lang w:val="id-ID"/>
        </w:rPr>
        <w:t>eight</w:t>
      </w:r>
      <w:r w:rsidRPr="006134C3">
        <w:rPr>
          <w:rFonts w:ascii="Arial" w:hAnsi="Arial" w:cs="Arial"/>
          <w:i/>
          <w:sz w:val="18"/>
          <w:szCs w:val="18"/>
        </w:rPr>
        <w:t xml:space="preserve"> (g)</w:t>
      </w:r>
      <w:r w:rsidRPr="006134C3">
        <w:rPr>
          <w:rFonts w:ascii="Arial" w:hAnsi="Arial" w:cs="Arial"/>
          <w:i/>
          <w:sz w:val="18"/>
          <w:szCs w:val="18"/>
          <w:lang w:val="id-ID"/>
        </w:rPr>
        <w:t xml:space="preserve">, </w:t>
      </w:r>
      <w:r w:rsidRPr="006134C3">
        <w:rPr>
          <w:rFonts w:ascii="Arial" w:hAnsi="Arial" w:cs="Arial"/>
          <w:i/>
          <w:sz w:val="18"/>
          <w:szCs w:val="18"/>
        </w:rPr>
        <w:t>R</w:t>
      </w:r>
      <w:r w:rsidRPr="006134C3">
        <w:rPr>
          <w:rFonts w:ascii="Arial" w:hAnsi="Arial" w:cs="Arial"/>
          <w:i/>
          <w:sz w:val="18"/>
          <w:szCs w:val="18"/>
          <w:lang w:val="id-ID"/>
        </w:rPr>
        <w:t xml:space="preserve">FW = </w:t>
      </w:r>
      <w:r w:rsidRPr="006134C3">
        <w:rPr>
          <w:rFonts w:ascii="Arial" w:hAnsi="Arial" w:cs="Arial"/>
          <w:i/>
          <w:sz w:val="18"/>
          <w:szCs w:val="18"/>
        </w:rPr>
        <w:t>r</w:t>
      </w:r>
      <w:r w:rsidRPr="006134C3">
        <w:rPr>
          <w:rFonts w:ascii="Arial" w:hAnsi="Arial" w:cs="Arial"/>
          <w:i/>
          <w:sz w:val="18"/>
          <w:szCs w:val="18"/>
          <w:lang w:val="id-ID"/>
        </w:rPr>
        <w:t>oot</w:t>
      </w:r>
      <w:r w:rsidRPr="006134C3">
        <w:rPr>
          <w:rFonts w:ascii="Arial" w:hAnsi="Arial" w:cs="Arial"/>
          <w:i/>
          <w:sz w:val="18"/>
          <w:szCs w:val="18"/>
        </w:rPr>
        <w:t xml:space="preserve"> fresh</w:t>
      </w:r>
      <w:r w:rsidRPr="006134C3">
        <w:rPr>
          <w:rFonts w:ascii="Arial" w:hAnsi="Arial" w:cs="Arial"/>
          <w:i/>
          <w:sz w:val="18"/>
          <w:szCs w:val="18"/>
          <w:lang w:val="id-ID"/>
        </w:rPr>
        <w:t xml:space="preserve"> </w:t>
      </w:r>
      <w:r w:rsidRPr="006134C3">
        <w:rPr>
          <w:rFonts w:ascii="Arial" w:hAnsi="Arial" w:cs="Arial"/>
          <w:i/>
          <w:sz w:val="18"/>
          <w:szCs w:val="18"/>
        </w:rPr>
        <w:t>w</w:t>
      </w:r>
      <w:r w:rsidRPr="006134C3">
        <w:rPr>
          <w:rFonts w:ascii="Arial" w:hAnsi="Arial" w:cs="Arial"/>
          <w:i/>
          <w:sz w:val="18"/>
          <w:szCs w:val="18"/>
          <w:lang w:val="id-ID"/>
        </w:rPr>
        <w:t>eight</w:t>
      </w:r>
      <w:r w:rsidRPr="006134C3">
        <w:rPr>
          <w:rFonts w:ascii="Arial" w:hAnsi="Arial" w:cs="Arial"/>
          <w:i/>
          <w:sz w:val="18"/>
          <w:szCs w:val="18"/>
        </w:rPr>
        <w:t xml:space="preserve"> (g)</w:t>
      </w:r>
      <w:r w:rsidRPr="006134C3">
        <w:rPr>
          <w:rFonts w:ascii="Arial" w:hAnsi="Arial" w:cs="Arial"/>
          <w:i/>
          <w:sz w:val="18"/>
          <w:szCs w:val="18"/>
          <w:lang w:val="id-ID"/>
        </w:rPr>
        <w:t xml:space="preserve">, </w:t>
      </w:r>
      <w:r w:rsidRPr="006134C3">
        <w:rPr>
          <w:rFonts w:ascii="Arial" w:hAnsi="Arial" w:cs="Arial"/>
          <w:i/>
          <w:sz w:val="18"/>
          <w:szCs w:val="18"/>
        </w:rPr>
        <w:t>R</w:t>
      </w:r>
      <w:r w:rsidRPr="006134C3">
        <w:rPr>
          <w:rFonts w:ascii="Arial" w:hAnsi="Arial" w:cs="Arial"/>
          <w:i/>
          <w:sz w:val="18"/>
          <w:szCs w:val="18"/>
          <w:lang w:val="id-ID"/>
        </w:rPr>
        <w:t xml:space="preserve">DW = </w:t>
      </w:r>
      <w:r w:rsidRPr="006134C3">
        <w:rPr>
          <w:rFonts w:ascii="Arial" w:hAnsi="Arial" w:cs="Arial"/>
          <w:i/>
          <w:sz w:val="18"/>
          <w:szCs w:val="18"/>
        </w:rPr>
        <w:t>root d</w:t>
      </w:r>
      <w:r w:rsidRPr="006134C3">
        <w:rPr>
          <w:rFonts w:ascii="Arial" w:hAnsi="Arial" w:cs="Arial"/>
          <w:i/>
          <w:sz w:val="18"/>
          <w:szCs w:val="18"/>
          <w:lang w:val="id-ID"/>
        </w:rPr>
        <w:t xml:space="preserve">ry </w:t>
      </w:r>
      <w:r w:rsidRPr="006134C3">
        <w:rPr>
          <w:rFonts w:ascii="Arial" w:hAnsi="Arial" w:cs="Arial"/>
          <w:i/>
          <w:sz w:val="18"/>
          <w:szCs w:val="18"/>
        </w:rPr>
        <w:t>w</w:t>
      </w:r>
      <w:r w:rsidRPr="006134C3">
        <w:rPr>
          <w:rFonts w:ascii="Arial" w:hAnsi="Arial" w:cs="Arial"/>
          <w:i/>
          <w:sz w:val="18"/>
          <w:szCs w:val="18"/>
          <w:lang w:val="id-ID"/>
        </w:rPr>
        <w:t>eight</w:t>
      </w:r>
      <w:r w:rsidRPr="006134C3">
        <w:rPr>
          <w:rFonts w:ascii="Arial" w:hAnsi="Arial" w:cs="Arial"/>
          <w:i/>
          <w:sz w:val="18"/>
          <w:szCs w:val="18"/>
        </w:rPr>
        <w:t xml:space="preserve"> (g)</w:t>
      </w:r>
      <w:r w:rsidRPr="006134C3">
        <w:rPr>
          <w:rFonts w:ascii="Arial" w:hAnsi="Arial" w:cs="Arial"/>
          <w:i/>
          <w:sz w:val="18"/>
          <w:szCs w:val="18"/>
          <w:lang w:val="id-ID"/>
        </w:rPr>
        <w:t xml:space="preserve">, </w:t>
      </w:r>
      <w:r w:rsidRPr="006134C3">
        <w:rPr>
          <w:rFonts w:ascii="Arial" w:hAnsi="Arial" w:cs="Arial"/>
          <w:i/>
          <w:sz w:val="18"/>
          <w:szCs w:val="18"/>
        </w:rPr>
        <w:t>FPN</w:t>
      </w:r>
      <w:r w:rsidRPr="006134C3">
        <w:rPr>
          <w:rFonts w:ascii="Arial" w:hAnsi="Arial" w:cs="Arial"/>
          <w:i/>
          <w:sz w:val="18"/>
          <w:szCs w:val="18"/>
          <w:lang w:val="id-ID"/>
        </w:rPr>
        <w:t xml:space="preserve"> = </w:t>
      </w:r>
      <w:r w:rsidRPr="006134C3">
        <w:rPr>
          <w:rFonts w:ascii="Arial" w:hAnsi="Arial" w:cs="Arial"/>
          <w:i/>
          <w:sz w:val="18"/>
          <w:szCs w:val="18"/>
        </w:rPr>
        <w:t>f</w:t>
      </w:r>
      <w:r w:rsidRPr="006134C3">
        <w:rPr>
          <w:rFonts w:ascii="Arial" w:hAnsi="Arial" w:cs="Arial"/>
          <w:i/>
          <w:sz w:val="18"/>
          <w:szCs w:val="18"/>
          <w:lang w:val="id-ID"/>
        </w:rPr>
        <w:t>ill</w:t>
      </w:r>
      <w:r w:rsidRPr="006134C3">
        <w:rPr>
          <w:rFonts w:ascii="Arial" w:hAnsi="Arial" w:cs="Arial"/>
          <w:i/>
          <w:sz w:val="18"/>
          <w:szCs w:val="18"/>
        </w:rPr>
        <w:t>ed pod number</w:t>
      </w:r>
      <w:r w:rsidRPr="006134C3">
        <w:rPr>
          <w:rFonts w:ascii="Arial" w:hAnsi="Arial" w:cs="Arial"/>
          <w:i/>
          <w:sz w:val="18"/>
          <w:szCs w:val="18"/>
          <w:lang w:val="id-ID"/>
        </w:rPr>
        <w:t>, EP</w:t>
      </w:r>
      <w:r w:rsidRPr="006134C3">
        <w:rPr>
          <w:rFonts w:ascii="Arial" w:hAnsi="Arial" w:cs="Arial"/>
          <w:i/>
          <w:sz w:val="18"/>
          <w:szCs w:val="18"/>
        </w:rPr>
        <w:t>N</w:t>
      </w:r>
      <w:r w:rsidRPr="006134C3">
        <w:rPr>
          <w:rFonts w:ascii="Arial" w:hAnsi="Arial" w:cs="Arial"/>
          <w:i/>
          <w:sz w:val="18"/>
          <w:szCs w:val="18"/>
          <w:lang w:val="id-ID"/>
        </w:rPr>
        <w:t xml:space="preserve"> = </w:t>
      </w:r>
      <w:r w:rsidRPr="006134C3">
        <w:rPr>
          <w:rFonts w:ascii="Arial" w:hAnsi="Arial" w:cs="Arial"/>
          <w:i/>
          <w:sz w:val="18"/>
          <w:szCs w:val="18"/>
        </w:rPr>
        <w:t>e</w:t>
      </w:r>
      <w:r w:rsidRPr="006134C3">
        <w:rPr>
          <w:rFonts w:ascii="Arial" w:hAnsi="Arial" w:cs="Arial"/>
          <w:i/>
          <w:sz w:val="18"/>
          <w:szCs w:val="18"/>
          <w:lang w:val="id-ID"/>
        </w:rPr>
        <w:t xml:space="preserve">mpty </w:t>
      </w:r>
      <w:r w:rsidRPr="006134C3">
        <w:rPr>
          <w:rFonts w:ascii="Arial" w:hAnsi="Arial" w:cs="Arial"/>
          <w:i/>
          <w:sz w:val="18"/>
          <w:szCs w:val="18"/>
        </w:rPr>
        <w:t>p</w:t>
      </w:r>
      <w:r w:rsidRPr="006134C3">
        <w:rPr>
          <w:rFonts w:ascii="Arial" w:hAnsi="Arial" w:cs="Arial"/>
          <w:i/>
          <w:sz w:val="18"/>
          <w:szCs w:val="18"/>
          <w:lang w:val="id-ID"/>
        </w:rPr>
        <w:t>od</w:t>
      </w:r>
      <w:r w:rsidRPr="006134C3">
        <w:rPr>
          <w:rFonts w:ascii="Arial" w:hAnsi="Arial" w:cs="Arial"/>
          <w:i/>
          <w:sz w:val="18"/>
          <w:szCs w:val="18"/>
        </w:rPr>
        <w:t xml:space="preserve"> number</w:t>
      </w:r>
      <w:r w:rsidRPr="006134C3">
        <w:rPr>
          <w:rFonts w:ascii="Arial" w:hAnsi="Arial" w:cs="Arial"/>
          <w:i/>
          <w:sz w:val="18"/>
          <w:szCs w:val="18"/>
          <w:lang w:val="id-ID"/>
        </w:rPr>
        <w:t xml:space="preserve">, SWPP = </w:t>
      </w:r>
      <w:r w:rsidRPr="006134C3">
        <w:rPr>
          <w:rFonts w:ascii="Arial" w:hAnsi="Arial" w:cs="Arial"/>
          <w:i/>
          <w:sz w:val="18"/>
          <w:szCs w:val="18"/>
        </w:rPr>
        <w:t>s</w:t>
      </w:r>
      <w:r w:rsidRPr="006134C3">
        <w:rPr>
          <w:rFonts w:ascii="Arial" w:hAnsi="Arial" w:cs="Arial"/>
          <w:i/>
          <w:sz w:val="18"/>
          <w:szCs w:val="18"/>
          <w:lang w:val="id-ID"/>
        </w:rPr>
        <w:t xml:space="preserve">eed </w:t>
      </w:r>
      <w:r w:rsidRPr="006134C3">
        <w:rPr>
          <w:rFonts w:ascii="Arial" w:hAnsi="Arial" w:cs="Arial"/>
          <w:i/>
          <w:sz w:val="18"/>
          <w:szCs w:val="18"/>
        </w:rPr>
        <w:t>w</w:t>
      </w:r>
      <w:r w:rsidRPr="006134C3">
        <w:rPr>
          <w:rFonts w:ascii="Arial" w:hAnsi="Arial" w:cs="Arial"/>
          <w:i/>
          <w:sz w:val="18"/>
          <w:szCs w:val="18"/>
          <w:lang w:val="id-ID"/>
        </w:rPr>
        <w:t>eight</w:t>
      </w:r>
      <w:r w:rsidRPr="006134C3">
        <w:rPr>
          <w:rFonts w:ascii="Arial" w:hAnsi="Arial" w:cs="Arial"/>
          <w:i/>
          <w:sz w:val="18"/>
          <w:szCs w:val="18"/>
        </w:rPr>
        <w:t xml:space="preserve"> per p</w:t>
      </w:r>
      <w:r w:rsidRPr="006134C3">
        <w:rPr>
          <w:rFonts w:ascii="Arial" w:hAnsi="Arial" w:cs="Arial"/>
          <w:i/>
          <w:sz w:val="18"/>
          <w:szCs w:val="18"/>
          <w:lang w:val="id-ID"/>
        </w:rPr>
        <w:t>l</w:t>
      </w:r>
      <w:r w:rsidR="00CA4F15">
        <w:rPr>
          <w:rFonts w:ascii="Arial" w:hAnsi="Arial" w:cs="Arial"/>
          <w:i/>
          <w:sz w:val="18"/>
          <w:szCs w:val="18"/>
        </w:rPr>
        <w:t xml:space="preserve">0t </w:t>
      </w:r>
      <w:r w:rsidRPr="006134C3">
        <w:rPr>
          <w:rFonts w:ascii="Arial" w:hAnsi="Arial" w:cs="Arial"/>
          <w:i/>
          <w:sz w:val="18"/>
          <w:szCs w:val="18"/>
        </w:rPr>
        <w:t>(g)</w:t>
      </w:r>
      <w:r w:rsidRPr="006134C3">
        <w:rPr>
          <w:rFonts w:ascii="Arial" w:hAnsi="Arial" w:cs="Arial"/>
          <w:i/>
          <w:sz w:val="18"/>
          <w:szCs w:val="18"/>
          <w:lang w:val="id-ID"/>
        </w:rPr>
        <w:t xml:space="preserve">, </w:t>
      </w:r>
      <w:r w:rsidRPr="006134C3">
        <w:rPr>
          <w:rFonts w:ascii="Arial" w:hAnsi="Arial" w:cs="Arial"/>
          <w:i/>
          <w:sz w:val="18"/>
          <w:szCs w:val="18"/>
        </w:rPr>
        <w:t>SW</w:t>
      </w:r>
      <w:r w:rsidRPr="006134C3">
        <w:rPr>
          <w:rFonts w:ascii="Arial" w:hAnsi="Arial" w:cs="Arial"/>
          <w:i/>
          <w:sz w:val="18"/>
          <w:szCs w:val="18"/>
          <w:lang w:val="id-ID"/>
        </w:rPr>
        <w:t>=</w:t>
      </w:r>
      <w:r w:rsidRPr="006134C3">
        <w:rPr>
          <w:rFonts w:ascii="Arial" w:hAnsi="Arial" w:cs="Arial"/>
          <w:i/>
          <w:sz w:val="18"/>
          <w:szCs w:val="18"/>
        </w:rPr>
        <w:t xml:space="preserve">  100 seed w</w:t>
      </w:r>
      <w:r w:rsidRPr="006134C3">
        <w:rPr>
          <w:rFonts w:ascii="Arial" w:hAnsi="Arial" w:cs="Arial"/>
          <w:i/>
          <w:sz w:val="18"/>
          <w:szCs w:val="18"/>
          <w:lang w:val="id-ID"/>
        </w:rPr>
        <w:t xml:space="preserve">eight </w:t>
      </w:r>
      <w:r w:rsidRPr="006134C3">
        <w:rPr>
          <w:rFonts w:ascii="Arial" w:hAnsi="Arial" w:cs="Arial"/>
          <w:i/>
          <w:sz w:val="18"/>
          <w:szCs w:val="18"/>
        </w:rPr>
        <w:t>(g)</w:t>
      </w:r>
    </w:p>
    <w:p w14:paraId="4F3B90F5" w14:textId="77777777" w:rsidR="00A4351A" w:rsidRPr="006134C3" w:rsidRDefault="00A4351A" w:rsidP="00441B6F">
      <w:pPr>
        <w:pStyle w:val="ConcHead"/>
        <w:spacing w:after="0"/>
        <w:jc w:val="both"/>
        <w:rPr>
          <w:rFonts w:ascii="Arial" w:hAnsi="Arial" w:cs="Arial"/>
          <w:b w:val="0"/>
          <w:bCs/>
          <w:sz w:val="20"/>
          <w:szCs w:val="18"/>
        </w:rPr>
      </w:pPr>
    </w:p>
    <w:p w14:paraId="57A213A9" w14:textId="77777777" w:rsidR="00A4351A" w:rsidRPr="006134C3" w:rsidRDefault="00A4351A" w:rsidP="00A4351A">
      <w:pPr>
        <w:jc w:val="both"/>
        <w:rPr>
          <w:rFonts w:ascii="Arial" w:hAnsi="Arial" w:cs="Arial"/>
        </w:rPr>
      </w:pPr>
      <w:r w:rsidRPr="006134C3">
        <w:rPr>
          <w:rFonts w:ascii="Arial" w:hAnsi="Arial" w:cs="Arial"/>
        </w:rPr>
        <w:t>Table 2 indicates that plant height, number of leaves, number of branches, and flowering time exhibited only minor variations across different application rates. The tallest plants were observed at a dose of 140 kg/ha (82 cm), while the shortest were at 0 kg/ha (76 cm). However, these differences were not statistically significant. Similarly, the number of leaves and branches showed a slight increase with higher SP-36 doses, but the trend was inconsistent across treatments. Flowering occurred slightly earlier at the highest dose (210 kg/ha), at 29 days after planting, compared to 31 days in the control treatment. Nonetheless, this variation remained within the range of normal fluctuation and did not suggest a significant effect of phosphorus application.</w:t>
      </w:r>
    </w:p>
    <w:p w14:paraId="7FD92E15" w14:textId="77777777" w:rsidR="00A4351A" w:rsidRPr="006134C3" w:rsidRDefault="00A4351A" w:rsidP="00A4351A">
      <w:pPr>
        <w:jc w:val="both"/>
        <w:rPr>
          <w:rFonts w:ascii="Arial" w:hAnsi="Arial" w:cs="Arial"/>
        </w:rPr>
      </w:pPr>
    </w:p>
    <w:p w14:paraId="49C9C6DA" w14:textId="77777777" w:rsidR="00A4351A" w:rsidRPr="006134C3" w:rsidRDefault="00A4351A" w:rsidP="00A4351A">
      <w:pPr>
        <w:jc w:val="both"/>
        <w:rPr>
          <w:rFonts w:ascii="Arial" w:hAnsi="Arial" w:cs="Arial"/>
        </w:rPr>
      </w:pPr>
      <w:r w:rsidRPr="006134C3">
        <w:rPr>
          <w:rFonts w:ascii="Arial" w:hAnsi="Arial" w:cs="Arial"/>
        </w:rPr>
        <w:t xml:space="preserve">The non significant differences among SP-36 fertilizer treatments can be attributed to phosphorus (P) immobilization phenomena in Ultisols. These soils are characterized by high </w:t>
      </w:r>
      <w:r w:rsidRPr="006134C3">
        <w:rPr>
          <w:rFonts w:ascii="Arial" w:hAnsi="Arial" w:cs="Arial"/>
        </w:rPr>
        <w:lastRenderedPageBreak/>
        <w:t xml:space="preserve">aluminum (Al) and iron (Fe) content, which readily bind P to form plant-unavailable compounds (Kadir and Priatna, 2001; Ifansyah, 2014). Water hyacinth compost application may exacerbate P immobilization, as its phenolic and lignin compounds can form complexes with soil minerals, further reducing SP-36-derived P availability (Gashamura, 2009; Osoro et al., 2013). This mechanism explains the non-significant plant response to varying SP-36 doses despite fertilizer application. </w:t>
      </w:r>
    </w:p>
    <w:p w14:paraId="5CDE7056" w14:textId="77777777" w:rsidR="00A4351A" w:rsidRPr="006134C3" w:rsidRDefault="00A4351A" w:rsidP="00A4351A">
      <w:pPr>
        <w:jc w:val="both"/>
        <w:rPr>
          <w:rFonts w:ascii="Arial" w:hAnsi="Arial" w:cs="Arial"/>
        </w:rPr>
      </w:pPr>
    </w:p>
    <w:p w14:paraId="5C887698" w14:textId="77777777" w:rsidR="00A4351A" w:rsidRPr="006134C3" w:rsidRDefault="00A4351A" w:rsidP="00A4351A">
      <w:pPr>
        <w:jc w:val="both"/>
        <w:rPr>
          <w:rFonts w:ascii="Arial" w:hAnsi="Arial" w:cs="Arial"/>
        </w:rPr>
      </w:pPr>
      <w:r w:rsidRPr="006134C3">
        <w:rPr>
          <w:rFonts w:ascii="Arial" w:hAnsi="Arial" w:cs="Arial"/>
        </w:rPr>
        <w:t>Additionally, the decomposition process of water hyacinth compost can stimulate microbial activity that competes with plants for phosphorus (P) uptake. Soil microorganisms utilize P for their growth, which may lead to the fixation of P from SP-36 in microbial biomass before it becomes available for plant (Richardson &amp; Simpson, 2011).  A study by Salas et al. (2003) on Ultisols also reported that the addition of fresh organic matter could increase short-term P immobilization. Thus, the interaction between water hyacinth compost and SP-36 inhibits P release rather than enhancing its availability for plants.</w:t>
      </w:r>
    </w:p>
    <w:p w14:paraId="7A3A9FE0" w14:textId="77777777" w:rsidR="00A4351A" w:rsidRPr="006134C3" w:rsidRDefault="00A4351A" w:rsidP="00A4351A">
      <w:pPr>
        <w:ind w:firstLine="567"/>
        <w:jc w:val="both"/>
        <w:rPr>
          <w:rFonts w:ascii="Arial" w:hAnsi="Arial" w:cs="Arial"/>
        </w:rPr>
      </w:pPr>
    </w:p>
    <w:p w14:paraId="36143B7A" w14:textId="77777777" w:rsidR="00A4351A" w:rsidRPr="006134C3" w:rsidRDefault="00A4351A" w:rsidP="00A4351A">
      <w:pPr>
        <w:jc w:val="both"/>
        <w:rPr>
          <w:rFonts w:ascii="Arial" w:hAnsi="Arial" w:cs="Arial"/>
        </w:rPr>
      </w:pPr>
      <w:r w:rsidRPr="006134C3">
        <w:rPr>
          <w:rFonts w:ascii="Arial" w:hAnsi="Arial" w:cs="Arial"/>
          <w:lang w:val="id-ID"/>
        </w:rPr>
        <w:t>Borggaard et al. (</w:t>
      </w:r>
      <w:r w:rsidRPr="006134C3">
        <w:rPr>
          <w:rFonts w:ascii="Arial" w:hAnsi="Arial" w:cs="Arial"/>
        </w:rPr>
        <w:t>1990</w:t>
      </w:r>
      <w:r w:rsidRPr="006134C3">
        <w:rPr>
          <w:rFonts w:ascii="Arial" w:hAnsi="Arial" w:cs="Arial"/>
          <w:lang w:val="id-ID"/>
        </w:rPr>
        <w:t xml:space="preserve">) found that soils with high iron (Fe) and aluminum (Al) oxide content tend to strongly bind phosphorus (P), particularly under low pH conditions. Water hyacinth compost alone may be insufficient to neutralize soil acidity or reduce P adsorption sites, resulting in a limited response to SP-36 fertilizer. This is supported by </w:t>
      </w:r>
      <w:r w:rsidRPr="006134C3">
        <w:rPr>
          <w:rFonts w:ascii="Arial" w:hAnsi="Arial" w:cs="Arial"/>
        </w:rPr>
        <w:t>Qayyum</w:t>
      </w:r>
      <w:r w:rsidRPr="006134C3">
        <w:rPr>
          <w:rFonts w:ascii="Arial" w:hAnsi="Arial" w:cs="Arial"/>
          <w:lang w:val="id-ID"/>
        </w:rPr>
        <w:t xml:space="preserve"> et al. (20</w:t>
      </w:r>
      <w:r w:rsidRPr="006134C3">
        <w:rPr>
          <w:rFonts w:ascii="Arial" w:hAnsi="Arial" w:cs="Arial"/>
        </w:rPr>
        <w:t>15</w:t>
      </w:r>
      <w:r w:rsidRPr="006134C3">
        <w:rPr>
          <w:rFonts w:ascii="Arial" w:hAnsi="Arial" w:cs="Arial"/>
          <w:lang w:val="id-ID"/>
        </w:rPr>
        <w:t>), who demonstrated that organic amendments alone, without additional soil ameliorants (such as lime</w:t>
      </w:r>
      <w:r w:rsidRPr="006134C3">
        <w:rPr>
          <w:rFonts w:ascii="Arial" w:hAnsi="Arial" w:cs="Arial"/>
        </w:rPr>
        <w:t>, biochar, and compost</w:t>
      </w:r>
      <w:r w:rsidRPr="006134C3">
        <w:rPr>
          <w:rFonts w:ascii="Arial" w:hAnsi="Arial" w:cs="Arial"/>
          <w:lang w:val="id-ID"/>
        </w:rPr>
        <w:t>), are ineffective in enhancing P availability in acidic soils</w:t>
      </w:r>
      <w:r w:rsidRPr="006134C3">
        <w:rPr>
          <w:rFonts w:ascii="Arial" w:hAnsi="Arial" w:cs="Arial"/>
        </w:rPr>
        <w:t>. T</w:t>
      </w:r>
      <w:r w:rsidRPr="006134C3">
        <w:rPr>
          <w:rFonts w:ascii="Arial" w:hAnsi="Arial" w:cs="Arial"/>
          <w:lang w:val="id-ID"/>
        </w:rPr>
        <w:t>he lack of a significant effect from SP-36 fertilizer is likely due to P immobilization caused by the interaction between water hyacinth compost and the chemical properties of Ultisol</w:t>
      </w:r>
      <w:r w:rsidRPr="006134C3">
        <w:rPr>
          <w:rFonts w:ascii="Arial" w:hAnsi="Arial" w:cs="Arial"/>
        </w:rPr>
        <w:t>s</w:t>
      </w:r>
      <w:r w:rsidRPr="006134C3">
        <w:rPr>
          <w:rFonts w:ascii="Arial" w:hAnsi="Arial" w:cs="Arial"/>
          <w:lang w:val="id-ID"/>
        </w:rPr>
        <w:t>. To improve P fertilizer efficiency, alternative strategies—such as liming or phosphate-solubilizing biofertilizers—should be considered to reduce P fixation (</w:t>
      </w:r>
      <w:r w:rsidRPr="006134C3">
        <w:rPr>
          <w:rFonts w:ascii="Arial" w:hAnsi="Arial" w:cs="Arial"/>
        </w:rPr>
        <w:t>Qayyum</w:t>
      </w:r>
      <w:r w:rsidRPr="006134C3">
        <w:rPr>
          <w:rFonts w:ascii="Arial" w:hAnsi="Arial" w:cs="Arial"/>
          <w:lang w:val="id-ID"/>
        </w:rPr>
        <w:t xml:space="preserve"> et al., 20</w:t>
      </w:r>
      <w:r w:rsidRPr="006134C3">
        <w:rPr>
          <w:rFonts w:ascii="Arial" w:hAnsi="Arial" w:cs="Arial"/>
        </w:rPr>
        <w:t>15</w:t>
      </w:r>
      <w:r w:rsidRPr="006134C3">
        <w:rPr>
          <w:rFonts w:ascii="Arial" w:hAnsi="Arial" w:cs="Arial"/>
          <w:lang w:val="id-ID"/>
        </w:rPr>
        <w:t>). These findings highlight the importance of an integrated approach in managing P in problematic soils like Ultisols.</w:t>
      </w:r>
    </w:p>
    <w:p w14:paraId="0E162526" w14:textId="77777777" w:rsidR="00A4351A" w:rsidRPr="006134C3" w:rsidRDefault="00A4351A" w:rsidP="00441B6F">
      <w:pPr>
        <w:pStyle w:val="ConcHead"/>
        <w:spacing w:after="0"/>
        <w:jc w:val="both"/>
        <w:rPr>
          <w:rFonts w:ascii="Arial" w:hAnsi="Arial" w:cs="Arial"/>
        </w:rPr>
      </w:pPr>
    </w:p>
    <w:p w14:paraId="67CECDC9" w14:textId="79E62B40" w:rsidR="00B01FCD" w:rsidRPr="006134C3" w:rsidRDefault="00000F8F" w:rsidP="00441B6F">
      <w:pPr>
        <w:pStyle w:val="ConcHead"/>
        <w:spacing w:after="0"/>
        <w:jc w:val="both"/>
        <w:rPr>
          <w:rFonts w:ascii="Arial" w:hAnsi="Arial" w:cs="Arial"/>
        </w:rPr>
      </w:pPr>
      <w:r w:rsidRPr="006134C3">
        <w:rPr>
          <w:rFonts w:ascii="Arial" w:hAnsi="Arial" w:cs="Arial"/>
        </w:rPr>
        <w:t xml:space="preserve">4. </w:t>
      </w:r>
      <w:r w:rsidR="00B01FCD" w:rsidRPr="006134C3">
        <w:rPr>
          <w:rFonts w:ascii="Arial" w:hAnsi="Arial" w:cs="Arial"/>
        </w:rPr>
        <w:t>Conclusion</w:t>
      </w:r>
    </w:p>
    <w:p w14:paraId="03B980D9" w14:textId="77777777" w:rsidR="00790ADA" w:rsidRPr="006134C3" w:rsidRDefault="00790ADA" w:rsidP="00441B6F">
      <w:pPr>
        <w:pStyle w:val="ConcHead"/>
        <w:spacing w:after="0"/>
        <w:jc w:val="both"/>
        <w:rPr>
          <w:rFonts w:ascii="Arial" w:hAnsi="Arial" w:cs="Arial"/>
        </w:rPr>
      </w:pPr>
    </w:p>
    <w:p w14:paraId="4832CA41" w14:textId="518971D8" w:rsidR="00315186" w:rsidRPr="006134C3" w:rsidRDefault="00A4351A" w:rsidP="009F7D8E">
      <w:pPr>
        <w:pStyle w:val="Body"/>
        <w:spacing w:after="0"/>
        <w:rPr>
          <w:rFonts w:ascii="Arial" w:hAnsi="Arial" w:cs="Arial"/>
        </w:rPr>
      </w:pPr>
      <w:r w:rsidRPr="006134C3">
        <w:rPr>
          <w:rFonts w:ascii="Arial" w:hAnsi="Arial" w:cs="Arial"/>
        </w:rPr>
        <w:t>The combined application of water hyacinth-derived compost and SP-36 phosphate fertilizer did not produce significant synergistic or antagonistic effects on the growth and yield of soybean. T</w:t>
      </w:r>
      <w:r w:rsidRPr="006134C3">
        <w:rPr>
          <w:rFonts w:ascii="Arial" w:hAnsi="Arial" w:cs="Arial"/>
          <w:lang w:val="id-ID"/>
        </w:rPr>
        <w:t>he 45 t</w:t>
      </w:r>
      <w:r w:rsidRPr="006134C3">
        <w:rPr>
          <w:rFonts w:ascii="Arial" w:hAnsi="Arial" w:cs="Arial"/>
        </w:rPr>
        <w:t>ons</w:t>
      </w:r>
      <w:r w:rsidRPr="006134C3">
        <w:rPr>
          <w:rFonts w:ascii="Arial" w:hAnsi="Arial" w:cs="Arial"/>
          <w:lang w:val="id-ID"/>
        </w:rPr>
        <w:t xml:space="preserve">/ha water hyacinth compost dosage showed optimal performance, significantly enhancing growth and yield </w:t>
      </w:r>
      <w:r w:rsidRPr="006134C3">
        <w:rPr>
          <w:rFonts w:ascii="Arial" w:hAnsi="Arial" w:cs="Arial"/>
        </w:rPr>
        <w:t xml:space="preserve">of </w:t>
      </w:r>
      <w:r w:rsidRPr="006134C3">
        <w:rPr>
          <w:rFonts w:ascii="Arial" w:hAnsi="Arial" w:cs="Arial"/>
          <w:lang w:val="id-ID"/>
        </w:rPr>
        <w:t xml:space="preserve">soybean </w:t>
      </w:r>
      <w:r w:rsidRPr="006134C3">
        <w:rPr>
          <w:rFonts w:ascii="Arial" w:hAnsi="Arial" w:cs="Arial"/>
        </w:rPr>
        <w:t xml:space="preserve">as indicated by </w:t>
      </w:r>
      <w:r w:rsidRPr="006134C3">
        <w:rPr>
          <w:rFonts w:ascii="Arial" w:hAnsi="Arial" w:cs="Arial"/>
          <w:lang w:val="id-ID"/>
        </w:rPr>
        <w:t>plant height, leaves</w:t>
      </w:r>
      <w:r w:rsidRPr="006134C3">
        <w:rPr>
          <w:rFonts w:ascii="Arial" w:hAnsi="Arial" w:cs="Arial"/>
        </w:rPr>
        <w:t xml:space="preserve"> and branches number</w:t>
      </w:r>
      <w:r w:rsidRPr="006134C3">
        <w:rPr>
          <w:rFonts w:ascii="Arial" w:hAnsi="Arial" w:cs="Arial"/>
          <w:lang w:val="id-ID"/>
        </w:rPr>
        <w:t xml:space="preserve">, </w:t>
      </w:r>
      <w:r w:rsidRPr="006134C3">
        <w:rPr>
          <w:rFonts w:ascii="Arial" w:hAnsi="Arial" w:cs="Arial"/>
        </w:rPr>
        <w:t xml:space="preserve">shoot dry weight, pods </w:t>
      </w:r>
      <w:r w:rsidRPr="006134C3">
        <w:rPr>
          <w:rFonts w:ascii="Arial" w:hAnsi="Arial" w:cs="Arial"/>
          <w:lang w:val="id-ID"/>
        </w:rPr>
        <w:t>number</w:t>
      </w:r>
      <w:r w:rsidRPr="006134C3">
        <w:rPr>
          <w:rFonts w:ascii="Arial" w:hAnsi="Arial" w:cs="Arial"/>
        </w:rPr>
        <w:t xml:space="preserve"> and</w:t>
      </w:r>
      <w:r w:rsidRPr="006134C3">
        <w:rPr>
          <w:rFonts w:ascii="Arial" w:hAnsi="Arial" w:cs="Arial"/>
          <w:lang w:val="id-ID"/>
        </w:rPr>
        <w:t xml:space="preserve"> seed weight</w:t>
      </w:r>
      <w:r w:rsidRPr="006134C3">
        <w:rPr>
          <w:rFonts w:ascii="Arial" w:hAnsi="Arial" w:cs="Arial"/>
        </w:rPr>
        <w:t xml:space="preserve">. </w:t>
      </w:r>
      <w:r w:rsidRPr="006134C3">
        <w:rPr>
          <w:rFonts w:ascii="Arial" w:hAnsi="Arial" w:cs="Arial"/>
          <w:lang w:val="id-ID"/>
        </w:rPr>
        <w:t>SP-36 fertilizer</w:t>
      </w:r>
      <w:r w:rsidRPr="006134C3">
        <w:rPr>
          <w:rFonts w:ascii="Arial" w:hAnsi="Arial" w:cs="Arial"/>
        </w:rPr>
        <w:t xml:space="preserve"> dosage showed</w:t>
      </w:r>
      <w:r w:rsidRPr="006134C3">
        <w:rPr>
          <w:rFonts w:ascii="Arial" w:hAnsi="Arial" w:cs="Arial"/>
          <w:lang w:val="id-ID"/>
        </w:rPr>
        <w:t xml:space="preserve"> no significant effect on soybean growth </w:t>
      </w:r>
      <w:r w:rsidRPr="006134C3">
        <w:rPr>
          <w:rFonts w:ascii="Arial" w:hAnsi="Arial" w:cs="Arial"/>
        </w:rPr>
        <w:t xml:space="preserve">and </w:t>
      </w:r>
      <w:r w:rsidRPr="006134C3">
        <w:rPr>
          <w:rFonts w:ascii="Arial" w:hAnsi="Arial" w:cs="Arial"/>
          <w:lang w:val="id-ID"/>
        </w:rPr>
        <w:t>yield components</w:t>
      </w:r>
      <w:r w:rsidRPr="006134C3">
        <w:rPr>
          <w:rFonts w:ascii="Arial" w:hAnsi="Arial" w:cs="Arial"/>
        </w:rPr>
        <w:t>.</w:t>
      </w:r>
    </w:p>
    <w:p w14:paraId="5F860C55" w14:textId="10ACC33C" w:rsidR="00315186" w:rsidRDefault="00315186" w:rsidP="00441B6F">
      <w:pPr>
        <w:rPr>
          <w:rFonts w:ascii="Arial" w:hAnsi="Arial" w:cs="Arial"/>
        </w:rPr>
      </w:pPr>
    </w:p>
    <w:p w14:paraId="3008A1AF" w14:textId="3D73533C" w:rsidR="00CD5CEE" w:rsidRPr="00CD5CEE" w:rsidRDefault="00CD5CEE" w:rsidP="00CD5CEE">
      <w:pPr>
        <w:rPr>
          <w:rFonts w:ascii="Arial" w:eastAsia="Calibri" w:hAnsi="Arial" w:cs="Arial"/>
          <w:b/>
          <w:kern w:val="2"/>
          <w:sz w:val="22"/>
        </w:rPr>
      </w:pPr>
      <w:r w:rsidRPr="00CD5CEE">
        <w:rPr>
          <w:rFonts w:ascii="Arial" w:eastAsia="Calibri" w:hAnsi="Arial" w:cs="Arial"/>
          <w:b/>
          <w:kern w:val="2"/>
          <w:sz w:val="22"/>
        </w:rPr>
        <w:t>DISCLAIMER (ARTIFICIAL INTELLIGENCE)</w:t>
      </w:r>
    </w:p>
    <w:p w14:paraId="4ECA7E02" w14:textId="4950E8D2" w:rsidR="009F3925" w:rsidRDefault="009F3925" w:rsidP="00441B6F">
      <w:pPr>
        <w:rPr>
          <w:rFonts w:ascii="Arial" w:hAnsi="Arial" w:cs="Arial"/>
        </w:rPr>
      </w:pPr>
    </w:p>
    <w:p w14:paraId="40008ED0" w14:textId="676EBFBE" w:rsidR="009F3925" w:rsidRDefault="008A185A" w:rsidP="008A185A">
      <w:pPr>
        <w:jc w:val="both"/>
        <w:rPr>
          <w:rFonts w:ascii="Arial" w:hAnsi="Arial" w:cs="Arial"/>
        </w:rPr>
      </w:pPr>
      <w:r w:rsidRPr="008A185A">
        <w:rPr>
          <w:rFonts w:ascii="Arial" w:hAnsi="Arial" w:cs="Arial"/>
        </w:rPr>
        <w:t>During the writing process, AI-based tools (e.g., Grammarly, QuillBot, o</w:t>
      </w:r>
      <w:r w:rsidR="00CD5CEE">
        <w:rPr>
          <w:rFonts w:ascii="Arial" w:hAnsi="Arial" w:cs="Arial"/>
        </w:rPr>
        <w:t>r ChatGPT) were used only for g</w:t>
      </w:r>
      <w:r w:rsidRPr="008A185A">
        <w:rPr>
          <w:rFonts w:ascii="Arial" w:hAnsi="Arial" w:cs="Arial"/>
        </w:rPr>
        <w:t>rammar and spelling check</w:t>
      </w:r>
      <w:r w:rsidR="00CD5CEE">
        <w:rPr>
          <w:rFonts w:ascii="Arial" w:hAnsi="Arial" w:cs="Arial"/>
        </w:rPr>
        <w:t>s to improve language clarity and r</w:t>
      </w:r>
      <w:r w:rsidRPr="008A185A">
        <w:rPr>
          <w:rFonts w:ascii="Arial" w:hAnsi="Arial" w:cs="Arial"/>
        </w:rPr>
        <w:t>ephrasing suggestions to enhance readability while preserving the original meaning. All scientific content, data interpretation, and conclusions remain entirely the authors' own work. AI was not involved in data analysis, result generation, or decision-making.</w:t>
      </w:r>
    </w:p>
    <w:p w14:paraId="465945D2" w14:textId="77777777" w:rsidR="008A185A" w:rsidRDefault="008A185A" w:rsidP="008A185A">
      <w:pPr>
        <w:jc w:val="both"/>
        <w:rPr>
          <w:rFonts w:ascii="Arial" w:hAnsi="Arial" w:cs="Arial"/>
        </w:rPr>
      </w:pPr>
    </w:p>
    <w:p w14:paraId="0C47CB80" w14:textId="77777777" w:rsidR="00371FB6" w:rsidRPr="006134C3" w:rsidRDefault="00371FB6" w:rsidP="00441B6F">
      <w:pPr>
        <w:pStyle w:val="ReferHead"/>
        <w:spacing w:after="0"/>
        <w:jc w:val="both"/>
        <w:rPr>
          <w:rFonts w:ascii="Arial" w:hAnsi="Arial" w:cs="Arial"/>
          <w:bCs/>
        </w:rPr>
      </w:pPr>
    </w:p>
    <w:p w14:paraId="5ADED138" w14:textId="77777777" w:rsidR="00B01FCD" w:rsidRPr="006134C3" w:rsidRDefault="00B01FCD" w:rsidP="00441B6F">
      <w:pPr>
        <w:pStyle w:val="ReferHead"/>
        <w:spacing w:after="0"/>
        <w:jc w:val="both"/>
        <w:rPr>
          <w:rFonts w:ascii="Arial" w:hAnsi="Arial" w:cs="Arial"/>
        </w:rPr>
      </w:pPr>
      <w:r w:rsidRPr="006134C3">
        <w:rPr>
          <w:rFonts w:ascii="Arial" w:hAnsi="Arial" w:cs="Arial"/>
        </w:rPr>
        <w:t>References</w:t>
      </w:r>
    </w:p>
    <w:p w14:paraId="310D4110" w14:textId="60C00D50" w:rsidR="00790ADA" w:rsidRPr="00CD5CEE" w:rsidRDefault="009F7D8E" w:rsidP="009F7D8E">
      <w:pPr>
        <w:pStyle w:val="ReferHead"/>
        <w:tabs>
          <w:tab w:val="left" w:pos="2010"/>
        </w:tabs>
        <w:spacing w:after="0"/>
        <w:jc w:val="both"/>
        <w:rPr>
          <w:rFonts w:ascii="Arial" w:hAnsi="Arial" w:cs="Arial"/>
        </w:rPr>
      </w:pPr>
      <w:r w:rsidRPr="00CD5CEE">
        <w:rPr>
          <w:rFonts w:ascii="Arial" w:hAnsi="Arial" w:cs="Arial"/>
        </w:rPr>
        <w:tab/>
      </w:r>
    </w:p>
    <w:p w14:paraId="40400EF1" w14:textId="7210C6AC" w:rsidR="009F7D8E" w:rsidRPr="00CD5CEE" w:rsidRDefault="009F7D8E" w:rsidP="009F7D8E">
      <w:pPr>
        <w:ind w:left="567" w:hanging="567"/>
        <w:jc w:val="both"/>
        <w:rPr>
          <w:rStyle w:val="Hyperlink"/>
          <w:rFonts w:ascii="Arial" w:hAnsi="Arial" w:cs="Arial"/>
          <w:color w:val="auto"/>
        </w:rPr>
      </w:pPr>
      <w:r w:rsidRPr="00CD5CEE">
        <w:rPr>
          <w:rFonts w:ascii="Arial" w:hAnsi="Arial" w:cs="Arial"/>
        </w:rPr>
        <w:t>Agegnehu, G., Nelson, P. N., &amp; Bird, M. I. (2016). Crop yield, plant nutrient uptake, and soil physicochemical properties under organic soil amendments and nitrogen fertilization on Nitisols. Soil and Tillage Research, 160, 1–13.</w:t>
      </w:r>
      <w:hyperlink r:id="rId22" w:history="1">
        <w:r w:rsidRPr="00CD5CEE">
          <w:rPr>
            <w:rStyle w:val="Hyperlink"/>
            <w:rFonts w:ascii="Arial" w:hAnsi="Arial" w:cs="Arial"/>
            <w:color w:val="auto"/>
          </w:rPr>
          <w:t>https://doi.org/10.1016/j.still.2016.02.003</w:t>
        </w:r>
      </w:hyperlink>
    </w:p>
    <w:p w14:paraId="6270F2E9" w14:textId="77777777" w:rsidR="007424D2" w:rsidRPr="00CD5CEE" w:rsidRDefault="007424D2" w:rsidP="007424D2">
      <w:pPr>
        <w:ind w:left="567" w:hanging="567"/>
        <w:jc w:val="both"/>
        <w:rPr>
          <w:rFonts w:ascii="Arial" w:hAnsi="Arial" w:cs="Arial"/>
        </w:rPr>
      </w:pPr>
      <w:r w:rsidRPr="00CD5CEE">
        <w:rPr>
          <w:rFonts w:ascii="Arial" w:hAnsi="Arial" w:cs="Arial" w:hint="eastAsia"/>
          <w:lang w:eastAsia="zh-CN"/>
        </w:rPr>
        <w:t xml:space="preserve">Aher, S. B., Lakaria, B. L., Singh, A. B., &amp; Kaleshananda, S. (2019). Soil aggregation and aggregate associated carbon in a Vertisol under conventional, organic and biodynamic </w:t>
      </w:r>
      <w:r w:rsidRPr="00CD5CEE">
        <w:rPr>
          <w:rFonts w:ascii="Arial" w:hAnsi="Arial" w:cs="Arial" w:hint="eastAsia"/>
          <w:lang w:eastAsia="zh-CN"/>
        </w:rPr>
        <w:lastRenderedPageBreak/>
        <w:t>agriculture in Semi-Arid Tropics of Central India. Journal of the Indian Society of Soil Science, 67(2), 183-191.</w:t>
      </w:r>
    </w:p>
    <w:p w14:paraId="08A2A3C2" w14:textId="06DE6790" w:rsidR="007424D2" w:rsidRPr="00CD5CEE" w:rsidRDefault="007424D2" w:rsidP="007424D2">
      <w:pPr>
        <w:ind w:left="567" w:hanging="567"/>
        <w:jc w:val="both"/>
        <w:rPr>
          <w:rFonts w:ascii="Arial" w:hAnsi="Arial" w:cs="Arial"/>
        </w:rPr>
      </w:pPr>
      <w:r w:rsidRPr="00CD5CEE">
        <w:rPr>
          <w:rFonts w:ascii="Arial" w:hAnsi="Arial" w:cs="Arial" w:hint="eastAsia"/>
          <w:lang w:eastAsia="zh-CN"/>
        </w:rPr>
        <w:t>Aher, S. B., Lakaria, B. L., Singh, A. B., Kaleshananda, S., &amp; Yashona, D. S. (2018). Nutritional quality of soybean and wheat under organic, biodynamic and conventional agriculture in semi-arid tropical conditions of Central India. Indian Journal of Agricultural Biochemistry, 31(2), 128-136.</w:t>
      </w:r>
    </w:p>
    <w:p w14:paraId="748A066B" w14:textId="1FC7CE21" w:rsidR="009F7D8E" w:rsidRPr="00CD5CEE" w:rsidRDefault="009F7D8E" w:rsidP="009F7D8E">
      <w:pPr>
        <w:ind w:left="567" w:hanging="567"/>
        <w:jc w:val="both"/>
        <w:rPr>
          <w:rStyle w:val="Hyperlink"/>
          <w:rFonts w:ascii="Arial" w:hAnsi="Arial" w:cs="Arial"/>
          <w:color w:val="auto"/>
        </w:rPr>
      </w:pPr>
      <w:r w:rsidRPr="00CD5CEE">
        <w:rPr>
          <w:rFonts w:ascii="Arial" w:hAnsi="Arial" w:cs="Arial"/>
        </w:rPr>
        <w:t xml:space="preserve">Arancon, N. Q., Edwards, C. A., Bierman, P., Welch, C., &amp; Metzger, J. D. (2004). Influences of vermicomposts on field strawberries: 1. Effects on growth and yields. Bioresource Technology, 93(2), 145-153. </w:t>
      </w:r>
      <w:hyperlink r:id="rId23" w:history="1">
        <w:r w:rsidRPr="00CD5CEE">
          <w:rPr>
            <w:rStyle w:val="Hyperlink"/>
            <w:rFonts w:ascii="Arial" w:hAnsi="Arial" w:cs="Arial"/>
            <w:color w:val="auto"/>
          </w:rPr>
          <w:t>https://doi.org/10.1016/j.biortech.2003.10.014</w:t>
        </w:r>
      </w:hyperlink>
    </w:p>
    <w:p w14:paraId="4F3B8CB2" w14:textId="0311F1C5" w:rsidR="007424D2" w:rsidRPr="00CD5CEE" w:rsidRDefault="007424D2" w:rsidP="007424D2">
      <w:pPr>
        <w:ind w:left="567" w:hanging="567"/>
        <w:jc w:val="both"/>
        <w:rPr>
          <w:rFonts w:ascii="Arial" w:hAnsi="Arial" w:cs="Arial"/>
        </w:rPr>
      </w:pPr>
      <w:r w:rsidRPr="00CD5CEE">
        <w:rPr>
          <w:rFonts w:ascii="Arial" w:hAnsi="Arial" w:cs="Arial" w:hint="eastAsia"/>
          <w:lang w:eastAsia="zh-CN"/>
        </w:rPr>
        <w:t>Argal, M. S., Rawat, A. K., Aher, S. B., &amp; Rajput, P. S. (2015). Bioefficacy and shelf life of Rhizobium leguminosarum loaded on different carriers. Applied Biological Research, 17(2), 1-7.</w:t>
      </w:r>
    </w:p>
    <w:p w14:paraId="6E253306" w14:textId="77777777" w:rsidR="009F7D8E" w:rsidRPr="00CD5CEE" w:rsidRDefault="009F7D8E" w:rsidP="009F7D8E">
      <w:pPr>
        <w:ind w:left="567" w:hanging="567"/>
        <w:jc w:val="both"/>
        <w:rPr>
          <w:rFonts w:ascii="Arial" w:hAnsi="Arial" w:cs="Arial"/>
        </w:rPr>
      </w:pPr>
      <w:r w:rsidRPr="00CD5CEE">
        <w:rPr>
          <w:rFonts w:ascii="Arial" w:hAnsi="Arial" w:cs="Arial"/>
        </w:rPr>
        <w:t>Aseel, N. A., Hassan, F. M., &amp; Hyder, N. H. (2024). Evaluation of microbial activity in organic solid fraction during composting process to biofertilizer using composting bin methods. Iraqi Journal of Agricultural Sciences, 55(6), 1927–1935.</w:t>
      </w:r>
    </w:p>
    <w:p w14:paraId="24236CA2" w14:textId="77777777" w:rsidR="009F7D8E" w:rsidRPr="00CD5CEE" w:rsidRDefault="009F7D8E" w:rsidP="009F7D8E">
      <w:pPr>
        <w:ind w:left="567" w:hanging="567"/>
        <w:jc w:val="both"/>
        <w:rPr>
          <w:rFonts w:ascii="Arial" w:hAnsi="Arial" w:cs="Arial"/>
          <w:lang w:val="id-ID"/>
        </w:rPr>
      </w:pPr>
      <w:r w:rsidRPr="00CD5CEE">
        <w:rPr>
          <w:rFonts w:ascii="Arial" w:hAnsi="Arial" w:cs="Arial"/>
          <w:lang w:val="id-ID"/>
        </w:rPr>
        <w:t>Ayodele, O. J., &amp; Shittu, O. S. (2014). Fertilizer, lime, and manure amendments for ultisols formed on coastal plain sands of southern Nigeria. Agriculture, Forestry and Fisheries, 3(6), 481-488.</w:t>
      </w:r>
    </w:p>
    <w:p w14:paraId="7E0B5BA3" w14:textId="77777777" w:rsidR="009F7D8E" w:rsidRPr="00CD5CEE" w:rsidRDefault="009F7D8E" w:rsidP="009F7D8E">
      <w:pPr>
        <w:ind w:left="567" w:hanging="567"/>
        <w:jc w:val="both"/>
        <w:rPr>
          <w:rFonts w:ascii="Arial" w:hAnsi="Arial" w:cs="Arial"/>
        </w:rPr>
      </w:pPr>
      <w:r w:rsidRPr="00CD5CEE">
        <w:rPr>
          <w:rFonts w:ascii="Arial" w:hAnsi="Arial" w:cs="Arial"/>
        </w:rPr>
        <w:t>Bashir, O., Ali, T., Baba, Z. A., Rather, G. H., Bangroo, S. A., Mukhtar, S. D., ... &amp; Bhat, R. A. (2021). Soil organic matter and its impact on soil properties and nutrient status. In Microbiota and biofertilizers, Vol 2: Ecofriendly Tools for Reclamation of Degraded Soil Environs (pp. 129–159). Springer.</w:t>
      </w:r>
    </w:p>
    <w:p w14:paraId="14C785C9" w14:textId="77777777" w:rsidR="009F7D8E" w:rsidRPr="00CD5CEE" w:rsidRDefault="009F7D8E" w:rsidP="009F7D8E">
      <w:pPr>
        <w:ind w:left="567" w:hanging="567"/>
        <w:jc w:val="both"/>
        <w:rPr>
          <w:rFonts w:ascii="Arial" w:hAnsi="Arial" w:cs="Arial"/>
          <w:lang w:val="id-ID"/>
        </w:rPr>
      </w:pPr>
      <w:r w:rsidRPr="00CD5CEE">
        <w:rPr>
          <w:rFonts w:ascii="Arial" w:hAnsi="Arial" w:cs="Arial"/>
          <w:lang w:val="id-ID"/>
        </w:rPr>
        <w:t>Begum, S. L., Himaya, S. M. M. S., &amp; Afreen, S. M. M. S. (2022). Potential of water hyacinth (</w:t>
      </w:r>
      <w:r w:rsidRPr="00CD5CEE">
        <w:rPr>
          <w:rFonts w:ascii="Arial" w:hAnsi="Arial" w:cs="Arial"/>
          <w:i/>
          <w:lang w:val="id-ID"/>
        </w:rPr>
        <w:t>Eichhornia crassipes</w:t>
      </w:r>
      <w:r w:rsidRPr="00CD5CEE">
        <w:rPr>
          <w:rFonts w:ascii="Arial" w:hAnsi="Arial" w:cs="Arial"/>
          <w:lang w:val="id-ID"/>
        </w:rPr>
        <w:t>) as compost and its effect on soil and plant properties: A review. Agricultural Reviews, 43(1), 20-28.</w:t>
      </w:r>
    </w:p>
    <w:p w14:paraId="45643661" w14:textId="77777777" w:rsidR="009F7D8E" w:rsidRPr="00CD5CEE" w:rsidRDefault="009F7D8E" w:rsidP="009F7D8E">
      <w:pPr>
        <w:ind w:left="567" w:hanging="567"/>
        <w:jc w:val="both"/>
        <w:rPr>
          <w:rFonts w:ascii="Arial" w:hAnsi="Arial" w:cs="Arial"/>
          <w:lang w:val="id-ID"/>
        </w:rPr>
      </w:pPr>
      <w:r w:rsidRPr="00CD5CEE">
        <w:rPr>
          <w:rFonts w:ascii="Arial" w:hAnsi="Arial" w:cs="Arial"/>
          <w:lang w:val="id-ID"/>
        </w:rPr>
        <w:t>Bindraban, P. S., Dimkpa, C. O., &amp; Pandey, R. (2020). Exploring phosphorus fertilizers and fertilization strategies for improved human and environmental health. Biology and Fertility of Soils, 56(3), 299-317.</w:t>
      </w:r>
    </w:p>
    <w:p w14:paraId="3086F038" w14:textId="77777777" w:rsidR="009F7D8E" w:rsidRPr="00CD5CEE" w:rsidRDefault="009F7D8E" w:rsidP="009F7D8E">
      <w:pPr>
        <w:ind w:left="567" w:hanging="567"/>
        <w:jc w:val="both"/>
        <w:rPr>
          <w:rFonts w:ascii="Arial" w:hAnsi="Arial" w:cs="Arial"/>
        </w:rPr>
      </w:pPr>
      <w:r w:rsidRPr="00CD5CEE">
        <w:rPr>
          <w:rFonts w:ascii="Arial" w:hAnsi="Arial" w:cs="Arial"/>
        </w:rPr>
        <w:t xml:space="preserve">Borggaard, O. K., Jørgensen, S. S., Moberg, J. P., &amp; Raben-Lange, B. (1990). Influence of organic matter on phosphate adsorption by aluminium and iron oxides in sandy soils. Journal of Soil Science, 41(3), 443-449. </w:t>
      </w:r>
    </w:p>
    <w:p w14:paraId="43BA6B09" w14:textId="77777777" w:rsidR="009F7D8E" w:rsidRPr="00CD5CEE" w:rsidRDefault="009F7D8E" w:rsidP="009F7D8E">
      <w:pPr>
        <w:ind w:left="567" w:hanging="567"/>
        <w:jc w:val="both"/>
        <w:rPr>
          <w:rFonts w:ascii="Arial" w:hAnsi="Arial" w:cs="Arial"/>
          <w:lang w:val="id-ID"/>
        </w:rPr>
      </w:pPr>
      <w:r w:rsidRPr="00CD5CEE">
        <w:rPr>
          <w:rFonts w:ascii="Arial" w:hAnsi="Arial" w:cs="Arial"/>
          <w:lang w:val="id-ID"/>
        </w:rPr>
        <w:t>Brady, N. C., Weil, R. R., &amp; Weil, R. R. (2008). The nature and properties of soils (Vol. 13, pp. 662-710). Upper Saddle River, NJ: Prentice Hall.</w:t>
      </w:r>
    </w:p>
    <w:p w14:paraId="61A9182D" w14:textId="77777777" w:rsidR="009F7D8E" w:rsidRPr="00CD5CEE" w:rsidRDefault="009F7D8E" w:rsidP="009F7D8E">
      <w:pPr>
        <w:ind w:left="567" w:hanging="567"/>
        <w:jc w:val="both"/>
        <w:rPr>
          <w:rFonts w:ascii="Arial" w:hAnsi="Arial" w:cs="Arial"/>
          <w:lang w:val="id-ID"/>
        </w:rPr>
      </w:pPr>
      <w:r w:rsidRPr="00CD5CEE">
        <w:rPr>
          <w:rFonts w:ascii="Arial" w:hAnsi="Arial" w:cs="Arial"/>
          <w:lang w:val="id-ID"/>
        </w:rPr>
        <w:t>Brichi, L., Fernandes, J. V., Silva, B. M., Vizú, J. D. F., Junior, J. N., &amp; Cherubin, M. R. (2023). Organic residues and their impact on soil health, crop production and sustainable agriculture: A review including bibliographic analysis. Soil Use and Management, 39(2), 686-706.</w:t>
      </w:r>
    </w:p>
    <w:p w14:paraId="2F11635F" w14:textId="77777777" w:rsidR="009F7D8E" w:rsidRPr="00CD5CEE" w:rsidRDefault="009F7D8E" w:rsidP="009F7D8E">
      <w:pPr>
        <w:ind w:left="567" w:hanging="567"/>
        <w:jc w:val="both"/>
        <w:rPr>
          <w:rFonts w:ascii="Arial" w:hAnsi="Arial" w:cs="Arial"/>
        </w:rPr>
      </w:pPr>
      <w:r w:rsidRPr="00CD5CEE">
        <w:rPr>
          <w:rFonts w:ascii="Arial" w:hAnsi="Arial" w:cs="Arial"/>
        </w:rPr>
        <w:t>Canning, A. (2025). A review on harnessing the invasive water hyacinth (</w:t>
      </w:r>
      <w:r w:rsidRPr="00CD5CEE">
        <w:rPr>
          <w:rFonts w:ascii="Arial" w:hAnsi="Arial" w:cs="Arial"/>
          <w:i/>
        </w:rPr>
        <w:t>Eichhornia crassipes</w:t>
      </w:r>
      <w:r w:rsidRPr="00CD5CEE">
        <w:rPr>
          <w:rFonts w:ascii="Arial" w:hAnsi="Arial" w:cs="Arial"/>
        </w:rPr>
        <w:t xml:space="preserve">) for use as an agricultural soil amendment. Land, 14(5), 1116. </w:t>
      </w:r>
    </w:p>
    <w:p w14:paraId="491DF200" w14:textId="77777777" w:rsidR="009F7D8E" w:rsidRPr="00CD5CEE" w:rsidRDefault="009F7D8E" w:rsidP="009F7D8E">
      <w:pPr>
        <w:ind w:left="567" w:hanging="567"/>
        <w:jc w:val="both"/>
        <w:rPr>
          <w:rFonts w:ascii="Arial" w:hAnsi="Arial" w:cs="Arial"/>
          <w:lang w:val="id-ID"/>
        </w:rPr>
      </w:pPr>
      <w:r w:rsidRPr="00CD5CEE">
        <w:rPr>
          <w:rFonts w:ascii="Arial" w:hAnsi="Arial" w:cs="Arial"/>
          <w:lang w:val="id-ID"/>
        </w:rPr>
        <w:t>Chejara, S., Malik, K., Rani, M., &amp; Bhardwaj, A. K. (2021). Integrated nutrient management: Concept, constraints, and advantages for a sustainable agriculture. Journal of Natural Resource Conservation and Management, 2(2), 85-94.</w:t>
      </w:r>
    </w:p>
    <w:p w14:paraId="1CD9D693" w14:textId="77777777" w:rsidR="009F7D8E" w:rsidRPr="00CD5CEE" w:rsidRDefault="009F7D8E" w:rsidP="009F7D8E">
      <w:pPr>
        <w:ind w:left="567" w:hanging="567"/>
        <w:jc w:val="both"/>
        <w:rPr>
          <w:rFonts w:ascii="Arial" w:hAnsi="Arial" w:cs="Arial"/>
          <w:lang w:val="id-ID"/>
        </w:rPr>
      </w:pPr>
      <w:r w:rsidRPr="00CD5CEE">
        <w:rPr>
          <w:rFonts w:ascii="Arial" w:hAnsi="Arial" w:cs="Arial"/>
          <w:lang w:val="id-ID"/>
        </w:rPr>
        <w:t>Chen, M., Zhang, S., Liu, L., Wu, L., &amp; Ding, X. (2021). Combined organic amendments and mineral fertilizer application increase rice yield by improving soil structure, P availability and root growth in saline-alkaline soil. Soil and Tillage Research, 212, 105060.</w:t>
      </w:r>
    </w:p>
    <w:p w14:paraId="6C098072" w14:textId="23A61B3B" w:rsidR="009F7D8E" w:rsidRPr="00CD5CEE" w:rsidRDefault="009F7D8E" w:rsidP="009F7D8E">
      <w:pPr>
        <w:ind w:left="567" w:hanging="567"/>
        <w:jc w:val="both"/>
        <w:rPr>
          <w:rFonts w:ascii="Arial" w:hAnsi="Arial" w:cs="Arial"/>
          <w:lang w:val="id-ID"/>
        </w:rPr>
      </w:pPr>
      <w:r w:rsidRPr="00CD5CEE">
        <w:rPr>
          <w:rFonts w:ascii="Arial" w:hAnsi="Arial" w:cs="Arial"/>
          <w:lang w:val="id-ID"/>
        </w:rPr>
        <w:t>Dejene, D., Yitbarek, T., &amp; Jembere, A. (2023). Determination of lime requirement with compost on acidic ultisols for wheat crop in the Gurage zone of Ethiopia. Applied and Environmental Soil Science, 2023(1), 4307448.</w:t>
      </w:r>
    </w:p>
    <w:p w14:paraId="366F678C" w14:textId="3BF9EA18" w:rsidR="007424D2" w:rsidRPr="00CD5CEE" w:rsidRDefault="007424D2" w:rsidP="007424D2">
      <w:pPr>
        <w:ind w:left="567" w:hanging="567"/>
        <w:jc w:val="both"/>
        <w:rPr>
          <w:rFonts w:ascii="Arial" w:hAnsi="Arial" w:cs="Arial"/>
        </w:rPr>
      </w:pPr>
      <w:r w:rsidRPr="00CD5CEE">
        <w:rPr>
          <w:rFonts w:ascii="Arial" w:hAnsi="Arial" w:cs="Arial" w:hint="eastAsia"/>
          <w:lang w:eastAsia="zh-CN"/>
        </w:rPr>
        <w:t>Dotaniya, C. K., Yashona, D. S., Aher, S. B., Rajput, P. S., Doutaniya, R. K., Lata, M., &amp; Mohbe, S. (2020). Crop performance and soil properties under organic nutrient management. International Journal of Current Microbiology and Applied Sciences, 9(4), 1055-1065.</w:t>
      </w:r>
    </w:p>
    <w:p w14:paraId="43917459" w14:textId="77777777" w:rsidR="009F7D8E" w:rsidRPr="00CD5CEE" w:rsidRDefault="009F7D8E" w:rsidP="009F7D8E">
      <w:pPr>
        <w:ind w:left="567" w:hanging="567"/>
        <w:jc w:val="both"/>
        <w:rPr>
          <w:rFonts w:ascii="Arial" w:hAnsi="Arial" w:cs="Arial"/>
        </w:rPr>
      </w:pPr>
      <w:r w:rsidRPr="00CD5CEE">
        <w:rPr>
          <w:rFonts w:ascii="Arial" w:hAnsi="Arial" w:cs="Arial"/>
        </w:rPr>
        <w:lastRenderedPageBreak/>
        <w:t>Gashamura, F. R. (2009). Effects of manure from water hyacinth on soil fertility and maize performance under controlled conditions in Rwanda. African Journal of Agricultural Research, 4(11), 1259–1266.</w:t>
      </w:r>
    </w:p>
    <w:p w14:paraId="3E295991" w14:textId="77777777" w:rsidR="009F7D8E" w:rsidRPr="00CD5CEE" w:rsidRDefault="009F7D8E" w:rsidP="009F7D8E">
      <w:pPr>
        <w:ind w:left="567" w:hanging="567"/>
        <w:jc w:val="both"/>
        <w:rPr>
          <w:rFonts w:ascii="Arial" w:hAnsi="Arial" w:cs="Arial"/>
          <w:lang w:val="id-ID"/>
        </w:rPr>
      </w:pPr>
      <w:r w:rsidRPr="00CD5CEE">
        <w:rPr>
          <w:rFonts w:ascii="Arial" w:hAnsi="Arial" w:cs="Arial"/>
          <w:lang w:val="id-ID"/>
        </w:rPr>
        <w:t>He, G., Zhang, J., Hu, X., &amp; Wu, J. (2011). Effect of aluminum toxicity and phosphorus deficiency on the growth and photosynthesis of oil tea (</w:t>
      </w:r>
      <w:r w:rsidRPr="00CD5CEE">
        <w:rPr>
          <w:rFonts w:ascii="Arial" w:hAnsi="Arial" w:cs="Arial"/>
          <w:i/>
          <w:lang w:val="id-ID"/>
        </w:rPr>
        <w:t>Camellia oleifera</w:t>
      </w:r>
      <w:r w:rsidRPr="00CD5CEE">
        <w:rPr>
          <w:rFonts w:ascii="Arial" w:hAnsi="Arial" w:cs="Arial"/>
          <w:lang w:val="id-ID"/>
        </w:rPr>
        <w:t xml:space="preserve"> Abel.) seedlings in acidic red soils. Acta Physiologiae Plantarum, 33, 1285-1292.</w:t>
      </w:r>
    </w:p>
    <w:p w14:paraId="535DE458" w14:textId="77777777" w:rsidR="009F7D8E" w:rsidRPr="00CD5CEE" w:rsidRDefault="009F7D8E" w:rsidP="009F7D8E">
      <w:pPr>
        <w:ind w:left="567" w:hanging="567"/>
        <w:jc w:val="both"/>
        <w:rPr>
          <w:rFonts w:ascii="Arial" w:hAnsi="Arial" w:cs="Arial"/>
          <w:lang w:val="id-ID"/>
        </w:rPr>
      </w:pPr>
      <w:r w:rsidRPr="00CD5CEE">
        <w:rPr>
          <w:rFonts w:ascii="Arial" w:hAnsi="Arial" w:cs="Arial"/>
          <w:lang w:val="id-ID"/>
        </w:rPr>
        <w:t>Hera, C. (1995). The role of inorganic fertilizers and their management practices. Fertilizer research, 43, 63-81.</w:t>
      </w:r>
    </w:p>
    <w:p w14:paraId="540DE78C" w14:textId="77777777" w:rsidR="009F7D8E" w:rsidRPr="00CD5CEE" w:rsidRDefault="009F7D8E" w:rsidP="009F7D8E">
      <w:pPr>
        <w:ind w:left="567" w:hanging="567"/>
        <w:jc w:val="both"/>
        <w:rPr>
          <w:rFonts w:ascii="Arial" w:hAnsi="Arial" w:cs="Arial"/>
          <w:lang w:val="id-ID"/>
        </w:rPr>
      </w:pPr>
      <w:r w:rsidRPr="00CD5CEE">
        <w:rPr>
          <w:rFonts w:ascii="Arial" w:hAnsi="Arial" w:cs="Arial"/>
          <w:lang w:val="id-ID"/>
        </w:rPr>
        <w:t>Hu, W., Zhang, Y., Xiangmin, R., Fei, J., Peng, J., &amp; Luo, G. (2023). Coupling amendment of biochar and organic fertilizers increases maize yield and phosphorus uptake by regulating soil phosphatase activity and phosphorus-acquiring microbiota. Agriculture, Ecosystems &amp; Environment, 355, 108582.</w:t>
      </w:r>
    </w:p>
    <w:p w14:paraId="3478CF0F" w14:textId="77777777" w:rsidR="009F7D8E" w:rsidRPr="00CD5CEE" w:rsidRDefault="009F7D8E" w:rsidP="009F7D8E">
      <w:pPr>
        <w:ind w:left="567" w:hanging="567"/>
        <w:jc w:val="both"/>
        <w:rPr>
          <w:rFonts w:ascii="Arial" w:hAnsi="Arial" w:cs="Arial"/>
        </w:rPr>
      </w:pPr>
      <w:r w:rsidRPr="00CD5CEE">
        <w:rPr>
          <w:rFonts w:ascii="Arial" w:hAnsi="Arial" w:cs="Arial"/>
        </w:rPr>
        <w:t>Ifansyah, H. (2014). Soil pH and solubility of aluminum, iron, and phosphorus in Ultisols: The roles of humic acid. Journal of Tropical Soils, 18(3), 203–208. https://doi.org/10.5400/jts.2013.18.3.203</w:t>
      </w:r>
    </w:p>
    <w:p w14:paraId="19AC4D31" w14:textId="6DD22862" w:rsidR="009F7D8E" w:rsidRPr="00CD5CEE" w:rsidRDefault="009F7D8E" w:rsidP="009F7D8E">
      <w:pPr>
        <w:ind w:left="567" w:hanging="567"/>
        <w:jc w:val="both"/>
        <w:rPr>
          <w:rFonts w:ascii="Arial" w:hAnsi="Arial" w:cs="Arial"/>
          <w:lang w:val="id-ID"/>
        </w:rPr>
      </w:pPr>
      <w:r w:rsidRPr="00CD5CEE">
        <w:rPr>
          <w:rFonts w:ascii="Arial" w:hAnsi="Arial" w:cs="Arial"/>
          <w:lang w:val="id-ID"/>
        </w:rPr>
        <w:t>Jha, K., Wu, B., Aziz, S. Q., Ahmed, H. G., &amp; Ahmed, M. S. (2024). Sustainable solutions for water hyacinth invasion: Characteristics, impacts, control, and utilization. World Journal of Advanced Engineering Technology and Sciences, 12(1), 047-058.</w:t>
      </w:r>
    </w:p>
    <w:p w14:paraId="32642D3D" w14:textId="5009E9D0" w:rsidR="0092646C" w:rsidRPr="00CD5CEE" w:rsidRDefault="0092646C" w:rsidP="009F7D8E">
      <w:pPr>
        <w:ind w:left="567" w:hanging="567"/>
        <w:jc w:val="both"/>
        <w:rPr>
          <w:rFonts w:ascii="Arial" w:hAnsi="Arial" w:cs="Arial"/>
          <w:lang w:val="id-ID"/>
        </w:rPr>
      </w:pPr>
      <w:r w:rsidRPr="00CD5CEE">
        <w:rPr>
          <w:rFonts w:ascii="Arial" w:hAnsi="Arial" w:cs="Arial"/>
          <w:lang w:val="id-ID"/>
        </w:rPr>
        <w:t>Jideani, V. A. (2011). Functional properties of soybean food ingredients in food systems. Soybean-Biochemistry, chemistry and physiology, 345-366.</w:t>
      </w:r>
    </w:p>
    <w:p w14:paraId="021A0302" w14:textId="77777777" w:rsidR="009F7D8E" w:rsidRPr="00CD5CEE" w:rsidRDefault="009F7D8E" w:rsidP="009F7D8E">
      <w:pPr>
        <w:ind w:left="567" w:hanging="567"/>
        <w:jc w:val="both"/>
        <w:rPr>
          <w:rFonts w:ascii="Arial" w:hAnsi="Arial" w:cs="Arial"/>
        </w:rPr>
      </w:pPr>
      <w:r w:rsidRPr="00CD5CEE">
        <w:rPr>
          <w:rFonts w:ascii="Arial" w:hAnsi="Arial" w:cs="Arial"/>
        </w:rPr>
        <w:t>Jindo, K., Martim, S. A., Navarro, E. C., Pérez-Alfocea, F., Hernandez, T., Garcia, C., ... &amp; Canellas, L. P. (2012). Root growth promotion by humic acids from composted and non-composted urban organic wastes. Plant and Soil, 353, 209-220. https://doi.org/10.1007/s11104-011-1024-3</w:t>
      </w:r>
    </w:p>
    <w:p w14:paraId="3AF20BAA" w14:textId="77777777" w:rsidR="009F7D8E" w:rsidRPr="00CD5CEE" w:rsidRDefault="009F7D8E" w:rsidP="009F7D8E">
      <w:pPr>
        <w:ind w:left="567" w:hanging="567"/>
        <w:jc w:val="both"/>
        <w:rPr>
          <w:rFonts w:ascii="Arial" w:hAnsi="Arial" w:cs="Arial"/>
          <w:lang w:val="id-ID"/>
        </w:rPr>
      </w:pPr>
      <w:r w:rsidRPr="00CD5CEE">
        <w:rPr>
          <w:rFonts w:ascii="Arial" w:hAnsi="Arial" w:cs="Arial"/>
          <w:lang w:val="id-ID"/>
        </w:rPr>
        <w:t>Jote, C. A. (2023). The impacts of using inorganic chemical fertilizers on the environment and human health. Org. Med. Chem. Int. J, 13, 555864.</w:t>
      </w:r>
    </w:p>
    <w:p w14:paraId="72B64B7A" w14:textId="77777777" w:rsidR="009F7D8E" w:rsidRPr="00CD5CEE" w:rsidRDefault="009F7D8E" w:rsidP="009F7D8E">
      <w:pPr>
        <w:ind w:left="567" w:hanging="567"/>
        <w:jc w:val="both"/>
        <w:rPr>
          <w:rFonts w:ascii="Arial" w:hAnsi="Arial" w:cs="Arial"/>
        </w:rPr>
      </w:pPr>
      <w:r w:rsidRPr="00CD5CEE">
        <w:rPr>
          <w:rFonts w:ascii="Arial" w:hAnsi="Arial" w:cs="Arial"/>
        </w:rPr>
        <w:t>Kadir, S., &amp; Priatna, S. J. (2001). Characteristics of Ultisols under different wildfire history in South Sumatra, Indonesia: I. Physico-chemical properties. Tropics, 10(4), 565–580. https://doi.org/10.3759/tropics.10.565</w:t>
      </w:r>
    </w:p>
    <w:p w14:paraId="567A8C8B" w14:textId="5DF1C8DD" w:rsidR="009F7D8E" w:rsidRPr="00CD5CEE" w:rsidRDefault="009F7D8E" w:rsidP="009F7D8E">
      <w:pPr>
        <w:ind w:left="567" w:hanging="567"/>
        <w:jc w:val="both"/>
        <w:rPr>
          <w:rFonts w:ascii="Arial" w:hAnsi="Arial" w:cs="Arial"/>
          <w:lang w:val="id-ID"/>
        </w:rPr>
      </w:pPr>
      <w:r w:rsidRPr="00CD5CEE">
        <w:rPr>
          <w:rFonts w:ascii="Arial" w:hAnsi="Arial" w:cs="Arial"/>
          <w:lang w:val="id-ID"/>
        </w:rPr>
        <w:t>Kassa, Y., Amare, A., Nega, T., Alem, T., Gedefaw, M., Chala, B., ... &amp; Tibebe, D. (2025). Water hyacinth conversion to biochar for soil nutrient enhancement in improving agricultural product. Scientific Reports, 15(1), 1820.</w:t>
      </w:r>
    </w:p>
    <w:p w14:paraId="4874A469" w14:textId="77777777" w:rsidR="007424D2" w:rsidRPr="00CD5CEE" w:rsidRDefault="007424D2" w:rsidP="007424D2">
      <w:pPr>
        <w:ind w:left="567" w:hanging="567"/>
        <w:jc w:val="both"/>
        <w:rPr>
          <w:rFonts w:ascii="Arial" w:hAnsi="Arial" w:cs="Arial"/>
        </w:rPr>
      </w:pPr>
      <w:r w:rsidRPr="00CD5CEE">
        <w:rPr>
          <w:rFonts w:ascii="Arial" w:hAnsi="Arial" w:cs="Arial" w:hint="eastAsia"/>
          <w:lang w:eastAsia="zh-CN"/>
        </w:rPr>
        <w:t>Khandagle, A., Dwivedi, B. S., Aher, S. B., Dwivedi, A. K., Yashona, D. S., &amp; Jat, D. (2019a). Effect of long-term application of fertilizers and manure on soil properties. Journal of Soils and Crops, 29(1), 97-104.</w:t>
      </w:r>
    </w:p>
    <w:p w14:paraId="1FB39C01" w14:textId="658B978E" w:rsidR="007424D2" w:rsidRPr="00CD5CEE" w:rsidRDefault="007424D2" w:rsidP="007424D2">
      <w:pPr>
        <w:ind w:left="567" w:hanging="567"/>
        <w:jc w:val="both"/>
        <w:rPr>
          <w:rFonts w:ascii="Arial" w:hAnsi="Arial" w:cs="Arial"/>
        </w:rPr>
      </w:pPr>
      <w:r w:rsidRPr="00CD5CEE">
        <w:rPr>
          <w:rFonts w:ascii="Arial" w:hAnsi="Arial" w:cs="Arial" w:hint="eastAsia"/>
          <w:lang w:eastAsia="zh-CN"/>
        </w:rPr>
        <w:t>Khandagle, A., Dwivedi, B. S., Aher, S. B., Dwivedi, A. K., Yashona, D. S., Mohbe, S., &amp; Panwar, S. (2019b). Distribution of nitrogen fractions under long term fertilizer and manure application in a vertisol. Bioscience Biotechnology Research Communications, 12(1), 186-193.</w:t>
      </w:r>
    </w:p>
    <w:p w14:paraId="366E88D6" w14:textId="7A160C69" w:rsidR="009F7D8E" w:rsidRPr="00CD5CEE" w:rsidRDefault="009F7D8E" w:rsidP="009F7D8E">
      <w:pPr>
        <w:ind w:left="567" w:hanging="567"/>
        <w:jc w:val="both"/>
        <w:rPr>
          <w:rFonts w:ascii="Arial" w:hAnsi="Arial" w:cs="Arial"/>
          <w:lang w:val="id-ID"/>
        </w:rPr>
      </w:pPr>
      <w:r w:rsidRPr="00CD5CEE">
        <w:rPr>
          <w:rFonts w:ascii="Arial" w:hAnsi="Arial" w:cs="Arial"/>
          <w:lang w:val="id-ID"/>
        </w:rPr>
        <w:t>Li, Y., &amp; Qi, B. (Eds.). (2022). Phytochemicals in Soybeans: Bioactivity and Health Benefits. CRC Press.</w:t>
      </w:r>
    </w:p>
    <w:p w14:paraId="3AE723A9" w14:textId="1B26EBEA" w:rsidR="007424D2" w:rsidRPr="00CD5CEE" w:rsidRDefault="007424D2" w:rsidP="007424D2">
      <w:pPr>
        <w:ind w:left="567" w:hanging="567"/>
        <w:jc w:val="both"/>
        <w:rPr>
          <w:rFonts w:ascii="Arial" w:hAnsi="Arial" w:cs="Arial"/>
        </w:rPr>
      </w:pPr>
      <w:r w:rsidRPr="00CD5CEE">
        <w:rPr>
          <w:rFonts w:ascii="Arial" w:hAnsi="Arial" w:cs="Arial" w:hint="eastAsia"/>
          <w:lang w:eastAsia="zh-CN"/>
        </w:rPr>
        <w:t>Mandale, P., Lakaria, B. L., Aher, S. B., Singh, A. B., &amp; Gupta, S. C. (2019). Phosphorous concentration and uptake in maize varieties cultivated under organic nutrient management. International Journal of Agricultural &amp; Statistical Sciences, 15(1), 311-315.</w:t>
      </w:r>
    </w:p>
    <w:p w14:paraId="49845980" w14:textId="77777777" w:rsidR="009F7D8E" w:rsidRPr="00CD5CEE" w:rsidRDefault="009F7D8E" w:rsidP="009F7D8E">
      <w:pPr>
        <w:ind w:left="567" w:hanging="567"/>
        <w:jc w:val="both"/>
        <w:rPr>
          <w:rFonts w:ascii="Arial" w:hAnsi="Arial" w:cs="Arial"/>
        </w:rPr>
      </w:pPr>
      <w:r w:rsidRPr="00CD5CEE">
        <w:rPr>
          <w:rFonts w:ascii="Arial" w:hAnsi="Arial" w:cs="Arial"/>
        </w:rPr>
        <w:t>Moe, K., Htwe, A. Z., Thu, T. T. P., Kajihara, Y., &amp; Yamakawa, T. (2019). Effects on NPK status, growth, dry matter and yield of rice (</w:t>
      </w:r>
      <w:r w:rsidRPr="00CD5CEE">
        <w:rPr>
          <w:rFonts w:ascii="Arial" w:hAnsi="Arial" w:cs="Arial"/>
          <w:i/>
        </w:rPr>
        <w:t>Oryza sativa</w:t>
      </w:r>
      <w:r w:rsidRPr="00CD5CEE">
        <w:rPr>
          <w:rFonts w:ascii="Arial" w:hAnsi="Arial" w:cs="Arial"/>
        </w:rPr>
        <w:t>) by organic fertilizers applied in field condition. Agriculture, 9(5), 109. https://doi.org/10.3390/agriculture9050109</w:t>
      </w:r>
    </w:p>
    <w:p w14:paraId="756A6295" w14:textId="77777777" w:rsidR="009F7D8E" w:rsidRPr="00CD5CEE" w:rsidRDefault="009F7D8E" w:rsidP="009F7D8E">
      <w:pPr>
        <w:ind w:left="567" w:hanging="567"/>
        <w:jc w:val="both"/>
        <w:rPr>
          <w:rFonts w:ascii="Arial" w:hAnsi="Arial" w:cs="Arial"/>
          <w:lang w:val="id-ID"/>
        </w:rPr>
      </w:pPr>
      <w:r w:rsidRPr="00CD5CEE">
        <w:rPr>
          <w:rFonts w:ascii="Arial" w:hAnsi="Arial" w:cs="Arial"/>
          <w:lang w:val="id-ID"/>
        </w:rPr>
        <w:t>Ndimele, P. E., Kumolu-Johnson, C. A., &amp; Anetekhai, M. A. (2011). The invasive aquatic macrophyte, water hyacinth (</w:t>
      </w:r>
      <w:r w:rsidRPr="00CD5CEE">
        <w:rPr>
          <w:rFonts w:ascii="Arial" w:hAnsi="Arial" w:cs="Arial"/>
          <w:i/>
          <w:lang w:val="id-ID"/>
        </w:rPr>
        <w:t>Eichhornia crassipes</w:t>
      </w:r>
      <w:r w:rsidRPr="00CD5CEE">
        <w:rPr>
          <w:rFonts w:ascii="Arial" w:hAnsi="Arial" w:cs="Arial"/>
          <w:lang w:val="id-ID"/>
        </w:rPr>
        <w:t xml:space="preserve"> [Mart.] Solms-Laubach: Pontederiaceae): Problems and prospects. Research Journal of Environmental Sciences, 5(6), 509-520.</w:t>
      </w:r>
    </w:p>
    <w:p w14:paraId="0D54DB3A" w14:textId="77777777" w:rsidR="009F7D8E" w:rsidRPr="00CD5CEE" w:rsidRDefault="009F7D8E" w:rsidP="009F7D8E">
      <w:pPr>
        <w:ind w:left="567" w:hanging="567"/>
        <w:jc w:val="both"/>
        <w:rPr>
          <w:rFonts w:ascii="Arial" w:hAnsi="Arial" w:cs="Arial"/>
          <w:lang w:val="id-ID"/>
        </w:rPr>
      </w:pPr>
      <w:r w:rsidRPr="00CD5CEE">
        <w:rPr>
          <w:rFonts w:ascii="Arial" w:hAnsi="Arial" w:cs="Arial"/>
          <w:lang w:val="id-ID"/>
        </w:rPr>
        <w:lastRenderedPageBreak/>
        <w:t>Ngui, M. E., Lin, Y. H., Wei, I. L., Wang, C. C., Xu, Y. Z., &amp; Lin, Y. H. (2024). Effects of the combination of biochar and organic fertilizer on soil properties and agronomic attributes of soybean (</w:t>
      </w:r>
      <w:r w:rsidRPr="00CD5CEE">
        <w:rPr>
          <w:rFonts w:ascii="Arial" w:hAnsi="Arial" w:cs="Arial"/>
          <w:i/>
          <w:lang w:val="id-ID"/>
        </w:rPr>
        <w:t>Glycine max</w:t>
      </w:r>
      <w:r w:rsidRPr="00CD5CEE">
        <w:rPr>
          <w:rFonts w:ascii="Arial" w:hAnsi="Arial" w:cs="Arial"/>
          <w:lang w:val="id-ID"/>
        </w:rPr>
        <w:t xml:space="preserve"> L.). Plos one, 19(9), e0310221.</w:t>
      </w:r>
    </w:p>
    <w:p w14:paraId="0B6B0588" w14:textId="77777777" w:rsidR="009F7D8E" w:rsidRPr="00CD5CEE" w:rsidRDefault="009F7D8E" w:rsidP="009F7D8E">
      <w:pPr>
        <w:ind w:left="567" w:hanging="567"/>
        <w:jc w:val="both"/>
        <w:rPr>
          <w:rFonts w:ascii="Arial" w:hAnsi="Arial" w:cs="Arial"/>
        </w:rPr>
      </w:pPr>
      <w:r w:rsidRPr="00CD5CEE">
        <w:rPr>
          <w:rFonts w:ascii="Arial" w:hAnsi="Arial" w:cs="Arial"/>
        </w:rPr>
        <w:t xml:space="preserve">Nziguheba, G., &amp; </w:t>
      </w:r>
      <w:proofErr w:type="gramStart"/>
      <w:r w:rsidRPr="00CD5CEE">
        <w:rPr>
          <w:rFonts w:ascii="Arial" w:hAnsi="Arial" w:cs="Arial"/>
        </w:rPr>
        <w:t>j.scitotenv</w:t>
      </w:r>
      <w:proofErr w:type="gramEnd"/>
      <w:r w:rsidRPr="00CD5CEE">
        <w:rPr>
          <w:rFonts w:ascii="Arial" w:hAnsi="Arial" w:cs="Arial"/>
        </w:rPr>
        <w:t>.2007.09.031Smolders, E. (2008). Inputs of trace elements in agricultural soils via phosphate fertilizers in European countries. Science of the Total Environment, 390(1), 53-57. https://doi.org/10.1016/</w:t>
      </w:r>
    </w:p>
    <w:p w14:paraId="23BFF47F" w14:textId="77777777" w:rsidR="009F7D8E" w:rsidRPr="00CD5CEE" w:rsidRDefault="009F7D8E" w:rsidP="009F7D8E">
      <w:pPr>
        <w:ind w:left="567" w:hanging="567"/>
        <w:jc w:val="both"/>
        <w:rPr>
          <w:rFonts w:ascii="Arial" w:hAnsi="Arial" w:cs="Arial"/>
        </w:rPr>
      </w:pPr>
      <w:r w:rsidRPr="00CD5CEE">
        <w:rPr>
          <w:rFonts w:ascii="Arial" w:hAnsi="Arial" w:cs="Arial"/>
        </w:rPr>
        <w:t>Osman, K. T. (2018). Acid soils and acid sulfate soils. In Management of soil problems (pp. 283–306). Springer. https://doi.org/10.1007/978-3-319-75527-4_11</w:t>
      </w:r>
    </w:p>
    <w:p w14:paraId="1613678F" w14:textId="77777777" w:rsidR="009F7D8E" w:rsidRPr="00CD5CEE" w:rsidRDefault="009F7D8E" w:rsidP="009F7D8E">
      <w:pPr>
        <w:ind w:left="567" w:hanging="567"/>
        <w:jc w:val="both"/>
        <w:rPr>
          <w:rFonts w:ascii="Arial" w:hAnsi="Arial" w:cs="Arial"/>
        </w:rPr>
      </w:pPr>
      <w:r w:rsidRPr="00CD5CEE">
        <w:rPr>
          <w:rFonts w:ascii="Arial" w:hAnsi="Arial" w:cs="Arial"/>
        </w:rPr>
        <w:t>Osoro, N., Muoma, J. O., Amoding, A., Mukaminega, D., Muthini, M., Ombori, O., &amp; Maingi, J. M. (2013). Effects of water hyacinth (</w:t>
      </w:r>
      <w:r w:rsidRPr="00CD5CEE">
        <w:rPr>
          <w:rFonts w:ascii="Arial" w:hAnsi="Arial" w:cs="Arial"/>
          <w:i/>
        </w:rPr>
        <w:t>Eichhornia crassipes</w:t>
      </w:r>
      <w:r w:rsidRPr="00CD5CEE">
        <w:rPr>
          <w:rFonts w:ascii="Arial" w:hAnsi="Arial" w:cs="Arial"/>
        </w:rPr>
        <w:t xml:space="preserve"> [Mart.] Solms) compost on growth and yield parameters of maize (</w:t>
      </w:r>
      <w:r w:rsidRPr="00CD5CEE">
        <w:rPr>
          <w:rFonts w:ascii="Arial" w:hAnsi="Arial" w:cs="Arial"/>
          <w:i/>
        </w:rPr>
        <w:t>Zea mays</w:t>
      </w:r>
      <w:r w:rsidRPr="00CD5CEE">
        <w:rPr>
          <w:rFonts w:ascii="Arial" w:hAnsi="Arial" w:cs="Arial"/>
        </w:rPr>
        <w:t>). Journal of Agricultural Science and Technology, 3(3), 193–201.</w:t>
      </w:r>
    </w:p>
    <w:p w14:paraId="01788E01" w14:textId="77777777" w:rsidR="009F7D8E" w:rsidRPr="00CD5CEE" w:rsidRDefault="009F7D8E" w:rsidP="009F7D8E">
      <w:pPr>
        <w:ind w:left="567" w:hanging="567"/>
        <w:jc w:val="both"/>
        <w:rPr>
          <w:rFonts w:ascii="Arial" w:hAnsi="Arial" w:cs="Arial"/>
        </w:rPr>
      </w:pPr>
      <w:r w:rsidRPr="00CD5CEE">
        <w:rPr>
          <w:rFonts w:ascii="Arial" w:hAnsi="Arial" w:cs="Arial"/>
        </w:rPr>
        <w:t>Perkasa, A. Y., &amp; Utomo, T. W. (2016). Effect of various levels of NPK fertilizer on the yield attributes of soybean (</w:t>
      </w:r>
      <w:r w:rsidRPr="00CD5CEE">
        <w:rPr>
          <w:rFonts w:ascii="Arial" w:hAnsi="Arial" w:cs="Arial"/>
          <w:i/>
        </w:rPr>
        <w:t>Glycine max</w:t>
      </w:r>
      <w:r w:rsidRPr="00CD5CEE">
        <w:rPr>
          <w:rFonts w:ascii="Arial" w:hAnsi="Arial" w:cs="Arial"/>
        </w:rPr>
        <w:t xml:space="preserve"> L.) varieties. Journal of Tropical Crop Science, 3(1), 1–8.</w:t>
      </w:r>
    </w:p>
    <w:p w14:paraId="08EC608F" w14:textId="77777777" w:rsidR="009F7D8E" w:rsidRPr="00CD5CEE" w:rsidRDefault="009F7D8E" w:rsidP="009F7D8E">
      <w:pPr>
        <w:ind w:left="567" w:hanging="567"/>
        <w:jc w:val="both"/>
        <w:rPr>
          <w:rFonts w:ascii="Arial" w:hAnsi="Arial" w:cs="Arial"/>
        </w:rPr>
      </w:pPr>
      <w:r w:rsidRPr="00CD5CEE">
        <w:rPr>
          <w:rFonts w:ascii="Arial" w:hAnsi="Arial" w:cs="Arial"/>
        </w:rPr>
        <w:t xml:space="preserve">Poorter, H., Niklas, K. J., Reich, P. B., Oleksyn, J., Poot, P., &amp; Mommer, L. (2012). Biomass allocation to leaves, stems and roots: Meta-analyses of interspecific variation and environmental control. New Phytologist, 193(1), 30-50. </w:t>
      </w:r>
      <w:hyperlink r:id="rId24" w:history="1">
        <w:r w:rsidRPr="00CD5CEE">
          <w:rPr>
            <w:rStyle w:val="Hyperlink"/>
            <w:rFonts w:ascii="Arial" w:hAnsi="Arial" w:cs="Arial"/>
            <w:color w:val="auto"/>
          </w:rPr>
          <w:t>https://doi.org/10.1111/j.1469-8137.2011.03952.x</w:t>
        </w:r>
      </w:hyperlink>
    </w:p>
    <w:p w14:paraId="6F40F729" w14:textId="77777777" w:rsidR="009F7D8E" w:rsidRPr="00CD5CEE" w:rsidRDefault="009F7D8E" w:rsidP="009F7D8E">
      <w:pPr>
        <w:ind w:left="567" w:hanging="567"/>
        <w:jc w:val="both"/>
        <w:rPr>
          <w:rFonts w:ascii="Arial" w:hAnsi="Arial" w:cs="Arial"/>
          <w:lang w:val="id-ID"/>
        </w:rPr>
      </w:pPr>
      <w:r w:rsidRPr="00CD5CEE">
        <w:rPr>
          <w:rFonts w:ascii="Arial" w:hAnsi="Arial" w:cs="Arial"/>
          <w:lang w:val="id-ID"/>
        </w:rPr>
        <w:t>Purwanto, S., Gani, R. A., &amp; Suryani, E. (2021). Characteristics of Ultisols derived from basaltic andesite materials and their association with old volcanic landforms in Indonesia. SAINS TANAH-Journal of Soil Science and Agroclimatology, 17(2), 135-143.</w:t>
      </w:r>
    </w:p>
    <w:p w14:paraId="2A56C17E" w14:textId="77777777" w:rsidR="009F7D8E" w:rsidRPr="00CD5CEE" w:rsidRDefault="009F7D8E" w:rsidP="009F7D8E">
      <w:pPr>
        <w:ind w:left="567" w:hanging="567"/>
        <w:jc w:val="both"/>
        <w:rPr>
          <w:rFonts w:ascii="Arial" w:hAnsi="Arial" w:cs="Arial"/>
        </w:rPr>
      </w:pPr>
      <w:r w:rsidRPr="00CD5CEE">
        <w:rPr>
          <w:rFonts w:ascii="Arial" w:hAnsi="Arial" w:cs="Arial"/>
        </w:rPr>
        <w:t xml:space="preserve">Qayyum, M. F., Ashraf, I., Abid, M., &amp; Steffens, D. (2015). Effect of biochar, lime, and compost application on phosphorus adsorption in a Ferralsol. Journal of Plant Nutrition and Soil Science, 178(4), 576-581. </w:t>
      </w:r>
    </w:p>
    <w:p w14:paraId="5D49B5B2" w14:textId="77777777" w:rsidR="009F7D8E" w:rsidRPr="00CD5CEE" w:rsidRDefault="009F7D8E" w:rsidP="009F7D8E">
      <w:pPr>
        <w:ind w:left="567" w:hanging="567"/>
        <w:jc w:val="both"/>
        <w:rPr>
          <w:rFonts w:ascii="Arial" w:hAnsi="Arial" w:cs="Arial"/>
          <w:lang w:val="id-ID"/>
        </w:rPr>
      </w:pPr>
      <w:r w:rsidRPr="00CD5CEE">
        <w:rPr>
          <w:rFonts w:ascii="Arial" w:hAnsi="Arial" w:cs="Arial"/>
          <w:lang w:val="id-ID"/>
        </w:rPr>
        <w:t>Rashmi, I., Roy, T., Kartika, K. S., Pal, R., Coumar, V., Kala, S., &amp; Shinoji, K. C. (2020). Organic and inorganic fertilizer contaminants in agriculture: Impact on soil and water resources. Contaminants in Agriculture: Sources, Impacts and Management, 3-41.</w:t>
      </w:r>
    </w:p>
    <w:p w14:paraId="6FCC4CF8" w14:textId="77777777" w:rsidR="009F7D8E" w:rsidRPr="00CD5CEE" w:rsidRDefault="009F7D8E" w:rsidP="009F7D8E">
      <w:pPr>
        <w:ind w:left="567" w:hanging="567"/>
        <w:jc w:val="both"/>
        <w:rPr>
          <w:rFonts w:ascii="Arial" w:hAnsi="Arial" w:cs="Arial"/>
        </w:rPr>
      </w:pPr>
      <w:r w:rsidRPr="00CD5CEE">
        <w:rPr>
          <w:rFonts w:ascii="Arial" w:hAnsi="Arial" w:cs="Arial"/>
        </w:rPr>
        <w:t xml:space="preserve">Richardson, A. E., &amp; Simpson, R. J. (2011). Soil microorganisms mediating phosphorus availability: Update on microbial phosphorus. Plant Physiology, 156(3), 989-996. </w:t>
      </w:r>
      <w:hyperlink r:id="rId25" w:history="1">
        <w:r w:rsidRPr="00CD5CEE">
          <w:rPr>
            <w:rStyle w:val="Hyperlink"/>
            <w:rFonts w:ascii="Arial" w:hAnsi="Arial" w:cs="Arial"/>
            <w:color w:val="auto"/>
          </w:rPr>
          <w:t>https://doi.org/10.1104/pp.111.175448</w:t>
        </w:r>
      </w:hyperlink>
    </w:p>
    <w:p w14:paraId="0BB1C819" w14:textId="77777777" w:rsidR="009F7D8E" w:rsidRPr="00CD5CEE" w:rsidRDefault="009F7D8E" w:rsidP="009F7D8E">
      <w:pPr>
        <w:ind w:left="567" w:hanging="567"/>
        <w:jc w:val="both"/>
        <w:rPr>
          <w:rFonts w:ascii="Arial" w:hAnsi="Arial" w:cs="Arial"/>
        </w:rPr>
      </w:pPr>
      <w:r w:rsidRPr="00CD5CEE">
        <w:rPr>
          <w:rFonts w:ascii="Arial" w:hAnsi="Arial" w:cs="Arial"/>
        </w:rPr>
        <w:t xml:space="preserve">Richardson, A. E., &amp; Simpson, R. J. (2011). Soil microorganisms mediating phosphorus availability: Update on microbial phosphorus. Plant Physiology, 156(3), 989–996. </w:t>
      </w:r>
    </w:p>
    <w:p w14:paraId="3E562041" w14:textId="77777777" w:rsidR="009F7D8E" w:rsidRPr="00CD5CEE" w:rsidRDefault="009F7D8E" w:rsidP="009F7D8E">
      <w:pPr>
        <w:ind w:left="567" w:hanging="567"/>
        <w:jc w:val="both"/>
        <w:rPr>
          <w:rFonts w:ascii="Arial" w:hAnsi="Arial" w:cs="Arial"/>
        </w:rPr>
      </w:pPr>
      <w:r w:rsidRPr="00CD5CEE">
        <w:rPr>
          <w:rFonts w:ascii="Arial" w:hAnsi="Arial" w:cs="Arial"/>
        </w:rPr>
        <w:t xml:space="preserve">Salas, A. M., Elliott, E. T., Westfall, D. G., Cole, C. V., &amp; Six, J. (2003). The role of particulate organic matter in phosphorus cycling. Soil Science Society of America Journal, 67(1), 181–189. </w:t>
      </w:r>
    </w:p>
    <w:p w14:paraId="092027CC" w14:textId="77777777" w:rsidR="009F7D8E" w:rsidRPr="00CD5CEE" w:rsidRDefault="009F7D8E" w:rsidP="009F7D8E">
      <w:pPr>
        <w:ind w:left="567" w:hanging="567"/>
        <w:jc w:val="both"/>
        <w:rPr>
          <w:rFonts w:ascii="Arial" w:hAnsi="Arial" w:cs="Arial"/>
          <w:lang w:val="id-ID"/>
        </w:rPr>
      </w:pPr>
      <w:r w:rsidRPr="00CD5CEE">
        <w:rPr>
          <w:rFonts w:ascii="Arial" w:hAnsi="Arial" w:cs="Arial"/>
          <w:lang w:val="id-ID"/>
        </w:rPr>
        <w:t>Samreen, S., &amp; Kausar, S. (2019). Phosphorus Fertilizer: The Original and Commercial. Phosphorus: Recovery and Recycling, 81.</w:t>
      </w:r>
    </w:p>
    <w:p w14:paraId="31A369D8" w14:textId="77777777" w:rsidR="009F7D8E" w:rsidRPr="00CD5CEE" w:rsidRDefault="009F7D8E" w:rsidP="009F7D8E">
      <w:pPr>
        <w:ind w:left="567" w:hanging="567"/>
        <w:jc w:val="both"/>
        <w:rPr>
          <w:rFonts w:ascii="Arial" w:hAnsi="Arial" w:cs="Arial"/>
          <w:lang w:val="id-ID"/>
        </w:rPr>
      </w:pPr>
      <w:r w:rsidRPr="00CD5CEE">
        <w:rPr>
          <w:rFonts w:ascii="Arial" w:hAnsi="Arial" w:cs="Arial"/>
          <w:lang w:val="id-ID"/>
        </w:rPr>
        <w:t>Sanchez, P. A. (2019). Properties and Management of Soils in the Tropics. Cambridge University Press.</w:t>
      </w:r>
    </w:p>
    <w:p w14:paraId="652047CD" w14:textId="77777777" w:rsidR="009F7D8E" w:rsidRPr="00CD5CEE" w:rsidRDefault="009F7D8E" w:rsidP="009F7D8E">
      <w:pPr>
        <w:ind w:left="567" w:hanging="567"/>
        <w:jc w:val="both"/>
        <w:rPr>
          <w:rFonts w:ascii="Arial" w:hAnsi="Arial" w:cs="Arial"/>
          <w:lang w:val="id-ID"/>
        </w:rPr>
      </w:pPr>
      <w:r w:rsidRPr="00CD5CEE">
        <w:rPr>
          <w:rFonts w:ascii="Arial" w:hAnsi="Arial" w:cs="Arial"/>
          <w:lang w:val="id-ID"/>
        </w:rPr>
        <w:t>Sarwani, M. (2013). Characteristics and management of Ultisols for agricultural development in Indonesia. Journal of Tropical Soils, 18(1), 1-10…cek Faidah</w:t>
      </w:r>
    </w:p>
    <w:p w14:paraId="226F767D" w14:textId="77777777" w:rsidR="009F7D8E" w:rsidRPr="00CD5CEE" w:rsidRDefault="009F7D8E" w:rsidP="009F7D8E">
      <w:pPr>
        <w:ind w:left="567" w:hanging="567"/>
        <w:jc w:val="both"/>
        <w:rPr>
          <w:rFonts w:ascii="Arial" w:hAnsi="Arial" w:cs="Arial"/>
        </w:rPr>
      </w:pPr>
      <w:r w:rsidRPr="00CD5CEE">
        <w:rPr>
          <w:rFonts w:ascii="Arial" w:hAnsi="Arial" w:cs="Arial"/>
          <w:lang w:val="id-ID"/>
        </w:rPr>
        <w:t xml:space="preserve">Schachtman, D. P., Reid, R. J., &amp; Ayling, S. M. (1998). Phosphorus uptake by plants: From soil to cell. Plant Physiology, 116(2), 447-453. </w:t>
      </w:r>
      <w:hyperlink r:id="rId26" w:history="1">
        <w:r w:rsidRPr="00CD5CEE">
          <w:rPr>
            <w:rStyle w:val="Hyperlink"/>
            <w:rFonts w:ascii="Arial" w:hAnsi="Arial" w:cs="Arial"/>
            <w:color w:val="auto"/>
            <w:lang w:val="id-ID"/>
          </w:rPr>
          <w:t>https://doi.org/10.1104/pp.116.2.447</w:t>
        </w:r>
      </w:hyperlink>
    </w:p>
    <w:p w14:paraId="29216C48" w14:textId="77777777" w:rsidR="009F7D8E" w:rsidRPr="00CD5CEE" w:rsidRDefault="009F7D8E" w:rsidP="009F7D8E">
      <w:pPr>
        <w:ind w:left="567" w:hanging="567"/>
        <w:jc w:val="both"/>
        <w:rPr>
          <w:rFonts w:ascii="Arial" w:hAnsi="Arial" w:cs="Arial"/>
          <w:lang w:val="en-ID"/>
        </w:rPr>
      </w:pPr>
      <w:r w:rsidRPr="00CD5CEE">
        <w:rPr>
          <w:rFonts w:ascii="Arial" w:hAnsi="Arial" w:cs="Arial"/>
          <w:lang w:val="en"/>
        </w:rPr>
        <w:t>Septiaswin, H., Fuskhah, E., &amp; Budiyanto, S. (2021). Growth and production of soybean (</w:t>
      </w:r>
      <w:r w:rsidRPr="00CD5CEE">
        <w:rPr>
          <w:rFonts w:ascii="Arial" w:hAnsi="Arial" w:cs="Arial"/>
          <w:i/>
          <w:lang w:val="en"/>
        </w:rPr>
        <w:t>Glycine max</w:t>
      </w:r>
      <w:r w:rsidRPr="00CD5CEE">
        <w:rPr>
          <w:rFonts w:ascii="Arial" w:hAnsi="Arial" w:cs="Arial"/>
          <w:lang w:val="en"/>
        </w:rPr>
        <w:t xml:space="preserve"> L.) due to watering frequency and various compositions of cow manure and water hyacinth compost. Buana Sains, 21(1), 77–86.</w:t>
      </w:r>
    </w:p>
    <w:p w14:paraId="0243DBF4" w14:textId="77777777" w:rsidR="009F7D8E" w:rsidRPr="00CD5CEE" w:rsidRDefault="009F7D8E" w:rsidP="009F7D8E">
      <w:pPr>
        <w:ind w:left="567" w:hanging="567"/>
        <w:jc w:val="both"/>
        <w:rPr>
          <w:rFonts w:ascii="Arial" w:hAnsi="Arial" w:cs="Arial"/>
          <w:lang w:val="id-ID"/>
        </w:rPr>
      </w:pPr>
      <w:r w:rsidRPr="00CD5CEE">
        <w:rPr>
          <w:rFonts w:ascii="Arial" w:hAnsi="Arial" w:cs="Arial"/>
          <w:lang w:val="id-ID"/>
        </w:rPr>
        <w:t>Sharma, A., &amp; Chetani, R. (2017). A review on the effect of organic and chemical fertilizers on plants. Int. J. Res. Appl. Sci. Eng. Technol, 5(2), 677-680.</w:t>
      </w:r>
    </w:p>
    <w:p w14:paraId="0059D24C" w14:textId="77777777" w:rsidR="009F7D8E" w:rsidRPr="00CD5CEE" w:rsidRDefault="009F7D8E" w:rsidP="009F7D8E">
      <w:pPr>
        <w:ind w:left="567" w:hanging="567"/>
        <w:jc w:val="both"/>
        <w:rPr>
          <w:rFonts w:ascii="Arial" w:hAnsi="Arial" w:cs="Arial"/>
          <w:lang w:val="id-ID"/>
        </w:rPr>
      </w:pPr>
      <w:r w:rsidRPr="00CD5CEE">
        <w:rPr>
          <w:rFonts w:ascii="Arial" w:hAnsi="Arial" w:cs="Arial"/>
          <w:lang w:val="id-ID"/>
        </w:rPr>
        <w:t>Singh, T. B., Ali, A., Prasad, M., Yadav, A., Shrivastav, P., Goyal, D., &amp; Dantu, P. K. (2020). Role of organic fertilizers in improving soil fertility. Contaminants in agriculture: sources, impacts and management, 61-77.</w:t>
      </w:r>
    </w:p>
    <w:p w14:paraId="10E55900" w14:textId="77777777" w:rsidR="009F7D8E" w:rsidRPr="00CD5CEE" w:rsidRDefault="009F7D8E" w:rsidP="009F7D8E">
      <w:pPr>
        <w:ind w:left="567" w:hanging="567"/>
        <w:jc w:val="both"/>
        <w:rPr>
          <w:rFonts w:ascii="Arial" w:hAnsi="Arial" w:cs="Arial"/>
          <w:lang w:val="id-ID"/>
        </w:rPr>
      </w:pPr>
      <w:r w:rsidRPr="00CD5CEE">
        <w:rPr>
          <w:rFonts w:ascii="Arial" w:hAnsi="Arial" w:cs="Arial"/>
          <w:lang w:val="id-ID"/>
        </w:rPr>
        <w:lastRenderedPageBreak/>
        <w:t xml:space="preserve">van der Ploeg, R. R., Böhm, W., &amp; Kirkham, M. B. (1999). On the origin of the theory of mineral nutrition of plants and the Law of the Minimum. Soil Science Society of America Journal, 63(5), 1055-1062. </w:t>
      </w:r>
      <w:hyperlink r:id="rId27" w:history="1">
        <w:r w:rsidRPr="00CD5CEE">
          <w:rPr>
            <w:rStyle w:val="Hyperlink"/>
            <w:rFonts w:ascii="Arial" w:hAnsi="Arial" w:cs="Arial"/>
            <w:color w:val="auto"/>
            <w:lang w:val="id-ID"/>
          </w:rPr>
          <w:t>https://doi.org/10.2136/sssaj1999.6351055x</w:t>
        </w:r>
      </w:hyperlink>
    </w:p>
    <w:p w14:paraId="4993FFA1" w14:textId="77777777" w:rsidR="009F7D8E" w:rsidRPr="00CD5CEE" w:rsidRDefault="009F7D8E" w:rsidP="009F7D8E">
      <w:pPr>
        <w:ind w:left="567" w:hanging="567"/>
        <w:jc w:val="both"/>
        <w:rPr>
          <w:rFonts w:ascii="Arial" w:hAnsi="Arial" w:cs="Arial"/>
          <w:lang w:val="id-ID"/>
        </w:rPr>
      </w:pPr>
      <w:r w:rsidRPr="00CD5CEE">
        <w:rPr>
          <w:rFonts w:ascii="Arial" w:hAnsi="Arial" w:cs="Arial"/>
          <w:lang w:val="id-ID"/>
        </w:rPr>
        <w:t>Wang, Q., Liao, Z., Yao, D., Yang, Z., Wu, Y., &amp; Tang, C. (2021). Phosphorus immobilization in water and sediment using iron-based materials: a review. Science of the Total Environment, 767, 144246.</w:t>
      </w:r>
    </w:p>
    <w:p w14:paraId="4DC29AA1" w14:textId="77777777" w:rsidR="009F7D8E" w:rsidRPr="00CD5CEE" w:rsidRDefault="009F7D8E" w:rsidP="009F7D8E">
      <w:pPr>
        <w:ind w:left="567" w:hanging="567"/>
        <w:jc w:val="both"/>
        <w:rPr>
          <w:rFonts w:ascii="Arial" w:hAnsi="Arial" w:cs="Arial"/>
          <w:lang w:val="id-ID"/>
        </w:rPr>
      </w:pPr>
      <w:r w:rsidRPr="00CD5CEE">
        <w:rPr>
          <w:rFonts w:ascii="Arial" w:hAnsi="Arial" w:cs="Arial"/>
          <w:lang w:val="id-ID"/>
        </w:rPr>
        <w:t>Wang, Y. L., Gao, Z., Wang, Y., Zhang, Y. H., Zhuang, X. Y., &amp; Zhang, H. (2015). Phosphorus availability and transformation as affected by repeated phosphorus additions in an Ultisol. Communications in Soil Science and Plant Analysis, 46(15), 1922-1933.</w:t>
      </w:r>
    </w:p>
    <w:p w14:paraId="3DB2F5D8" w14:textId="77777777" w:rsidR="009F7D8E" w:rsidRPr="00CD5CEE" w:rsidRDefault="009F7D8E" w:rsidP="009F7D8E">
      <w:pPr>
        <w:ind w:left="567" w:hanging="567"/>
        <w:jc w:val="both"/>
        <w:rPr>
          <w:rFonts w:ascii="Arial" w:hAnsi="Arial" w:cs="Arial"/>
        </w:rPr>
      </w:pPr>
      <w:r w:rsidRPr="00CD5CEE">
        <w:rPr>
          <w:rFonts w:ascii="Arial" w:hAnsi="Arial" w:cs="Arial"/>
        </w:rPr>
        <w:t xml:space="preserve">Wang, Y., Krogstad, T., Clarke, J. L., Hallama, M., Øgaard, A. F., Eich-Greatorex, S., ... &amp; Clarke, N. (2016). Rhizosphere organic anions play a minor role in improving crop species' ability to take up residual phosphorus (P) in agricultural soils low in P availability. Frontiers in Plant Science, 7, 1664. </w:t>
      </w:r>
      <w:hyperlink r:id="rId28" w:history="1">
        <w:r w:rsidRPr="00CD5CEE">
          <w:rPr>
            <w:rStyle w:val="Hyperlink"/>
            <w:rFonts w:ascii="Arial" w:hAnsi="Arial" w:cs="Arial"/>
            <w:color w:val="auto"/>
          </w:rPr>
          <w:t>https://doi.org/10.3389/fpls.2016.01664</w:t>
        </w:r>
      </w:hyperlink>
    </w:p>
    <w:p w14:paraId="158E33C4" w14:textId="77777777" w:rsidR="009F7D8E" w:rsidRPr="00CD5CEE" w:rsidRDefault="009F7D8E" w:rsidP="009F7D8E">
      <w:pPr>
        <w:ind w:left="567" w:hanging="567"/>
        <w:jc w:val="both"/>
        <w:rPr>
          <w:rFonts w:ascii="Arial" w:hAnsi="Arial" w:cs="Arial"/>
          <w:lang w:val="id-ID"/>
        </w:rPr>
      </w:pPr>
      <w:r w:rsidRPr="00CD5CEE">
        <w:rPr>
          <w:rFonts w:ascii="Arial" w:hAnsi="Arial" w:cs="Arial"/>
          <w:lang w:val="id-ID"/>
        </w:rPr>
        <w:t>Wu, Z., Chen, X., Lu, X., Zhu, Y., Han, X., Yan, J., ... &amp; Zou, W. (2024). Impact of combined organic amendments and chemical fertilizers on soil microbial limitations, soil quality, and soybean yield. Plant and Soil, 1-18.</w:t>
      </w:r>
    </w:p>
    <w:p w14:paraId="0B64A6F2" w14:textId="20E53919" w:rsidR="009F7D8E" w:rsidRPr="00CD5CEE" w:rsidRDefault="009F7D8E" w:rsidP="009F7D8E">
      <w:pPr>
        <w:ind w:left="567" w:hanging="567"/>
        <w:jc w:val="both"/>
        <w:rPr>
          <w:rFonts w:ascii="Arial" w:hAnsi="Arial" w:cs="Arial"/>
          <w:lang w:val="id-ID"/>
        </w:rPr>
      </w:pPr>
      <w:r w:rsidRPr="00CD5CEE">
        <w:rPr>
          <w:rFonts w:ascii="Arial" w:hAnsi="Arial" w:cs="Arial"/>
          <w:lang w:val="id-ID"/>
        </w:rPr>
        <w:t>Xiong, Q., Wang, S., Lu, X., Xu, Y., Zhang, L., Chen, X., ... &amp; Ye, X. (2023). The effective combination of humic acid phosphate fertilizer regulating the form transformation of phosphorus and the chemical and microbial mechanism of its phosphorus availability. Agronomy, 13(6), 1581.</w:t>
      </w:r>
    </w:p>
    <w:p w14:paraId="77024B86" w14:textId="77777777" w:rsidR="007424D2" w:rsidRPr="00CD5CEE" w:rsidRDefault="007424D2" w:rsidP="007424D2">
      <w:pPr>
        <w:ind w:left="567" w:hanging="567"/>
        <w:jc w:val="both"/>
        <w:rPr>
          <w:rFonts w:ascii="Arial" w:hAnsi="Arial" w:cs="Arial"/>
        </w:rPr>
      </w:pPr>
      <w:r w:rsidRPr="00CD5CEE">
        <w:rPr>
          <w:rFonts w:ascii="Arial" w:hAnsi="Arial" w:cs="Arial" w:hint="eastAsia"/>
          <w:lang w:eastAsia="zh-CN"/>
        </w:rPr>
        <w:t>Yashona, D. S., Mishra, U. S., &amp; Aher, S. B. (2018). Response of pigeonpea (Cajanus cajan) to sole and combined modes of zinc fertilization. Journal of Pharmacognosy and Phytochemistry, 7(4), 2703-2710.</w:t>
      </w:r>
    </w:p>
    <w:p w14:paraId="14CC2709" w14:textId="6B27D5E3" w:rsidR="007424D2" w:rsidRPr="00CD5CEE" w:rsidRDefault="007424D2" w:rsidP="007424D2">
      <w:pPr>
        <w:ind w:left="567" w:hanging="567"/>
        <w:jc w:val="both"/>
        <w:rPr>
          <w:rFonts w:ascii="Arial" w:hAnsi="Arial" w:cs="Arial"/>
        </w:rPr>
      </w:pPr>
      <w:r w:rsidRPr="00CD5CEE">
        <w:rPr>
          <w:rFonts w:ascii="Arial" w:hAnsi="Arial" w:cs="Arial" w:hint="eastAsia"/>
          <w:lang w:eastAsia="zh-CN"/>
        </w:rPr>
        <w:t>Yashona, D. S., Mishra, U. S., Aher, S. B., Tripathi, A., &amp; Sirothia, P. (2018). Protein and zinc concentration in pigeonpea (Cajanus cajan) under various mode of zinc application. Indian Journal of Agricultural Biochemistry, 31(2), 186-194.</w:t>
      </w:r>
    </w:p>
    <w:p w14:paraId="2F6542FE" w14:textId="77777777" w:rsidR="009F7D8E" w:rsidRPr="00CD5CEE" w:rsidRDefault="009F7D8E" w:rsidP="009F7D8E">
      <w:pPr>
        <w:ind w:left="567" w:hanging="567"/>
        <w:jc w:val="both"/>
        <w:rPr>
          <w:rFonts w:ascii="Arial" w:hAnsi="Arial" w:cs="Arial"/>
        </w:rPr>
      </w:pPr>
      <w:r w:rsidRPr="00CD5CEE">
        <w:rPr>
          <w:rFonts w:ascii="Arial" w:hAnsi="Arial" w:cs="Arial"/>
        </w:rPr>
        <w:t xml:space="preserve">Zhou, H., Chen, C., Wang, D., Arthur, E., Zhang, Z., Guo, Z., ... &amp; Mooney, S. J. (2020). Effect of long-term organic amendments on the full-range soil water retention characteristics of a Vertisol. Soil and Tillage Research, 202, 104663. </w:t>
      </w:r>
    </w:p>
    <w:p w14:paraId="6284545C" w14:textId="77777777" w:rsidR="00B01FCD" w:rsidRPr="00CD5CEE" w:rsidRDefault="00B01FCD" w:rsidP="00441B6F">
      <w:pPr>
        <w:pStyle w:val="Reference"/>
        <w:numPr>
          <w:ilvl w:val="0"/>
          <w:numId w:val="0"/>
        </w:numPr>
        <w:spacing w:line="240" w:lineRule="auto"/>
        <w:rPr>
          <w:rFonts w:ascii="Arial" w:hAnsi="Arial" w:cs="Arial"/>
        </w:rPr>
      </w:pPr>
    </w:p>
    <w:p w14:paraId="7A1B68E7" w14:textId="0537AC87" w:rsidR="00B01FCD" w:rsidRPr="00CD5CEE" w:rsidRDefault="00B01FCD" w:rsidP="009F7D8E">
      <w:pPr>
        <w:pStyle w:val="DefAcrHead"/>
        <w:spacing w:after="0"/>
        <w:jc w:val="both"/>
        <w:rPr>
          <w:rFonts w:ascii="Arial" w:hAnsi="Arial" w:cs="Arial"/>
        </w:rPr>
      </w:pPr>
    </w:p>
    <w:p w14:paraId="08945F3B" w14:textId="77777777" w:rsidR="00790ADA" w:rsidRPr="00CD5CEE" w:rsidRDefault="00790ADA" w:rsidP="00441B6F">
      <w:pPr>
        <w:pStyle w:val="Body"/>
        <w:spacing w:after="0"/>
        <w:rPr>
          <w:rFonts w:ascii="Arial" w:hAnsi="Arial" w:cs="Arial"/>
        </w:rPr>
      </w:pPr>
    </w:p>
    <w:p w14:paraId="3F1610E8" w14:textId="4E8DD674" w:rsidR="004D4277" w:rsidRPr="00CD5CEE" w:rsidRDefault="004D4277" w:rsidP="00441B6F">
      <w:pPr>
        <w:pStyle w:val="Appendix"/>
        <w:spacing w:after="0"/>
        <w:jc w:val="both"/>
        <w:rPr>
          <w:rFonts w:ascii="Arial" w:hAnsi="Arial" w:cs="Arial"/>
          <w:b w:val="0"/>
        </w:rPr>
        <w:sectPr w:rsidR="004D4277" w:rsidRPr="00CD5CEE" w:rsidSect="00C11097">
          <w:headerReference w:type="even" r:id="rId29"/>
          <w:headerReference w:type="default" r:id="rId30"/>
          <w:footerReference w:type="default" r:id="rId31"/>
          <w:headerReference w:type="first" r:id="rId32"/>
          <w:type w:val="continuous"/>
          <w:pgSz w:w="12240" w:h="15840"/>
          <w:pgMar w:top="1440" w:right="2016" w:bottom="2016" w:left="2016" w:header="720" w:footer="1123" w:gutter="0"/>
          <w:cols w:space="720"/>
          <w:docGrid w:linePitch="272"/>
        </w:sectPr>
      </w:pPr>
    </w:p>
    <w:p w14:paraId="4C937025" w14:textId="77777777" w:rsidR="00B01FCD" w:rsidRPr="00CD5CEE" w:rsidRDefault="00B01FCD" w:rsidP="00441B6F">
      <w:pPr>
        <w:pStyle w:val="Appendix"/>
        <w:spacing w:after="0"/>
        <w:jc w:val="both"/>
        <w:rPr>
          <w:rFonts w:ascii="Arial" w:hAnsi="Arial" w:cs="Arial"/>
          <w:b w:val="0"/>
        </w:rPr>
      </w:pPr>
    </w:p>
    <w:p w14:paraId="0C145A3E" w14:textId="77777777" w:rsidR="005D337A" w:rsidRPr="006134C3" w:rsidRDefault="005D337A">
      <w:pPr>
        <w:pStyle w:val="Appendix"/>
        <w:spacing w:after="0"/>
        <w:jc w:val="both"/>
        <w:rPr>
          <w:rFonts w:ascii="Arial" w:hAnsi="Arial" w:cs="Arial"/>
          <w:b w:val="0"/>
        </w:rPr>
      </w:pPr>
    </w:p>
    <w:sectPr w:rsidR="005D337A" w:rsidRPr="006134C3" w:rsidSect="00C1109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977C2" w14:textId="77777777" w:rsidR="00671622" w:rsidRDefault="00671622" w:rsidP="00C37E61">
      <w:r>
        <w:separator/>
      </w:r>
    </w:p>
  </w:endnote>
  <w:endnote w:type="continuationSeparator" w:id="0">
    <w:p w14:paraId="54165F52" w14:textId="77777777" w:rsidR="00671622" w:rsidRDefault="0067162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D478" w14:textId="77777777" w:rsidR="00D22938" w:rsidRDefault="00D22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9120" w14:textId="4440196F" w:rsidR="006134C3" w:rsidRDefault="006134C3" w:rsidP="00C37E61">
    <w:pPr>
      <w:pStyle w:val="Footer"/>
    </w:pPr>
  </w:p>
  <w:p w14:paraId="6A1C949C" w14:textId="138CDA3C" w:rsidR="006134C3" w:rsidRDefault="006134C3"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0542" w14:textId="77777777" w:rsidR="009E048A" w:rsidRDefault="009E048A">
    <w:pPr>
      <w:pStyle w:val="Footer"/>
      <w:rPr>
        <w:rFonts w:ascii="Arial" w:hAnsi="Arial" w:cs="Arial"/>
        <w:sz w:val="16"/>
      </w:rPr>
    </w:pPr>
  </w:p>
  <w:p w14:paraId="681F5E8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67B8CE3" w14:textId="77777777" w:rsidR="009E048A" w:rsidRDefault="009E048A">
    <w:pPr>
      <w:pStyle w:val="Footer"/>
      <w:rPr>
        <w:rFonts w:ascii="Arial" w:hAnsi="Arial" w:cs="Arial"/>
        <w:sz w:val="16"/>
      </w:rPr>
    </w:pPr>
  </w:p>
  <w:p w14:paraId="1CD89A6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34B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D600" w14:textId="77777777" w:rsidR="00671622" w:rsidRDefault="00671622" w:rsidP="00C37E61">
      <w:r>
        <w:separator/>
      </w:r>
    </w:p>
  </w:footnote>
  <w:footnote w:type="continuationSeparator" w:id="0">
    <w:p w14:paraId="0917C6B9" w14:textId="77777777" w:rsidR="00671622" w:rsidRDefault="0067162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1003" w14:textId="7559C427" w:rsidR="00D22938" w:rsidRDefault="00F16E5D">
    <w:pPr>
      <w:pStyle w:val="Header"/>
    </w:pPr>
    <w:r>
      <w:rPr>
        <w:noProof/>
      </w:rPr>
      <w:pict w14:anchorId="5BF58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6304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15EB" w14:textId="41F67F4F" w:rsidR="00D22938" w:rsidRDefault="00F16E5D">
    <w:pPr>
      <w:pStyle w:val="Header"/>
    </w:pPr>
    <w:r>
      <w:rPr>
        <w:noProof/>
      </w:rPr>
      <w:pict w14:anchorId="041F5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6304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E0C6" w14:textId="1128E5A1" w:rsidR="00296529" w:rsidRPr="00296529" w:rsidRDefault="00F16E5D" w:rsidP="00296529">
    <w:pPr>
      <w:ind w:left="2160"/>
      <w:jc w:val="center"/>
      <w:rPr>
        <w:rFonts w:ascii="Times New Roman" w:eastAsia="Calibri" w:hAnsi="Times New Roman"/>
        <w:i/>
        <w:sz w:val="18"/>
        <w:szCs w:val="22"/>
      </w:rPr>
    </w:pPr>
    <w:r>
      <w:rPr>
        <w:noProof/>
      </w:rPr>
      <w:pict w14:anchorId="23AF2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6304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730D67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7A1229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BBA03D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A32B71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6A6884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DC6077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3856" w14:textId="3FCFF52B" w:rsidR="00D22938" w:rsidRDefault="00F16E5D">
    <w:pPr>
      <w:pStyle w:val="Header"/>
    </w:pPr>
    <w:r>
      <w:rPr>
        <w:noProof/>
      </w:rPr>
      <w:pict w14:anchorId="2F969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6304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98EB" w14:textId="746FEEF8" w:rsidR="00D22938" w:rsidRDefault="00F16E5D">
    <w:pPr>
      <w:pStyle w:val="Header"/>
    </w:pPr>
    <w:r>
      <w:rPr>
        <w:noProof/>
      </w:rPr>
      <w:pict w14:anchorId="5956D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6304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706F" w14:textId="759CBD4D" w:rsidR="00D22938" w:rsidRDefault="00F16E5D">
    <w:pPr>
      <w:pStyle w:val="Header"/>
    </w:pPr>
    <w:r>
      <w:rPr>
        <w:noProof/>
      </w:rPr>
      <w:pict w14:anchorId="200B8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6304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312945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4280336">
    <w:abstractNumId w:val="15"/>
  </w:num>
  <w:num w:numId="3" w16cid:durableId="1397315741">
    <w:abstractNumId w:val="23"/>
  </w:num>
  <w:num w:numId="4" w16cid:durableId="113364385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95284211">
    <w:abstractNumId w:val="7"/>
  </w:num>
  <w:num w:numId="6" w16cid:durableId="104279011">
    <w:abstractNumId w:val="6"/>
  </w:num>
  <w:num w:numId="7" w16cid:durableId="267590260">
    <w:abstractNumId w:val="1"/>
  </w:num>
  <w:num w:numId="8" w16cid:durableId="1058477428">
    <w:abstractNumId w:val="12"/>
  </w:num>
  <w:num w:numId="9" w16cid:durableId="1867598580">
    <w:abstractNumId w:val="25"/>
  </w:num>
  <w:num w:numId="10" w16cid:durableId="793643993">
    <w:abstractNumId w:val="2"/>
  </w:num>
  <w:num w:numId="11" w16cid:durableId="248657149">
    <w:abstractNumId w:val="18"/>
  </w:num>
  <w:num w:numId="12" w16cid:durableId="1851140332">
    <w:abstractNumId w:val="3"/>
  </w:num>
  <w:num w:numId="13" w16cid:durableId="521625687">
    <w:abstractNumId w:val="17"/>
  </w:num>
  <w:num w:numId="14" w16cid:durableId="1838576122">
    <w:abstractNumId w:val="8"/>
  </w:num>
  <w:num w:numId="15" w16cid:durableId="756053177">
    <w:abstractNumId w:val="21"/>
  </w:num>
  <w:num w:numId="16" w16cid:durableId="1901213990">
    <w:abstractNumId w:val="5"/>
  </w:num>
  <w:num w:numId="17" w16cid:durableId="856621714">
    <w:abstractNumId w:val="22"/>
  </w:num>
  <w:num w:numId="18" w16cid:durableId="969361601">
    <w:abstractNumId w:val="14"/>
  </w:num>
  <w:num w:numId="19" w16cid:durableId="1229727383">
    <w:abstractNumId w:val="28"/>
  </w:num>
  <w:num w:numId="20" w16cid:durableId="923152450">
    <w:abstractNumId w:val="11"/>
  </w:num>
  <w:num w:numId="21" w16cid:durableId="1327250743">
    <w:abstractNumId w:val="9"/>
  </w:num>
  <w:num w:numId="22" w16cid:durableId="233900228">
    <w:abstractNumId w:val="13"/>
  </w:num>
  <w:num w:numId="23" w16cid:durableId="1687053513">
    <w:abstractNumId w:val="19"/>
  </w:num>
  <w:num w:numId="24" w16cid:durableId="1351641820">
    <w:abstractNumId w:val="26"/>
  </w:num>
  <w:num w:numId="25" w16cid:durableId="2111654006">
    <w:abstractNumId w:val="4"/>
  </w:num>
  <w:num w:numId="26" w16cid:durableId="219826874">
    <w:abstractNumId w:val="16"/>
  </w:num>
  <w:num w:numId="27" w16cid:durableId="189339366">
    <w:abstractNumId w:val="20"/>
  </w:num>
  <w:num w:numId="28" w16cid:durableId="808671414">
    <w:abstractNumId w:val="27"/>
  </w:num>
  <w:num w:numId="29" w16cid:durableId="1056321545">
    <w:abstractNumId w:val="24"/>
  </w:num>
  <w:num w:numId="30" w16cid:durableId="4090819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46E29"/>
    <w:rsid w:val="000640B0"/>
    <w:rsid w:val="000733D2"/>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B6BB9"/>
    <w:rsid w:val="001B6E6C"/>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0DC4"/>
    <w:rsid w:val="00412475"/>
    <w:rsid w:val="00423789"/>
    <w:rsid w:val="00440F43"/>
    <w:rsid w:val="00441B6F"/>
    <w:rsid w:val="00446221"/>
    <w:rsid w:val="00450E62"/>
    <w:rsid w:val="004539DB"/>
    <w:rsid w:val="00471A80"/>
    <w:rsid w:val="004D2689"/>
    <w:rsid w:val="004D305E"/>
    <w:rsid w:val="004D4277"/>
    <w:rsid w:val="004F2E2E"/>
    <w:rsid w:val="00502516"/>
    <w:rsid w:val="00505F06"/>
    <w:rsid w:val="00506828"/>
    <w:rsid w:val="0053056E"/>
    <w:rsid w:val="00554FDA"/>
    <w:rsid w:val="005C784C"/>
    <w:rsid w:val="005D17F6"/>
    <w:rsid w:val="005D337A"/>
    <w:rsid w:val="005E5539"/>
    <w:rsid w:val="00602BF5"/>
    <w:rsid w:val="006134C3"/>
    <w:rsid w:val="00617FDD"/>
    <w:rsid w:val="00633614"/>
    <w:rsid w:val="00633F68"/>
    <w:rsid w:val="00636EB2"/>
    <w:rsid w:val="006375B8"/>
    <w:rsid w:val="0066510A"/>
    <w:rsid w:val="00671622"/>
    <w:rsid w:val="00673F9F"/>
    <w:rsid w:val="00686953"/>
    <w:rsid w:val="00687DEA"/>
    <w:rsid w:val="00687E67"/>
    <w:rsid w:val="006967F7"/>
    <w:rsid w:val="006A250C"/>
    <w:rsid w:val="006B21D3"/>
    <w:rsid w:val="006B57D0"/>
    <w:rsid w:val="006D30FF"/>
    <w:rsid w:val="006D6940"/>
    <w:rsid w:val="006F11EC"/>
    <w:rsid w:val="006F384B"/>
    <w:rsid w:val="0070082C"/>
    <w:rsid w:val="007369E6"/>
    <w:rsid w:val="007424D2"/>
    <w:rsid w:val="00746E59"/>
    <w:rsid w:val="00754C9A"/>
    <w:rsid w:val="0075599A"/>
    <w:rsid w:val="00761D52"/>
    <w:rsid w:val="0077749E"/>
    <w:rsid w:val="00790ADA"/>
    <w:rsid w:val="007D2288"/>
    <w:rsid w:val="007E088F"/>
    <w:rsid w:val="007F7B32"/>
    <w:rsid w:val="00804BC2"/>
    <w:rsid w:val="0081431A"/>
    <w:rsid w:val="0083216F"/>
    <w:rsid w:val="00834519"/>
    <w:rsid w:val="00860000"/>
    <w:rsid w:val="00863BD3"/>
    <w:rsid w:val="008641ED"/>
    <w:rsid w:val="00866D66"/>
    <w:rsid w:val="008671C6"/>
    <w:rsid w:val="00870B4A"/>
    <w:rsid w:val="00875803"/>
    <w:rsid w:val="0089174B"/>
    <w:rsid w:val="008A185A"/>
    <w:rsid w:val="008B459E"/>
    <w:rsid w:val="008E13AE"/>
    <w:rsid w:val="008E1506"/>
    <w:rsid w:val="008E710C"/>
    <w:rsid w:val="008F69D6"/>
    <w:rsid w:val="00902823"/>
    <w:rsid w:val="00915CA6"/>
    <w:rsid w:val="0092646C"/>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3925"/>
    <w:rsid w:val="009F7D8E"/>
    <w:rsid w:val="00A03B96"/>
    <w:rsid w:val="00A05B19"/>
    <w:rsid w:val="00A1134E"/>
    <w:rsid w:val="00A24E7E"/>
    <w:rsid w:val="00A258C3"/>
    <w:rsid w:val="00A347C0"/>
    <w:rsid w:val="00A4351A"/>
    <w:rsid w:val="00A51431"/>
    <w:rsid w:val="00A539AD"/>
    <w:rsid w:val="00A94063"/>
    <w:rsid w:val="00AA6219"/>
    <w:rsid w:val="00AA74E0"/>
    <w:rsid w:val="00AB703F"/>
    <w:rsid w:val="00AC6BB8"/>
    <w:rsid w:val="00AE008F"/>
    <w:rsid w:val="00B01FCD"/>
    <w:rsid w:val="00B040C6"/>
    <w:rsid w:val="00B1776C"/>
    <w:rsid w:val="00B52583"/>
    <w:rsid w:val="00B52896"/>
    <w:rsid w:val="00B95236"/>
    <w:rsid w:val="00B96BD9"/>
    <w:rsid w:val="00BA1B01"/>
    <w:rsid w:val="00BA2641"/>
    <w:rsid w:val="00BB37AA"/>
    <w:rsid w:val="00BC53A0"/>
    <w:rsid w:val="00BE62AD"/>
    <w:rsid w:val="00BF121F"/>
    <w:rsid w:val="00BF1F80"/>
    <w:rsid w:val="00C11097"/>
    <w:rsid w:val="00C166EF"/>
    <w:rsid w:val="00C17EB0"/>
    <w:rsid w:val="00C17F84"/>
    <w:rsid w:val="00C27F5F"/>
    <w:rsid w:val="00C30A0F"/>
    <w:rsid w:val="00C37E61"/>
    <w:rsid w:val="00C70F1B"/>
    <w:rsid w:val="00C71A47"/>
    <w:rsid w:val="00C7464C"/>
    <w:rsid w:val="00C85588"/>
    <w:rsid w:val="00CA4F15"/>
    <w:rsid w:val="00CB5CBF"/>
    <w:rsid w:val="00CD5CEE"/>
    <w:rsid w:val="00CD6755"/>
    <w:rsid w:val="00CD6856"/>
    <w:rsid w:val="00CE0089"/>
    <w:rsid w:val="00CE793C"/>
    <w:rsid w:val="00CF193C"/>
    <w:rsid w:val="00D173F1"/>
    <w:rsid w:val="00D22938"/>
    <w:rsid w:val="00D64379"/>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0B11"/>
    <w:rsid w:val="00EA012C"/>
    <w:rsid w:val="00EC6A55"/>
    <w:rsid w:val="00ED0288"/>
    <w:rsid w:val="00EE52CB"/>
    <w:rsid w:val="00EF581D"/>
    <w:rsid w:val="00EF7FD8"/>
    <w:rsid w:val="00F06F59"/>
    <w:rsid w:val="00F14CFF"/>
    <w:rsid w:val="00F16E5D"/>
    <w:rsid w:val="00F17988"/>
    <w:rsid w:val="00F469F0"/>
    <w:rsid w:val="00F53273"/>
    <w:rsid w:val="00F755E4"/>
    <w:rsid w:val="00F77D02"/>
    <w:rsid w:val="00F827AF"/>
    <w:rsid w:val="00FB3A86"/>
    <w:rsid w:val="00FB76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9CD505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CEE"/>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827AF"/>
    <w:pPr>
      <w:spacing w:after="200" w:line="276" w:lineRule="auto"/>
      <w:ind w:left="720"/>
      <w:contextualSpacing/>
    </w:pPr>
    <w:rPr>
      <w:rFonts w:asciiTheme="minorHAnsi" w:eastAsiaTheme="minorHAnsi" w:hAnsiTheme="minorHAnsi" w:cstheme="minorBidi"/>
      <w:sz w:val="22"/>
      <w:szCs w:val="22"/>
      <w:lang w:val="en"/>
    </w:rPr>
  </w:style>
  <w:style w:type="paragraph" w:styleId="BodyText">
    <w:name w:val="Body Text"/>
    <w:basedOn w:val="Normal"/>
    <w:link w:val="BodyTextChar"/>
    <w:unhideWhenUsed/>
    <w:rsid w:val="00F827AF"/>
    <w:pPr>
      <w:spacing w:after="120"/>
    </w:pPr>
  </w:style>
  <w:style w:type="character" w:customStyle="1" w:styleId="BodyTextChar">
    <w:name w:val="Body Text Char"/>
    <w:basedOn w:val="DefaultParagraphFont"/>
    <w:link w:val="BodyText"/>
    <w:rsid w:val="00F827A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hyperlink" Target="https://doi.org/10.1104/pp.116.2.447" TargetMode="Externa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yperlink" Target="https://doi.org/10.1104/pp.111.17544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11/j.1469-8137.2011.03952.x"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1016/j.biortech.2003.10.014" TargetMode="External"/><Relationship Id="rId28" Type="http://schemas.openxmlformats.org/officeDocument/2006/relationships/hyperlink" Target="https://doi.org/10.3389/fpls.2016.01664" TargetMode="Externa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10.1016/j.still.2016.02.003" TargetMode="External"/><Relationship Id="rId27" Type="http://schemas.openxmlformats.org/officeDocument/2006/relationships/hyperlink" Target="https://doi.org/10.2136/sssaj1999.6351055x" TargetMode="External"/><Relationship Id="rId30" Type="http://schemas.openxmlformats.org/officeDocument/2006/relationships/header" Target="header5.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OneDrive\Documents\Draft%20proposal%20&amp;%20Skripsi\Data%20Penelitian%20Faidah%20sia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OneDrive\Documents\Draft%20proposal%20&amp;%20Skripsi\Data%20Penelitian%20Faidah%20sia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US\OneDrive\Documents\Draft%20proposal%20&amp;%20Skripsi\Data%20Penelitian%20Faidah%20siap.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OneDrive\Documents\Draft%20proposal%20&amp;%20Skripsi\Data%20Penelitian%20Faidah%20siap.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OneDrive\Documents\Draft%20proposal%20&amp;%20Skripsi\Data%20Penelitian%20Faidah%20siap.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SUS\OneDrive\Documents\Draft%20proposal%20&amp;%20Skripsi\Data%20Penelitian%20Faidah%20siap.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d.docs.live.net/4b2e745cad7528ad/Documents/Jurnal%20faidah/DATA%20MENTAH%20FAIDAH.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SUS\OneDrive\Documents\Draft%20proposal%20&amp;%20Skripsi\Data%20Penelitian%20Faidah%20sia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latin typeface="Times New Roman" pitchFamily="18" charset="0"/>
                <a:cs typeface="Times New Roman" pitchFamily="18" charset="0"/>
              </a:defRPr>
            </a:pPr>
            <a:r>
              <a:rPr lang="en" sz="1000" b="0">
                <a:latin typeface="Arial" panose="020B0604020202020204" pitchFamily="34" charset="0"/>
                <a:cs typeface="Arial" panose="020B0604020202020204" pitchFamily="34" charset="0"/>
              </a:rPr>
              <a:t>Week</a:t>
            </a:r>
            <a:r>
              <a:rPr lang="en" sz="1100" b="0">
                <a:latin typeface="Times New Roman" pitchFamily="18" charset="0"/>
                <a:cs typeface="Times New Roman" pitchFamily="18" charset="0"/>
              </a:rPr>
              <a:t> </a:t>
            </a:r>
            <a:endParaRPr lang="en-US" sz="1100" b="0">
              <a:latin typeface="Times New Roman" pitchFamily="18" charset="0"/>
              <a:cs typeface="Times New Roman" pitchFamily="18" charset="0"/>
            </a:endParaRPr>
          </a:p>
        </c:rich>
      </c:tx>
      <c:layout>
        <c:manualLayout>
          <c:xMode val="edge"/>
          <c:yMode val="edge"/>
          <c:x val="0.4570166283522718"/>
          <c:y val="0.92937853107344637"/>
        </c:manualLayout>
      </c:layout>
      <c:overlay val="0"/>
    </c:title>
    <c:autoTitleDeleted val="0"/>
    <c:plotArea>
      <c:layout>
        <c:manualLayout>
          <c:layoutTarget val="inner"/>
          <c:xMode val="edge"/>
          <c:yMode val="edge"/>
          <c:x val="0.11579695503461743"/>
          <c:y val="0.15848169402553494"/>
          <c:w val="0.77046043700824141"/>
          <c:h val="0.70019996441122834"/>
        </c:manualLayout>
      </c:layout>
      <c:lineChart>
        <c:grouping val="standard"/>
        <c:varyColors val="0"/>
        <c:ser>
          <c:idx val="0"/>
          <c:order val="0"/>
          <c:tx>
            <c:strRef>
              <c:f>'Tinggi Tanaman'!$J$56</c:f>
              <c:strCache>
                <c:ptCount val="1"/>
                <c:pt idx="0">
                  <c:v>K0S0</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Tanaman'!$K$56:$O$56</c:f>
              <c:numCache>
                <c:formatCode>General</c:formatCode>
                <c:ptCount val="5"/>
                <c:pt idx="0">
                  <c:v>15.82</c:v>
                </c:pt>
                <c:pt idx="1">
                  <c:v>19.52</c:v>
                </c:pt>
                <c:pt idx="2">
                  <c:v>50.93</c:v>
                </c:pt>
                <c:pt idx="3">
                  <c:v>60.2</c:v>
                </c:pt>
                <c:pt idx="4">
                  <c:v>73.8</c:v>
                </c:pt>
              </c:numCache>
            </c:numRef>
          </c:val>
          <c:smooth val="0"/>
          <c:extLst>
            <c:ext xmlns:c16="http://schemas.microsoft.com/office/drawing/2014/chart" uri="{C3380CC4-5D6E-409C-BE32-E72D297353CC}">
              <c16:uniqueId val="{00000000-E6F7-4FBA-956E-B7B12065C1EE}"/>
            </c:ext>
          </c:extLst>
        </c:ser>
        <c:ser>
          <c:idx val="1"/>
          <c:order val="1"/>
          <c:tx>
            <c:strRef>
              <c:f>'Tinggi Tanaman'!$J$57</c:f>
              <c:strCache>
                <c:ptCount val="1"/>
                <c:pt idx="0">
                  <c:v>K0S1</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Tanaman'!$K$57:$O$57</c:f>
              <c:numCache>
                <c:formatCode>General</c:formatCode>
                <c:ptCount val="5"/>
                <c:pt idx="0">
                  <c:v>15.23</c:v>
                </c:pt>
                <c:pt idx="1">
                  <c:v>19.690000000000001</c:v>
                </c:pt>
                <c:pt idx="2">
                  <c:v>49.93</c:v>
                </c:pt>
                <c:pt idx="3">
                  <c:v>63.13</c:v>
                </c:pt>
                <c:pt idx="4">
                  <c:v>77.33</c:v>
                </c:pt>
              </c:numCache>
            </c:numRef>
          </c:val>
          <c:smooth val="0"/>
          <c:extLst>
            <c:ext xmlns:c16="http://schemas.microsoft.com/office/drawing/2014/chart" uri="{C3380CC4-5D6E-409C-BE32-E72D297353CC}">
              <c16:uniqueId val="{00000001-E6F7-4FBA-956E-B7B12065C1EE}"/>
            </c:ext>
          </c:extLst>
        </c:ser>
        <c:ser>
          <c:idx val="2"/>
          <c:order val="2"/>
          <c:tx>
            <c:strRef>
              <c:f>'Tinggi Tanaman'!$J$58</c:f>
              <c:strCache>
                <c:ptCount val="1"/>
                <c:pt idx="0">
                  <c:v>K0S2</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Tanaman'!$K$58:$O$58</c:f>
              <c:numCache>
                <c:formatCode>General</c:formatCode>
                <c:ptCount val="5"/>
                <c:pt idx="0">
                  <c:v>14.86</c:v>
                </c:pt>
                <c:pt idx="1">
                  <c:v>20.16</c:v>
                </c:pt>
                <c:pt idx="2">
                  <c:v>47.13</c:v>
                </c:pt>
                <c:pt idx="3">
                  <c:v>63.66</c:v>
                </c:pt>
                <c:pt idx="4">
                  <c:v>74.930000000000007</c:v>
                </c:pt>
              </c:numCache>
            </c:numRef>
          </c:val>
          <c:smooth val="0"/>
          <c:extLst>
            <c:ext xmlns:c16="http://schemas.microsoft.com/office/drawing/2014/chart" uri="{C3380CC4-5D6E-409C-BE32-E72D297353CC}">
              <c16:uniqueId val="{00000002-E6F7-4FBA-956E-B7B12065C1EE}"/>
            </c:ext>
          </c:extLst>
        </c:ser>
        <c:ser>
          <c:idx val="3"/>
          <c:order val="3"/>
          <c:tx>
            <c:strRef>
              <c:f>'Tinggi Tanaman'!$J$59</c:f>
              <c:strCache>
                <c:ptCount val="1"/>
                <c:pt idx="0">
                  <c:v>K0S3</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Tanaman'!$K$59:$O$59</c:f>
              <c:numCache>
                <c:formatCode>General</c:formatCode>
                <c:ptCount val="5"/>
                <c:pt idx="0">
                  <c:v>15.06</c:v>
                </c:pt>
                <c:pt idx="1">
                  <c:v>19.46</c:v>
                </c:pt>
                <c:pt idx="2">
                  <c:v>46.6</c:v>
                </c:pt>
                <c:pt idx="3">
                  <c:v>61.2</c:v>
                </c:pt>
                <c:pt idx="4">
                  <c:v>74.73</c:v>
                </c:pt>
              </c:numCache>
            </c:numRef>
          </c:val>
          <c:smooth val="0"/>
          <c:extLst>
            <c:ext xmlns:c16="http://schemas.microsoft.com/office/drawing/2014/chart" uri="{C3380CC4-5D6E-409C-BE32-E72D297353CC}">
              <c16:uniqueId val="{00000003-E6F7-4FBA-956E-B7B12065C1EE}"/>
            </c:ext>
          </c:extLst>
        </c:ser>
        <c:ser>
          <c:idx val="4"/>
          <c:order val="4"/>
          <c:tx>
            <c:strRef>
              <c:f>'Tinggi Tanaman'!$J$60</c:f>
              <c:strCache>
                <c:ptCount val="1"/>
                <c:pt idx="0">
                  <c:v>K1S0</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Tanaman'!$K$60:$O$60</c:f>
              <c:numCache>
                <c:formatCode>General</c:formatCode>
                <c:ptCount val="5"/>
                <c:pt idx="0">
                  <c:v>15.36</c:v>
                </c:pt>
                <c:pt idx="1">
                  <c:v>20.23</c:v>
                </c:pt>
                <c:pt idx="2">
                  <c:v>53.6</c:v>
                </c:pt>
                <c:pt idx="3">
                  <c:v>63.73</c:v>
                </c:pt>
                <c:pt idx="4">
                  <c:v>79.930000000000007</c:v>
                </c:pt>
              </c:numCache>
            </c:numRef>
          </c:val>
          <c:smooth val="0"/>
          <c:extLst>
            <c:ext xmlns:c16="http://schemas.microsoft.com/office/drawing/2014/chart" uri="{C3380CC4-5D6E-409C-BE32-E72D297353CC}">
              <c16:uniqueId val="{00000004-E6F7-4FBA-956E-B7B12065C1EE}"/>
            </c:ext>
          </c:extLst>
        </c:ser>
        <c:ser>
          <c:idx val="5"/>
          <c:order val="5"/>
          <c:tx>
            <c:strRef>
              <c:f>'Tinggi Tanaman'!$J$61</c:f>
              <c:strCache>
                <c:ptCount val="1"/>
                <c:pt idx="0">
                  <c:v>K1S1</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Tanaman'!$K$61:$O$61</c:f>
              <c:numCache>
                <c:formatCode>General</c:formatCode>
                <c:ptCount val="5"/>
                <c:pt idx="0">
                  <c:v>14.36</c:v>
                </c:pt>
                <c:pt idx="1">
                  <c:v>20.059999999999999</c:v>
                </c:pt>
                <c:pt idx="2">
                  <c:v>56</c:v>
                </c:pt>
                <c:pt idx="3">
                  <c:v>67.66</c:v>
                </c:pt>
                <c:pt idx="4">
                  <c:v>80.260000000000005</c:v>
                </c:pt>
              </c:numCache>
            </c:numRef>
          </c:val>
          <c:smooth val="0"/>
          <c:extLst>
            <c:ext xmlns:c16="http://schemas.microsoft.com/office/drawing/2014/chart" uri="{C3380CC4-5D6E-409C-BE32-E72D297353CC}">
              <c16:uniqueId val="{00000005-E6F7-4FBA-956E-B7B12065C1EE}"/>
            </c:ext>
          </c:extLst>
        </c:ser>
        <c:ser>
          <c:idx val="6"/>
          <c:order val="6"/>
          <c:tx>
            <c:strRef>
              <c:f>'Tinggi Tanaman'!$J$62</c:f>
              <c:strCache>
                <c:ptCount val="1"/>
                <c:pt idx="0">
                  <c:v>K1S2</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Tanaman'!$K$62:$O$62</c:f>
              <c:numCache>
                <c:formatCode>General</c:formatCode>
                <c:ptCount val="5"/>
                <c:pt idx="0">
                  <c:v>15.5</c:v>
                </c:pt>
                <c:pt idx="1">
                  <c:v>20.260000000000002</c:v>
                </c:pt>
                <c:pt idx="2">
                  <c:v>53.73</c:v>
                </c:pt>
                <c:pt idx="3">
                  <c:v>64.400000000000006</c:v>
                </c:pt>
                <c:pt idx="4">
                  <c:v>79.53</c:v>
                </c:pt>
              </c:numCache>
            </c:numRef>
          </c:val>
          <c:smooth val="0"/>
          <c:extLst>
            <c:ext xmlns:c16="http://schemas.microsoft.com/office/drawing/2014/chart" uri="{C3380CC4-5D6E-409C-BE32-E72D297353CC}">
              <c16:uniqueId val="{00000006-E6F7-4FBA-956E-B7B12065C1EE}"/>
            </c:ext>
          </c:extLst>
        </c:ser>
        <c:ser>
          <c:idx val="7"/>
          <c:order val="7"/>
          <c:tx>
            <c:strRef>
              <c:f>'Tinggi Tanaman'!$J$63</c:f>
              <c:strCache>
                <c:ptCount val="1"/>
                <c:pt idx="0">
                  <c:v>K1S3</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Tanaman'!$K$63:$O$63</c:f>
              <c:numCache>
                <c:formatCode>General</c:formatCode>
                <c:ptCount val="5"/>
                <c:pt idx="0">
                  <c:v>14.73</c:v>
                </c:pt>
                <c:pt idx="1">
                  <c:v>19.420000000000002</c:v>
                </c:pt>
                <c:pt idx="2">
                  <c:v>51.73</c:v>
                </c:pt>
                <c:pt idx="3">
                  <c:v>67.53</c:v>
                </c:pt>
                <c:pt idx="4">
                  <c:v>80.8</c:v>
                </c:pt>
              </c:numCache>
            </c:numRef>
          </c:val>
          <c:smooth val="0"/>
          <c:extLst>
            <c:ext xmlns:c16="http://schemas.microsoft.com/office/drawing/2014/chart" uri="{C3380CC4-5D6E-409C-BE32-E72D297353CC}">
              <c16:uniqueId val="{00000007-E6F7-4FBA-956E-B7B12065C1EE}"/>
            </c:ext>
          </c:extLst>
        </c:ser>
        <c:ser>
          <c:idx val="8"/>
          <c:order val="8"/>
          <c:tx>
            <c:strRef>
              <c:f>'Tinggi Tanaman'!$J$64</c:f>
              <c:strCache>
                <c:ptCount val="1"/>
                <c:pt idx="0">
                  <c:v>K2S0</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Tanaman'!$K$64:$O$64</c:f>
              <c:numCache>
                <c:formatCode>General</c:formatCode>
                <c:ptCount val="5"/>
                <c:pt idx="0">
                  <c:v>15.96</c:v>
                </c:pt>
                <c:pt idx="1">
                  <c:v>21.3</c:v>
                </c:pt>
                <c:pt idx="2">
                  <c:v>53.93</c:v>
                </c:pt>
                <c:pt idx="3">
                  <c:v>64.260000000000005</c:v>
                </c:pt>
                <c:pt idx="4">
                  <c:v>81.13</c:v>
                </c:pt>
              </c:numCache>
            </c:numRef>
          </c:val>
          <c:smooth val="0"/>
          <c:extLst>
            <c:ext xmlns:c16="http://schemas.microsoft.com/office/drawing/2014/chart" uri="{C3380CC4-5D6E-409C-BE32-E72D297353CC}">
              <c16:uniqueId val="{00000008-E6F7-4FBA-956E-B7B12065C1EE}"/>
            </c:ext>
          </c:extLst>
        </c:ser>
        <c:ser>
          <c:idx val="9"/>
          <c:order val="9"/>
          <c:tx>
            <c:strRef>
              <c:f>'Tinggi Tanaman'!$J$65</c:f>
              <c:strCache>
                <c:ptCount val="1"/>
                <c:pt idx="0">
                  <c:v>K2S1</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Tanaman'!$K$65:$O$65</c:f>
              <c:numCache>
                <c:formatCode>General</c:formatCode>
                <c:ptCount val="5"/>
                <c:pt idx="0">
                  <c:v>15.63</c:v>
                </c:pt>
                <c:pt idx="1">
                  <c:v>20.96</c:v>
                </c:pt>
                <c:pt idx="2">
                  <c:v>53.13</c:v>
                </c:pt>
                <c:pt idx="3">
                  <c:v>65</c:v>
                </c:pt>
                <c:pt idx="4">
                  <c:v>81.93</c:v>
                </c:pt>
              </c:numCache>
            </c:numRef>
          </c:val>
          <c:smooth val="0"/>
          <c:extLst>
            <c:ext xmlns:c16="http://schemas.microsoft.com/office/drawing/2014/chart" uri="{C3380CC4-5D6E-409C-BE32-E72D297353CC}">
              <c16:uniqueId val="{00000009-E6F7-4FBA-956E-B7B12065C1EE}"/>
            </c:ext>
          </c:extLst>
        </c:ser>
        <c:ser>
          <c:idx val="10"/>
          <c:order val="10"/>
          <c:tx>
            <c:strRef>
              <c:f>'Tinggi Tanaman'!$J$66</c:f>
              <c:strCache>
                <c:ptCount val="1"/>
                <c:pt idx="0">
                  <c:v>K2S2</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Tanaman'!$K$66:$O$66</c:f>
              <c:numCache>
                <c:formatCode>General</c:formatCode>
                <c:ptCount val="5"/>
                <c:pt idx="0">
                  <c:v>15.53</c:v>
                </c:pt>
                <c:pt idx="1">
                  <c:v>20.89</c:v>
                </c:pt>
                <c:pt idx="2">
                  <c:v>53</c:v>
                </c:pt>
                <c:pt idx="3">
                  <c:v>66.86</c:v>
                </c:pt>
                <c:pt idx="4">
                  <c:v>81.66</c:v>
                </c:pt>
              </c:numCache>
            </c:numRef>
          </c:val>
          <c:smooth val="0"/>
          <c:extLst>
            <c:ext xmlns:c16="http://schemas.microsoft.com/office/drawing/2014/chart" uri="{C3380CC4-5D6E-409C-BE32-E72D297353CC}">
              <c16:uniqueId val="{0000000A-E6F7-4FBA-956E-B7B12065C1EE}"/>
            </c:ext>
          </c:extLst>
        </c:ser>
        <c:ser>
          <c:idx val="11"/>
          <c:order val="11"/>
          <c:tx>
            <c:strRef>
              <c:f>'Tinggi Tanaman'!$J$67</c:f>
              <c:strCache>
                <c:ptCount val="1"/>
                <c:pt idx="0">
                  <c:v>K2S3</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Tanaman'!$K$67:$O$67</c:f>
              <c:numCache>
                <c:formatCode>General</c:formatCode>
                <c:ptCount val="5"/>
                <c:pt idx="0">
                  <c:v>16.46</c:v>
                </c:pt>
                <c:pt idx="1">
                  <c:v>21.82</c:v>
                </c:pt>
                <c:pt idx="2">
                  <c:v>54.73</c:v>
                </c:pt>
                <c:pt idx="3">
                  <c:v>67.8</c:v>
                </c:pt>
                <c:pt idx="4">
                  <c:v>82.06</c:v>
                </c:pt>
              </c:numCache>
            </c:numRef>
          </c:val>
          <c:smooth val="0"/>
          <c:extLst>
            <c:ext xmlns:c16="http://schemas.microsoft.com/office/drawing/2014/chart" uri="{C3380CC4-5D6E-409C-BE32-E72D297353CC}">
              <c16:uniqueId val="{0000000B-E6F7-4FBA-956E-B7B12065C1EE}"/>
            </c:ext>
          </c:extLst>
        </c:ser>
        <c:ser>
          <c:idx val="12"/>
          <c:order val="12"/>
          <c:tx>
            <c:strRef>
              <c:f>'Tinggi Tanaman'!$J$68</c:f>
              <c:strCache>
                <c:ptCount val="1"/>
                <c:pt idx="0">
                  <c:v>K3S0</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Tanaman'!$K$68:$O$68</c:f>
              <c:numCache>
                <c:formatCode>General</c:formatCode>
                <c:ptCount val="5"/>
                <c:pt idx="0">
                  <c:v>17.54</c:v>
                </c:pt>
                <c:pt idx="1">
                  <c:v>21.12</c:v>
                </c:pt>
                <c:pt idx="2">
                  <c:v>50.06</c:v>
                </c:pt>
                <c:pt idx="3">
                  <c:v>65.66</c:v>
                </c:pt>
                <c:pt idx="4">
                  <c:v>78</c:v>
                </c:pt>
              </c:numCache>
            </c:numRef>
          </c:val>
          <c:smooth val="0"/>
          <c:extLst>
            <c:ext xmlns:c16="http://schemas.microsoft.com/office/drawing/2014/chart" uri="{C3380CC4-5D6E-409C-BE32-E72D297353CC}">
              <c16:uniqueId val="{0000000C-E6F7-4FBA-956E-B7B12065C1EE}"/>
            </c:ext>
          </c:extLst>
        </c:ser>
        <c:ser>
          <c:idx val="13"/>
          <c:order val="13"/>
          <c:tx>
            <c:strRef>
              <c:f>'Tinggi Tanaman'!$J$69</c:f>
              <c:strCache>
                <c:ptCount val="1"/>
                <c:pt idx="0">
                  <c:v>K3S1</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Tanaman'!$K$69:$O$69</c:f>
              <c:numCache>
                <c:formatCode>General</c:formatCode>
                <c:ptCount val="5"/>
                <c:pt idx="0">
                  <c:v>15.63</c:v>
                </c:pt>
                <c:pt idx="1">
                  <c:v>21.93</c:v>
                </c:pt>
                <c:pt idx="2">
                  <c:v>56.86</c:v>
                </c:pt>
                <c:pt idx="3">
                  <c:v>67.599999999999994</c:v>
                </c:pt>
                <c:pt idx="4">
                  <c:v>82.13</c:v>
                </c:pt>
              </c:numCache>
            </c:numRef>
          </c:val>
          <c:smooth val="0"/>
          <c:extLst>
            <c:ext xmlns:c16="http://schemas.microsoft.com/office/drawing/2014/chart" uri="{C3380CC4-5D6E-409C-BE32-E72D297353CC}">
              <c16:uniqueId val="{0000000D-E6F7-4FBA-956E-B7B12065C1EE}"/>
            </c:ext>
          </c:extLst>
        </c:ser>
        <c:ser>
          <c:idx val="14"/>
          <c:order val="14"/>
          <c:tx>
            <c:strRef>
              <c:f>'Tinggi Tanaman'!$J$70</c:f>
              <c:strCache>
                <c:ptCount val="1"/>
                <c:pt idx="0">
                  <c:v>K3S2</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Tanaman'!$K$70:$O$70</c:f>
              <c:numCache>
                <c:formatCode>General</c:formatCode>
                <c:ptCount val="5"/>
                <c:pt idx="0">
                  <c:v>15.73</c:v>
                </c:pt>
                <c:pt idx="1">
                  <c:v>21.73</c:v>
                </c:pt>
                <c:pt idx="2">
                  <c:v>54.13</c:v>
                </c:pt>
                <c:pt idx="3">
                  <c:v>69.13</c:v>
                </c:pt>
                <c:pt idx="4">
                  <c:v>83.06</c:v>
                </c:pt>
              </c:numCache>
            </c:numRef>
          </c:val>
          <c:smooth val="0"/>
          <c:extLst>
            <c:ext xmlns:c16="http://schemas.microsoft.com/office/drawing/2014/chart" uri="{C3380CC4-5D6E-409C-BE32-E72D297353CC}">
              <c16:uniqueId val="{0000000E-E6F7-4FBA-956E-B7B12065C1EE}"/>
            </c:ext>
          </c:extLst>
        </c:ser>
        <c:ser>
          <c:idx val="15"/>
          <c:order val="15"/>
          <c:tx>
            <c:strRef>
              <c:f>'Tinggi Tanaman'!$J$71</c:f>
              <c:strCache>
                <c:ptCount val="1"/>
                <c:pt idx="0">
                  <c:v>K3S3</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Tanaman'!$K$71:$O$71</c:f>
              <c:numCache>
                <c:formatCode>General</c:formatCode>
                <c:ptCount val="5"/>
                <c:pt idx="0">
                  <c:v>15.43</c:v>
                </c:pt>
                <c:pt idx="1">
                  <c:v>19.559999999999999</c:v>
                </c:pt>
                <c:pt idx="2">
                  <c:v>56.26</c:v>
                </c:pt>
                <c:pt idx="3">
                  <c:v>70.400000000000006</c:v>
                </c:pt>
                <c:pt idx="4">
                  <c:v>82.33</c:v>
                </c:pt>
              </c:numCache>
            </c:numRef>
          </c:val>
          <c:smooth val="0"/>
          <c:extLst>
            <c:ext xmlns:c16="http://schemas.microsoft.com/office/drawing/2014/chart" uri="{C3380CC4-5D6E-409C-BE32-E72D297353CC}">
              <c16:uniqueId val="{0000000F-E6F7-4FBA-956E-B7B12065C1EE}"/>
            </c:ext>
          </c:extLst>
        </c:ser>
        <c:dLbls>
          <c:showLegendKey val="0"/>
          <c:showVal val="0"/>
          <c:showCatName val="0"/>
          <c:showSerName val="0"/>
          <c:showPercent val="0"/>
          <c:showBubbleSize val="0"/>
        </c:dLbls>
        <c:smooth val="0"/>
        <c:axId val="349351296"/>
        <c:axId val="349353088"/>
      </c:lineChart>
      <c:catAx>
        <c:axId val="349351296"/>
        <c:scaling>
          <c:orientation val="minMax"/>
        </c:scaling>
        <c:delete val="0"/>
        <c:axPos val="b"/>
        <c:numFmt formatCode="General" sourceLinked="0"/>
        <c:majorTickMark val="none"/>
        <c:minorTickMark val="none"/>
        <c:tickLblPos val="nextTo"/>
        <c:crossAx val="349353088"/>
        <c:crosses val="autoZero"/>
        <c:auto val="1"/>
        <c:lblAlgn val="ctr"/>
        <c:lblOffset val="100"/>
        <c:noMultiLvlLbl val="0"/>
      </c:catAx>
      <c:valAx>
        <c:axId val="349353088"/>
        <c:scaling>
          <c:orientation val="minMax"/>
        </c:scaling>
        <c:delete val="0"/>
        <c:axPos val="l"/>
        <c:majorGridlines>
          <c:spPr>
            <a:ln>
              <a:noFill/>
            </a:ln>
          </c:spPr>
        </c:majorGridlines>
        <c:title>
          <c:tx>
            <c:rich>
              <a:bodyPr/>
              <a:lstStyle/>
              <a:p>
                <a:pPr>
                  <a:defRPr sz="1200" b="0">
                    <a:latin typeface="Times New Roman" pitchFamily="18" charset="0"/>
                    <a:cs typeface="Times New Roman" pitchFamily="18" charset="0"/>
                  </a:defRPr>
                </a:pPr>
                <a:r>
                  <a:rPr lang="en" sz="1000" b="0">
                    <a:latin typeface="Arial" panose="020B0604020202020204" pitchFamily="34" charset="0"/>
                    <a:cs typeface="Arial" panose="020B0604020202020204" pitchFamily="34" charset="0"/>
                  </a:rPr>
                  <a:t>Plant Height (cm) </a:t>
                </a:r>
              </a:p>
            </c:rich>
          </c:tx>
          <c:layout>
            <c:manualLayout>
              <c:xMode val="edge"/>
              <c:yMode val="edge"/>
              <c:x val="2.111063917840144E-3"/>
              <c:y val="0.21076750486834306"/>
            </c:manualLayout>
          </c:layout>
          <c:overlay val="0"/>
        </c:title>
        <c:numFmt formatCode="General" sourceLinked="1"/>
        <c:majorTickMark val="none"/>
        <c:minorTickMark val="none"/>
        <c:tickLblPos val="nextTo"/>
        <c:crossAx val="349351296"/>
        <c:crosses val="autoZero"/>
        <c:crossBetween val="between"/>
      </c:valAx>
    </c:plotArea>
    <c:legend>
      <c:legendPos val="r"/>
      <c:layout>
        <c:manualLayout>
          <c:xMode val="edge"/>
          <c:yMode val="edge"/>
          <c:x val="0.8185140468552542"/>
          <c:y val="6.0273143823123806E-2"/>
          <c:w val="0.16595897735005347"/>
          <c:h val="0.8229565372125095"/>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linear"/>
            <c:dispRSqr val="1"/>
            <c:dispEq val="1"/>
            <c:trendlineLbl>
              <c:layout>
                <c:manualLayout>
                  <c:x val="-0.14347961588991187"/>
                  <c:y val="-7.3196662637736595E-2"/>
                </c:manualLayout>
              </c:layout>
              <c:tx>
                <c:rich>
                  <a:bodyPr/>
                  <a:lstStyle/>
                  <a:p>
                    <a:pPr>
                      <a:defRPr sz="800"/>
                    </a:pPr>
                    <a:r>
                      <a:rPr lang="en-US" sz="800" baseline="0">
                        <a:latin typeface="Arial" panose="020B0604020202020204" pitchFamily="34" charset="0"/>
                        <a:cs typeface="Arial" panose="020B0604020202020204" pitchFamily="34" charset="0"/>
                      </a:rPr>
                      <a:t>y = 0,0213x + 80,353
R² = 0,817</a:t>
                    </a:r>
                    <a:endParaRPr lang="en-US" sz="800">
                      <a:latin typeface="Arial" panose="020B0604020202020204" pitchFamily="34" charset="0"/>
                      <a:cs typeface="Arial" panose="020B0604020202020204" pitchFamily="34" charset="0"/>
                    </a:endParaRPr>
                  </a:p>
                </c:rich>
              </c:tx>
              <c:numFmt formatCode="General" sourceLinked="0"/>
            </c:trendlineLbl>
          </c:trendline>
          <c:xVal>
            <c:numRef>
              <c:f>'PO TUNGGAL tinggi tanaman(K)'!$O$25:$O$28</c:f>
              <c:numCache>
                <c:formatCode>General</c:formatCode>
                <c:ptCount val="4"/>
                <c:pt idx="0">
                  <c:v>0</c:v>
                </c:pt>
                <c:pt idx="1">
                  <c:v>15</c:v>
                </c:pt>
                <c:pt idx="2">
                  <c:v>30</c:v>
                </c:pt>
                <c:pt idx="3" formatCode="#,##0">
                  <c:v>45</c:v>
                </c:pt>
              </c:numCache>
            </c:numRef>
          </c:xVal>
          <c:yVal>
            <c:numRef>
              <c:f>'PO TUNGGAL tinggi tanaman(K)'!$P$25:$P$28</c:f>
              <c:numCache>
                <c:formatCode>0.00</c:formatCode>
                <c:ptCount val="4"/>
                <c:pt idx="0">
                  <c:v>80.533333333333317</c:v>
                </c:pt>
                <c:pt idx="1">
                  <c:v>80.466666666666654</c:v>
                </c:pt>
                <c:pt idx="2">
                  <c:v>80.86666666666666</c:v>
                </c:pt>
                <c:pt idx="3">
                  <c:v>81.466666666666654</c:v>
                </c:pt>
              </c:numCache>
            </c:numRef>
          </c:yVal>
          <c:smooth val="0"/>
          <c:extLst>
            <c:ext xmlns:c16="http://schemas.microsoft.com/office/drawing/2014/chart" uri="{C3380CC4-5D6E-409C-BE32-E72D297353CC}">
              <c16:uniqueId val="{00000001-2F7B-4EB8-AACC-DB9D740EC32F}"/>
            </c:ext>
          </c:extLst>
        </c:ser>
        <c:dLbls>
          <c:showLegendKey val="0"/>
          <c:showVal val="0"/>
          <c:showCatName val="0"/>
          <c:showSerName val="0"/>
          <c:showPercent val="0"/>
          <c:showBubbleSize val="0"/>
        </c:dLbls>
        <c:axId val="349362816"/>
        <c:axId val="349364992"/>
      </c:scatterChart>
      <c:valAx>
        <c:axId val="349362816"/>
        <c:scaling>
          <c:orientation val="minMax"/>
          <c:max val="45"/>
        </c:scaling>
        <c:delete val="0"/>
        <c:axPos val="b"/>
        <c:title>
          <c:tx>
            <c:rich>
              <a:bodyPr/>
              <a:lstStyle/>
              <a:p>
                <a:pPr>
                  <a:defRPr sz="800">
                    <a:latin typeface="Times New Roman" pitchFamily="18" charset="0"/>
                    <a:cs typeface="Times New Roman" pitchFamily="18" charset="0"/>
                  </a:defRPr>
                </a:pPr>
                <a:r>
                  <a:rPr lang="en-US" sz="800" b="0" baseline="0">
                    <a:latin typeface="Arial" panose="020B0604020202020204" pitchFamily="34" charset="0"/>
                    <a:cs typeface="Arial" panose="020B0604020202020204" pitchFamily="34" charset="0"/>
                  </a:rPr>
                  <a:t>C</a:t>
                </a:r>
                <a:r>
                  <a:rPr lang="id-ID" sz="800" b="0" baseline="0">
                    <a:latin typeface="Arial" panose="020B0604020202020204" pitchFamily="34" charset="0"/>
                    <a:cs typeface="Arial" panose="020B0604020202020204" pitchFamily="34" charset="0"/>
                  </a:rPr>
                  <a:t>ompost dosage (ton/ha)</a:t>
                </a:r>
                <a:endParaRPr lang="en-US" sz="800" b="0">
                  <a:latin typeface="Arial" panose="020B0604020202020204" pitchFamily="34" charset="0"/>
                  <a:cs typeface="Arial" panose="020B0604020202020204" pitchFamily="34" charset="0"/>
                </a:endParaRPr>
              </a:p>
            </c:rich>
          </c:tx>
          <c:layout>
            <c:manualLayout>
              <c:xMode val="edge"/>
              <c:yMode val="edge"/>
              <c:x val="0.33588488405929362"/>
              <c:y val="0.8096970088127956"/>
            </c:manualLayout>
          </c:layout>
          <c:overlay val="0"/>
        </c:title>
        <c:numFmt formatCode="General" sourceLinked="1"/>
        <c:majorTickMark val="out"/>
        <c:minorTickMark val="none"/>
        <c:tickLblPos val="nextTo"/>
        <c:crossAx val="349364992"/>
        <c:crosses val="autoZero"/>
        <c:crossBetween val="midCat"/>
        <c:majorUnit val="15"/>
      </c:valAx>
      <c:valAx>
        <c:axId val="349364992"/>
        <c:scaling>
          <c:orientation val="minMax"/>
        </c:scaling>
        <c:delete val="0"/>
        <c:axPos val="l"/>
        <c:majorGridlines>
          <c:spPr>
            <a:ln>
              <a:noFill/>
            </a:ln>
          </c:spPr>
        </c:majorGridlines>
        <c:minorGridlines>
          <c:spPr>
            <a:ln>
              <a:noFill/>
            </a:ln>
          </c:spPr>
        </c:minorGridlines>
        <c:title>
          <c:tx>
            <c:rich>
              <a:bodyPr/>
              <a:lstStyle/>
              <a:p>
                <a:pPr>
                  <a:defRPr sz="800" b="0">
                    <a:latin typeface="Times New Roman" pitchFamily="18" charset="0"/>
                    <a:cs typeface="Times New Roman" pitchFamily="18" charset="0"/>
                  </a:defRPr>
                </a:pPr>
                <a:r>
                  <a:rPr lang="id-ID" sz="800" b="0">
                    <a:latin typeface="Arial" panose="020B0604020202020204" pitchFamily="34" charset="0"/>
                    <a:cs typeface="Arial" panose="020B0604020202020204" pitchFamily="34" charset="0"/>
                  </a:rPr>
                  <a:t>Plant</a:t>
                </a:r>
                <a:r>
                  <a:rPr lang="id-ID" sz="800" b="0" baseline="0">
                    <a:latin typeface="Arial" panose="020B0604020202020204" pitchFamily="34" charset="0"/>
                    <a:cs typeface="Arial" panose="020B0604020202020204" pitchFamily="34" charset="0"/>
                  </a:rPr>
                  <a:t> Height (cm)</a:t>
                </a:r>
                <a:endParaRPr lang="en-US" sz="800" b="0">
                  <a:latin typeface="Arial" panose="020B0604020202020204" pitchFamily="34" charset="0"/>
                  <a:cs typeface="Arial" panose="020B0604020202020204" pitchFamily="34" charset="0"/>
                </a:endParaRPr>
              </a:p>
            </c:rich>
          </c:tx>
          <c:overlay val="0"/>
        </c:title>
        <c:numFmt formatCode="0.00" sourceLinked="1"/>
        <c:majorTickMark val="out"/>
        <c:minorTickMark val="none"/>
        <c:tickLblPos val="nextTo"/>
        <c:crossAx val="349362816"/>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linear"/>
            <c:dispRSqr val="1"/>
            <c:dispEq val="1"/>
            <c:trendlineLbl>
              <c:layout>
                <c:manualLayout>
                  <c:x val="0.18831283927951611"/>
                  <c:y val="0.26202692405384809"/>
                </c:manualLayout>
              </c:layout>
              <c:tx>
                <c:rich>
                  <a:bodyPr/>
                  <a:lstStyle/>
                  <a:p>
                    <a:pPr>
                      <a:defRPr sz="700">
                        <a:latin typeface="Arial" panose="020B0604020202020204" pitchFamily="34" charset="0"/>
                        <a:cs typeface="Arial" panose="020B0604020202020204" pitchFamily="34" charset="0"/>
                      </a:defRPr>
                    </a:pPr>
                    <a:r>
                      <a:rPr lang="en-US" sz="800" baseline="0">
                        <a:latin typeface="Arial" panose="020B0604020202020204" pitchFamily="34" charset="0"/>
                        <a:cs typeface="Arial" panose="020B0604020202020204" pitchFamily="34" charset="0"/>
                      </a:rPr>
                      <a:t>y = 1,2698x + 17,169
R² = 0,7338</a:t>
                    </a:r>
                    <a:endParaRPr lang="en-US" sz="800">
                      <a:latin typeface="Arial" panose="020B0604020202020204" pitchFamily="34" charset="0"/>
                      <a:cs typeface="Arial" panose="020B0604020202020204" pitchFamily="34" charset="0"/>
                    </a:endParaRPr>
                  </a:p>
                </c:rich>
              </c:tx>
              <c:numFmt formatCode="General" sourceLinked="0"/>
            </c:trendlineLbl>
          </c:trendline>
          <c:xVal>
            <c:numRef>
              <c:f>'PO TUNGGAL Jumlah Daun (K)'!$N$25:$N$28</c:f>
              <c:numCache>
                <c:formatCode>General</c:formatCode>
                <c:ptCount val="4"/>
                <c:pt idx="0">
                  <c:v>0</c:v>
                </c:pt>
                <c:pt idx="1">
                  <c:v>15</c:v>
                </c:pt>
                <c:pt idx="2">
                  <c:v>30</c:v>
                </c:pt>
                <c:pt idx="3" formatCode="#,##0">
                  <c:v>45</c:v>
                </c:pt>
              </c:numCache>
            </c:numRef>
          </c:xVal>
          <c:yVal>
            <c:numRef>
              <c:f>'PO TUNGGAL Jumlah Daun (K)'!$O$25:$O$28</c:f>
              <c:numCache>
                <c:formatCode>0.00</c:formatCode>
                <c:ptCount val="4"/>
                <c:pt idx="0">
                  <c:v>3.1555555555555537</c:v>
                </c:pt>
                <c:pt idx="1">
                  <c:v>54.133333333333333</c:v>
                </c:pt>
                <c:pt idx="2">
                  <c:v>61.466666666666669</c:v>
                </c:pt>
                <c:pt idx="3">
                  <c:v>64.2</c:v>
                </c:pt>
              </c:numCache>
            </c:numRef>
          </c:yVal>
          <c:smooth val="0"/>
          <c:extLst>
            <c:ext xmlns:c16="http://schemas.microsoft.com/office/drawing/2014/chart" uri="{C3380CC4-5D6E-409C-BE32-E72D297353CC}">
              <c16:uniqueId val="{00000001-0267-4FB5-AB5E-6C9545D19A33}"/>
            </c:ext>
          </c:extLst>
        </c:ser>
        <c:dLbls>
          <c:showLegendKey val="0"/>
          <c:showVal val="0"/>
          <c:showCatName val="0"/>
          <c:showSerName val="0"/>
          <c:showPercent val="0"/>
          <c:showBubbleSize val="0"/>
        </c:dLbls>
        <c:axId val="349455872"/>
        <c:axId val="349457792"/>
      </c:scatterChart>
      <c:valAx>
        <c:axId val="349455872"/>
        <c:scaling>
          <c:orientation val="minMax"/>
          <c:max val="45"/>
        </c:scaling>
        <c:delete val="0"/>
        <c:axPos val="b"/>
        <c:title>
          <c:tx>
            <c:rich>
              <a:bodyPr/>
              <a:lstStyle/>
              <a:p>
                <a:pPr algn="ctr">
                  <a:defRPr sz="800" b="0">
                    <a:latin typeface="Times New Roman" pitchFamily="18" charset="0"/>
                    <a:cs typeface="Times New Roman" pitchFamily="18" charset="0"/>
                  </a:defRPr>
                </a:pPr>
                <a:r>
                  <a:rPr lang="en-US" sz="800" b="0" baseline="0">
                    <a:latin typeface="Times New Roman" pitchFamily="18" charset="0"/>
                    <a:cs typeface="Times New Roman" pitchFamily="18" charset="0"/>
                  </a:rPr>
                  <a:t>C</a:t>
                </a:r>
                <a:r>
                  <a:rPr lang="id-ID" sz="800" b="0" baseline="0">
                    <a:latin typeface="Arial" panose="020B0604020202020204" pitchFamily="34" charset="0"/>
                    <a:cs typeface="Arial" panose="020B0604020202020204" pitchFamily="34" charset="0"/>
                  </a:rPr>
                  <a:t>ompost dosage(ton/ha)</a:t>
                </a:r>
              </a:p>
            </c:rich>
          </c:tx>
          <c:layout>
            <c:manualLayout>
              <c:xMode val="edge"/>
              <c:yMode val="edge"/>
              <c:x val="0.33739302949628497"/>
              <c:y val="0.81233689874787152"/>
            </c:manualLayout>
          </c:layout>
          <c:overlay val="0"/>
        </c:title>
        <c:numFmt formatCode="General" sourceLinked="1"/>
        <c:majorTickMark val="out"/>
        <c:minorTickMark val="none"/>
        <c:tickLblPos val="nextTo"/>
        <c:crossAx val="349457792"/>
        <c:crosses val="autoZero"/>
        <c:crossBetween val="midCat"/>
        <c:majorUnit val="15"/>
      </c:valAx>
      <c:valAx>
        <c:axId val="349457792"/>
        <c:scaling>
          <c:orientation val="minMax"/>
        </c:scaling>
        <c:delete val="0"/>
        <c:axPos val="l"/>
        <c:majorGridlines>
          <c:spPr>
            <a:ln>
              <a:noFill/>
            </a:ln>
          </c:spPr>
        </c:majorGridlines>
        <c:minorGridlines>
          <c:spPr>
            <a:ln>
              <a:noFill/>
            </a:ln>
          </c:spPr>
        </c:minorGridlines>
        <c:title>
          <c:tx>
            <c:rich>
              <a:bodyPr/>
              <a:lstStyle/>
              <a:p>
                <a:pPr>
                  <a:defRPr sz="800" b="0">
                    <a:latin typeface="Times New Roman" pitchFamily="18" charset="0"/>
                    <a:cs typeface="Times New Roman" pitchFamily="18" charset="0"/>
                  </a:defRPr>
                </a:pPr>
                <a:r>
                  <a:rPr lang="id-ID" sz="800" b="0">
                    <a:latin typeface="Arial" panose="020B0604020202020204" pitchFamily="34" charset="0"/>
                    <a:cs typeface="Arial" panose="020B0604020202020204" pitchFamily="34" charset="0"/>
                  </a:rPr>
                  <a:t>Number</a:t>
                </a:r>
                <a:r>
                  <a:rPr lang="id-ID" sz="800" b="0" baseline="0">
                    <a:latin typeface="Arial" panose="020B0604020202020204" pitchFamily="34" charset="0"/>
                    <a:cs typeface="Arial" panose="020B0604020202020204" pitchFamily="34" charset="0"/>
                  </a:rPr>
                  <a:t> of  Leaves</a:t>
                </a:r>
                <a:endParaRPr lang="en-US" sz="800" b="0">
                  <a:latin typeface="Arial" panose="020B0604020202020204" pitchFamily="34" charset="0"/>
                  <a:cs typeface="Arial" panose="020B0604020202020204" pitchFamily="34" charset="0"/>
                </a:endParaRPr>
              </a:p>
            </c:rich>
          </c:tx>
          <c:overlay val="0"/>
        </c:title>
        <c:numFmt formatCode="0.00" sourceLinked="1"/>
        <c:majorTickMark val="out"/>
        <c:minorTickMark val="none"/>
        <c:tickLblPos val="nextTo"/>
        <c:crossAx val="349455872"/>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linear"/>
            <c:dispRSqr val="1"/>
            <c:dispEq val="1"/>
            <c:trendlineLbl>
              <c:layout>
                <c:manualLayout>
                  <c:x val="9.3798821504927785E-2"/>
                  <c:y val="0.28229035616358011"/>
                </c:manualLayout>
              </c:layout>
              <c:tx>
                <c:rich>
                  <a:bodyPr/>
                  <a:lstStyle/>
                  <a:p>
                    <a:pPr>
                      <a:defRPr sz="700"/>
                    </a:pPr>
                    <a:r>
                      <a:rPr lang="en-US" sz="700" baseline="0">
                        <a:latin typeface="Arial" panose="020B0604020202020204" pitchFamily="34" charset="0"/>
                        <a:cs typeface="Arial" panose="020B0604020202020204" pitchFamily="34" charset="0"/>
                      </a:rPr>
                      <a:t>y = 0,0187x + 6,0133
R² = 0,9692</a:t>
                    </a:r>
                    <a:endParaRPr lang="en-US" sz="700">
                      <a:latin typeface="Arial" panose="020B0604020202020204" pitchFamily="34" charset="0"/>
                      <a:cs typeface="Arial" panose="020B0604020202020204" pitchFamily="34" charset="0"/>
                    </a:endParaRPr>
                  </a:p>
                </c:rich>
              </c:tx>
              <c:numFmt formatCode="General" sourceLinked="0"/>
            </c:trendlineLbl>
          </c:trendline>
          <c:xVal>
            <c:numRef>
              <c:f>'PO TUNGGAL Jumlah Cabang (K)'!$O$24:$O$27</c:f>
              <c:numCache>
                <c:formatCode>General</c:formatCode>
                <c:ptCount val="4"/>
                <c:pt idx="0">
                  <c:v>0</c:v>
                </c:pt>
                <c:pt idx="1">
                  <c:v>15</c:v>
                </c:pt>
                <c:pt idx="2">
                  <c:v>30</c:v>
                </c:pt>
                <c:pt idx="3" formatCode="#,##0">
                  <c:v>45</c:v>
                </c:pt>
              </c:numCache>
            </c:numRef>
          </c:xVal>
          <c:yVal>
            <c:numRef>
              <c:f>'PO TUNGGAL Jumlah Cabang (K)'!$P$24:$P$27</c:f>
              <c:numCache>
                <c:formatCode>0.00</c:formatCode>
                <c:ptCount val="4"/>
                <c:pt idx="0">
                  <c:v>6.0666666666666664</c:v>
                </c:pt>
                <c:pt idx="1">
                  <c:v>6.1999999999999993</c:v>
                </c:pt>
                <c:pt idx="2">
                  <c:v>6.5999999999999988</c:v>
                </c:pt>
                <c:pt idx="3">
                  <c:v>6.8666666666666671</c:v>
                </c:pt>
              </c:numCache>
            </c:numRef>
          </c:yVal>
          <c:smooth val="0"/>
          <c:extLst>
            <c:ext xmlns:c16="http://schemas.microsoft.com/office/drawing/2014/chart" uri="{C3380CC4-5D6E-409C-BE32-E72D297353CC}">
              <c16:uniqueId val="{00000001-0C95-4245-85AA-81E913C68494}"/>
            </c:ext>
          </c:extLst>
        </c:ser>
        <c:dLbls>
          <c:showLegendKey val="0"/>
          <c:showVal val="0"/>
          <c:showCatName val="0"/>
          <c:showSerName val="0"/>
          <c:showPercent val="0"/>
          <c:showBubbleSize val="0"/>
        </c:dLbls>
        <c:axId val="349467008"/>
        <c:axId val="349468928"/>
      </c:scatterChart>
      <c:valAx>
        <c:axId val="349467008"/>
        <c:scaling>
          <c:orientation val="minMax"/>
          <c:max val="45"/>
        </c:scaling>
        <c:delete val="0"/>
        <c:axPos val="b"/>
        <c:title>
          <c:tx>
            <c:rich>
              <a:bodyPr/>
              <a:lstStyle/>
              <a:p>
                <a:pPr>
                  <a:defRPr sz="800" b="0"/>
                </a:pPr>
                <a:r>
                  <a:rPr lang="en-US" sz="800" b="0" baseline="0">
                    <a:latin typeface="Arial" panose="020B0604020202020204" pitchFamily="34" charset="0"/>
                    <a:cs typeface="Arial" panose="020B0604020202020204" pitchFamily="34" charset="0"/>
                  </a:rPr>
                  <a:t>C</a:t>
                </a:r>
                <a:r>
                  <a:rPr lang="id-ID" sz="800" b="0" baseline="0">
                    <a:latin typeface="Arial" panose="020B0604020202020204" pitchFamily="34" charset="0"/>
                    <a:cs typeface="Arial" panose="020B0604020202020204" pitchFamily="34" charset="0"/>
                  </a:rPr>
                  <a:t>ompost dosage (ton/ha)</a:t>
                </a:r>
                <a:endParaRPr lang="en-US" sz="800" b="0">
                  <a:latin typeface="Arial" panose="020B0604020202020204" pitchFamily="34" charset="0"/>
                  <a:cs typeface="Arial" panose="020B0604020202020204" pitchFamily="34" charset="0"/>
                </a:endParaRPr>
              </a:p>
            </c:rich>
          </c:tx>
          <c:layout>
            <c:manualLayout>
              <c:xMode val="edge"/>
              <c:yMode val="edge"/>
              <c:x val="0.37091203003598061"/>
              <c:y val="0.85102420856610805"/>
            </c:manualLayout>
          </c:layout>
          <c:overlay val="0"/>
        </c:title>
        <c:numFmt formatCode="General" sourceLinked="1"/>
        <c:majorTickMark val="out"/>
        <c:minorTickMark val="none"/>
        <c:tickLblPos val="nextTo"/>
        <c:crossAx val="349468928"/>
        <c:crosses val="autoZero"/>
        <c:crossBetween val="midCat"/>
        <c:majorUnit val="15"/>
      </c:valAx>
      <c:valAx>
        <c:axId val="349468928"/>
        <c:scaling>
          <c:orientation val="minMax"/>
        </c:scaling>
        <c:delete val="0"/>
        <c:axPos val="l"/>
        <c:majorGridlines>
          <c:spPr>
            <a:ln>
              <a:noFill/>
            </a:ln>
          </c:spPr>
        </c:majorGridlines>
        <c:minorGridlines>
          <c:spPr>
            <a:ln>
              <a:noFill/>
            </a:ln>
          </c:spPr>
        </c:minorGridlines>
        <c:title>
          <c:tx>
            <c:rich>
              <a:bodyPr/>
              <a:lstStyle/>
              <a:p>
                <a:pPr>
                  <a:defRPr sz="800" b="0">
                    <a:latin typeface="Arial" pitchFamily="34" charset="0"/>
                    <a:cs typeface="Arial" pitchFamily="34" charset="0"/>
                  </a:defRPr>
                </a:pPr>
                <a:r>
                  <a:rPr lang="id-ID" sz="800" b="0">
                    <a:latin typeface="Arial" panose="020B0604020202020204" pitchFamily="34" charset="0"/>
                    <a:cs typeface="Arial" panose="020B0604020202020204" pitchFamily="34" charset="0"/>
                  </a:rPr>
                  <a:t>Number</a:t>
                </a:r>
                <a:r>
                  <a:rPr lang="id-ID" sz="800" b="0" baseline="0">
                    <a:latin typeface="Arial" panose="020B0604020202020204" pitchFamily="34" charset="0"/>
                    <a:cs typeface="Arial" panose="020B0604020202020204" pitchFamily="34" charset="0"/>
                  </a:rPr>
                  <a:t> of Brances</a:t>
                </a:r>
                <a:endParaRPr lang="en-US" sz="800" b="0">
                  <a:latin typeface="Arial" panose="020B0604020202020204" pitchFamily="34" charset="0"/>
                  <a:cs typeface="Arial" panose="020B0604020202020204" pitchFamily="34" charset="0"/>
                </a:endParaRPr>
              </a:p>
            </c:rich>
          </c:tx>
          <c:overlay val="0"/>
        </c:title>
        <c:numFmt formatCode="0.00" sourceLinked="1"/>
        <c:majorTickMark val="out"/>
        <c:minorTickMark val="none"/>
        <c:tickLblPos val="nextTo"/>
        <c:crossAx val="349467008"/>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79418197725285"/>
          <c:y val="0.19480351414406533"/>
          <c:w val="0.80345581802274713"/>
          <c:h val="0.59104512977544477"/>
        </c:manualLayout>
      </c:layout>
      <c:scatterChart>
        <c:scatterStyle val="lineMarker"/>
        <c:varyColors val="0"/>
        <c:ser>
          <c:idx val="0"/>
          <c:order val="0"/>
          <c:spPr>
            <a:ln w="28575">
              <a:noFill/>
            </a:ln>
          </c:spPr>
          <c:trendline>
            <c:trendlineType val="linear"/>
            <c:dispRSqr val="1"/>
            <c:dispEq val="1"/>
            <c:trendlineLbl>
              <c:layout>
                <c:manualLayout>
                  <c:x val="-0.26763304852850839"/>
                  <c:y val="-0.12638726610786555"/>
                </c:manualLayout>
              </c:layout>
              <c:tx>
                <c:rich>
                  <a:bodyPr/>
                  <a:lstStyle/>
                  <a:p>
                    <a:pPr>
                      <a:defRPr sz="700"/>
                    </a:pPr>
                    <a:r>
                      <a:rPr lang="en-US" sz="700" baseline="0">
                        <a:latin typeface="Arial" panose="020B0604020202020204" pitchFamily="34" charset="0"/>
                        <a:cs typeface="Arial" panose="020B0604020202020204" pitchFamily="34" charset="0"/>
                      </a:rPr>
                      <a:t>y = 0,0017x + 4,4993
R² = 0,0193</a:t>
                    </a:r>
                    <a:endParaRPr lang="en-US" sz="700">
                      <a:latin typeface="Arial" panose="020B0604020202020204" pitchFamily="34" charset="0"/>
                      <a:cs typeface="Arial" panose="020B0604020202020204" pitchFamily="34" charset="0"/>
                    </a:endParaRPr>
                  </a:p>
                </c:rich>
              </c:tx>
              <c:numFmt formatCode="General" sourceLinked="0"/>
            </c:trendlineLbl>
          </c:trendline>
          <c:xVal>
            <c:numRef>
              <c:f>'PO TUNGGAL BKT (K)'!$N$25:$N$28</c:f>
              <c:numCache>
                <c:formatCode>General</c:formatCode>
                <c:ptCount val="4"/>
                <c:pt idx="0">
                  <c:v>0</c:v>
                </c:pt>
                <c:pt idx="1">
                  <c:v>15</c:v>
                </c:pt>
                <c:pt idx="2">
                  <c:v>30</c:v>
                </c:pt>
                <c:pt idx="3" formatCode="#,##0">
                  <c:v>45</c:v>
                </c:pt>
              </c:numCache>
            </c:numRef>
          </c:xVal>
          <c:yVal>
            <c:numRef>
              <c:f>'PO TUNGGAL BKT (K)'!$O$25:$O$28</c:f>
              <c:numCache>
                <c:formatCode>0.00</c:formatCode>
                <c:ptCount val="4"/>
                <c:pt idx="0">
                  <c:v>4.5733333333333333</c:v>
                </c:pt>
                <c:pt idx="1">
                  <c:v>4.2666666666666666</c:v>
                </c:pt>
                <c:pt idx="2">
                  <c:v>4.8466666666666667</c:v>
                </c:pt>
                <c:pt idx="3">
                  <c:v>4.4666666666666659</c:v>
                </c:pt>
              </c:numCache>
            </c:numRef>
          </c:yVal>
          <c:smooth val="0"/>
          <c:extLst>
            <c:ext xmlns:c16="http://schemas.microsoft.com/office/drawing/2014/chart" uri="{C3380CC4-5D6E-409C-BE32-E72D297353CC}">
              <c16:uniqueId val="{00000001-3EE1-42C9-9C00-B80DEF7F2181}"/>
            </c:ext>
          </c:extLst>
        </c:ser>
        <c:dLbls>
          <c:showLegendKey val="0"/>
          <c:showVal val="0"/>
          <c:showCatName val="0"/>
          <c:showSerName val="0"/>
          <c:showPercent val="0"/>
          <c:showBubbleSize val="0"/>
        </c:dLbls>
        <c:axId val="349674496"/>
        <c:axId val="349693056"/>
      </c:scatterChart>
      <c:valAx>
        <c:axId val="349674496"/>
        <c:scaling>
          <c:orientation val="minMax"/>
          <c:max val="45"/>
        </c:scaling>
        <c:delete val="0"/>
        <c:axPos val="b"/>
        <c:title>
          <c:tx>
            <c:rich>
              <a:bodyPr/>
              <a:lstStyle/>
              <a:p>
                <a:pPr>
                  <a:defRPr sz="800" b="0"/>
                </a:pPr>
                <a:r>
                  <a:rPr lang="en-US" sz="800" b="0" baseline="0">
                    <a:latin typeface="Arial" panose="020B0604020202020204" pitchFamily="34" charset="0"/>
                    <a:cs typeface="Arial" panose="020B0604020202020204" pitchFamily="34" charset="0"/>
                  </a:rPr>
                  <a:t>C</a:t>
                </a:r>
                <a:r>
                  <a:rPr lang="id-ID" sz="800" b="0" baseline="0">
                    <a:latin typeface="Arial" panose="020B0604020202020204" pitchFamily="34" charset="0"/>
                    <a:cs typeface="Arial" panose="020B0604020202020204" pitchFamily="34" charset="0"/>
                  </a:rPr>
                  <a:t>ompost dosage (ton/ha)</a:t>
                </a:r>
                <a:endParaRPr lang="en-US" sz="800" b="0">
                  <a:latin typeface="Arial" panose="020B0604020202020204" pitchFamily="34" charset="0"/>
                  <a:cs typeface="Arial" panose="020B0604020202020204" pitchFamily="34" charset="0"/>
                </a:endParaRPr>
              </a:p>
            </c:rich>
          </c:tx>
          <c:overlay val="0"/>
        </c:title>
        <c:numFmt formatCode="General" sourceLinked="1"/>
        <c:majorTickMark val="out"/>
        <c:minorTickMark val="none"/>
        <c:tickLblPos val="nextTo"/>
        <c:crossAx val="349693056"/>
        <c:crosses val="autoZero"/>
        <c:crossBetween val="midCat"/>
        <c:majorUnit val="15"/>
      </c:valAx>
      <c:valAx>
        <c:axId val="349693056"/>
        <c:scaling>
          <c:orientation val="minMax"/>
        </c:scaling>
        <c:delete val="0"/>
        <c:axPos val="l"/>
        <c:majorGridlines>
          <c:spPr>
            <a:ln>
              <a:noFill/>
            </a:ln>
          </c:spPr>
        </c:majorGridlines>
        <c:minorGridlines>
          <c:spPr>
            <a:ln>
              <a:noFill/>
            </a:ln>
          </c:spPr>
        </c:minorGridlines>
        <c:title>
          <c:tx>
            <c:rich>
              <a:bodyPr/>
              <a:lstStyle/>
              <a:p>
                <a:pPr>
                  <a:defRPr sz="800" b="0">
                    <a:latin typeface="Arial" panose="020B0604020202020204" pitchFamily="34" charset="0"/>
                    <a:cs typeface="Arial" panose="020B0604020202020204" pitchFamily="34" charset="0"/>
                  </a:defRPr>
                </a:pPr>
                <a:r>
                  <a:rPr lang="id-ID" sz="800" b="0" baseline="0">
                    <a:latin typeface="Arial" panose="020B0604020202020204" pitchFamily="34" charset="0"/>
                    <a:cs typeface="Arial" panose="020B0604020202020204" pitchFamily="34" charset="0"/>
                  </a:rPr>
                  <a:t> Plan</a:t>
                </a:r>
                <a:r>
                  <a:rPr lang="en-US" sz="800" b="0" baseline="0">
                    <a:latin typeface="Arial" panose="020B0604020202020204" pitchFamily="34" charset="0"/>
                    <a:cs typeface="Arial" panose="020B0604020202020204" pitchFamily="34" charset="0"/>
                  </a:rPr>
                  <a:t>t Dry</a:t>
                </a:r>
                <a:r>
                  <a:rPr lang="id-ID" sz="800" b="0" baseline="0">
                    <a:latin typeface="Arial" panose="020B0604020202020204" pitchFamily="34" charset="0"/>
                    <a:cs typeface="Arial" panose="020B0604020202020204" pitchFamily="34" charset="0"/>
                  </a:rPr>
                  <a:t> Weight (g)</a:t>
                </a:r>
                <a:endParaRPr lang="en-US" sz="800" b="0">
                  <a:latin typeface="Arial" panose="020B0604020202020204" pitchFamily="34" charset="0"/>
                  <a:cs typeface="Arial" panose="020B0604020202020204" pitchFamily="34" charset="0"/>
                </a:endParaRPr>
              </a:p>
            </c:rich>
          </c:tx>
          <c:layout>
            <c:manualLayout>
              <c:xMode val="edge"/>
              <c:yMode val="edge"/>
              <c:x val="1.6002122075166138E-2"/>
              <c:y val="0.17890158891428895"/>
            </c:manualLayout>
          </c:layout>
          <c:overlay val="0"/>
        </c:title>
        <c:numFmt formatCode="0.00" sourceLinked="1"/>
        <c:majorTickMark val="out"/>
        <c:minorTickMark val="none"/>
        <c:tickLblPos val="nextTo"/>
        <c:crossAx val="349674496"/>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linear"/>
            <c:dispRSqr val="1"/>
            <c:dispEq val="1"/>
            <c:trendlineLbl>
              <c:layout>
                <c:manualLayout>
                  <c:x val="-5.7152750365307243E-3"/>
                  <c:y val="0.23177764317921798"/>
                </c:manualLayout>
              </c:layout>
              <c:tx>
                <c:rich>
                  <a:bodyPr/>
                  <a:lstStyle/>
                  <a:p>
                    <a:pPr>
                      <a:defRPr sz="700"/>
                    </a:pPr>
                    <a:r>
                      <a:rPr lang="en-US" sz="700" baseline="0">
                        <a:latin typeface="Arial" panose="020B0604020202020204" pitchFamily="34" charset="0"/>
                        <a:cs typeface="Arial" panose="020B0604020202020204" pitchFamily="34" charset="0"/>
                      </a:rPr>
                      <a:t>y = 0,0347x + 1,288
R² = 0,9514</a:t>
                    </a:r>
                    <a:endParaRPr lang="en-US" sz="700">
                      <a:latin typeface="Arial" panose="020B0604020202020204" pitchFamily="34" charset="0"/>
                      <a:cs typeface="Arial" panose="020B0604020202020204" pitchFamily="34" charset="0"/>
                    </a:endParaRPr>
                  </a:p>
                </c:rich>
              </c:tx>
              <c:numFmt formatCode="General" sourceLinked="0"/>
            </c:trendlineLbl>
          </c:trendline>
          <c:xVal>
            <c:numRef>
              <c:f>'PO TUNGGAL BKA (K)'!$M$25:$M$28</c:f>
              <c:numCache>
                <c:formatCode>General</c:formatCode>
                <c:ptCount val="4"/>
                <c:pt idx="0">
                  <c:v>0</c:v>
                </c:pt>
                <c:pt idx="1">
                  <c:v>15</c:v>
                </c:pt>
                <c:pt idx="2">
                  <c:v>30</c:v>
                </c:pt>
                <c:pt idx="3" formatCode="#,##0">
                  <c:v>45</c:v>
                </c:pt>
              </c:numCache>
            </c:numRef>
          </c:xVal>
          <c:yVal>
            <c:numRef>
              <c:f>'PO TUNGGAL BKA (K)'!$N$25:$N$28</c:f>
              <c:numCache>
                <c:formatCode>0.00</c:formatCode>
                <c:ptCount val="4"/>
                <c:pt idx="0">
                  <c:v>1.1440000000000001</c:v>
                </c:pt>
                <c:pt idx="1">
                  <c:v>2.0020000000000002</c:v>
                </c:pt>
                <c:pt idx="2">
                  <c:v>2.3739999999999997</c:v>
                </c:pt>
                <c:pt idx="3">
                  <c:v>2.7549999999999999</c:v>
                </c:pt>
              </c:numCache>
            </c:numRef>
          </c:yVal>
          <c:smooth val="0"/>
          <c:extLst>
            <c:ext xmlns:c16="http://schemas.microsoft.com/office/drawing/2014/chart" uri="{C3380CC4-5D6E-409C-BE32-E72D297353CC}">
              <c16:uniqueId val="{00000001-167D-4772-9D01-BC327F465F6A}"/>
            </c:ext>
          </c:extLst>
        </c:ser>
        <c:dLbls>
          <c:showLegendKey val="0"/>
          <c:showVal val="0"/>
          <c:showCatName val="0"/>
          <c:showSerName val="0"/>
          <c:showPercent val="0"/>
          <c:showBubbleSize val="0"/>
        </c:dLbls>
        <c:axId val="362489728"/>
        <c:axId val="362496000"/>
      </c:scatterChart>
      <c:valAx>
        <c:axId val="362489728"/>
        <c:scaling>
          <c:orientation val="minMax"/>
          <c:max val="45"/>
        </c:scaling>
        <c:delete val="0"/>
        <c:axPos val="b"/>
        <c:title>
          <c:tx>
            <c:rich>
              <a:bodyPr/>
              <a:lstStyle/>
              <a:p>
                <a:pPr>
                  <a:defRPr sz="800" b="0">
                    <a:latin typeface="Times New Roman" pitchFamily="18" charset="0"/>
                    <a:cs typeface="Times New Roman" pitchFamily="18" charset="0"/>
                  </a:defRPr>
                </a:pPr>
                <a:r>
                  <a:rPr lang="en-US" sz="800" b="0" baseline="0">
                    <a:latin typeface="Arial" panose="020B0604020202020204" pitchFamily="34" charset="0"/>
                    <a:cs typeface="Arial" panose="020B0604020202020204" pitchFamily="34" charset="0"/>
                  </a:rPr>
                  <a:t>C</a:t>
                </a:r>
                <a:r>
                  <a:rPr lang="id-ID" sz="800" b="0" baseline="0">
                    <a:latin typeface="Arial" panose="020B0604020202020204" pitchFamily="34" charset="0"/>
                    <a:cs typeface="Arial" panose="020B0604020202020204" pitchFamily="34" charset="0"/>
                  </a:rPr>
                  <a:t>ompost dosage (ton/ha)</a:t>
                </a:r>
                <a:endParaRPr lang="en-US" sz="800" b="0">
                  <a:latin typeface="Arial" panose="020B0604020202020204" pitchFamily="34" charset="0"/>
                  <a:cs typeface="Arial" panose="020B0604020202020204" pitchFamily="34" charset="0"/>
                </a:endParaRPr>
              </a:p>
            </c:rich>
          </c:tx>
          <c:overlay val="0"/>
        </c:title>
        <c:numFmt formatCode="General" sourceLinked="1"/>
        <c:majorTickMark val="out"/>
        <c:minorTickMark val="none"/>
        <c:tickLblPos val="nextTo"/>
        <c:crossAx val="362496000"/>
        <c:crosses val="autoZero"/>
        <c:crossBetween val="midCat"/>
        <c:majorUnit val="15"/>
      </c:valAx>
      <c:valAx>
        <c:axId val="362496000"/>
        <c:scaling>
          <c:orientation val="minMax"/>
        </c:scaling>
        <c:delete val="0"/>
        <c:axPos val="l"/>
        <c:minorGridlines>
          <c:spPr>
            <a:ln>
              <a:noFill/>
            </a:ln>
          </c:spPr>
        </c:minorGridlines>
        <c:title>
          <c:tx>
            <c:rich>
              <a:bodyPr/>
              <a:lstStyle/>
              <a:p>
                <a:pPr>
                  <a:defRPr sz="800" b="0"/>
                </a:pPr>
                <a:r>
                  <a:rPr lang="id-ID" sz="800" b="0">
                    <a:latin typeface="Arial" panose="020B0604020202020204" pitchFamily="34" charset="0"/>
                    <a:cs typeface="Arial" panose="020B0604020202020204" pitchFamily="34" charset="0"/>
                  </a:rPr>
                  <a:t>Root</a:t>
                </a:r>
                <a:r>
                  <a:rPr lang="id-ID" sz="800" b="0" baseline="0">
                    <a:latin typeface="Arial" panose="020B0604020202020204" pitchFamily="34" charset="0"/>
                    <a:cs typeface="Arial" panose="020B0604020202020204" pitchFamily="34" charset="0"/>
                  </a:rPr>
                  <a:t> Dry Weight (g)</a:t>
                </a:r>
                <a:endParaRPr lang="en-US" sz="800" b="0">
                  <a:latin typeface="Arial" panose="020B0604020202020204" pitchFamily="34" charset="0"/>
                  <a:cs typeface="Arial" panose="020B0604020202020204" pitchFamily="34" charset="0"/>
                </a:endParaRPr>
              </a:p>
            </c:rich>
          </c:tx>
          <c:layout>
            <c:manualLayout>
              <c:xMode val="edge"/>
              <c:yMode val="edge"/>
              <c:x val="4.1109702975782383E-2"/>
              <c:y val="8.4243652711727859E-2"/>
            </c:manualLayout>
          </c:layout>
          <c:overlay val="0"/>
        </c:title>
        <c:numFmt formatCode="0.00" sourceLinked="1"/>
        <c:majorTickMark val="out"/>
        <c:minorTickMark val="none"/>
        <c:tickLblPos val="nextTo"/>
        <c:crossAx val="362489728"/>
        <c:crosses val="autoZero"/>
        <c:crossBetween val="midCat"/>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linear"/>
            <c:dispRSqr val="1"/>
            <c:dispEq val="1"/>
            <c:trendlineLbl>
              <c:layout>
                <c:manualLayout>
                  <c:x val="-3.4446194225721788E-2"/>
                  <c:y val="0.20843904928550597"/>
                </c:manualLayout>
              </c:layout>
              <c:tx>
                <c:rich>
                  <a:bodyPr/>
                  <a:lstStyle/>
                  <a:p>
                    <a:pPr>
                      <a:defRPr/>
                    </a:pPr>
                    <a:r>
                      <a:rPr lang="en-US" sz="800" baseline="0">
                        <a:latin typeface="Arial" panose="020B0604020202020204" pitchFamily="34" charset="0"/>
                        <a:cs typeface="Arial" panose="020B0604020202020204" pitchFamily="34" charset="0"/>
                      </a:rPr>
                      <a:t>y = -0,0098x + 2,6033</a:t>
                    </a:r>
                    <a:br>
                      <a:rPr lang="en-US" sz="800" baseline="0">
                        <a:latin typeface="Arial" panose="020B0604020202020204" pitchFamily="34" charset="0"/>
                        <a:cs typeface="Arial" panose="020B0604020202020204" pitchFamily="34" charset="0"/>
                      </a:rPr>
                    </a:br>
                    <a:r>
                      <a:rPr lang="en-US" sz="800" baseline="0">
                        <a:latin typeface="Arial" panose="020B0604020202020204" pitchFamily="34" charset="0"/>
                        <a:cs typeface="Arial" panose="020B0604020202020204" pitchFamily="34" charset="0"/>
                      </a:rPr>
                      <a:t>R² = 0,2742</a:t>
                    </a:r>
                    <a:endParaRPr lang="en-US" sz="800">
                      <a:latin typeface="Arial" panose="020B0604020202020204" pitchFamily="34" charset="0"/>
                      <a:cs typeface="Arial" panose="020B0604020202020204" pitchFamily="34" charset="0"/>
                    </a:endParaRPr>
                  </a:p>
                </c:rich>
              </c:tx>
              <c:numFmt formatCode="General" sourceLinked="0"/>
            </c:trendlineLbl>
          </c:trendline>
          <c:xVal>
            <c:numRef>
              <c:f>'[DATA MENTAH FAIDAH.xlsx]PO TUNGGAL BBPP (K)'!$N$25:$N$28</c:f>
              <c:numCache>
                <c:formatCode>General</c:formatCode>
                <c:ptCount val="4"/>
                <c:pt idx="0">
                  <c:v>0</c:v>
                </c:pt>
                <c:pt idx="1">
                  <c:v>15</c:v>
                </c:pt>
                <c:pt idx="2">
                  <c:v>30</c:v>
                </c:pt>
                <c:pt idx="3" formatCode="#,##0">
                  <c:v>45</c:v>
                </c:pt>
              </c:numCache>
            </c:numRef>
          </c:xVal>
          <c:yVal>
            <c:numRef>
              <c:f>'[DATA MENTAH FAIDAH.xlsx]PO TUNGGAL BBPP (K)'!$O$25:$O$28</c:f>
              <c:numCache>
                <c:formatCode>0.00</c:formatCode>
                <c:ptCount val="4"/>
                <c:pt idx="0">
                  <c:v>2.6333333333333333</c:v>
                </c:pt>
                <c:pt idx="1">
                  <c:v>2.6333333333333333</c:v>
                </c:pt>
                <c:pt idx="2">
                  <c:v>1.8666666666666669</c:v>
                </c:pt>
                <c:pt idx="3">
                  <c:v>2.4</c:v>
                </c:pt>
              </c:numCache>
            </c:numRef>
          </c:yVal>
          <c:smooth val="0"/>
          <c:extLst>
            <c:ext xmlns:c16="http://schemas.microsoft.com/office/drawing/2014/chart" uri="{C3380CC4-5D6E-409C-BE32-E72D297353CC}">
              <c16:uniqueId val="{00000001-7924-4B65-A2F3-4AEA2A93EC53}"/>
            </c:ext>
          </c:extLst>
        </c:ser>
        <c:dLbls>
          <c:showLegendKey val="0"/>
          <c:showVal val="0"/>
          <c:showCatName val="0"/>
          <c:showSerName val="0"/>
          <c:showPercent val="0"/>
          <c:showBubbleSize val="0"/>
        </c:dLbls>
        <c:axId val="233345792"/>
        <c:axId val="233347712"/>
      </c:scatterChart>
      <c:valAx>
        <c:axId val="233345792"/>
        <c:scaling>
          <c:orientation val="minMax"/>
          <c:max val="45"/>
        </c:scaling>
        <c:delete val="0"/>
        <c:axPos val="b"/>
        <c:title>
          <c:tx>
            <c:rich>
              <a:bodyPr/>
              <a:lstStyle/>
              <a:p>
                <a:pPr>
                  <a:defRPr/>
                </a:pPr>
                <a:r>
                  <a:rPr lang="en-US" sz="800" b="0">
                    <a:latin typeface="Arial" panose="020B0604020202020204" pitchFamily="34" charset="0"/>
                    <a:cs typeface="Arial" panose="020B0604020202020204" pitchFamily="34" charset="0"/>
                  </a:rPr>
                  <a:t>Compost</a:t>
                </a:r>
                <a:r>
                  <a:rPr lang="en-US" sz="800" b="0" baseline="0">
                    <a:latin typeface="Arial" panose="020B0604020202020204" pitchFamily="34" charset="0"/>
                    <a:cs typeface="Arial" panose="020B0604020202020204" pitchFamily="34" charset="0"/>
                  </a:rPr>
                  <a:t> Dosage (ton/ha)</a:t>
                </a:r>
                <a:endParaRPr lang="en-US" sz="800" b="0">
                  <a:latin typeface="Arial" panose="020B0604020202020204" pitchFamily="34" charset="0"/>
                  <a:cs typeface="Arial" panose="020B0604020202020204" pitchFamily="34" charset="0"/>
                </a:endParaRPr>
              </a:p>
            </c:rich>
          </c:tx>
          <c:layout>
            <c:manualLayout>
              <c:xMode val="edge"/>
              <c:yMode val="edge"/>
              <c:x val="0.3108112694372418"/>
              <c:y val="0.84003315375051801"/>
            </c:manualLayout>
          </c:layout>
          <c:overlay val="0"/>
        </c:title>
        <c:numFmt formatCode="General" sourceLinked="1"/>
        <c:majorTickMark val="out"/>
        <c:minorTickMark val="none"/>
        <c:tickLblPos val="nextTo"/>
        <c:crossAx val="233347712"/>
        <c:crosses val="autoZero"/>
        <c:crossBetween val="midCat"/>
        <c:majorUnit val="15"/>
      </c:valAx>
      <c:valAx>
        <c:axId val="233347712"/>
        <c:scaling>
          <c:orientation val="minMax"/>
        </c:scaling>
        <c:delete val="0"/>
        <c:axPos val="l"/>
        <c:majorGridlines>
          <c:spPr>
            <a:ln>
              <a:noFill/>
            </a:ln>
          </c:spPr>
        </c:majorGridlines>
        <c:minorGridlines>
          <c:spPr>
            <a:ln>
              <a:noFill/>
            </a:ln>
          </c:spPr>
        </c:minorGridlines>
        <c:title>
          <c:tx>
            <c:rich>
              <a:bodyPr/>
              <a:lstStyle/>
              <a:p>
                <a:pPr>
                  <a:defRPr>
                    <a:latin typeface="Times New Roman" pitchFamily="18" charset="0"/>
                    <a:cs typeface="Times New Roman" pitchFamily="18" charset="0"/>
                  </a:defRPr>
                </a:pPr>
                <a:r>
                  <a:rPr lang="en-US" sz="800" b="0">
                    <a:latin typeface="Arial" panose="020B0604020202020204" pitchFamily="34" charset="0"/>
                    <a:cs typeface="Arial" panose="020B0604020202020204" pitchFamily="34" charset="0"/>
                  </a:rPr>
                  <a:t>Seed</a:t>
                </a:r>
                <a:r>
                  <a:rPr lang="en-US" sz="800" b="0" baseline="0">
                    <a:latin typeface="Arial" panose="020B0604020202020204" pitchFamily="34" charset="0"/>
                    <a:cs typeface="Arial" panose="020B0604020202020204" pitchFamily="34" charset="0"/>
                  </a:rPr>
                  <a:t> Weight per Plot (g)</a:t>
                </a:r>
                <a:endParaRPr lang="en-US" sz="800" b="0">
                  <a:latin typeface="Arial" panose="020B0604020202020204" pitchFamily="34" charset="0"/>
                  <a:cs typeface="Arial" panose="020B0604020202020204" pitchFamily="34" charset="0"/>
                </a:endParaRPr>
              </a:p>
            </c:rich>
          </c:tx>
          <c:layout>
            <c:manualLayout>
              <c:xMode val="edge"/>
              <c:yMode val="edge"/>
              <c:x val="4.4310171198388724E-2"/>
              <c:y val="7.7912418842381551E-2"/>
            </c:manualLayout>
          </c:layout>
          <c:overlay val="0"/>
        </c:title>
        <c:numFmt formatCode="0.00" sourceLinked="1"/>
        <c:majorTickMark val="out"/>
        <c:minorTickMark val="none"/>
        <c:tickLblPos val="nextTo"/>
        <c:crossAx val="233345792"/>
        <c:crosses val="autoZero"/>
        <c:crossBetween val="midCat"/>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linear"/>
            <c:dispRSqr val="1"/>
            <c:dispEq val="1"/>
            <c:trendlineLbl>
              <c:layout>
                <c:manualLayout>
                  <c:x val="5.8214068166958191E-2"/>
                  <c:y val="0.23407182056788356"/>
                </c:manualLayout>
              </c:layout>
              <c:tx>
                <c:rich>
                  <a:bodyPr/>
                  <a:lstStyle/>
                  <a:p>
                    <a:pPr>
                      <a:defRPr sz="800">
                        <a:latin typeface="Arial" panose="020B0604020202020204" pitchFamily="34" charset="0"/>
                        <a:cs typeface="Arial" panose="020B0604020202020204" pitchFamily="34" charset="0"/>
                      </a:defRPr>
                    </a:pPr>
                    <a:r>
                      <a:rPr lang="en-US" sz="800" baseline="0">
                        <a:latin typeface="Arial" panose="020B0604020202020204" pitchFamily="34" charset="0"/>
                        <a:cs typeface="Arial" panose="020B0604020202020204" pitchFamily="34" charset="0"/>
                      </a:rPr>
                      <a:t>y = 0,2063x + 32,053
R² = 0,5071</a:t>
                    </a:r>
                    <a:endParaRPr lang="en-US" sz="800">
                      <a:latin typeface="Arial" panose="020B0604020202020204" pitchFamily="34" charset="0"/>
                      <a:cs typeface="Arial" panose="020B0604020202020204" pitchFamily="34" charset="0"/>
                    </a:endParaRPr>
                  </a:p>
                </c:rich>
              </c:tx>
              <c:numFmt formatCode="General" sourceLinked="0"/>
            </c:trendlineLbl>
          </c:trendline>
          <c:xVal>
            <c:numRef>
              <c:f>'PO TUNGGAL JPB (K)'!$N$25:$N$28</c:f>
              <c:numCache>
                <c:formatCode>General</c:formatCode>
                <c:ptCount val="4"/>
                <c:pt idx="0">
                  <c:v>0</c:v>
                </c:pt>
                <c:pt idx="1">
                  <c:v>15</c:v>
                </c:pt>
                <c:pt idx="2">
                  <c:v>30</c:v>
                </c:pt>
                <c:pt idx="3" formatCode="#,##0">
                  <c:v>45</c:v>
                </c:pt>
              </c:numCache>
            </c:numRef>
          </c:xVal>
          <c:yVal>
            <c:numRef>
              <c:f>'PO TUNGGAL JPB (K)'!$O$25:$O$28</c:f>
              <c:numCache>
                <c:formatCode>0</c:formatCode>
                <c:ptCount val="4"/>
                <c:pt idx="0">
                  <c:v>35.199999999999996</c:v>
                </c:pt>
                <c:pt idx="1">
                  <c:v>29.45</c:v>
                </c:pt>
                <c:pt idx="2">
                  <c:v>40.199999999999996</c:v>
                </c:pt>
                <c:pt idx="3">
                  <c:v>41.933333333333337</c:v>
                </c:pt>
              </c:numCache>
            </c:numRef>
          </c:yVal>
          <c:smooth val="0"/>
          <c:extLst>
            <c:ext xmlns:c16="http://schemas.microsoft.com/office/drawing/2014/chart" uri="{C3380CC4-5D6E-409C-BE32-E72D297353CC}">
              <c16:uniqueId val="{00000001-A3C8-4FFB-B373-361FDD7714FE}"/>
            </c:ext>
          </c:extLst>
        </c:ser>
        <c:dLbls>
          <c:showLegendKey val="0"/>
          <c:showVal val="0"/>
          <c:showCatName val="0"/>
          <c:showSerName val="0"/>
          <c:showPercent val="0"/>
          <c:showBubbleSize val="0"/>
        </c:dLbls>
        <c:axId val="362508672"/>
        <c:axId val="362510592"/>
      </c:scatterChart>
      <c:valAx>
        <c:axId val="362508672"/>
        <c:scaling>
          <c:orientation val="minMax"/>
          <c:max val="45"/>
        </c:scaling>
        <c:delete val="0"/>
        <c:axPos val="b"/>
        <c:title>
          <c:tx>
            <c:rich>
              <a:bodyPr/>
              <a:lstStyle/>
              <a:p>
                <a:pPr algn="ctr">
                  <a:defRPr sz="800" b="0">
                    <a:latin typeface="Arial" panose="020B0604020202020204" pitchFamily="34" charset="0"/>
                    <a:cs typeface="Arial" panose="020B0604020202020204" pitchFamily="34" charset="0"/>
                  </a:defRPr>
                </a:pPr>
                <a:r>
                  <a:rPr lang="en-US" sz="800" b="0" baseline="0">
                    <a:latin typeface="Arial" panose="020B0604020202020204" pitchFamily="34" charset="0"/>
                    <a:cs typeface="Arial" panose="020B0604020202020204" pitchFamily="34" charset="0"/>
                  </a:rPr>
                  <a:t>C</a:t>
                </a:r>
                <a:r>
                  <a:rPr lang="id-ID" sz="800" b="0" baseline="0">
                    <a:latin typeface="Arial" panose="020B0604020202020204" pitchFamily="34" charset="0"/>
                    <a:cs typeface="Arial" panose="020B0604020202020204" pitchFamily="34" charset="0"/>
                  </a:rPr>
                  <a:t>ompost dosage (ton/ha)</a:t>
                </a:r>
                <a:endParaRPr lang="en-US" sz="800" b="0">
                  <a:latin typeface="Arial" panose="020B0604020202020204" pitchFamily="34" charset="0"/>
                  <a:cs typeface="Arial" panose="020B0604020202020204" pitchFamily="34" charset="0"/>
                </a:endParaRPr>
              </a:p>
            </c:rich>
          </c:tx>
          <c:overlay val="0"/>
        </c:title>
        <c:numFmt formatCode="General" sourceLinked="1"/>
        <c:majorTickMark val="out"/>
        <c:minorTickMark val="none"/>
        <c:tickLblPos val="nextTo"/>
        <c:crossAx val="362510592"/>
        <c:crosses val="autoZero"/>
        <c:crossBetween val="midCat"/>
        <c:majorUnit val="15"/>
      </c:valAx>
      <c:valAx>
        <c:axId val="362510592"/>
        <c:scaling>
          <c:orientation val="minMax"/>
        </c:scaling>
        <c:delete val="0"/>
        <c:axPos val="l"/>
        <c:majorGridlines>
          <c:spPr>
            <a:ln>
              <a:noFill/>
            </a:ln>
          </c:spPr>
        </c:majorGridlines>
        <c:minorGridlines>
          <c:spPr>
            <a:ln>
              <a:noFill/>
            </a:ln>
          </c:spPr>
        </c:minorGridlines>
        <c:title>
          <c:tx>
            <c:rich>
              <a:bodyPr/>
              <a:lstStyle/>
              <a:p>
                <a:pPr>
                  <a:defRPr sz="800" b="0"/>
                </a:pPr>
                <a:r>
                  <a:rPr lang="id-ID" sz="800" b="0">
                    <a:latin typeface="Arial" pitchFamily="34" charset="0"/>
                    <a:cs typeface="Arial" pitchFamily="34" charset="0"/>
                  </a:rPr>
                  <a:t>Number</a:t>
                </a:r>
                <a:r>
                  <a:rPr lang="id-ID" sz="800" b="0" baseline="0">
                    <a:latin typeface="Arial" pitchFamily="34" charset="0"/>
                    <a:cs typeface="Arial" pitchFamily="34" charset="0"/>
                  </a:rPr>
                  <a:t> of </a:t>
                </a:r>
                <a:r>
                  <a:rPr lang="en-US" sz="800" b="0" baseline="0">
                    <a:latin typeface="Arial" panose="020B0604020202020204" pitchFamily="34" charset="0"/>
                    <a:cs typeface="Arial" panose="020B0604020202020204" pitchFamily="34" charset="0"/>
                  </a:rPr>
                  <a:t>Filled</a:t>
                </a:r>
                <a:r>
                  <a:rPr lang="en-US" sz="800" b="0" baseline="0">
                    <a:latin typeface="Times New Roman" pitchFamily="18" charset="0"/>
                    <a:cs typeface="Times New Roman" pitchFamily="18" charset="0"/>
                  </a:rPr>
                  <a:t> </a:t>
                </a:r>
                <a:r>
                  <a:rPr lang="id-ID" sz="800" b="0" baseline="0">
                    <a:latin typeface="Times New Roman" pitchFamily="18" charset="0"/>
                    <a:cs typeface="Times New Roman" pitchFamily="18" charset="0"/>
                  </a:rPr>
                  <a:t> </a:t>
                </a:r>
                <a:r>
                  <a:rPr lang="id-ID" sz="800" b="0" baseline="0">
                    <a:latin typeface="Arial" panose="020B0604020202020204" pitchFamily="34" charset="0"/>
                    <a:cs typeface="Arial" panose="020B0604020202020204" pitchFamily="34" charset="0"/>
                  </a:rPr>
                  <a:t>Pods</a:t>
                </a:r>
                <a:r>
                  <a:rPr lang="id-ID" sz="800" b="0" baseline="0">
                    <a:latin typeface="Times New Roman" pitchFamily="18" charset="0"/>
                    <a:cs typeface="Times New Roman" pitchFamily="18" charset="0"/>
                  </a:rPr>
                  <a:t> </a:t>
                </a:r>
                <a:endParaRPr lang="en-US" sz="800" b="0">
                  <a:latin typeface="Times New Roman" pitchFamily="18" charset="0"/>
                  <a:cs typeface="Times New Roman" pitchFamily="18" charset="0"/>
                </a:endParaRPr>
              </a:p>
            </c:rich>
          </c:tx>
          <c:overlay val="0"/>
        </c:title>
        <c:numFmt formatCode="0" sourceLinked="1"/>
        <c:majorTickMark val="out"/>
        <c:minorTickMark val="none"/>
        <c:tickLblPos val="nextTo"/>
        <c:crossAx val="362508672"/>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4B03E-B7DA-44E6-8383-3E64E5D0C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14</Pages>
  <Words>5807</Words>
  <Characters>33430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39159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Juliana Tarigan</cp:lastModifiedBy>
  <cp:revision>2</cp:revision>
  <cp:lastPrinted>1999-07-06T11:00:00Z</cp:lastPrinted>
  <dcterms:created xsi:type="dcterms:W3CDTF">2025-07-18T04:36:00Z</dcterms:created>
  <dcterms:modified xsi:type="dcterms:W3CDTF">2025-07-18T04:36:00Z</dcterms:modified>
</cp:coreProperties>
</file>