
<file path=[Content_Types].xml><?xml version="1.0" encoding="utf-8"?>
<Types xmlns="http://schemas.openxmlformats.org/package/2006/content-types">
  <Default Extension="png" ContentType="image/png"/>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50C25" w:rsidRDefault="00D01A17">
      <w:pPr>
        <w:jc w:val="center"/>
        <w:rPr>
          <w:rFonts w:ascii="Times New Roman" w:hAnsi="Times New Roman" w:cs="Times New Roman"/>
          <w:b/>
          <w:sz w:val="28"/>
          <w:szCs w:val="28"/>
        </w:rPr>
      </w:pPr>
      <w:r>
        <w:rPr>
          <w:rFonts w:ascii="Times New Roman" w:hAnsi="Times New Roman" w:cs="Times New Roman"/>
          <w:b/>
          <w:sz w:val="28"/>
          <w:szCs w:val="28"/>
        </w:rPr>
        <w:t>Impact Of Anthropogenic Activities On Soil Microbial, Earthworm Populations, And Carbon Mineralization in the Forest-Savanna Zone Of The West Mamprusi District, Ghana</w:t>
      </w:r>
    </w:p>
    <w:p w:rsidR="00B50C25" w:rsidRDefault="00B50C25">
      <w:pPr>
        <w:spacing w:after="0"/>
        <w:rPr>
          <w:rFonts w:ascii="Times New Roman" w:hAnsi="Times New Roman" w:cs="Times New Roman"/>
        </w:rPr>
      </w:pPr>
    </w:p>
    <w:p w:rsidR="00B50C25" w:rsidRDefault="00B50C25">
      <w:pPr>
        <w:spacing w:after="0"/>
        <w:rPr>
          <w:rFonts w:ascii="Times New Roman" w:hAnsi="Times New Roman" w:cs="Times New Roman"/>
        </w:rPr>
      </w:pPr>
    </w:p>
    <w:p w:rsidR="00B50C25" w:rsidRDefault="00D01A17">
      <w:pPr>
        <w:spacing w:after="0"/>
        <w:rPr>
          <w:rFonts w:ascii="Times New Roman" w:hAnsi="Times New Roman" w:cs="Times New Roman"/>
          <w:b/>
          <w:sz w:val="24"/>
          <w:szCs w:val="24"/>
        </w:rPr>
      </w:pPr>
      <w:r>
        <w:rPr>
          <w:rFonts w:ascii="Times New Roman" w:hAnsi="Times New Roman" w:cs="Times New Roman"/>
          <w:b/>
          <w:sz w:val="24"/>
          <w:szCs w:val="24"/>
        </w:rPr>
        <w:t>ABSTRACT</w:t>
      </w:r>
    </w:p>
    <w:p w:rsidR="00B50C25" w:rsidRDefault="00D01A17">
      <w:pPr>
        <w:spacing w:after="0"/>
        <w:rPr>
          <w:rFonts w:ascii="Times New Roman" w:hAnsi="Times New Roman" w:cs="Times New Roman"/>
        </w:rPr>
      </w:pPr>
      <w:r>
        <w:rPr>
          <w:rFonts w:ascii="Times New Roman" w:hAnsi="Times New Roman" w:cs="Times New Roman"/>
        </w:rPr>
        <w:t xml:space="preserve">The West Mamprusi District is a subset area of Northern Ghana, one of the </w:t>
      </w:r>
      <w:r>
        <w:rPr>
          <w:rFonts w:ascii="Times New Roman" w:hAnsi="Times New Roman" w:cs="Times New Roman"/>
        </w:rPr>
        <w:t>Savanna ecosystems experiencing forest degradation as a result of human activities. Our study was carried out in the Wungu Sacred grove and its adjacent unprotected forest in the West Mamprusi District of Ghana,</w:t>
      </w:r>
      <w:r>
        <w:rPr>
          <w:rFonts w:ascii="Times New Roman" w:hAnsi="Times New Roman" w:cs="Times New Roman"/>
          <w:bCs/>
        </w:rPr>
        <w:t xml:space="preserve"> </w:t>
      </w:r>
      <w:r>
        <w:rPr>
          <w:rFonts w:ascii="Times New Roman" w:hAnsi="Times New Roman" w:cs="Times New Roman"/>
        </w:rPr>
        <w:t>with specific objectives on the abundance on</w:t>
      </w:r>
      <w:r>
        <w:rPr>
          <w:rFonts w:ascii="Times New Roman" w:hAnsi="Times New Roman" w:cs="Times New Roman"/>
        </w:rPr>
        <w:t xml:space="preserve"> soil macro and micro-organisms as well as their impact on some selected soil properties. The area was stratified into two namely, Protected and Unprotected Forest. The unprotected forest was identified by activities such as bush-burning, overgrazing, logg</w:t>
      </w:r>
      <w:r>
        <w:rPr>
          <w:rFonts w:ascii="Times New Roman" w:hAnsi="Times New Roman" w:cs="Times New Roman"/>
        </w:rPr>
        <w:t>ing except farming. Four plots 25m x 100m size were set up randomly in each of the forest types for sampling. Soil samples were taken at the depth of 0-20 cm. Selected soil parameters and microbial counts were determined in the Laboratory</w:t>
      </w:r>
      <w:r>
        <w:rPr>
          <w:rFonts w:ascii="Times New Roman" w:hAnsi="Times New Roman" w:cs="Times New Roman"/>
          <w:bCs/>
        </w:rPr>
        <w:t>.</w:t>
      </w:r>
      <w:r>
        <w:rPr>
          <w:rFonts w:ascii="Times New Roman" w:hAnsi="Times New Roman" w:cs="Times New Roman"/>
        </w:rPr>
        <w:t xml:space="preserve"> Earthworms were </w:t>
      </w:r>
      <w:r>
        <w:rPr>
          <w:rFonts w:ascii="Times New Roman" w:hAnsi="Times New Roman" w:cs="Times New Roman"/>
        </w:rPr>
        <w:t>enumerated by hand.</w:t>
      </w:r>
      <w:r>
        <w:rPr>
          <w:rFonts w:ascii="Times New Roman" w:hAnsi="Times New Roman" w:cs="Times New Roman"/>
          <w:bCs/>
        </w:rPr>
        <w:t xml:space="preserve"> </w:t>
      </w:r>
      <w:r>
        <w:rPr>
          <w:rFonts w:ascii="Times New Roman" w:hAnsi="Times New Roman" w:cs="Times New Roman"/>
        </w:rPr>
        <w:t>The result indicates that the soil microbial counts from both sites were significant. (P &lt; 0.05) except for Escherichia-Coli (P&gt;0.05). The average number of earthworms in the protected site was two times higher than the unprotected site</w:t>
      </w:r>
      <w:r>
        <w:rPr>
          <w:rFonts w:ascii="Times New Roman" w:hAnsi="Times New Roman" w:cs="Times New Roman"/>
        </w:rPr>
        <w:t>s. Anthropogenic activities have affected the soil macro and micro-organisms, thereby decreasing the nutrient supply in unprotected Forest. Result indicates that local habitat should be harness other forms of biomass energy.</w:t>
      </w:r>
    </w:p>
    <w:p w:rsidR="00B50C25" w:rsidRDefault="00B50C25">
      <w:pPr>
        <w:spacing w:after="0"/>
        <w:rPr>
          <w:rFonts w:ascii="Times New Roman" w:hAnsi="Times New Roman" w:cs="Times New Roman"/>
        </w:rPr>
      </w:pPr>
    </w:p>
    <w:p w:rsidR="00B50C25" w:rsidRDefault="00D01A17">
      <w:pPr>
        <w:spacing w:after="0"/>
        <w:rPr>
          <w:rFonts w:ascii="Times New Roman" w:hAnsi="Times New Roman" w:cs="Times New Roman"/>
        </w:rPr>
      </w:pPr>
      <w:r>
        <w:rPr>
          <w:rFonts w:ascii="Times New Roman" w:hAnsi="Times New Roman" w:cs="Times New Roman"/>
          <w:b/>
          <w:sz w:val="24"/>
          <w:szCs w:val="24"/>
        </w:rPr>
        <w:t>Keywords:</w:t>
      </w:r>
      <w:r>
        <w:rPr>
          <w:rFonts w:ascii="Times New Roman" w:hAnsi="Times New Roman" w:cs="Times New Roman"/>
          <w:b/>
        </w:rPr>
        <w:t xml:space="preserve"> </w:t>
      </w:r>
      <w:r>
        <w:rPr>
          <w:rFonts w:ascii="Times New Roman" w:hAnsi="Times New Roman" w:cs="Times New Roman"/>
        </w:rPr>
        <w:t>Anthropogenic Activi</w:t>
      </w:r>
      <w:r>
        <w:rPr>
          <w:rFonts w:ascii="Times New Roman" w:hAnsi="Times New Roman" w:cs="Times New Roman"/>
        </w:rPr>
        <w:t>ties, Earthworm Populations, Savannah Ecosystem, Soil Microorganisms, Soil Physiochemical Properties.</w:t>
      </w:r>
    </w:p>
    <w:p w:rsidR="00B50C25" w:rsidRDefault="00B50C25">
      <w:pPr>
        <w:spacing w:after="0"/>
        <w:rPr>
          <w:rFonts w:ascii="Times New Roman" w:hAnsi="Times New Roman" w:cs="Times New Roman"/>
        </w:rPr>
      </w:pPr>
    </w:p>
    <w:p w:rsidR="00B50C25" w:rsidRDefault="00D01A17">
      <w:pPr>
        <w:pStyle w:val="ListParagraph"/>
        <w:numPr>
          <w:ilvl w:val="0"/>
          <w:numId w:val="1"/>
        </w:numPr>
        <w:spacing w:after="0"/>
        <w:ind w:left="0" w:hanging="270"/>
        <w:rPr>
          <w:rFonts w:ascii="Times New Roman" w:hAnsi="Times New Roman" w:cs="Times New Roman"/>
          <w:b/>
          <w:sz w:val="24"/>
          <w:szCs w:val="24"/>
        </w:rPr>
      </w:pPr>
      <w:r>
        <w:rPr>
          <w:rFonts w:ascii="Times New Roman" w:hAnsi="Times New Roman" w:cs="Times New Roman"/>
          <w:b/>
          <w:sz w:val="24"/>
          <w:szCs w:val="24"/>
        </w:rPr>
        <w:t>INTRODUCTION</w:t>
      </w:r>
    </w:p>
    <w:p w:rsidR="00B50C25" w:rsidRDefault="00D01A17">
      <w:pPr>
        <w:spacing w:after="0" w:line="240" w:lineRule="auto"/>
        <w:rPr>
          <w:rFonts w:ascii="Times New Roman" w:hAnsi="Times New Roman" w:cs="Times New Roman"/>
        </w:rPr>
      </w:pPr>
      <w:r>
        <w:rPr>
          <w:rFonts w:ascii="Times New Roman" w:hAnsi="Times New Roman" w:cs="Times New Roman"/>
        </w:rPr>
        <w:t xml:space="preserve">The West Mamprusi District is a subset area of Northern Ghana, one of the Savanna ecosystems experiencing forest degradation as a result of </w:t>
      </w:r>
      <w:r>
        <w:rPr>
          <w:rFonts w:ascii="Times New Roman" w:hAnsi="Times New Roman" w:cs="Times New Roman"/>
        </w:rPr>
        <w:t xml:space="preserve">human activities </w:t>
      </w:r>
      <w:r>
        <w:rPr>
          <w:rFonts w:ascii="Times New Roman" w:hAnsi="Times New Roman" w:cs="Times New Roman"/>
          <w:b/>
        </w:rPr>
        <w:t xml:space="preserve">(O’Higgin, 2007). </w:t>
      </w:r>
      <w:r>
        <w:rPr>
          <w:rFonts w:ascii="Times New Roman" w:hAnsi="Times New Roman" w:cs="Times New Roman"/>
        </w:rPr>
        <w:t>With about 20% of the national population, the northern and coastal savanna zones supply about 70% of Ghana’s total supply of firewood and charcoal, estimated at 16 million cubic meters, and also provide medicinal plants,</w:t>
      </w:r>
      <w:r>
        <w:rPr>
          <w:rFonts w:ascii="Times New Roman" w:hAnsi="Times New Roman" w:cs="Times New Roman"/>
        </w:rPr>
        <w:t xml:space="preserve"> thatches, fencing poles, and fruits (e.g., shea-nut which is an increasingly important export commodity) </w:t>
      </w:r>
      <w:r>
        <w:rPr>
          <w:rFonts w:ascii="Times New Roman" w:hAnsi="Times New Roman" w:cs="Times New Roman"/>
          <w:b/>
        </w:rPr>
        <w:t>(NSBC, 2002)</w:t>
      </w:r>
      <w:r>
        <w:rPr>
          <w:rFonts w:ascii="Times New Roman" w:hAnsi="Times New Roman" w:cs="Times New Roman"/>
        </w:rPr>
        <w:t>. However, the persistent exposure of this forest ecosystem to human activities, such as bush burning, overgrazing, and logging, constitut</w:t>
      </w:r>
      <w:r>
        <w:rPr>
          <w:rFonts w:ascii="Times New Roman" w:hAnsi="Times New Roman" w:cs="Times New Roman"/>
        </w:rPr>
        <w:t xml:space="preserve">es a serious threat to its sustainability and communities’ livelihoods </w:t>
      </w:r>
      <w:r>
        <w:rPr>
          <w:rFonts w:ascii="Times New Roman" w:hAnsi="Times New Roman" w:cs="Times New Roman"/>
          <w:b/>
        </w:rPr>
        <w:t>(Campbell et al., 2000)</w:t>
      </w:r>
      <w:r>
        <w:rPr>
          <w:rFonts w:ascii="Times New Roman" w:hAnsi="Times New Roman" w:cs="Times New Roman"/>
        </w:rPr>
        <w:t>. The Soil is the habitat for various microflora, which plays a role in various ecological processes and climate regulation and is also necessary to maintain soil</w:t>
      </w:r>
      <w:r>
        <w:rPr>
          <w:rFonts w:ascii="Times New Roman" w:hAnsi="Times New Roman" w:cs="Times New Roman"/>
        </w:rPr>
        <w:t xml:space="preserve"> functions and health (</w:t>
      </w:r>
      <w:r>
        <w:rPr>
          <w:rFonts w:ascii="Times New Roman" w:hAnsi="Times New Roman" w:cs="Times New Roman"/>
          <w:b/>
          <w:bCs/>
        </w:rPr>
        <w:t>Jacoby et al., 2017</w:t>
      </w:r>
      <w:r>
        <w:rPr>
          <w:rFonts w:ascii="Times New Roman" w:hAnsi="Times New Roman" w:cs="Times New Roman"/>
        </w:rPr>
        <w:t xml:space="preserve">, </w:t>
      </w:r>
      <w:r>
        <w:rPr>
          <w:rFonts w:ascii="Times New Roman" w:hAnsi="Times New Roman" w:cs="Times New Roman"/>
          <w:b/>
          <w:bCs/>
        </w:rPr>
        <w:t xml:space="preserve">Abinandan S. et al., </w:t>
      </w:r>
      <w:r>
        <w:rPr>
          <w:rFonts w:ascii="Times New Roman" w:hAnsi="Times New Roman" w:cs="Times New Roman"/>
          <w:b/>
          <w:bCs/>
          <w:highlight w:val="yellow"/>
        </w:rPr>
        <w:t>2</w:t>
      </w:r>
      <w:r>
        <w:rPr>
          <w:rFonts w:ascii="Times New Roman" w:hAnsi="Times New Roman" w:cs="Times New Roman"/>
          <w:b/>
          <w:bCs/>
          <w:highlight w:val="yellow"/>
        </w:rPr>
        <w:t>01</w:t>
      </w:r>
      <w:r>
        <w:rPr>
          <w:rFonts w:ascii="Times New Roman" w:hAnsi="Times New Roman" w:cs="Times New Roman"/>
          <w:b/>
          <w:bCs/>
          <w:highlight w:val="yellow"/>
        </w:rPr>
        <w:t>9</w:t>
      </w:r>
      <w:r>
        <w:rPr>
          <w:rFonts w:ascii="Times New Roman" w:hAnsi="Times New Roman" w:cs="Times New Roman"/>
        </w:rPr>
        <w:t xml:space="preserve">, </w:t>
      </w:r>
      <w:r>
        <w:rPr>
          <w:rFonts w:ascii="Times New Roman" w:hAnsi="Times New Roman" w:cs="Times New Roman"/>
          <w:b/>
        </w:rPr>
        <w:t>Sofo Adriano et al., 2020</w:t>
      </w:r>
      <w:r>
        <w:rPr>
          <w:rFonts w:ascii="Times New Roman" w:hAnsi="Times New Roman" w:cs="Times New Roman"/>
        </w:rPr>
        <w:t xml:space="preserve">, &amp; </w:t>
      </w:r>
      <w:r>
        <w:rPr>
          <w:rFonts w:ascii="Times New Roman" w:hAnsi="Times New Roman" w:cs="Times New Roman"/>
          <w:b/>
        </w:rPr>
        <w:t>Bertola Marta et al., 2021</w:t>
      </w:r>
      <w:r>
        <w:rPr>
          <w:rFonts w:ascii="Times New Roman" w:hAnsi="Times New Roman" w:cs="Times New Roman"/>
        </w:rPr>
        <w:t>). However, the reduction in the diversity, abundance and quality of microbial communities in the soil is directly related to loss</w:t>
      </w:r>
      <w:r>
        <w:rPr>
          <w:rFonts w:ascii="Times New Roman" w:hAnsi="Times New Roman" w:cs="Times New Roman"/>
        </w:rPr>
        <w:t xml:space="preserve"> of natural resources and anthropogenic disturbance of the ecosystem. (</w:t>
      </w:r>
      <w:r>
        <w:rPr>
          <w:rFonts w:ascii="Times New Roman" w:hAnsi="Times New Roman" w:cs="Times New Roman"/>
          <w:b/>
          <w:bCs/>
        </w:rPr>
        <w:t>Cavicchioli R. et al., 2019</w:t>
      </w:r>
      <w:r>
        <w:rPr>
          <w:rFonts w:ascii="Times New Roman" w:hAnsi="Times New Roman" w:cs="Times New Roman"/>
        </w:rPr>
        <w:t>) Soil quality largely depends on the physiochemical, biochemical, and biological properties of the soil. Soil microbial communities are particularly sensitiv</w:t>
      </w:r>
      <w:r>
        <w:rPr>
          <w:rFonts w:ascii="Times New Roman" w:hAnsi="Times New Roman" w:cs="Times New Roman"/>
        </w:rPr>
        <w:t>e to anthropogenic activities (</w:t>
      </w:r>
      <w:r>
        <w:rPr>
          <w:rFonts w:ascii="Times New Roman" w:hAnsi="Times New Roman" w:cs="Times New Roman"/>
          <w:b/>
          <w:bCs/>
        </w:rPr>
        <w:t>Wang R. 2016</w:t>
      </w:r>
      <w:r>
        <w:rPr>
          <w:rFonts w:ascii="Times New Roman" w:hAnsi="Times New Roman" w:cs="Times New Roman"/>
        </w:rPr>
        <w:t>). For example, anthropogenic activities such as overexploitation, over-grazing, inappropriate clearing techniques, and unsuitable land-use practices have resulted in severe soil nutrient decline and a decrease in</w:t>
      </w:r>
      <w:r>
        <w:rPr>
          <w:rFonts w:ascii="Times New Roman" w:hAnsi="Times New Roman" w:cs="Times New Roman"/>
        </w:rPr>
        <w:t xml:space="preserve"> productivity </w:t>
      </w:r>
      <w:r>
        <w:rPr>
          <w:rFonts w:ascii="Times New Roman" w:hAnsi="Times New Roman" w:cs="Times New Roman"/>
          <w:b/>
        </w:rPr>
        <w:t>(ISRIC 2007).</w:t>
      </w:r>
      <w:r>
        <w:rPr>
          <w:rFonts w:ascii="Times New Roman" w:hAnsi="Times New Roman" w:cs="Times New Roman"/>
        </w:rPr>
        <w:t xml:space="preserve"> </w:t>
      </w:r>
    </w:p>
    <w:p w:rsidR="00B50C25" w:rsidRDefault="00B50C25">
      <w:pPr>
        <w:spacing w:after="0" w:line="240" w:lineRule="auto"/>
        <w:rPr>
          <w:rFonts w:ascii="Times New Roman" w:hAnsi="Times New Roman" w:cs="Times New Roman"/>
        </w:rPr>
      </w:pPr>
    </w:p>
    <w:p w:rsidR="00B50C25" w:rsidRDefault="00D01A17">
      <w:pPr>
        <w:spacing w:after="0" w:line="240" w:lineRule="auto"/>
        <w:rPr>
          <w:rFonts w:ascii="Times New Roman" w:hAnsi="Times New Roman" w:cs="Times New Roman"/>
        </w:rPr>
      </w:pPr>
      <w:r>
        <w:rPr>
          <w:rFonts w:ascii="Times New Roman" w:hAnsi="Times New Roman" w:cs="Times New Roman"/>
        </w:rPr>
        <w:t>Earthworms represent the most important soil macrofauna. Earthworms have been identified as the most important ecosystem engineers in soils and are widely considered important bioindicators of soil health (</w:t>
      </w:r>
      <w:r>
        <w:rPr>
          <w:rFonts w:ascii="Times New Roman" w:hAnsi="Times New Roman" w:cs="Times New Roman"/>
          <w:b/>
        </w:rPr>
        <w:t xml:space="preserve">Van Capelle et al., </w:t>
      </w:r>
      <w:r>
        <w:rPr>
          <w:rFonts w:ascii="Times New Roman" w:hAnsi="Times New Roman" w:cs="Times New Roman"/>
          <w:b/>
        </w:rPr>
        <w:t>2012)</w:t>
      </w:r>
      <w:r>
        <w:rPr>
          <w:rFonts w:ascii="Times New Roman" w:hAnsi="Times New Roman" w:cs="Times New Roman"/>
        </w:rPr>
        <w:t xml:space="preserve"> The effects of earthworms on ecosystems are usually considered positive </w:t>
      </w:r>
      <w:r>
        <w:rPr>
          <w:rFonts w:ascii="Times New Roman" w:hAnsi="Times New Roman" w:cs="Times New Roman"/>
        </w:rPr>
        <w:lastRenderedPageBreak/>
        <w:t>because of their role in aerating and enriching soils (</w:t>
      </w:r>
      <w:r>
        <w:rPr>
          <w:rFonts w:ascii="Times New Roman" w:hAnsi="Times New Roman" w:cs="Times New Roman"/>
          <w:b/>
        </w:rPr>
        <w:t xml:space="preserve">Tinker P. 2005., </w:t>
      </w:r>
      <w:r>
        <w:rPr>
          <w:rFonts w:ascii="Times New Roman" w:hAnsi="Times New Roman" w:cs="Times New Roman"/>
        </w:rPr>
        <w:t xml:space="preserve"> </w:t>
      </w:r>
      <w:r>
        <w:rPr>
          <w:rFonts w:ascii="Times New Roman" w:hAnsi="Times New Roman" w:cs="Times New Roman"/>
          <w:b/>
        </w:rPr>
        <w:t>Ritz  karl, 2006</w:t>
      </w:r>
      <w:r>
        <w:rPr>
          <w:rFonts w:ascii="Times New Roman" w:hAnsi="Times New Roman" w:cs="Times New Roman"/>
        </w:rPr>
        <w:t>). They play a crucial role in various biological processes in soil, and affect ecosystem</w:t>
      </w:r>
      <w:r>
        <w:rPr>
          <w:rFonts w:ascii="Times New Roman" w:hAnsi="Times New Roman" w:cs="Times New Roman"/>
        </w:rPr>
        <w:t xml:space="preserve"> services such as soil health and productivity, water regulation, restoration of degraded lands, and the balance of greenhouse gases. The decomposition of organic matter begins with large soil organisms like earthworms, arthropods (ants, beetles, and termi</w:t>
      </w:r>
      <w:r>
        <w:rPr>
          <w:rFonts w:ascii="Times New Roman" w:hAnsi="Times New Roman" w:cs="Times New Roman"/>
        </w:rPr>
        <w:t>tes), and gastropods (slugs and snails). These organisms are break down into smaller organic matter which can be decomposed by smaller organisms like fungi and heterotrophic bacteria. The conversion of organic matter into inorganic compounds through decomp</w:t>
      </w:r>
      <w:r>
        <w:rPr>
          <w:rFonts w:ascii="Times New Roman" w:hAnsi="Times New Roman" w:cs="Times New Roman"/>
        </w:rPr>
        <w:t>osition reactions by microorganisms is termed mineralization (</w:t>
      </w:r>
      <w:r>
        <w:rPr>
          <w:rFonts w:ascii="Times New Roman" w:hAnsi="Times New Roman" w:cs="Times New Roman"/>
          <w:b/>
        </w:rPr>
        <w:t>E. G. Gregorich et al., 2001)</w:t>
      </w:r>
      <w:r>
        <w:rPr>
          <w:rFonts w:ascii="Times New Roman" w:hAnsi="Times New Roman" w:cs="Times New Roman"/>
        </w:rPr>
        <w:t xml:space="preserve">. Soil macrofauna is reckoned as colonizers, comminutors, and engineers within soils </w:t>
      </w:r>
      <w:r>
        <w:rPr>
          <w:rFonts w:ascii="Times New Roman" w:hAnsi="Times New Roman" w:cs="Times New Roman"/>
          <w:b/>
        </w:rPr>
        <w:t>(Sofo et al., 2020)</w:t>
      </w:r>
      <w:r>
        <w:rPr>
          <w:rFonts w:ascii="Times New Roman" w:hAnsi="Times New Roman" w:cs="Times New Roman"/>
        </w:rPr>
        <w:t xml:space="preserve">. For instance, earthworms play an essential role in the mechanical mixing of soil and are also responsible for improving soil structure and nutrient (minerals, SOM) turnover </w:t>
      </w:r>
      <w:r>
        <w:rPr>
          <w:rFonts w:ascii="Times New Roman" w:hAnsi="Times New Roman" w:cs="Times New Roman"/>
          <w:b/>
        </w:rPr>
        <w:t>(Alegria-Terrazas et al., 2016).</w:t>
      </w:r>
    </w:p>
    <w:p w:rsidR="00B50C25" w:rsidRDefault="00B50C25">
      <w:pPr>
        <w:spacing w:after="0" w:line="240" w:lineRule="auto"/>
        <w:rPr>
          <w:rFonts w:ascii="Times New Roman" w:hAnsi="Times New Roman" w:cs="Times New Roman"/>
        </w:rPr>
      </w:pPr>
    </w:p>
    <w:p w:rsidR="00B50C25" w:rsidRDefault="00D01A17">
      <w:pPr>
        <w:pStyle w:val="ListParagraph"/>
        <w:numPr>
          <w:ilvl w:val="0"/>
          <w:numId w:val="1"/>
        </w:numPr>
        <w:spacing w:after="0" w:line="240" w:lineRule="auto"/>
        <w:ind w:left="0"/>
        <w:rPr>
          <w:rFonts w:ascii="Times New Roman" w:hAnsi="Times New Roman" w:cs="Times New Roman"/>
          <w:sz w:val="24"/>
          <w:szCs w:val="24"/>
        </w:rPr>
      </w:pPr>
      <w:r>
        <w:rPr>
          <w:rFonts w:ascii="Times New Roman" w:hAnsi="Times New Roman" w:cs="Times New Roman"/>
          <w:b/>
          <w:sz w:val="24"/>
          <w:szCs w:val="24"/>
        </w:rPr>
        <w:t>LITERATURE REVIEW</w:t>
      </w:r>
      <w:r>
        <w:rPr>
          <w:rFonts w:ascii="Times New Roman" w:hAnsi="Times New Roman" w:cs="Times New Roman"/>
          <w:sz w:val="24"/>
          <w:szCs w:val="24"/>
        </w:rPr>
        <w:t xml:space="preserve"> </w:t>
      </w:r>
    </w:p>
    <w:p w:rsidR="00B50C25" w:rsidRDefault="00D01A17">
      <w:pPr>
        <w:spacing w:after="0" w:line="240" w:lineRule="auto"/>
        <w:rPr>
          <w:rFonts w:ascii="Times New Roman" w:hAnsi="Times New Roman" w:cs="Times New Roman"/>
        </w:rPr>
      </w:pPr>
      <w:r>
        <w:rPr>
          <w:rFonts w:ascii="Times New Roman" w:hAnsi="Times New Roman" w:cs="Times New Roman"/>
        </w:rPr>
        <w:t xml:space="preserve">The forests in Ghana, which </w:t>
      </w:r>
      <w:r>
        <w:rPr>
          <w:rFonts w:ascii="Times New Roman" w:hAnsi="Times New Roman" w:cs="Times New Roman"/>
        </w:rPr>
        <w:t xml:space="preserve">are part of the Guinea-Congo lean phytogeographical region, cover about 24.2 % of the country’s total land area of the country </w:t>
      </w:r>
      <w:r>
        <w:rPr>
          <w:rFonts w:ascii="Times New Roman" w:hAnsi="Times New Roman" w:cs="Times New Roman"/>
          <w:b/>
        </w:rPr>
        <w:t xml:space="preserve">(FAO, 2010). </w:t>
      </w:r>
      <w:r>
        <w:rPr>
          <w:rFonts w:ascii="Times New Roman" w:hAnsi="Times New Roman" w:cs="Times New Roman"/>
        </w:rPr>
        <w:t>Ecologically, the country is divided into a high forest zone to the southwest, accounting for about a third of the l</w:t>
      </w:r>
      <w:r>
        <w:rPr>
          <w:rFonts w:ascii="Times New Roman" w:hAnsi="Times New Roman" w:cs="Times New Roman"/>
        </w:rPr>
        <w:t xml:space="preserve">and area (about 7.5 million hectares), a savanna zone (14.7 million hectares) mostly in the north and a transition zone (1.1 million hectares) </w:t>
      </w:r>
      <w:r>
        <w:rPr>
          <w:rFonts w:ascii="Times New Roman" w:hAnsi="Times New Roman" w:cs="Times New Roman"/>
          <w:b/>
        </w:rPr>
        <w:t>(ITTO, 2006)</w:t>
      </w:r>
      <w:r>
        <w:rPr>
          <w:rFonts w:ascii="Times New Roman" w:hAnsi="Times New Roman" w:cs="Times New Roman"/>
        </w:rPr>
        <w:t>. Ghana’s natural landscape comprises two major ecological zones. The southwestern part of the countr</w:t>
      </w:r>
      <w:r>
        <w:rPr>
          <w:rFonts w:ascii="Times New Roman" w:hAnsi="Times New Roman" w:cs="Times New Roman"/>
        </w:rPr>
        <w:t>y is the high forest zone, which represents about a third of its land area (approx. 7.5 million ha.), while the savanna dominates the north and the east. Forests are categorized into reserved and unreserved forest. Anthropogenic activities can lead to a ra</w:t>
      </w:r>
      <w:r>
        <w:rPr>
          <w:rFonts w:ascii="Times New Roman" w:hAnsi="Times New Roman" w:cs="Times New Roman"/>
        </w:rPr>
        <w:t>pid reduction or loss of earthworm diversity, and threaten ecosystem services as well as human well-being (</w:t>
      </w:r>
      <w:r>
        <w:rPr>
          <w:rFonts w:ascii="Times New Roman" w:hAnsi="Times New Roman" w:cs="Times New Roman"/>
          <w:b/>
        </w:rPr>
        <w:t>Dewi Widyatmani, 2015).</w:t>
      </w:r>
      <w:r>
        <w:rPr>
          <w:rFonts w:ascii="Times New Roman" w:hAnsi="Times New Roman" w:cs="Times New Roman"/>
        </w:rPr>
        <w:t xml:space="preserve"> However, we do not fully understand how anthropogenic activities impact the abundance of both soil micro-fauna and macro-faun</w:t>
      </w:r>
      <w:r>
        <w:rPr>
          <w:rFonts w:ascii="Times New Roman" w:hAnsi="Times New Roman" w:cs="Times New Roman"/>
        </w:rPr>
        <w:t>a and it associated impact on the soil physiochemical properties. Therefore, estimating the magnitude and potential mineralization of Carbon reserves in soils, particularly those in Savanna, will provide information on the nutrient-supplying capacity of th</w:t>
      </w:r>
      <w:r>
        <w:rPr>
          <w:rFonts w:ascii="Times New Roman" w:hAnsi="Times New Roman" w:cs="Times New Roman"/>
        </w:rPr>
        <w:t>ese soils.  Moreover, the abundance, functions, and interactions of earthworms are not clear in savanna ecological forests. Ecologists need to study a broad range of disturbed and undisturbed ecosystem types to fully understand the interaction between huma</w:t>
      </w:r>
      <w:r>
        <w:rPr>
          <w:rFonts w:ascii="Times New Roman" w:hAnsi="Times New Roman" w:cs="Times New Roman"/>
        </w:rPr>
        <w:t xml:space="preserve">n activities, earthworm ecology, and ecosystem function.  </w:t>
      </w:r>
    </w:p>
    <w:p w:rsidR="00B50C25" w:rsidRDefault="00B50C25">
      <w:pPr>
        <w:spacing w:after="0" w:line="240" w:lineRule="auto"/>
        <w:rPr>
          <w:rFonts w:ascii="Times New Roman" w:hAnsi="Times New Roman" w:cs="Times New Roman"/>
        </w:rPr>
      </w:pPr>
    </w:p>
    <w:p w:rsidR="00B50C25" w:rsidRDefault="00D01A17">
      <w:pPr>
        <w:spacing w:after="0" w:line="240" w:lineRule="auto"/>
        <w:rPr>
          <w:rFonts w:ascii="Times New Roman" w:hAnsi="Times New Roman" w:cs="Times New Roman"/>
          <w:highlight w:val="yellow"/>
        </w:rPr>
      </w:pPr>
      <w:r>
        <w:rPr>
          <w:rFonts w:ascii="Times New Roman" w:hAnsi="Times New Roman" w:cs="Times New Roman"/>
          <w:highlight w:val="yellow"/>
        </w:rPr>
        <w:t>Savannas cover one eighth of the global land area (Scholes &amp; Archer, 1997) and contribute approximately 30% of all terrestrial ecosystem gross primary productivity (House &amp; Hall, 2001)</w:t>
      </w:r>
      <w:r>
        <w:rPr>
          <w:rFonts w:ascii="Times New Roman" w:hAnsi="Times New Roman" w:cs="Times New Roman"/>
        </w:rPr>
        <w:t>They are def</w:t>
      </w:r>
      <w:r>
        <w:rPr>
          <w:rFonts w:ascii="Times New Roman" w:hAnsi="Times New Roman" w:cs="Times New Roman"/>
        </w:rPr>
        <w:t>ined as formations with more or less continuous herb cover and a discontinuous woody cover (</w:t>
      </w:r>
      <w:r>
        <w:rPr>
          <w:rFonts w:ascii="Times New Roman" w:hAnsi="Times New Roman" w:cs="Times New Roman"/>
          <w:b/>
        </w:rPr>
        <w:t>Scholes and Archer, 2003</w:t>
      </w:r>
      <w:r>
        <w:rPr>
          <w:rFonts w:ascii="Times New Roman" w:hAnsi="Times New Roman" w:cs="Times New Roman"/>
        </w:rPr>
        <w:t>). The distribution, structure, and composition of savannas depend on climate, topography, soils, geomorphology, herbivores, and fire (</w:t>
      </w:r>
      <w:r>
        <w:rPr>
          <w:rFonts w:ascii="Times New Roman" w:hAnsi="Times New Roman" w:cs="Times New Roman"/>
          <w:b/>
        </w:rPr>
        <w:t>Schol</w:t>
      </w:r>
      <w:r>
        <w:rPr>
          <w:rFonts w:ascii="Times New Roman" w:hAnsi="Times New Roman" w:cs="Times New Roman"/>
          <w:b/>
        </w:rPr>
        <w:t>es and Archer, 2003; Higgins et al., 2000</w:t>
      </w:r>
      <w:r>
        <w:rPr>
          <w:rFonts w:ascii="Times New Roman" w:hAnsi="Times New Roman" w:cs="Times New Roman"/>
        </w:rPr>
        <w:t>). In addition, savannas have undoubtedly been shaped by human activities for thousands of years (</w:t>
      </w:r>
      <w:r>
        <w:rPr>
          <w:rFonts w:ascii="Times New Roman" w:hAnsi="Times New Roman" w:cs="Times New Roman"/>
          <w:b/>
        </w:rPr>
        <w:t>Higgins et al., 1999; Shackleton Charlie. 2000; König Konstantin et al., 2007</w:t>
      </w:r>
      <w:r>
        <w:rPr>
          <w:rFonts w:ascii="Times New Roman" w:hAnsi="Times New Roman" w:cs="Times New Roman"/>
        </w:rPr>
        <w:t>). Few research has been conducted in su</w:t>
      </w:r>
      <w:r>
        <w:rPr>
          <w:rFonts w:ascii="Times New Roman" w:hAnsi="Times New Roman" w:cs="Times New Roman"/>
        </w:rPr>
        <w:t>ch regard (</w:t>
      </w:r>
      <w:r>
        <w:rPr>
          <w:rFonts w:ascii="Times New Roman" w:hAnsi="Times New Roman" w:cs="Times New Roman"/>
          <w:b/>
        </w:rPr>
        <w:t>Biyogue douti. 2015).</w:t>
      </w:r>
      <w:r>
        <w:rPr>
          <w:rFonts w:ascii="Times New Roman" w:hAnsi="Times New Roman" w:cs="Times New Roman"/>
        </w:rPr>
        <w:t xml:space="preserve"> </w:t>
      </w:r>
      <w:r>
        <w:rPr>
          <w:rFonts w:ascii="Times New Roman" w:hAnsi="Times New Roman" w:cs="Times New Roman"/>
          <w:color w:val="000000"/>
          <w:highlight w:val="yellow"/>
        </w:rPr>
        <w:t>S</w:t>
      </w:r>
      <w:r>
        <w:rPr>
          <w:rFonts w:ascii="Times New Roman" w:hAnsi="Times New Roman" w:cs="Times New Roman"/>
          <w:color w:val="000000"/>
          <w:highlight w:val="yellow"/>
        </w:rPr>
        <w:t>tudied</w:t>
      </w:r>
      <w:r>
        <w:rPr>
          <w:rFonts w:ascii="Times New Roman" w:hAnsi="Times New Roman" w:cs="Times New Roman"/>
        </w:rPr>
        <w:t xml:space="preserve"> the </w:t>
      </w:r>
      <w:r>
        <w:rPr>
          <w:rFonts w:ascii="Times New Roman" w:hAnsi="Times New Roman" w:cs="Times New Roman"/>
          <w:highlight w:val="yellow"/>
        </w:rPr>
        <w:t>i</w:t>
      </w:r>
      <w:r>
        <w:rPr>
          <w:rFonts w:ascii="Times New Roman" w:hAnsi="Times New Roman" w:cs="Times New Roman"/>
          <w:highlight w:val="yellow"/>
        </w:rPr>
        <w:t>mpacts</w:t>
      </w:r>
      <w:r>
        <w:rPr>
          <w:rFonts w:ascii="Times New Roman" w:hAnsi="Times New Roman" w:cs="Times New Roman"/>
        </w:rPr>
        <w:t xml:space="preserve"> of anthropogenic activities on physical and selected chemical properties of soils in the natural forest-savanna of Northern Ghana</w:t>
      </w:r>
      <w:r>
        <w:rPr>
          <w:rFonts w:ascii="Times New Roman" w:hAnsi="Times New Roman" w:cs="Times New Roman"/>
        </w:rPr>
        <w:t xml:space="preserve"> </w:t>
      </w:r>
      <w:r>
        <w:rPr>
          <w:rFonts w:ascii="Times New Roman" w:hAnsi="Times New Roman" w:cs="Times New Roman"/>
        </w:rPr>
        <w:t>but his study did not include their impacts on the abundance of soil micr</w:t>
      </w:r>
      <w:r>
        <w:rPr>
          <w:rFonts w:ascii="Times New Roman" w:hAnsi="Times New Roman" w:cs="Times New Roman"/>
        </w:rPr>
        <w:t>oorganisms and earthworm populations</w:t>
      </w:r>
      <w:r>
        <w:rPr>
          <w:rFonts w:ascii="Times New Roman" w:hAnsi="Times New Roman" w:cs="Times New Roman"/>
        </w:rPr>
        <w:t xml:space="preserve">. </w:t>
      </w:r>
      <w:r>
        <w:rPr>
          <w:rFonts w:ascii="Times New Roman" w:hAnsi="Times New Roman" w:cs="Times New Roman"/>
        </w:rPr>
        <w:t>Therefore, this study was conducted to find out the impact of anthropogenic activities on the abundance on soil microfauna and macrofauna and some selected soil properties</w:t>
      </w:r>
      <w:r>
        <w:rPr>
          <w:rFonts w:ascii="Times New Roman" w:hAnsi="Times New Roman" w:cs="Times New Roman"/>
          <w:color w:val="92D04F"/>
        </w:rPr>
        <w:t>.</w:t>
      </w:r>
      <w:r>
        <w:rPr>
          <w:rFonts w:ascii="Times New Roman" w:hAnsi="Times New Roman" w:cs="Times New Roman"/>
          <w:color w:val="000000"/>
          <w:highlight w:val="yellow"/>
        </w:rPr>
        <w:t xml:space="preserve">A </w:t>
      </w:r>
      <w:r>
        <w:rPr>
          <w:rFonts w:ascii="Times New Roman" w:hAnsi="Times New Roman" w:cs="Times New Roman"/>
          <w:color w:val="000000"/>
          <w:highlight w:val="yellow"/>
        </w:rPr>
        <w:t>better understanding of the linkages between</w:t>
      </w:r>
      <w:r>
        <w:rPr>
          <w:rFonts w:ascii="Times New Roman" w:hAnsi="Times New Roman" w:cs="Times New Roman"/>
          <w:color w:val="000000"/>
          <w:highlight w:val="yellow"/>
        </w:rPr>
        <w:t xml:space="preserve"> soil life and  ecosystem  function  and  the  impact  of  human interventions  will  enable  the  reduction  of  negative impacts and the more effective capture of the benefits of soil  biological  activity  for  sustainable  and  productive agriculture</w:t>
      </w:r>
      <w:r>
        <w:rPr>
          <w:rFonts w:ascii="Times New Roman" w:hAnsi="Times New Roman" w:cs="Times New Roman"/>
          <w:color w:val="000000"/>
          <w:highlight w:val="yellow"/>
        </w:rPr>
        <w:t xml:space="preserve">. </w:t>
      </w:r>
    </w:p>
    <w:p w:rsidR="00B50C25" w:rsidRDefault="00B50C25">
      <w:pPr>
        <w:spacing w:after="0"/>
        <w:rPr>
          <w:rFonts w:ascii="Times New Roman" w:hAnsi="Times New Roman" w:cs="Times New Roman"/>
          <w:b/>
          <w:highlight w:val="yellow"/>
        </w:rPr>
      </w:pPr>
    </w:p>
    <w:p w:rsidR="00B50C25" w:rsidRDefault="00D01A17">
      <w:pPr>
        <w:pStyle w:val="ListParagraph"/>
        <w:numPr>
          <w:ilvl w:val="0"/>
          <w:numId w:val="1"/>
        </w:numPr>
        <w:spacing w:after="0"/>
        <w:ind w:left="0" w:hanging="270"/>
        <w:rPr>
          <w:rFonts w:ascii="Times New Roman" w:hAnsi="Times New Roman" w:cs="Times New Roman"/>
          <w:b/>
          <w:sz w:val="24"/>
          <w:szCs w:val="24"/>
        </w:rPr>
      </w:pPr>
      <w:r>
        <w:rPr>
          <w:rFonts w:ascii="Times New Roman" w:hAnsi="Times New Roman" w:cs="Times New Roman"/>
          <w:b/>
          <w:sz w:val="24"/>
          <w:szCs w:val="24"/>
        </w:rPr>
        <w:t>MATERIALS AND METHODS</w:t>
      </w:r>
    </w:p>
    <w:p w:rsidR="00B50C25" w:rsidRDefault="00D01A17">
      <w:pPr>
        <w:spacing w:after="14"/>
        <w:ind w:right="37"/>
        <w:jc w:val="both"/>
        <w:rPr>
          <w:rFonts w:ascii="Times New Roman" w:hAnsi="Times New Roman" w:cs="Times New Roman"/>
        </w:rPr>
      </w:pPr>
      <w:r>
        <w:rPr>
          <w:rFonts w:ascii="Times New Roman" w:hAnsi="Times New Roman" w:cs="Times New Roman"/>
        </w:rPr>
        <w:t>The study was carried out in the WunguNaani sacred grove and the adjacent unprotected forest-savanna was used for the study in the West Mamprusi District of Ghana located roughly within longitudes 0</w:t>
      </w:r>
      <w:r>
        <w:rPr>
          <w:rFonts w:ascii="Times New Roman" w:hAnsi="Times New Roman" w:cs="Times New Roman"/>
          <w:vertAlign w:val="superscript"/>
        </w:rPr>
        <w:t>0</w:t>
      </w:r>
      <w:r>
        <w:rPr>
          <w:rFonts w:ascii="Times New Roman" w:hAnsi="Times New Roman" w:cs="Times New Roman"/>
        </w:rPr>
        <w:t>35’W and 1</w:t>
      </w:r>
      <w:r>
        <w:rPr>
          <w:rFonts w:ascii="Times New Roman" w:hAnsi="Times New Roman" w:cs="Times New Roman"/>
          <w:vertAlign w:val="superscript"/>
        </w:rPr>
        <w:t>0</w:t>
      </w:r>
      <w:r>
        <w:rPr>
          <w:rFonts w:ascii="Times New Roman" w:hAnsi="Times New Roman" w:cs="Times New Roman"/>
        </w:rPr>
        <w:t>45’W and Latitude 9</w:t>
      </w:r>
      <w:r>
        <w:rPr>
          <w:rFonts w:ascii="Times New Roman" w:hAnsi="Times New Roman" w:cs="Times New Roman"/>
          <w:vertAlign w:val="superscript"/>
        </w:rPr>
        <w:t>0</w:t>
      </w:r>
      <w:r>
        <w:rPr>
          <w:rFonts w:ascii="Times New Roman" w:hAnsi="Times New Roman" w:cs="Times New Roman"/>
        </w:rPr>
        <w:t>55’N and 10</w:t>
      </w:r>
      <w:r>
        <w:rPr>
          <w:rFonts w:ascii="Times New Roman" w:hAnsi="Times New Roman" w:cs="Times New Roman"/>
          <w:vertAlign w:val="superscript"/>
        </w:rPr>
        <w:t>0</w:t>
      </w:r>
      <w:r>
        <w:rPr>
          <w:rFonts w:ascii="Times New Roman" w:hAnsi="Times New Roman" w:cs="Times New Roman"/>
        </w:rPr>
        <w:t xml:space="preserve">35’N.  </w:t>
      </w:r>
      <w:r>
        <w:rPr>
          <w:rFonts w:ascii="Times New Roman" w:hAnsi="Times New Roman" w:cs="Times New Roman"/>
          <w:highlight w:val="yellow"/>
        </w:rPr>
        <w:t>Fig 1.</w:t>
      </w:r>
    </w:p>
    <w:p w:rsidR="00B50C25" w:rsidRDefault="00D01A17">
      <w:pPr>
        <w:spacing w:after="14"/>
        <w:ind w:right="37"/>
        <w:jc w:val="both"/>
        <w:rPr>
          <w:rFonts w:ascii="Times New Roman" w:hAnsi="Times New Roman" w:cs="Times New Roman"/>
        </w:rPr>
      </w:pPr>
      <w:r>
        <w:rPr>
          <w:rFonts w:ascii="Times New Roman" w:hAnsi="Times New Roman" w:cs="Times New Roman"/>
        </w:rPr>
        <w:lastRenderedPageBreak/>
        <w:t>Administratively the district lies within the Northern Region. Based on the intensity of human disturbance the study area was stratified into two sites namely Unprotected Forest (UF) and Protected Forest (PF) to serve as a control</w:t>
      </w:r>
      <w:r>
        <w:rPr>
          <w:rFonts w:ascii="Times New Roman" w:hAnsi="Times New Roman" w:cs="Times New Roman"/>
        </w:rPr>
        <w:t>. The UF was identified by activities such as bushfire setting, overgrazing, exploitation, and illegal charcoal production (except farming).</w:t>
      </w:r>
    </w:p>
    <w:p w:rsidR="00B50C25" w:rsidRDefault="00D01A17">
      <w:pPr>
        <w:spacing w:after="14"/>
        <w:ind w:right="37"/>
        <w:jc w:val="both"/>
        <w:rPr>
          <w:rFonts w:ascii="Times New Roman" w:hAnsi="Times New Roman" w:cs="Times New Roman"/>
        </w:rPr>
      </w:pPr>
      <w:r>
        <w:rPr>
          <w:rFonts w:ascii="Times New Roman" w:hAnsi="Times New Roman" w:cs="Times New Roman"/>
        </w:rPr>
        <w:t xml:space="preserve">The district is characterized by a single rainy season, which starts in late April with little rainfall, rising to </w:t>
      </w:r>
      <w:r>
        <w:rPr>
          <w:rFonts w:ascii="Times New Roman" w:hAnsi="Times New Roman" w:cs="Times New Roman"/>
        </w:rPr>
        <w:t xml:space="preserve">its peak in July-August and declining sharply and coming to a complete halt in October-November. The area experiences occasional storms, which have implications for base soil erosion depending on their frequency and intensity especially when they occur at </w:t>
      </w:r>
      <w:r>
        <w:rPr>
          <w:rFonts w:ascii="Times New Roman" w:hAnsi="Times New Roman" w:cs="Times New Roman"/>
        </w:rPr>
        <w:t>the end of the dry season. Mean annual rainfall ranges between 950mm-1200m. The Geological formation in the West Mamprusi District is underlain mainly by the Middle Lower Voltarian, which comprises sandstone, arkose, mudstone, and shale.</w:t>
      </w:r>
    </w:p>
    <w:p w:rsidR="00B50C25" w:rsidRDefault="00D01A17">
      <w:pPr>
        <w:spacing w:after="14"/>
        <w:ind w:right="37"/>
        <w:jc w:val="both"/>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661894" cy="2112871"/>
            <wp:effectExtent l="19050" t="0" r="0" b="0"/>
            <wp:docPr id="1026" name="Picture 743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4396"/>
                    <pic:cNvPicPr/>
                  </pic:nvPicPr>
                  <pic:blipFill>
                    <a:blip r:embed="rId7" cstate="print"/>
                    <a:srcRect/>
                    <a:stretch/>
                  </pic:blipFill>
                  <pic:spPr>
                    <a:xfrm>
                      <a:off x="0" y="0"/>
                      <a:ext cx="4661894" cy="2112871"/>
                    </a:xfrm>
                    <a:prstGeom prst="rect">
                      <a:avLst/>
                    </a:prstGeom>
                  </pic:spPr>
                </pic:pic>
              </a:graphicData>
            </a:graphic>
          </wp:inline>
        </w:drawing>
      </w:r>
    </w:p>
    <w:p w:rsidR="00B50C25" w:rsidRDefault="00D01A17">
      <w:pPr>
        <w:spacing w:after="0"/>
        <w:jc w:val="center"/>
        <w:rPr>
          <w:rFonts w:ascii="Times New Roman" w:hAnsi="Times New Roman" w:cs="Times New Roman"/>
          <w:b/>
        </w:rPr>
      </w:pPr>
      <w:r>
        <w:rPr>
          <w:rFonts w:ascii="Times New Roman" w:hAnsi="Times New Roman" w:cs="Times New Roman"/>
          <w:b/>
        </w:rPr>
        <w:t>Fig 1 Ecological</w:t>
      </w:r>
      <w:r>
        <w:rPr>
          <w:rFonts w:ascii="Times New Roman" w:hAnsi="Times New Roman" w:cs="Times New Roman"/>
          <w:b/>
        </w:rPr>
        <w:t xml:space="preserve"> Map of Ghana Showing the Study location</w:t>
      </w:r>
    </w:p>
    <w:p w:rsidR="00B50C25" w:rsidRDefault="00B50C25">
      <w:pPr>
        <w:spacing w:after="0"/>
        <w:rPr>
          <w:rFonts w:ascii="Times New Roman" w:hAnsi="Times New Roman" w:cs="Times New Roman"/>
          <w:b/>
        </w:rPr>
      </w:pPr>
    </w:p>
    <w:p w:rsidR="00B50C25" w:rsidRDefault="00D01A17">
      <w:pPr>
        <w:pStyle w:val="ListParagraph"/>
        <w:numPr>
          <w:ilvl w:val="1"/>
          <w:numId w:val="1"/>
        </w:numPr>
        <w:spacing w:after="0"/>
        <w:ind w:left="0"/>
        <w:rPr>
          <w:rFonts w:ascii="Times New Roman" w:hAnsi="Times New Roman" w:cs="Times New Roman"/>
          <w:b/>
          <w:sz w:val="24"/>
          <w:szCs w:val="24"/>
        </w:rPr>
      </w:pPr>
      <w:r>
        <w:rPr>
          <w:rFonts w:ascii="Times New Roman" w:hAnsi="Times New Roman" w:cs="Times New Roman"/>
          <w:b/>
          <w:sz w:val="24"/>
          <w:szCs w:val="24"/>
        </w:rPr>
        <w:t>METHODS OF DATA COLLECTION</w:t>
      </w:r>
    </w:p>
    <w:p w:rsidR="00B50C25" w:rsidRDefault="00D01A17">
      <w:pPr>
        <w:spacing w:after="0"/>
        <w:rPr>
          <w:rFonts w:ascii="Times New Roman" w:hAnsi="Times New Roman" w:cs="Times New Roman"/>
        </w:rPr>
      </w:pPr>
      <w:r>
        <w:rPr>
          <w:rFonts w:ascii="Times New Roman" w:hAnsi="Times New Roman" w:cs="Times New Roman"/>
        </w:rPr>
        <w:t>Data were collected in the month of April 2020. Four plots of 25m x 100m sizes were set up randomly in each of the forest types for sampling. Soil samples from each of the 25m x 100m plot</w:t>
      </w:r>
      <w:r>
        <w:rPr>
          <w:rFonts w:ascii="Times New Roman" w:hAnsi="Times New Roman" w:cs="Times New Roman"/>
        </w:rPr>
        <w:t>s in all the sites were collected with the aid of a soil auger. Soil samples were taken at the depth of 0-20 cm. For each depth, soil samples were taken from three different points within each plot. Within the 25m x 100m study plots and three subplots, the</w:t>
      </w:r>
      <w:r>
        <w:rPr>
          <w:rFonts w:ascii="Times New Roman" w:hAnsi="Times New Roman" w:cs="Times New Roman"/>
        </w:rPr>
        <w:t>ir coordinates were recorded using a GPS</w:t>
      </w:r>
      <w:r>
        <w:rPr>
          <w:rFonts w:ascii="Times New Roman" w:hAnsi="Times New Roman" w:cs="Times New Roman"/>
        </w:rPr>
        <w:t>.</w:t>
      </w:r>
      <w:r>
        <w:rPr>
          <w:rFonts w:ascii="Times New Roman" w:hAnsi="Times New Roman" w:cs="Times New Roman"/>
          <w:highlight w:val="yellow"/>
        </w:rPr>
        <w:t xml:space="preserve"> fig 2.</w:t>
      </w:r>
    </w:p>
    <w:p w:rsidR="00B50C25" w:rsidRDefault="00D01A17">
      <w:pPr>
        <w:spacing w:after="0"/>
        <w:rPr>
          <w:rFonts w:ascii="Times New Roman" w:hAnsi="Times New Roman" w:cs="Times New Roman"/>
        </w:rPr>
      </w:pPr>
      <w:r>
        <w:rPr>
          <w:rFonts w:ascii="Times New Roman" w:hAnsi="Times New Roman" w:cs="Times New Roman"/>
        </w:rPr>
        <w:t xml:space="preserve">Excavated soils were placed on a plastic tarp so that we examined all the soil by hand while searching for earthworms. The earthworms were enumerated by hand counting. The population count of earthworms was </w:t>
      </w:r>
      <w:r>
        <w:rPr>
          <w:rFonts w:ascii="Times New Roman" w:hAnsi="Times New Roman" w:cs="Times New Roman"/>
        </w:rPr>
        <w:t>done within three different points within each plot of the different selected sites, thus Protected Forest and Unprotected Forest. The coordinates recorded were used to develop a digitized map using the ArcGIS Software to indicate all the sampling points w</w:t>
      </w:r>
      <w:r>
        <w:rPr>
          <w:rFonts w:ascii="Times New Roman" w:hAnsi="Times New Roman" w:cs="Times New Roman"/>
        </w:rPr>
        <w:t>ithin the study plots.</w:t>
      </w:r>
      <w:r>
        <w:rPr>
          <w:rFonts w:ascii="Times New Roman" w:hAnsi="Times New Roman" w:cs="Times New Roman"/>
          <w:color w:val="333333"/>
          <w:shd w:val="clear" w:color="auto" w:fill="FCFCFC"/>
        </w:rPr>
        <w:t xml:space="preserve"> </w:t>
      </w:r>
      <w:r>
        <w:rPr>
          <w:rFonts w:ascii="Times New Roman" w:hAnsi="Times New Roman" w:cs="Times New Roman"/>
        </w:rPr>
        <w:t>The soil samples were placed in plastic bags and taken to the laboratory. The soil samples were air-dried and homogenized manually. Further, the soils were sieved using 2 mm mesh to perform physicochemical analysis. A subsample of ea</w:t>
      </w:r>
      <w:r>
        <w:rPr>
          <w:rFonts w:ascii="Times New Roman" w:hAnsi="Times New Roman" w:cs="Times New Roman"/>
        </w:rPr>
        <w:t>ch soil was isolated and enumerated, using different Agar.</w:t>
      </w:r>
    </w:p>
    <w:p w:rsidR="00B50C25" w:rsidRDefault="00B50C25">
      <w:pPr>
        <w:pStyle w:val="ListParagraph"/>
        <w:tabs>
          <w:tab w:val="left" w:pos="1592"/>
        </w:tabs>
        <w:spacing w:after="0"/>
        <w:ind w:left="0"/>
        <w:rPr>
          <w:rFonts w:ascii="Times New Roman" w:hAnsi="Times New Roman" w:cs="Times New Roman"/>
          <w:b/>
        </w:rPr>
      </w:pPr>
    </w:p>
    <w:p w:rsidR="00B50C25" w:rsidRDefault="00D01A17">
      <w:pPr>
        <w:pStyle w:val="ListParagraph"/>
        <w:spacing w:after="0"/>
        <w:rPr>
          <w:rFonts w:ascii="Times New Roman" w:hAnsi="Times New Roman" w:cs="Times New Roman"/>
          <w:b/>
          <w:highlight w:val="yellow"/>
        </w:rPr>
      </w:pPr>
      <w:r>
        <w:rPr>
          <w:rFonts w:ascii="Times New Roman" w:hAnsi="Times New Roman" w:cs="Times New Roman"/>
          <w:b/>
          <w:highlight w:val="yellow"/>
        </w:rPr>
        <w:t>Field survey:2020</w:t>
      </w:r>
    </w:p>
    <w:p w:rsidR="00B50C25" w:rsidRDefault="00B50C25">
      <w:pPr>
        <w:pStyle w:val="ListParagraph"/>
        <w:spacing w:after="0"/>
        <w:rPr>
          <w:rFonts w:ascii="Times New Roman" w:hAnsi="Times New Roman" w:cs="Times New Roman"/>
          <w:b/>
        </w:rPr>
      </w:pPr>
    </w:p>
    <w:p w:rsidR="00B50C25" w:rsidRDefault="00B50C25">
      <w:pPr>
        <w:spacing w:after="0"/>
        <w:rPr>
          <w:rFonts w:ascii="Times New Roman" w:hAnsi="Times New Roman" w:cs="Times New Roman"/>
          <w:b/>
        </w:rPr>
      </w:pPr>
    </w:p>
    <w:p w:rsidR="00B50C25" w:rsidRDefault="00D01A17">
      <w:pPr>
        <w:spacing w:after="0"/>
        <w:rPr>
          <w:rFonts w:ascii="Times New Roman" w:hAnsi="Times New Roman" w:cs="Times New Roman"/>
          <w:b/>
        </w:rPr>
      </w:pPr>
      <w:r>
        <w:rPr>
          <w:rFonts w:ascii="Times New Roman" w:hAnsi="Times New Roman" w:cs="Times New Roman"/>
          <w:b/>
        </w:rPr>
        <w:t>Fig 2 Map of study area showing location of sampling points</w:t>
      </w:r>
    </w:p>
    <w:p w:rsidR="00B50C25" w:rsidRDefault="00B50C25">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r>
        <w:rPr>
          <w:rFonts w:ascii="Times New Roman" w:hAnsi="Times New Roman" w:cs="Times New Roman"/>
          <w:noProof/>
        </w:rPr>
        <w:lastRenderedPageBreak/>
        <w:drawing>
          <wp:anchor distT="0" distB="0" distL="114300" distR="114300" simplePos="0" relativeHeight="251658752" behindDoc="0" locked="0" layoutInCell="1" allowOverlap="1">
            <wp:simplePos x="0" y="0"/>
            <wp:positionH relativeFrom="page">
              <wp:posOffset>955866</wp:posOffset>
            </wp:positionH>
            <wp:positionV relativeFrom="page">
              <wp:posOffset>543767</wp:posOffset>
            </wp:positionV>
            <wp:extent cx="5218430" cy="3613784"/>
            <wp:effectExtent l="19050" t="0" r="1270" b="0"/>
            <wp:wrapSquare wrapText="bothSides"/>
            <wp:docPr id="1027" name="Picture 7479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74796"/>
                    <pic:cNvPicPr/>
                  </pic:nvPicPr>
                  <pic:blipFill>
                    <a:blip r:embed="rId8" cstate="print"/>
                    <a:srcRect/>
                    <a:stretch/>
                  </pic:blipFill>
                  <pic:spPr>
                    <a:xfrm>
                      <a:off x="0" y="0"/>
                      <a:ext cx="5218430" cy="3613784"/>
                    </a:xfrm>
                    <a:prstGeom prst="rect">
                      <a:avLst/>
                    </a:prstGeom>
                  </pic:spPr>
                </pic:pic>
              </a:graphicData>
            </a:graphic>
          </wp:anchor>
        </w:drawing>
      </w: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A36838" w:rsidRDefault="00A36838">
      <w:pPr>
        <w:pStyle w:val="ListParagraph"/>
        <w:spacing w:after="0"/>
        <w:rPr>
          <w:rFonts w:ascii="Times New Roman" w:hAnsi="Times New Roman" w:cs="Times New Roman"/>
          <w:b/>
        </w:rPr>
      </w:pPr>
    </w:p>
    <w:p w:rsidR="00B50C25" w:rsidRDefault="00D01A17">
      <w:pPr>
        <w:pStyle w:val="ListParagraph"/>
        <w:numPr>
          <w:ilvl w:val="1"/>
          <w:numId w:val="1"/>
        </w:numPr>
        <w:spacing w:after="0"/>
        <w:ind w:left="0"/>
        <w:rPr>
          <w:rFonts w:ascii="Times New Roman" w:hAnsi="Times New Roman" w:cs="Times New Roman"/>
          <w:b/>
          <w:sz w:val="24"/>
          <w:szCs w:val="24"/>
        </w:rPr>
      </w:pPr>
      <w:r>
        <w:rPr>
          <w:rFonts w:ascii="Times New Roman" w:hAnsi="Times New Roman" w:cs="Times New Roman"/>
          <w:b/>
          <w:sz w:val="24"/>
          <w:szCs w:val="24"/>
        </w:rPr>
        <w:t>LABORATORY PROCEDURES FOR THE SELECTED SOIL PROPERTIES</w:t>
      </w:r>
    </w:p>
    <w:p w:rsidR="00B50C25" w:rsidRDefault="00D01A17">
      <w:pPr>
        <w:rPr>
          <w:rFonts w:ascii="Times New Roman" w:hAnsi="Times New Roman" w:cs="Times New Roman"/>
        </w:rPr>
      </w:pPr>
      <w:r>
        <w:rPr>
          <w:rFonts w:ascii="Times New Roman" w:hAnsi="Times New Roman" w:cs="Times New Roman"/>
          <w:bCs/>
        </w:rPr>
        <w:t xml:space="preserve">Soil pH was obtained by using soil: distilled water (1:1). </w:t>
      </w:r>
      <w:r>
        <w:rPr>
          <w:rFonts w:ascii="Times New Roman" w:hAnsi="Times New Roman" w:cs="Times New Roman"/>
          <w:bCs/>
        </w:rPr>
        <w:t>Total Nitrogen was determined using Kjeldahl</w:t>
      </w:r>
      <w:r>
        <w:rPr>
          <w:rFonts w:ascii="Times New Roman" w:hAnsi="Times New Roman" w:cs="Times New Roman"/>
        </w:rPr>
        <w:t xml:space="preserve"> and Bremer 1965. Walkley and Black (1934)</w:t>
      </w:r>
      <w:r>
        <w:rPr>
          <w:rFonts w:ascii="Times New Roman" w:hAnsi="Times New Roman" w:cs="Times New Roman"/>
          <w:color w:val="0070C0"/>
        </w:rPr>
        <w:t xml:space="preserve"> </w:t>
      </w:r>
      <w:r>
        <w:rPr>
          <w:rFonts w:ascii="Times New Roman" w:hAnsi="Times New Roman" w:cs="Times New Roman"/>
        </w:rPr>
        <w:t>were used to determine organic carbon and organic matter. Available Phosphorus was determined using the Bray- 1Solution. Calcium was obtained using ethylenediaminetetraa</w:t>
      </w:r>
      <w:r>
        <w:rPr>
          <w:rFonts w:ascii="Times New Roman" w:hAnsi="Times New Roman" w:cs="Times New Roman"/>
        </w:rPr>
        <w:t>cetic acid (EDTA)</w:t>
      </w:r>
    </w:p>
    <w:p w:rsidR="00B50C25" w:rsidRDefault="00D01A17">
      <w:pPr>
        <w:pStyle w:val="ListParagraph"/>
        <w:numPr>
          <w:ilvl w:val="1"/>
          <w:numId w:val="1"/>
        </w:numPr>
        <w:spacing w:after="0"/>
        <w:ind w:left="0"/>
        <w:rPr>
          <w:rFonts w:ascii="Times New Roman" w:hAnsi="Times New Roman" w:cs="Times New Roman"/>
          <w:b/>
          <w:sz w:val="24"/>
          <w:szCs w:val="24"/>
        </w:rPr>
      </w:pPr>
      <w:r>
        <w:rPr>
          <w:rFonts w:ascii="Times New Roman" w:hAnsi="Times New Roman" w:cs="Times New Roman"/>
          <w:b/>
          <w:bCs/>
          <w:sz w:val="24"/>
          <w:szCs w:val="24"/>
        </w:rPr>
        <w:t>SOIL MICROBIAL COUNTS</w:t>
      </w:r>
    </w:p>
    <w:p w:rsidR="00B50C25" w:rsidRDefault="00D01A17">
      <w:pPr>
        <w:spacing w:after="0" w:line="240" w:lineRule="auto"/>
        <w:rPr>
          <w:rFonts w:ascii="Times New Roman" w:hAnsi="Times New Roman" w:cs="Times New Roman"/>
          <w:b/>
        </w:rPr>
      </w:pPr>
      <w:r>
        <w:rPr>
          <w:rFonts w:ascii="Times New Roman" w:hAnsi="Times New Roman" w:cs="Times New Roman"/>
        </w:rPr>
        <w:t>Serial dilutions 10</w:t>
      </w:r>
      <w:r>
        <w:rPr>
          <w:rFonts w:ascii="Times New Roman" w:hAnsi="Times New Roman" w:cs="Times New Roman"/>
          <w:vertAlign w:val="superscript"/>
        </w:rPr>
        <w:t>-1</w:t>
      </w:r>
      <w:r>
        <w:rPr>
          <w:rFonts w:ascii="Times New Roman" w:hAnsi="Times New Roman" w:cs="Times New Roman"/>
        </w:rPr>
        <w:t xml:space="preserve"> to 10</w:t>
      </w:r>
      <w:r>
        <w:rPr>
          <w:rFonts w:ascii="Times New Roman" w:hAnsi="Times New Roman" w:cs="Times New Roman"/>
          <w:vertAlign w:val="superscript"/>
        </w:rPr>
        <w:t>-4</w:t>
      </w:r>
      <w:r>
        <w:rPr>
          <w:rFonts w:ascii="Times New Roman" w:hAnsi="Times New Roman" w:cs="Times New Roman"/>
        </w:rPr>
        <w:t xml:space="preserve"> were prepared. Staphylococcus were isolated and enumerated by pour plate method and growth on Salt Manitol Agar (SMA). Escherichia-Coli were isolated and enumerated by pour plate method </w:t>
      </w:r>
      <w:r>
        <w:rPr>
          <w:rFonts w:ascii="Times New Roman" w:hAnsi="Times New Roman" w:cs="Times New Roman"/>
        </w:rPr>
        <w:t xml:space="preserve">and growth on MacConkey Agar (MA). Pseudomonas were isolated and enumerated by pour plate method and growth and enumerated by pour plate method and growth on Pseudomonas Agar (PA). Mould (Fungi) were isolated and enumerated by pour plate method and growth </w:t>
      </w:r>
      <w:r>
        <w:rPr>
          <w:rFonts w:ascii="Times New Roman" w:hAnsi="Times New Roman" w:cs="Times New Roman"/>
        </w:rPr>
        <w:t>on Potato Dextrose Agar (PDA). Total Plate Count were isolated and enumerated by pour plate method and growth on Plate Count Agar (PCA)</w:t>
      </w:r>
      <w:r>
        <w:rPr>
          <w:rFonts w:ascii="Times New Roman" w:hAnsi="Times New Roman" w:cs="Times New Roman"/>
          <w:b/>
        </w:rPr>
        <w:t xml:space="preserve"> </w:t>
      </w:r>
    </w:p>
    <w:p w:rsidR="00B50C25" w:rsidRDefault="00B50C25">
      <w:pPr>
        <w:spacing w:after="0" w:line="240" w:lineRule="auto"/>
        <w:rPr>
          <w:rFonts w:ascii="Times New Roman" w:hAnsi="Times New Roman" w:cs="Times New Roman"/>
          <w:b/>
        </w:rPr>
      </w:pPr>
    </w:p>
    <w:p w:rsidR="00B50C25" w:rsidRDefault="00D01A17">
      <w:pPr>
        <w:pStyle w:val="ListParagraph"/>
        <w:numPr>
          <w:ilvl w:val="1"/>
          <w:numId w:val="1"/>
        </w:numPr>
        <w:spacing w:after="0"/>
        <w:ind w:left="0"/>
        <w:rPr>
          <w:rFonts w:ascii="Times New Roman" w:hAnsi="Times New Roman" w:cs="Times New Roman"/>
          <w:b/>
          <w:sz w:val="24"/>
          <w:szCs w:val="24"/>
        </w:rPr>
      </w:pPr>
      <w:r>
        <w:rPr>
          <w:rFonts w:ascii="Times New Roman" w:hAnsi="Times New Roman" w:cs="Times New Roman"/>
          <w:b/>
          <w:sz w:val="24"/>
          <w:szCs w:val="24"/>
        </w:rPr>
        <w:t>THE AVERAGE DENSITY OF EARTHWORMS</w:t>
      </w:r>
    </w:p>
    <w:p w:rsidR="00B50C25" w:rsidRDefault="00D01A17">
      <w:pPr>
        <w:spacing w:after="0"/>
        <w:rPr>
          <w:rFonts w:ascii="Times New Roman" w:hAnsi="Times New Roman" w:cs="Times New Roman"/>
        </w:rPr>
      </w:pPr>
      <w:r>
        <w:rPr>
          <w:rFonts w:ascii="Times New Roman" w:hAnsi="Times New Roman" w:cs="Times New Roman"/>
        </w:rPr>
        <w:t>Density is the average number of earthworms per unit area, this is commonly given as</w:t>
      </w:r>
      <w:r>
        <w:rPr>
          <w:rFonts w:ascii="Times New Roman" w:hAnsi="Times New Roman" w:cs="Times New Roman"/>
        </w:rPr>
        <w:t xml:space="preserve"> the number of earthworms per square meter. Using the Great Lakes Worm Watch’s Single and Multiple Plot Studies. A count of earthworm numbers. The area or site in which these earthworms were collected</w:t>
      </w:r>
    </w:p>
    <w:p w:rsidR="00B50C25" w:rsidRDefault="00D01A17">
      <w:pPr>
        <w:spacing w:after="0"/>
        <w:rPr>
          <w:rFonts w:ascii="Times New Roman" w:hAnsi="Times New Roman" w:cs="Times New Roman"/>
        </w:rPr>
      </w:pPr>
      <w:r>
        <w:rPr>
          <w:rFonts w:ascii="Times New Roman" w:hAnsi="Times New Roman" w:cs="Times New Roman"/>
        </w:rPr>
        <w:t>Number of plots within each site = 4</w:t>
      </w:r>
    </w:p>
    <w:p w:rsidR="00B50C25" w:rsidRDefault="00D01A17">
      <w:pPr>
        <w:spacing w:after="0"/>
        <w:rPr>
          <w:rFonts w:ascii="Times New Roman" w:hAnsi="Times New Roman" w:cs="Times New Roman"/>
        </w:rPr>
      </w:pPr>
      <w:r>
        <w:rPr>
          <w:rFonts w:ascii="Times New Roman" w:hAnsi="Times New Roman" w:cs="Times New Roman"/>
        </w:rPr>
        <w:t>Number of subplots</w:t>
      </w:r>
      <w:r>
        <w:rPr>
          <w:rFonts w:ascii="Times New Roman" w:hAnsi="Times New Roman" w:cs="Times New Roman"/>
        </w:rPr>
        <w:t xml:space="preserve"> within each plot = 3</w:t>
      </w:r>
    </w:p>
    <w:p w:rsidR="00B50C25" w:rsidRDefault="00D01A17">
      <w:pPr>
        <w:spacing w:after="0"/>
        <w:rPr>
          <w:rFonts w:ascii="Times New Roman" w:hAnsi="Times New Roman" w:cs="Times New Roman"/>
        </w:rPr>
      </w:pPr>
      <w:r>
        <w:rPr>
          <w:rFonts w:ascii="Times New Roman" w:hAnsi="Times New Roman" w:cs="Times New Roman"/>
        </w:rPr>
        <w:t xml:space="preserve">Number of samples taken from each subplot = 3 </w:t>
      </w:r>
    </w:p>
    <w:p w:rsidR="00B50C25" w:rsidRDefault="00D01A17">
      <w:pPr>
        <w:spacing w:after="0"/>
        <w:rPr>
          <w:rFonts w:ascii="Times New Roman" w:hAnsi="Times New Roman" w:cs="Times New Roman"/>
        </w:rPr>
      </w:pPr>
      <w:r>
        <w:rPr>
          <w:rFonts w:ascii="Times New Roman" w:hAnsi="Times New Roman" w:cs="Times New Roman"/>
        </w:rPr>
        <w:t>Area for each sampling plot = 25m by 100m</w:t>
      </w:r>
    </w:p>
    <w:p w:rsidR="00B50C25" w:rsidRDefault="00D01A17">
      <w:pPr>
        <w:spacing w:after="0"/>
        <w:rPr>
          <w:rFonts w:ascii="Times New Roman" w:hAnsi="Times New Roman" w:cs="Times New Roman"/>
        </w:rPr>
      </w:pPr>
      <w:r>
        <w:rPr>
          <w:rFonts w:ascii="Times New Roman" w:hAnsi="Times New Roman" w:cs="Times New Roman"/>
        </w:rPr>
        <w:t>In Plot A</w:t>
      </w:r>
    </w:p>
    <w:p w:rsidR="00B50C25" w:rsidRDefault="00B50C25">
      <w:pPr>
        <w:spacing w:after="0"/>
        <w:rPr>
          <w:rFonts w:ascii="Times New Roman" w:hAnsi="Times New Roman" w:cs="Times New Roman"/>
        </w:rPr>
      </w:pPr>
    </w:p>
    <w:p w:rsidR="00B50C25" w:rsidRDefault="00D01A17">
      <w:pPr>
        <w:spacing w:after="0"/>
        <w:rPr>
          <w:rFonts w:ascii="Times New Roman" w:hAnsi="Times New Roman" w:cs="Times New Roman"/>
        </w:rPr>
      </w:pPr>
      <w:r>
        <w:rPr>
          <w:rFonts w:ascii="Times New Roman" w:hAnsi="Times New Roman" w:cs="Times New Roman"/>
        </w:rPr>
        <w:t>Subplot B: Number of earthworms sampled = 1</w:t>
      </w:r>
    </w:p>
    <w:p w:rsidR="00B50C25" w:rsidRDefault="00D01A17">
      <w:pPr>
        <w:spacing w:after="0" w:line="240" w:lineRule="auto"/>
        <w:rPr>
          <w:rFonts w:ascii="Times New Roman" w:hAnsi="Times New Roman" w:cs="Times New Roman"/>
        </w:rPr>
      </w:pPr>
      <w:r>
        <w:rPr>
          <w:rFonts w:ascii="Times New Roman" w:hAnsi="Times New Roman" w:cs="Times New Roman"/>
        </w:rPr>
        <w:t>Area for each sampling pits = 20cm by 20cm = 400 cm</w:t>
      </w:r>
      <w:r>
        <w:rPr>
          <w:rFonts w:ascii="Times New Roman" w:hAnsi="Times New Roman" w:cs="Times New Roman"/>
          <w:vertAlign w:val="superscript"/>
        </w:rPr>
        <w:t>2</w:t>
      </w:r>
      <w:r>
        <w:rPr>
          <w:rFonts w:ascii="Times New Roman" w:hAnsi="Times New Roman" w:cs="Times New Roman"/>
        </w:rPr>
        <w:tab/>
      </w:r>
    </w:p>
    <w:p w:rsidR="00B50C25" w:rsidRDefault="00D01A17">
      <w:pPr>
        <w:pStyle w:val="ListParagraph"/>
        <w:spacing w:after="0" w:line="240" w:lineRule="auto"/>
        <w:rPr>
          <w:rFonts w:ascii="Times New Roman" w:hAnsi="Times New Roman" w:cs="Times New Roman"/>
        </w:rPr>
      </w:pPr>
      <w:r>
        <w:rPr>
          <w:rFonts w:ascii="Times New Roman" w:hAnsi="Times New Roman" w:cs="Times New Roman"/>
        </w:rPr>
        <w:t xml:space="preserve">                            =400cm</w:t>
      </w:r>
      <w:r>
        <w:rPr>
          <w:rFonts w:ascii="Times New Roman" w:hAnsi="Times New Roman" w:cs="Times New Roman"/>
          <w:vertAlign w:val="superscript"/>
        </w:rPr>
        <w:t>2</w:t>
      </w:r>
      <w:r>
        <w:rPr>
          <w:rFonts w:ascii="Times New Roman" w:hAnsi="Times New Roman" w:cs="Times New Roman"/>
        </w:rPr>
        <w:t xml:space="preserve"> by 10</w:t>
      </w:r>
      <w:r>
        <w:rPr>
          <w:rFonts w:ascii="Times New Roman" w:hAnsi="Times New Roman" w:cs="Times New Roman"/>
          <w:vertAlign w:val="superscript"/>
        </w:rPr>
        <w:t>-4</w:t>
      </w:r>
      <w:r>
        <w:rPr>
          <w:rFonts w:ascii="Times New Roman" w:hAnsi="Times New Roman" w:cs="Times New Roman"/>
        </w:rPr>
        <w:t xml:space="preserve">= 1 earthworm </w:t>
      </w:r>
    </w:p>
    <w:p w:rsidR="00B50C25" w:rsidRDefault="00D01A17">
      <w:pPr>
        <w:pStyle w:val="ListParagraph"/>
        <w:spacing w:after="0"/>
        <w:rPr>
          <w:rFonts w:ascii="Times New Roman" w:hAnsi="Times New Roman" w:cs="Times New Roman"/>
        </w:rPr>
      </w:pPr>
      <w:r>
        <w:rPr>
          <w:rFonts w:ascii="Times New Roman" w:hAnsi="Times New Roman" w:cs="Times New Roman"/>
        </w:rPr>
        <w:t xml:space="preserve">25m by 100m = X </w:t>
      </w:r>
    </w:p>
    <w:p w:rsidR="00B50C25" w:rsidRDefault="00D01A17">
      <w:pPr>
        <w:pStyle w:val="ListParagraph"/>
        <w:rPr>
          <w:rFonts w:ascii="Times New Roman" w:hAnsi="Times New Roman" w:cs="Times New Roman"/>
        </w:rPr>
      </w:pPr>
      <w:r>
        <w:rPr>
          <w:rFonts w:ascii="Times New Roman" w:hAnsi="Times New Roman" w:cs="Times New Roman"/>
        </w:rPr>
        <w:t>X =</w:t>
      </w:r>
      <w:r>
        <w:rPr>
          <w:rFonts w:ascii="Times New Roman" w:hAnsi="Times New Roman" w:cs="Times New Roman"/>
          <w:u w:val="single"/>
        </w:rPr>
        <w:t xml:space="preserve"> 25m by 100m</w:t>
      </w:r>
    </w:p>
    <w:p w:rsidR="00B50C25" w:rsidRDefault="00D01A17">
      <w:pPr>
        <w:pStyle w:val="ListParagraph"/>
        <w:spacing w:after="0"/>
        <w:rPr>
          <w:rFonts w:ascii="Times New Roman" w:hAnsi="Times New Roman" w:cs="Times New Roman"/>
        </w:rPr>
      </w:pPr>
      <w:r>
        <w:rPr>
          <w:rFonts w:ascii="Times New Roman" w:hAnsi="Times New Roman" w:cs="Times New Roman"/>
        </w:rPr>
        <w:t xml:space="preserve">                                                   10000÷400</w:t>
      </w:r>
    </w:p>
    <w:p w:rsidR="00B50C25" w:rsidRDefault="00D01A17">
      <w:pPr>
        <w:pStyle w:val="ListParagraph"/>
        <w:spacing w:after="0"/>
        <w:rPr>
          <w:rFonts w:ascii="Times New Roman" w:hAnsi="Times New Roman" w:cs="Times New Roman"/>
        </w:rPr>
      </w:pPr>
      <w:r>
        <w:rPr>
          <w:rFonts w:ascii="Times New Roman" w:hAnsi="Times New Roman" w:cs="Times New Roman"/>
        </w:rPr>
        <w:t>X = 62500/m</w:t>
      </w:r>
      <w:r>
        <w:rPr>
          <w:rFonts w:ascii="Times New Roman" w:hAnsi="Times New Roman" w:cs="Times New Roman"/>
          <w:vertAlign w:val="superscript"/>
        </w:rPr>
        <w:t>2</w:t>
      </w:r>
    </w:p>
    <w:p w:rsidR="00B50C25" w:rsidRDefault="00D01A17">
      <w:pPr>
        <w:spacing w:after="0"/>
        <w:rPr>
          <w:rFonts w:ascii="Times New Roman" w:hAnsi="Times New Roman" w:cs="Times New Roman"/>
        </w:rPr>
      </w:pPr>
      <w:r>
        <w:rPr>
          <w:rFonts w:ascii="Times New Roman" w:hAnsi="Times New Roman" w:cs="Times New Roman"/>
        </w:rPr>
        <w:t>Where X is the average number of earthworms within each site</w:t>
      </w:r>
    </w:p>
    <w:p w:rsidR="00B50C25" w:rsidRDefault="00D01A17">
      <w:pPr>
        <w:spacing w:after="0"/>
        <w:rPr>
          <w:rFonts w:ascii="Times New Roman" w:hAnsi="Times New Roman" w:cs="Times New Roman"/>
        </w:rPr>
      </w:pPr>
      <w:r>
        <w:rPr>
          <w:rFonts w:ascii="Times New Roman" w:hAnsi="Times New Roman" w:cs="Times New Roman"/>
        </w:rPr>
        <w:t>Number of subplots within each plot = 3</w:t>
      </w:r>
    </w:p>
    <w:p w:rsidR="00B50C25" w:rsidRDefault="00D01A17">
      <w:pPr>
        <w:spacing w:after="0"/>
        <w:rPr>
          <w:rFonts w:ascii="Times New Roman" w:hAnsi="Times New Roman" w:cs="Times New Roman"/>
        </w:rPr>
      </w:pPr>
      <w:r>
        <w:rPr>
          <w:rFonts w:ascii="Times New Roman" w:hAnsi="Times New Roman" w:cs="Times New Roman"/>
        </w:rPr>
        <w:t>The mean number of earthw</w:t>
      </w:r>
      <w:r>
        <w:rPr>
          <w:rFonts w:ascii="Times New Roman" w:hAnsi="Times New Roman" w:cs="Times New Roman"/>
        </w:rPr>
        <w:t>orms within the three subplots in plot A = X/3</w:t>
      </w:r>
    </w:p>
    <w:p w:rsidR="00B50C25" w:rsidRDefault="00D01A17">
      <w:pPr>
        <w:spacing w:after="0"/>
        <w:rPr>
          <w:rFonts w:ascii="Times New Roman" w:hAnsi="Times New Roman" w:cs="Times New Roman"/>
        </w:rPr>
      </w:pPr>
      <w:r>
        <w:rPr>
          <w:rFonts w:ascii="Times New Roman" w:hAnsi="Times New Roman" w:cs="Times New Roman"/>
        </w:rPr>
        <w:t>=62500/3</w:t>
      </w:r>
    </w:p>
    <w:p w:rsidR="00B50C25" w:rsidRDefault="00D01A17">
      <w:pPr>
        <w:spacing w:after="0"/>
        <w:rPr>
          <w:rFonts w:ascii="Times New Roman" w:hAnsi="Times New Roman" w:cs="Times New Roman"/>
          <w:vertAlign w:val="superscript"/>
        </w:rPr>
      </w:pPr>
      <w:r>
        <w:rPr>
          <w:rFonts w:ascii="Times New Roman" w:hAnsi="Times New Roman" w:cs="Times New Roman"/>
        </w:rPr>
        <w:t>=20833.3/m</w:t>
      </w:r>
      <w:r>
        <w:rPr>
          <w:rFonts w:ascii="Times New Roman" w:hAnsi="Times New Roman" w:cs="Times New Roman"/>
          <w:vertAlign w:val="superscript"/>
        </w:rPr>
        <w:t>2</w:t>
      </w:r>
    </w:p>
    <w:p w:rsidR="00B50C25" w:rsidRDefault="00B50C25">
      <w:pPr>
        <w:spacing w:after="0"/>
        <w:rPr>
          <w:rFonts w:ascii="Times New Roman" w:hAnsi="Times New Roman" w:cs="Times New Roman"/>
          <w:vertAlign w:val="superscript"/>
        </w:rPr>
      </w:pPr>
    </w:p>
    <w:p w:rsidR="00B50C25" w:rsidRDefault="00D01A17">
      <w:pPr>
        <w:pStyle w:val="ListParagraph"/>
        <w:numPr>
          <w:ilvl w:val="0"/>
          <w:numId w:val="1"/>
        </w:numPr>
        <w:spacing w:after="0"/>
        <w:ind w:left="0"/>
        <w:rPr>
          <w:rFonts w:ascii="Times New Roman" w:hAnsi="Times New Roman" w:cs="Times New Roman"/>
          <w:b/>
          <w:sz w:val="24"/>
          <w:szCs w:val="24"/>
        </w:rPr>
      </w:pPr>
      <w:r>
        <w:rPr>
          <w:rFonts w:ascii="Times New Roman" w:hAnsi="Times New Roman" w:cs="Times New Roman"/>
          <w:b/>
          <w:sz w:val="24"/>
          <w:szCs w:val="24"/>
        </w:rPr>
        <w:t>DATA ANALYSIS</w:t>
      </w:r>
    </w:p>
    <w:p w:rsidR="00B50C25" w:rsidRDefault="00D01A17">
      <w:pPr>
        <w:spacing w:after="0" w:line="240" w:lineRule="auto"/>
        <w:ind w:right="37"/>
        <w:jc w:val="both"/>
        <w:rPr>
          <w:rFonts w:ascii="Times New Roman" w:hAnsi="Times New Roman" w:cs="Times New Roman"/>
          <w:sz w:val="24"/>
          <w:szCs w:val="24"/>
        </w:rPr>
      </w:pPr>
      <w:r>
        <w:rPr>
          <w:rFonts w:ascii="Times New Roman" w:hAnsi="Times New Roman" w:cs="Times New Roman"/>
          <w:sz w:val="24"/>
          <w:szCs w:val="24"/>
        </w:rPr>
        <w:t>The data obtained from the soil physio-chemical analyses and microbial counts were arranged and subjected to analysis using the student t test with the software program SPSS</w:t>
      </w:r>
      <w:r>
        <w:rPr>
          <w:rFonts w:ascii="Times New Roman" w:hAnsi="Times New Roman" w:cs="Times New Roman"/>
          <w:sz w:val="24"/>
          <w:szCs w:val="24"/>
        </w:rPr>
        <w:t>, Ver 16.0 (P = 0.05) to established significant difference among the means (that is, protected against unprotected forests) for each of the study plot on data collected</w:t>
      </w:r>
    </w:p>
    <w:p w:rsidR="00B50C25" w:rsidRDefault="00B50C25">
      <w:pPr>
        <w:spacing w:after="0" w:line="240" w:lineRule="auto"/>
        <w:ind w:right="37"/>
        <w:jc w:val="both"/>
        <w:rPr>
          <w:rFonts w:ascii="Times New Roman" w:hAnsi="Times New Roman" w:cs="Times New Roman"/>
          <w:sz w:val="24"/>
          <w:szCs w:val="24"/>
        </w:rPr>
      </w:pPr>
    </w:p>
    <w:p w:rsidR="00B50C25" w:rsidRDefault="00D01A17">
      <w:pPr>
        <w:pStyle w:val="ListParagraph"/>
        <w:numPr>
          <w:ilvl w:val="0"/>
          <w:numId w:val="1"/>
        </w:numPr>
        <w:spacing w:after="0" w:line="240" w:lineRule="auto"/>
        <w:ind w:left="0" w:right="37"/>
        <w:jc w:val="both"/>
        <w:rPr>
          <w:rFonts w:ascii="Times New Roman" w:hAnsi="Times New Roman" w:cs="Times New Roman"/>
          <w:sz w:val="24"/>
          <w:szCs w:val="24"/>
        </w:rPr>
      </w:pPr>
      <w:r>
        <w:rPr>
          <w:rFonts w:ascii="Times New Roman" w:hAnsi="Times New Roman" w:cs="Times New Roman"/>
          <w:b/>
          <w:sz w:val="24"/>
          <w:szCs w:val="24"/>
        </w:rPr>
        <w:t>RESULTS</w:t>
      </w:r>
      <w:r>
        <w:rPr>
          <w:rFonts w:ascii="Times New Roman" w:hAnsi="Times New Roman" w:cs="Times New Roman"/>
          <w:sz w:val="24"/>
          <w:szCs w:val="24"/>
        </w:rPr>
        <w:t xml:space="preserve"> </w:t>
      </w:r>
      <w:r>
        <w:rPr>
          <w:rFonts w:ascii="Times New Roman" w:hAnsi="Times New Roman" w:cs="Times New Roman"/>
          <w:b/>
          <w:sz w:val="24"/>
          <w:szCs w:val="24"/>
        </w:rPr>
        <w:t>AND</w:t>
      </w:r>
      <w:r>
        <w:rPr>
          <w:rFonts w:ascii="Times New Roman" w:hAnsi="Times New Roman" w:cs="Times New Roman"/>
          <w:sz w:val="24"/>
          <w:szCs w:val="24"/>
        </w:rPr>
        <w:t xml:space="preserve"> </w:t>
      </w:r>
      <w:r>
        <w:rPr>
          <w:rFonts w:ascii="Times New Roman" w:hAnsi="Times New Roman" w:cs="Times New Roman"/>
          <w:b/>
          <w:sz w:val="24"/>
          <w:szCs w:val="24"/>
        </w:rPr>
        <w:t>DISCUSION</w:t>
      </w:r>
    </w:p>
    <w:p w:rsidR="00B50C25" w:rsidRDefault="00D01A17">
      <w:pPr>
        <w:spacing w:line="240" w:lineRule="auto"/>
        <w:ind w:right="37"/>
        <w:rPr>
          <w:rFonts w:ascii="Times New Roman" w:hAnsi="Times New Roman" w:cs="Times New Roman"/>
        </w:rPr>
      </w:pPr>
      <w:r>
        <w:rPr>
          <w:rFonts w:ascii="Times New Roman" w:hAnsi="Times New Roman" w:cs="Times New Roman"/>
        </w:rPr>
        <w:t>Anthropogenic activities (bush burning, illegal charcoal produc</w:t>
      </w:r>
      <w:r>
        <w:rPr>
          <w:rFonts w:ascii="Times New Roman" w:hAnsi="Times New Roman" w:cs="Times New Roman"/>
        </w:rPr>
        <w:t>tion, overgrazing, logging) have affected the soil microbial community. The mean abundance of the soil microbial counts analysis indicates a significantly higher number of microbial populations in the protected forest as compared to the adjacent unprotecte</w:t>
      </w:r>
      <w:r>
        <w:rPr>
          <w:rFonts w:ascii="Times New Roman" w:hAnsi="Times New Roman" w:cs="Times New Roman"/>
        </w:rPr>
        <w:t>d forest (Figure 3).The result also indicates the mean values of soil micro-organisms in log per colony forming units (log/Cfu/ml) from the Protected Forest were slightly higher compared to the adjacent Unprotected Forest (Table 1 and 2). Staphylococcus, P</w:t>
      </w:r>
      <w:r>
        <w:rPr>
          <w:rFonts w:ascii="Times New Roman" w:hAnsi="Times New Roman" w:cs="Times New Roman"/>
        </w:rPr>
        <w:t>seudomonas, Total plate count, Moulds, and Yeast were significant (P &lt; 0.05) while Escherichia-Coli (P &gt; 0.05) was not significant (Table 3). Soil organic matter is the main reservoir of major nutrients including Nitrogen and as such mineralization of Carb</w:t>
      </w:r>
      <w:r>
        <w:rPr>
          <w:rFonts w:ascii="Times New Roman" w:hAnsi="Times New Roman" w:cs="Times New Roman"/>
        </w:rPr>
        <w:t>on and Nitrogen are essential for the maintenance of ecosystem functions, particularly forest production and its sustainability because the management of organic matter is also a factor that can affect the microbial activity and population (</w:t>
      </w:r>
      <w:r>
        <w:rPr>
          <w:rFonts w:ascii="Times New Roman" w:hAnsi="Times New Roman" w:cs="Times New Roman"/>
          <w:b/>
        </w:rPr>
        <w:t>Islam Rafiq &amp; W</w:t>
      </w:r>
      <w:r>
        <w:rPr>
          <w:rFonts w:ascii="Times New Roman" w:hAnsi="Times New Roman" w:cs="Times New Roman"/>
          <w:b/>
        </w:rPr>
        <w:t>eil Raymond, 2000).</w:t>
      </w:r>
    </w:p>
    <w:p w:rsidR="00B50C25" w:rsidRDefault="00B50C25">
      <w:pPr>
        <w:pStyle w:val="ListParagraph"/>
        <w:spacing w:after="0" w:line="240" w:lineRule="auto"/>
        <w:ind w:right="37"/>
        <w:rPr>
          <w:rFonts w:ascii="Times New Roman" w:hAnsi="Times New Roman" w:cs="Times New Roman"/>
          <w:b/>
        </w:rPr>
      </w:pPr>
    </w:p>
    <w:p w:rsidR="00B50C25" w:rsidRDefault="00D01A17">
      <w:pPr>
        <w:pStyle w:val="ListParagraph"/>
        <w:spacing w:after="0" w:line="240" w:lineRule="auto"/>
        <w:ind w:right="37"/>
        <w:rPr>
          <w:rFonts w:ascii="Times New Roman" w:hAnsi="Times New Roman" w:cs="Times New Roman"/>
          <w:b/>
        </w:rPr>
      </w:pPr>
      <w:r>
        <w:rPr>
          <w:rFonts w:ascii="Times New Roman" w:hAnsi="Times New Roman" w:cs="Times New Roman"/>
          <w:b/>
          <w:noProof/>
        </w:rPr>
        <w:drawing>
          <wp:inline distT="0" distB="0" distL="114300" distR="114300">
            <wp:extent cx="4910758" cy="2083242"/>
            <wp:effectExtent l="0" t="0" r="0" b="0"/>
            <wp:docPr id="1029" name="Image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B50C25" w:rsidRDefault="00B50C25">
      <w:pPr>
        <w:pStyle w:val="ListParagraph"/>
        <w:spacing w:line="240" w:lineRule="auto"/>
        <w:ind w:right="37"/>
        <w:rPr>
          <w:rFonts w:ascii="Times New Roman" w:hAnsi="Times New Roman" w:cs="Times New Roman"/>
          <w:b/>
        </w:rPr>
      </w:pPr>
    </w:p>
    <w:p w:rsidR="00B50C25" w:rsidRDefault="00B50C25">
      <w:pPr>
        <w:pStyle w:val="ListParagraph"/>
        <w:spacing w:line="240" w:lineRule="auto"/>
        <w:ind w:right="37"/>
        <w:rPr>
          <w:rFonts w:ascii="Times New Roman" w:hAnsi="Times New Roman" w:cs="Times New Roman"/>
          <w:b/>
        </w:rPr>
      </w:pPr>
    </w:p>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Figure 3 Graph Showing the Mean Abundance of Microbial Population in the Selected Study Sites</w:t>
      </w:r>
    </w:p>
    <w:p w:rsidR="00B50C25" w:rsidRDefault="00B50C25">
      <w:pPr>
        <w:pStyle w:val="ListParagraph"/>
        <w:spacing w:line="240" w:lineRule="auto"/>
        <w:ind w:right="37"/>
        <w:rPr>
          <w:rFonts w:ascii="Times New Roman" w:hAnsi="Times New Roman" w:cs="Times New Roman"/>
          <w:b/>
        </w:rPr>
      </w:pPr>
    </w:p>
    <w:p w:rsidR="00B50C25" w:rsidRDefault="00D01A17">
      <w:pPr>
        <w:pStyle w:val="ListParagraph"/>
        <w:spacing w:after="0" w:line="240" w:lineRule="auto"/>
        <w:ind w:right="37"/>
        <w:rPr>
          <w:rFonts w:ascii="Times New Roman" w:hAnsi="Times New Roman" w:cs="Times New Roman"/>
          <w:b/>
          <w:bCs/>
        </w:rPr>
      </w:pPr>
      <w:r>
        <w:rPr>
          <w:rFonts w:ascii="Times New Roman" w:hAnsi="Times New Roman" w:cs="Times New Roman"/>
          <w:b/>
          <w:bCs/>
        </w:rPr>
        <w:t>Table 1 Mean difference of Soil Microorganisms in the Protected Forest</w:t>
      </w:r>
    </w:p>
    <w:tbl>
      <w:tblPr>
        <w:tblW w:w="9761" w:type="dxa"/>
        <w:tblLook w:val="04A0" w:firstRow="1" w:lastRow="0" w:firstColumn="1" w:lastColumn="0" w:noHBand="0" w:noVBand="1"/>
      </w:tblPr>
      <w:tblGrid>
        <w:gridCol w:w="2351"/>
        <w:gridCol w:w="1386"/>
        <w:gridCol w:w="1386"/>
        <w:gridCol w:w="1386"/>
        <w:gridCol w:w="1390"/>
        <w:gridCol w:w="1864"/>
      </w:tblGrid>
      <w:tr w:rsidR="00B50C25">
        <w:trPr>
          <w:trHeight w:val="103"/>
        </w:trPr>
        <w:tc>
          <w:tcPr>
            <w:tcW w:w="2351" w:type="dxa"/>
            <w:tcBorders>
              <w:top w:val="single" w:sz="4" w:space="0" w:color="auto"/>
              <w:left w:val="single" w:sz="4" w:space="0" w:color="auto"/>
              <w:bottom w:val="nil"/>
              <w:right w:val="nil"/>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Soil</w:t>
            </w:r>
          </w:p>
        </w:tc>
        <w:tc>
          <w:tcPr>
            <w:tcW w:w="554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PROTECTED FOREST</w:t>
            </w:r>
          </w:p>
        </w:tc>
        <w:tc>
          <w:tcPr>
            <w:tcW w:w="1862" w:type="dxa"/>
            <w:tcBorders>
              <w:top w:val="single" w:sz="4" w:space="0" w:color="auto"/>
              <w:left w:val="nil"/>
              <w:bottom w:val="nil"/>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 </w:t>
            </w:r>
          </w:p>
        </w:tc>
      </w:tr>
      <w:tr w:rsidR="00B50C25">
        <w:trPr>
          <w:trHeight w:val="103"/>
        </w:trPr>
        <w:tc>
          <w:tcPr>
            <w:tcW w:w="2351" w:type="dxa"/>
            <w:tcBorders>
              <w:top w:val="nil"/>
              <w:left w:val="single" w:sz="4" w:space="0" w:color="auto"/>
              <w:bottom w:val="nil"/>
              <w:right w:val="nil"/>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Micro-organisms</w:t>
            </w:r>
          </w:p>
        </w:tc>
        <w:tc>
          <w:tcPr>
            <w:tcW w:w="5548"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 xml:space="preserve">Log of Total 1mcfu </w:t>
            </w:r>
            <w:r>
              <w:rPr>
                <w:rFonts w:ascii="Times New Roman" w:hAnsi="Times New Roman" w:cs="Times New Roman"/>
                <w:b/>
                <w:bCs/>
              </w:rPr>
              <w:t>counts</w:t>
            </w:r>
          </w:p>
        </w:tc>
        <w:tc>
          <w:tcPr>
            <w:tcW w:w="1862" w:type="dxa"/>
            <w:tcBorders>
              <w:top w:val="nil"/>
              <w:left w:val="nil"/>
              <w:bottom w:val="nil"/>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Mean</w:t>
            </w:r>
          </w:p>
        </w:tc>
      </w:tr>
      <w:tr w:rsidR="00B50C25">
        <w:trPr>
          <w:trHeight w:val="103"/>
        </w:trPr>
        <w:tc>
          <w:tcPr>
            <w:tcW w:w="2351" w:type="dxa"/>
            <w:tcBorders>
              <w:top w:val="nil"/>
              <w:left w:val="single" w:sz="4" w:space="0" w:color="auto"/>
              <w:bottom w:val="nil"/>
              <w:right w:val="nil"/>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386"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bCs/>
              </w:rPr>
            </w:pPr>
            <w:r>
              <w:rPr>
                <w:rFonts w:ascii="Times New Roman" w:hAnsi="Times New Roman" w:cs="Times New Roman"/>
                <w:bCs/>
              </w:rPr>
              <w:t>P1</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Cs/>
              </w:rPr>
            </w:pPr>
            <w:r>
              <w:rPr>
                <w:rFonts w:ascii="Times New Roman" w:hAnsi="Times New Roman" w:cs="Times New Roman"/>
                <w:bCs/>
              </w:rPr>
              <w:t>P2</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Cs/>
              </w:rPr>
            </w:pPr>
            <w:r>
              <w:rPr>
                <w:rFonts w:ascii="Times New Roman" w:hAnsi="Times New Roman" w:cs="Times New Roman"/>
                <w:bCs/>
              </w:rPr>
              <w:t>P3</w:t>
            </w:r>
          </w:p>
        </w:tc>
        <w:tc>
          <w:tcPr>
            <w:tcW w:w="1389"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Cs/>
              </w:rPr>
            </w:pPr>
            <w:r>
              <w:rPr>
                <w:rFonts w:ascii="Times New Roman" w:hAnsi="Times New Roman" w:cs="Times New Roman"/>
                <w:bCs/>
              </w:rPr>
              <w:t>P4</w:t>
            </w:r>
          </w:p>
        </w:tc>
        <w:tc>
          <w:tcPr>
            <w:tcW w:w="1862"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Values</w:t>
            </w:r>
          </w:p>
        </w:tc>
      </w:tr>
      <w:tr w:rsidR="00B50C25">
        <w:trPr>
          <w:trHeight w:val="103"/>
        </w:trPr>
        <w:tc>
          <w:tcPr>
            <w:tcW w:w="2351"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Staphylococcus</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5.27</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5.28</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5.28</w:t>
            </w:r>
          </w:p>
        </w:tc>
        <w:tc>
          <w:tcPr>
            <w:tcW w:w="1389"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5.69</w:t>
            </w:r>
          </w:p>
        </w:tc>
        <w:tc>
          <w:tcPr>
            <w:tcW w:w="1862"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5.29±0.02</w:t>
            </w:r>
          </w:p>
        </w:tc>
      </w:tr>
      <w:tr w:rsidR="00B50C25">
        <w:trPr>
          <w:trHeight w:val="103"/>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Moulds and Yeast</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5.45</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5.35</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5.27</w:t>
            </w:r>
          </w:p>
        </w:tc>
        <w:tc>
          <w:tcPr>
            <w:tcW w:w="1389"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5.4</w:t>
            </w:r>
          </w:p>
        </w:tc>
        <w:tc>
          <w:tcPr>
            <w:tcW w:w="1862"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5.36±0.04</w:t>
            </w:r>
          </w:p>
        </w:tc>
      </w:tr>
      <w:tr w:rsidR="00B50C25">
        <w:trPr>
          <w:trHeight w:val="103"/>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Pseudomonas</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2.63</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2.49</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2.74</w:t>
            </w:r>
          </w:p>
        </w:tc>
        <w:tc>
          <w:tcPr>
            <w:tcW w:w="1389"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2.73</w:t>
            </w:r>
          </w:p>
        </w:tc>
        <w:tc>
          <w:tcPr>
            <w:tcW w:w="1862"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2.65±0.06</w:t>
            </w:r>
          </w:p>
        </w:tc>
      </w:tr>
      <w:tr w:rsidR="00B50C25">
        <w:trPr>
          <w:trHeight w:val="103"/>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 xml:space="preserve">Escherichia-Coli </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4.51</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5.13</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4.55</w:t>
            </w:r>
          </w:p>
        </w:tc>
        <w:tc>
          <w:tcPr>
            <w:tcW w:w="1389"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4.63</w:t>
            </w:r>
          </w:p>
        </w:tc>
        <w:tc>
          <w:tcPr>
            <w:tcW w:w="1862"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4.71±0.14</w:t>
            </w:r>
          </w:p>
        </w:tc>
      </w:tr>
      <w:tr w:rsidR="00B50C25">
        <w:trPr>
          <w:trHeight w:val="103"/>
        </w:trPr>
        <w:tc>
          <w:tcPr>
            <w:tcW w:w="2351"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Total plates</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5.69</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5.67</w:t>
            </w:r>
          </w:p>
        </w:tc>
        <w:tc>
          <w:tcPr>
            <w:tcW w:w="138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5.65</w:t>
            </w:r>
          </w:p>
        </w:tc>
        <w:tc>
          <w:tcPr>
            <w:tcW w:w="1389"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5.64</w:t>
            </w:r>
          </w:p>
        </w:tc>
        <w:tc>
          <w:tcPr>
            <w:tcW w:w="1862"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5.66±0.01</w:t>
            </w:r>
          </w:p>
        </w:tc>
      </w:tr>
    </w:tbl>
    <w:p w:rsidR="00B50C25" w:rsidRDefault="00B50C25">
      <w:pPr>
        <w:pStyle w:val="ListParagraph"/>
        <w:spacing w:after="0" w:line="240" w:lineRule="auto"/>
        <w:ind w:right="37"/>
        <w:rPr>
          <w:rFonts w:ascii="Times New Roman" w:hAnsi="Times New Roman" w:cs="Times New Roman"/>
          <w:b/>
        </w:rPr>
      </w:pPr>
    </w:p>
    <w:p w:rsidR="00B50C25" w:rsidRDefault="00D01A17">
      <w:pPr>
        <w:pStyle w:val="ListParagraph"/>
        <w:spacing w:after="0" w:line="240" w:lineRule="auto"/>
        <w:ind w:right="37"/>
        <w:rPr>
          <w:rFonts w:ascii="Times New Roman" w:hAnsi="Times New Roman" w:cs="Times New Roman"/>
          <w:b/>
          <w:bCs/>
        </w:rPr>
      </w:pPr>
      <w:r>
        <w:rPr>
          <w:rFonts w:ascii="Times New Roman" w:hAnsi="Times New Roman" w:cs="Times New Roman"/>
          <w:b/>
        </w:rPr>
        <w:t xml:space="preserve">Table 2 </w:t>
      </w:r>
      <w:r>
        <w:rPr>
          <w:rFonts w:ascii="Times New Roman" w:hAnsi="Times New Roman" w:cs="Times New Roman"/>
          <w:b/>
          <w:bCs/>
        </w:rPr>
        <w:t>Mean difference of Soil Microorganisms in the Unprotected Forest</w:t>
      </w:r>
    </w:p>
    <w:tbl>
      <w:tblPr>
        <w:tblW w:w="9738" w:type="dxa"/>
        <w:tblLook w:val="04A0" w:firstRow="1" w:lastRow="0" w:firstColumn="1" w:lastColumn="0" w:noHBand="0" w:noVBand="1"/>
      </w:tblPr>
      <w:tblGrid>
        <w:gridCol w:w="2263"/>
        <w:gridCol w:w="1478"/>
        <w:gridCol w:w="1478"/>
        <w:gridCol w:w="1478"/>
        <w:gridCol w:w="1478"/>
        <w:gridCol w:w="1864"/>
      </w:tblGrid>
      <w:tr w:rsidR="00B50C25">
        <w:trPr>
          <w:trHeight w:val="359"/>
        </w:trPr>
        <w:tc>
          <w:tcPr>
            <w:tcW w:w="2263" w:type="dxa"/>
            <w:tcBorders>
              <w:top w:val="single" w:sz="4" w:space="0" w:color="auto"/>
              <w:left w:val="single" w:sz="4" w:space="0" w:color="auto"/>
              <w:bottom w:val="nil"/>
              <w:right w:val="nil"/>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Soil</w:t>
            </w:r>
          </w:p>
        </w:tc>
        <w:tc>
          <w:tcPr>
            <w:tcW w:w="591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UNPROTECTED FOREST</w:t>
            </w:r>
          </w:p>
        </w:tc>
        <w:tc>
          <w:tcPr>
            <w:tcW w:w="1563" w:type="dxa"/>
            <w:tcBorders>
              <w:top w:val="single" w:sz="4" w:space="0" w:color="auto"/>
              <w:left w:val="nil"/>
              <w:bottom w:val="nil"/>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r>
      <w:tr w:rsidR="00B50C25">
        <w:trPr>
          <w:trHeight w:val="341"/>
        </w:trPr>
        <w:tc>
          <w:tcPr>
            <w:tcW w:w="2263" w:type="dxa"/>
            <w:tcBorders>
              <w:top w:val="nil"/>
              <w:left w:val="single" w:sz="4" w:space="0" w:color="auto"/>
              <w:bottom w:val="nil"/>
              <w:right w:val="nil"/>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Micro-organisms</w:t>
            </w:r>
          </w:p>
        </w:tc>
        <w:tc>
          <w:tcPr>
            <w:tcW w:w="5912" w:type="dxa"/>
            <w:gridSpan w:val="4"/>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Log of Total 1mcfu counts</w:t>
            </w:r>
          </w:p>
        </w:tc>
        <w:tc>
          <w:tcPr>
            <w:tcW w:w="1563" w:type="dxa"/>
            <w:tcBorders>
              <w:top w:val="nil"/>
              <w:left w:val="nil"/>
              <w:bottom w:val="nil"/>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Mean</w:t>
            </w:r>
          </w:p>
        </w:tc>
      </w:tr>
      <w:tr w:rsidR="00B50C25">
        <w:trPr>
          <w:trHeight w:val="190"/>
        </w:trPr>
        <w:tc>
          <w:tcPr>
            <w:tcW w:w="2263" w:type="dxa"/>
            <w:tcBorders>
              <w:top w:val="nil"/>
              <w:left w:val="single" w:sz="4" w:space="0" w:color="auto"/>
              <w:bottom w:val="nil"/>
              <w:right w:val="nil"/>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478"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UP1</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UP2</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UP3</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UP4</w:t>
            </w:r>
          </w:p>
        </w:tc>
        <w:tc>
          <w:tcPr>
            <w:tcW w:w="1563"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Values</w:t>
            </w:r>
          </w:p>
        </w:tc>
      </w:tr>
      <w:tr w:rsidR="00B50C25">
        <w:trPr>
          <w:trHeight w:val="190"/>
        </w:trPr>
        <w:tc>
          <w:tcPr>
            <w:tcW w:w="226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Staphylococcus</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4.6</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5.1</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5.03</w:t>
            </w:r>
          </w:p>
        </w:tc>
        <w:tc>
          <w:tcPr>
            <w:tcW w:w="1563"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4.93±0.11</w:t>
            </w:r>
          </w:p>
        </w:tc>
      </w:tr>
      <w:tr w:rsidR="00B50C25">
        <w:trPr>
          <w:trHeight w:val="1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Moulds and Yeast</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5.24</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5.2</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4.99</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5.1</w:t>
            </w:r>
          </w:p>
        </w:tc>
        <w:tc>
          <w:tcPr>
            <w:tcW w:w="1563"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5.13±0.06</w:t>
            </w:r>
          </w:p>
        </w:tc>
      </w:tr>
      <w:tr w:rsidR="00B50C25">
        <w:trPr>
          <w:trHeight w:val="1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Pseudomonas</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2.18</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1.74</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2.23</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2.06</w:t>
            </w:r>
          </w:p>
        </w:tc>
        <w:tc>
          <w:tcPr>
            <w:tcW w:w="1563"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2.05±0.11</w:t>
            </w:r>
          </w:p>
        </w:tc>
      </w:tr>
      <w:tr w:rsidR="00B50C25">
        <w:trPr>
          <w:trHeight w:val="1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 xml:space="preserve">Escherichia-Coli </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4.14</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5.02</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3.86</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5.5</w:t>
            </w:r>
          </w:p>
        </w:tc>
        <w:tc>
          <w:tcPr>
            <w:tcW w:w="1563"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4.63±0.38</w:t>
            </w:r>
          </w:p>
        </w:tc>
      </w:tr>
      <w:tr w:rsidR="00B50C25">
        <w:trPr>
          <w:trHeight w:val="190"/>
        </w:trPr>
        <w:tc>
          <w:tcPr>
            <w:tcW w:w="2263"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Total plates</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5.5</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5.43</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5.5</w:t>
            </w:r>
          </w:p>
        </w:tc>
        <w:tc>
          <w:tcPr>
            <w:tcW w:w="14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5.48</w:t>
            </w:r>
          </w:p>
        </w:tc>
        <w:tc>
          <w:tcPr>
            <w:tcW w:w="1563"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5.48±0.01</w:t>
            </w:r>
          </w:p>
        </w:tc>
      </w:tr>
    </w:tbl>
    <w:p w:rsidR="00B50C25" w:rsidRDefault="00B50C25">
      <w:pPr>
        <w:spacing w:after="0" w:line="240" w:lineRule="auto"/>
        <w:ind w:right="37"/>
        <w:jc w:val="both"/>
        <w:rPr>
          <w:rFonts w:ascii="Times New Roman" w:hAnsi="Times New Roman" w:cs="Times New Roman"/>
          <w:b/>
        </w:rPr>
      </w:pPr>
    </w:p>
    <w:p w:rsidR="00B50C25" w:rsidRDefault="00D01A17">
      <w:pPr>
        <w:pStyle w:val="ListParagraph"/>
        <w:spacing w:after="0" w:line="240" w:lineRule="auto"/>
        <w:ind w:right="37"/>
        <w:jc w:val="both"/>
        <w:rPr>
          <w:rFonts w:ascii="Times New Roman" w:hAnsi="Times New Roman" w:cs="Times New Roman"/>
          <w:b/>
        </w:rPr>
      </w:pPr>
      <w:r>
        <w:rPr>
          <w:rFonts w:ascii="Times New Roman" w:hAnsi="Times New Roman" w:cs="Times New Roman"/>
          <w:b/>
        </w:rPr>
        <w:t>Table 3 Level of significance of the soil microorganisms</w:t>
      </w:r>
    </w:p>
    <w:tbl>
      <w:tblPr>
        <w:tblW w:w="9080" w:type="dxa"/>
        <w:tblLook w:val="04A0" w:firstRow="1" w:lastRow="0" w:firstColumn="1" w:lastColumn="0" w:noHBand="0" w:noVBand="1"/>
      </w:tblPr>
      <w:tblGrid>
        <w:gridCol w:w="2300"/>
        <w:gridCol w:w="1660"/>
        <w:gridCol w:w="1660"/>
        <w:gridCol w:w="1829"/>
        <w:gridCol w:w="1939"/>
      </w:tblGrid>
      <w:tr w:rsidR="00B50C25">
        <w:trPr>
          <w:trHeight w:val="315"/>
        </w:trPr>
        <w:tc>
          <w:tcPr>
            <w:tcW w:w="230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Soil Micro-organisms</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F-Value</w:t>
            </w:r>
          </w:p>
        </w:tc>
        <w:tc>
          <w:tcPr>
            <w:tcW w:w="1660"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P-Value</w:t>
            </w:r>
          </w:p>
        </w:tc>
        <w:tc>
          <w:tcPr>
            <w:tcW w:w="1780"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Outcome</w:t>
            </w:r>
          </w:p>
        </w:tc>
        <w:tc>
          <w:tcPr>
            <w:tcW w:w="1680"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Level of variance</w:t>
            </w:r>
          </w:p>
        </w:tc>
      </w:tr>
      <w:tr w:rsidR="00B50C25">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Staphylococcus</w:t>
            </w:r>
          </w:p>
        </w:tc>
        <w:tc>
          <w:tcPr>
            <w:tcW w:w="16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6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rPr>
            </w:pPr>
            <w:r>
              <w:rPr>
                <w:rFonts w:ascii="Times New Roman" w:hAnsi="Times New Roman" w:cs="Times New Roman"/>
              </w:rPr>
              <w:t>0.009</w:t>
            </w:r>
          </w:p>
        </w:tc>
        <w:tc>
          <w:tcPr>
            <w:tcW w:w="178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rPr>
            </w:pPr>
            <w:r>
              <w:rPr>
                <w:rFonts w:ascii="Times New Roman" w:hAnsi="Times New Roman" w:cs="Times New Roman"/>
              </w:rPr>
              <w:t>P&lt;0.05</w:t>
            </w:r>
          </w:p>
        </w:tc>
        <w:tc>
          <w:tcPr>
            <w:tcW w:w="168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Significant</w:t>
            </w:r>
          </w:p>
        </w:tc>
      </w:tr>
      <w:tr w:rsidR="00B50C25">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Moulds and Yeast</w:t>
            </w:r>
          </w:p>
        </w:tc>
        <w:tc>
          <w:tcPr>
            <w:tcW w:w="16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6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rPr>
            </w:pPr>
            <w:r>
              <w:rPr>
                <w:rFonts w:ascii="Times New Roman" w:hAnsi="Times New Roman" w:cs="Times New Roman"/>
              </w:rPr>
              <w:t>0.004</w:t>
            </w:r>
          </w:p>
        </w:tc>
        <w:tc>
          <w:tcPr>
            <w:tcW w:w="178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rPr>
            </w:pPr>
            <w:r>
              <w:rPr>
                <w:rFonts w:ascii="Times New Roman" w:hAnsi="Times New Roman" w:cs="Times New Roman"/>
              </w:rPr>
              <w:t>P&lt;0.05</w:t>
            </w:r>
          </w:p>
        </w:tc>
        <w:tc>
          <w:tcPr>
            <w:tcW w:w="168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Significant</w:t>
            </w:r>
          </w:p>
        </w:tc>
      </w:tr>
      <w:tr w:rsidR="00B50C25">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Pseudomonas</w:t>
            </w:r>
          </w:p>
        </w:tc>
        <w:tc>
          <w:tcPr>
            <w:tcW w:w="16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6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rPr>
            </w:pPr>
            <w:r>
              <w:rPr>
                <w:rFonts w:ascii="Times New Roman" w:hAnsi="Times New Roman" w:cs="Times New Roman"/>
              </w:rPr>
              <w:t>0.004</w:t>
            </w:r>
          </w:p>
        </w:tc>
        <w:tc>
          <w:tcPr>
            <w:tcW w:w="178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rPr>
            </w:pPr>
            <w:r>
              <w:rPr>
                <w:rFonts w:ascii="Times New Roman" w:hAnsi="Times New Roman" w:cs="Times New Roman"/>
              </w:rPr>
              <w:t>P&lt;0.05</w:t>
            </w:r>
          </w:p>
        </w:tc>
        <w:tc>
          <w:tcPr>
            <w:tcW w:w="168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Significant</w:t>
            </w:r>
          </w:p>
        </w:tc>
      </w:tr>
      <w:tr w:rsidR="00B50C25">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 xml:space="preserve">Escherichia-Coli </w:t>
            </w:r>
          </w:p>
        </w:tc>
        <w:tc>
          <w:tcPr>
            <w:tcW w:w="16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6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rPr>
            </w:pPr>
            <w:r>
              <w:rPr>
                <w:rFonts w:ascii="Times New Roman" w:hAnsi="Times New Roman" w:cs="Times New Roman"/>
              </w:rPr>
              <w:t>0.547</w:t>
            </w:r>
          </w:p>
        </w:tc>
        <w:tc>
          <w:tcPr>
            <w:tcW w:w="178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rPr>
            </w:pPr>
            <w:r>
              <w:rPr>
                <w:rFonts w:ascii="Times New Roman" w:hAnsi="Times New Roman" w:cs="Times New Roman"/>
              </w:rPr>
              <w:t>P&gt;0.05</w:t>
            </w:r>
          </w:p>
        </w:tc>
        <w:tc>
          <w:tcPr>
            <w:tcW w:w="1680"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Not Significant</w:t>
            </w:r>
          </w:p>
        </w:tc>
      </w:tr>
      <w:tr w:rsidR="00B50C25">
        <w:trPr>
          <w:trHeight w:val="315"/>
        </w:trPr>
        <w:tc>
          <w:tcPr>
            <w:tcW w:w="23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Cs/>
              </w:rPr>
            </w:pPr>
            <w:r>
              <w:rPr>
                <w:rFonts w:ascii="Times New Roman" w:hAnsi="Times New Roman" w:cs="Times New Roman"/>
                <w:bCs/>
              </w:rPr>
              <w:t>Total plates</w:t>
            </w:r>
          </w:p>
        </w:tc>
        <w:tc>
          <w:tcPr>
            <w:tcW w:w="16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 </w:t>
            </w:r>
          </w:p>
        </w:tc>
        <w:tc>
          <w:tcPr>
            <w:tcW w:w="16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rPr>
            </w:pPr>
            <w:r>
              <w:rPr>
                <w:rFonts w:ascii="Times New Roman" w:hAnsi="Times New Roman" w:cs="Times New Roman"/>
              </w:rPr>
              <w:t>0.002</w:t>
            </w:r>
          </w:p>
        </w:tc>
        <w:tc>
          <w:tcPr>
            <w:tcW w:w="178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rPr>
                <w:rFonts w:ascii="Times New Roman" w:hAnsi="Times New Roman" w:cs="Times New Roman"/>
              </w:rPr>
            </w:pPr>
            <w:r>
              <w:rPr>
                <w:rFonts w:ascii="Times New Roman" w:hAnsi="Times New Roman" w:cs="Times New Roman"/>
              </w:rPr>
              <w:t>P&lt;0.05</w:t>
            </w:r>
          </w:p>
        </w:tc>
        <w:tc>
          <w:tcPr>
            <w:tcW w:w="168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center"/>
              <w:rPr>
                <w:rFonts w:ascii="Times New Roman" w:hAnsi="Times New Roman" w:cs="Times New Roman"/>
              </w:rPr>
            </w:pPr>
            <w:r>
              <w:rPr>
                <w:rFonts w:ascii="Times New Roman" w:hAnsi="Times New Roman" w:cs="Times New Roman"/>
              </w:rPr>
              <w:t>Significant</w:t>
            </w:r>
          </w:p>
        </w:tc>
      </w:tr>
    </w:tbl>
    <w:p w:rsidR="00B50C25" w:rsidRDefault="00B50C25">
      <w:pPr>
        <w:spacing w:after="0" w:line="240" w:lineRule="auto"/>
        <w:ind w:right="37"/>
        <w:jc w:val="both"/>
        <w:rPr>
          <w:rFonts w:ascii="Times New Roman" w:hAnsi="Times New Roman" w:cs="Times New Roman"/>
          <w:sz w:val="24"/>
          <w:szCs w:val="24"/>
        </w:rPr>
      </w:pPr>
    </w:p>
    <w:p w:rsidR="00B50C25" w:rsidRDefault="00D01A17">
      <w:pPr>
        <w:pStyle w:val="ListParagraph"/>
        <w:numPr>
          <w:ilvl w:val="1"/>
          <w:numId w:val="1"/>
        </w:numPr>
        <w:spacing w:after="0" w:line="240" w:lineRule="auto"/>
        <w:ind w:left="0" w:right="37"/>
        <w:jc w:val="both"/>
        <w:rPr>
          <w:rFonts w:ascii="Times New Roman" w:hAnsi="Times New Roman" w:cs="Times New Roman"/>
          <w:b/>
          <w:sz w:val="24"/>
          <w:szCs w:val="24"/>
        </w:rPr>
      </w:pPr>
      <w:r>
        <w:rPr>
          <w:rFonts w:ascii="Times New Roman" w:hAnsi="Times New Roman" w:cs="Times New Roman"/>
          <w:b/>
          <w:sz w:val="24"/>
          <w:szCs w:val="24"/>
        </w:rPr>
        <w:t xml:space="preserve">IMPACT ON THE </w:t>
      </w:r>
      <w:r>
        <w:rPr>
          <w:rFonts w:ascii="Times New Roman" w:hAnsi="Times New Roman" w:cs="Times New Roman"/>
          <w:b/>
          <w:sz w:val="24"/>
          <w:szCs w:val="24"/>
        </w:rPr>
        <w:t>ABUNDANCE ON THE SOIL PROPERTIES</w:t>
      </w:r>
    </w:p>
    <w:p w:rsidR="00B50C25" w:rsidRDefault="00D01A17">
      <w:pPr>
        <w:spacing w:after="0" w:line="240" w:lineRule="auto"/>
        <w:ind w:right="37"/>
        <w:rPr>
          <w:rFonts w:ascii="Times New Roman" w:hAnsi="Times New Roman" w:cs="Times New Roman"/>
        </w:rPr>
      </w:pPr>
      <w:r>
        <w:rPr>
          <w:rFonts w:ascii="Times New Roman" w:hAnsi="Times New Roman" w:cs="Times New Roman"/>
        </w:rPr>
        <w:t>The analysis of the mean values from both forest types indicates that Organic Carbon, Organic Matter, Nitrogen, Phosphorus, and Calcium were approximately two times higher in the protected site as compared to the adjacent u</w:t>
      </w:r>
      <w:r>
        <w:rPr>
          <w:rFonts w:ascii="Times New Roman" w:hAnsi="Times New Roman" w:cs="Times New Roman"/>
        </w:rPr>
        <w:t>nprotected site (Tables 4 and 5). The test analysis on the soil physio-chemical properties suggests that there were no significant (P &gt; 0.05) difference for pH, Organic Carbon, Organic Matter, Nitrogen, and Calcium, however, Phosphorus was significant (P &lt;</w:t>
      </w:r>
      <w:r>
        <w:rPr>
          <w:rFonts w:ascii="Times New Roman" w:hAnsi="Times New Roman" w:cs="Times New Roman"/>
        </w:rPr>
        <w:t xml:space="preserve"> 0.05) (Table 6).</w:t>
      </w:r>
    </w:p>
    <w:p w:rsidR="00B50C25" w:rsidRDefault="00B50C25">
      <w:pPr>
        <w:pStyle w:val="ListParagraph"/>
        <w:spacing w:after="0" w:line="240" w:lineRule="auto"/>
        <w:ind w:right="37"/>
        <w:rPr>
          <w:rFonts w:ascii="Times New Roman" w:hAnsi="Times New Roman" w:cs="Times New Roman"/>
        </w:rPr>
      </w:pPr>
    </w:p>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Table 4 Mean values of the Soil Physiochemical properties</w:t>
      </w:r>
    </w:p>
    <w:tbl>
      <w:tblPr>
        <w:tblW w:w="7421" w:type="dxa"/>
        <w:tblLook w:val="04A0" w:firstRow="1" w:lastRow="0" w:firstColumn="1" w:lastColumn="0" w:noHBand="0" w:noVBand="1"/>
      </w:tblPr>
      <w:tblGrid>
        <w:gridCol w:w="2100"/>
        <w:gridCol w:w="1218"/>
        <w:gridCol w:w="1218"/>
        <w:gridCol w:w="1218"/>
        <w:gridCol w:w="1218"/>
        <w:gridCol w:w="2027"/>
      </w:tblGrid>
      <w:tr w:rsidR="00B50C25">
        <w:trPr>
          <w:trHeight w:val="315"/>
        </w:trPr>
        <w:tc>
          <w:tcPr>
            <w:tcW w:w="2100" w:type="dxa"/>
            <w:tcBorders>
              <w:top w:val="single" w:sz="4" w:space="0" w:color="auto"/>
              <w:left w:val="single" w:sz="4" w:space="0" w:color="auto"/>
              <w:bottom w:val="nil"/>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5321" w:type="dxa"/>
            <w:gridSpan w:val="5"/>
            <w:tcBorders>
              <w:top w:val="single" w:sz="4" w:space="0" w:color="auto"/>
              <w:left w:val="nil"/>
              <w:bottom w:val="single" w:sz="4" w:space="0" w:color="auto"/>
              <w:right w:val="single" w:sz="4" w:space="0" w:color="000000"/>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PROTECTED FOREST</w:t>
            </w:r>
          </w:p>
        </w:tc>
      </w:tr>
      <w:tr w:rsidR="00B50C25">
        <w:trPr>
          <w:trHeight w:val="315"/>
        </w:trPr>
        <w:tc>
          <w:tcPr>
            <w:tcW w:w="2100" w:type="dxa"/>
            <w:tcBorders>
              <w:top w:val="nil"/>
              <w:left w:val="single" w:sz="4" w:space="0" w:color="auto"/>
              <w:bottom w:val="nil"/>
              <w:right w:val="single" w:sz="4" w:space="0" w:color="auto"/>
            </w:tcBorders>
            <w:shd w:val="clear" w:color="auto" w:fill="auto"/>
            <w:noWrap/>
            <w:vAlign w:val="bottom"/>
            <w:hideMark/>
          </w:tcPr>
          <w:p w:rsidR="00B50C25" w:rsidRDefault="00D01A17">
            <w:pPr>
              <w:spacing w:after="0" w:line="240" w:lineRule="auto"/>
              <w:ind w:right="37"/>
              <w:jc w:val="both"/>
              <w:rPr>
                <w:rFonts w:ascii="Times New Roman" w:hAnsi="Times New Roman" w:cs="Times New Roman"/>
                <w:b/>
                <w:bCs/>
              </w:rPr>
            </w:pPr>
            <w:r>
              <w:rPr>
                <w:rFonts w:ascii="Times New Roman" w:hAnsi="Times New Roman" w:cs="Times New Roman"/>
                <w:b/>
                <w:bCs/>
              </w:rPr>
              <w:t xml:space="preserve"> Soil Physiochemical</w:t>
            </w:r>
          </w:p>
        </w:tc>
        <w:tc>
          <w:tcPr>
            <w:tcW w:w="3294"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bCs/>
              </w:rPr>
            </w:pPr>
            <w:r>
              <w:rPr>
                <w:rFonts w:ascii="Times New Roman" w:hAnsi="Times New Roman" w:cs="Times New Roman"/>
                <w:b/>
                <w:bCs/>
              </w:rPr>
              <w:t>Composite soil labels</w:t>
            </w:r>
          </w:p>
        </w:tc>
        <w:tc>
          <w:tcPr>
            <w:tcW w:w="2027" w:type="dxa"/>
            <w:tcBorders>
              <w:top w:val="nil"/>
              <w:left w:val="nil"/>
              <w:bottom w:val="nil"/>
              <w:right w:val="single" w:sz="4" w:space="0" w:color="auto"/>
            </w:tcBorders>
            <w:shd w:val="clear" w:color="auto" w:fill="auto"/>
            <w:noWrap/>
            <w:vAlign w:val="bottom"/>
            <w:hideMark/>
          </w:tcPr>
          <w:p w:rsidR="00B50C25" w:rsidRDefault="00D01A17">
            <w:pPr>
              <w:spacing w:after="0" w:line="240" w:lineRule="auto"/>
              <w:ind w:right="37"/>
              <w:jc w:val="both"/>
              <w:rPr>
                <w:rFonts w:ascii="Times New Roman" w:hAnsi="Times New Roman" w:cs="Times New Roman"/>
                <w:b/>
                <w:bCs/>
              </w:rPr>
            </w:pPr>
            <w:r>
              <w:rPr>
                <w:rFonts w:ascii="Times New Roman" w:hAnsi="Times New Roman" w:cs="Times New Roman"/>
                <w:b/>
                <w:bCs/>
              </w:rPr>
              <w:t xml:space="preserve"> Mean </w:t>
            </w:r>
          </w:p>
        </w:tc>
      </w:tr>
      <w:tr w:rsidR="00B50C25">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after="0" w:line="240" w:lineRule="auto"/>
              <w:ind w:right="37"/>
              <w:jc w:val="both"/>
              <w:rPr>
                <w:rFonts w:ascii="Times New Roman" w:hAnsi="Times New Roman" w:cs="Times New Roman"/>
                <w:b/>
                <w:bCs/>
              </w:rPr>
            </w:pPr>
            <w:r>
              <w:rPr>
                <w:rFonts w:ascii="Times New Roman" w:hAnsi="Times New Roman" w:cs="Times New Roman"/>
                <w:b/>
                <w:bCs/>
              </w:rPr>
              <w:t>Properties</w:t>
            </w:r>
          </w:p>
        </w:tc>
        <w:tc>
          <w:tcPr>
            <w:tcW w:w="97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rPr>
            </w:pPr>
            <w:r>
              <w:rPr>
                <w:rFonts w:ascii="Times New Roman" w:hAnsi="Times New Roman" w:cs="Times New Roman"/>
                <w:b/>
              </w:rPr>
              <w:t>P1</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rPr>
            </w:pPr>
            <w:r>
              <w:rPr>
                <w:rFonts w:ascii="Times New Roman" w:hAnsi="Times New Roman" w:cs="Times New Roman"/>
                <w:b/>
              </w:rPr>
              <w:t>P2</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rPr>
            </w:pPr>
            <w:r>
              <w:rPr>
                <w:rFonts w:ascii="Times New Roman" w:hAnsi="Times New Roman" w:cs="Times New Roman"/>
                <w:b/>
              </w:rPr>
              <w:t>P3</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rPr>
            </w:pPr>
            <w:r>
              <w:rPr>
                <w:rFonts w:ascii="Times New Roman" w:hAnsi="Times New Roman" w:cs="Times New Roman"/>
                <w:b/>
              </w:rPr>
              <w:t>P4</w:t>
            </w:r>
          </w:p>
        </w:tc>
        <w:tc>
          <w:tcPr>
            <w:tcW w:w="2027" w:type="dxa"/>
            <w:tcBorders>
              <w:top w:val="nil"/>
              <w:left w:val="nil"/>
              <w:bottom w:val="single" w:sz="4" w:space="0" w:color="auto"/>
              <w:right w:val="single" w:sz="4" w:space="0" w:color="auto"/>
            </w:tcBorders>
            <w:shd w:val="clear" w:color="auto" w:fill="auto"/>
            <w:noWrap/>
            <w:vAlign w:val="bottom"/>
            <w:hideMark/>
          </w:tcPr>
          <w:p w:rsidR="00B50C25" w:rsidRDefault="00D01A17">
            <w:pPr>
              <w:spacing w:after="0" w:line="240" w:lineRule="auto"/>
              <w:ind w:right="37"/>
              <w:jc w:val="both"/>
              <w:rPr>
                <w:rFonts w:ascii="Times New Roman" w:hAnsi="Times New Roman" w:cs="Times New Roman"/>
                <w:b/>
                <w:bCs/>
              </w:rPr>
            </w:pPr>
            <w:r>
              <w:rPr>
                <w:rFonts w:ascii="Times New Roman" w:hAnsi="Times New Roman" w:cs="Times New Roman"/>
                <w:b/>
                <w:bCs/>
              </w:rPr>
              <w:t xml:space="preserve"> Values</w:t>
            </w:r>
          </w:p>
        </w:tc>
      </w:tr>
      <w:tr w:rsidR="00B50C25">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rPr>
            </w:pPr>
            <w:r>
              <w:rPr>
                <w:rFonts w:ascii="Times New Roman" w:hAnsi="Times New Roman" w:cs="Times New Roman"/>
              </w:rPr>
              <w:t>pH 1:1</w:t>
            </w:r>
          </w:p>
        </w:tc>
        <w:tc>
          <w:tcPr>
            <w:tcW w:w="978"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7.4</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5.8</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5.8</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6</w:t>
            </w:r>
          </w:p>
        </w:tc>
        <w:tc>
          <w:tcPr>
            <w:tcW w:w="2027"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5.250± 0.40</w:t>
            </w:r>
          </w:p>
        </w:tc>
      </w:tr>
      <w:tr w:rsidR="00B50C25">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Organic Carbon%</w:t>
            </w:r>
          </w:p>
        </w:tc>
        <w:tc>
          <w:tcPr>
            <w:tcW w:w="978"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2.91</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1.76</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0.73</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1.81</w:t>
            </w:r>
          </w:p>
        </w:tc>
        <w:tc>
          <w:tcPr>
            <w:tcW w:w="2027"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1.803±</w:t>
            </w:r>
            <w:r>
              <w:rPr>
                <w:rFonts w:ascii="Times New Roman" w:hAnsi="Times New Roman" w:cs="Times New Roman"/>
              </w:rPr>
              <w:t xml:space="preserve"> 0.45</w:t>
            </w:r>
          </w:p>
        </w:tc>
      </w:tr>
      <w:tr w:rsidR="00B50C25">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Organic Matter%</w:t>
            </w:r>
          </w:p>
        </w:tc>
        <w:tc>
          <w:tcPr>
            <w:tcW w:w="978"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5.02</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3.03</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1.26</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3.12</w:t>
            </w:r>
          </w:p>
        </w:tc>
        <w:tc>
          <w:tcPr>
            <w:tcW w:w="2027"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3.108± 0.77</w:t>
            </w:r>
          </w:p>
        </w:tc>
      </w:tr>
      <w:tr w:rsidR="00B50C25">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Nitrogen%</w:t>
            </w:r>
          </w:p>
        </w:tc>
        <w:tc>
          <w:tcPr>
            <w:tcW w:w="978"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0.23</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0.14</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0.05</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0.14</w:t>
            </w:r>
          </w:p>
        </w:tc>
        <w:tc>
          <w:tcPr>
            <w:tcW w:w="2027"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0.140± 0.04</w:t>
            </w:r>
          </w:p>
        </w:tc>
      </w:tr>
      <w:tr w:rsidR="00B50C25">
        <w:trPr>
          <w:trHeight w:val="315"/>
        </w:trPr>
        <w:tc>
          <w:tcPr>
            <w:tcW w:w="2100"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Phosphorus_ ppm</w:t>
            </w:r>
          </w:p>
        </w:tc>
        <w:tc>
          <w:tcPr>
            <w:tcW w:w="978"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7.02</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4.54</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6.86</w:t>
            </w:r>
          </w:p>
        </w:tc>
        <w:tc>
          <w:tcPr>
            <w:tcW w:w="772"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6.54</w:t>
            </w:r>
          </w:p>
        </w:tc>
        <w:tc>
          <w:tcPr>
            <w:tcW w:w="2027"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6.240± 0.62</w:t>
            </w:r>
          </w:p>
        </w:tc>
      </w:tr>
      <w:tr w:rsidR="00B50C25">
        <w:trPr>
          <w:trHeight w:val="330"/>
        </w:trPr>
        <w:tc>
          <w:tcPr>
            <w:tcW w:w="2100" w:type="dxa"/>
            <w:tcBorders>
              <w:top w:val="nil"/>
              <w:left w:val="single" w:sz="4" w:space="0" w:color="auto"/>
              <w:bottom w:val="single" w:sz="8"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Calcium_me/100g</w:t>
            </w:r>
          </w:p>
        </w:tc>
        <w:tc>
          <w:tcPr>
            <w:tcW w:w="978" w:type="dxa"/>
            <w:tcBorders>
              <w:top w:val="nil"/>
              <w:left w:val="nil"/>
              <w:bottom w:val="single" w:sz="8"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13.27</w:t>
            </w:r>
          </w:p>
        </w:tc>
        <w:tc>
          <w:tcPr>
            <w:tcW w:w="772" w:type="dxa"/>
            <w:tcBorders>
              <w:top w:val="nil"/>
              <w:left w:val="nil"/>
              <w:bottom w:val="single" w:sz="8"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3.79</w:t>
            </w:r>
          </w:p>
        </w:tc>
        <w:tc>
          <w:tcPr>
            <w:tcW w:w="772" w:type="dxa"/>
            <w:tcBorders>
              <w:top w:val="nil"/>
              <w:left w:val="nil"/>
              <w:bottom w:val="single" w:sz="8"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1.91</w:t>
            </w:r>
          </w:p>
        </w:tc>
        <w:tc>
          <w:tcPr>
            <w:tcW w:w="772" w:type="dxa"/>
            <w:tcBorders>
              <w:top w:val="nil"/>
              <w:left w:val="nil"/>
              <w:bottom w:val="single" w:sz="8"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2.68</w:t>
            </w:r>
          </w:p>
        </w:tc>
        <w:tc>
          <w:tcPr>
            <w:tcW w:w="2027" w:type="dxa"/>
            <w:tcBorders>
              <w:top w:val="nil"/>
              <w:left w:val="nil"/>
              <w:bottom w:val="single" w:sz="8" w:space="0" w:color="auto"/>
              <w:right w:val="single" w:sz="4" w:space="0" w:color="auto"/>
            </w:tcBorders>
            <w:shd w:val="clear" w:color="auto" w:fill="auto"/>
            <w:noWrap/>
            <w:vAlign w:val="bottom"/>
            <w:hideMark/>
          </w:tcPr>
          <w:p w:rsidR="00B50C25" w:rsidRDefault="00D01A17">
            <w:pPr>
              <w:spacing w:line="240" w:lineRule="auto"/>
              <w:ind w:right="37"/>
              <w:jc w:val="center"/>
              <w:rPr>
                <w:rFonts w:ascii="Times New Roman" w:hAnsi="Times New Roman" w:cs="Times New Roman"/>
              </w:rPr>
            </w:pPr>
            <w:r>
              <w:rPr>
                <w:rFonts w:ascii="Times New Roman" w:hAnsi="Times New Roman" w:cs="Times New Roman"/>
              </w:rPr>
              <w:t>5.413± 0.08</w:t>
            </w:r>
          </w:p>
        </w:tc>
      </w:tr>
    </w:tbl>
    <w:p w:rsidR="00B50C25" w:rsidRDefault="00B50C25">
      <w:pPr>
        <w:pStyle w:val="ListParagraph"/>
        <w:spacing w:after="0" w:line="240" w:lineRule="auto"/>
        <w:ind w:right="37"/>
        <w:jc w:val="both"/>
        <w:rPr>
          <w:rFonts w:ascii="Times New Roman" w:hAnsi="Times New Roman" w:cs="Times New Roman"/>
          <w:b/>
        </w:rPr>
      </w:pPr>
    </w:p>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Table 5 Mean values of the Soil Physiochemical properties</w:t>
      </w:r>
    </w:p>
    <w:tbl>
      <w:tblPr>
        <w:tblW w:w="9018" w:type="dxa"/>
        <w:tblLook w:val="04A0" w:firstRow="1" w:lastRow="0" w:firstColumn="1" w:lastColumn="0" w:noHBand="0" w:noVBand="1"/>
      </w:tblPr>
      <w:tblGrid>
        <w:gridCol w:w="2133"/>
        <w:gridCol w:w="1511"/>
        <w:gridCol w:w="1511"/>
        <w:gridCol w:w="1511"/>
        <w:gridCol w:w="1511"/>
        <w:gridCol w:w="1254"/>
      </w:tblGrid>
      <w:tr w:rsidR="00B50C25">
        <w:trPr>
          <w:trHeight w:val="315"/>
        </w:trPr>
        <w:tc>
          <w:tcPr>
            <w:tcW w:w="2133" w:type="dxa"/>
            <w:tcBorders>
              <w:top w:val="single" w:sz="8" w:space="0" w:color="auto"/>
              <w:left w:val="single" w:sz="4" w:space="0" w:color="auto"/>
              <w:bottom w:val="nil"/>
              <w:right w:val="single" w:sz="8"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6027" w:type="dxa"/>
            <w:gridSpan w:val="4"/>
            <w:tcBorders>
              <w:top w:val="single" w:sz="4" w:space="0" w:color="auto"/>
              <w:left w:val="nil"/>
              <w:bottom w:val="single" w:sz="4" w:space="0" w:color="auto"/>
              <w:right w:val="nil"/>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UNPROTECTED FOREST</w:t>
            </w:r>
          </w:p>
        </w:tc>
        <w:tc>
          <w:tcPr>
            <w:tcW w:w="858"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r>
      <w:tr w:rsidR="00B50C25">
        <w:trPr>
          <w:trHeight w:val="315"/>
        </w:trPr>
        <w:tc>
          <w:tcPr>
            <w:tcW w:w="2133" w:type="dxa"/>
            <w:tcBorders>
              <w:top w:val="nil"/>
              <w:left w:val="single" w:sz="4" w:space="0" w:color="auto"/>
              <w:bottom w:val="nil"/>
              <w:right w:val="single" w:sz="8" w:space="0" w:color="auto"/>
            </w:tcBorders>
            <w:shd w:val="clear" w:color="auto" w:fill="auto"/>
            <w:noWrap/>
            <w:vAlign w:val="bottom"/>
            <w:hideMark/>
          </w:tcPr>
          <w:p w:rsidR="00B50C25" w:rsidRDefault="00D01A17">
            <w:pPr>
              <w:spacing w:after="0" w:line="240" w:lineRule="auto"/>
              <w:ind w:right="37"/>
              <w:jc w:val="both"/>
              <w:rPr>
                <w:rFonts w:ascii="Times New Roman" w:hAnsi="Times New Roman" w:cs="Times New Roman"/>
                <w:b/>
                <w:bCs/>
              </w:rPr>
            </w:pPr>
            <w:r>
              <w:rPr>
                <w:rFonts w:ascii="Times New Roman" w:hAnsi="Times New Roman" w:cs="Times New Roman"/>
                <w:b/>
                <w:bCs/>
              </w:rPr>
              <w:t xml:space="preserve"> Soil           Physiochemical</w:t>
            </w:r>
          </w:p>
        </w:tc>
        <w:tc>
          <w:tcPr>
            <w:tcW w:w="6027" w:type="dxa"/>
            <w:gridSpan w:val="4"/>
            <w:tcBorders>
              <w:top w:val="single" w:sz="4" w:space="0" w:color="auto"/>
              <w:left w:val="nil"/>
              <w:bottom w:val="single" w:sz="4" w:space="0" w:color="auto"/>
              <w:right w:val="single" w:sz="4" w:space="0" w:color="000000"/>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bCs/>
              </w:rPr>
            </w:pPr>
            <w:r>
              <w:rPr>
                <w:rFonts w:ascii="Times New Roman" w:hAnsi="Times New Roman" w:cs="Times New Roman"/>
                <w:b/>
                <w:bCs/>
              </w:rPr>
              <w:t>Composite Soil labels</w:t>
            </w:r>
          </w:p>
        </w:tc>
        <w:tc>
          <w:tcPr>
            <w:tcW w:w="858" w:type="dxa"/>
            <w:tcBorders>
              <w:top w:val="nil"/>
              <w:left w:val="nil"/>
              <w:bottom w:val="nil"/>
              <w:right w:val="single" w:sz="4" w:space="0" w:color="auto"/>
            </w:tcBorders>
            <w:shd w:val="clear" w:color="auto" w:fill="auto"/>
            <w:noWrap/>
            <w:vAlign w:val="bottom"/>
            <w:hideMark/>
          </w:tcPr>
          <w:p w:rsidR="00B50C25" w:rsidRDefault="00D01A17">
            <w:pPr>
              <w:spacing w:after="0" w:line="240" w:lineRule="auto"/>
              <w:ind w:right="37"/>
              <w:jc w:val="both"/>
              <w:rPr>
                <w:rFonts w:ascii="Times New Roman" w:hAnsi="Times New Roman" w:cs="Times New Roman"/>
                <w:b/>
                <w:bCs/>
              </w:rPr>
            </w:pPr>
            <w:r>
              <w:rPr>
                <w:rFonts w:ascii="Times New Roman" w:hAnsi="Times New Roman" w:cs="Times New Roman"/>
                <w:b/>
                <w:bCs/>
              </w:rPr>
              <w:t>Mean</w:t>
            </w:r>
          </w:p>
        </w:tc>
      </w:tr>
      <w:tr w:rsidR="00B50C25">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rsidR="00B50C25" w:rsidRDefault="00D01A17">
            <w:pPr>
              <w:spacing w:after="0" w:line="240" w:lineRule="auto"/>
              <w:ind w:right="37"/>
              <w:jc w:val="both"/>
              <w:rPr>
                <w:rFonts w:ascii="Times New Roman" w:hAnsi="Times New Roman" w:cs="Times New Roman"/>
                <w:b/>
                <w:bCs/>
              </w:rPr>
            </w:pPr>
            <w:r>
              <w:rPr>
                <w:rFonts w:ascii="Times New Roman" w:hAnsi="Times New Roman" w:cs="Times New Roman"/>
                <w:b/>
                <w:bCs/>
              </w:rPr>
              <w:t>Properties</w:t>
            </w:r>
          </w:p>
        </w:tc>
        <w:tc>
          <w:tcPr>
            <w:tcW w:w="1506" w:type="dxa"/>
            <w:tcBorders>
              <w:top w:val="nil"/>
              <w:left w:val="nil"/>
              <w:bottom w:val="single" w:sz="4" w:space="0" w:color="auto"/>
              <w:right w:val="nil"/>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rPr>
            </w:pPr>
            <w:r>
              <w:rPr>
                <w:rFonts w:ascii="Times New Roman" w:hAnsi="Times New Roman" w:cs="Times New Roman"/>
                <w:b/>
              </w:rPr>
              <w:t>UPF1</w:t>
            </w:r>
          </w:p>
        </w:tc>
        <w:tc>
          <w:tcPr>
            <w:tcW w:w="1507" w:type="dxa"/>
            <w:tcBorders>
              <w:top w:val="nil"/>
              <w:left w:val="nil"/>
              <w:bottom w:val="single" w:sz="4" w:space="0" w:color="auto"/>
              <w:right w:val="nil"/>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rPr>
            </w:pPr>
            <w:r>
              <w:rPr>
                <w:rFonts w:ascii="Times New Roman" w:hAnsi="Times New Roman" w:cs="Times New Roman"/>
                <w:b/>
              </w:rPr>
              <w:t>UPF2</w:t>
            </w:r>
          </w:p>
        </w:tc>
        <w:tc>
          <w:tcPr>
            <w:tcW w:w="1507" w:type="dxa"/>
            <w:tcBorders>
              <w:top w:val="nil"/>
              <w:left w:val="nil"/>
              <w:bottom w:val="single" w:sz="4" w:space="0" w:color="auto"/>
              <w:right w:val="nil"/>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rPr>
            </w:pPr>
            <w:r>
              <w:rPr>
                <w:rFonts w:ascii="Times New Roman" w:hAnsi="Times New Roman" w:cs="Times New Roman"/>
                <w:b/>
              </w:rPr>
              <w:t>UFP3</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rPr>
            </w:pPr>
            <w:r>
              <w:rPr>
                <w:rFonts w:ascii="Times New Roman" w:hAnsi="Times New Roman" w:cs="Times New Roman"/>
                <w:b/>
              </w:rPr>
              <w:t>UFP4</w:t>
            </w:r>
          </w:p>
        </w:tc>
        <w:tc>
          <w:tcPr>
            <w:tcW w:w="858" w:type="dxa"/>
            <w:tcBorders>
              <w:top w:val="nil"/>
              <w:left w:val="nil"/>
              <w:bottom w:val="single" w:sz="4" w:space="0" w:color="auto"/>
              <w:right w:val="single" w:sz="4" w:space="0" w:color="auto"/>
            </w:tcBorders>
            <w:shd w:val="clear" w:color="auto" w:fill="auto"/>
            <w:noWrap/>
            <w:vAlign w:val="bottom"/>
            <w:hideMark/>
          </w:tcPr>
          <w:p w:rsidR="00B50C25" w:rsidRDefault="00D01A17">
            <w:pPr>
              <w:spacing w:after="0" w:line="240" w:lineRule="auto"/>
              <w:ind w:right="37"/>
              <w:jc w:val="both"/>
              <w:rPr>
                <w:rFonts w:ascii="Times New Roman" w:hAnsi="Times New Roman" w:cs="Times New Roman"/>
                <w:b/>
                <w:bCs/>
              </w:rPr>
            </w:pPr>
            <w:r>
              <w:rPr>
                <w:rFonts w:ascii="Times New Roman" w:hAnsi="Times New Roman" w:cs="Times New Roman"/>
                <w:b/>
                <w:bCs/>
              </w:rPr>
              <w:t>Values</w:t>
            </w:r>
          </w:p>
        </w:tc>
      </w:tr>
      <w:tr w:rsidR="00B50C25">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rPr>
            </w:pPr>
            <w:r>
              <w:rPr>
                <w:rFonts w:ascii="Times New Roman" w:hAnsi="Times New Roman" w:cs="Times New Roman"/>
              </w:rPr>
              <w:t>pH</w:t>
            </w:r>
          </w:p>
        </w:tc>
        <w:tc>
          <w:tcPr>
            <w:tcW w:w="150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5.7</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5.6</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5.7</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6</w:t>
            </w:r>
          </w:p>
        </w:tc>
        <w:tc>
          <w:tcPr>
            <w:tcW w:w="858"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 xml:space="preserve">  5.750±0.09</w:t>
            </w:r>
          </w:p>
        </w:tc>
      </w:tr>
      <w:tr w:rsidR="00B50C25">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Organic Carbon%</w:t>
            </w:r>
          </w:p>
        </w:tc>
        <w:tc>
          <w:tcPr>
            <w:tcW w:w="150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0.82</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1.46</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1.24</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0.77</w:t>
            </w:r>
          </w:p>
        </w:tc>
        <w:tc>
          <w:tcPr>
            <w:tcW w:w="858"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 xml:space="preserve">  1.073±0.17</w:t>
            </w:r>
          </w:p>
        </w:tc>
      </w:tr>
      <w:tr w:rsidR="00B50C25">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Organic Matter%</w:t>
            </w:r>
          </w:p>
        </w:tc>
        <w:tc>
          <w:tcPr>
            <w:tcW w:w="150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1.41</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2.51</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2.14</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1.32</w:t>
            </w:r>
          </w:p>
        </w:tc>
        <w:tc>
          <w:tcPr>
            <w:tcW w:w="858"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 xml:space="preserve">  1.845±0.29</w:t>
            </w:r>
          </w:p>
        </w:tc>
      </w:tr>
      <w:tr w:rsidR="00B50C25">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Nitrogen%</w:t>
            </w:r>
          </w:p>
        </w:tc>
        <w:tc>
          <w:tcPr>
            <w:tcW w:w="150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0.07</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0.12</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0.12</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0.06</w:t>
            </w:r>
          </w:p>
        </w:tc>
        <w:tc>
          <w:tcPr>
            <w:tcW w:w="858"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 xml:space="preserve">  0.093±0.02</w:t>
            </w:r>
          </w:p>
        </w:tc>
      </w:tr>
      <w:tr w:rsidR="00B50C25">
        <w:trPr>
          <w:trHeight w:val="315"/>
        </w:trPr>
        <w:tc>
          <w:tcPr>
            <w:tcW w:w="2133" w:type="dxa"/>
            <w:tcBorders>
              <w:top w:val="nil"/>
              <w:left w:val="single" w:sz="4" w:space="0" w:color="auto"/>
              <w:bottom w:val="single" w:sz="4" w:space="0" w:color="auto"/>
              <w:right w:val="single" w:sz="8"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Phosphorus_ppm</w:t>
            </w:r>
          </w:p>
        </w:tc>
        <w:tc>
          <w:tcPr>
            <w:tcW w:w="150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3.11</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2.63</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2.23</w:t>
            </w:r>
          </w:p>
        </w:tc>
        <w:tc>
          <w:tcPr>
            <w:tcW w:w="1507"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5.02</w:t>
            </w:r>
          </w:p>
        </w:tc>
        <w:tc>
          <w:tcPr>
            <w:tcW w:w="858"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 xml:space="preserve">  3.25±0.58</w:t>
            </w:r>
          </w:p>
        </w:tc>
      </w:tr>
      <w:tr w:rsidR="00B50C25">
        <w:trPr>
          <w:trHeight w:val="330"/>
        </w:trPr>
        <w:tc>
          <w:tcPr>
            <w:tcW w:w="2133" w:type="dxa"/>
            <w:tcBorders>
              <w:top w:val="nil"/>
              <w:left w:val="single" w:sz="4" w:space="0" w:color="auto"/>
              <w:bottom w:val="single" w:sz="8" w:space="0" w:color="auto"/>
              <w:right w:val="single" w:sz="8"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Calcium_ me/100g</w:t>
            </w:r>
          </w:p>
        </w:tc>
        <w:tc>
          <w:tcPr>
            <w:tcW w:w="1506" w:type="dxa"/>
            <w:tcBorders>
              <w:top w:val="nil"/>
              <w:left w:val="nil"/>
              <w:bottom w:val="single" w:sz="8"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2.95</w:t>
            </w:r>
          </w:p>
        </w:tc>
        <w:tc>
          <w:tcPr>
            <w:tcW w:w="1507" w:type="dxa"/>
            <w:tcBorders>
              <w:top w:val="nil"/>
              <w:left w:val="nil"/>
              <w:bottom w:val="single" w:sz="8"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3.62</w:t>
            </w:r>
          </w:p>
        </w:tc>
        <w:tc>
          <w:tcPr>
            <w:tcW w:w="1507" w:type="dxa"/>
            <w:tcBorders>
              <w:top w:val="nil"/>
              <w:left w:val="nil"/>
              <w:bottom w:val="single" w:sz="8"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3.22</w:t>
            </w:r>
          </w:p>
        </w:tc>
        <w:tc>
          <w:tcPr>
            <w:tcW w:w="1507" w:type="dxa"/>
            <w:tcBorders>
              <w:top w:val="nil"/>
              <w:left w:val="nil"/>
              <w:bottom w:val="single" w:sz="8"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rPr>
            </w:pPr>
            <w:r>
              <w:rPr>
                <w:rFonts w:ascii="Times New Roman" w:hAnsi="Times New Roman" w:cs="Times New Roman"/>
              </w:rPr>
              <w:t>2.55</w:t>
            </w:r>
          </w:p>
        </w:tc>
        <w:tc>
          <w:tcPr>
            <w:tcW w:w="858" w:type="dxa"/>
            <w:tcBorders>
              <w:top w:val="nil"/>
              <w:left w:val="nil"/>
              <w:bottom w:val="single" w:sz="8"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rPr>
            </w:pPr>
            <w:r>
              <w:rPr>
                <w:rFonts w:ascii="Times New Roman" w:hAnsi="Times New Roman" w:cs="Times New Roman"/>
              </w:rPr>
              <w:t xml:space="preserve">  3.09±0.23</w:t>
            </w:r>
          </w:p>
        </w:tc>
      </w:tr>
    </w:tbl>
    <w:p w:rsidR="00B50C25" w:rsidRDefault="00B50C25">
      <w:pPr>
        <w:spacing w:line="240" w:lineRule="auto"/>
        <w:ind w:right="37"/>
        <w:rPr>
          <w:rFonts w:ascii="Times New Roman" w:hAnsi="Times New Roman" w:cs="Times New Roman"/>
          <w:b/>
        </w:rPr>
      </w:pPr>
    </w:p>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Table 6 Level of significance of the Soil Physical Properties</w:t>
      </w:r>
    </w:p>
    <w:tbl>
      <w:tblPr>
        <w:tblW w:w="9227" w:type="dxa"/>
        <w:tblLook w:val="04A0" w:firstRow="1" w:lastRow="0" w:firstColumn="1" w:lastColumn="0" w:noHBand="0" w:noVBand="1"/>
      </w:tblPr>
      <w:tblGrid>
        <w:gridCol w:w="2767"/>
        <w:gridCol w:w="1578"/>
        <w:gridCol w:w="1523"/>
        <w:gridCol w:w="1829"/>
        <w:gridCol w:w="1829"/>
      </w:tblGrid>
      <w:tr w:rsidR="00B50C25">
        <w:trPr>
          <w:trHeight w:val="166"/>
        </w:trPr>
        <w:tc>
          <w:tcPr>
            <w:tcW w:w="2767"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b/>
                <w:bCs/>
              </w:rPr>
            </w:pPr>
            <w:r>
              <w:rPr>
                <w:rFonts w:ascii="Times New Roman" w:hAnsi="Times New Roman" w:cs="Times New Roman"/>
                <w:b/>
                <w:bCs/>
              </w:rPr>
              <w:lastRenderedPageBreak/>
              <w:t>Soil Physiochemical Properties</w:t>
            </w:r>
          </w:p>
        </w:tc>
        <w:tc>
          <w:tcPr>
            <w:tcW w:w="1508"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b/>
                <w:bCs/>
              </w:rPr>
            </w:pPr>
            <w:r>
              <w:rPr>
                <w:rFonts w:ascii="Times New Roman" w:hAnsi="Times New Roman" w:cs="Times New Roman"/>
                <w:b/>
                <w:bCs/>
              </w:rPr>
              <w:t>F-Value</w:t>
            </w:r>
          </w:p>
        </w:tc>
        <w:tc>
          <w:tcPr>
            <w:tcW w:w="1456"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b/>
                <w:bCs/>
              </w:rPr>
            </w:pPr>
            <w:r>
              <w:rPr>
                <w:rFonts w:ascii="Times New Roman" w:hAnsi="Times New Roman" w:cs="Times New Roman"/>
                <w:b/>
                <w:bCs/>
              </w:rPr>
              <w:t>P-Value</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b/>
                <w:bCs/>
              </w:rPr>
            </w:pPr>
            <w:r>
              <w:rPr>
                <w:rFonts w:ascii="Times New Roman" w:hAnsi="Times New Roman" w:cs="Times New Roman"/>
                <w:b/>
                <w:bCs/>
              </w:rPr>
              <w:t>Outcome</w:t>
            </w:r>
          </w:p>
        </w:tc>
        <w:tc>
          <w:tcPr>
            <w:tcW w:w="1748"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b/>
                <w:bCs/>
              </w:rPr>
            </w:pPr>
            <w:r>
              <w:rPr>
                <w:rFonts w:ascii="Times New Roman" w:hAnsi="Times New Roman" w:cs="Times New Roman"/>
                <w:b/>
                <w:bCs/>
              </w:rPr>
              <w:t>Level of Variance</w:t>
            </w:r>
          </w:p>
        </w:tc>
      </w:tr>
      <w:tr w:rsidR="00B50C25">
        <w:trPr>
          <w:trHeight w:val="166"/>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pH 1:1</w:t>
            </w:r>
          </w:p>
        </w:tc>
        <w:tc>
          <w:tcPr>
            <w:tcW w:w="150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1.369</w:t>
            </w:r>
          </w:p>
        </w:tc>
        <w:tc>
          <w:tcPr>
            <w:tcW w:w="145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0.286</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P&gt;0.05</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ind w:right="37"/>
              <w:jc w:val="both"/>
              <w:rPr>
                <w:rFonts w:ascii="Times New Roman" w:hAnsi="Times New Roman" w:cs="Times New Roman"/>
              </w:rPr>
            </w:pPr>
            <w:r>
              <w:rPr>
                <w:rFonts w:ascii="Times New Roman" w:hAnsi="Times New Roman" w:cs="Times New Roman"/>
              </w:rPr>
              <w:t>Not significant</w:t>
            </w:r>
          </w:p>
        </w:tc>
      </w:tr>
      <w:tr w:rsidR="00B50C25">
        <w:trPr>
          <w:trHeight w:val="166"/>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Organic Carbon%</w:t>
            </w:r>
          </w:p>
        </w:tc>
        <w:tc>
          <w:tcPr>
            <w:tcW w:w="150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2.358</w:t>
            </w:r>
          </w:p>
        </w:tc>
        <w:tc>
          <w:tcPr>
            <w:tcW w:w="145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0.176</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P&gt;0.05</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ind w:right="37"/>
              <w:jc w:val="both"/>
              <w:rPr>
                <w:rFonts w:ascii="Times New Roman" w:hAnsi="Times New Roman" w:cs="Times New Roman"/>
              </w:rPr>
            </w:pPr>
            <w:r>
              <w:rPr>
                <w:rFonts w:ascii="Times New Roman" w:hAnsi="Times New Roman" w:cs="Times New Roman"/>
              </w:rPr>
              <w:t>Not significant</w:t>
            </w:r>
          </w:p>
        </w:tc>
      </w:tr>
      <w:tr w:rsidR="00B50C25">
        <w:trPr>
          <w:trHeight w:val="166"/>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Organic Matter%</w:t>
            </w:r>
          </w:p>
        </w:tc>
        <w:tc>
          <w:tcPr>
            <w:tcW w:w="150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2.37</w:t>
            </w:r>
          </w:p>
        </w:tc>
        <w:tc>
          <w:tcPr>
            <w:tcW w:w="145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0.175</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P&gt;0.05</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ind w:right="37"/>
              <w:jc w:val="both"/>
              <w:rPr>
                <w:rFonts w:ascii="Times New Roman" w:hAnsi="Times New Roman" w:cs="Times New Roman"/>
              </w:rPr>
            </w:pPr>
            <w:r>
              <w:rPr>
                <w:rFonts w:ascii="Times New Roman" w:hAnsi="Times New Roman" w:cs="Times New Roman"/>
              </w:rPr>
              <w:t>Not significant</w:t>
            </w:r>
          </w:p>
        </w:tc>
      </w:tr>
      <w:tr w:rsidR="00B50C25">
        <w:trPr>
          <w:trHeight w:val="166"/>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Nitrogen %</w:t>
            </w:r>
          </w:p>
        </w:tc>
        <w:tc>
          <w:tcPr>
            <w:tcW w:w="150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1.405</w:t>
            </w:r>
          </w:p>
        </w:tc>
        <w:tc>
          <w:tcPr>
            <w:tcW w:w="145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0.281</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P&gt;0.05</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ind w:right="37"/>
              <w:jc w:val="both"/>
              <w:rPr>
                <w:rFonts w:ascii="Times New Roman" w:hAnsi="Times New Roman" w:cs="Times New Roman"/>
              </w:rPr>
            </w:pPr>
            <w:r>
              <w:rPr>
                <w:rFonts w:ascii="Times New Roman" w:hAnsi="Times New Roman" w:cs="Times New Roman"/>
              </w:rPr>
              <w:t>Not significant</w:t>
            </w:r>
          </w:p>
        </w:tc>
      </w:tr>
      <w:tr w:rsidR="00B50C25">
        <w:trPr>
          <w:trHeight w:val="166"/>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Phosphorus_ppm</w:t>
            </w:r>
          </w:p>
        </w:tc>
        <w:tc>
          <w:tcPr>
            <w:tcW w:w="150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12.568</w:t>
            </w:r>
          </w:p>
        </w:tc>
        <w:tc>
          <w:tcPr>
            <w:tcW w:w="145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0.021</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P&lt;0.05</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ind w:right="37"/>
              <w:jc w:val="both"/>
              <w:rPr>
                <w:rFonts w:ascii="Times New Roman" w:hAnsi="Times New Roman" w:cs="Times New Roman"/>
              </w:rPr>
            </w:pPr>
            <w:r>
              <w:rPr>
                <w:rFonts w:ascii="Times New Roman" w:hAnsi="Times New Roman" w:cs="Times New Roman"/>
              </w:rPr>
              <w:t>Significant</w:t>
            </w:r>
          </w:p>
        </w:tc>
      </w:tr>
      <w:tr w:rsidR="00B50C25">
        <w:trPr>
          <w:trHeight w:val="345"/>
        </w:trPr>
        <w:tc>
          <w:tcPr>
            <w:tcW w:w="2767"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Calcium_me/100g</w:t>
            </w:r>
          </w:p>
        </w:tc>
        <w:tc>
          <w:tcPr>
            <w:tcW w:w="150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0.767</w:t>
            </w:r>
          </w:p>
        </w:tc>
        <w:tc>
          <w:tcPr>
            <w:tcW w:w="1456"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0.415</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ind w:right="37"/>
              <w:jc w:val="both"/>
              <w:rPr>
                <w:rFonts w:ascii="Times New Roman" w:hAnsi="Times New Roman" w:cs="Times New Roman"/>
              </w:rPr>
            </w:pPr>
            <w:r>
              <w:rPr>
                <w:rFonts w:ascii="Times New Roman" w:hAnsi="Times New Roman" w:cs="Times New Roman"/>
              </w:rPr>
              <w:t>P&gt;0.05</w:t>
            </w:r>
          </w:p>
        </w:tc>
        <w:tc>
          <w:tcPr>
            <w:tcW w:w="1748" w:type="dxa"/>
            <w:tcBorders>
              <w:top w:val="nil"/>
              <w:left w:val="nil"/>
              <w:bottom w:val="single" w:sz="4" w:space="0" w:color="auto"/>
              <w:right w:val="single" w:sz="4" w:space="0" w:color="auto"/>
            </w:tcBorders>
            <w:shd w:val="clear" w:color="auto" w:fill="auto"/>
            <w:noWrap/>
            <w:vAlign w:val="bottom"/>
            <w:hideMark/>
          </w:tcPr>
          <w:p w:rsidR="00B50C25" w:rsidRDefault="00D01A17">
            <w:pPr>
              <w:ind w:right="37"/>
              <w:jc w:val="both"/>
              <w:rPr>
                <w:rFonts w:ascii="Times New Roman" w:hAnsi="Times New Roman" w:cs="Times New Roman"/>
              </w:rPr>
            </w:pPr>
            <w:r>
              <w:rPr>
                <w:rFonts w:ascii="Times New Roman" w:hAnsi="Times New Roman" w:cs="Times New Roman"/>
              </w:rPr>
              <w:t>Not significant</w:t>
            </w:r>
          </w:p>
        </w:tc>
      </w:tr>
    </w:tbl>
    <w:p w:rsidR="00B50C25" w:rsidRDefault="00B50C25">
      <w:pPr>
        <w:pStyle w:val="ListParagraph"/>
        <w:spacing w:after="0" w:line="240" w:lineRule="auto"/>
        <w:ind w:left="0" w:right="37"/>
        <w:jc w:val="both"/>
        <w:rPr>
          <w:rFonts w:ascii="Times New Roman" w:hAnsi="Times New Roman" w:cs="Times New Roman"/>
          <w:sz w:val="24"/>
          <w:szCs w:val="24"/>
        </w:rPr>
      </w:pPr>
    </w:p>
    <w:p w:rsidR="00B50C25" w:rsidRDefault="00D01A17">
      <w:pPr>
        <w:pStyle w:val="ListParagraph"/>
        <w:numPr>
          <w:ilvl w:val="1"/>
          <w:numId w:val="7"/>
        </w:numPr>
        <w:spacing w:after="0" w:line="240" w:lineRule="auto"/>
        <w:ind w:left="0" w:right="37"/>
        <w:jc w:val="both"/>
        <w:rPr>
          <w:rFonts w:ascii="Times New Roman" w:hAnsi="Times New Roman" w:cs="Times New Roman"/>
          <w:sz w:val="24"/>
          <w:szCs w:val="24"/>
        </w:rPr>
      </w:pPr>
      <w:r>
        <w:rPr>
          <w:rFonts w:ascii="Times New Roman" w:hAnsi="Times New Roman" w:cs="Times New Roman"/>
          <w:b/>
          <w:sz w:val="24"/>
          <w:szCs w:val="24"/>
        </w:rPr>
        <w:t>IMPACT ON THE ABUNDANCE SOIL MACRO FAUNA (EARTHWORMS)</w:t>
      </w:r>
    </w:p>
    <w:p w:rsidR="00B50C25" w:rsidRDefault="00D01A17">
      <w:pPr>
        <w:pStyle w:val="ListParagraph"/>
        <w:spacing w:after="0" w:line="240" w:lineRule="auto"/>
        <w:ind w:left="0" w:right="37"/>
        <w:jc w:val="both"/>
        <w:rPr>
          <w:rFonts w:ascii="Times New Roman" w:hAnsi="Times New Roman" w:cs="Times New Roman"/>
          <w:sz w:val="24"/>
          <w:szCs w:val="24"/>
        </w:rPr>
      </w:pPr>
      <w:r>
        <w:rPr>
          <w:rFonts w:ascii="Times New Roman" w:hAnsi="Times New Roman" w:cs="Times New Roman"/>
        </w:rPr>
        <w:t xml:space="preserve">Earthworm data are generally reported on a per-square-meter. The Great Lakes Worm Watch’s Single and Multiple Plot Studies were applied </w:t>
      </w:r>
      <w:r>
        <w:rPr>
          <w:rFonts w:ascii="Times New Roman" w:hAnsi="Times New Roman" w:cs="Times New Roman"/>
        </w:rPr>
        <w:t>to determine the average densities of earthworms in each plot. It is an effective method of judging the extent of earthworm invasion in your plot. Although we observed evidence of earthworm presence in both the protected and the unprotected forests, we fou</w:t>
      </w:r>
      <w:r>
        <w:rPr>
          <w:rFonts w:ascii="Times New Roman" w:hAnsi="Times New Roman" w:cs="Times New Roman"/>
        </w:rPr>
        <w:t xml:space="preserve">nd no earthworms in some of the plots (Table 7). The mean average of earthworms in the protected forest was significantly higher than in the adjacent unprotected forest (Table 8).The study also revealed that there were no significant (P &gt; 0.05) difference </w:t>
      </w:r>
      <w:r>
        <w:rPr>
          <w:rFonts w:ascii="Times New Roman" w:hAnsi="Times New Roman" w:cs="Times New Roman"/>
        </w:rPr>
        <w:t>in the density of earthworms per square meters in both the protected and unprotected forests(Table 9). The significantly lower densities of earthworms in the forest zone could be attributed to the climatic condition; at the time of sampling; soil at the un</w:t>
      </w:r>
      <w:r>
        <w:rPr>
          <w:rFonts w:ascii="Times New Roman" w:hAnsi="Times New Roman" w:cs="Times New Roman"/>
        </w:rPr>
        <w:t>protected site appeared to be dryer than at the protected sites and it was possible that earthworms were congregated at shallow depths. The absence of earthworms in some of the plots could be an artifact of our random sampling and the depth of our soil pit</w:t>
      </w:r>
      <w:r>
        <w:rPr>
          <w:rFonts w:ascii="Times New Roman" w:hAnsi="Times New Roman" w:cs="Times New Roman"/>
        </w:rPr>
        <w:t>s (20cm).</w:t>
      </w:r>
    </w:p>
    <w:p w:rsidR="00B50C25" w:rsidRDefault="00B50C25">
      <w:pPr>
        <w:spacing w:after="0" w:line="240" w:lineRule="auto"/>
        <w:ind w:right="37"/>
        <w:rPr>
          <w:rFonts w:ascii="Times New Roman" w:hAnsi="Times New Roman" w:cs="Times New Roman"/>
          <w:b/>
        </w:rPr>
      </w:pPr>
    </w:p>
    <w:p w:rsidR="00B50C25" w:rsidRDefault="00B50C25">
      <w:pPr>
        <w:spacing w:after="0" w:line="240" w:lineRule="auto"/>
        <w:ind w:right="37"/>
        <w:rPr>
          <w:rFonts w:ascii="Times New Roman" w:hAnsi="Times New Roman" w:cs="Times New Roman"/>
          <w:b/>
        </w:rPr>
      </w:pPr>
    </w:p>
    <w:p w:rsidR="00B50C25" w:rsidRDefault="00B50C25">
      <w:pPr>
        <w:spacing w:after="0" w:line="240" w:lineRule="auto"/>
        <w:ind w:right="37"/>
        <w:rPr>
          <w:rFonts w:ascii="Times New Roman" w:hAnsi="Times New Roman" w:cs="Times New Roman"/>
          <w:b/>
        </w:rPr>
      </w:pPr>
    </w:p>
    <w:p w:rsidR="00B50C25" w:rsidRDefault="00B50C25">
      <w:pPr>
        <w:spacing w:after="0" w:line="240" w:lineRule="auto"/>
        <w:ind w:right="37"/>
        <w:rPr>
          <w:rFonts w:ascii="Times New Roman" w:hAnsi="Times New Roman" w:cs="Times New Roman"/>
          <w:b/>
        </w:rPr>
      </w:pPr>
    </w:p>
    <w:p w:rsidR="00B50C25" w:rsidRDefault="00B50C25">
      <w:pPr>
        <w:spacing w:after="0" w:line="240" w:lineRule="auto"/>
        <w:ind w:right="37"/>
        <w:rPr>
          <w:rFonts w:ascii="Times New Roman" w:hAnsi="Times New Roman" w:cs="Times New Roman"/>
          <w:b/>
        </w:rPr>
      </w:pPr>
    </w:p>
    <w:p w:rsidR="00B50C25" w:rsidRDefault="00D01A17">
      <w:pPr>
        <w:spacing w:line="240" w:lineRule="auto"/>
        <w:ind w:right="37"/>
        <w:rPr>
          <w:rFonts w:ascii="Times New Roman" w:hAnsi="Times New Roman" w:cs="Times New Roman"/>
          <w:b/>
        </w:rPr>
      </w:pPr>
      <w:r>
        <w:rPr>
          <w:rFonts w:ascii="Times New Roman" w:hAnsi="Times New Roman" w:cs="Times New Roman"/>
          <w:b/>
        </w:rPr>
        <w:t>Table 7 The average density of Earthworms per square meter (EW/m</w:t>
      </w:r>
      <w:r>
        <w:rPr>
          <w:rFonts w:ascii="Times New Roman" w:hAnsi="Times New Roman" w:cs="Times New Roman"/>
          <w:b/>
          <w:vertAlign w:val="superscript"/>
        </w:rPr>
        <w:t>2</w:t>
      </w:r>
      <w:r>
        <w:rPr>
          <w:rFonts w:ascii="Times New Roman" w:hAnsi="Times New Roman" w:cs="Times New Roman"/>
          <w:b/>
        </w:rPr>
        <w:t xml:space="preserve">) in both study plots </w:t>
      </w:r>
      <w:r>
        <w:rPr>
          <w:rFonts w:ascii="Times New Roman" w:hAnsi="Times New Roman" w:cs="Times New Roman"/>
          <w:b/>
          <w:bCs/>
        </w:rPr>
        <w:t>using the Great Lakes Worm Watch’s Single and Multiple Plot Studies</w:t>
      </w:r>
    </w:p>
    <w:tbl>
      <w:tblPr>
        <w:tblW w:w="5240" w:type="dxa"/>
        <w:jc w:val="center"/>
        <w:tblLook w:val="04A0" w:firstRow="1" w:lastRow="0" w:firstColumn="1" w:lastColumn="0" w:noHBand="0" w:noVBand="1"/>
      </w:tblPr>
      <w:tblGrid>
        <w:gridCol w:w="1524"/>
        <w:gridCol w:w="1801"/>
        <w:gridCol w:w="1028"/>
        <w:gridCol w:w="1524"/>
        <w:gridCol w:w="1801"/>
      </w:tblGrid>
      <w:tr w:rsidR="00B50C25">
        <w:trPr>
          <w:trHeight w:val="300"/>
          <w:jc w:val="center"/>
        </w:trPr>
        <w:tc>
          <w:tcPr>
            <w:tcW w:w="2180" w:type="dxa"/>
            <w:gridSpan w:val="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PROTECTED FOREST</w:t>
            </w:r>
          </w:p>
        </w:tc>
        <w:tc>
          <w:tcPr>
            <w:tcW w:w="960"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2100" w:type="dxa"/>
            <w:gridSpan w:val="2"/>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UNPROTECTED FOREST</w:t>
            </w:r>
          </w:p>
        </w:tc>
      </w:tr>
      <w:tr w:rsidR="00B50C25">
        <w:trPr>
          <w:trHeight w:val="315"/>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Study plots</w:t>
            </w:r>
          </w:p>
        </w:tc>
        <w:tc>
          <w:tcPr>
            <w:tcW w:w="1044"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(EW/m</w:t>
            </w:r>
            <w:r>
              <w:rPr>
                <w:rFonts w:ascii="Times New Roman" w:hAnsi="Times New Roman" w:cs="Times New Roman"/>
                <w:b/>
                <w:bCs/>
                <w:vertAlign w:val="superscript"/>
              </w:rPr>
              <w:t>2</w:t>
            </w:r>
            <w:r>
              <w:rPr>
                <w:rFonts w:ascii="Times New Roman" w:hAnsi="Times New Roman" w:cs="Times New Roman"/>
                <w:b/>
                <w:bCs/>
              </w:rPr>
              <w:t>)</w:t>
            </w:r>
          </w:p>
        </w:tc>
        <w:tc>
          <w:tcPr>
            <w:tcW w:w="9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095"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Study plots</w:t>
            </w:r>
          </w:p>
        </w:tc>
        <w:tc>
          <w:tcPr>
            <w:tcW w:w="1005"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(EW/m</w:t>
            </w:r>
            <w:r>
              <w:rPr>
                <w:rFonts w:ascii="Times New Roman" w:hAnsi="Times New Roman" w:cs="Times New Roman"/>
                <w:b/>
                <w:bCs/>
                <w:vertAlign w:val="superscript"/>
              </w:rPr>
              <w:t>2</w:t>
            </w:r>
            <w:r>
              <w:rPr>
                <w:rFonts w:ascii="Times New Roman" w:hAnsi="Times New Roman" w:cs="Times New Roman"/>
                <w:b/>
                <w:bCs/>
              </w:rPr>
              <w:t>)</w:t>
            </w:r>
          </w:p>
        </w:tc>
      </w:tr>
      <w:tr w:rsidR="00B50C25">
        <w:trPr>
          <w:trHeight w:val="315"/>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P1</w:t>
            </w:r>
          </w:p>
        </w:tc>
        <w:tc>
          <w:tcPr>
            <w:tcW w:w="1044"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20833.1</w:t>
            </w:r>
          </w:p>
        </w:tc>
        <w:tc>
          <w:tcPr>
            <w:tcW w:w="9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095"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UP1</w:t>
            </w:r>
          </w:p>
        </w:tc>
        <w:tc>
          <w:tcPr>
            <w:tcW w:w="1005"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0</w:t>
            </w:r>
          </w:p>
        </w:tc>
      </w:tr>
      <w:tr w:rsidR="00B50C25">
        <w:trPr>
          <w:trHeight w:val="315"/>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P2</w:t>
            </w:r>
          </w:p>
        </w:tc>
        <w:tc>
          <w:tcPr>
            <w:tcW w:w="1044"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20833.1</w:t>
            </w:r>
          </w:p>
        </w:tc>
        <w:tc>
          <w:tcPr>
            <w:tcW w:w="9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095"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UP2</w:t>
            </w:r>
          </w:p>
        </w:tc>
        <w:tc>
          <w:tcPr>
            <w:tcW w:w="1005"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20833.1</w:t>
            </w:r>
          </w:p>
        </w:tc>
      </w:tr>
      <w:tr w:rsidR="00B50C25">
        <w:trPr>
          <w:trHeight w:val="315"/>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P3</w:t>
            </w:r>
          </w:p>
        </w:tc>
        <w:tc>
          <w:tcPr>
            <w:tcW w:w="1044"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62500</w:t>
            </w:r>
          </w:p>
        </w:tc>
        <w:tc>
          <w:tcPr>
            <w:tcW w:w="9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095"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UP3</w:t>
            </w:r>
          </w:p>
        </w:tc>
        <w:tc>
          <w:tcPr>
            <w:tcW w:w="1005"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20833.1</w:t>
            </w:r>
          </w:p>
        </w:tc>
      </w:tr>
      <w:tr w:rsidR="00B50C25">
        <w:trPr>
          <w:trHeight w:val="315"/>
          <w:jc w:val="center"/>
        </w:trPr>
        <w:tc>
          <w:tcPr>
            <w:tcW w:w="1136"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P4</w:t>
            </w:r>
          </w:p>
        </w:tc>
        <w:tc>
          <w:tcPr>
            <w:tcW w:w="1044"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62500</w:t>
            </w:r>
          </w:p>
        </w:tc>
        <w:tc>
          <w:tcPr>
            <w:tcW w:w="9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 </w:t>
            </w:r>
          </w:p>
        </w:tc>
        <w:tc>
          <w:tcPr>
            <w:tcW w:w="1095"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bCs/>
              </w:rPr>
            </w:pPr>
            <w:r>
              <w:rPr>
                <w:rFonts w:ascii="Times New Roman" w:hAnsi="Times New Roman" w:cs="Times New Roman"/>
                <w:b/>
                <w:bCs/>
              </w:rPr>
              <w:t>UP4</w:t>
            </w:r>
          </w:p>
        </w:tc>
        <w:tc>
          <w:tcPr>
            <w:tcW w:w="1005"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20833.1</w:t>
            </w:r>
          </w:p>
        </w:tc>
      </w:tr>
    </w:tbl>
    <w:p w:rsidR="00B50C25" w:rsidRDefault="00B50C25">
      <w:pPr>
        <w:spacing w:line="240" w:lineRule="auto"/>
        <w:ind w:right="37"/>
        <w:rPr>
          <w:rFonts w:ascii="Times New Roman" w:hAnsi="Times New Roman" w:cs="Times New Roman"/>
          <w:b/>
        </w:rPr>
      </w:pPr>
    </w:p>
    <w:p w:rsidR="00B50C25" w:rsidRDefault="00D01A17">
      <w:pPr>
        <w:pStyle w:val="ListParagraph"/>
        <w:spacing w:line="240" w:lineRule="auto"/>
        <w:ind w:right="37"/>
        <w:jc w:val="center"/>
        <w:rPr>
          <w:rFonts w:ascii="Times New Roman" w:hAnsi="Times New Roman" w:cs="Times New Roman"/>
          <w:b/>
        </w:rPr>
      </w:pPr>
      <w:r>
        <w:rPr>
          <w:rFonts w:ascii="Times New Roman" w:hAnsi="Times New Roman" w:cs="Times New Roman"/>
          <w:b/>
        </w:rPr>
        <w:lastRenderedPageBreak/>
        <w:t>Table 8: Mean Average of earthworm from both sites</w:t>
      </w:r>
    </w:p>
    <w:tbl>
      <w:tblPr>
        <w:tblpPr w:leftFromText="180" w:rightFromText="180" w:vertAnchor="text" w:tblpXSpec="center" w:tblpY="1"/>
        <w:tblOverlap w:val="never"/>
        <w:tblW w:w="5240" w:type="dxa"/>
        <w:tblLook w:val="04A0" w:firstRow="1" w:lastRow="0" w:firstColumn="1" w:lastColumn="0" w:noHBand="0" w:noVBand="1"/>
      </w:tblPr>
      <w:tblGrid>
        <w:gridCol w:w="1721"/>
        <w:gridCol w:w="1028"/>
        <w:gridCol w:w="1028"/>
        <w:gridCol w:w="2100"/>
      </w:tblGrid>
      <w:tr w:rsidR="00B50C25">
        <w:trPr>
          <w:trHeight w:val="330"/>
        </w:trPr>
        <w:tc>
          <w:tcPr>
            <w:tcW w:w="2180" w:type="dxa"/>
            <w:gridSpan w:val="2"/>
            <w:tcBorders>
              <w:top w:val="single" w:sz="8" w:space="0" w:color="auto"/>
              <w:left w:val="nil"/>
              <w:bottom w:val="single" w:sz="8" w:space="0" w:color="auto"/>
              <w:right w:val="nil"/>
            </w:tcBorders>
            <w:shd w:val="clear" w:color="auto" w:fill="auto"/>
            <w:noWrap/>
            <w:vAlign w:val="center"/>
            <w:hideMark/>
          </w:tcPr>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Study plots</w:t>
            </w:r>
          </w:p>
        </w:tc>
        <w:tc>
          <w:tcPr>
            <w:tcW w:w="960" w:type="dxa"/>
            <w:tcBorders>
              <w:top w:val="single" w:sz="8" w:space="0" w:color="auto"/>
              <w:left w:val="nil"/>
              <w:bottom w:val="single" w:sz="8" w:space="0" w:color="auto"/>
              <w:right w:val="nil"/>
            </w:tcBorders>
            <w:shd w:val="clear" w:color="auto" w:fill="auto"/>
            <w:noWrap/>
            <w:vAlign w:val="center"/>
            <w:hideMark/>
          </w:tcPr>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 xml:space="preserve">                                      </w:t>
            </w:r>
          </w:p>
        </w:tc>
        <w:tc>
          <w:tcPr>
            <w:tcW w:w="2100" w:type="dxa"/>
            <w:tcBorders>
              <w:top w:val="single" w:sz="8" w:space="0" w:color="auto"/>
              <w:left w:val="nil"/>
              <w:bottom w:val="single" w:sz="8" w:space="0" w:color="auto"/>
              <w:right w:val="nil"/>
            </w:tcBorders>
            <w:shd w:val="clear" w:color="auto" w:fill="auto"/>
            <w:noWrap/>
            <w:vAlign w:val="center"/>
            <w:hideMark/>
          </w:tcPr>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Mean Average</w:t>
            </w:r>
          </w:p>
        </w:tc>
      </w:tr>
      <w:tr w:rsidR="00B50C25">
        <w:trPr>
          <w:trHeight w:val="315"/>
        </w:trPr>
        <w:tc>
          <w:tcPr>
            <w:tcW w:w="1721" w:type="dxa"/>
            <w:tcBorders>
              <w:top w:val="nil"/>
              <w:left w:val="nil"/>
              <w:bottom w:val="nil"/>
              <w:right w:val="nil"/>
            </w:tcBorders>
            <w:shd w:val="clear" w:color="auto" w:fill="auto"/>
            <w:noWrap/>
            <w:vAlign w:val="center"/>
            <w:hideMark/>
          </w:tcPr>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PF</w:t>
            </w:r>
          </w:p>
        </w:tc>
        <w:tc>
          <w:tcPr>
            <w:tcW w:w="459"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rPr>
                <w:rFonts w:ascii="Times New Roman" w:hAnsi="Times New Roman" w:cs="Times New Roman"/>
                <w:b/>
              </w:rPr>
            </w:pPr>
          </w:p>
        </w:tc>
        <w:tc>
          <w:tcPr>
            <w:tcW w:w="960"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jc w:val="both"/>
              <w:rPr>
                <w:rFonts w:ascii="Times New Roman" w:hAnsi="Times New Roman" w:cs="Times New Roman"/>
                <w:b/>
              </w:rPr>
            </w:pPr>
          </w:p>
        </w:tc>
        <w:tc>
          <w:tcPr>
            <w:tcW w:w="1666" w:type="dxa"/>
            <w:tcBorders>
              <w:top w:val="nil"/>
              <w:left w:val="nil"/>
              <w:bottom w:val="nil"/>
              <w:right w:val="nil"/>
            </w:tcBorders>
            <w:shd w:val="clear" w:color="auto" w:fill="auto"/>
            <w:noWrap/>
            <w:vAlign w:val="center"/>
            <w:hideMark/>
          </w:tcPr>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41666.65</w:t>
            </w:r>
          </w:p>
        </w:tc>
      </w:tr>
      <w:tr w:rsidR="00B50C25">
        <w:trPr>
          <w:trHeight w:val="330"/>
        </w:trPr>
        <w:tc>
          <w:tcPr>
            <w:tcW w:w="1721" w:type="dxa"/>
            <w:tcBorders>
              <w:top w:val="nil"/>
              <w:left w:val="nil"/>
              <w:bottom w:val="single" w:sz="8" w:space="0" w:color="auto"/>
              <w:right w:val="nil"/>
            </w:tcBorders>
            <w:shd w:val="clear" w:color="auto" w:fill="auto"/>
            <w:noWrap/>
            <w:vAlign w:val="center"/>
            <w:hideMark/>
          </w:tcPr>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UF</w:t>
            </w:r>
          </w:p>
        </w:tc>
        <w:tc>
          <w:tcPr>
            <w:tcW w:w="459" w:type="dxa"/>
            <w:tcBorders>
              <w:top w:val="nil"/>
              <w:left w:val="nil"/>
              <w:bottom w:val="single" w:sz="8" w:space="0" w:color="auto"/>
              <w:right w:val="nil"/>
            </w:tcBorders>
            <w:shd w:val="clear" w:color="auto" w:fill="auto"/>
            <w:noWrap/>
            <w:vAlign w:val="center"/>
            <w:hideMark/>
          </w:tcPr>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 </w:t>
            </w:r>
          </w:p>
        </w:tc>
        <w:tc>
          <w:tcPr>
            <w:tcW w:w="960" w:type="dxa"/>
            <w:tcBorders>
              <w:top w:val="nil"/>
              <w:left w:val="nil"/>
              <w:bottom w:val="single" w:sz="8" w:space="0" w:color="auto"/>
              <w:right w:val="nil"/>
            </w:tcBorders>
            <w:shd w:val="clear" w:color="auto" w:fill="auto"/>
            <w:noWrap/>
            <w:vAlign w:val="center"/>
            <w:hideMark/>
          </w:tcPr>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 </w:t>
            </w:r>
          </w:p>
        </w:tc>
        <w:tc>
          <w:tcPr>
            <w:tcW w:w="1666" w:type="dxa"/>
            <w:tcBorders>
              <w:top w:val="nil"/>
              <w:left w:val="nil"/>
              <w:bottom w:val="single" w:sz="8" w:space="0" w:color="auto"/>
              <w:right w:val="nil"/>
            </w:tcBorders>
            <w:shd w:val="clear" w:color="auto" w:fill="auto"/>
            <w:noWrap/>
            <w:vAlign w:val="center"/>
            <w:hideMark/>
          </w:tcPr>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t>15624.98</w:t>
            </w:r>
          </w:p>
        </w:tc>
      </w:tr>
    </w:tbl>
    <w:p w:rsidR="00B50C25" w:rsidRDefault="00D01A17">
      <w:pPr>
        <w:pStyle w:val="ListParagraph"/>
        <w:spacing w:line="240" w:lineRule="auto"/>
        <w:ind w:right="37"/>
        <w:rPr>
          <w:rFonts w:ascii="Times New Roman" w:hAnsi="Times New Roman" w:cs="Times New Roman"/>
          <w:b/>
        </w:rPr>
      </w:pPr>
      <w:r>
        <w:rPr>
          <w:rFonts w:ascii="Times New Roman" w:hAnsi="Times New Roman" w:cs="Times New Roman"/>
          <w:b/>
        </w:rPr>
        <w:br/>
      </w:r>
    </w:p>
    <w:tbl>
      <w:tblPr>
        <w:tblW w:w="19638" w:type="dxa"/>
        <w:tblInd w:w="-702" w:type="dxa"/>
        <w:tblLook w:val="04A0" w:firstRow="1" w:lastRow="0" w:firstColumn="1" w:lastColumn="0" w:noHBand="0" w:noVBand="1"/>
      </w:tblPr>
      <w:tblGrid>
        <w:gridCol w:w="1710"/>
        <w:gridCol w:w="1439"/>
        <w:gridCol w:w="1511"/>
        <w:gridCol w:w="1566"/>
        <w:gridCol w:w="1260"/>
        <w:gridCol w:w="1440"/>
        <w:gridCol w:w="501"/>
        <w:gridCol w:w="1745"/>
        <w:gridCol w:w="1745"/>
        <w:gridCol w:w="960"/>
        <w:gridCol w:w="960"/>
        <w:gridCol w:w="2033"/>
        <w:gridCol w:w="424"/>
        <w:gridCol w:w="424"/>
        <w:gridCol w:w="960"/>
        <w:gridCol w:w="960"/>
      </w:tblGrid>
      <w:tr w:rsidR="00B50C25">
        <w:trPr>
          <w:trHeight w:val="300"/>
        </w:trPr>
        <w:tc>
          <w:tcPr>
            <w:tcW w:w="9427" w:type="dxa"/>
            <w:gridSpan w:val="7"/>
            <w:tcBorders>
              <w:top w:val="nil"/>
              <w:left w:val="nil"/>
              <w:bottom w:val="nil"/>
              <w:right w:val="nil"/>
            </w:tcBorders>
            <w:shd w:val="clear" w:color="auto" w:fill="auto"/>
            <w:noWrap/>
            <w:vAlign w:val="bottom"/>
            <w:hideMark/>
          </w:tcPr>
          <w:p w:rsidR="00B50C25" w:rsidRDefault="00D01A17">
            <w:pPr>
              <w:pStyle w:val="ListParagraph"/>
              <w:spacing w:after="0" w:line="240" w:lineRule="auto"/>
              <w:ind w:right="37"/>
              <w:jc w:val="both"/>
              <w:rPr>
                <w:rFonts w:ascii="Times New Roman" w:hAnsi="Times New Roman" w:cs="Times New Roman"/>
                <w:b/>
              </w:rPr>
            </w:pPr>
            <w:r>
              <w:rPr>
                <w:rFonts w:ascii="Times New Roman" w:hAnsi="Times New Roman" w:cs="Times New Roman"/>
                <w:b/>
              </w:rPr>
              <w:t xml:space="preserve">    </w:t>
            </w:r>
          </w:p>
          <w:p w:rsidR="00B50C25" w:rsidRDefault="00D01A17">
            <w:pPr>
              <w:pStyle w:val="ListParagraph"/>
              <w:spacing w:after="0" w:line="240" w:lineRule="auto"/>
              <w:ind w:right="37"/>
              <w:jc w:val="center"/>
              <w:rPr>
                <w:rFonts w:ascii="Times New Roman" w:hAnsi="Times New Roman" w:cs="Times New Roman"/>
                <w:b/>
              </w:rPr>
            </w:pPr>
            <w:r>
              <w:rPr>
                <w:rFonts w:ascii="Times New Roman" w:hAnsi="Times New Roman" w:cs="Times New Roman"/>
                <w:b/>
              </w:rPr>
              <w:t xml:space="preserve">Table 9: </w:t>
            </w:r>
            <w:r>
              <w:rPr>
                <w:rFonts w:ascii="Times New Roman" w:hAnsi="Times New Roman" w:cs="Times New Roman"/>
                <w:b/>
              </w:rPr>
              <w:t>Level of Significance of Earthworms at 0.05</w:t>
            </w:r>
          </w:p>
        </w:tc>
        <w:tc>
          <w:tcPr>
            <w:tcW w:w="1745"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rPr>
                <w:rFonts w:ascii="Times New Roman" w:hAnsi="Times New Roman" w:cs="Times New Roman"/>
                <w:b/>
              </w:rPr>
            </w:pPr>
          </w:p>
        </w:tc>
        <w:tc>
          <w:tcPr>
            <w:tcW w:w="1745"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rPr>
                <w:rFonts w:ascii="Times New Roman" w:hAnsi="Times New Roman" w:cs="Times New Roman"/>
                <w:b/>
              </w:rPr>
            </w:pPr>
          </w:p>
        </w:tc>
        <w:tc>
          <w:tcPr>
            <w:tcW w:w="960"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rPr>
                <w:rFonts w:ascii="Times New Roman" w:hAnsi="Times New Roman" w:cs="Times New Roman"/>
                <w:b/>
              </w:rPr>
            </w:pPr>
          </w:p>
        </w:tc>
        <w:tc>
          <w:tcPr>
            <w:tcW w:w="960"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rPr>
                <w:rFonts w:ascii="Times New Roman" w:hAnsi="Times New Roman" w:cs="Times New Roman"/>
                <w:b/>
              </w:rPr>
            </w:pPr>
          </w:p>
        </w:tc>
        <w:tc>
          <w:tcPr>
            <w:tcW w:w="2033"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rPr>
                <w:rFonts w:ascii="Times New Roman" w:hAnsi="Times New Roman" w:cs="Times New Roman"/>
                <w:b/>
              </w:rPr>
            </w:pPr>
          </w:p>
        </w:tc>
        <w:tc>
          <w:tcPr>
            <w:tcW w:w="424"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rPr>
                <w:rFonts w:ascii="Times New Roman" w:hAnsi="Times New Roman" w:cs="Times New Roman"/>
                <w:b/>
              </w:rPr>
            </w:pPr>
          </w:p>
        </w:tc>
        <w:tc>
          <w:tcPr>
            <w:tcW w:w="424"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rPr>
                <w:rFonts w:ascii="Times New Roman" w:hAnsi="Times New Roman" w:cs="Times New Roman"/>
                <w:b/>
              </w:rPr>
            </w:pPr>
          </w:p>
        </w:tc>
        <w:tc>
          <w:tcPr>
            <w:tcW w:w="960"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rPr>
                <w:rFonts w:ascii="Times New Roman" w:hAnsi="Times New Roman" w:cs="Times New Roman"/>
                <w:b/>
              </w:rPr>
            </w:pPr>
          </w:p>
        </w:tc>
        <w:tc>
          <w:tcPr>
            <w:tcW w:w="960" w:type="dxa"/>
            <w:tcBorders>
              <w:top w:val="nil"/>
              <w:left w:val="nil"/>
              <w:bottom w:val="nil"/>
              <w:right w:val="nil"/>
            </w:tcBorders>
            <w:shd w:val="clear" w:color="auto" w:fill="auto"/>
            <w:noWrap/>
            <w:vAlign w:val="bottom"/>
            <w:hideMark/>
          </w:tcPr>
          <w:p w:rsidR="00B50C25" w:rsidRDefault="00B50C25">
            <w:pPr>
              <w:pStyle w:val="ListParagraph"/>
              <w:spacing w:line="240" w:lineRule="auto"/>
              <w:ind w:right="37"/>
              <w:rPr>
                <w:rFonts w:ascii="Times New Roman" w:hAnsi="Times New Roman" w:cs="Times New Roman"/>
                <w:b/>
              </w:rPr>
            </w:pPr>
          </w:p>
        </w:tc>
      </w:tr>
      <w:tr w:rsidR="00B50C25">
        <w:trPr>
          <w:gridBefore w:val="1"/>
          <w:gridAfter w:val="10"/>
          <w:wBefore w:w="1710" w:type="dxa"/>
          <w:wAfter w:w="10935" w:type="dxa"/>
          <w:trHeight w:val="300"/>
        </w:trPr>
        <w:tc>
          <w:tcPr>
            <w:tcW w:w="1216"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
              </w:rPr>
            </w:pPr>
            <w:r>
              <w:rPr>
                <w:rFonts w:ascii="Times New Roman" w:hAnsi="Times New Roman" w:cs="Times New Roman"/>
                <w:b/>
              </w:rPr>
              <w:t>Earthworms</w:t>
            </w:r>
          </w:p>
        </w:tc>
        <w:tc>
          <w:tcPr>
            <w:tcW w:w="1511"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Mean</w:t>
            </w:r>
          </w:p>
        </w:tc>
        <w:tc>
          <w:tcPr>
            <w:tcW w:w="1566"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
              </w:rPr>
            </w:pPr>
            <w:r>
              <w:rPr>
                <w:rFonts w:ascii="Times New Roman" w:hAnsi="Times New Roman" w:cs="Times New Roman"/>
                <w:b/>
              </w:rPr>
              <w:t>std.deviation</w:t>
            </w:r>
          </w:p>
        </w:tc>
        <w:tc>
          <w:tcPr>
            <w:tcW w:w="1260"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
              </w:rPr>
            </w:pPr>
            <w:r>
              <w:rPr>
                <w:rFonts w:ascii="Times New Roman" w:hAnsi="Times New Roman" w:cs="Times New Roman"/>
                <w:b/>
              </w:rPr>
              <w:t>Df</w:t>
            </w:r>
          </w:p>
        </w:tc>
        <w:tc>
          <w:tcPr>
            <w:tcW w:w="1440" w:type="dxa"/>
            <w:tcBorders>
              <w:top w:val="single" w:sz="4" w:space="0" w:color="auto"/>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
              </w:rPr>
            </w:pPr>
            <w:r>
              <w:rPr>
                <w:rFonts w:ascii="Times New Roman" w:hAnsi="Times New Roman" w:cs="Times New Roman"/>
                <w:b/>
              </w:rPr>
              <w:t>Significance</w:t>
            </w:r>
          </w:p>
        </w:tc>
      </w:tr>
      <w:tr w:rsidR="00B50C25">
        <w:trPr>
          <w:gridBefore w:val="1"/>
          <w:gridAfter w:val="10"/>
          <w:wBefore w:w="1710" w:type="dxa"/>
          <w:wAfter w:w="10935" w:type="dxa"/>
          <w:trHeight w:val="300"/>
        </w:trPr>
        <w:tc>
          <w:tcPr>
            <w:tcW w:w="1216" w:type="dxa"/>
            <w:tcBorders>
              <w:top w:val="nil"/>
              <w:left w:val="single" w:sz="4" w:space="0" w:color="auto"/>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
              </w:rPr>
            </w:pPr>
            <w:r>
              <w:rPr>
                <w:rFonts w:ascii="Times New Roman" w:hAnsi="Times New Roman" w:cs="Times New Roman"/>
                <w:b/>
              </w:rPr>
              <w:t>PF/UF</w:t>
            </w:r>
          </w:p>
        </w:tc>
        <w:tc>
          <w:tcPr>
            <w:tcW w:w="1511"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1.25</w:t>
            </w:r>
          </w:p>
        </w:tc>
        <w:tc>
          <w:tcPr>
            <w:tcW w:w="1566"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
              </w:rPr>
            </w:pPr>
            <w:r>
              <w:rPr>
                <w:rFonts w:ascii="Times New Roman" w:hAnsi="Times New Roman" w:cs="Times New Roman"/>
                <w:b/>
              </w:rPr>
              <w:t>1.5</w:t>
            </w:r>
          </w:p>
        </w:tc>
        <w:tc>
          <w:tcPr>
            <w:tcW w:w="1260" w:type="dxa"/>
            <w:tcBorders>
              <w:top w:val="nil"/>
              <w:left w:val="nil"/>
              <w:bottom w:val="single" w:sz="4" w:space="0" w:color="auto"/>
              <w:right w:val="single" w:sz="4" w:space="0" w:color="auto"/>
            </w:tcBorders>
            <w:shd w:val="clear" w:color="auto" w:fill="auto"/>
            <w:noWrap/>
            <w:vAlign w:val="bottom"/>
            <w:hideMark/>
          </w:tcPr>
          <w:p w:rsidR="00B50C25" w:rsidRDefault="00D01A17">
            <w:pPr>
              <w:pStyle w:val="ListParagraph"/>
              <w:spacing w:line="240" w:lineRule="auto"/>
              <w:ind w:right="37"/>
              <w:jc w:val="both"/>
              <w:rPr>
                <w:rFonts w:ascii="Times New Roman" w:hAnsi="Times New Roman" w:cs="Times New Roman"/>
                <w:b/>
              </w:rPr>
            </w:pPr>
            <w:r>
              <w:rPr>
                <w:rFonts w:ascii="Times New Roman" w:hAnsi="Times New Roman" w:cs="Times New Roman"/>
                <w:b/>
              </w:rPr>
              <w:t>3</w:t>
            </w:r>
          </w:p>
        </w:tc>
        <w:tc>
          <w:tcPr>
            <w:tcW w:w="1440" w:type="dxa"/>
            <w:tcBorders>
              <w:top w:val="nil"/>
              <w:left w:val="nil"/>
              <w:bottom w:val="single" w:sz="4" w:space="0" w:color="auto"/>
              <w:right w:val="single" w:sz="4" w:space="0" w:color="auto"/>
            </w:tcBorders>
            <w:shd w:val="clear" w:color="auto" w:fill="auto"/>
            <w:noWrap/>
            <w:vAlign w:val="bottom"/>
            <w:hideMark/>
          </w:tcPr>
          <w:p w:rsidR="00B50C25" w:rsidRDefault="00D01A17">
            <w:pPr>
              <w:spacing w:line="240" w:lineRule="auto"/>
              <w:ind w:right="37"/>
              <w:jc w:val="both"/>
              <w:rPr>
                <w:rFonts w:ascii="Times New Roman" w:hAnsi="Times New Roman" w:cs="Times New Roman"/>
                <w:b/>
              </w:rPr>
            </w:pPr>
            <w:r>
              <w:rPr>
                <w:rFonts w:ascii="Times New Roman" w:hAnsi="Times New Roman" w:cs="Times New Roman"/>
                <w:b/>
              </w:rPr>
              <w:t>0.194</w:t>
            </w:r>
          </w:p>
        </w:tc>
      </w:tr>
    </w:tbl>
    <w:p w:rsidR="00B50C25" w:rsidRDefault="00B50C25">
      <w:pPr>
        <w:pStyle w:val="ListParagraph"/>
        <w:spacing w:after="0" w:line="240" w:lineRule="auto"/>
        <w:ind w:left="0" w:right="37"/>
        <w:jc w:val="both"/>
        <w:rPr>
          <w:rFonts w:ascii="Times New Roman" w:hAnsi="Times New Roman" w:cs="Times New Roman"/>
          <w:sz w:val="24"/>
          <w:szCs w:val="24"/>
        </w:rPr>
      </w:pPr>
    </w:p>
    <w:p w:rsidR="00B50C25" w:rsidRDefault="00D01A17">
      <w:pPr>
        <w:pStyle w:val="ListParagraph"/>
        <w:numPr>
          <w:ilvl w:val="0"/>
          <w:numId w:val="7"/>
        </w:numPr>
        <w:spacing w:after="0" w:line="240" w:lineRule="auto"/>
        <w:ind w:left="0" w:right="37"/>
        <w:jc w:val="both"/>
        <w:rPr>
          <w:rFonts w:ascii="Times New Roman" w:hAnsi="Times New Roman" w:cs="Times New Roman"/>
          <w:sz w:val="24"/>
          <w:szCs w:val="24"/>
        </w:rPr>
      </w:pPr>
      <w:r>
        <w:rPr>
          <w:rFonts w:ascii="Times New Roman" w:hAnsi="Times New Roman" w:cs="Times New Roman"/>
          <w:b/>
          <w:sz w:val="24"/>
          <w:szCs w:val="24"/>
        </w:rPr>
        <w:t>CONCLUSION</w:t>
      </w:r>
    </w:p>
    <w:p w:rsidR="00B50C25" w:rsidRDefault="00D01A17">
      <w:pPr>
        <w:spacing w:after="0"/>
        <w:rPr>
          <w:rFonts w:ascii="Times New Roman" w:hAnsi="Times New Roman" w:cs="Times New Roman"/>
        </w:rPr>
      </w:pPr>
      <w:r>
        <w:rPr>
          <w:rFonts w:ascii="Times New Roman" w:hAnsi="Times New Roman" w:cs="Times New Roman"/>
        </w:rPr>
        <w:t xml:space="preserve">The result from this study has shown that human activities coupled with bad forest management have impacted negatively </w:t>
      </w:r>
      <w:r>
        <w:rPr>
          <w:rFonts w:ascii="Times New Roman" w:hAnsi="Times New Roman" w:cs="Times New Roman"/>
        </w:rPr>
        <w:t>the abundance of soil microorganisms, and earthworm populations affecting the soil physiochemical properties. The earthworm populations were not significant (P &gt; 0.05) in the unprotected site It was revealed that there was a significant difference (P &lt; 0.0</w:t>
      </w:r>
      <w:r>
        <w:rPr>
          <w:rFonts w:ascii="Times New Roman" w:hAnsi="Times New Roman" w:cs="Times New Roman"/>
        </w:rPr>
        <w:t>5) in the soil microorganisms from both the protected and unprotected forest. The mean Average density values of earthworms were higher in the protected forest compared to the adjacent unprotected forest. These could negatively affect soil carbon mineraliz</w:t>
      </w:r>
      <w:r>
        <w:rPr>
          <w:rFonts w:ascii="Times New Roman" w:hAnsi="Times New Roman" w:cs="Times New Roman"/>
        </w:rPr>
        <w:t>ation; which depends on the abundance of soil microorganisms and earthworm populations.</w:t>
      </w:r>
    </w:p>
    <w:p w:rsidR="00B50C25" w:rsidRDefault="00B50C25">
      <w:pPr>
        <w:spacing w:after="0"/>
        <w:rPr>
          <w:rFonts w:ascii="Times New Roman" w:hAnsi="Times New Roman" w:cs="Times New Roman"/>
        </w:rPr>
      </w:pPr>
    </w:p>
    <w:p w:rsidR="00B50C25" w:rsidRDefault="00D01A17">
      <w:pPr>
        <w:pStyle w:val="ListParagraph"/>
        <w:numPr>
          <w:ilvl w:val="0"/>
          <w:numId w:val="7"/>
        </w:numPr>
        <w:spacing w:after="0"/>
        <w:ind w:left="0"/>
        <w:rPr>
          <w:rFonts w:ascii="Times New Roman" w:hAnsi="Times New Roman" w:cs="Times New Roman"/>
          <w:sz w:val="24"/>
          <w:szCs w:val="24"/>
        </w:rPr>
      </w:pPr>
      <w:r>
        <w:rPr>
          <w:rFonts w:ascii="Times New Roman" w:hAnsi="Times New Roman" w:cs="Times New Roman"/>
          <w:b/>
          <w:sz w:val="24"/>
          <w:szCs w:val="24"/>
        </w:rPr>
        <w:t xml:space="preserve"> RECOMMENDATION</w:t>
      </w:r>
    </w:p>
    <w:p w:rsidR="00B50C25" w:rsidRDefault="00D01A17">
      <w:pPr>
        <w:spacing w:after="0"/>
        <w:rPr>
          <w:rFonts w:ascii="Times New Roman" w:hAnsi="Times New Roman" w:cs="Times New Roman"/>
        </w:rPr>
      </w:pPr>
      <w:r>
        <w:rPr>
          <w:rFonts w:ascii="Times New Roman" w:hAnsi="Times New Roman" w:cs="Times New Roman"/>
        </w:rPr>
        <w:t>In the study to economically sustain the proper management of the savanna ecological forest, the following were recommended</w:t>
      </w:r>
    </w:p>
    <w:p w:rsidR="00B50C25" w:rsidRDefault="00D01A17">
      <w:pPr>
        <w:spacing w:after="0"/>
        <w:rPr>
          <w:rFonts w:ascii="Times New Roman" w:hAnsi="Times New Roman" w:cs="Times New Roman"/>
        </w:rPr>
      </w:pPr>
      <w:r>
        <w:rPr>
          <w:rFonts w:ascii="Times New Roman" w:hAnsi="Times New Roman" w:cs="Times New Roman"/>
        </w:rPr>
        <w:t xml:space="preserve">Encouragement of local </w:t>
      </w:r>
      <w:r>
        <w:rPr>
          <w:rFonts w:ascii="Times New Roman" w:hAnsi="Times New Roman" w:cs="Times New Roman"/>
        </w:rPr>
        <w:t>inhabitants to harness other forms of biomass energy (crop residue, organic refuse) which can be used for manure and also reduce pressure on fuel wood.</w:t>
      </w:r>
    </w:p>
    <w:p w:rsidR="00B50C25" w:rsidRDefault="00D01A17">
      <w:pPr>
        <w:spacing w:after="0"/>
        <w:rPr>
          <w:rFonts w:ascii="Times New Roman" w:hAnsi="Times New Roman" w:cs="Times New Roman"/>
        </w:rPr>
      </w:pPr>
      <w:r>
        <w:rPr>
          <w:rFonts w:ascii="Times New Roman" w:hAnsi="Times New Roman" w:cs="Times New Roman"/>
        </w:rPr>
        <w:t>Secondly, the Provision of adequate financial resources for agencies involved in the management and prot</w:t>
      </w:r>
      <w:r>
        <w:rPr>
          <w:rFonts w:ascii="Times New Roman" w:hAnsi="Times New Roman" w:cs="Times New Roman"/>
        </w:rPr>
        <w:t>ection of the savanna ecological forests to enhance their efficiency and performance and Intensive education should be carried out in the community to sensitize them on the need to conserve their forest resources.</w:t>
      </w:r>
    </w:p>
    <w:p w:rsidR="00B50C25" w:rsidRDefault="00B50C25">
      <w:pPr>
        <w:spacing w:after="0"/>
        <w:rPr>
          <w:rFonts w:ascii="Times New Roman" w:hAnsi="Times New Roman" w:cs="Times New Roman"/>
        </w:rPr>
      </w:pPr>
    </w:p>
    <w:p w:rsidR="00B50C25" w:rsidRDefault="00D01A17">
      <w:pPr>
        <w:rPr>
          <w:rFonts w:cs="Times New Roman"/>
          <w:kern w:val="2"/>
          <w:highlight w:val="yellow"/>
        </w:rPr>
      </w:pPr>
      <w:bookmarkStart w:id="0" w:name="_Hlk197682619"/>
      <w:bookmarkStart w:id="1" w:name="_Hlk180402183"/>
      <w:bookmarkStart w:id="2" w:name="_Hlk183680988"/>
      <w:r>
        <w:rPr>
          <w:rFonts w:cs="Times New Roman"/>
          <w:kern w:val="2"/>
          <w:highlight w:val="yellow"/>
        </w:rPr>
        <w:t>Disclaimer (Artificial intelligence)</w:t>
      </w:r>
    </w:p>
    <w:p w:rsidR="00B50C25" w:rsidRDefault="00D01A17">
      <w:pPr>
        <w:rPr>
          <w:rFonts w:cs="Times New Roman"/>
          <w:kern w:val="2"/>
          <w:highlight w:val="yellow"/>
        </w:rPr>
      </w:pPr>
      <w:r>
        <w:rPr>
          <w:rFonts w:cs="Times New Roman"/>
          <w:kern w:val="2"/>
          <w:highlight w:val="yellow"/>
        </w:rPr>
        <w:t>Opti</w:t>
      </w:r>
      <w:r>
        <w:rPr>
          <w:rFonts w:cs="Times New Roman"/>
          <w:kern w:val="2"/>
          <w:highlight w:val="yellow"/>
        </w:rPr>
        <w:t xml:space="preserve">on 1: </w:t>
      </w:r>
    </w:p>
    <w:p w:rsidR="00B50C25" w:rsidRDefault="00D01A17">
      <w:pPr>
        <w:rPr>
          <w:rFonts w:cs="Times New Roman"/>
          <w:kern w:val="2"/>
          <w:highlight w:val="yellow"/>
        </w:rPr>
      </w:pPr>
      <w:r>
        <w:rPr>
          <w:rFonts w:cs="Times New Roman"/>
          <w:kern w:val="2"/>
          <w:highlight w:val="yellow"/>
        </w:rPr>
        <w:t xml:space="preserve">Author(s) hereby declare that NO generative AI technologies such as Large Language Models (ChatGPT, COPILOT, etc.) and text-to-image generators have been used during the writing or editing of this manuscript. </w:t>
      </w:r>
    </w:p>
    <w:p w:rsidR="00B50C25" w:rsidRDefault="00D01A17">
      <w:pPr>
        <w:rPr>
          <w:rFonts w:cs="Times New Roman"/>
          <w:kern w:val="2"/>
          <w:highlight w:val="yellow"/>
        </w:rPr>
      </w:pPr>
      <w:r>
        <w:rPr>
          <w:rFonts w:cs="Times New Roman"/>
          <w:kern w:val="2"/>
          <w:highlight w:val="yellow"/>
        </w:rPr>
        <w:t xml:space="preserve">Option 2: </w:t>
      </w:r>
    </w:p>
    <w:p w:rsidR="00B50C25" w:rsidRDefault="00D01A17">
      <w:pPr>
        <w:rPr>
          <w:rFonts w:cs="Times New Roman"/>
          <w:kern w:val="2"/>
          <w:highlight w:val="yellow"/>
        </w:rPr>
      </w:pPr>
      <w:r>
        <w:rPr>
          <w:rFonts w:cs="Times New Roman"/>
          <w:kern w:val="2"/>
          <w:highlight w:val="yellow"/>
        </w:rPr>
        <w:t>Author(s) hereby declare tha</w:t>
      </w:r>
      <w:r>
        <w:rPr>
          <w:rFonts w:cs="Times New Roman"/>
          <w:kern w:val="2"/>
          <w:highlight w:val="yellow"/>
        </w:rPr>
        <w:t xml:space="preserve">t generative AI technologies such as Large Language Models, etc. have been used during the writing or editing of manuscripts. This explanation will include the name, version, </w:t>
      </w:r>
      <w:r>
        <w:rPr>
          <w:rFonts w:cs="Times New Roman"/>
          <w:kern w:val="2"/>
          <w:highlight w:val="yellow"/>
        </w:rPr>
        <w:lastRenderedPageBreak/>
        <w:t>model, and source of the generative AI technology and as well as all input prompt</w:t>
      </w:r>
      <w:r>
        <w:rPr>
          <w:rFonts w:cs="Times New Roman"/>
          <w:kern w:val="2"/>
          <w:highlight w:val="yellow"/>
        </w:rPr>
        <w:t>s provided to the generative AI technology</w:t>
      </w:r>
    </w:p>
    <w:p w:rsidR="00B50C25" w:rsidRDefault="00D01A17">
      <w:pPr>
        <w:rPr>
          <w:rFonts w:cs="Times New Roman"/>
          <w:kern w:val="2"/>
          <w:highlight w:val="yellow"/>
        </w:rPr>
      </w:pPr>
      <w:r>
        <w:rPr>
          <w:rFonts w:cs="Times New Roman"/>
          <w:kern w:val="2"/>
          <w:highlight w:val="yellow"/>
        </w:rPr>
        <w:t>Details of the AI usage are given below:</w:t>
      </w:r>
    </w:p>
    <w:p w:rsidR="00B50C25" w:rsidRDefault="00D01A17">
      <w:pPr>
        <w:rPr>
          <w:rFonts w:cs="Times New Roman"/>
          <w:kern w:val="2"/>
          <w:highlight w:val="yellow"/>
        </w:rPr>
      </w:pPr>
      <w:r>
        <w:rPr>
          <w:rFonts w:cs="Times New Roman"/>
          <w:kern w:val="2"/>
          <w:highlight w:val="yellow"/>
        </w:rPr>
        <w:t>1.</w:t>
      </w:r>
    </w:p>
    <w:p w:rsidR="00B50C25" w:rsidRDefault="00D01A17">
      <w:pPr>
        <w:rPr>
          <w:rFonts w:cs="Times New Roman"/>
          <w:kern w:val="2"/>
          <w:highlight w:val="yellow"/>
        </w:rPr>
      </w:pPr>
      <w:r>
        <w:rPr>
          <w:rFonts w:cs="Times New Roman"/>
          <w:kern w:val="2"/>
          <w:highlight w:val="yellow"/>
        </w:rPr>
        <w:t>2.</w:t>
      </w:r>
    </w:p>
    <w:p w:rsidR="00B50C25" w:rsidRDefault="00D01A17">
      <w:pPr>
        <w:rPr>
          <w:rFonts w:cs="Times New Roman"/>
          <w:kern w:val="2"/>
        </w:rPr>
      </w:pPr>
      <w:bookmarkStart w:id="3" w:name="_Hlk197682629"/>
      <w:bookmarkEnd w:id="0"/>
      <w:r>
        <w:rPr>
          <w:rFonts w:cs="Times New Roman"/>
          <w:kern w:val="2"/>
          <w:highlight w:val="yellow"/>
        </w:rPr>
        <w:t>3.</w:t>
      </w:r>
    </w:p>
    <w:bookmarkEnd w:id="1"/>
    <w:bookmarkEnd w:id="2"/>
    <w:bookmarkEnd w:id="3"/>
    <w:p w:rsidR="00B50C25" w:rsidRDefault="00B50C25">
      <w:pPr>
        <w:spacing w:after="0"/>
        <w:rPr>
          <w:rFonts w:ascii="Times New Roman" w:hAnsi="Times New Roman" w:cs="Times New Roman"/>
        </w:rPr>
      </w:pPr>
    </w:p>
    <w:p w:rsidR="00B50C25" w:rsidRDefault="00B50C25">
      <w:pPr>
        <w:spacing w:after="0"/>
        <w:rPr>
          <w:rFonts w:ascii="Times New Roman" w:hAnsi="Times New Roman" w:cs="Times New Roman"/>
          <w:b/>
        </w:rPr>
      </w:pPr>
    </w:p>
    <w:p w:rsidR="00B50C25" w:rsidRDefault="00D01A17">
      <w:pPr>
        <w:pStyle w:val="ListParagraph"/>
        <w:numPr>
          <w:ilvl w:val="0"/>
          <w:numId w:val="7"/>
        </w:numPr>
        <w:spacing w:after="0"/>
        <w:ind w:left="0"/>
        <w:rPr>
          <w:rFonts w:ascii="Times New Roman" w:hAnsi="Times New Roman" w:cs="Times New Roman"/>
          <w:b/>
          <w:sz w:val="24"/>
          <w:szCs w:val="24"/>
        </w:rPr>
      </w:pPr>
      <w:r>
        <w:rPr>
          <w:rFonts w:ascii="Times New Roman" w:hAnsi="Times New Roman" w:cs="Times New Roman"/>
          <w:b/>
          <w:sz w:val="24"/>
          <w:szCs w:val="24"/>
        </w:rPr>
        <w:t>REFERENCES</w:t>
      </w:r>
    </w:p>
    <w:p w:rsidR="00B50C25" w:rsidRDefault="00D01A17">
      <w:pPr>
        <w:numPr>
          <w:ilvl w:val="0"/>
          <w:numId w:val="2"/>
        </w:numPr>
        <w:rPr>
          <w:rFonts w:ascii="Times New Roman" w:hAnsi="Times New Roman" w:cs="Times New Roman"/>
        </w:rPr>
      </w:pPr>
      <w:r>
        <w:rPr>
          <w:rFonts w:ascii="Times New Roman" w:hAnsi="Times New Roman" w:cs="Times New Roman"/>
          <w:b/>
        </w:rPr>
        <w:t>O’Higgin, R. C. (2007).</w:t>
      </w:r>
      <w:r>
        <w:rPr>
          <w:rFonts w:ascii="Times New Roman" w:hAnsi="Times New Roman" w:cs="Times New Roman"/>
        </w:rPr>
        <w:t xml:space="preserve"> Savannah Woodland Degradation Assessments in Ghana; integrating ecological indicators with local perceptions. Earth Environ. 3; 246-281.</w:t>
      </w:r>
    </w:p>
    <w:p w:rsidR="00B50C25" w:rsidRDefault="00D01A17">
      <w:pPr>
        <w:numPr>
          <w:ilvl w:val="0"/>
          <w:numId w:val="2"/>
        </w:numPr>
        <w:rPr>
          <w:rFonts w:ascii="Times New Roman" w:hAnsi="Times New Roman" w:cs="Times New Roman"/>
        </w:rPr>
      </w:pPr>
      <w:r>
        <w:rPr>
          <w:rFonts w:ascii="Times New Roman" w:hAnsi="Times New Roman" w:cs="Times New Roman"/>
          <w:b/>
        </w:rPr>
        <w:t>NSBC (Northern Savanna Biodiversity Conservation Project), 2002.</w:t>
      </w:r>
      <w:r>
        <w:rPr>
          <w:rFonts w:ascii="Times New Roman" w:hAnsi="Times New Roman" w:cs="Times New Roman"/>
        </w:rPr>
        <w:t xml:space="preserve"> Global Environmental Facility (GEF). Project Appraisa</w:t>
      </w:r>
      <w:r>
        <w:rPr>
          <w:rFonts w:ascii="Times New Roman" w:hAnsi="Times New Roman" w:cs="Times New Roman"/>
        </w:rPr>
        <w:t>l Document. Africa Regional Office. AFTR2</w:t>
      </w:r>
    </w:p>
    <w:p w:rsidR="00B50C25" w:rsidRDefault="00D01A17">
      <w:pPr>
        <w:numPr>
          <w:ilvl w:val="0"/>
          <w:numId w:val="2"/>
        </w:numPr>
        <w:rPr>
          <w:rFonts w:ascii="Times New Roman" w:hAnsi="Times New Roman" w:cs="Times New Roman"/>
        </w:rPr>
      </w:pPr>
      <w:r>
        <w:rPr>
          <w:rFonts w:ascii="Times New Roman" w:hAnsi="Times New Roman" w:cs="Times New Roman"/>
          <w:b/>
        </w:rPr>
        <w:t>Campbell, Bruce Morgan &amp; Costanza, Robert &amp; Belt, Marjan. (2000).</w:t>
      </w:r>
      <w:r>
        <w:rPr>
          <w:rFonts w:ascii="Times New Roman" w:hAnsi="Times New Roman" w:cs="Times New Roman"/>
        </w:rPr>
        <w:t xml:space="preserve"> Special section: Land use options in dry tropical woodland ecosystems in Zimbabwe: Introduction, overview and synthesis. Ecological Economics. 33. 3</w:t>
      </w:r>
      <w:r>
        <w:rPr>
          <w:rFonts w:ascii="Times New Roman" w:hAnsi="Times New Roman" w:cs="Times New Roman"/>
        </w:rPr>
        <w:t>41-351. 10.1016/S0921-8009(00)00144-0.</w:t>
      </w:r>
    </w:p>
    <w:p w:rsidR="00B50C25" w:rsidRDefault="00D01A17">
      <w:pPr>
        <w:numPr>
          <w:ilvl w:val="0"/>
          <w:numId w:val="2"/>
        </w:numPr>
        <w:rPr>
          <w:rFonts w:ascii="Times New Roman" w:hAnsi="Times New Roman" w:cs="Times New Roman"/>
        </w:rPr>
      </w:pPr>
      <w:r>
        <w:rPr>
          <w:rFonts w:ascii="Times New Roman" w:hAnsi="Times New Roman" w:cs="Times New Roman"/>
          <w:b/>
        </w:rPr>
        <w:t>Jacoby, Richard &amp; Peukert, Manuela &amp; Succurro, Antonella &amp; Koprivova, Anna &amp; Kopriva, Stanislav. (2017)</w:t>
      </w:r>
      <w:r>
        <w:rPr>
          <w:rFonts w:ascii="Times New Roman" w:hAnsi="Times New Roman" w:cs="Times New Roman"/>
        </w:rPr>
        <w:t>. The Role of Soil Microorganisms in Plant Mineral Nutrition—Current Knowledge and Future Directions. Frontiers in</w:t>
      </w:r>
      <w:r>
        <w:rPr>
          <w:rFonts w:ascii="Times New Roman" w:hAnsi="Times New Roman" w:cs="Times New Roman"/>
        </w:rPr>
        <w:t xml:space="preserve"> Plant Science. 8. 1617. 10.3389/fpls.2017.01617.</w:t>
      </w:r>
    </w:p>
    <w:p w:rsidR="00B50C25" w:rsidRDefault="00D01A17">
      <w:pPr>
        <w:numPr>
          <w:ilvl w:val="0"/>
          <w:numId w:val="2"/>
        </w:numPr>
        <w:rPr>
          <w:rFonts w:ascii="Courier New" w:hAnsi="Courier New" w:cs="Courier New"/>
          <w:sz w:val="21"/>
          <w:szCs w:val="21"/>
        </w:rPr>
      </w:pPr>
      <w:r>
        <w:rPr>
          <w:rFonts w:ascii="Times New Roman" w:hAnsi="Times New Roman" w:cs="Times New Roman"/>
          <w:b/>
          <w:bCs/>
        </w:rPr>
        <w:t xml:space="preserve">Abinandan S, Subashchandrabose SR, Venkateswarlu K, Logeshwaran P, Megharaj M, 2019. </w:t>
      </w:r>
      <w:r>
        <w:rPr>
          <w:rFonts w:ascii="Times New Roman" w:hAnsi="Times New Roman" w:cs="Times New Roman"/>
        </w:rPr>
        <w:t>Sustainable production of biomass and biodiesel by acclimation of non-acidophilic microalgae to acidic conditions. Biores</w:t>
      </w:r>
      <w:r>
        <w:rPr>
          <w:rFonts w:ascii="Times New Roman" w:hAnsi="Times New Roman" w:cs="Times New Roman"/>
        </w:rPr>
        <w:t>ource Technology. 271. 316-324. 10.1016/j.biortech.2018.09.140.</w:t>
      </w:r>
    </w:p>
    <w:p w:rsidR="00B50C25" w:rsidRDefault="00D01A17">
      <w:pPr>
        <w:numPr>
          <w:ilvl w:val="0"/>
          <w:numId w:val="2"/>
        </w:numPr>
        <w:rPr>
          <w:rFonts w:ascii="Times New Roman" w:hAnsi="Times New Roman" w:cs="Times New Roman"/>
        </w:rPr>
      </w:pPr>
      <w:r>
        <w:rPr>
          <w:rFonts w:ascii="Times New Roman" w:hAnsi="Times New Roman" w:cs="Times New Roman"/>
          <w:b/>
        </w:rPr>
        <w:t>Sofo, Adriano &amp; Mininni, Alba &amp; Ricciuti, Patrizia. (2020).</w:t>
      </w:r>
      <w:r>
        <w:rPr>
          <w:rFonts w:ascii="Times New Roman" w:hAnsi="Times New Roman" w:cs="Times New Roman"/>
        </w:rPr>
        <w:t xml:space="preserve"> Comparing the effects of soil fauna on litter decomposition and organic matter turnover in sustainably and conventionally managed ol</w:t>
      </w:r>
      <w:r>
        <w:rPr>
          <w:rFonts w:ascii="Times New Roman" w:hAnsi="Times New Roman" w:cs="Times New Roman"/>
        </w:rPr>
        <w:t>ive orchards. Geoderma. 372. 114393. 10.1016/j.geoderma.2020.114393.</w:t>
      </w:r>
    </w:p>
    <w:p w:rsidR="00B50C25" w:rsidRDefault="00D01A17">
      <w:pPr>
        <w:numPr>
          <w:ilvl w:val="0"/>
          <w:numId w:val="2"/>
        </w:numPr>
        <w:rPr>
          <w:rFonts w:ascii="Times New Roman" w:hAnsi="Times New Roman" w:cs="Times New Roman"/>
        </w:rPr>
      </w:pPr>
      <w:r>
        <w:rPr>
          <w:rFonts w:ascii="Times New Roman" w:hAnsi="Times New Roman" w:cs="Times New Roman"/>
          <w:b/>
        </w:rPr>
        <w:t>Bertola, Marta &amp; Ferrarini, Andrea &amp; Visioli, Giovanna. (2021).</w:t>
      </w:r>
      <w:r>
        <w:rPr>
          <w:rFonts w:ascii="Times New Roman" w:hAnsi="Times New Roman" w:cs="Times New Roman"/>
        </w:rPr>
        <w:t xml:space="preserve"> Improvement of Soil Microbial Diversity through Sustainable Agricultural Practices and Its Evaluation by -Omics Approaches:</w:t>
      </w:r>
      <w:r>
        <w:rPr>
          <w:rFonts w:ascii="Times New Roman" w:hAnsi="Times New Roman" w:cs="Times New Roman"/>
        </w:rPr>
        <w:t xml:space="preserve"> A Perspective for the Environment, Food Quality and Human Safety. Microorganisms. 9. 1400. 10.3390/microorganisms9071400.</w:t>
      </w:r>
    </w:p>
    <w:p w:rsidR="00B50C25" w:rsidRDefault="00D01A17">
      <w:pPr>
        <w:numPr>
          <w:ilvl w:val="0"/>
          <w:numId w:val="2"/>
        </w:numPr>
        <w:rPr>
          <w:rFonts w:ascii="Times New Roman" w:hAnsi="Times New Roman" w:cs="Times New Roman"/>
        </w:rPr>
      </w:pPr>
      <w:r>
        <w:rPr>
          <w:rFonts w:ascii="Times New Roman" w:hAnsi="Times New Roman" w:cs="Times New Roman"/>
          <w:b/>
          <w:bCs/>
        </w:rPr>
        <w:t>Cavicchioli, R; Ripple, W. J., Timmis, K. N., Azam, F., Bakken, L. R., Baylis, M., et al. (2019)</w:t>
      </w:r>
      <w:r>
        <w:rPr>
          <w:rFonts w:ascii="Times New Roman" w:hAnsi="Times New Roman" w:cs="Times New Roman"/>
        </w:rPr>
        <w:t>. Scientists warning to humanity: mic</w:t>
      </w:r>
      <w:r>
        <w:rPr>
          <w:rFonts w:ascii="Times New Roman" w:hAnsi="Times New Roman" w:cs="Times New Roman"/>
        </w:rPr>
        <w:t>roorganisms and climate change. Nat. Rev. Microbiol. 17, 569-586. Doi: 10. 1038/s41579-019-0222-5</w:t>
      </w:r>
    </w:p>
    <w:p w:rsidR="00B50C25" w:rsidRDefault="00D01A17">
      <w:pPr>
        <w:numPr>
          <w:ilvl w:val="0"/>
          <w:numId w:val="2"/>
        </w:numPr>
        <w:rPr>
          <w:rFonts w:ascii="Times New Roman" w:hAnsi="Times New Roman" w:cs="Times New Roman"/>
        </w:rPr>
      </w:pPr>
      <w:r>
        <w:rPr>
          <w:rFonts w:ascii="Times New Roman" w:hAnsi="Times New Roman" w:cs="Times New Roman"/>
          <w:b/>
        </w:rPr>
        <w:lastRenderedPageBreak/>
        <w:t>Cavicchioli, Ricardo et. al. (2019).</w:t>
      </w:r>
      <w:r>
        <w:rPr>
          <w:rFonts w:ascii="Times New Roman" w:hAnsi="Times New Roman" w:cs="Times New Roman"/>
        </w:rPr>
        <w:t xml:space="preserve"> Scientists’ warning to humanity: microorganisms and climate change. Nature Reviews Microbiology. 17. 10.1038/s41579-019-0</w:t>
      </w:r>
      <w:r>
        <w:rPr>
          <w:rFonts w:ascii="Times New Roman" w:hAnsi="Times New Roman" w:cs="Times New Roman"/>
        </w:rPr>
        <w:t>222-5.</w:t>
      </w:r>
    </w:p>
    <w:p w:rsidR="00B50C25" w:rsidRDefault="00D01A17">
      <w:pPr>
        <w:numPr>
          <w:ilvl w:val="0"/>
          <w:numId w:val="2"/>
        </w:numPr>
        <w:rPr>
          <w:rFonts w:ascii="Times New Roman" w:hAnsi="Times New Roman" w:cs="Times New Roman"/>
        </w:rPr>
      </w:pPr>
      <w:r>
        <w:rPr>
          <w:rFonts w:ascii="Times New Roman" w:hAnsi="Times New Roman" w:cs="Times New Roman"/>
          <w:b/>
          <w:bCs/>
        </w:rPr>
        <w:t xml:space="preserve">Wang R (2016) </w:t>
      </w:r>
      <w:r>
        <w:rPr>
          <w:rFonts w:ascii="Times New Roman" w:hAnsi="Times New Roman" w:cs="Times New Roman"/>
        </w:rPr>
        <w:t>Estimation of global black carbon direct radiative forcing and its uncertainty constrained by observations. 121(10), journal of Geophysical Research 5948-5971. Doi:doi:10.1002/2015JD024326</w:t>
      </w:r>
    </w:p>
    <w:p w:rsidR="00B50C25" w:rsidRDefault="00D01A17">
      <w:pPr>
        <w:numPr>
          <w:ilvl w:val="0"/>
          <w:numId w:val="2"/>
        </w:numPr>
        <w:rPr>
          <w:rFonts w:ascii="Times New Roman" w:hAnsi="Times New Roman" w:cs="Times New Roman"/>
        </w:rPr>
      </w:pPr>
      <w:r>
        <w:rPr>
          <w:rFonts w:ascii="Times New Roman" w:hAnsi="Times New Roman" w:cs="Times New Roman"/>
        </w:rPr>
        <w:t>ISRIC. </w:t>
      </w:r>
      <w:r>
        <w:rPr>
          <w:rStyle w:val="referencesyear"/>
          <w:rFonts w:ascii="Times New Roman" w:hAnsi="Times New Roman" w:cs="Times New Roman"/>
        </w:rPr>
        <w:t>2007</w:t>
      </w:r>
      <w:r>
        <w:rPr>
          <w:rFonts w:ascii="Times New Roman" w:hAnsi="Times New Roman" w:cs="Times New Roman"/>
        </w:rPr>
        <w:t> </w:t>
      </w:r>
      <w:r>
        <w:rPr>
          <w:rStyle w:val="Strong"/>
          <w:rFonts w:ascii="Times New Roman" w:hAnsi="Times New Roman" w:cs="Times New Roman"/>
          <w:i/>
          <w:iCs/>
        </w:rPr>
        <w:t>Green water credits</w:t>
      </w:r>
      <w:r>
        <w:rPr>
          <w:rFonts w:ascii="Times New Roman" w:hAnsi="Times New Roman" w:cs="Times New Roman"/>
        </w:rPr>
        <w:t>. </w:t>
      </w:r>
      <w:r>
        <w:rPr>
          <w:rStyle w:val="nlmpublisher-loc"/>
          <w:rFonts w:ascii="Times New Roman" w:hAnsi="Times New Roman" w:cs="Times New Roman"/>
        </w:rPr>
        <w:t>Wageningen, T</w:t>
      </w:r>
      <w:r>
        <w:rPr>
          <w:rStyle w:val="nlmpublisher-loc"/>
          <w:rFonts w:ascii="Times New Roman" w:hAnsi="Times New Roman" w:cs="Times New Roman"/>
        </w:rPr>
        <w:t>he Netherlands</w:t>
      </w:r>
      <w:r>
        <w:rPr>
          <w:rFonts w:ascii="Times New Roman" w:hAnsi="Times New Roman" w:cs="Times New Roman"/>
        </w:rPr>
        <w:t>: </w:t>
      </w:r>
      <w:r>
        <w:rPr>
          <w:rStyle w:val="nlmpublisher-name"/>
          <w:rFonts w:ascii="Times New Roman" w:hAnsi="Times New Roman" w:cs="Times New Roman"/>
        </w:rPr>
        <w:t>ISRIC—World Soil Information</w:t>
      </w:r>
      <w:r>
        <w:rPr>
          <w:rFonts w:ascii="Times New Roman" w:hAnsi="Times New Roman" w:cs="Times New Roman"/>
        </w:rPr>
        <w:t>. </w:t>
      </w:r>
      <w:hyperlink r:id="rId10" w:tgtFrame="_blank" w:history="1">
        <w:r>
          <w:rPr>
            <w:rStyle w:val="Hyperlink"/>
            <w:rFonts w:ascii="Times New Roman" w:hAnsi="Times New Roman" w:cs="Times New Roman"/>
            <w:b/>
            <w:bCs/>
            <w:color w:val="auto"/>
          </w:rPr>
          <w:t>Google Scholar</w:t>
        </w:r>
      </w:hyperlink>
    </w:p>
    <w:p w:rsidR="00B50C25" w:rsidRDefault="00D01A17">
      <w:pPr>
        <w:numPr>
          <w:ilvl w:val="0"/>
          <w:numId w:val="2"/>
        </w:numPr>
        <w:rPr>
          <w:rFonts w:ascii="Times New Roman" w:hAnsi="Times New Roman" w:cs="Times New Roman"/>
        </w:rPr>
      </w:pPr>
      <w:r>
        <w:rPr>
          <w:rFonts w:ascii="Times New Roman" w:hAnsi="Times New Roman" w:cs="Times New Roman"/>
          <w:b/>
        </w:rPr>
        <w:t xml:space="preserve">Van Capelle, </w:t>
      </w:r>
      <w:r>
        <w:rPr>
          <w:rFonts w:ascii="Times New Roman" w:hAnsi="Times New Roman" w:cs="Times New Roman"/>
          <w:b/>
        </w:rPr>
        <w:t>Christine &amp; Schrader, Stefan &amp; Brunotte, Joachim. (2012).</w:t>
      </w:r>
      <w:r>
        <w:rPr>
          <w:rFonts w:ascii="Times New Roman" w:hAnsi="Times New Roman" w:cs="Times New Roman"/>
        </w:rPr>
        <w:t xml:space="preserve"> Tillage-induced changes in the functional diversity of soil biota – A review with a focus on German data. European Journal of Soil Biology. 50. 165–181. 10.1016/j.ejsobi.2012.02.005.</w:t>
      </w:r>
    </w:p>
    <w:p w:rsidR="00B50C25" w:rsidRDefault="00D01A17">
      <w:pPr>
        <w:numPr>
          <w:ilvl w:val="0"/>
          <w:numId w:val="2"/>
        </w:numPr>
        <w:rPr>
          <w:rFonts w:ascii="Times New Roman" w:hAnsi="Times New Roman" w:cs="Times New Roman"/>
        </w:rPr>
      </w:pPr>
      <w:r>
        <w:rPr>
          <w:rFonts w:ascii="Times New Roman" w:hAnsi="Times New Roman" w:cs="Times New Roman"/>
          <w:b/>
        </w:rPr>
        <w:t xml:space="preserve">Tinker, P. </w:t>
      </w:r>
      <w:r>
        <w:rPr>
          <w:rFonts w:ascii="Times New Roman" w:hAnsi="Times New Roman" w:cs="Times New Roman"/>
          <w:b/>
        </w:rPr>
        <w:t>(2005).</w:t>
      </w:r>
      <w:r>
        <w:rPr>
          <w:rFonts w:ascii="Times New Roman" w:hAnsi="Times New Roman" w:cs="Times New Roman"/>
        </w:rPr>
        <w:t xml:space="preserve"> Fundamentals of Soil Ecology. By D. C. Coleman, D. A. Crossley and P. F. Hendrix. Amsterdam; Elsevier Academic Press (2004), pp. 386, US $39.99 (paperback). ISBN 0-12-179726-0. Experimental Agriculture. 41. 267 - 268. 10.1017/S0014479704232616.</w:t>
      </w:r>
    </w:p>
    <w:p w:rsidR="00B50C25" w:rsidRDefault="00D01A17">
      <w:pPr>
        <w:numPr>
          <w:ilvl w:val="0"/>
          <w:numId w:val="2"/>
        </w:numPr>
        <w:rPr>
          <w:rFonts w:ascii="Times New Roman" w:hAnsi="Times New Roman" w:cs="Times New Roman"/>
        </w:rPr>
      </w:pPr>
      <w:r>
        <w:rPr>
          <w:rFonts w:ascii="Times New Roman" w:hAnsi="Times New Roman" w:cs="Times New Roman"/>
          <w:b/>
        </w:rPr>
        <w:t>Rit</w:t>
      </w:r>
      <w:r>
        <w:rPr>
          <w:rFonts w:ascii="Times New Roman" w:hAnsi="Times New Roman" w:cs="Times New Roman"/>
          <w:b/>
        </w:rPr>
        <w:t>z, karl. (2006).</w:t>
      </w:r>
      <w:r>
        <w:rPr>
          <w:rFonts w:ascii="Times New Roman" w:hAnsi="Times New Roman" w:cs="Times New Roman"/>
        </w:rPr>
        <w:t xml:space="preserve"> Underground. How creatures of mud and dirt shape our world by yvonne baskin 237 pp., 23.5 × 16 × 2 cm, ISBN 1 59726 003 7 hardback, US$ 26.95, Washington DC, US. Environmental Conservation - ENVIRON CONSERV. 33. 10.1017/S0376892907223653.</w:t>
      </w:r>
    </w:p>
    <w:p w:rsidR="00B50C25" w:rsidRDefault="00D01A17">
      <w:pPr>
        <w:numPr>
          <w:ilvl w:val="0"/>
          <w:numId w:val="2"/>
        </w:numPr>
        <w:rPr>
          <w:rFonts w:ascii="Times New Roman" w:hAnsi="Times New Roman" w:cs="Times New Roman"/>
        </w:rPr>
      </w:pPr>
      <w:hyperlink r:id="rId11" w:anchor="con1" w:history="1">
        <w:r>
          <w:rPr>
            <w:rStyle w:val="Hyperlink"/>
            <w:rFonts w:ascii="Times New Roman" w:hAnsi="Times New Roman" w:cs="Times New Roman"/>
            <w:b/>
            <w:color w:val="auto"/>
          </w:rPr>
          <w:t>E G </w:t>
        </w:r>
        <w:proofErr w:type="spellStart"/>
        <w:r>
          <w:rPr>
            <w:rStyle w:val="Hyperlink"/>
            <w:rFonts w:ascii="Times New Roman" w:hAnsi="Times New Roman" w:cs="Times New Roman"/>
            <w:b/>
            <w:color w:val="auto"/>
          </w:rPr>
          <w:t>Gregorich</w:t>
        </w:r>
        <w:proofErr w:type="spellEnd"/>
      </w:hyperlink>
      <w:r>
        <w:rPr>
          <w:rFonts w:ascii="Times New Roman" w:hAnsi="Times New Roman" w:cs="Times New Roman"/>
          <w:b/>
          <w:shd w:val="clear" w:color="auto" w:fill="FFFFFF"/>
        </w:rPr>
        <w:t>, </w:t>
      </w:r>
      <w:hyperlink r:id="rId12" w:anchor="con2" w:history="1">
        <w:r>
          <w:rPr>
            <w:rStyle w:val="Hyperlink"/>
            <w:rFonts w:ascii="Times New Roman" w:hAnsi="Times New Roman" w:cs="Times New Roman"/>
            <w:b/>
            <w:color w:val="auto"/>
          </w:rPr>
          <w:t>C F Drury</w:t>
        </w:r>
      </w:hyperlink>
      <w:r>
        <w:rPr>
          <w:rFonts w:ascii="Times New Roman" w:hAnsi="Times New Roman" w:cs="Times New Roman"/>
          <w:b/>
          <w:shd w:val="clear" w:color="auto" w:fill="FFFFFF"/>
        </w:rPr>
        <w:t>, and </w:t>
      </w:r>
      <w:hyperlink r:id="rId13" w:anchor="con3" w:history="1">
        <w:r>
          <w:rPr>
            <w:rStyle w:val="Hyperlink"/>
            <w:rFonts w:ascii="Times New Roman" w:hAnsi="Times New Roman" w:cs="Times New Roman"/>
            <w:b/>
            <w:color w:val="auto"/>
          </w:rPr>
          <w:t>J</w:t>
        </w:r>
        <w:r>
          <w:rPr>
            <w:rStyle w:val="Hyperlink"/>
            <w:rFonts w:ascii="Times New Roman" w:hAnsi="Times New Roman" w:cs="Times New Roman"/>
            <w:b/>
            <w:color w:val="auto"/>
          </w:rPr>
          <w:t xml:space="preserve"> A </w:t>
        </w:r>
        <w:proofErr w:type="spellStart"/>
        <w:r>
          <w:rPr>
            <w:rStyle w:val="Hyperlink"/>
            <w:rFonts w:ascii="Times New Roman" w:hAnsi="Times New Roman" w:cs="Times New Roman"/>
            <w:b/>
            <w:color w:val="auto"/>
          </w:rPr>
          <w:t>Baldock</w:t>
        </w:r>
        <w:proofErr w:type="spellEnd"/>
      </w:hyperlink>
      <w:r>
        <w:rPr>
          <w:rFonts w:ascii="Times New Roman" w:hAnsi="Times New Roman" w:cs="Times New Roman"/>
          <w:b/>
        </w:rPr>
        <w:t xml:space="preserve"> (2001). </w:t>
      </w:r>
      <w:r>
        <w:rPr>
          <w:rFonts w:ascii="Times New Roman" w:hAnsi="Times New Roman" w:cs="Times New Roman"/>
        </w:rPr>
        <w:t xml:space="preserve">Changes in soil carbon under long-term maize in monoculture and legume-based </w:t>
      </w:r>
      <w:proofErr w:type="gramStart"/>
      <w:r>
        <w:rPr>
          <w:rFonts w:ascii="Times New Roman" w:hAnsi="Times New Roman" w:cs="Times New Roman"/>
        </w:rPr>
        <w:t>rotation.Canadian</w:t>
      </w:r>
      <w:proofErr w:type="gramEnd"/>
      <w:r>
        <w:rPr>
          <w:rFonts w:ascii="Times New Roman" w:hAnsi="Times New Roman" w:cs="Times New Roman"/>
        </w:rPr>
        <w:t xml:space="preserve"> Journal of Soil ScienceFebruary 2001</w:t>
      </w:r>
      <w:hyperlink r:id="rId14" w:history="1">
        <w:r>
          <w:rPr>
            <w:rStyle w:val="Hyperlink"/>
            <w:rFonts w:ascii="Times New Roman" w:hAnsi="Times New Roman" w:cs="Times New Roman"/>
            <w:color w:val="auto"/>
          </w:rPr>
          <w:t>https://doi.org/10.4141/S00-041</w:t>
        </w:r>
      </w:hyperlink>
    </w:p>
    <w:p w:rsidR="00B50C25" w:rsidRDefault="00D01A17">
      <w:pPr>
        <w:numPr>
          <w:ilvl w:val="0"/>
          <w:numId w:val="2"/>
        </w:numPr>
        <w:rPr>
          <w:rFonts w:ascii="Times New Roman" w:hAnsi="Times New Roman" w:cs="Times New Roman"/>
        </w:rPr>
      </w:pPr>
      <w:r>
        <w:rPr>
          <w:rFonts w:ascii="Times New Roman" w:hAnsi="Times New Roman" w:cs="Times New Roman"/>
          <w:b/>
        </w:rPr>
        <w:t>Sofo, Adriano &amp; Mininni</w:t>
      </w:r>
      <w:r>
        <w:rPr>
          <w:rFonts w:ascii="Times New Roman" w:hAnsi="Times New Roman" w:cs="Times New Roman"/>
          <w:b/>
        </w:rPr>
        <w:t>, Alba &amp; Ricciuti, Patrizia. (2020).</w:t>
      </w:r>
      <w:r>
        <w:rPr>
          <w:rFonts w:ascii="Times New Roman" w:hAnsi="Times New Roman" w:cs="Times New Roman"/>
        </w:rPr>
        <w:t xml:space="preserve"> Comparing the effects of soil fauna on litter decomposition and organic matter turnover in sustainably and conventionally managed olive orchards. Geoderma. 372. 114393. 10.1016/j.geoderma.2020.114393.</w:t>
      </w:r>
    </w:p>
    <w:p w:rsidR="00B50C25" w:rsidRDefault="00D01A17">
      <w:pPr>
        <w:numPr>
          <w:ilvl w:val="0"/>
          <w:numId w:val="2"/>
        </w:numPr>
        <w:rPr>
          <w:rFonts w:ascii="Times New Roman" w:hAnsi="Times New Roman" w:cs="Times New Roman"/>
        </w:rPr>
      </w:pPr>
      <w:r>
        <w:rPr>
          <w:rFonts w:ascii="Times New Roman" w:hAnsi="Times New Roman" w:cs="Times New Roman"/>
          <w:b/>
        </w:rPr>
        <w:t xml:space="preserve">Alegria Terrazas, </w:t>
      </w:r>
      <w:r>
        <w:rPr>
          <w:rFonts w:ascii="Times New Roman" w:hAnsi="Times New Roman" w:cs="Times New Roman"/>
          <w:b/>
        </w:rPr>
        <w:t>R. </w:t>
      </w:r>
      <w:r>
        <w:rPr>
          <w:rFonts w:ascii="Times New Roman" w:hAnsi="Times New Roman" w:cs="Times New Roman"/>
          <w:b/>
          <w:i/>
          <w:iCs/>
        </w:rPr>
        <w:t>et al. (2016).</w:t>
      </w:r>
      <w:r>
        <w:rPr>
          <w:rFonts w:ascii="Times New Roman" w:hAnsi="Times New Roman" w:cs="Times New Roman"/>
          <w:b/>
        </w:rPr>
        <w:t> </w:t>
      </w:r>
      <w:r>
        <w:rPr>
          <w:rFonts w:ascii="Times New Roman" w:hAnsi="Times New Roman" w:cs="Times New Roman"/>
        </w:rPr>
        <w:t>Plant–microbiota interactions as a driver of the mineral turnover in the rhizosphere. </w:t>
      </w:r>
      <w:r>
        <w:rPr>
          <w:rFonts w:ascii="Times New Roman" w:hAnsi="Times New Roman" w:cs="Times New Roman"/>
          <w:i/>
          <w:iCs/>
        </w:rPr>
        <w:t>Adv. Appl. Microbiol.</w:t>
      </w:r>
      <w:r>
        <w:rPr>
          <w:rFonts w:ascii="Times New Roman" w:hAnsi="Times New Roman" w:cs="Times New Roman"/>
        </w:rPr>
        <w:t> </w:t>
      </w:r>
      <w:r>
        <w:rPr>
          <w:rFonts w:ascii="Times New Roman" w:hAnsi="Times New Roman" w:cs="Times New Roman"/>
          <w:bCs/>
        </w:rPr>
        <w:t>95</w:t>
      </w:r>
      <w:r>
        <w:rPr>
          <w:rFonts w:ascii="Times New Roman" w:hAnsi="Times New Roman" w:cs="Times New Roman"/>
        </w:rPr>
        <w:t>, 1-67. </w:t>
      </w:r>
      <w:hyperlink r:id="rId15" w:history="1">
        <w:r>
          <w:rPr>
            <w:rStyle w:val="Hyperlink"/>
            <w:rFonts w:ascii="Times New Roman" w:hAnsi="Times New Roman" w:cs="Times New Roman"/>
            <w:color w:val="auto"/>
          </w:rPr>
          <w:t>https://doi.org/10.1016/bs.aambs.2016.03.001</w:t>
        </w:r>
      </w:hyperlink>
      <w:r>
        <w:rPr>
          <w:rFonts w:ascii="Times New Roman" w:hAnsi="Times New Roman" w:cs="Times New Roman"/>
        </w:rPr>
        <w:t> (2016).</w:t>
      </w:r>
    </w:p>
    <w:p w:rsidR="00B50C25" w:rsidRDefault="00D01A17">
      <w:pPr>
        <w:numPr>
          <w:ilvl w:val="0"/>
          <w:numId w:val="2"/>
        </w:numPr>
        <w:rPr>
          <w:rFonts w:ascii="Times New Roman" w:hAnsi="Times New Roman" w:cs="Times New Roman"/>
        </w:rPr>
      </w:pPr>
      <w:r>
        <w:rPr>
          <w:rFonts w:ascii="Times New Roman" w:hAnsi="Times New Roman" w:cs="Times New Roman"/>
          <w:b/>
          <w:bCs/>
        </w:rPr>
        <w:t xml:space="preserve">Food </w:t>
      </w:r>
      <w:r>
        <w:rPr>
          <w:rFonts w:ascii="Times New Roman" w:hAnsi="Times New Roman" w:cs="Times New Roman"/>
          <w:b/>
          <w:bCs/>
        </w:rPr>
        <w:t>and Agriculture Organization (2010).</w:t>
      </w:r>
      <w:r>
        <w:rPr>
          <w:rFonts w:ascii="Times New Roman" w:hAnsi="Times New Roman" w:cs="Times New Roman"/>
          <w:bCs/>
        </w:rPr>
        <w:t xml:space="preserve"> </w:t>
      </w:r>
      <w:r>
        <w:rPr>
          <w:rFonts w:ascii="Times New Roman" w:hAnsi="Times New Roman" w:cs="Times New Roman"/>
        </w:rPr>
        <w:t>Country Report-Ghana, Forestry Sector Outlook Studies-FOSA, Working Paper /WP/12.</w:t>
      </w:r>
    </w:p>
    <w:p w:rsidR="00B50C25" w:rsidRDefault="00D01A17">
      <w:pPr>
        <w:numPr>
          <w:ilvl w:val="0"/>
          <w:numId w:val="2"/>
        </w:numPr>
        <w:rPr>
          <w:rFonts w:ascii="Times New Roman" w:hAnsi="Times New Roman" w:cs="Times New Roman"/>
        </w:rPr>
      </w:pPr>
      <w:r>
        <w:rPr>
          <w:rFonts w:ascii="Times New Roman" w:hAnsi="Times New Roman" w:cs="Times New Roman"/>
          <w:b/>
          <w:bCs/>
        </w:rPr>
        <w:t>International Tropical Timber Organization. (2006).</w:t>
      </w:r>
      <w:r>
        <w:rPr>
          <w:rFonts w:ascii="Times New Roman" w:hAnsi="Times New Roman" w:cs="Times New Roman"/>
          <w:bCs/>
        </w:rPr>
        <w:t xml:space="preserve"> </w:t>
      </w:r>
      <w:r>
        <w:rPr>
          <w:rFonts w:ascii="Times New Roman" w:hAnsi="Times New Roman" w:cs="Times New Roman"/>
        </w:rPr>
        <w:t>Status of Tropical Forest Management 2005, International Tropical Timber Organisation</w:t>
      </w:r>
      <w:r>
        <w:rPr>
          <w:rFonts w:ascii="Times New Roman" w:hAnsi="Times New Roman" w:cs="Times New Roman"/>
        </w:rPr>
        <w:t xml:space="preserve">,Yokohama. </w:t>
      </w:r>
      <w:hyperlink r:id="rId16" w:history="1">
        <w:r>
          <w:rPr>
            <w:rStyle w:val="Hyperlink"/>
            <w:rFonts w:ascii="Times New Roman" w:hAnsi="Times New Roman" w:cs="Times New Roman"/>
            <w:color w:val="auto"/>
          </w:rPr>
          <w:t>http://www.fao.org/forestry/sfm/en/</w:t>
        </w:r>
      </w:hyperlink>
      <w:r>
        <w:rPr>
          <w:rFonts w:ascii="Times New Roman" w:hAnsi="Times New Roman" w:cs="Times New Roman"/>
        </w:rPr>
        <w:t xml:space="preserve">. </w:t>
      </w:r>
    </w:p>
    <w:p w:rsidR="00B50C25" w:rsidRDefault="00D01A17">
      <w:pPr>
        <w:numPr>
          <w:ilvl w:val="0"/>
          <w:numId w:val="2"/>
        </w:numPr>
        <w:rPr>
          <w:rFonts w:ascii="Times New Roman" w:hAnsi="Times New Roman" w:cs="Times New Roman"/>
        </w:rPr>
      </w:pPr>
      <w:r>
        <w:rPr>
          <w:rFonts w:ascii="Times New Roman" w:hAnsi="Times New Roman" w:cs="Times New Roman"/>
          <w:b/>
        </w:rPr>
        <w:t xml:space="preserve">Dewi, Widyatmani &amp; </w:t>
      </w:r>
      <w:r>
        <w:rPr>
          <w:rFonts w:ascii="Times New Roman" w:hAnsi="Times New Roman" w:cs="Times New Roman" w:hint="eastAsia"/>
          <w:b/>
        </w:rPr>
        <w:t>千家</w:t>
      </w:r>
      <w:r>
        <w:rPr>
          <w:rFonts w:ascii="Times New Roman" w:hAnsi="Times New Roman" w:cs="Times New Roman"/>
          <w:b/>
        </w:rPr>
        <w:t xml:space="preserve">, </w:t>
      </w:r>
      <w:r>
        <w:rPr>
          <w:rFonts w:ascii="Times New Roman" w:hAnsi="Times New Roman" w:cs="Times New Roman" w:hint="eastAsia"/>
          <w:b/>
        </w:rPr>
        <w:t>正照</w:t>
      </w:r>
      <w:r>
        <w:rPr>
          <w:rFonts w:ascii="Times New Roman" w:hAnsi="Times New Roman" w:cs="Times New Roman"/>
          <w:b/>
        </w:rPr>
        <w:t>. (2015).</w:t>
      </w:r>
      <w:r>
        <w:rPr>
          <w:rFonts w:ascii="Times New Roman" w:hAnsi="Times New Roman" w:cs="Times New Roman"/>
        </w:rPr>
        <w:t xml:space="preserve"> Earthworm diversity and ecosystem services under threat. Reviews in Agricultural Science. 3. 10.7831/ras.3.25-35.</w:t>
      </w:r>
    </w:p>
    <w:p w:rsidR="00B50C25" w:rsidRDefault="00D01A17">
      <w:pPr>
        <w:numPr>
          <w:ilvl w:val="0"/>
          <w:numId w:val="2"/>
        </w:numPr>
        <w:rPr>
          <w:rFonts w:ascii="Times New Roman" w:hAnsi="Times New Roman" w:cs="Times New Roman"/>
        </w:rPr>
      </w:pPr>
      <w:r>
        <w:rPr>
          <w:rFonts w:ascii="Times New Roman" w:hAnsi="Times New Roman" w:cs="Times New Roman"/>
          <w:b/>
        </w:rPr>
        <w:t>Schole</w:t>
      </w:r>
      <w:r>
        <w:rPr>
          <w:rFonts w:ascii="Times New Roman" w:hAnsi="Times New Roman" w:cs="Times New Roman"/>
          <w:b/>
        </w:rPr>
        <w:t>s, Robert &amp; Archer, Steven. (2003).</w:t>
      </w:r>
      <w:r>
        <w:rPr>
          <w:rFonts w:ascii="Times New Roman" w:hAnsi="Times New Roman" w:cs="Times New Roman"/>
        </w:rPr>
        <w:t xml:space="preserve"> Tree-Grass Interactions in Savannas. Annual Review of Ecology and Systematics. 28. 517-544. 10.1146/annurev.ecolsys.28.1.517.</w:t>
      </w:r>
    </w:p>
    <w:p w:rsidR="00B50C25" w:rsidRDefault="00D01A17">
      <w:pPr>
        <w:numPr>
          <w:ilvl w:val="0"/>
          <w:numId w:val="2"/>
        </w:numPr>
        <w:rPr>
          <w:rFonts w:ascii="Times New Roman" w:hAnsi="Times New Roman" w:cs="Times New Roman"/>
        </w:rPr>
      </w:pPr>
      <w:r>
        <w:rPr>
          <w:rFonts w:ascii="Times New Roman" w:hAnsi="Times New Roman" w:cs="Times New Roman"/>
          <w:b/>
        </w:rPr>
        <w:lastRenderedPageBreak/>
        <w:t>Scholes, Robert &amp; Archer, Steven. (2003).</w:t>
      </w:r>
      <w:r>
        <w:rPr>
          <w:rFonts w:ascii="Times New Roman" w:hAnsi="Times New Roman" w:cs="Times New Roman"/>
        </w:rPr>
        <w:t xml:space="preserve"> Tree-Grass Interactions in Savannas. Annual Review o</w:t>
      </w:r>
      <w:r>
        <w:rPr>
          <w:rFonts w:ascii="Times New Roman" w:hAnsi="Times New Roman" w:cs="Times New Roman"/>
        </w:rPr>
        <w:t>f Ecology and Systematics. 28. 517-544. 10.1146/annurev.ecolsys.28.1.517.</w:t>
      </w:r>
    </w:p>
    <w:p w:rsidR="00B50C25" w:rsidRDefault="00D01A17">
      <w:pPr>
        <w:numPr>
          <w:ilvl w:val="0"/>
          <w:numId w:val="2"/>
        </w:numPr>
        <w:rPr>
          <w:rFonts w:ascii="Times New Roman" w:hAnsi="Times New Roman" w:cs="Times New Roman"/>
        </w:rPr>
      </w:pPr>
      <w:r>
        <w:rPr>
          <w:rFonts w:ascii="Times New Roman" w:hAnsi="Times New Roman" w:cs="Times New Roman"/>
          <w:b/>
          <w:sz w:val="24"/>
          <w:szCs w:val="24"/>
        </w:rPr>
        <w:t>Higgins, Steven &amp; Bond, William &amp; Trollope, Westleigh. (2000).</w:t>
      </w:r>
      <w:r>
        <w:rPr>
          <w:rFonts w:ascii="Times New Roman" w:hAnsi="Times New Roman" w:cs="Times New Roman"/>
          <w:sz w:val="24"/>
          <w:szCs w:val="24"/>
        </w:rPr>
        <w:t xml:space="preserve"> Fire, resprouting and variability: a recipe for grass-tree coexistence in savanna. Journal of Ecology. 88. 203-229. 10.</w:t>
      </w:r>
      <w:r>
        <w:rPr>
          <w:rFonts w:ascii="Times New Roman" w:hAnsi="Times New Roman" w:cs="Times New Roman"/>
          <w:sz w:val="24"/>
          <w:szCs w:val="24"/>
        </w:rPr>
        <w:t>1046/j.1365-2745.2000.00435.x.</w:t>
      </w:r>
    </w:p>
    <w:p w:rsidR="00B50C25" w:rsidRDefault="00D01A17">
      <w:pPr>
        <w:numPr>
          <w:ilvl w:val="0"/>
          <w:numId w:val="2"/>
        </w:numPr>
        <w:rPr>
          <w:rFonts w:ascii="Times New Roman" w:hAnsi="Times New Roman" w:cs="Times New Roman"/>
        </w:rPr>
      </w:pPr>
      <w:r>
        <w:rPr>
          <w:rFonts w:ascii="Times New Roman" w:hAnsi="Times New Roman" w:cs="Times New Roman"/>
          <w:b/>
          <w:sz w:val="24"/>
          <w:szCs w:val="24"/>
        </w:rPr>
        <w:t>Higgins, Steven &amp; Shackleton, Charlie &amp; Robinson, E.. (1999).</w:t>
      </w:r>
      <w:r>
        <w:rPr>
          <w:rFonts w:ascii="Times New Roman" w:hAnsi="Times New Roman" w:cs="Times New Roman"/>
          <w:sz w:val="24"/>
          <w:szCs w:val="24"/>
        </w:rPr>
        <w:t xml:space="preserve"> Changes in woody community structure and composition under constrasting landuse systems in a semi-arid savanna, South Africa. Journal of Biogeography. 26. 619 - 62</w:t>
      </w:r>
      <w:r>
        <w:rPr>
          <w:rFonts w:ascii="Times New Roman" w:hAnsi="Times New Roman" w:cs="Times New Roman"/>
          <w:sz w:val="24"/>
          <w:szCs w:val="24"/>
        </w:rPr>
        <w:t>7. 10.1046/j.1365-2699.1999.t01-1-00317.x.</w:t>
      </w:r>
    </w:p>
    <w:p w:rsidR="00B50C25" w:rsidRDefault="00D01A17">
      <w:pPr>
        <w:numPr>
          <w:ilvl w:val="0"/>
          <w:numId w:val="2"/>
        </w:numPr>
        <w:rPr>
          <w:rFonts w:ascii="Times New Roman" w:hAnsi="Times New Roman" w:cs="Times New Roman"/>
        </w:rPr>
      </w:pPr>
      <w:r>
        <w:rPr>
          <w:rFonts w:ascii="Times New Roman" w:hAnsi="Times New Roman" w:cs="Times New Roman"/>
          <w:b/>
          <w:sz w:val="24"/>
          <w:szCs w:val="24"/>
        </w:rPr>
        <w:t>Shackleton, Charlie. (2000).</w:t>
      </w:r>
      <w:r>
        <w:rPr>
          <w:rFonts w:ascii="Times New Roman" w:hAnsi="Times New Roman" w:cs="Times New Roman"/>
          <w:sz w:val="24"/>
          <w:szCs w:val="24"/>
        </w:rPr>
        <w:t xml:space="preserve"> Comparison of plant diversity in protected and communal lands in the Bushbuckridge lowveld savanna, South Africa. Biological Conservation. 94. 273-285. 10.1016/S0006-3207(00)00001-X.</w:t>
      </w:r>
    </w:p>
    <w:p w:rsidR="00B50C25" w:rsidRDefault="00D01A17">
      <w:pPr>
        <w:numPr>
          <w:ilvl w:val="0"/>
          <w:numId w:val="2"/>
        </w:numPr>
        <w:rPr>
          <w:rFonts w:ascii="Times New Roman" w:hAnsi="Times New Roman" w:cs="Times New Roman"/>
        </w:rPr>
      </w:pPr>
      <w:r>
        <w:rPr>
          <w:rFonts w:ascii="Times New Roman" w:hAnsi="Times New Roman" w:cs="Times New Roman"/>
          <w:b/>
          <w:sz w:val="24"/>
          <w:szCs w:val="24"/>
        </w:rPr>
        <w:t>K</w:t>
      </w:r>
      <w:r>
        <w:rPr>
          <w:rFonts w:ascii="Times New Roman" w:hAnsi="Times New Roman" w:cs="Times New Roman"/>
          <w:b/>
          <w:sz w:val="24"/>
          <w:szCs w:val="24"/>
        </w:rPr>
        <w:t>önig, Konstantin &amp; Schmidt, Marco &amp; Szarzynski, Jörg. (2007).</w:t>
      </w:r>
      <w:r>
        <w:rPr>
          <w:rFonts w:ascii="Times New Roman" w:hAnsi="Times New Roman" w:cs="Times New Roman"/>
          <w:sz w:val="24"/>
          <w:szCs w:val="24"/>
        </w:rPr>
        <w:t xml:space="preserve"> A study of climate change and Anthropogenic impacts in West Africa. Environmental science and pollution research international. 14. 182-9. 10.1065/espr2007.02.388.</w:t>
      </w:r>
    </w:p>
    <w:p w:rsidR="00B50C25" w:rsidRDefault="00D01A17">
      <w:pPr>
        <w:numPr>
          <w:ilvl w:val="0"/>
          <w:numId w:val="2"/>
        </w:numPr>
        <w:rPr>
          <w:rFonts w:ascii="Times New Roman" w:hAnsi="Times New Roman" w:cs="Times New Roman"/>
        </w:rPr>
      </w:pPr>
      <w:r>
        <w:rPr>
          <w:rFonts w:ascii="Times New Roman" w:hAnsi="Times New Roman" w:cs="Times New Roman"/>
          <w:b/>
        </w:rPr>
        <w:t>Biyogue, douti. (2015).</w:t>
      </w:r>
      <w:r>
        <w:rPr>
          <w:rFonts w:ascii="Times New Roman" w:hAnsi="Times New Roman" w:cs="Times New Roman"/>
        </w:rPr>
        <w:t xml:space="preserve"> Forest</w:t>
      </w:r>
      <w:r>
        <w:rPr>
          <w:rFonts w:ascii="Times New Roman" w:hAnsi="Times New Roman" w:cs="Times New Roman"/>
        </w:rPr>
        <w:t xml:space="preserve"> composition and productivity changes as affected by human activities in the natural forest˗ savanna zone in Northern Ghana. Journal of Ecology and The Natural Environment. 7. 94-105. 10.5897/JENE2014.0485.</w:t>
      </w:r>
    </w:p>
    <w:p w:rsidR="00B50C25" w:rsidRDefault="00D01A17">
      <w:pPr>
        <w:numPr>
          <w:ilvl w:val="0"/>
          <w:numId w:val="2"/>
        </w:numPr>
        <w:rPr>
          <w:rFonts w:ascii="Times New Roman" w:hAnsi="Times New Roman" w:cs="Times New Roman"/>
        </w:rPr>
      </w:pPr>
      <w:r>
        <w:rPr>
          <w:rFonts w:ascii="Times New Roman" w:hAnsi="Times New Roman" w:cs="Times New Roman"/>
          <w:b/>
        </w:rPr>
        <w:t>Islam, Rafiq &amp; Weil, Raymond. (2000).</w:t>
      </w:r>
      <w:r>
        <w:rPr>
          <w:rFonts w:ascii="Times New Roman" w:hAnsi="Times New Roman" w:cs="Times New Roman"/>
        </w:rPr>
        <w:t xml:space="preserve"> Land use ef</w:t>
      </w:r>
      <w:r>
        <w:rPr>
          <w:rFonts w:ascii="Times New Roman" w:hAnsi="Times New Roman" w:cs="Times New Roman"/>
        </w:rPr>
        <w:t>fects on soil quality in a tropical forest ecosystem of Bangladesh. Agriculture, Ecosystems &amp; Environment. 79. 9-16. 10.1016/S0167-8809(99)00145-0.</w:t>
      </w:r>
    </w:p>
    <w:p w:rsidR="00B50C25" w:rsidRDefault="00D01A17">
      <w:pPr>
        <w:ind w:left="720"/>
        <w:rPr>
          <w:rFonts w:ascii="Times New Roman" w:hAnsi="Times New Roman" w:cs="Times New Roman"/>
          <w:highlight w:val="yellow"/>
        </w:rPr>
      </w:pPr>
      <w:r>
        <w:rPr>
          <w:rFonts w:ascii="Times New Roman" w:hAnsi="Times New Roman" w:cs="Times New Roman"/>
          <w:highlight w:val="yellow"/>
        </w:rPr>
        <w:t xml:space="preserve">Bremner JM (1965). Total nitrogen, In Black, C.A. (ed.) Methods of  Soil  Analysis,  Part  2  Chemical  and </w:t>
      </w:r>
      <w:r>
        <w:rPr>
          <w:rFonts w:ascii="Times New Roman" w:hAnsi="Times New Roman" w:cs="Times New Roman"/>
          <w:highlight w:val="yellow"/>
        </w:rPr>
        <w:t xml:space="preserve"> Microbiological Properties, p.1149-1178. “</w:t>
      </w:r>
    </w:p>
    <w:p w:rsidR="00B50C25" w:rsidRDefault="00B50C25">
      <w:pPr>
        <w:ind w:left="720"/>
        <w:rPr>
          <w:rFonts w:ascii="Times New Roman" w:hAnsi="Times New Roman" w:cs="Times New Roman"/>
          <w:highlight w:val="yellow"/>
        </w:rPr>
      </w:pPr>
    </w:p>
    <w:p w:rsidR="00B50C25" w:rsidRDefault="00D01A17">
      <w:pPr>
        <w:ind w:left="720"/>
        <w:rPr>
          <w:rFonts w:ascii="Times New Roman" w:hAnsi="Times New Roman" w:cs="Times New Roman"/>
          <w:highlight w:val="yellow"/>
        </w:rPr>
      </w:pPr>
      <w:r>
        <w:rPr>
          <w:rFonts w:ascii="Times New Roman" w:hAnsi="Times New Roman" w:cs="Times New Roman"/>
          <w:highlight w:val="yellow"/>
        </w:rPr>
        <w:t>Walkley, A.J. and Black, I.A. (1934) Estimation of soil organic carbon by the chromic acid titration method. Soil Sci. 37, 29-38.</w:t>
      </w:r>
      <w:bookmarkStart w:id="4" w:name="_Toc423445179"/>
    </w:p>
    <w:p w:rsidR="00B50C25" w:rsidRDefault="00B50C25">
      <w:pPr>
        <w:rPr>
          <w:rFonts w:ascii="Times New Roman" w:hAnsi="Times New Roman" w:cs="Times New Roman"/>
          <w:highlight w:val="yellow"/>
        </w:rPr>
      </w:pPr>
    </w:p>
    <w:p w:rsidR="00B50C25" w:rsidRDefault="00B50C25">
      <w:pPr>
        <w:rPr>
          <w:rFonts w:ascii="Times New Roman" w:hAnsi="Times New Roman" w:cs="Times New Roman"/>
          <w:highlight w:val="yellow"/>
        </w:rPr>
      </w:pPr>
    </w:p>
    <w:p w:rsidR="00B50C25" w:rsidRDefault="00B50C25">
      <w:pPr>
        <w:rPr>
          <w:rFonts w:ascii="Times New Roman" w:hAnsi="Times New Roman" w:cs="Times New Roman"/>
          <w:highlight w:val="yellow"/>
        </w:rPr>
      </w:pPr>
    </w:p>
    <w:p w:rsidR="00B50C25" w:rsidRDefault="00B50C25">
      <w:pPr>
        <w:rPr>
          <w:rFonts w:ascii="Times New Roman" w:hAnsi="Times New Roman" w:cs="Times New Roman"/>
          <w:highlight w:val="yellow"/>
        </w:rPr>
      </w:pPr>
    </w:p>
    <w:p w:rsidR="00B50C25" w:rsidRDefault="00B50C25">
      <w:pPr>
        <w:rPr>
          <w:rFonts w:ascii="Times New Roman" w:hAnsi="Times New Roman" w:cs="Times New Roman"/>
          <w:highlight w:val="yellow"/>
        </w:rPr>
      </w:pPr>
    </w:p>
    <w:p w:rsidR="00B50C25" w:rsidRDefault="00B50C25">
      <w:pPr>
        <w:rPr>
          <w:rFonts w:ascii="Times New Roman" w:hAnsi="Times New Roman" w:cs="Times New Roman"/>
          <w:highlight w:val="yellow"/>
        </w:rPr>
      </w:pPr>
    </w:p>
    <w:p w:rsidR="00B50C25" w:rsidRDefault="00B50C25">
      <w:pPr>
        <w:rPr>
          <w:rFonts w:ascii="Times New Roman" w:hAnsi="Times New Roman" w:cs="Times New Roman"/>
          <w:highlight w:val="yellow"/>
        </w:rPr>
      </w:pPr>
    </w:p>
    <w:p w:rsidR="00B50C25" w:rsidRDefault="00B50C25">
      <w:pPr>
        <w:rPr>
          <w:rFonts w:ascii="Times New Roman" w:hAnsi="Times New Roman" w:cs="Times New Roman"/>
          <w:highlight w:val="yellow"/>
        </w:rPr>
      </w:pPr>
    </w:p>
    <w:p w:rsidR="00B50C25" w:rsidRDefault="00B50C25">
      <w:pPr>
        <w:rPr>
          <w:rFonts w:ascii="Times New Roman" w:hAnsi="Times New Roman" w:cs="Times New Roman"/>
          <w:highlight w:val="yellow"/>
        </w:rPr>
      </w:pPr>
    </w:p>
    <w:p w:rsidR="00B50C25" w:rsidRDefault="00B50C25">
      <w:pPr>
        <w:rPr>
          <w:rFonts w:ascii="Times New Roman" w:hAnsi="Times New Roman" w:cs="Times New Roman"/>
          <w:highlight w:val="yellow"/>
        </w:rPr>
      </w:pPr>
    </w:p>
    <w:p w:rsidR="00B50C25" w:rsidRDefault="00B50C25">
      <w:pPr>
        <w:rPr>
          <w:rFonts w:ascii="Times New Roman" w:hAnsi="Times New Roman" w:cs="Times New Roman"/>
          <w:highlight w:val="yellow"/>
        </w:rPr>
      </w:pPr>
    </w:p>
    <w:p w:rsidR="00B50C25" w:rsidRDefault="00A36838">
      <w:pPr>
        <w:rPr>
          <w:rFonts w:ascii="Times New Roman" w:hAnsi="Times New Roman" w:cs="Times New Roman"/>
          <w:highlight w:val="yellow"/>
        </w:rPr>
      </w:pPr>
      <w:r>
        <w:rPr>
          <w:rFonts w:ascii="Times New Roman" w:hAnsi="Times New Roman" w:cs="Times New Roman"/>
          <w:highlight w:val="yellow"/>
        </w:rPr>
        <w:t xml:space="preserve">Chart 1: </w:t>
      </w:r>
    </w:p>
    <w:p w:rsidR="00B50C25" w:rsidRDefault="00D01A17">
      <w:pPr>
        <w:rPr>
          <w:rFonts w:ascii="Times New Roman" w:hAnsi="Times New Roman" w:cs="Times New Roman"/>
          <w:highlight w:val="yellow"/>
        </w:rPr>
      </w:pPr>
      <w:r>
        <w:rPr>
          <w:rFonts w:ascii="Times New Roman" w:hAnsi="Times New Roman" w:cs="Times New Roman"/>
          <w:highlight w:val="yellow"/>
        </w:rPr>
        <w:t xml:space="preserve">Sampling coordinates for Protected Area. </w:t>
      </w:r>
    </w:p>
    <w:tbl>
      <w:tblPr>
        <w:tblW w:w="0" w:type="auto"/>
        <w:tblLook w:val="04A0" w:firstRow="1" w:lastRow="0" w:firstColumn="1" w:lastColumn="0" w:noHBand="0" w:noVBand="1"/>
      </w:tblPr>
      <w:tblGrid>
        <w:gridCol w:w="1847"/>
        <w:gridCol w:w="1848"/>
        <w:gridCol w:w="1849"/>
        <w:gridCol w:w="1849"/>
      </w:tblGrid>
      <w:tr w:rsidR="00B50C25">
        <w:tc>
          <w:tcPr>
            <w:tcW w:w="1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PLOT 1</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PLOT 2</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PLOT 3</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PLOT 4</w:t>
            </w:r>
          </w:p>
        </w:tc>
      </w:tr>
      <w:tr w:rsidR="00B50C25">
        <w:tc>
          <w:tcPr>
            <w:tcW w:w="1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19’31.1”</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 xml:space="preserve">    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50’19.9”</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19’31.6”</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 xml:space="preserve">    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50’19.1”</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19’30.4”</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 xml:space="preserve">    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50’18.6”</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A</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 xml:space="preserve"> 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19’30.2”</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 xml:space="preserve">    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50’18.5”</w:t>
            </w:r>
          </w:p>
        </w:tc>
      </w:tr>
      <w:tr w:rsidR="00B50C25">
        <w:tc>
          <w:tcPr>
            <w:tcW w:w="1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B  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19’30.4”</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 xml:space="preserve"> </w:t>
            </w:r>
            <w:r>
              <w:rPr>
                <w:rFonts w:ascii="Times New Roman" w:hAnsi="Times New Roman" w:cs="Times New Roman"/>
                <w:sz w:val="24"/>
                <w:szCs w:val="24"/>
                <w:vertAlign w:val="superscript"/>
                <w:lang w:val="en-GB"/>
              </w:rPr>
              <w:t xml:space="preserve">   </w:t>
            </w:r>
            <w:r>
              <w:rPr>
                <w:rFonts w:ascii="Times New Roman" w:hAnsi="Times New Roman" w:cs="Times New Roman"/>
                <w:sz w:val="24"/>
                <w:szCs w:val="24"/>
                <w:lang w:val="en-GB"/>
              </w:rPr>
              <w:t xml:space="preserve">  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50’19.6”</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B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19’30.6”</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 xml:space="preserve">    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50’19.4”</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B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19’30.0”</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 xml:space="preserve">    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50’19.1”</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B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19’27.7”</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 xml:space="preserve">    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50’19.7”</w:t>
            </w:r>
          </w:p>
        </w:tc>
      </w:tr>
      <w:tr w:rsidR="00B50C25">
        <w:tc>
          <w:tcPr>
            <w:tcW w:w="1847"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C  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19’28.9”</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50’20.2”</w:t>
            </w:r>
          </w:p>
        </w:tc>
        <w:tc>
          <w:tcPr>
            <w:tcW w:w="1848"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C </w:t>
            </w:r>
          </w:p>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19’29.7”</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50’19.5”</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C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19’29.4”</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50’19.6”</w:t>
            </w:r>
          </w:p>
        </w:tc>
        <w:tc>
          <w:tcPr>
            <w:tcW w:w="1849" w:type="dxa"/>
            <w:tcBorders>
              <w:top w:val="single" w:sz="4" w:space="0" w:color="000000"/>
              <w:left w:val="single" w:sz="4" w:space="0" w:color="000000"/>
              <w:bottom w:val="single" w:sz="4" w:space="0" w:color="000000"/>
              <w:right w:val="single" w:sz="4" w:space="0" w:color="000000"/>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C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19’28.9”</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50’17.9”</w:t>
            </w:r>
          </w:p>
        </w:tc>
      </w:tr>
    </w:tbl>
    <w:p w:rsidR="00B50C25" w:rsidRDefault="00B50C25">
      <w:pPr>
        <w:pStyle w:val="Heading1"/>
        <w:spacing w:before="0" w:line="480" w:lineRule="auto"/>
        <w:jc w:val="both"/>
        <w:rPr>
          <w:rFonts w:ascii="Times New Roman" w:hAnsi="Times New Roman" w:cs="Times New Roman"/>
          <w:color w:val="auto"/>
          <w:sz w:val="22"/>
          <w:szCs w:val="22"/>
        </w:rPr>
      </w:pPr>
    </w:p>
    <w:p w:rsidR="00B50C25" w:rsidRDefault="00B50C25">
      <w:pPr>
        <w:pStyle w:val="Heading1"/>
        <w:spacing w:before="0" w:line="480" w:lineRule="auto"/>
        <w:jc w:val="both"/>
        <w:rPr>
          <w:rFonts w:ascii="Times New Roman" w:hAnsi="Times New Roman" w:cs="Times New Roman"/>
          <w:color w:val="auto"/>
          <w:sz w:val="22"/>
          <w:szCs w:val="22"/>
        </w:rPr>
      </w:pPr>
    </w:p>
    <w:p w:rsidR="00B50C25" w:rsidRDefault="00B50C25">
      <w:pPr>
        <w:spacing w:line="480" w:lineRule="auto"/>
        <w:jc w:val="both"/>
        <w:rPr>
          <w:rFonts w:ascii="Times New Roman" w:hAnsi="Times New Roman" w:cs="Times New Roman"/>
        </w:rPr>
      </w:pPr>
    </w:p>
    <w:p w:rsidR="00B50C25" w:rsidRDefault="00B50C25">
      <w:pPr>
        <w:spacing w:line="480" w:lineRule="auto"/>
        <w:jc w:val="both"/>
        <w:rPr>
          <w:rFonts w:ascii="Times New Roman" w:hAnsi="Times New Roman" w:cs="Times New Roman"/>
        </w:rPr>
      </w:pPr>
    </w:p>
    <w:p w:rsidR="00B50C25" w:rsidRDefault="00B50C25">
      <w:pPr>
        <w:spacing w:line="480" w:lineRule="auto"/>
        <w:jc w:val="both"/>
        <w:rPr>
          <w:rFonts w:ascii="Times New Roman" w:hAnsi="Times New Roman" w:cs="Times New Roman"/>
        </w:rPr>
      </w:pPr>
    </w:p>
    <w:p w:rsidR="00B50C25" w:rsidRDefault="00A36838">
      <w:pPr>
        <w:spacing w:line="480" w:lineRule="auto"/>
        <w:jc w:val="both"/>
        <w:rPr>
          <w:rFonts w:ascii="Times New Roman" w:hAnsi="Times New Roman" w:cs="Times New Roman"/>
        </w:rPr>
      </w:pPr>
      <w:r>
        <w:rPr>
          <w:rFonts w:ascii="Times New Roman" w:hAnsi="Times New Roman" w:cs="Times New Roman"/>
        </w:rPr>
        <w:t xml:space="preserve">Chart 2: </w:t>
      </w:r>
      <w:bookmarkStart w:id="5" w:name="_GoBack"/>
      <w:bookmarkEnd w:id="5"/>
    </w:p>
    <w:p w:rsidR="00B50C25" w:rsidRDefault="00D01A17">
      <w:pPr>
        <w:rPr>
          <w:rFonts w:ascii="Times New Roman" w:hAnsi="Times New Roman" w:cs="Times New Roman"/>
          <w:highlight w:val="yellow"/>
        </w:rPr>
      </w:pPr>
      <w:r>
        <w:rPr>
          <w:rFonts w:ascii="Times New Roman" w:hAnsi="Times New Roman" w:cs="Times New Roman"/>
          <w:highlight w:val="yellow"/>
        </w:rPr>
        <w:t>Sampling Coordinates for Unprotected Area</w:t>
      </w:r>
    </w:p>
    <w:tbl>
      <w:tblPr>
        <w:tblW w:w="0" w:type="auto"/>
        <w:tblLook w:val="04A0" w:firstRow="1" w:lastRow="0" w:firstColumn="1" w:lastColumn="0" w:noHBand="0" w:noVBand="1"/>
      </w:tblPr>
      <w:tblGrid>
        <w:gridCol w:w="2310"/>
        <w:gridCol w:w="2310"/>
        <w:gridCol w:w="2311"/>
        <w:gridCol w:w="2311"/>
      </w:tblGrid>
      <w:tr w:rsidR="00B50C25">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PLOT 1</w:t>
            </w:r>
          </w:p>
        </w:tc>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PLOT 2</w:t>
            </w:r>
          </w:p>
        </w:tc>
        <w:tc>
          <w:tcPr>
            <w:tcW w:w="23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PLOT 3</w:t>
            </w:r>
          </w:p>
        </w:tc>
        <w:tc>
          <w:tcPr>
            <w:tcW w:w="23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PLOT 4</w:t>
            </w:r>
          </w:p>
        </w:tc>
      </w:tr>
      <w:tr w:rsidR="00B50C25">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19’28.7”</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52’54.4”</w:t>
            </w:r>
          </w:p>
        </w:tc>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19’28.4”</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52’54.6”</w:t>
            </w:r>
          </w:p>
        </w:tc>
        <w:tc>
          <w:tcPr>
            <w:tcW w:w="23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19’27.6”</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52’54.9”</w:t>
            </w:r>
          </w:p>
        </w:tc>
        <w:tc>
          <w:tcPr>
            <w:tcW w:w="23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A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19’26.9”</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52’55.3”</w:t>
            </w:r>
          </w:p>
        </w:tc>
      </w:tr>
      <w:tr w:rsidR="00B50C25">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B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19’29.1”</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52’55.4”</w:t>
            </w:r>
          </w:p>
        </w:tc>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B </w:t>
            </w:r>
          </w:p>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19’28.5”</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52’55.8”</w:t>
            </w:r>
          </w:p>
        </w:tc>
        <w:tc>
          <w:tcPr>
            <w:tcW w:w="23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B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19’27.7”</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52’55.7”</w:t>
            </w:r>
          </w:p>
        </w:tc>
        <w:tc>
          <w:tcPr>
            <w:tcW w:w="23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B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19’27.3”</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52’56.2”</w:t>
            </w:r>
          </w:p>
        </w:tc>
      </w:tr>
      <w:tr w:rsidR="00B50C25">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C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19’29.0”</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52’56.1”</w:t>
            </w:r>
          </w:p>
        </w:tc>
        <w:tc>
          <w:tcPr>
            <w:tcW w:w="231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C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w:t>
            </w:r>
            <w:r>
              <w:rPr>
                <w:rFonts w:ascii="Times New Roman" w:hAnsi="Times New Roman" w:cs="Times New Roman"/>
                <w:sz w:val="24"/>
                <w:szCs w:val="24"/>
                <w:lang w:val="en-GB"/>
              </w:rPr>
              <w:t>28.6”</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52’56.4”</w:t>
            </w:r>
          </w:p>
        </w:tc>
        <w:tc>
          <w:tcPr>
            <w:tcW w:w="23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C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19’27.6”</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52’56.4”</w:t>
            </w:r>
          </w:p>
        </w:tc>
        <w:tc>
          <w:tcPr>
            <w:tcW w:w="2311"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B50C25" w:rsidRDefault="00D01A17">
            <w:pPr>
              <w:spacing w:line="480" w:lineRule="auto"/>
              <w:rPr>
                <w:rFonts w:ascii="Times New Roman" w:hAnsi="Times New Roman" w:cs="Times New Roman"/>
                <w:sz w:val="24"/>
                <w:szCs w:val="24"/>
                <w:lang w:val="en-GB"/>
              </w:rPr>
            </w:pPr>
            <w:r>
              <w:rPr>
                <w:rFonts w:ascii="Times New Roman" w:hAnsi="Times New Roman" w:cs="Times New Roman"/>
                <w:sz w:val="24"/>
                <w:szCs w:val="24"/>
                <w:lang w:val="en-GB"/>
              </w:rPr>
              <w:t xml:space="preserve">C </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N10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19’27.8”</w:t>
            </w:r>
          </w:p>
          <w:p w:rsidR="00B50C25" w:rsidRDefault="00D01A17">
            <w:pPr>
              <w:spacing w:line="480" w:lineRule="auto"/>
              <w:rPr>
                <w:rFonts w:ascii="Times New Roman" w:hAnsi="Times New Roman" w:cs="Times New Roman"/>
              </w:rPr>
            </w:pPr>
            <w:r>
              <w:rPr>
                <w:rFonts w:ascii="Times New Roman" w:hAnsi="Times New Roman" w:cs="Times New Roman"/>
                <w:sz w:val="24"/>
                <w:szCs w:val="24"/>
                <w:lang w:val="en-GB"/>
              </w:rPr>
              <w:t>W000</w:t>
            </w:r>
            <w:r>
              <w:rPr>
                <w:rFonts w:ascii="Times New Roman" w:hAnsi="Times New Roman" w:cs="Times New Roman"/>
                <w:sz w:val="24"/>
                <w:szCs w:val="24"/>
                <w:vertAlign w:val="superscript"/>
                <w:lang w:val="en-GB"/>
              </w:rPr>
              <w:t>0</w:t>
            </w:r>
            <w:r>
              <w:rPr>
                <w:rFonts w:ascii="Times New Roman" w:hAnsi="Times New Roman" w:cs="Times New Roman"/>
                <w:sz w:val="24"/>
                <w:szCs w:val="24"/>
                <w:lang w:val="en-GB"/>
              </w:rPr>
              <w:t>52’56.8”</w:t>
            </w:r>
          </w:p>
        </w:tc>
      </w:tr>
    </w:tbl>
    <w:p w:rsidR="00B50C25" w:rsidRDefault="00B50C25">
      <w:pPr>
        <w:pStyle w:val="Heading1"/>
        <w:spacing w:before="0" w:line="480" w:lineRule="auto"/>
        <w:jc w:val="both"/>
        <w:rPr>
          <w:rFonts w:ascii="Times New Roman" w:hAnsi="Times New Roman" w:cs="Times New Roman"/>
          <w:color w:val="auto"/>
          <w:sz w:val="22"/>
          <w:szCs w:val="22"/>
        </w:rPr>
      </w:pPr>
    </w:p>
    <w:bookmarkEnd w:id="4"/>
    <w:p w:rsidR="00B50C25" w:rsidRDefault="00B50C25">
      <w:pPr>
        <w:rPr>
          <w:rFonts w:ascii="Times New Roman" w:hAnsi="Times New Roman" w:cs="Times New Roman"/>
        </w:rPr>
      </w:pPr>
    </w:p>
    <w:sectPr w:rsidR="00B50C25">
      <w:headerReference w:type="even" r:id="rId17"/>
      <w:headerReference w:type="default" r:id="rId18"/>
      <w:headerReference w:type="first" r:id="rId19"/>
      <w:pgSz w:w="12240" w:h="1584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01A17" w:rsidRDefault="00D01A17">
      <w:pPr>
        <w:spacing w:after="0" w:line="240" w:lineRule="auto"/>
      </w:pPr>
      <w:r>
        <w:separator/>
      </w:r>
    </w:p>
  </w:endnote>
  <w:endnote w:type="continuationSeparator" w:id="0">
    <w:p w:rsidR="00D01A17" w:rsidRDefault="00D01A1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ourier New">
    <w:panose1 w:val="02070309020205020404"/>
    <w:charset w:val="00"/>
    <w:family w:val="modern"/>
    <w:pitch w:val="fixed"/>
    <w:sig w:usb0="E0002EFF" w:usb1="C0007843"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01A17" w:rsidRDefault="00D01A17">
      <w:pPr>
        <w:spacing w:after="0" w:line="240" w:lineRule="auto"/>
      </w:pPr>
      <w:r>
        <w:separator/>
      </w:r>
    </w:p>
  </w:footnote>
  <w:footnote w:type="continuationSeparator" w:id="0">
    <w:p w:rsidR="00D01A17" w:rsidRDefault="00D01A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C25" w:rsidRDefault="00D01A17">
    <w:pPr>
      <w:pStyle w:val="Header"/>
    </w:pPr>
    <w:r>
      <w:rPr>
        <w:noProof/>
      </w:rPr>
      <w:object w:dxaOrig="1440" w:dyaOrig="144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8" o:spid="_x0000_s2051" type="#_x0000_t136" style="position:absolute;margin-left:0;margin-top:0;width:555.6pt;height:104.15pt;rotation:-45;z-index:-251658752;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o:OLEObject Type="Embed" ProgID="Excel.Chart.8" ShapeID="4098" DrawAspect="Content" ObjectID="_1814621062" r:id="rId1"/>
      </w:obje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C25" w:rsidRDefault="00D01A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099" o:spid="_x0000_s2050" type="#_x0000_t136" style="position:absolute;margin-left:0;margin-top:0;width:555.6pt;height:104.15pt;rotation:-45;z-index:-251657728;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0C25" w:rsidRDefault="00D01A17">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4100" o:spid="_x0000_s2049" type="#_x0000_t136" style="position:absolute;margin-left:0;margin-top:0;width:555.6pt;height:104.15pt;rotation:-45;z-index:-251659776;visibility:visible;mso-wrap-distance-left:0;mso-wrap-distance-right:0;mso-position-horizontal:center;mso-position-horizontal-relative:margin;mso-position-vertical:center;mso-position-vertical-relative:margin;mso-width-relative:page;mso-height-relative:page"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multiLevelType w:val="hybridMultilevel"/>
    <w:tmpl w:val="4C84F8B2"/>
    <w:lvl w:ilvl="0" w:tplc="17928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1"/>
    <w:multiLevelType w:val="hybridMultilevel"/>
    <w:tmpl w:val="4C84F8B2"/>
    <w:lvl w:ilvl="0" w:tplc="17928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2"/>
    <w:multiLevelType w:val="hybridMultilevel"/>
    <w:tmpl w:val="4C84F8B2"/>
    <w:lvl w:ilvl="0" w:tplc="17928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0000003"/>
    <w:multiLevelType w:val="multilevel"/>
    <w:tmpl w:val="A994196E"/>
    <w:lvl w:ilvl="0">
      <w:start w:val="1"/>
      <w:numFmt w:val="decimal"/>
      <w:lvlText w:val="%1."/>
      <w:lvlJc w:val="left"/>
      <w:pPr>
        <w:ind w:left="72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 w15:restartNumberingAfterBreak="0">
    <w:nsid w:val="00000004"/>
    <w:multiLevelType w:val="hybridMultilevel"/>
    <w:tmpl w:val="4C84F8B2"/>
    <w:lvl w:ilvl="0" w:tplc="1792891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5"/>
    <w:multiLevelType w:val="multilevel"/>
    <w:tmpl w:val="407EB7E6"/>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6" w15:restartNumberingAfterBreak="0">
    <w:nsid w:val="00000006"/>
    <w:multiLevelType w:val="multilevel"/>
    <w:tmpl w:val="6E2E66F6"/>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6"/>
  </w:num>
  <w:num w:numId="2">
    <w:abstractNumId w:val="4"/>
  </w:num>
  <w:num w:numId="3">
    <w:abstractNumId w:val="3"/>
  </w:num>
  <w:num w:numId="4">
    <w:abstractNumId w:val="2"/>
  </w:num>
  <w:num w:numId="5">
    <w:abstractNumId w:val="0"/>
  </w:num>
  <w:num w:numId="6">
    <w:abstractNumId w:val="1"/>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B50C25"/>
    <w:rsid w:val="0082015F"/>
    <w:rsid w:val="00A36838"/>
    <w:rsid w:val="00B50C25"/>
    <w:rsid w:val="00D01A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6F1DDD2D"/>
  <w15:docId w15:val="{BCDD5534-7268-4615-BCAA-6117FDA199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spacing w:before="480" w:after="0"/>
      <w:outlineLvl w:val="0"/>
    </w:pPr>
    <w:rPr>
      <w:rFonts w:ascii="Cambria" w:eastAsia="SimSun" w:hAnsi="Cambria"/>
      <w:b/>
      <w:bCs/>
      <w:color w:val="365F91"/>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rPr>
      <w:color w:val="0000FF"/>
      <w:u w:val="single"/>
    </w:rPr>
  </w:style>
  <w:style w:type="paragraph" w:styleId="BalloonText">
    <w:name w:val="Balloon Text"/>
    <w:basedOn w:val="Normal"/>
    <w:link w:val="BalloonTextChar"/>
    <w:uiPriority w:val="9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Pr>
      <w:rFonts w:ascii="Tahoma" w:hAnsi="Tahoma" w:cs="Tahoma"/>
      <w:sz w:val="16"/>
      <w:szCs w:val="16"/>
    </w:rPr>
  </w:style>
  <w:style w:type="paragraph" w:styleId="PlainText">
    <w:name w:val="Plain Text"/>
    <w:basedOn w:val="Normal"/>
    <w:link w:val="PlainTextChar"/>
    <w:uiPriority w:val="99"/>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rPr>
      <w:rFonts w:ascii="Consolas" w:hAnsi="Consolas"/>
      <w:sz w:val="21"/>
      <w:szCs w:val="21"/>
    </w:rPr>
  </w:style>
  <w:style w:type="character" w:customStyle="1" w:styleId="Heading1Char">
    <w:name w:val="Heading 1 Char"/>
    <w:basedOn w:val="DefaultParagraphFont"/>
    <w:link w:val="Heading1"/>
    <w:uiPriority w:val="9"/>
    <w:rPr>
      <w:rFonts w:ascii="Cambria" w:eastAsia="SimSun" w:hAnsi="Cambria" w:cs="SimSun"/>
      <w:b/>
      <w:bCs/>
      <w:color w:val="365F91"/>
      <w:sz w:val="28"/>
      <w:szCs w:val="28"/>
    </w:rPr>
  </w:style>
  <w:style w:type="character" w:customStyle="1" w:styleId="referencesyear">
    <w:name w:val="references__year"/>
    <w:basedOn w:val="DefaultParagraphFont"/>
  </w:style>
  <w:style w:type="character" w:styleId="Strong">
    <w:name w:val="Strong"/>
    <w:basedOn w:val="DefaultParagraphFont"/>
    <w:uiPriority w:val="22"/>
    <w:qFormat/>
    <w:rPr>
      <w:b/>
      <w:bCs/>
    </w:rPr>
  </w:style>
  <w:style w:type="character" w:customStyle="1" w:styleId="nlmpublisher-loc">
    <w:name w:val="nlm_publisher-loc"/>
    <w:basedOn w:val="DefaultParagraphFont"/>
  </w:style>
  <w:style w:type="character" w:customStyle="1" w:styleId="nlmpublisher-name">
    <w:name w:val="nlm_publisher-name"/>
    <w:basedOn w:val="DefaultParagraphFont"/>
  </w:style>
  <w:style w:type="paragraph" w:customStyle="1" w:styleId="c-article-referencestext">
    <w:name w:val="c-article-references__text"/>
    <w:basedOn w:val="Normal"/>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rPr>
      <w:color w:val="605E5C"/>
      <w:shd w:val="clear" w:color="auto" w:fill="E1DFDD"/>
    </w:rPr>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cdnsciencepub.com/doi/abs/10.4141/S00-041" TargetMode="External"/><Relationship Id="rId18"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hyperlink" Target="https://cdnsciencepub.com/doi/abs/10.4141/S00-041" TargetMode="External"/><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fao.org/forestry/sfm/en/" TargetMode="Externa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cdnsciencepub.com/doi/abs/10.4141/S00-041" TargetMode="External"/><Relationship Id="rId5" Type="http://schemas.openxmlformats.org/officeDocument/2006/relationships/footnotes" Target="footnotes.xml"/><Relationship Id="rId15" Type="http://schemas.openxmlformats.org/officeDocument/2006/relationships/hyperlink" Target="https://doi.org/10.1016/bs.aambs.2016.03.001" TargetMode="External"/><Relationship Id="rId10" Type="http://schemas.openxmlformats.org/officeDocument/2006/relationships/hyperlink" Target="http://scholar.google.com/scholar?hl=en&amp;q=ISRIC.+2007+Green+water+credits.+Wageningen%2C+The+Netherlands%3A+ISRIC%E2%80%94World+Soil+Information." TargetMode="External"/><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chart" Target="charts/chart1.xml"/><Relationship Id="rId14" Type="http://schemas.openxmlformats.org/officeDocument/2006/relationships/hyperlink" Target="https://doi.org/10.4141/S00-041" TargetMode="External"/></Relationships>
</file>

<file path=word/_rels/header1.xml.rels><?xml version="1.0" encoding="UTF-8" standalone="yes"?>
<Relationships xmlns="http://schemas.openxmlformats.org/package/2006/relationships"><Relationship Id="rId1" Type="http://schemas.openxmlformats.org/officeDocument/2006/relationships/oleObject" Target="embeddings/Microsoft_Excel_Chart.xls"/></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0.12697452673488199"/>
          <c:y val="2.8252405949256338E-2"/>
          <c:w val="0.79022223671316461"/>
          <c:h val="0.63297754447360965"/>
        </c:manualLayout>
      </c:layout>
      <c:barChart>
        <c:barDir val="col"/>
        <c:grouping val="clustered"/>
        <c:varyColors val="0"/>
        <c:ser>
          <c:idx val="0"/>
          <c:order val="0"/>
          <c:tx>
            <c:v>PF</c:v>
          </c:tx>
          <c:spPr>
            <a:solidFill>
              <a:srgbClr val="92D050"/>
            </a:solidFill>
          </c:spPr>
          <c:invertIfNegative val="0"/>
          <c:cat>
            <c:strRef>
              <c:f>Sheet1!$E$7:$E$16</c:f>
              <c:strCache>
                <c:ptCount val="10"/>
                <c:pt idx="0">
                  <c:v>Staphylococcus </c:v>
                </c:pt>
                <c:pt idx="1">
                  <c:v>Staphylococcus </c:v>
                </c:pt>
                <c:pt idx="2">
                  <c:v>Moulds &amp;Yeast  </c:v>
                </c:pt>
                <c:pt idx="3">
                  <c:v>Moulds &amp;Yeast </c:v>
                </c:pt>
                <c:pt idx="4">
                  <c:v>Pseudomonas </c:v>
                </c:pt>
                <c:pt idx="5">
                  <c:v>Pseudomonas </c:v>
                </c:pt>
                <c:pt idx="6">
                  <c:v>Total plate</c:v>
                </c:pt>
                <c:pt idx="7">
                  <c:v>Total plate</c:v>
                </c:pt>
                <c:pt idx="8">
                  <c:v>E-Coli</c:v>
                </c:pt>
                <c:pt idx="9">
                  <c:v>E-Coli</c:v>
                </c:pt>
              </c:strCache>
            </c:strRef>
          </c:cat>
          <c:val>
            <c:numRef>
              <c:f>Sheet1!$F$7:$F$16</c:f>
              <c:numCache>
                <c:formatCode>General</c:formatCode>
                <c:ptCount val="10"/>
              </c:numCache>
            </c:numRef>
          </c:val>
          <c:extLst>
            <c:ext xmlns:c16="http://schemas.microsoft.com/office/drawing/2014/chart" uri="{C3380CC4-5D6E-409C-BE32-E72D297353CC}">
              <c16:uniqueId val="{00000000-7A8B-47F6-B2B7-BD97CC67574D}"/>
            </c:ext>
          </c:extLst>
        </c:ser>
        <c:ser>
          <c:idx val="1"/>
          <c:order val="1"/>
          <c:tx>
            <c:v>UF</c:v>
          </c:tx>
          <c:spPr>
            <a:solidFill>
              <a:srgbClr val="FFC000"/>
            </a:solidFill>
          </c:spPr>
          <c:invertIfNegative val="0"/>
          <c:dPt>
            <c:idx val="0"/>
            <c:invertIfNegative val="0"/>
            <c:bubble3D val="0"/>
            <c:spPr>
              <a:solidFill>
                <a:srgbClr val="92D050"/>
              </a:solidFill>
            </c:spPr>
            <c:extLst>
              <c:ext xmlns:c16="http://schemas.microsoft.com/office/drawing/2014/chart" uri="{C3380CC4-5D6E-409C-BE32-E72D297353CC}">
                <c16:uniqueId val="{00000002-7A8B-47F6-B2B7-BD97CC67574D}"/>
              </c:ext>
            </c:extLst>
          </c:dPt>
          <c:dPt>
            <c:idx val="2"/>
            <c:invertIfNegative val="0"/>
            <c:bubble3D val="0"/>
            <c:spPr>
              <a:solidFill>
                <a:srgbClr val="92D050"/>
              </a:solidFill>
            </c:spPr>
            <c:extLst>
              <c:ext xmlns:c16="http://schemas.microsoft.com/office/drawing/2014/chart" uri="{C3380CC4-5D6E-409C-BE32-E72D297353CC}">
                <c16:uniqueId val="{00000004-7A8B-47F6-B2B7-BD97CC67574D}"/>
              </c:ext>
            </c:extLst>
          </c:dPt>
          <c:dPt>
            <c:idx val="4"/>
            <c:invertIfNegative val="0"/>
            <c:bubble3D val="0"/>
            <c:spPr>
              <a:solidFill>
                <a:srgbClr val="92D050"/>
              </a:solidFill>
            </c:spPr>
            <c:extLst>
              <c:ext xmlns:c16="http://schemas.microsoft.com/office/drawing/2014/chart" uri="{C3380CC4-5D6E-409C-BE32-E72D297353CC}">
                <c16:uniqueId val="{00000006-7A8B-47F6-B2B7-BD97CC67574D}"/>
              </c:ext>
            </c:extLst>
          </c:dPt>
          <c:dPt>
            <c:idx val="6"/>
            <c:invertIfNegative val="0"/>
            <c:bubble3D val="0"/>
            <c:spPr>
              <a:solidFill>
                <a:srgbClr val="92D050"/>
              </a:solidFill>
            </c:spPr>
            <c:extLst>
              <c:ext xmlns:c16="http://schemas.microsoft.com/office/drawing/2014/chart" uri="{C3380CC4-5D6E-409C-BE32-E72D297353CC}">
                <c16:uniqueId val="{00000008-7A8B-47F6-B2B7-BD97CC67574D}"/>
              </c:ext>
            </c:extLst>
          </c:dPt>
          <c:dPt>
            <c:idx val="8"/>
            <c:invertIfNegative val="0"/>
            <c:bubble3D val="0"/>
            <c:spPr>
              <a:solidFill>
                <a:srgbClr val="92D050"/>
              </a:solidFill>
            </c:spPr>
            <c:extLst>
              <c:ext xmlns:c16="http://schemas.microsoft.com/office/drawing/2014/chart" uri="{C3380CC4-5D6E-409C-BE32-E72D297353CC}">
                <c16:uniqueId val="{0000000A-7A8B-47F6-B2B7-BD97CC67574D}"/>
              </c:ext>
            </c:extLst>
          </c:dPt>
          <c:cat>
            <c:strRef>
              <c:f>Sheet1!$E$7:$E$16</c:f>
              <c:strCache>
                <c:ptCount val="10"/>
                <c:pt idx="0">
                  <c:v>Staphylococcus </c:v>
                </c:pt>
                <c:pt idx="1">
                  <c:v>Staphylococcus </c:v>
                </c:pt>
                <c:pt idx="2">
                  <c:v>Moulds &amp;Yeast  </c:v>
                </c:pt>
                <c:pt idx="3">
                  <c:v>Moulds &amp;Yeast </c:v>
                </c:pt>
                <c:pt idx="4">
                  <c:v>Pseudomonas </c:v>
                </c:pt>
                <c:pt idx="5">
                  <c:v>Pseudomonas </c:v>
                </c:pt>
                <c:pt idx="6">
                  <c:v>Total plate</c:v>
                </c:pt>
                <c:pt idx="7">
                  <c:v>Total plate</c:v>
                </c:pt>
                <c:pt idx="8">
                  <c:v>E-Coli</c:v>
                </c:pt>
                <c:pt idx="9">
                  <c:v>E-Coli</c:v>
                </c:pt>
              </c:strCache>
            </c:strRef>
          </c:cat>
          <c:val>
            <c:numRef>
              <c:f>Sheet1!$G$7:$G$16</c:f>
              <c:numCache>
                <c:formatCode>General</c:formatCode>
                <c:ptCount val="10"/>
                <c:pt idx="0">
                  <c:v>195776.8</c:v>
                </c:pt>
                <c:pt idx="1">
                  <c:v>92893</c:v>
                </c:pt>
                <c:pt idx="2">
                  <c:v>236723</c:v>
                </c:pt>
                <c:pt idx="3">
                  <c:v>138118.79999999999</c:v>
                </c:pt>
                <c:pt idx="4">
                  <c:v>458.75</c:v>
                </c:pt>
                <c:pt idx="5">
                  <c:v>122.5</c:v>
                </c:pt>
                <c:pt idx="6">
                  <c:v>461015</c:v>
                </c:pt>
                <c:pt idx="7">
                  <c:v>300321.3</c:v>
                </c:pt>
                <c:pt idx="8">
                  <c:v>61260</c:v>
                </c:pt>
                <c:pt idx="9">
                  <c:v>34018</c:v>
                </c:pt>
              </c:numCache>
            </c:numRef>
          </c:val>
          <c:extLst>
            <c:ext xmlns:c16="http://schemas.microsoft.com/office/drawing/2014/chart" uri="{C3380CC4-5D6E-409C-BE32-E72D297353CC}">
              <c16:uniqueId val="{0000000B-7A8B-47F6-B2B7-BD97CC67574D}"/>
            </c:ext>
          </c:extLst>
        </c:ser>
        <c:dLbls>
          <c:showLegendKey val="0"/>
          <c:showVal val="0"/>
          <c:showCatName val="0"/>
          <c:showSerName val="0"/>
          <c:showPercent val="0"/>
          <c:showBubbleSize val="0"/>
        </c:dLbls>
        <c:gapWidth val="150"/>
        <c:axId val="53302400"/>
        <c:axId val="53303936"/>
      </c:barChart>
      <c:catAx>
        <c:axId val="53302400"/>
        <c:scaling>
          <c:orientation val="minMax"/>
        </c:scaling>
        <c:delete val="0"/>
        <c:axPos val="b"/>
        <c:numFmt formatCode="General" sourceLinked="0"/>
        <c:majorTickMark val="out"/>
        <c:minorTickMark val="none"/>
        <c:tickLblPos val="nextTo"/>
        <c:txPr>
          <a:bodyPr/>
          <a:lstStyle/>
          <a:p>
            <a:pPr>
              <a:defRPr lang="en-GB"/>
            </a:pPr>
            <a:endParaRPr lang="en-US"/>
          </a:p>
        </c:txPr>
        <c:crossAx val="53303936"/>
        <c:crosses val="autoZero"/>
        <c:auto val="1"/>
        <c:lblAlgn val="ctr"/>
        <c:lblOffset val="100"/>
        <c:noMultiLvlLbl val="0"/>
      </c:catAx>
      <c:valAx>
        <c:axId val="53303936"/>
        <c:scaling>
          <c:orientation val="minMax"/>
        </c:scaling>
        <c:delete val="0"/>
        <c:axPos val="l"/>
        <c:majorGridlines/>
        <c:numFmt formatCode="General" sourceLinked="1"/>
        <c:majorTickMark val="out"/>
        <c:minorTickMark val="none"/>
        <c:tickLblPos val="nextTo"/>
        <c:txPr>
          <a:bodyPr/>
          <a:lstStyle/>
          <a:p>
            <a:pPr>
              <a:defRPr lang="en-GB"/>
            </a:pPr>
            <a:endParaRPr lang="en-US"/>
          </a:p>
        </c:txPr>
        <c:crossAx val="53302400"/>
        <c:crosses val="autoZero"/>
        <c:crossBetween val="between"/>
      </c:valAx>
    </c:plotArea>
    <c:legend>
      <c:legendPos val="r"/>
      <c:overlay val="0"/>
      <c:txPr>
        <a:bodyPr/>
        <a:lstStyle/>
        <a:p>
          <a:pPr>
            <a:defRPr lang="en-GB"/>
          </a:pPr>
          <a:endParaRPr lang="en-US"/>
        </a:p>
      </c:txPr>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3394</TotalTime>
  <Pages>14</Pages>
  <Words>4299</Words>
  <Characters>24507</Characters>
  <Application>Microsoft Office Word</Application>
  <DocSecurity>0</DocSecurity>
  <Lines>204</Lines>
  <Paragraphs>57</Paragraphs>
  <ScaleCrop>false</ScaleCrop>
  <Company/>
  <LinksUpToDate>false</LinksUpToDate>
  <CharactersWithSpaces>28749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Mr Lawrence</dc:creator>
  <cp:lastModifiedBy>SDI 1137</cp:lastModifiedBy>
  <cp:revision>47</cp:revision>
  <dcterms:created xsi:type="dcterms:W3CDTF">2023-08-21T15:49:00Z</dcterms:created>
  <dcterms:modified xsi:type="dcterms:W3CDTF">2025-07-21T11:05:00Z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61fd6de27112460f870069bdf1de4bc6</vt:lpwstr>
  </property>
</Properties>
</file>