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A3855" w14:textId="22904886" w:rsidR="00163BC4" w:rsidRPr="00163BC4" w:rsidRDefault="00084E33" w:rsidP="00441B6F">
      <w:pPr>
        <w:pStyle w:val="Author"/>
        <w:spacing w:line="240" w:lineRule="auto"/>
        <w:rPr>
          <w:rFonts w:ascii="Arial" w:hAnsi="Arial" w:cs="Arial"/>
          <w:bCs/>
          <w:iCs/>
          <w:kern w:val="28"/>
          <w:sz w:val="36"/>
        </w:rPr>
      </w:pPr>
      <w:r w:rsidRPr="00084E33">
        <w:rPr>
          <w:rFonts w:ascii="Arial" w:hAnsi="Arial" w:cs="Arial"/>
          <w:bCs/>
          <w:iCs/>
          <w:kern w:val="28"/>
          <w:sz w:val="36"/>
        </w:rPr>
        <w:t>Prevalence, Trends, and Factors Associated with Abortion-Related Mortality in South-South Nigeria: A Five-Year Retrospective Study</w:t>
      </w:r>
    </w:p>
    <w:p w14:paraId="5FCFCCA0" w14:textId="77777777" w:rsidR="00A258C3" w:rsidRPr="00790ADA" w:rsidRDefault="00A258C3" w:rsidP="00441B6F">
      <w:pPr>
        <w:pStyle w:val="Author"/>
        <w:spacing w:line="240" w:lineRule="auto"/>
        <w:jc w:val="both"/>
        <w:rPr>
          <w:rFonts w:ascii="Arial" w:hAnsi="Arial" w:cs="Arial"/>
          <w:sz w:val="36"/>
        </w:rPr>
      </w:pPr>
    </w:p>
    <w:p w14:paraId="1A16B822" w14:textId="77777777" w:rsidR="00B01FCD" w:rsidRPr="00FB3A86" w:rsidRDefault="00000000" w:rsidP="00441B6F">
      <w:pPr>
        <w:pStyle w:val="Copyright"/>
        <w:spacing w:after="0" w:line="240" w:lineRule="auto"/>
        <w:jc w:val="both"/>
        <w:rPr>
          <w:rFonts w:ascii="Arial" w:hAnsi="Arial" w:cs="Arial"/>
        </w:rPr>
        <w:sectPr w:rsidR="00B01FCD" w:rsidRPr="00FB3A86" w:rsidSect="00257CF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7AEB6A7">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181AA83" w14:textId="5D14AF56"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446B70C" w14:textId="77777777" w:rsidTr="001E44FE">
        <w:tc>
          <w:tcPr>
            <w:tcW w:w="9576" w:type="dxa"/>
            <w:shd w:val="clear" w:color="auto" w:fill="F2F2F2"/>
          </w:tcPr>
          <w:p w14:paraId="262F05A3" w14:textId="77777777" w:rsidR="00A03B96" w:rsidRDefault="00A03B96" w:rsidP="00441B6F">
            <w:pPr>
              <w:pStyle w:val="Body"/>
              <w:spacing w:after="0"/>
              <w:rPr>
                <w:rFonts w:ascii="Arial" w:eastAsia="Calibri" w:hAnsi="Arial" w:cs="Arial"/>
                <w:szCs w:val="22"/>
              </w:rPr>
            </w:pPr>
          </w:p>
          <w:p w14:paraId="08403D97" w14:textId="4778786E" w:rsidR="0083504C" w:rsidRDefault="0083504C" w:rsidP="00441B6F">
            <w:pPr>
              <w:pStyle w:val="Body"/>
              <w:spacing w:after="0"/>
              <w:rPr>
                <w:rFonts w:ascii="Arial" w:eastAsia="Calibri" w:hAnsi="Arial" w:cs="Arial"/>
                <w:bCs/>
                <w:szCs w:val="22"/>
              </w:rPr>
            </w:pPr>
            <w:r>
              <w:rPr>
                <w:rFonts w:ascii="Arial" w:eastAsia="Calibri" w:hAnsi="Arial" w:cs="Arial"/>
                <w:b/>
                <w:szCs w:val="22"/>
              </w:rPr>
              <w:t xml:space="preserve">Background: </w:t>
            </w:r>
            <w:r w:rsidRPr="0083504C">
              <w:rPr>
                <w:rFonts w:ascii="Arial" w:eastAsia="Calibri" w:hAnsi="Arial" w:cs="Arial"/>
                <w:bCs/>
                <w:szCs w:val="22"/>
              </w:rPr>
              <w:t>Unsafe abortion remains a significant contributor to maternal mortality, particularly in low- and middle-income countries like Nigeria, where access to safe reproductive health services is often limited. Despite global efforts to reduce abortion-related deaths, the burden persists in many regions, including South-South Nigeria, where data on trends and determinants remain insufficient.</w:t>
            </w:r>
          </w:p>
          <w:p w14:paraId="661B3D95" w14:textId="77777777" w:rsidR="0083504C" w:rsidRPr="0083504C" w:rsidRDefault="0083504C" w:rsidP="00441B6F">
            <w:pPr>
              <w:pStyle w:val="Body"/>
              <w:spacing w:after="0"/>
              <w:rPr>
                <w:rFonts w:ascii="Arial" w:eastAsia="Calibri" w:hAnsi="Arial" w:cs="Arial"/>
                <w:bCs/>
                <w:szCs w:val="22"/>
              </w:rPr>
            </w:pPr>
          </w:p>
          <w:p w14:paraId="4A7E00B2" w14:textId="75B6FE21" w:rsidR="00084E33" w:rsidRPr="00084E33"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084E33" w:rsidRPr="00084E33">
              <w:rPr>
                <w:rFonts w:ascii="Arial" w:eastAsia="Calibri" w:hAnsi="Arial" w:cs="Arial"/>
                <w:szCs w:val="22"/>
              </w:rPr>
              <w:t>To determine the prevalence, trends, and factors associated with abortion-related mortality over a five-year period in a tertiary facility in South-South Nigeria.</w:t>
            </w:r>
          </w:p>
          <w:p w14:paraId="49D6934E" w14:textId="77777777" w:rsidR="00084E33" w:rsidRPr="00084E33" w:rsidRDefault="00084E33" w:rsidP="00441B6F">
            <w:pPr>
              <w:pStyle w:val="Body"/>
              <w:spacing w:after="0"/>
              <w:rPr>
                <w:rFonts w:ascii="Arial" w:eastAsia="Calibri" w:hAnsi="Arial" w:cs="Arial"/>
                <w:b/>
                <w:szCs w:val="22"/>
              </w:rPr>
            </w:pPr>
          </w:p>
          <w:p w14:paraId="7C205611" w14:textId="5BB7AFCD" w:rsidR="00BA1B01" w:rsidRDefault="00BA1B01" w:rsidP="00441B6F">
            <w:pPr>
              <w:pStyle w:val="Body"/>
              <w:spacing w:after="0"/>
              <w:rPr>
                <w:rFonts w:ascii="Arial" w:eastAsia="Calibri" w:hAnsi="Arial" w:cs="Arial"/>
                <w:b/>
                <w:szCs w:val="22"/>
              </w:rPr>
            </w:pPr>
            <w:r w:rsidRPr="00084E33">
              <w:rPr>
                <w:rFonts w:ascii="Arial" w:eastAsia="Calibri" w:hAnsi="Arial" w:cs="Arial"/>
                <w:b/>
                <w:szCs w:val="22"/>
              </w:rPr>
              <w:t>Study design</w:t>
            </w:r>
            <w:r w:rsidR="00084E33" w:rsidRPr="00084E33">
              <w:rPr>
                <w:rFonts w:ascii="Arial" w:hAnsi="Arial" w:cs="Arial"/>
              </w:rPr>
              <w:t xml:space="preserve"> </w:t>
            </w:r>
            <w:r w:rsidR="00084E33" w:rsidRPr="00084E33">
              <w:rPr>
                <w:rFonts w:ascii="Arial" w:eastAsia="Calibri" w:hAnsi="Arial" w:cs="Arial"/>
                <w:b/>
                <w:szCs w:val="22"/>
              </w:rPr>
              <w:t>A retrospective descriptive study.</w:t>
            </w:r>
          </w:p>
          <w:p w14:paraId="4ADFD2F5" w14:textId="77777777" w:rsidR="00084E33" w:rsidRPr="00BA1B01" w:rsidRDefault="00084E33" w:rsidP="00441B6F">
            <w:pPr>
              <w:pStyle w:val="Body"/>
              <w:spacing w:after="0"/>
              <w:rPr>
                <w:rFonts w:ascii="Arial" w:eastAsia="Calibri" w:hAnsi="Arial" w:cs="Arial"/>
                <w:szCs w:val="22"/>
              </w:rPr>
            </w:pPr>
          </w:p>
          <w:p w14:paraId="7F92CE59" w14:textId="535AF2C4" w:rsidR="00BA1B01" w:rsidRDefault="00BA1B01" w:rsidP="00441B6F">
            <w:pPr>
              <w:pStyle w:val="Body"/>
              <w:spacing w:after="0"/>
              <w:rPr>
                <w:rFonts w:ascii="Arial" w:eastAsia="Calibri" w:hAnsi="Arial" w:cs="Arial"/>
                <w:szCs w:val="22"/>
              </w:rPr>
            </w:pPr>
            <w:r w:rsidRPr="0083504C">
              <w:rPr>
                <w:rFonts w:ascii="Arial" w:eastAsia="Calibri" w:hAnsi="Arial" w:cs="Arial"/>
                <w:b/>
                <w:szCs w:val="22"/>
              </w:rPr>
              <w:t>Place and Duration of Study</w:t>
            </w:r>
            <w:r w:rsidRPr="00BA1B01">
              <w:rPr>
                <w:rFonts w:ascii="Arial" w:eastAsia="Calibri" w:hAnsi="Arial" w:cs="Arial"/>
                <w:b/>
                <w:szCs w:val="22"/>
              </w:rPr>
              <w:t>:</w:t>
            </w:r>
            <w:r w:rsidRPr="00BA1B01">
              <w:rPr>
                <w:rFonts w:ascii="Arial" w:eastAsia="Calibri" w:hAnsi="Arial" w:cs="Arial"/>
                <w:szCs w:val="22"/>
              </w:rPr>
              <w:t xml:space="preserve"> </w:t>
            </w:r>
            <w:r w:rsidR="00084E33" w:rsidRPr="00084E33">
              <w:rPr>
                <w:rFonts w:ascii="Arial" w:eastAsia="Calibri" w:hAnsi="Arial" w:cs="Arial"/>
                <w:szCs w:val="22"/>
              </w:rPr>
              <w:t>Conducted in a tertiary health facility in South-South Nigeria, covering records from January 2019 to December 2023.</w:t>
            </w:r>
          </w:p>
          <w:p w14:paraId="2DFC4961" w14:textId="77777777" w:rsidR="00084E33" w:rsidRPr="00BA1B01" w:rsidRDefault="00084E33" w:rsidP="00441B6F">
            <w:pPr>
              <w:pStyle w:val="Body"/>
              <w:spacing w:after="0"/>
              <w:rPr>
                <w:rFonts w:ascii="Arial" w:eastAsia="Calibri" w:hAnsi="Arial" w:cs="Arial"/>
                <w:szCs w:val="22"/>
              </w:rPr>
            </w:pPr>
          </w:p>
          <w:p w14:paraId="76F1F65E" w14:textId="77777777" w:rsidR="00773D13"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773D13" w:rsidRPr="00773D13">
              <w:rPr>
                <w:rFonts w:ascii="Arial" w:eastAsia="Calibri" w:hAnsi="Arial" w:cs="Arial"/>
                <w:szCs w:val="22"/>
              </w:rPr>
              <w:t>Data were collected using a validated data abstraction form from authenticated patient case files of women who presented with abortion-related complications. Sociodemographic and clinical characteristics of cases that resulted in mortality were analyzed. Descriptive statistics were used to summarize the data, while chi-square tests assessed associations between variables using SPSS version 28. Significance was set at P &lt; 0.05.</w:t>
            </w:r>
            <w:r w:rsidR="00773D13" w:rsidRPr="00773D13">
              <w:rPr>
                <w:rFonts w:ascii="Arial" w:eastAsia="Calibri" w:hAnsi="Arial" w:cs="Arial"/>
                <w:b/>
                <w:bCs/>
                <w:szCs w:val="22"/>
              </w:rPr>
              <w:t xml:space="preserve"> </w:t>
            </w:r>
          </w:p>
          <w:p w14:paraId="028F7D6F" w14:textId="77777777" w:rsidR="00773D13" w:rsidRDefault="00773D13" w:rsidP="00441B6F">
            <w:pPr>
              <w:pStyle w:val="Body"/>
              <w:spacing w:after="0"/>
              <w:rPr>
                <w:rFonts w:ascii="Arial" w:eastAsia="Calibri" w:hAnsi="Arial" w:cs="Arial"/>
                <w:b/>
                <w:bCs/>
                <w:szCs w:val="22"/>
              </w:rPr>
            </w:pPr>
          </w:p>
          <w:p w14:paraId="49EF0E68" w14:textId="7367F1DF" w:rsidR="00773D13" w:rsidRPr="00773D13" w:rsidRDefault="00BA1B01" w:rsidP="00773D13">
            <w:pPr>
              <w:pStyle w:val="Body"/>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773D13" w:rsidRPr="00773D13">
              <w:rPr>
                <w:rFonts w:ascii="Arial" w:eastAsia="Calibri" w:hAnsi="Arial" w:cs="Arial"/>
                <w:szCs w:val="22"/>
              </w:rPr>
              <w:t>A total of 311 abortion-related deaths were recorded over the five-year period. The overall abortion-related mortality rate was 28.8%, with the highest annual rate in 2021 (23.1%) and the lowest in 2023 (18.3%). The mean age of the deceased was 28.9 years (SD ±8.82). Sociodemographic factors significantly associated with mortality included age 25–34 years</w:t>
            </w:r>
            <w:r w:rsidR="00773D13">
              <w:rPr>
                <w:rFonts w:ascii="Arial" w:eastAsia="Calibri" w:hAnsi="Arial" w:cs="Arial"/>
                <w:szCs w:val="22"/>
              </w:rPr>
              <w:t xml:space="preserve"> (P = </w:t>
            </w:r>
            <w:r w:rsidR="00773D13" w:rsidRPr="00773D13">
              <w:rPr>
                <w:rFonts w:ascii="Arial" w:eastAsia="Calibri" w:hAnsi="Arial" w:cs="Arial"/>
                <w:szCs w:val="22"/>
              </w:rPr>
              <w:t>0.006</w:t>
            </w:r>
            <w:r w:rsidR="00773D13">
              <w:rPr>
                <w:rFonts w:ascii="Arial" w:eastAsia="Calibri" w:hAnsi="Arial" w:cs="Arial"/>
                <w:szCs w:val="22"/>
              </w:rPr>
              <w:t>)</w:t>
            </w:r>
            <w:r w:rsidR="00773D13" w:rsidRPr="00773D13">
              <w:rPr>
                <w:rFonts w:ascii="Arial" w:eastAsia="Calibri" w:hAnsi="Arial" w:cs="Arial"/>
                <w:szCs w:val="22"/>
              </w:rPr>
              <w:t>, single marital status</w:t>
            </w:r>
            <w:r w:rsidR="00773D13">
              <w:rPr>
                <w:rFonts w:ascii="Arial" w:eastAsia="Calibri" w:hAnsi="Arial" w:cs="Arial"/>
                <w:szCs w:val="22"/>
              </w:rPr>
              <w:t xml:space="preserve"> (P = </w:t>
            </w:r>
            <w:r w:rsidR="00773D13" w:rsidRPr="00773D13">
              <w:rPr>
                <w:rFonts w:ascii="Arial" w:eastAsia="Calibri" w:hAnsi="Arial" w:cs="Arial"/>
                <w:szCs w:val="22"/>
              </w:rPr>
              <w:t>0.016</w:t>
            </w:r>
            <w:r w:rsidR="00773D13">
              <w:rPr>
                <w:rFonts w:ascii="Arial" w:eastAsia="Calibri" w:hAnsi="Arial" w:cs="Arial"/>
                <w:szCs w:val="22"/>
              </w:rPr>
              <w:t>)</w:t>
            </w:r>
            <w:r w:rsidR="00773D13" w:rsidRPr="00773D13">
              <w:rPr>
                <w:rFonts w:ascii="Arial" w:eastAsia="Calibri" w:hAnsi="Arial" w:cs="Arial"/>
                <w:szCs w:val="22"/>
              </w:rPr>
              <w:t>, secondary level education</w:t>
            </w:r>
            <w:r w:rsidR="00773D13">
              <w:rPr>
                <w:rFonts w:ascii="Arial" w:eastAsia="Calibri" w:hAnsi="Arial" w:cs="Arial"/>
                <w:szCs w:val="22"/>
              </w:rPr>
              <w:t xml:space="preserve"> (P =</w:t>
            </w:r>
            <w:r w:rsidR="00773D13" w:rsidRPr="00773D13">
              <w:rPr>
                <w:rFonts w:ascii="Arial" w:eastAsia="Calibri" w:hAnsi="Arial" w:cs="Arial"/>
                <w:szCs w:val="22"/>
              </w:rPr>
              <w:t>0.032</w:t>
            </w:r>
            <w:r w:rsidR="00773D13">
              <w:rPr>
                <w:rFonts w:ascii="Arial" w:eastAsia="Calibri" w:hAnsi="Arial" w:cs="Arial"/>
                <w:szCs w:val="22"/>
              </w:rPr>
              <w:t>)</w:t>
            </w:r>
            <w:r w:rsidR="00773D13" w:rsidRPr="00773D13">
              <w:rPr>
                <w:rFonts w:ascii="Arial" w:eastAsia="Calibri" w:hAnsi="Arial" w:cs="Arial"/>
                <w:szCs w:val="22"/>
              </w:rPr>
              <w:t>, student occupation</w:t>
            </w:r>
            <w:r w:rsidR="00773D13">
              <w:rPr>
                <w:rFonts w:ascii="Arial" w:eastAsia="Calibri" w:hAnsi="Arial" w:cs="Arial"/>
                <w:szCs w:val="22"/>
              </w:rPr>
              <w:t xml:space="preserve"> (P = </w:t>
            </w:r>
            <w:r w:rsidR="00773D13" w:rsidRPr="00773D13">
              <w:rPr>
                <w:rFonts w:ascii="Arial" w:eastAsia="Calibri" w:hAnsi="Arial" w:cs="Arial"/>
                <w:szCs w:val="22"/>
              </w:rPr>
              <w:t>0.023</w:t>
            </w:r>
            <w:r w:rsidR="00773D13">
              <w:rPr>
                <w:rFonts w:ascii="Arial" w:eastAsia="Calibri" w:hAnsi="Arial" w:cs="Arial"/>
                <w:szCs w:val="22"/>
              </w:rPr>
              <w:t>)</w:t>
            </w:r>
            <w:r w:rsidR="00773D13" w:rsidRPr="00773D13">
              <w:rPr>
                <w:rFonts w:ascii="Arial" w:eastAsia="Calibri" w:hAnsi="Arial" w:cs="Arial"/>
                <w:szCs w:val="22"/>
              </w:rPr>
              <w:t>, low socioeconomic status</w:t>
            </w:r>
            <w:r w:rsidR="00773D13">
              <w:rPr>
                <w:rFonts w:ascii="Arial" w:eastAsia="Calibri" w:hAnsi="Arial" w:cs="Arial"/>
                <w:szCs w:val="22"/>
              </w:rPr>
              <w:t xml:space="preserve"> (P = </w:t>
            </w:r>
            <w:r w:rsidR="00773D13" w:rsidRPr="00773D13">
              <w:rPr>
                <w:rFonts w:ascii="Arial" w:eastAsia="Calibri" w:hAnsi="Arial" w:cs="Arial"/>
                <w:szCs w:val="22"/>
              </w:rPr>
              <w:t>0.040</w:t>
            </w:r>
            <w:r w:rsidR="00773D13">
              <w:rPr>
                <w:rFonts w:ascii="Arial" w:eastAsia="Calibri" w:hAnsi="Arial" w:cs="Arial"/>
                <w:szCs w:val="22"/>
              </w:rPr>
              <w:t>)</w:t>
            </w:r>
            <w:r w:rsidR="00773D13" w:rsidRPr="00773D13">
              <w:rPr>
                <w:rFonts w:ascii="Arial" w:eastAsia="Calibri" w:hAnsi="Arial" w:cs="Arial"/>
                <w:szCs w:val="22"/>
              </w:rPr>
              <w:t>, and urban residence</w:t>
            </w:r>
            <w:r w:rsidR="00773D13">
              <w:rPr>
                <w:rFonts w:ascii="Arial" w:eastAsia="Calibri" w:hAnsi="Arial" w:cs="Arial"/>
                <w:szCs w:val="22"/>
              </w:rPr>
              <w:t xml:space="preserve"> (P = </w:t>
            </w:r>
            <w:r w:rsidR="00773D13" w:rsidRPr="00773D13">
              <w:rPr>
                <w:rFonts w:ascii="Arial" w:eastAsia="Calibri" w:hAnsi="Arial" w:cs="Arial"/>
                <w:szCs w:val="22"/>
              </w:rPr>
              <w:t>0.037</w:t>
            </w:r>
            <w:r w:rsidR="00773D13">
              <w:rPr>
                <w:rFonts w:ascii="Arial" w:eastAsia="Calibri" w:hAnsi="Arial" w:cs="Arial"/>
                <w:szCs w:val="22"/>
              </w:rPr>
              <w:t>)</w:t>
            </w:r>
            <w:r w:rsidR="00773D13" w:rsidRPr="00773D13">
              <w:rPr>
                <w:rFonts w:ascii="Arial" w:eastAsia="Calibri" w:hAnsi="Arial" w:cs="Arial"/>
                <w:szCs w:val="22"/>
              </w:rPr>
              <w:t>. Clinical factors associated with mortality included first-trimester abortions</w:t>
            </w:r>
            <w:r w:rsidR="00B8213C">
              <w:rPr>
                <w:rFonts w:ascii="Arial" w:eastAsia="Calibri" w:hAnsi="Arial" w:cs="Arial"/>
                <w:szCs w:val="22"/>
              </w:rPr>
              <w:t xml:space="preserve"> (P =</w:t>
            </w:r>
            <w:r w:rsidR="00B8213C">
              <w:t xml:space="preserve"> </w:t>
            </w:r>
            <w:r w:rsidR="00B8213C" w:rsidRPr="00B8213C">
              <w:rPr>
                <w:rFonts w:ascii="Arial" w:eastAsia="Calibri" w:hAnsi="Arial" w:cs="Arial"/>
                <w:szCs w:val="22"/>
              </w:rPr>
              <w:t>0.001</w:t>
            </w:r>
            <w:r w:rsidR="00B8213C">
              <w:rPr>
                <w:rFonts w:ascii="Arial" w:eastAsia="Calibri" w:hAnsi="Arial" w:cs="Arial"/>
                <w:szCs w:val="22"/>
              </w:rPr>
              <w:t>)</w:t>
            </w:r>
            <w:r w:rsidR="00773D13" w:rsidRPr="00773D13">
              <w:rPr>
                <w:rFonts w:ascii="Arial" w:eastAsia="Calibri" w:hAnsi="Arial" w:cs="Arial"/>
                <w:szCs w:val="22"/>
              </w:rPr>
              <w:t xml:space="preserve"> surgical methods</w:t>
            </w:r>
            <w:r w:rsidR="00B8213C">
              <w:rPr>
                <w:rFonts w:ascii="Arial" w:eastAsia="Calibri" w:hAnsi="Arial" w:cs="Arial"/>
                <w:szCs w:val="22"/>
              </w:rPr>
              <w:t xml:space="preserve"> (P = </w:t>
            </w:r>
            <w:r w:rsidR="00B8213C" w:rsidRPr="00B8213C">
              <w:rPr>
                <w:rFonts w:ascii="Arial" w:eastAsia="Calibri" w:hAnsi="Arial" w:cs="Arial"/>
                <w:szCs w:val="22"/>
              </w:rPr>
              <w:t>0.001</w:t>
            </w:r>
            <w:r w:rsidR="00B8213C">
              <w:rPr>
                <w:rFonts w:ascii="Arial" w:eastAsia="Calibri" w:hAnsi="Arial" w:cs="Arial"/>
                <w:szCs w:val="22"/>
              </w:rPr>
              <w:t>)</w:t>
            </w:r>
            <w:r w:rsidR="00773D13" w:rsidRPr="00773D13">
              <w:rPr>
                <w:rFonts w:ascii="Arial" w:eastAsia="Calibri" w:hAnsi="Arial" w:cs="Arial"/>
                <w:szCs w:val="22"/>
              </w:rPr>
              <w:t>, hospital stay less than 24 hours</w:t>
            </w:r>
            <w:r w:rsidR="00B8213C">
              <w:rPr>
                <w:rFonts w:ascii="Arial" w:eastAsia="Calibri" w:hAnsi="Arial" w:cs="Arial"/>
                <w:szCs w:val="22"/>
              </w:rPr>
              <w:t xml:space="preserve"> (P = </w:t>
            </w:r>
            <w:r w:rsidR="00B8213C" w:rsidRPr="00B8213C">
              <w:rPr>
                <w:rFonts w:ascii="Arial" w:eastAsia="Calibri" w:hAnsi="Arial" w:cs="Arial"/>
                <w:szCs w:val="22"/>
              </w:rPr>
              <w:t>0.002</w:t>
            </w:r>
            <w:r w:rsidR="00B8213C">
              <w:rPr>
                <w:rFonts w:ascii="Arial" w:eastAsia="Calibri" w:hAnsi="Arial" w:cs="Arial"/>
                <w:szCs w:val="22"/>
              </w:rPr>
              <w:t>)</w:t>
            </w:r>
            <w:r w:rsidR="00773D13" w:rsidRPr="00773D13">
              <w:rPr>
                <w:rFonts w:ascii="Arial" w:eastAsia="Calibri" w:hAnsi="Arial" w:cs="Arial"/>
                <w:szCs w:val="22"/>
              </w:rPr>
              <w:t xml:space="preserve">, and complications such as hemorrhage (P </w:t>
            </w:r>
            <w:r w:rsidR="00B8213C">
              <w:rPr>
                <w:rFonts w:ascii="Arial" w:eastAsia="Calibri" w:hAnsi="Arial" w:cs="Arial"/>
                <w:szCs w:val="22"/>
              </w:rPr>
              <w:t xml:space="preserve">= </w:t>
            </w:r>
            <w:r w:rsidR="00B8213C" w:rsidRPr="00B8213C">
              <w:rPr>
                <w:rFonts w:ascii="Arial" w:eastAsia="Calibri" w:hAnsi="Arial" w:cs="Arial"/>
                <w:szCs w:val="22"/>
              </w:rPr>
              <w:t>0.001</w:t>
            </w:r>
            <w:r w:rsidR="00773D13" w:rsidRPr="00773D13">
              <w:rPr>
                <w:rFonts w:ascii="Arial" w:eastAsia="Calibri" w:hAnsi="Arial" w:cs="Arial"/>
                <w:szCs w:val="22"/>
              </w:rPr>
              <w:t>).</w:t>
            </w:r>
          </w:p>
          <w:p w14:paraId="0AE9721E" w14:textId="6C36D157"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E656C1" w:rsidRPr="00E656C1">
              <w:rPr>
                <w:rFonts w:ascii="Arial" w:eastAsia="Calibri" w:hAnsi="Arial" w:cs="Arial"/>
                <w:szCs w:val="22"/>
              </w:rPr>
              <w:t>Abortion-related mortality remains a major public health challenge in South-South Nigeria, with identifiable sociodemographic and clinical factors contributing to poor outcomes. Efforts to reduce abortion-related deaths should focus on community education, timely clinical interventions, and equitable access to safe reproductive health services.</w:t>
            </w:r>
          </w:p>
          <w:p w14:paraId="38CB8F56" w14:textId="4CB079B1" w:rsidR="00505F06" w:rsidRPr="00BA1B01" w:rsidRDefault="00505F06" w:rsidP="00441B6F">
            <w:pPr>
              <w:pStyle w:val="Body"/>
              <w:spacing w:after="0"/>
              <w:rPr>
                <w:rFonts w:ascii="Arial" w:eastAsia="Calibri" w:hAnsi="Arial" w:cs="Arial"/>
                <w:szCs w:val="22"/>
              </w:rPr>
            </w:pPr>
          </w:p>
        </w:tc>
      </w:tr>
    </w:tbl>
    <w:p w14:paraId="051E1FB7" w14:textId="77777777" w:rsidR="004803BA" w:rsidRDefault="00A24E7E" w:rsidP="004803BA">
      <w:pPr>
        <w:pStyle w:val="Body"/>
        <w:spacing w:after="0"/>
        <w:rPr>
          <w:rFonts w:ascii="Arial" w:hAnsi="Arial" w:cs="Arial"/>
          <w:i/>
        </w:rPr>
      </w:pPr>
      <w:r>
        <w:rPr>
          <w:rFonts w:ascii="Arial" w:hAnsi="Arial" w:cs="Arial"/>
          <w:i/>
        </w:rPr>
        <w:t xml:space="preserve">Keywords: </w:t>
      </w:r>
      <w:r w:rsidR="001F74D2">
        <w:rPr>
          <w:rFonts w:ascii="Arial" w:hAnsi="Arial" w:cs="Arial"/>
          <w:i/>
        </w:rPr>
        <w:t>A</w:t>
      </w:r>
      <w:r w:rsidR="001F74D2" w:rsidRPr="001F74D2">
        <w:rPr>
          <w:rFonts w:ascii="Arial" w:hAnsi="Arial" w:cs="Arial"/>
          <w:i/>
        </w:rPr>
        <w:t>bortion-related mortality</w:t>
      </w:r>
      <w:r w:rsidR="001F74D2">
        <w:rPr>
          <w:rFonts w:ascii="Arial" w:hAnsi="Arial" w:cs="Arial"/>
          <w:i/>
        </w:rPr>
        <w:t xml:space="preserve">; </w:t>
      </w:r>
      <w:r w:rsidR="001F74D2" w:rsidRPr="001F74D2">
        <w:rPr>
          <w:rFonts w:ascii="Arial" w:hAnsi="Arial" w:cs="Arial"/>
          <w:i/>
        </w:rPr>
        <w:t>Maternal death</w:t>
      </w:r>
      <w:r w:rsidR="001F74D2">
        <w:rPr>
          <w:rFonts w:ascii="Arial" w:hAnsi="Arial" w:cs="Arial"/>
          <w:i/>
        </w:rPr>
        <w:t>;</w:t>
      </w:r>
      <w:r w:rsidR="001F74D2" w:rsidRPr="001F74D2">
        <w:t xml:space="preserve"> </w:t>
      </w:r>
      <w:r w:rsidR="001F74D2" w:rsidRPr="001F74D2">
        <w:rPr>
          <w:rFonts w:ascii="Arial" w:hAnsi="Arial" w:cs="Arial"/>
          <w:i/>
        </w:rPr>
        <w:t>Reproductive health</w:t>
      </w:r>
      <w:r w:rsidR="001F74D2">
        <w:rPr>
          <w:rFonts w:ascii="Arial" w:hAnsi="Arial" w:cs="Arial"/>
          <w:i/>
        </w:rPr>
        <w:t>;</w:t>
      </w:r>
      <w:r w:rsidR="001F74D2" w:rsidRPr="001F74D2">
        <w:t xml:space="preserve"> </w:t>
      </w:r>
      <w:r w:rsidR="001F74D2" w:rsidRPr="001F74D2">
        <w:rPr>
          <w:rFonts w:ascii="Arial" w:hAnsi="Arial" w:cs="Arial"/>
          <w:i/>
        </w:rPr>
        <w:t>South-South Nigeria</w:t>
      </w:r>
    </w:p>
    <w:p w14:paraId="1009FD6E" w14:textId="77777777" w:rsidR="004803BA" w:rsidRDefault="004803BA" w:rsidP="004803BA">
      <w:pPr>
        <w:pStyle w:val="Body"/>
        <w:spacing w:after="0"/>
        <w:rPr>
          <w:rFonts w:ascii="Arial" w:hAnsi="Arial" w:cs="Arial"/>
          <w:i/>
        </w:rPr>
      </w:pPr>
    </w:p>
    <w:p w14:paraId="788306FA" w14:textId="77777777" w:rsidR="00D94B17" w:rsidRDefault="00902823" w:rsidP="00D94B17">
      <w:pPr>
        <w:pStyle w:val="Body"/>
        <w:spacing w:after="0"/>
        <w:rPr>
          <w:rFonts w:ascii="Arial" w:hAnsi="Arial" w:cs="Arial"/>
        </w:rPr>
      </w:pPr>
      <w:r>
        <w:rPr>
          <w:rFonts w:ascii="Arial" w:hAnsi="Arial" w:cs="Arial"/>
        </w:rPr>
        <w:t xml:space="preserve">1. </w:t>
      </w:r>
      <w:r w:rsidR="00B01FCD" w:rsidRPr="00FB3A86">
        <w:rPr>
          <w:rFonts w:ascii="Arial" w:hAnsi="Arial" w:cs="Arial"/>
        </w:rPr>
        <w:t>INTRODUCTION</w:t>
      </w:r>
    </w:p>
    <w:p w14:paraId="6128231A" w14:textId="77777777" w:rsidR="00D94B17" w:rsidRDefault="00D94B17" w:rsidP="00D94B17">
      <w:pPr>
        <w:pStyle w:val="Body"/>
        <w:spacing w:after="0"/>
        <w:rPr>
          <w:rFonts w:ascii="Arial" w:hAnsi="Arial" w:cs="Arial"/>
        </w:rPr>
      </w:pPr>
    </w:p>
    <w:p w14:paraId="79B88FCF" w14:textId="258CC57F" w:rsidR="005729B5" w:rsidRPr="004E7C29" w:rsidRDefault="005729B5" w:rsidP="009F4A67">
      <w:pPr>
        <w:pStyle w:val="Body"/>
        <w:spacing w:after="0"/>
        <w:rPr>
          <w:rFonts w:ascii="Arial" w:hAnsi="Arial" w:cs="Arial"/>
          <w:caps/>
        </w:rPr>
      </w:pPr>
      <w:r w:rsidRPr="005729B5">
        <w:rPr>
          <w:rFonts w:ascii="Arial" w:hAnsi="Arial" w:cs="Arial"/>
        </w:rPr>
        <w:t>Abortion-related mortality remains a significant global public health concern, particularly in regions where access to safe</w:t>
      </w:r>
      <w:r w:rsidR="004E7C29">
        <w:rPr>
          <w:rFonts w:ascii="Arial" w:hAnsi="Arial" w:cs="Arial"/>
        </w:rPr>
        <w:t xml:space="preserve"> </w:t>
      </w:r>
      <w:r w:rsidRPr="005729B5">
        <w:rPr>
          <w:rFonts w:ascii="Arial" w:hAnsi="Arial" w:cs="Arial"/>
        </w:rPr>
        <w:t>abortion services is restricted due to legal, cultural, or economic barriers (World Health Organization [WHO], 202</w:t>
      </w:r>
      <w:r w:rsidR="00BB2F1C">
        <w:rPr>
          <w:rFonts w:ascii="Arial" w:hAnsi="Arial" w:cs="Arial"/>
        </w:rPr>
        <w:t>4</w:t>
      </w:r>
      <w:r w:rsidRPr="005729B5">
        <w:rPr>
          <w:rFonts w:ascii="Arial" w:hAnsi="Arial" w:cs="Arial"/>
        </w:rPr>
        <w:t>). Globally, unsafe abortion accounts for an estimated 8–13% of maternal deaths, with Sub-Saharan Africa bearing the highest burden—reporting approximately 500 deaths per 100,000 abortions (WHO, 202</w:t>
      </w:r>
      <w:r w:rsidR="00BB2F1C">
        <w:rPr>
          <w:rFonts w:ascii="Arial" w:hAnsi="Arial" w:cs="Arial"/>
        </w:rPr>
        <w:t>4</w:t>
      </w:r>
      <w:r w:rsidRPr="005729B5">
        <w:rPr>
          <w:rFonts w:ascii="Arial" w:hAnsi="Arial" w:cs="Arial"/>
        </w:rPr>
        <w:t xml:space="preserve">). </w:t>
      </w:r>
      <w:r w:rsidR="009F4A67" w:rsidRPr="009F4A67">
        <w:rPr>
          <w:rFonts w:ascii="Arial" w:hAnsi="Arial" w:cs="Arial"/>
        </w:rPr>
        <w:t>In Nigeria, unsafe abortion remains a significant contributor to maternal mortality, with an estimated 10–20% of maternal deaths attributed to abortion-related complications. Earlier reports estimated up to 20,000 deaths annually (</w:t>
      </w:r>
      <w:proofErr w:type="spellStart"/>
      <w:r w:rsidR="009F4A67" w:rsidRPr="009F4A67">
        <w:rPr>
          <w:rFonts w:ascii="Arial" w:hAnsi="Arial" w:cs="Arial"/>
        </w:rPr>
        <w:t>Raufu</w:t>
      </w:r>
      <w:proofErr w:type="spellEnd"/>
      <w:r w:rsidR="009F4A67" w:rsidRPr="009F4A67">
        <w:rPr>
          <w:rFonts w:ascii="Arial" w:hAnsi="Arial" w:cs="Arial"/>
        </w:rPr>
        <w:t xml:space="preserve">, 2002), while more recent </w:t>
      </w:r>
      <w:r w:rsidR="009F4A67" w:rsidRPr="009F4A67">
        <w:rPr>
          <w:rFonts w:ascii="Arial" w:hAnsi="Arial" w:cs="Arial"/>
        </w:rPr>
        <w:lastRenderedPageBreak/>
        <w:t>estimates suggest approximately 6,000 women die each year, representing about 10% of maternal deaths (The Guardian, 2025).</w:t>
      </w:r>
    </w:p>
    <w:p w14:paraId="3871F8C7" w14:textId="42DBB1B5" w:rsidR="005729B5" w:rsidRPr="005729B5" w:rsidRDefault="0097558C" w:rsidP="005729B5">
      <w:pPr>
        <w:pStyle w:val="AbstHead"/>
        <w:jc w:val="both"/>
        <w:rPr>
          <w:rFonts w:ascii="Arial" w:hAnsi="Arial" w:cs="Arial"/>
          <w:b w:val="0"/>
          <w:caps w:val="0"/>
          <w:sz w:val="20"/>
        </w:rPr>
      </w:pPr>
      <w:r w:rsidRPr="0097558C">
        <w:rPr>
          <w:rFonts w:ascii="Arial" w:hAnsi="Arial" w:cs="Arial"/>
          <w:b w:val="0"/>
          <w:caps w:val="0"/>
          <w:sz w:val="20"/>
        </w:rPr>
        <w:t>By contrast, countries with liberal abortion laws and accessible reproductive health services have drastically reduced abortion-related deaths. For example, the United Kingdom reports a consistently low mortality rate of approximately 1 death per 100,000 abortions (Ralph et al., 2020), and Romania saw a dramatic decline in abortion-related mortality after liberalizing its abortion laws in 1989—dropping from 148 deaths per 100,000 live births in 1989 to 5 per 100,000 by 2006 (Grimes et al., 2006).</w:t>
      </w:r>
      <w:r w:rsidR="005729B5" w:rsidRPr="005729B5">
        <w:rPr>
          <w:rFonts w:ascii="Arial" w:hAnsi="Arial" w:cs="Arial"/>
          <w:b w:val="0"/>
          <w:caps w:val="0"/>
          <w:sz w:val="20"/>
        </w:rPr>
        <w:t xml:space="preserve"> These global disparities highlight the significant role of health system access and legal frameworks in shaping abortion outcomes.</w:t>
      </w:r>
    </w:p>
    <w:p w14:paraId="4AEDB233" w14:textId="4544EB38" w:rsidR="005729B5" w:rsidRPr="005729B5" w:rsidRDefault="005729B5" w:rsidP="005729B5">
      <w:pPr>
        <w:pStyle w:val="AbstHead"/>
        <w:jc w:val="both"/>
        <w:rPr>
          <w:rFonts w:ascii="Arial" w:hAnsi="Arial" w:cs="Arial"/>
          <w:b w:val="0"/>
          <w:caps w:val="0"/>
          <w:sz w:val="20"/>
        </w:rPr>
      </w:pPr>
      <w:r w:rsidRPr="005729B5">
        <w:rPr>
          <w:rFonts w:ascii="Arial" w:hAnsi="Arial" w:cs="Arial"/>
          <w:b w:val="0"/>
          <w:caps w:val="0"/>
          <w:sz w:val="20"/>
        </w:rPr>
        <w:t>In Sub-Saharan Africa, the risk is heightened for young, unmarried, and socioeconomically disadvantaged women, who often lack access to family planning resources and face societal stigma when seeking abortion care</w:t>
      </w:r>
      <w:r w:rsidR="005B2921">
        <w:rPr>
          <w:rFonts w:ascii="Arial" w:hAnsi="Arial" w:cs="Arial"/>
          <w:b w:val="0"/>
          <w:caps w:val="0"/>
          <w:sz w:val="20"/>
        </w:rPr>
        <w:t xml:space="preserve"> </w:t>
      </w:r>
      <w:r w:rsidRPr="005729B5">
        <w:rPr>
          <w:rFonts w:ascii="Arial" w:hAnsi="Arial" w:cs="Arial"/>
          <w:b w:val="0"/>
          <w:caps w:val="0"/>
          <w:sz w:val="20"/>
        </w:rPr>
        <w:t>(</w:t>
      </w:r>
      <w:proofErr w:type="spellStart"/>
      <w:r w:rsidRPr="005729B5">
        <w:rPr>
          <w:rFonts w:ascii="Arial" w:hAnsi="Arial" w:cs="Arial"/>
          <w:b w:val="0"/>
          <w:caps w:val="0"/>
          <w:sz w:val="20"/>
        </w:rPr>
        <w:t>Sedgh</w:t>
      </w:r>
      <w:proofErr w:type="spellEnd"/>
      <w:r w:rsidRPr="005729B5">
        <w:rPr>
          <w:rFonts w:ascii="Arial" w:hAnsi="Arial" w:cs="Arial"/>
          <w:b w:val="0"/>
          <w:caps w:val="0"/>
          <w:sz w:val="20"/>
        </w:rPr>
        <w:t xml:space="preserve"> et al., 2016; WHO, 2021</w:t>
      </w:r>
      <w:r w:rsidR="005B2921">
        <w:rPr>
          <w:rFonts w:ascii="Arial" w:hAnsi="Arial" w:cs="Arial"/>
          <w:b w:val="0"/>
          <w:caps w:val="0"/>
          <w:sz w:val="20"/>
        </w:rPr>
        <w:t>)</w:t>
      </w:r>
      <w:r w:rsidRPr="005729B5">
        <w:rPr>
          <w:rFonts w:ascii="Arial" w:hAnsi="Arial" w:cs="Arial"/>
          <w:b w:val="0"/>
          <w:caps w:val="0"/>
          <w:sz w:val="20"/>
        </w:rPr>
        <w:t>. According to the Guttmacher Institute (2018), unsafe abortion is responsible for up to 15% of maternal deaths in the region. In Nigeria, these demographic patterns persist, particularly among women in underserved or rural areas. A study in Rivers State reported unsafe abortion as the fifth leading cause of maternal mortality, with second-trimester abortions and sepsis as the primary causes of death. Over half of those cases involved adolescent schoolgirls, many of whom had resorted to herbal preparations and unskilled abortion methods</w:t>
      </w:r>
      <w:r w:rsidR="00CF2D71">
        <w:rPr>
          <w:rFonts w:ascii="Arial" w:hAnsi="Arial" w:cs="Arial"/>
          <w:b w:val="0"/>
          <w:caps w:val="0"/>
          <w:sz w:val="20"/>
        </w:rPr>
        <w:t xml:space="preserve"> </w:t>
      </w:r>
      <w:r w:rsidRPr="005729B5">
        <w:rPr>
          <w:rFonts w:ascii="Arial" w:hAnsi="Arial" w:cs="Arial"/>
          <w:b w:val="0"/>
          <w:caps w:val="0"/>
          <w:sz w:val="20"/>
        </w:rPr>
        <w:t>(</w:t>
      </w:r>
      <w:proofErr w:type="spellStart"/>
      <w:r w:rsidRPr="005729B5">
        <w:rPr>
          <w:rFonts w:ascii="Arial" w:hAnsi="Arial" w:cs="Arial"/>
          <w:b w:val="0"/>
          <w:caps w:val="0"/>
          <w:sz w:val="20"/>
        </w:rPr>
        <w:t>Obilahi-Abhulimen</w:t>
      </w:r>
      <w:proofErr w:type="spellEnd"/>
      <w:r w:rsidRPr="005729B5">
        <w:rPr>
          <w:rFonts w:ascii="Arial" w:hAnsi="Arial" w:cs="Arial"/>
          <w:b w:val="0"/>
          <w:caps w:val="0"/>
          <w:sz w:val="20"/>
        </w:rPr>
        <w:t xml:space="preserve"> et al., 2016).</w:t>
      </w:r>
    </w:p>
    <w:p w14:paraId="19D5C0A3" w14:textId="1C080EFF" w:rsidR="005729B5" w:rsidRPr="005729B5" w:rsidRDefault="005729B5" w:rsidP="005729B5">
      <w:pPr>
        <w:pStyle w:val="AbstHead"/>
        <w:jc w:val="both"/>
        <w:rPr>
          <w:rFonts w:ascii="Arial" w:hAnsi="Arial" w:cs="Arial"/>
          <w:b w:val="0"/>
          <w:caps w:val="0"/>
          <w:sz w:val="20"/>
        </w:rPr>
      </w:pPr>
      <w:r w:rsidRPr="005729B5">
        <w:rPr>
          <w:rFonts w:ascii="Arial" w:hAnsi="Arial" w:cs="Arial"/>
          <w:b w:val="0"/>
          <w:caps w:val="0"/>
          <w:sz w:val="20"/>
        </w:rPr>
        <w:t>Despite the high burden, there is a dearth of localized data on abortion-related mortality in Delta State, particularly in Sapele, which limits the development of targeted reproductive health interventions</w:t>
      </w:r>
      <w:r w:rsidR="007D642E">
        <w:rPr>
          <w:rFonts w:ascii="Arial" w:hAnsi="Arial" w:cs="Arial"/>
          <w:b w:val="0"/>
          <w:caps w:val="0"/>
          <w:sz w:val="20"/>
        </w:rPr>
        <w:t xml:space="preserve"> </w:t>
      </w:r>
      <w:r w:rsidRPr="005729B5">
        <w:rPr>
          <w:rFonts w:ascii="Arial" w:hAnsi="Arial" w:cs="Arial"/>
          <w:b w:val="0"/>
          <w:caps w:val="0"/>
          <w:sz w:val="20"/>
        </w:rPr>
        <w:t>(</w:t>
      </w:r>
      <w:proofErr w:type="spellStart"/>
      <w:r w:rsidRPr="005729B5">
        <w:rPr>
          <w:rFonts w:ascii="Arial" w:hAnsi="Arial" w:cs="Arial"/>
          <w:b w:val="0"/>
          <w:caps w:val="0"/>
          <w:sz w:val="20"/>
        </w:rPr>
        <w:t>Sedgh</w:t>
      </w:r>
      <w:proofErr w:type="spellEnd"/>
      <w:r w:rsidRPr="005729B5">
        <w:rPr>
          <w:rFonts w:ascii="Arial" w:hAnsi="Arial" w:cs="Arial"/>
          <w:b w:val="0"/>
          <w:caps w:val="0"/>
          <w:sz w:val="20"/>
        </w:rPr>
        <w:t xml:space="preserve"> et al., 2016). Both sociodemographic factors—such as age, marital status, education, occupation, and income—and clinical variables—such as gestational age, type of abortion procedure, and complications like hemorrhage or sepsis—have been identified as significant contributors to abortion-related deaths</w:t>
      </w:r>
      <w:r w:rsidR="00CF2D71">
        <w:rPr>
          <w:rFonts w:ascii="Arial" w:hAnsi="Arial" w:cs="Arial"/>
          <w:b w:val="0"/>
          <w:caps w:val="0"/>
          <w:sz w:val="20"/>
        </w:rPr>
        <w:t xml:space="preserve"> </w:t>
      </w:r>
      <w:r w:rsidRPr="005729B5">
        <w:rPr>
          <w:rFonts w:ascii="Arial" w:hAnsi="Arial" w:cs="Arial"/>
          <w:b w:val="0"/>
          <w:caps w:val="0"/>
          <w:sz w:val="20"/>
        </w:rPr>
        <w:t>(Kumar, 2017; Bankole et al., 2017; WHO, 2021).</w:t>
      </w:r>
    </w:p>
    <w:p w14:paraId="51B2BB13" w14:textId="0BA3317C" w:rsidR="005729B5" w:rsidRPr="005729B5" w:rsidRDefault="005729B5" w:rsidP="005729B5">
      <w:pPr>
        <w:pStyle w:val="AbstHead"/>
        <w:jc w:val="both"/>
        <w:rPr>
          <w:rFonts w:ascii="Arial" w:hAnsi="Arial" w:cs="Arial"/>
          <w:b w:val="0"/>
          <w:caps w:val="0"/>
          <w:sz w:val="20"/>
        </w:rPr>
      </w:pPr>
      <w:r w:rsidRPr="005729B5">
        <w:rPr>
          <w:rFonts w:ascii="Arial" w:hAnsi="Arial" w:cs="Arial"/>
          <w:b w:val="0"/>
          <w:caps w:val="0"/>
          <w:sz w:val="20"/>
        </w:rPr>
        <w:t>Central Hospital Sapele, a major healthcare facility</w:t>
      </w:r>
      <w:r>
        <w:rPr>
          <w:rFonts w:ascii="Arial" w:hAnsi="Arial" w:cs="Arial"/>
          <w:b w:val="0"/>
          <w:caps w:val="0"/>
          <w:sz w:val="20"/>
        </w:rPr>
        <w:t xml:space="preserve"> in Delta State,</w:t>
      </w:r>
      <w:r w:rsidRPr="005729B5">
        <w:rPr>
          <w:rFonts w:ascii="Arial" w:hAnsi="Arial" w:cs="Arial"/>
          <w:b w:val="0"/>
          <w:caps w:val="0"/>
          <w:sz w:val="20"/>
        </w:rPr>
        <w:t xml:space="preserve"> serving a diverse urban and peri-urban population, has not been the subject of any published studies on abortion-related mortality. Given the absence of published studies on abortion-related mortality in this setting, this study was undertaken to assess the prevalence, trends, and associated sociodemographic and clinical factors over a five-year period. The findings are expected to provide evidence for targeted interventions, inform reproductive health policy, and improve maternal health outcomes in the region.</w:t>
      </w:r>
    </w:p>
    <w:p w14:paraId="7B8CD4EC" w14:textId="44130D56" w:rsidR="00452E43" w:rsidRPr="00452E43" w:rsidRDefault="00452E43" w:rsidP="00452E43">
      <w:pPr>
        <w:pStyle w:val="AbstHead"/>
        <w:jc w:val="both"/>
        <w:rPr>
          <w:rFonts w:ascii="Arial" w:hAnsi="Arial" w:cs="Arial"/>
          <w:b w:val="0"/>
          <w:caps w:val="0"/>
          <w:sz w:val="20"/>
        </w:rPr>
      </w:pPr>
    </w:p>
    <w:p w14:paraId="21420FF3" w14:textId="44BF01D3" w:rsidR="007F7B32" w:rsidRDefault="00902823" w:rsidP="00452E43">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E6AA1FC" w14:textId="77777777" w:rsidR="00790ADA" w:rsidRPr="00FB3A86" w:rsidRDefault="00790ADA" w:rsidP="00441B6F">
      <w:pPr>
        <w:pStyle w:val="AbstHead"/>
        <w:spacing w:after="0"/>
        <w:jc w:val="both"/>
        <w:rPr>
          <w:rFonts w:ascii="Arial" w:hAnsi="Arial" w:cs="Arial"/>
        </w:rPr>
      </w:pPr>
    </w:p>
    <w:p w14:paraId="09943CEA" w14:textId="77777777" w:rsidR="00F67A2F" w:rsidRPr="00F67A2F" w:rsidRDefault="00F67A2F" w:rsidP="00F67A2F">
      <w:pPr>
        <w:pStyle w:val="Body"/>
        <w:rPr>
          <w:rFonts w:ascii="Arial" w:hAnsi="Arial" w:cs="Arial"/>
        </w:rPr>
      </w:pPr>
      <w:r w:rsidRPr="00F67A2F">
        <w:rPr>
          <w:rFonts w:ascii="Arial" w:hAnsi="Arial" w:cs="Arial"/>
          <w:b/>
          <w:bCs/>
        </w:rPr>
        <w:t>2.1</w:t>
      </w:r>
      <w:r w:rsidRPr="00F67A2F">
        <w:rPr>
          <w:rFonts w:ascii="Arial" w:hAnsi="Arial" w:cs="Arial"/>
        </w:rPr>
        <w:t xml:space="preserve"> </w:t>
      </w:r>
      <w:r w:rsidRPr="00F67A2F">
        <w:rPr>
          <w:rFonts w:ascii="Arial" w:hAnsi="Arial" w:cs="Arial"/>
          <w:b/>
          <w:bCs/>
        </w:rPr>
        <w:t>Study Design</w:t>
      </w:r>
    </w:p>
    <w:p w14:paraId="1CA0D444" w14:textId="1AF8087A" w:rsidR="00790ADA" w:rsidRDefault="00F67A2F" w:rsidP="00F67A2F">
      <w:pPr>
        <w:pStyle w:val="Body"/>
        <w:spacing w:after="0"/>
        <w:rPr>
          <w:rFonts w:ascii="Arial" w:hAnsi="Arial" w:cs="Arial"/>
        </w:rPr>
      </w:pPr>
      <w:r w:rsidRPr="00F67A2F">
        <w:rPr>
          <w:rFonts w:ascii="Arial" w:hAnsi="Arial" w:cs="Arial"/>
        </w:rPr>
        <w:t xml:space="preserve">This study adopted a retrospective observational design to investigate abortion-related mortality and the associated sociodemographic and clinical factors over a five-year period, from January 2019 to December 2023. This design was selected to allow for the systematic examination of existing records to identify patterns and associations. The approach aligns with the methodology employed by </w:t>
      </w:r>
      <w:proofErr w:type="spellStart"/>
      <w:r w:rsidRPr="00F67A2F">
        <w:rPr>
          <w:rFonts w:ascii="Arial" w:hAnsi="Arial" w:cs="Arial"/>
        </w:rPr>
        <w:t>Obilahi-Abhulimen</w:t>
      </w:r>
      <w:proofErr w:type="spellEnd"/>
      <w:r w:rsidRPr="00F67A2F">
        <w:rPr>
          <w:rFonts w:ascii="Arial" w:hAnsi="Arial" w:cs="Arial"/>
        </w:rPr>
        <w:t xml:space="preserve"> et al.</w:t>
      </w:r>
      <w:r w:rsidR="00CF2D71">
        <w:rPr>
          <w:rFonts w:ascii="Arial" w:hAnsi="Arial" w:cs="Arial"/>
        </w:rPr>
        <w:t xml:space="preserve"> (2016),</w:t>
      </w:r>
      <w:r w:rsidRPr="00F67A2F">
        <w:rPr>
          <w:rFonts w:ascii="Arial" w:hAnsi="Arial" w:cs="Arial"/>
        </w:rPr>
        <w:t xml:space="preserve"> who conducted a similar retrospective study on maternal mortality due to unsafe abortion in Rivers State, Nigeria.</w:t>
      </w:r>
    </w:p>
    <w:p w14:paraId="7AAED56A" w14:textId="77777777" w:rsidR="00BD3729" w:rsidRDefault="00BD3729" w:rsidP="00F67A2F">
      <w:pPr>
        <w:pStyle w:val="Body"/>
        <w:spacing w:after="0"/>
        <w:rPr>
          <w:rFonts w:ascii="Arial" w:hAnsi="Arial" w:cs="Arial"/>
        </w:rPr>
      </w:pPr>
    </w:p>
    <w:p w14:paraId="24CBC6D6" w14:textId="77777777" w:rsidR="00BD3729" w:rsidRPr="00BD3729" w:rsidRDefault="00BD3729" w:rsidP="00BD3729">
      <w:pPr>
        <w:pStyle w:val="Body"/>
        <w:rPr>
          <w:rFonts w:ascii="Arial" w:hAnsi="Arial" w:cs="Arial"/>
          <w:b/>
          <w:bCs/>
        </w:rPr>
      </w:pPr>
      <w:r w:rsidRPr="00BD3729">
        <w:rPr>
          <w:rFonts w:ascii="Arial" w:hAnsi="Arial" w:cs="Arial"/>
          <w:b/>
          <w:bCs/>
        </w:rPr>
        <w:t>2.2 Study Area</w:t>
      </w:r>
    </w:p>
    <w:p w14:paraId="576417BE" w14:textId="3897B937" w:rsidR="00BD3729" w:rsidRDefault="00BD3729" w:rsidP="00BD3729">
      <w:pPr>
        <w:pStyle w:val="Body"/>
        <w:spacing w:after="0"/>
        <w:rPr>
          <w:rFonts w:ascii="Arial" w:hAnsi="Arial" w:cs="Arial"/>
        </w:rPr>
      </w:pPr>
      <w:r w:rsidRPr="00BD3729">
        <w:rPr>
          <w:rFonts w:ascii="Arial" w:hAnsi="Arial" w:cs="Arial"/>
        </w:rPr>
        <w:t>The study was conducted at Central Hospital, Sapele, located in Delta State, Nigeria. This hospital was purposively selected due to its large patient population, comprehensive maternal health services, and its role as a referral center for surrounding urban and peri-urban communities. Established in 1929, Central Hospital Sapele is a major secondary healthcare institution equipped with modern facilities and medical technologies that support emergency care, outpatient and inpatient services, diagnostic investigations, maternity, and pediatric services. The hospital has approximately 68 nurses and a team of doctors, midwives, and allied health professionals working across 11 wards and units. For the purpose of this study, data were extracted from the gynecology and records departments.</w:t>
      </w:r>
    </w:p>
    <w:p w14:paraId="60C7A40A" w14:textId="77777777" w:rsidR="00BD3729" w:rsidRDefault="00BD3729" w:rsidP="00BD3729">
      <w:pPr>
        <w:pStyle w:val="Body"/>
        <w:spacing w:after="0"/>
        <w:rPr>
          <w:rFonts w:ascii="Arial" w:hAnsi="Arial" w:cs="Arial"/>
        </w:rPr>
      </w:pPr>
    </w:p>
    <w:p w14:paraId="064A83B6" w14:textId="77777777" w:rsidR="00BD3729" w:rsidRPr="00BD3729" w:rsidRDefault="00BD3729" w:rsidP="00BD3729">
      <w:pPr>
        <w:pStyle w:val="Body"/>
        <w:rPr>
          <w:rFonts w:ascii="Arial" w:hAnsi="Arial" w:cs="Arial"/>
          <w:b/>
          <w:bCs/>
        </w:rPr>
      </w:pPr>
      <w:r w:rsidRPr="00BD3729">
        <w:rPr>
          <w:rFonts w:ascii="Arial" w:hAnsi="Arial" w:cs="Arial"/>
          <w:b/>
          <w:bCs/>
        </w:rPr>
        <w:t>2.3 Study Population and Eligibility Criteria</w:t>
      </w:r>
    </w:p>
    <w:p w14:paraId="7A9D2D73" w14:textId="73AB9815" w:rsidR="00BD3729" w:rsidRDefault="00BD3729" w:rsidP="00BD3729">
      <w:pPr>
        <w:pStyle w:val="Body"/>
        <w:spacing w:after="0"/>
        <w:rPr>
          <w:rFonts w:ascii="Arial" w:hAnsi="Arial" w:cs="Arial"/>
        </w:rPr>
      </w:pPr>
      <w:r w:rsidRPr="00BD3729">
        <w:rPr>
          <w:rFonts w:ascii="Arial" w:hAnsi="Arial" w:cs="Arial"/>
        </w:rPr>
        <w:t>The study population comprised all female patients treated for abortion-related complications at Central Hospital, Sapele, between January 2019 and December 2023. Only case files that met specific eligibility criteria were included. These included documentation within the specified five-year period, clear indication of abortion-related complications or mortality, and complete recording of sociodemographic and clinical information relevant to the study objectives. Case files with missing or incomplete data were excluded to maintain the validity and reliability of the findings.</w:t>
      </w:r>
    </w:p>
    <w:p w14:paraId="18415CC3" w14:textId="77777777" w:rsidR="00BD3729" w:rsidRDefault="00BD3729" w:rsidP="00BD3729">
      <w:pPr>
        <w:pStyle w:val="Body"/>
        <w:spacing w:after="0"/>
        <w:rPr>
          <w:rFonts w:ascii="Arial" w:hAnsi="Arial" w:cs="Arial"/>
        </w:rPr>
      </w:pPr>
    </w:p>
    <w:p w14:paraId="3C4E593B" w14:textId="77777777" w:rsidR="00BD3729" w:rsidRPr="00BD3729" w:rsidRDefault="00BD3729" w:rsidP="00BD3729">
      <w:pPr>
        <w:pStyle w:val="Body"/>
        <w:rPr>
          <w:rFonts w:ascii="Arial" w:hAnsi="Arial" w:cs="Arial"/>
          <w:b/>
          <w:bCs/>
        </w:rPr>
      </w:pPr>
      <w:r w:rsidRPr="00BD3729">
        <w:rPr>
          <w:rFonts w:ascii="Arial" w:hAnsi="Arial" w:cs="Arial"/>
          <w:b/>
          <w:bCs/>
        </w:rPr>
        <w:t>2.4 Sample Size and Sampling Technique</w:t>
      </w:r>
    </w:p>
    <w:p w14:paraId="774A343B" w14:textId="24C1F318" w:rsidR="00BD3729" w:rsidRDefault="00BD3729" w:rsidP="00BD3729">
      <w:pPr>
        <w:pStyle w:val="Body"/>
        <w:spacing w:after="0"/>
        <w:rPr>
          <w:rFonts w:ascii="Arial" w:hAnsi="Arial" w:cs="Arial"/>
        </w:rPr>
      </w:pPr>
      <w:r w:rsidRPr="00BD3729">
        <w:rPr>
          <w:rFonts w:ascii="Arial" w:hAnsi="Arial" w:cs="Arial"/>
        </w:rPr>
        <w:lastRenderedPageBreak/>
        <w:t>A total population sampling approach was adopted for this study. All available case files that met the inclusion criteria were reviewed. This method enabled a comprehensive examination of every eligible case to capture the full extent of abortion-related mortality in the study setting. After careful screening, 311 case files were deemed suitable for analysis. The use of total population sampling reduced the risk of selection bias and ensured that the findings were representative of the actual burden and characteristics of abortion-related mortality within the hospital during the study period.</w:t>
      </w:r>
    </w:p>
    <w:p w14:paraId="75266126" w14:textId="77777777" w:rsidR="00BD3729" w:rsidRDefault="00BD3729" w:rsidP="00BD3729">
      <w:pPr>
        <w:pStyle w:val="Body"/>
        <w:spacing w:after="0"/>
        <w:rPr>
          <w:rFonts w:ascii="Arial" w:hAnsi="Arial" w:cs="Arial"/>
        </w:rPr>
      </w:pPr>
    </w:p>
    <w:p w14:paraId="32CF6B41" w14:textId="77777777" w:rsidR="00BD3729" w:rsidRDefault="00BD3729" w:rsidP="00BD3729">
      <w:pPr>
        <w:pStyle w:val="Body"/>
        <w:spacing w:after="0"/>
        <w:rPr>
          <w:rFonts w:ascii="Arial" w:hAnsi="Arial" w:cs="Arial"/>
          <w:b/>
          <w:bCs/>
        </w:rPr>
      </w:pPr>
      <w:r w:rsidRPr="00BD3729">
        <w:rPr>
          <w:rFonts w:ascii="Arial" w:hAnsi="Arial" w:cs="Arial"/>
          <w:b/>
          <w:bCs/>
        </w:rPr>
        <w:t>2.5 Instrument for Data Collection</w:t>
      </w:r>
    </w:p>
    <w:p w14:paraId="374EA26F" w14:textId="77777777" w:rsidR="001467C3" w:rsidRPr="00BD3729" w:rsidRDefault="001467C3" w:rsidP="00BD3729">
      <w:pPr>
        <w:pStyle w:val="Body"/>
        <w:spacing w:after="0"/>
        <w:rPr>
          <w:rFonts w:ascii="Arial" w:hAnsi="Arial" w:cs="Arial"/>
          <w:b/>
          <w:bCs/>
        </w:rPr>
      </w:pPr>
    </w:p>
    <w:p w14:paraId="5A526059" w14:textId="3718E484" w:rsidR="00BD3729" w:rsidRDefault="00BD3729" w:rsidP="00BD3729">
      <w:pPr>
        <w:pStyle w:val="Body"/>
        <w:spacing w:after="0"/>
        <w:rPr>
          <w:rFonts w:ascii="Arial" w:hAnsi="Arial" w:cs="Arial"/>
        </w:rPr>
      </w:pPr>
      <w:r w:rsidRPr="00BD3729">
        <w:rPr>
          <w:rFonts w:ascii="Arial" w:hAnsi="Arial" w:cs="Arial"/>
        </w:rPr>
        <w:t xml:space="preserve">Data were collected using a structured Data Extraction Form (DEF) developed based on the study objectives and findings from relevant literature. The form was designed to facilitate consistent and systematic documentation of relevant variables from each case file. It was used to extract data on sociodemographic variables including age, marital status, educational level, and socioeconomic status. Clinical information such as gestational age at the time of abortion, type of abortion procedure, prior medical history, and complications like hemorrhage or sepsis were also recorded. Additionally, the outcomes of each case, including survival or mortality, as well as documented cause of death, were captured. </w:t>
      </w:r>
    </w:p>
    <w:p w14:paraId="20CF3F7F" w14:textId="77777777" w:rsidR="001467C3" w:rsidRPr="00BD3729" w:rsidRDefault="001467C3" w:rsidP="00BD3729">
      <w:pPr>
        <w:pStyle w:val="Body"/>
        <w:spacing w:after="0"/>
        <w:rPr>
          <w:rFonts w:ascii="Arial" w:hAnsi="Arial" w:cs="Arial"/>
        </w:rPr>
      </w:pPr>
    </w:p>
    <w:p w14:paraId="254717F7" w14:textId="77777777" w:rsidR="00BD3729" w:rsidRPr="00BD3729" w:rsidRDefault="00BD3729" w:rsidP="00BD3729">
      <w:pPr>
        <w:pStyle w:val="Body"/>
        <w:spacing w:after="0"/>
        <w:rPr>
          <w:rFonts w:ascii="Arial" w:hAnsi="Arial" w:cs="Arial"/>
          <w:b/>
          <w:bCs/>
        </w:rPr>
      </w:pPr>
      <w:r w:rsidRPr="00BD3729">
        <w:rPr>
          <w:rFonts w:ascii="Arial" w:hAnsi="Arial" w:cs="Arial"/>
          <w:b/>
          <w:bCs/>
        </w:rPr>
        <w:t>2.6 Validity of the Instrument</w:t>
      </w:r>
    </w:p>
    <w:p w14:paraId="55FDE991" w14:textId="77777777" w:rsidR="007D642E" w:rsidRDefault="007D642E" w:rsidP="00414F91">
      <w:pPr>
        <w:pStyle w:val="Body"/>
        <w:rPr>
          <w:rFonts w:ascii="Arial" w:hAnsi="Arial" w:cs="Arial"/>
        </w:rPr>
      </w:pPr>
    </w:p>
    <w:p w14:paraId="45AE031A" w14:textId="5E6B508C" w:rsidR="00414F91" w:rsidRPr="00414F91" w:rsidRDefault="00414F91" w:rsidP="00414F91">
      <w:pPr>
        <w:pStyle w:val="Body"/>
        <w:rPr>
          <w:rFonts w:ascii="Arial" w:hAnsi="Arial" w:cs="Arial"/>
        </w:rPr>
      </w:pPr>
      <w:r w:rsidRPr="00414F91">
        <w:rPr>
          <w:rFonts w:ascii="Arial" w:hAnsi="Arial" w:cs="Arial"/>
        </w:rPr>
        <w:t>The validity and reliability of the Data Extraction Form (DEF) were established through a systematic, multi-phase process. To ensure content validity, the form was developed following an extensive review of literature on abortion-related mortality, with particular focus on the sociodemographic and clinical factors frequently associated with such outcomes. A panel of experts in maternal health, reproductive health, and nursing research critically reviewed the form to assess the relevance, clarity, and comprehensiveness of each item. Based on their feedback, necessary revisions were made to improve the instrument’s ability to capture essential data accurately and completely.</w:t>
      </w:r>
      <w:r>
        <w:rPr>
          <w:rFonts w:ascii="Arial" w:hAnsi="Arial" w:cs="Arial"/>
        </w:rPr>
        <w:t xml:space="preserve"> </w:t>
      </w:r>
      <w:r w:rsidRPr="00414F91">
        <w:rPr>
          <w:rFonts w:ascii="Arial" w:hAnsi="Arial" w:cs="Arial"/>
        </w:rPr>
        <w:t>To confirm reliability, the revised form was pilot-tested on a subset of patient case files. This testing phase identified areas of potential ambiguity or inconsistency in data interpretation. Definitions for all variables were refined, and instructions for data abstraction were clarified to ensure uniformity in use. These measures minimized inter-observer variation and enhanced consistency across the data collection process. Together, these steps strengthened the DEF’s validity and reliability, ensuring it was both appropriate and dependable for extracting relevant data in this retrospective study.</w:t>
      </w:r>
    </w:p>
    <w:p w14:paraId="13B1B500" w14:textId="71A8F2E8" w:rsidR="00BD3729" w:rsidRPr="00BD3729" w:rsidRDefault="00BD3729" w:rsidP="00BD3729">
      <w:pPr>
        <w:pStyle w:val="Body"/>
        <w:spacing w:after="0"/>
        <w:rPr>
          <w:rFonts w:ascii="Arial" w:hAnsi="Arial" w:cs="Arial"/>
          <w:b/>
          <w:bCs/>
        </w:rPr>
      </w:pPr>
      <w:r w:rsidRPr="00BD3729">
        <w:rPr>
          <w:rFonts w:ascii="Arial" w:hAnsi="Arial" w:cs="Arial"/>
          <w:b/>
          <w:bCs/>
        </w:rPr>
        <w:t>2.</w:t>
      </w:r>
      <w:r w:rsidR="00414F91">
        <w:rPr>
          <w:rFonts w:ascii="Arial" w:hAnsi="Arial" w:cs="Arial"/>
          <w:b/>
          <w:bCs/>
        </w:rPr>
        <w:t>7</w:t>
      </w:r>
      <w:r w:rsidRPr="00BD3729">
        <w:rPr>
          <w:rFonts w:ascii="Arial" w:hAnsi="Arial" w:cs="Arial"/>
          <w:b/>
          <w:bCs/>
        </w:rPr>
        <w:t xml:space="preserve"> Method of Data Collection</w:t>
      </w:r>
    </w:p>
    <w:p w14:paraId="3D9F43FE" w14:textId="77777777" w:rsidR="00D12D3A" w:rsidRDefault="00D12D3A" w:rsidP="00BD3729">
      <w:pPr>
        <w:pStyle w:val="Body"/>
        <w:spacing w:after="0"/>
        <w:rPr>
          <w:rFonts w:ascii="Arial" w:hAnsi="Arial" w:cs="Arial"/>
        </w:rPr>
      </w:pPr>
    </w:p>
    <w:p w14:paraId="23796C03" w14:textId="538C04C1" w:rsidR="00BD3729" w:rsidRPr="00BD3729" w:rsidRDefault="00BD3729" w:rsidP="00BD3729">
      <w:pPr>
        <w:pStyle w:val="Body"/>
        <w:spacing w:after="0"/>
        <w:rPr>
          <w:rFonts w:ascii="Arial" w:hAnsi="Arial" w:cs="Arial"/>
        </w:rPr>
      </w:pPr>
      <w:r w:rsidRPr="00BD3729">
        <w:rPr>
          <w:rFonts w:ascii="Arial" w:hAnsi="Arial" w:cs="Arial"/>
        </w:rPr>
        <w:t>Data collection was carried out over a three-week period following ethical clearance and formal approval from the hospital management. The researcher, with the support of authorized hospital staff, accessed the medical records of patients treated for abortion-related complications. Using the structured Data Extraction Form, relevant data were retrieved from eligible case files. The researcher ensured strict adherence to the inclusion criteria, reviewing only files within the specified timeframe that contained complete and relevant information. To protect patient privacy, all extracted data were anonymized and coded. The collected data were stored in a secure, password-protected electronic database, and continuous checks were carried out to ensure data accuracy and completeness.</w:t>
      </w:r>
    </w:p>
    <w:p w14:paraId="759F2D44" w14:textId="77777777" w:rsidR="00D12D3A" w:rsidRDefault="00D12D3A" w:rsidP="00BD3729">
      <w:pPr>
        <w:pStyle w:val="Body"/>
        <w:spacing w:after="0"/>
        <w:rPr>
          <w:rFonts w:ascii="Arial" w:hAnsi="Arial" w:cs="Arial"/>
          <w:b/>
          <w:bCs/>
        </w:rPr>
      </w:pPr>
    </w:p>
    <w:p w14:paraId="04316C9C" w14:textId="0A4E36F6" w:rsidR="00BD3729" w:rsidRPr="00BD3729" w:rsidRDefault="00BD3729" w:rsidP="00BD3729">
      <w:pPr>
        <w:pStyle w:val="Body"/>
        <w:spacing w:after="0"/>
        <w:rPr>
          <w:rFonts w:ascii="Arial" w:hAnsi="Arial" w:cs="Arial"/>
          <w:b/>
          <w:bCs/>
        </w:rPr>
      </w:pPr>
      <w:r w:rsidRPr="00BD3729">
        <w:rPr>
          <w:rFonts w:ascii="Arial" w:hAnsi="Arial" w:cs="Arial"/>
          <w:b/>
          <w:bCs/>
        </w:rPr>
        <w:t>2.9 Method of Data Analysis</w:t>
      </w:r>
    </w:p>
    <w:p w14:paraId="595F2E3E" w14:textId="77777777" w:rsidR="00D12D3A" w:rsidRDefault="00D12D3A" w:rsidP="00BD3729">
      <w:pPr>
        <w:pStyle w:val="Body"/>
        <w:spacing w:after="0"/>
        <w:rPr>
          <w:rFonts w:ascii="Arial" w:hAnsi="Arial" w:cs="Arial"/>
        </w:rPr>
      </w:pPr>
    </w:p>
    <w:p w14:paraId="77205504" w14:textId="074ABDC7" w:rsidR="00BD3729" w:rsidRPr="00BD3729" w:rsidRDefault="00BD3729" w:rsidP="00BD3729">
      <w:pPr>
        <w:pStyle w:val="Body"/>
        <w:spacing w:after="0"/>
        <w:rPr>
          <w:rFonts w:ascii="Arial" w:hAnsi="Arial" w:cs="Arial"/>
        </w:rPr>
      </w:pPr>
      <w:r w:rsidRPr="00BD3729">
        <w:rPr>
          <w:rFonts w:ascii="Arial" w:hAnsi="Arial" w:cs="Arial"/>
        </w:rPr>
        <w:t>The data collected were analyzed using the Statistical Package for the Social Sciences (SPSS) version 28. Descriptive statistics such as frequencies, percentages, means, and standard deviations were used to summarize the sociodemographic and clinical characteristics of the cases. Chi-square tests were applied to examine the associations between abortion-related mortality and selected sociodemographic variables such as age, marital status, and education level. Similarly, clinical variables including gestational age and specific complications (e.g., hemorrhage, sepsis) were analyzed to determine their relationship with mortality outcomes. The results were presented in tables and charts to ensure clarity and effective interpretation.</w:t>
      </w:r>
    </w:p>
    <w:p w14:paraId="240FF2E3" w14:textId="77777777" w:rsidR="00D12D3A" w:rsidRDefault="00D12D3A" w:rsidP="00BD3729">
      <w:pPr>
        <w:pStyle w:val="Body"/>
        <w:spacing w:after="0"/>
        <w:rPr>
          <w:rFonts w:ascii="Arial" w:hAnsi="Arial" w:cs="Arial"/>
        </w:rPr>
      </w:pPr>
    </w:p>
    <w:p w14:paraId="41BD5D5E" w14:textId="77777777" w:rsidR="00BD3729" w:rsidRPr="00BD3729" w:rsidRDefault="00BD3729" w:rsidP="00BD3729">
      <w:pPr>
        <w:pStyle w:val="Body"/>
        <w:rPr>
          <w:rFonts w:ascii="Arial" w:hAnsi="Arial" w:cs="Arial"/>
          <w:vanish/>
        </w:rPr>
      </w:pPr>
      <w:r w:rsidRPr="00BD3729">
        <w:rPr>
          <w:rFonts w:ascii="Arial" w:hAnsi="Arial" w:cs="Arial"/>
          <w:vanish/>
        </w:rPr>
        <w:t>Top of Form</w:t>
      </w:r>
    </w:p>
    <w:p w14:paraId="727C9F0D" w14:textId="77777777" w:rsidR="00BD3729" w:rsidRPr="00BD3729" w:rsidRDefault="00BD3729" w:rsidP="00BD3729">
      <w:pPr>
        <w:pStyle w:val="Body"/>
        <w:rPr>
          <w:rFonts w:ascii="Arial" w:hAnsi="Arial" w:cs="Arial"/>
          <w:vanish/>
        </w:rPr>
      </w:pPr>
      <w:r w:rsidRPr="00BD3729">
        <w:rPr>
          <w:rFonts w:ascii="Arial" w:hAnsi="Arial" w:cs="Arial"/>
          <w:vanish/>
        </w:rPr>
        <w:t>Bottom of Form</w:t>
      </w:r>
    </w:p>
    <w:p w14:paraId="6AC5032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E2E09E0" w14:textId="77777777" w:rsidR="008348E0" w:rsidRDefault="008348E0" w:rsidP="00441B6F">
      <w:pPr>
        <w:pStyle w:val="Head1"/>
        <w:spacing w:after="0"/>
        <w:jc w:val="both"/>
        <w:rPr>
          <w:rFonts w:ascii="Arial" w:hAnsi="Arial" w:cs="Arial"/>
        </w:rPr>
      </w:pPr>
    </w:p>
    <w:p w14:paraId="14DE2D6A" w14:textId="77777777" w:rsidR="008348E0" w:rsidRDefault="008348E0" w:rsidP="008348E0">
      <w:pPr>
        <w:autoSpaceDE w:val="0"/>
        <w:autoSpaceDN w:val="0"/>
        <w:adjustRightInd w:val="0"/>
        <w:jc w:val="both"/>
        <w:rPr>
          <w:rFonts w:ascii="Arial" w:hAnsi="Arial" w:cs="Arial"/>
        </w:rPr>
      </w:pPr>
      <w:r w:rsidRPr="008348E0">
        <w:rPr>
          <w:rFonts w:ascii="Arial" w:hAnsi="Arial" w:cs="Arial"/>
        </w:rPr>
        <w:t xml:space="preserve">Data obtained showed that a total of 311 abortion-related deaths occurred over the five-year period, beginning January 2019 to December 2023, with marked fluctuations in annual rates. Specifically, in 2019, 61 cases were recorded, representing 19.6% of the total deaths. In 2020, there was a slight decrease to 58 cases (18.6%), followed by a noticeable increase in 2021, with 72 cases (23.1%), the highest in the study period. In 2022, the prevalence decreased to 63 cases (20.3%), and in 2023, it further declined to 57 cases (18.3%). The upward trend in 2021 could be linked to various factors, such as the impact of the COVID-19 pandemic, which may have disrupted healthcare services and increased the risk of unsafe abortions. Additionally, the increased number of deaths in 2021 could reflect higher rates of unsafe abortion practices, inadequate access to safe reproductive health services, or socio-economic factors affecting women’s ability to </w:t>
      </w:r>
      <w:r w:rsidRPr="008348E0">
        <w:rPr>
          <w:rFonts w:ascii="Arial" w:hAnsi="Arial" w:cs="Arial"/>
        </w:rPr>
        <w:lastRenderedPageBreak/>
        <w:t>seek appropriate care. In comparison to previous studies, where abortion-related mortality has shown a gradual decline due to improvements in healthcare access and the availability of safer abortion methods, this year-on-year fluctuation calls attention to potential gaps in health systems, particularly in times of crisis.</w:t>
      </w:r>
    </w:p>
    <w:p w14:paraId="7B5A210E" w14:textId="77777777" w:rsidR="008348E0" w:rsidRPr="008348E0" w:rsidRDefault="008348E0" w:rsidP="008348E0">
      <w:pPr>
        <w:autoSpaceDE w:val="0"/>
        <w:autoSpaceDN w:val="0"/>
        <w:adjustRightInd w:val="0"/>
        <w:jc w:val="both"/>
        <w:rPr>
          <w:rFonts w:ascii="Arial" w:hAnsi="Arial" w:cs="Arial"/>
        </w:rPr>
      </w:pPr>
    </w:p>
    <w:p w14:paraId="2A8100BE" w14:textId="4F7676B0" w:rsidR="008348E0" w:rsidRPr="008348E0" w:rsidRDefault="008348E0" w:rsidP="008348E0">
      <w:pPr>
        <w:autoSpaceDE w:val="0"/>
        <w:autoSpaceDN w:val="0"/>
        <w:adjustRightInd w:val="0"/>
        <w:jc w:val="both"/>
        <w:rPr>
          <w:rFonts w:ascii="Arial" w:hAnsi="Arial" w:cs="Arial"/>
        </w:rPr>
      </w:pPr>
      <w:r w:rsidRPr="008348E0">
        <w:rPr>
          <w:rFonts w:ascii="Arial" w:hAnsi="Arial" w:cs="Arial"/>
        </w:rPr>
        <w:t>The subsequent decrease in 2022 and 2023 suggests some recovery or improvement in healthcare responses, or perhaps an increase in public awareness and access to safer reproductive health services. This aligns with research indicating that improved maternal health services, better education on reproductive health, and legal reforms can lead to a reduction in unsafe abortions and related mortality</w:t>
      </w:r>
      <w:r w:rsidR="007D642E">
        <w:rPr>
          <w:rFonts w:ascii="Arial" w:hAnsi="Arial" w:cs="Arial"/>
        </w:rPr>
        <w:t xml:space="preserve"> </w:t>
      </w:r>
      <w:r w:rsidRPr="008348E0">
        <w:rPr>
          <w:rFonts w:ascii="Arial" w:hAnsi="Arial" w:cs="Arial"/>
        </w:rPr>
        <w:t>(</w:t>
      </w:r>
      <w:proofErr w:type="spellStart"/>
      <w:r w:rsidRPr="008348E0">
        <w:rPr>
          <w:rFonts w:ascii="Arial" w:hAnsi="Arial" w:cs="Arial"/>
          <w:color w:val="222222"/>
          <w:shd w:val="clear" w:color="auto" w:fill="FFFFFF"/>
        </w:rPr>
        <w:t>Fabamwo</w:t>
      </w:r>
      <w:proofErr w:type="spellEnd"/>
      <w:r w:rsidRPr="008348E0">
        <w:rPr>
          <w:rFonts w:ascii="Arial" w:hAnsi="Arial" w:cs="Arial"/>
          <w:color w:val="222222"/>
          <w:shd w:val="clear" w:color="auto" w:fill="FFFFFF"/>
        </w:rPr>
        <w:t xml:space="preserve"> et al., 2019; </w:t>
      </w:r>
      <w:r w:rsidRPr="008348E0">
        <w:rPr>
          <w:rFonts w:ascii="Arial" w:hAnsi="Arial" w:cs="Arial"/>
        </w:rPr>
        <w:t xml:space="preserve">Gerdts et al., 2023; </w:t>
      </w:r>
      <w:proofErr w:type="spellStart"/>
      <w:r w:rsidRPr="008348E0">
        <w:rPr>
          <w:rFonts w:ascii="Arial" w:hAnsi="Arial" w:cs="Arial"/>
        </w:rPr>
        <w:t>Sedgh</w:t>
      </w:r>
      <w:proofErr w:type="spellEnd"/>
      <w:r w:rsidRPr="008348E0">
        <w:rPr>
          <w:rFonts w:ascii="Arial" w:hAnsi="Arial" w:cs="Arial"/>
        </w:rPr>
        <w:t xml:space="preserve"> et al., 2022). However, the persistence of abortion-related deaths despite these trends highlights the need for continued efforts in improving access to safe abortion services, addressing socio-economic determinants of health, and reinforcing public health initiatives focused on maternal health.</w:t>
      </w:r>
    </w:p>
    <w:p w14:paraId="3F87C4B4" w14:textId="77777777" w:rsidR="008348E0" w:rsidRDefault="008348E0" w:rsidP="008348E0">
      <w:pPr>
        <w:autoSpaceDE w:val="0"/>
        <w:autoSpaceDN w:val="0"/>
        <w:adjustRightInd w:val="0"/>
        <w:jc w:val="both"/>
        <w:rPr>
          <w:rFonts w:ascii="Arial" w:hAnsi="Arial" w:cs="Arial"/>
        </w:rPr>
      </w:pPr>
    </w:p>
    <w:p w14:paraId="32064C92" w14:textId="5A59BBD5" w:rsidR="008348E0" w:rsidRPr="008348E0" w:rsidRDefault="008348E0" w:rsidP="008348E0">
      <w:pPr>
        <w:autoSpaceDE w:val="0"/>
        <w:autoSpaceDN w:val="0"/>
        <w:adjustRightInd w:val="0"/>
        <w:jc w:val="both"/>
        <w:rPr>
          <w:rFonts w:ascii="Arial" w:hAnsi="Arial" w:cs="Arial"/>
        </w:rPr>
      </w:pPr>
      <w:r w:rsidRPr="008348E0">
        <w:rPr>
          <w:rFonts w:ascii="Arial" w:hAnsi="Arial" w:cs="Arial"/>
        </w:rPr>
        <w:t>These findings also underscore the importance of ongoing interventions aimed at reducing abortion-related deaths. They suggest that while progress may be made in some areas, the variability in the data emphasizes the need for targeted and sustained efforts to address the underlying causes of unsafe abortions, especially in times of public health emergencies like the COVID-19 pandemic.</w:t>
      </w:r>
    </w:p>
    <w:p w14:paraId="112E677F" w14:textId="77777777" w:rsidR="008348E0" w:rsidRPr="008348E0" w:rsidRDefault="008348E0" w:rsidP="008348E0">
      <w:pPr>
        <w:pStyle w:val="Head1"/>
        <w:spacing w:after="0"/>
        <w:jc w:val="both"/>
        <w:rPr>
          <w:rFonts w:ascii="Arial" w:hAnsi="Arial" w:cs="Arial"/>
          <w:sz w:val="20"/>
        </w:rPr>
      </w:pPr>
    </w:p>
    <w:p w14:paraId="2317E18A" w14:textId="77777777" w:rsidR="00790ADA" w:rsidRPr="00FB3A86" w:rsidRDefault="00790ADA" w:rsidP="00441B6F">
      <w:pPr>
        <w:pStyle w:val="Head1"/>
        <w:spacing w:after="0"/>
        <w:jc w:val="both"/>
        <w:rPr>
          <w:rFonts w:ascii="Arial" w:hAnsi="Arial" w:cs="Arial"/>
        </w:rPr>
      </w:pPr>
    </w:p>
    <w:p w14:paraId="775EACED" w14:textId="4825FF8F" w:rsidR="008348E0" w:rsidRPr="008348E0" w:rsidRDefault="002B7B71" w:rsidP="008348E0">
      <w:pPr>
        <w:jc w:val="both"/>
        <w:rPr>
          <w:rFonts w:ascii="Arial" w:hAnsi="Arial" w:cs="Arial"/>
        </w:rPr>
      </w:pPr>
      <w:r w:rsidRPr="002B7B71">
        <w:rPr>
          <w:rFonts w:ascii="Arial" w:hAnsi="Arial" w:cs="Arial"/>
        </w:rPr>
        <w:t>The sociodemographic profile of patients who experienced abortion-related mortality at Central Hospital, Sapele, from January 2019 to December 2023, reveals several noteworthy patterns that align with findings in the literature. The mean age of the patients was 28.9 years (SD ± 8.82), indicating that women in their reproductive prime are disproportionately affected. Notably, the age group 25–34 years had the highest proportion of cases (34.4%), while the youngest group, 15–19 years, accounted for only 14.5%. This finding aligns with studies conducted in Nigeria and other sub-Saharan African countries, which consistently identify women in this age range as being at increased risk of abortion-related deaths (Benson et al., 2019; Ganatra et al., 2017). This trend likely reflects a combination of high fertility rates, greater exposure to unintended pregnancies, and limited access to safe abortion services among this group (Ganatra et al., 2017).</w:t>
      </w:r>
    </w:p>
    <w:p w14:paraId="061D0AA5" w14:textId="77777777" w:rsidR="008348E0" w:rsidRDefault="008348E0" w:rsidP="008348E0">
      <w:pPr>
        <w:autoSpaceDE w:val="0"/>
        <w:autoSpaceDN w:val="0"/>
        <w:adjustRightInd w:val="0"/>
        <w:jc w:val="both"/>
        <w:rPr>
          <w:rFonts w:ascii="Arial" w:hAnsi="Arial" w:cs="Arial"/>
        </w:rPr>
      </w:pPr>
    </w:p>
    <w:p w14:paraId="232E09E0" w14:textId="35DCF33B" w:rsidR="008348E0" w:rsidRPr="008348E0" w:rsidRDefault="008348E0" w:rsidP="008348E0">
      <w:pPr>
        <w:autoSpaceDE w:val="0"/>
        <w:autoSpaceDN w:val="0"/>
        <w:adjustRightInd w:val="0"/>
        <w:jc w:val="both"/>
        <w:rPr>
          <w:rFonts w:ascii="Arial" w:hAnsi="Arial" w:cs="Arial"/>
        </w:rPr>
      </w:pPr>
      <w:r w:rsidRPr="008348E0">
        <w:rPr>
          <w:rFonts w:ascii="Arial" w:hAnsi="Arial" w:cs="Arial"/>
        </w:rPr>
        <w:t>In terms of marital status, single women constituted the majority of cases (45.3%), with a significant drop in representation among widowed (7.4%) and divorced (20.9%) women. The prevalence of abortion-related deaths among single women may reflect limited access to family planning resources, societal stigma, or unplanned pregnancies, which can drive individuals to seek unsafe abortion services</w:t>
      </w:r>
      <w:r w:rsidR="00873621">
        <w:rPr>
          <w:rFonts w:ascii="Arial" w:hAnsi="Arial" w:cs="Arial"/>
        </w:rPr>
        <w:t xml:space="preserve"> </w:t>
      </w:r>
      <w:r w:rsidRPr="008348E0">
        <w:rPr>
          <w:rFonts w:ascii="Arial" w:hAnsi="Arial" w:cs="Arial"/>
        </w:rPr>
        <w:t>(Bankole et al., (2019). This finding corroborates research from other parts of Africa, where single women have been identified as particularly vulnerable due to societal stigma, limited family support, and reduced access to reproductive healthcare</w:t>
      </w:r>
      <w:r w:rsidR="00873621">
        <w:rPr>
          <w:rFonts w:ascii="Arial" w:hAnsi="Arial" w:cs="Arial"/>
        </w:rPr>
        <w:t xml:space="preserve"> </w:t>
      </w:r>
      <w:r w:rsidRPr="008348E0">
        <w:rPr>
          <w:rFonts w:ascii="Arial" w:hAnsi="Arial" w:cs="Arial"/>
        </w:rPr>
        <w:t xml:space="preserve">(Benson et al., 2019). </w:t>
      </w:r>
    </w:p>
    <w:p w14:paraId="383D971D" w14:textId="77777777" w:rsidR="008348E0" w:rsidRDefault="008348E0" w:rsidP="008348E0">
      <w:pPr>
        <w:autoSpaceDE w:val="0"/>
        <w:autoSpaceDN w:val="0"/>
        <w:adjustRightInd w:val="0"/>
        <w:jc w:val="both"/>
        <w:rPr>
          <w:rFonts w:ascii="Arial" w:hAnsi="Arial" w:cs="Arial"/>
        </w:rPr>
      </w:pPr>
    </w:p>
    <w:p w14:paraId="2DDB0AFA" w14:textId="78E71C30" w:rsidR="008348E0" w:rsidRPr="008348E0" w:rsidRDefault="008348E0" w:rsidP="008348E0">
      <w:pPr>
        <w:autoSpaceDE w:val="0"/>
        <w:autoSpaceDN w:val="0"/>
        <w:adjustRightInd w:val="0"/>
        <w:jc w:val="both"/>
        <w:rPr>
          <w:rFonts w:ascii="Arial" w:hAnsi="Arial" w:cs="Arial"/>
        </w:rPr>
      </w:pPr>
      <w:r w:rsidRPr="008348E0">
        <w:rPr>
          <w:rFonts w:ascii="Arial" w:hAnsi="Arial" w:cs="Arial"/>
        </w:rPr>
        <w:t>Educational attainment data also revealed that the majority of patients (43.4%) had completed secondary education, followed by those with tertiary education (32.8%). However, individuals with no formal education represented only 1.6% of the cases. The prominence of secondary-educated individuals could indicate that incomplete education hinders access to comprehensive reproductive health information, increasing vulnerability to unsafe abortion</w:t>
      </w:r>
      <w:r w:rsidR="00C60924">
        <w:rPr>
          <w:rFonts w:ascii="Arial" w:hAnsi="Arial" w:cs="Arial"/>
        </w:rPr>
        <w:t xml:space="preserve"> </w:t>
      </w:r>
      <w:r w:rsidRPr="008348E0">
        <w:rPr>
          <w:rFonts w:ascii="Arial" w:hAnsi="Arial" w:cs="Arial"/>
        </w:rPr>
        <w:t>(Guttmacher Institute, 2018). This result aligns with findings in studies from Ghana and Ethiopia, which suggest that women with moderate educational attainment may lack adequate reproductive health literacy or face barriers to accessing safe services (Guttmacher Institute, 2018)</w:t>
      </w:r>
      <w:r w:rsidR="00CF2D71">
        <w:rPr>
          <w:rFonts w:ascii="Arial" w:hAnsi="Arial" w:cs="Arial"/>
        </w:rPr>
        <w:t>.</w:t>
      </w:r>
    </w:p>
    <w:p w14:paraId="4740F1AF" w14:textId="77777777" w:rsidR="008348E0" w:rsidRDefault="008348E0" w:rsidP="008348E0">
      <w:pPr>
        <w:autoSpaceDE w:val="0"/>
        <w:autoSpaceDN w:val="0"/>
        <w:adjustRightInd w:val="0"/>
        <w:jc w:val="both"/>
        <w:rPr>
          <w:rFonts w:ascii="Arial" w:hAnsi="Arial" w:cs="Arial"/>
        </w:rPr>
      </w:pPr>
    </w:p>
    <w:p w14:paraId="2184B0C0" w14:textId="31E8FBC6" w:rsidR="008348E0" w:rsidRPr="008348E0" w:rsidRDefault="008348E0" w:rsidP="008348E0">
      <w:pPr>
        <w:autoSpaceDE w:val="0"/>
        <w:autoSpaceDN w:val="0"/>
        <w:adjustRightInd w:val="0"/>
        <w:jc w:val="both"/>
        <w:rPr>
          <w:rFonts w:ascii="Arial" w:hAnsi="Arial" w:cs="Arial"/>
        </w:rPr>
      </w:pPr>
      <w:r w:rsidRPr="008348E0">
        <w:rPr>
          <w:rFonts w:ascii="Arial" w:hAnsi="Arial" w:cs="Arial"/>
        </w:rPr>
        <w:t>Regarding occupation, students were the most represented group (45.3%), followed by housewives (35.1%). The predominance of students could be attributed to financial dependency and fear of social ostracism, factors that often compel younger individuals to seek unsafe abortions</w:t>
      </w:r>
      <w:r w:rsidR="00C60924">
        <w:rPr>
          <w:rFonts w:ascii="Arial" w:hAnsi="Arial" w:cs="Arial"/>
        </w:rPr>
        <w:t xml:space="preserve"> </w:t>
      </w:r>
      <w:r w:rsidRPr="008348E0">
        <w:rPr>
          <w:rFonts w:ascii="Arial" w:hAnsi="Arial" w:cs="Arial"/>
        </w:rPr>
        <w:t>(Jewkes &amp; Rees, 2020). Socioeconomic status (SES) analysis also showed that low-income patients formed the majority (61.1%), while only 10.6% were from high socioeconomic backgrounds. This disparity underscores the role of economic barriers in accessing safe abortion services and post-abortion care. Women from low SES groups are more likely to depend on unsafe providers due to financial constraints (Jewkes &amp; Rees, 2020; Fjerstad et al., 2021). This pattern is well-documented in global and regional studies, which highlight how poverty exacerbates barriers to accessing safe and timely abortion care (</w:t>
      </w:r>
      <w:bookmarkStart w:id="0" w:name="_Hlk194815624"/>
      <w:r w:rsidRPr="008348E0">
        <w:rPr>
          <w:rFonts w:ascii="Arial" w:hAnsi="Arial" w:cs="Arial"/>
        </w:rPr>
        <w:t xml:space="preserve">Jewkes &amp; Rees, 2020; </w:t>
      </w:r>
      <w:bookmarkEnd w:id="0"/>
      <w:r w:rsidRPr="008348E0">
        <w:rPr>
          <w:rFonts w:ascii="Arial" w:hAnsi="Arial" w:cs="Arial"/>
        </w:rPr>
        <w:t>Fjerstad et al., 2021).</w:t>
      </w:r>
    </w:p>
    <w:p w14:paraId="7A7D77FC" w14:textId="77777777" w:rsidR="008348E0" w:rsidRDefault="008348E0" w:rsidP="008348E0">
      <w:pPr>
        <w:autoSpaceDE w:val="0"/>
        <w:autoSpaceDN w:val="0"/>
        <w:adjustRightInd w:val="0"/>
        <w:jc w:val="both"/>
        <w:rPr>
          <w:rFonts w:ascii="Arial" w:hAnsi="Arial" w:cs="Arial"/>
        </w:rPr>
      </w:pPr>
    </w:p>
    <w:p w14:paraId="3A70EE44" w14:textId="76069837" w:rsidR="008348E0" w:rsidRPr="008348E0" w:rsidRDefault="008348E0" w:rsidP="008348E0">
      <w:pPr>
        <w:autoSpaceDE w:val="0"/>
        <w:autoSpaceDN w:val="0"/>
        <w:adjustRightInd w:val="0"/>
        <w:jc w:val="both"/>
        <w:rPr>
          <w:rFonts w:ascii="Arial" w:hAnsi="Arial" w:cs="Arial"/>
        </w:rPr>
      </w:pPr>
      <w:r w:rsidRPr="008348E0">
        <w:rPr>
          <w:rFonts w:ascii="Arial" w:hAnsi="Arial" w:cs="Arial"/>
        </w:rPr>
        <w:t>Furthermore, residential area analysis showed that urban dwellers constituted 60.8% of the cases, compared to 39.2% for rural residents. While urban areas generally offer better healthcare access, the high prevalence may reflect increased population density or greater anonymity that drives women to seek unsafe abortions (Ganatra et al., 2017;</w:t>
      </w:r>
      <w:r w:rsidR="00BA624F">
        <w:rPr>
          <w:rFonts w:ascii="Arial" w:hAnsi="Arial" w:cs="Arial"/>
        </w:rPr>
        <w:t xml:space="preserve"> </w:t>
      </w:r>
      <w:r w:rsidR="00BA624F" w:rsidRPr="00BA624F">
        <w:rPr>
          <w:rFonts w:ascii="Arial" w:hAnsi="Arial" w:cs="Arial"/>
        </w:rPr>
        <w:t>Campbell</w:t>
      </w:r>
      <w:r w:rsidRPr="008348E0">
        <w:rPr>
          <w:rFonts w:ascii="Arial" w:hAnsi="Arial" w:cs="Arial"/>
        </w:rPr>
        <w:t xml:space="preserve"> </w:t>
      </w:r>
      <w:r w:rsidRPr="00BA624F">
        <w:rPr>
          <w:rFonts w:ascii="Arial" w:hAnsi="Arial" w:cs="Arial"/>
        </w:rPr>
        <w:t>et al., 2018;</w:t>
      </w:r>
      <w:r w:rsidR="00C739D1" w:rsidRPr="00C739D1">
        <w:rPr>
          <w:rFonts w:ascii="Arial" w:hAnsi="Arial" w:cs="Arial"/>
        </w:rPr>
        <w:t xml:space="preserve"> </w:t>
      </w:r>
      <w:proofErr w:type="spellStart"/>
      <w:r w:rsidR="00C739D1" w:rsidRPr="00C739D1">
        <w:rPr>
          <w:rFonts w:ascii="Arial" w:hAnsi="Arial" w:cs="Arial"/>
        </w:rPr>
        <w:t>Bearak</w:t>
      </w:r>
      <w:proofErr w:type="spellEnd"/>
      <w:r w:rsidR="00C739D1">
        <w:rPr>
          <w:rFonts w:ascii="Arial" w:hAnsi="Arial" w:cs="Arial"/>
        </w:rPr>
        <w:t xml:space="preserve"> et al., 2020</w:t>
      </w:r>
      <w:r w:rsidRPr="008348E0">
        <w:rPr>
          <w:rFonts w:ascii="Arial" w:hAnsi="Arial" w:cs="Arial"/>
        </w:rPr>
        <w:t>). Overall, these findings emphasize the intersection of sociodemographic factors with abortion-related mortality, underscoring the need for targeted interventions focusing on high-risk groups such as single women, students, and those from low-income households. Comprehensive reproductive health education and affordable healthcare services could mitigate these disparities.</w:t>
      </w:r>
    </w:p>
    <w:p w14:paraId="4B42FCF1" w14:textId="77777777" w:rsidR="008348E0" w:rsidRDefault="008348E0" w:rsidP="00BA1125">
      <w:pPr>
        <w:rPr>
          <w:rFonts w:ascii="Arial" w:hAnsi="Arial" w:cs="Arial"/>
          <w:b/>
          <w:bCs/>
        </w:rPr>
      </w:pPr>
    </w:p>
    <w:p w14:paraId="0E8327BC" w14:textId="77777777" w:rsidR="005C1DF6" w:rsidRDefault="005C1DF6" w:rsidP="00BA1125">
      <w:pPr>
        <w:rPr>
          <w:rFonts w:ascii="Arial" w:hAnsi="Arial" w:cs="Arial"/>
          <w:b/>
          <w:bCs/>
        </w:rPr>
      </w:pPr>
    </w:p>
    <w:p w14:paraId="1527FF00" w14:textId="77777777" w:rsidR="005C1DF6" w:rsidRDefault="005C1DF6" w:rsidP="00BA1125">
      <w:pPr>
        <w:rPr>
          <w:rFonts w:ascii="Arial" w:hAnsi="Arial" w:cs="Arial"/>
          <w:b/>
          <w:bCs/>
        </w:rPr>
      </w:pPr>
    </w:p>
    <w:p w14:paraId="1A0DF1BA" w14:textId="16D2AA5F" w:rsidR="00BA1125" w:rsidRPr="00902D22" w:rsidRDefault="00BA1125" w:rsidP="00BA1125">
      <w:pPr>
        <w:rPr>
          <w:rFonts w:ascii="Arial" w:hAnsi="Arial" w:cs="Arial"/>
        </w:rPr>
      </w:pPr>
      <w:r w:rsidRPr="00902D22">
        <w:rPr>
          <w:rFonts w:ascii="Arial" w:hAnsi="Arial" w:cs="Arial"/>
          <w:b/>
          <w:bCs/>
        </w:rPr>
        <w:t xml:space="preserve">Table 1: </w:t>
      </w:r>
      <w:r w:rsidRPr="00902D22">
        <w:rPr>
          <w:rFonts w:ascii="Arial" w:hAnsi="Arial" w:cs="Arial"/>
        </w:rPr>
        <w:t>Sociodemographic Data</w:t>
      </w:r>
    </w:p>
    <w:p w14:paraId="23FF2A77" w14:textId="77777777" w:rsidR="00BA1125" w:rsidRDefault="00BA1125" w:rsidP="00BA1125">
      <w:pPr>
        <w:rPr>
          <w:rFonts w:ascii="Times New Roman" w:hAnsi="Times New Roman"/>
          <w:b/>
          <w:bCs/>
          <w:sz w:val="24"/>
          <w:szCs w:val="24"/>
        </w:rPr>
      </w:pPr>
    </w:p>
    <w:tbl>
      <w:tblPr>
        <w:tblStyle w:val="TableGrid"/>
        <w:tblW w:w="0" w:type="auto"/>
        <w:tblLook w:val="04A0" w:firstRow="1" w:lastRow="0" w:firstColumn="1" w:lastColumn="0" w:noHBand="0" w:noVBand="1"/>
      </w:tblPr>
      <w:tblGrid>
        <w:gridCol w:w="3100"/>
        <w:gridCol w:w="2400"/>
        <w:gridCol w:w="3555"/>
      </w:tblGrid>
      <w:tr w:rsidR="00BA1125" w:rsidRPr="00BA1125" w14:paraId="728DA8C6" w14:textId="77777777" w:rsidTr="00D80CB9">
        <w:tc>
          <w:tcPr>
            <w:tcW w:w="3100" w:type="dxa"/>
            <w:tcBorders>
              <w:left w:val="nil"/>
              <w:bottom w:val="single" w:sz="4" w:space="0" w:color="auto"/>
              <w:right w:val="nil"/>
            </w:tcBorders>
            <w:hideMark/>
          </w:tcPr>
          <w:p w14:paraId="0F0CCC0F" w14:textId="77777777" w:rsidR="00BA1125" w:rsidRPr="00BA1125" w:rsidRDefault="00BA1125" w:rsidP="00D80CB9">
            <w:pPr>
              <w:spacing w:line="276" w:lineRule="auto"/>
              <w:rPr>
                <w:rFonts w:ascii="Arial" w:eastAsia="Times New Roman" w:hAnsi="Arial" w:cs="Arial"/>
                <w:b/>
                <w:bCs/>
                <w:sz w:val="20"/>
                <w:szCs w:val="20"/>
              </w:rPr>
            </w:pPr>
            <w:r w:rsidRPr="00BA1125">
              <w:rPr>
                <w:rFonts w:ascii="Arial" w:eastAsia="Times New Roman" w:hAnsi="Arial" w:cs="Arial"/>
                <w:b/>
                <w:bCs/>
                <w:sz w:val="20"/>
                <w:szCs w:val="20"/>
              </w:rPr>
              <w:t>Category</w:t>
            </w:r>
          </w:p>
        </w:tc>
        <w:tc>
          <w:tcPr>
            <w:tcW w:w="2400" w:type="dxa"/>
            <w:tcBorders>
              <w:left w:val="nil"/>
              <w:bottom w:val="single" w:sz="4" w:space="0" w:color="auto"/>
              <w:right w:val="nil"/>
            </w:tcBorders>
            <w:hideMark/>
          </w:tcPr>
          <w:p w14:paraId="78FD1118" w14:textId="77777777" w:rsidR="00BA1125" w:rsidRPr="00BA1125" w:rsidRDefault="00BA1125" w:rsidP="00D80CB9">
            <w:pPr>
              <w:spacing w:line="276" w:lineRule="auto"/>
              <w:jc w:val="center"/>
              <w:rPr>
                <w:rFonts w:ascii="Arial" w:eastAsia="Times New Roman" w:hAnsi="Arial" w:cs="Arial"/>
                <w:b/>
                <w:bCs/>
                <w:sz w:val="20"/>
                <w:szCs w:val="20"/>
              </w:rPr>
            </w:pPr>
            <w:r w:rsidRPr="00BA1125">
              <w:rPr>
                <w:rFonts w:ascii="Arial" w:eastAsia="Times New Roman" w:hAnsi="Arial" w:cs="Arial"/>
                <w:b/>
                <w:bCs/>
                <w:sz w:val="20"/>
                <w:szCs w:val="20"/>
              </w:rPr>
              <w:t xml:space="preserve">Frequency </w:t>
            </w:r>
          </w:p>
          <w:p w14:paraId="1F85C805" w14:textId="77777777" w:rsidR="00BA1125" w:rsidRPr="00BA1125" w:rsidRDefault="00BA1125" w:rsidP="00D80CB9">
            <w:pPr>
              <w:spacing w:line="276" w:lineRule="auto"/>
              <w:jc w:val="center"/>
              <w:rPr>
                <w:rFonts w:ascii="Arial" w:eastAsia="Times New Roman" w:hAnsi="Arial" w:cs="Arial"/>
                <w:b/>
                <w:bCs/>
                <w:sz w:val="20"/>
                <w:szCs w:val="20"/>
              </w:rPr>
            </w:pPr>
            <w:r w:rsidRPr="00BA1125">
              <w:rPr>
                <w:rFonts w:ascii="Arial" w:hAnsi="Arial" w:cs="Arial"/>
                <w:b/>
                <w:bCs/>
                <w:i/>
                <w:iCs/>
                <w:sz w:val="20"/>
                <w:szCs w:val="20"/>
              </w:rPr>
              <w:t>(n = 311)</w:t>
            </w:r>
          </w:p>
        </w:tc>
        <w:tc>
          <w:tcPr>
            <w:tcW w:w="3555" w:type="dxa"/>
            <w:tcBorders>
              <w:left w:val="nil"/>
              <w:bottom w:val="single" w:sz="4" w:space="0" w:color="auto"/>
              <w:right w:val="nil"/>
            </w:tcBorders>
            <w:hideMark/>
          </w:tcPr>
          <w:p w14:paraId="6A573CDC" w14:textId="77777777" w:rsidR="00BA1125" w:rsidRPr="00BA1125" w:rsidRDefault="00BA1125" w:rsidP="00D80CB9">
            <w:pPr>
              <w:spacing w:line="276" w:lineRule="auto"/>
              <w:jc w:val="center"/>
              <w:rPr>
                <w:rFonts w:ascii="Arial" w:eastAsia="Times New Roman" w:hAnsi="Arial" w:cs="Arial"/>
                <w:b/>
                <w:bCs/>
                <w:sz w:val="20"/>
                <w:szCs w:val="20"/>
              </w:rPr>
            </w:pPr>
            <w:r w:rsidRPr="00BA1125">
              <w:rPr>
                <w:rFonts w:ascii="Arial" w:eastAsia="Times New Roman" w:hAnsi="Arial" w:cs="Arial"/>
                <w:b/>
                <w:bCs/>
                <w:sz w:val="20"/>
                <w:szCs w:val="20"/>
              </w:rPr>
              <w:t>Percentage (%)</w:t>
            </w:r>
          </w:p>
          <w:p w14:paraId="2FC6A3FB" w14:textId="77777777" w:rsidR="00BA1125" w:rsidRPr="00BA1125" w:rsidRDefault="00BA1125" w:rsidP="00D80CB9">
            <w:pPr>
              <w:spacing w:line="276" w:lineRule="auto"/>
              <w:jc w:val="center"/>
              <w:rPr>
                <w:rFonts w:ascii="Arial" w:eastAsia="Times New Roman" w:hAnsi="Arial" w:cs="Arial"/>
                <w:b/>
                <w:bCs/>
                <w:sz w:val="20"/>
                <w:szCs w:val="20"/>
              </w:rPr>
            </w:pPr>
          </w:p>
        </w:tc>
      </w:tr>
      <w:tr w:rsidR="00BA1125" w:rsidRPr="00BA1125" w14:paraId="78702D1B" w14:textId="77777777" w:rsidTr="00D80CB9">
        <w:tc>
          <w:tcPr>
            <w:tcW w:w="3100" w:type="dxa"/>
            <w:tcBorders>
              <w:top w:val="single" w:sz="4" w:space="0" w:color="auto"/>
              <w:left w:val="nil"/>
              <w:bottom w:val="nil"/>
              <w:right w:val="nil"/>
            </w:tcBorders>
          </w:tcPr>
          <w:p w14:paraId="3F90B6E8" w14:textId="77777777" w:rsidR="00BA1125" w:rsidRPr="00BA1125" w:rsidRDefault="00BA1125" w:rsidP="00D80CB9">
            <w:pPr>
              <w:spacing w:line="276" w:lineRule="auto"/>
              <w:rPr>
                <w:rFonts w:ascii="Arial" w:eastAsia="Times New Roman" w:hAnsi="Arial" w:cs="Arial"/>
                <w:b/>
                <w:bCs/>
                <w:sz w:val="20"/>
                <w:szCs w:val="20"/>
              </w:rPr>
            </w:pPr>
          </w:p>
          <w:p w14:paraId="2DC5A93D" w14:textId="77777777" w:rsidR="00BA1125" w:rsidRPr="00BA1125" w:rsidRDefault="00BA1125" w:rsidP="00D80CB9">
            <w:pPr>
              <w:spacing w:line="276" w:lineRule="auto"/>
              <w:rPr>
                <w:rFonts w:ascii="Arial" w:eastAsia="Times New Roman" w:hAnsi="Arial" w:cs="Arial"/>
                <w:b/>
                <w:bCs/>
                <w:sz w:val="20"/>
                <w:szCs w:val="20"/>
              </w:rPr>
            </w:pPr>
            <w:r w:rsidRPr="00BA1125">
              <w:rPr>
                <w:rFonts w:ascii="Arial" w:eastAsia="Times New Roman" w:hAnsi="Arial" w:cs="Arial"/>
                <w:b/>
                <w:bCs/>
                <w:sz w:val="20"/>
                <w:szCs w:val="20"/>
              </w:rPr>
              <w:t>Age</w:t>
            </w:r>
          </w:p>
        </w:tc>
        <w:tc>
          <w:tcPr>
            <w:tcW w:w="2400" w:type="dxa"/>
            <w:tcBorders>
              <w:top w:val="single" w:sz="4" w:space="0" w:color="auto"/>
              <w:left w:val="nil"/>
              <w:bottom w:val="nil"/>
              <w:right w:val="nil"/>
            </w:tcBorders>
          </w:tcPr>
          <w:p w14:paraId="12FA6387" w14:textId="77777777" w:rsidR="00BA1125" w:rsidRPr="00BA1125" w:rsidRDefault="00BA1125" w:rsidP="00D80CB9">
            <w:pPr>
              <w:spacing w:line="276" w:lineRule="auto"/>
              <w:jc w:val="center"/>
              <w:rPr>
                <w:rFonts w:ascii="Arial" w:eastAsia="Times New Roman" w:hAnsi="Arial" w:cs="Arial"/>
                <w:b/>
                <w:bCs/>
                <w:sz w:val="20"/>
                <w:szCs w:val="20"/>
              </w:rPr>
            </w:pPr>
          </w:p>
        </w:tc>
        <w:tc>
          <w:tcPr>
            <w:tcW w:w="3555" w:type="dxa"/>
            <w:tcBorders>
              <w:top w:val="single" w:sz="4" w:space="0" w:color="auto"/>
              <w:left w:val="nil"/>
              <w:bottom w:val="nil"/>
              <w:right w:val="nil"/>
            </w:tcBorders>
          </w:tcPr>
          <w:p w14:paraId="2AC8E7C5" w14:textId="77777777" w:rsidR="00BA1125" w:rsidRPr="00BA1125" w:rsidRDefault="00BA1125" w:rsidP="00D80CB9">
            <w:pPr>
              <w:spacing w:line="276" w:lineRule="auto"/>
              <w:jc w:val="center"/>
              <w:rPr>
                <w:rFonts w:ascii="Arial" w:eastAsia="Times New Roman" w:hAnsi="Arial" w:cs="Arial"/>
                <w:b/>
                <w:bCs/>
                <w:sz w:val="20"/>
                <w:szCs w:val="20"/>
              </w:rPr>
            </w:pPr>
          </w:p>
        </w:tc>
      </w:tr>
      <w:tr w:rsidR="00BA1125" w:rsidRPr="00BA1125" w14:paraId="318E754C" w14:textId="77777777" w:rsidTr="00D80CB9">
        <w:tc>
          <w:tcPr>
            <w:tcW w:w="3100" w:type="dxa"/>
            <w:tcBorders>
              <w:top w:val="nil"/>
              <w:left w:val="nil"/>
              <w:bottom w:val="nil"/>
              <w:right w:val="nil"/>
            </w:tcBorders>
          </w:tcPr>
          <w:p w14:paraId="027F5C06"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15-19</w:t>
            </w:r>
          </w:p>
        </w:tc>
        <w:tc>
          <w:tcPr>
            <w:tcW w:w="2400" w:type="dxa"/>
            <w:tcBorders>
              <w:top w:val="nil"/>
              <w:left w:val="nil"/>
              <w:bottom w:val="nil"/>
              <w:right w:val="nil"/>
            </w:tcBorders>
          </w:tcPr>
          <w:p w14:paraId="6AFA055A" w14:textId="77777777" w:rsidR="00BA1125" w:rsidRPr="00BA1125" w:rsidRDefault="00BA1125" w:rsidP="00D80CB9">
            <w:pPr>
              <w:spacing w:line="276" w:lineRule="auto"/>
              <w:jc w:val="center"/>
              <w:rPr>
                <w:rFonts w:ascii="Arial" w:eastAsia="Times New Roman" w:hAnsi="Arial" w:cs="Arial"/>
                <w:b/>
                <w:bCs/>
                <w:sz w:val="20"/>
                <w:szCs w:val="20"/>
              </w:rPr>
            </w:pPr>
            <w:r w:rsidRPr="00BA1125">
              <w:rPr>
                <w:rFonts w:ascii="Arial" w:eastAsia="Times New Roman" w:hAnsi="Arial" w:cs="Arial"/>
                <w:sz w:val="20"/>
                <w:szCs w:val="20"/>
              </w:rPr>
              <w:t>45</w:t>
            </w:r>
          </w:p>
        </w:tc>
        <w:tc>
          <w:tcPr>
            <w:tcW w:w="3555" w:type="dxa"/>
            <w:tcBorders>
              <w:top w:val="nil"/>
              <w:left w:val="nil"/>
              <w:bottom w:val="nil"/>
              <w:right w:val="nil"/>
            </w:tcBorders>
          </w:tcPr>
          <w:p w14:paraId="14AC503A" w14:textId="77777777" w:rsidR="00BA1125" w:rsidRPr="00BA1125" w:rsidRDefault="00BA1125" w:rsidP="00D80CB9">
            <w:pPr>
              <w:spacing w:line="276" w:lineRule="auto"/>
              <w:jc w:val="center"/>
              <w:rPr>
                <w:rFonts w:ascii="Arial" w:eastAsia="Times New Roman" w:hAnsi="Arial" w:cs="Arial"/>
                <w:b/>
                <w:bCs/>
                <w:sz w:val="20"/>
                <w:szCs w:val="20"/>
              </w:rPr>
            </w:pPr>
            <w:r w:rsidRPr="00BA1125">
              <w:rPr>
                <w:rFonts w:ascii="Arial" w:eastAsia="Times New Roman" w:hAnsi="Arial" w:cs="Arial"/>
                <w:sz w:val="20"/>
                <w:szCs w:val="20"/>
              </w:rPr>
              <w:t>14.5</w:t>
            </w:r>
          </w:p>
        </w:tc>
      </w:tr>
      <w:tr w:rsidR="00BA1125" w:rsidRPr="00BA1125" w14:paraId="204E32B0" w14:textId="77777777" w:rsidTr="00D80CB9">
        <w:tc>
          <w:tcPr>
            <w:tcW w:w="3100" w:type="dxa"/>
            <w:tcBorders>
              <w:top w:val="nil"/>
              <w:left w:val="nil"/>
              <w:bottom w:val="nil"/>
              <w:right w:val="nil"/>
            </w:tcBorders>
          </w:tcPr>
          <w:p w14:paraId="4136AF3D" w14:textId="77777777" w:rsidR="00BA1125" w:rsidRPr="00BA1125" w:rsidRDefault="00BA1125" w:rsidP="00D80CB9">
            <w:pPr>
              <w:spacing w:line="276" w:lineRule="auto"/>
              <w:rPr>
                <w:rFonts w:ascii="Arial" w:eastAsia="Times New Roman" w:hAnsi="Arial" w:cs="Arial"/>
                <w:b/>
                <w:bCs/>
                <w:sz w:val="20"/>
                <w:szCs w:val="20"/>
              </w:rPr>
            </w:pPr>
            <w:r w:rsidRPr="00BA1125">
              <w:rPr>
                <w:rFonts w:ascii="Arial" w:eastAsia="Times New Roman" w:hAnsi="Arial" w:cs="Arial"/>
                <w:sz w:val="20"/>
                <w:szCs w:val="20"/>
              </w:rPr>
              <w:t>20-24</w:t>
            </w:r>
          </w:p>
        </w:tc>
        <w:tc>
          <w:tcPr>
            <w:tcW w:w="2400" w:type="dxa"/>
            <w:tcBorders>
              <w:top w:val="nil"/>
              <w:left w:val="nil"/>
              <w:bottom w:val="nil"/>
              <w:right w:val="nil"/>
            </w:tcBorders>
          </w:tcPr>
          <w:p w14:paraId="69ED8DB3" w14:textId="77777777" w:rsidR="00BA1125" w:rsidRPr="00BA1125" w:rsidRDefault="00BA1125" w:rsidP="00D80CB9">
            <w:pPr>
              <w:spacing w:line="276" w:lineRule="auto"/>
              <w:jc w:val="center"/>
              <w:rPr>
                <w:rFonts w:ascii="Arial" w:eastAsia="Times New Roman" w:hAnsi="Arial" w:cs="Arial"/>
                <w:b/>
                <w:bCs/>
                <w:sz w:val="20"/>
                <w:szCs w:val="20"/>
              </w:rPr>
            </w:pPr>
            <w:r w:rsidRPr="00BA1125">
              <w:rPr>
                <w:rFonts w:ascii="Arial" w:eastAsia="Times New Roman" w:hAnsi="Arial" w:cs="Arial"/>
                <w:sz w:val="20"/>
                <w:szCs w:val="20"/>
              </w:rPr>
              <w:t>72</w:t>
            </w:r>
          </w:p>
        </w:tc>
        <w:tc>
          <w:tcPr>
            <w:tcW w:w="3555" w:type="dxa"/>
            <w:tcBorders>
              <w:top w:val="nil"/>
              <w:left w:val="nil"/>
              <w:bottom w:val="nil"/>
              <w:right w:val="nil"/>
            </w:tcBorders>
          </w:tcPr>
          <w:p w14:paraId="5962045C" w14:textId="77777777" w:rsidR="00BA1125" w:rsidRPr="00BA1125" w:rsidRDefault="00BA1125" w:rsidP="00D80CB9">
            <w:pPr>
              <w:spacing w:line="276" w:lineRule="auto"/>
              <w:jc w:val="center"/>
              <w:rPr>
                <w:rFonts w:ascii="Arial" w:eastAsia="Times New Roman" w:hAnsi="Arial" w:cs="Arial"/>
                <w:b/>
                <w:bCs/>
                <w:sz w:val="20"/>
                <w:szCs w:val="20"/>
              </w:rPr>
            </w:pPr>
            <w:r w:rsidRPr="00BA1125">
              <w:rPr>
                <w:rFonts w:ascii="Arial" w:eastAsia="Times New Roman" w:hAnsi="Arial" w:cs="Arial"/>
                <w:sz w:val="20"/>
                <w:szCs w:val="20"/>
              </w:rPr>
              <w:t>23.2</w:t>
            </w:r>
          </w:p>
        </w:tc>
      </w:tr>
      <w:tr w:rsidR="00BA1125" w:rsidRPr="00BA1125" w14:paraId="37480A52" w14:textId="77777777" w:rsidTr="00D80CB9">
        <w:tc>
          <w:tcPr>
            <w:tcW w:w="3100" w:type="dxa"/>
            <w:tcBorders>
              <w:top w:val="nil"/>
              <w:left w:val="nil"/>
              <w:bottom w:val="nil"/>
              <w:right w:val="nil"/>
            </w:tcBorders>
          </w:tcPr>
          <w:p w14:paraId="72FB47AD" w14:textId="77777777" w:rsidR="00BA1125" w:rsidRPr="00BA1125" w:rsidRDefault="00BA1125" w:rsidP="00D80CB9">
            <w:pPr>
              <w:spacing w:line="276" w:lineRule="auto"/>
              <w:rPr>
                <w:rFonts w:ascii="Arial" w:eastAsia="Times New Roman" w:hAnsi="Arial" w:cs="Arial"/>
                <w:b/>
                <w:bCs/>
                <w:sz w:val="20"/>
                <w:szCs w:val="20"/>
              </w:rPr>
            </w:pPr>
            <w:r w:rsidRPr="00BA1125">
              <w:rPr>
                <w:rFonts w:ascii="Arial" w:eastAsia="Times New Roman" w:hAnsi="Arial" w:cs="Arial"/>
                <w:sz w:val="20"/>
                <w:szCs w:val="20"/>
              </w:rPr>
              <w:t>25-34</w:t>
            </w:r>
          </w:p>
        </w:tc>
        <w:tc>
          <w:tcPr>
            <w:tcW w:w="2400" w:type="dxa"/>
            <w:tcBorders>
              <w:top w:val="nil"/>
              <w:left w:val="nil"/>
              <w:bottom w:val="nil"/>
              <w:right w:val="nil"/>
            </w:tcBorders>
          </w:tcPr>
          <w:p w14:paraId="2CF9AB77" w14:textId="77777777" w:rsidR="00BA1125" w:rsidRPr="00BA1125" w:rsidRDefault="00BA1125" w:rsidP="00D80CB9">
            <w:pPr>
              <w:spacing w:line="276" w:lineRule="auto"/>
              <w:jc w:val="center"/>
              <w:rPr>
                <w:rFonts w:ascii="Arial" w:eastAsia="Times New Roman" w:hAnsi="Arial" w:cs="Arial"/>
                <w:b/>
                <w:bCs/>
                <w:sz w:val="20"/>
                <w:szCs w:val="20"/>
              </w:rPr>
            </w:pPr>
            <w:r w:rsidRPr="00BA1125">
              <w:rPr>
                <w:rFonts w:ascii="Arial" w:eastAsia="Times New Roman" w:hAnsi="Arial" w:cs="Arial"/>
                <w:sz w:val="20"/>
                <w:szCs w:val="20"/>
              </w:rPr>
              <w:t>107</w:t>
            </w:r>
          </w:p>
        </w:tc>
        <w:tc>
          <w:tcPr>
            <w:tcW w:w="3555" w:type="dxa"/>
            <w:tcBorders>
              <w:top w:val="nil"/>
              <w:left w:val="nil"/>
              <w:bottom w:val="nil"/>
              <w:right w:val="nil"/>
            </w:tcBorders>
          </w:tcPr>
          <w:p w14:paraId="0133B233" w14:textId="77777777" w:rsidR="00BA1125" w:rsidRPr="00BA1125" w:rsidRDefault="00BA1125" w:rsidP="00D80CB9">
            <w:pPr>
              <w:spacing w:line="276" w:lineRule="auto"/>
              <w:jc w:val="center"/>
              <w:rPr>
                <w:rFonts w:ascii="Arial" w:eastAsia="Times New Roman" w:hAnsi="Arial" w:cs="Arial"/>
                <w:b/>
                <w:bCs/>
                <w:sz w:val="20"/>
                <w:szCs w:val="20"/>
              </w:rPr>
            </w:pPr>
            <w:r w:rsidRPr="00BA1125">
              <w:rPr>
                <w:rFonts w:ascii="Arial" w:eastAsia="Times New Roman" w:hAnsi="Arial" w:cs="Arial"/>
                <w:sz w:val="20"/>
                <w:szCs w:val="20"/>
              </w:rPr>
              <w:t>34.4</w:t>
            </w:r>
          </w:p>
        </w:tc>
      </w:tr>
      <w:tr w:rsidR="00BA1125" w:rsidRPr="00BA1125" w14:paraId="5B5F03BE" w14:textId="77777777" w:rsidTr="00D80CB9">
        <w:tc>
          <w:tcPr>
            <w:tcW w:w="3100" w:type="dxa"/>
            <w:tcBorders>
              <w:top w:val="nil"/>
              <w:left w:val="nil"/>
              <w:bottom w:val="nil"/>
              <w:right w:val="nil"/>
            </w:tcBorders>
          </w:tcPr>
          <w:p w14:paraId="61C0C3AE" w14:textId="77777777" w:rsidR="00BA1125" w:rsidRPr="00BA1125" w:rsidRDefault="00BA1125" w:rsidP="00D80CB9">
            <w:pPr>
              <w:spacing w:line="276" w:lineRule="auto"/>
              <w:rPr>
                <w:rFonts w:ascii="Arial" w:eastAsia="Times New Roman" w:hAnsi="Arial" w:cs="Arial"/>
                <w:b/>
                <w:bCs/>
                <w:sz w:val="20"/>
                <w:szCs w:val="20"/>
              </w:rPr>
            </w:pPr>
            <w:r w:rsidRPr="00BA1125">
              <w:rPr>
                <w:rFonts w:ascii="Arial" w:eastAsia="Times New Roman" w:hAnsi="Arial" w:cs="Arial"/>
                <w:sz w:val="20"/>
                <w:szCs w:val="20"/>
              </w:rPr>
              <w:t>35-45</w:t>
            </w:r>
          </w:p>
        </w:tc>
        <w:tc>
          <w:tcPr>
            <w:tcW w:w="2400" w:type="dxa"/>
            <w:tcBorders>
              <w:top w:val="nil"/>
              <w:left w:val="nil"/>
              <w:bottom w:val="nil"/>
              <w:right w:val="nil"/>
            </w:tcBorders>
          </w:tcPr>
          <w:p w14:paraId="3B1FD1FD" w14:textId="77777777" w:rsidR="00BA1125" w:rsidRPr="00BA1125" w:rsidRDefault="00BA1125" w:rsidP="00D80CB9">
            <w:pPr>
              <w:spacing w:line="276" w:lineRule="auto"/>
              <w:jc w:val="center"/>
              <w:rPr>
                <w:rFonts w:ascii="Arial" w:eastAsia="Times New Roman" w:hAnsi="Arial" w:cs="Arial"/>
                <w:b/>
                <w:bCs/>
                <w:sz w:val="20"/>
                <w:szCs w:val="20"/>
              </w:rPr>
            </w:pPr>
            <w:r w:rsidRPr="00BA1125">
              <w:rPr>
                <w:rFonts w:ascii="Arial" w:eastAsia="Times New Roman" w:hAnsi="Arial" w:cs="Arial"/>
                <w:sz w:val="20"/>
                <w:szCs w:val="20"/>
              </w:rPr>
              <w:t>87</w:t>
            </w:r>
          </w:p>
        </w:tc>
        <w:tc>
          <w:tcPr>
            <w:tcW w:w="3555" w:type="dxa"/>
            <w:tcBorders>
              <w:top w:val="nil"/>
              <w:left w:val="nil"/>
              <w:bottom w:val="nil"/>
              <w:right w:val="nil"/>
            </w:tcBorders>
          </w:tcPr>
          <w:p w14:paraId="4EC7A057" w14:textId="77777777" w:rsidR="00BA1125" w:rsidRPr="00BA1125" w:rsidRDefault="00BA1125" w:rsidP="00D80CB9">
            <w:pPr>
              <w:spacing w:line="276" w:lineRule="auto"/>
              <w:jc w:val="center"/>
              <w:rPr>
                <w:rFonts w:ascii="Arial" w:eastAsia="Times New Roman" w:hAnsi="Arial" w:cs="Arial"/>
                <w:b/>
                <w:bCs/>
                <w:sz w:val="20"/>
                <w:szCs w:val="20"/>
              </w:rPr>
            </w:pPr>
            <w:r w:rsidRPr="00BA1125">
              <w:rPr>
                <w:rFonts w:ascii="Arial" w:eastAsia="Times New Roman" w:hAnsi="Arial" w:cs="Arial"/>
                <w:sz w:val="20"/>
                <w:szCs w:val="20"/>
              </w:rPr>
              <w:t>27.9</w:t>
            </w:r>
          </w:p>
        </w:tc>
      </w:tr>
      <w:tr w:rsidR="00BA1125" w:rsidRPr="00BA1125" w14:paraId="25EEE92C" w14:textId="77777777" w:rsidTr="00D80CB9">
        <w:tc>
          <w:tcPr>
            <w:tcW w:w="3100" w:type="dxa"/>
            <w:tcBorders>
              <w:top w:val="nil"/>
              <w:left w:val="nil"/>
              <w:bottom w:val="nil"/>
              <w:right w:val="nil"/>
            </w:tcBorders>
          </w:tcPr>
          <w:p w14:paraId="671F7D91"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Mean Age</w:t>
            </w:r>
          </w:p>
        </w:tc>
        <w:tc>
          <w:tcPr>
            <w:tcW w:w="2400" w:type="dxa"/>
            <w:tcBorders>
              <w:top w:val="nil"/>
              <w:left w:val="nil"/>
              <w:bottom w:val="nil"/>
              <w:right w:val="nil"/>
            </w:tcBorders>
          </w:tcPr>
          <w:p w14:paraId="3E2112F2" w14:textId="77777777" w:rsidR="00BA1125" w:rsidRPr="00BA1125" w:rsidRDefault="00BA1125" w:rsidP="00D80CB9">
            <w:pPr>
              <w:spacing w:line="276" w:lineRule="auto"/>
              <w:jc w:val="center"/>
              <w:rPr>
                <w:rFonts w:ascii="Arial" w:eastAsia="Times New Roman" w:hAnsi="Arial" w:cs="Arial"/>
                <w:sz w:val="20"/>
                <w:szCs w:val="20"/>
              </w:rPr>
            </w:pPr>
            <w:bookmarkStart w:id="1" w:name="_Hlk185276233"/>
            <w:r w:rsidRPr="00BA1125">
              <w:rPr>
                <w:rFonts w:ascii="Arial" w:eastAsia="Times New Roman" w:hAnsi="Arial" w:cs="Arial"/>
                <w:sz w:val="20"/>
                <w:szCs w:val="20"/>
              </w:rPr>
              <w:t>28.9(SD±8.82)</w:t>
            </w:r>
            <w:bookmarkEnd w:id="1"/>
          </w:p>
        </w:tc>
        <w:tc>
          <w:tcPr>
            <w:tcW w:w="3555" w:type="dxa"/>
            <w:tcBorders>
              <w:top w:val="nil"/>
              <w:left w:val="nil"/>
              <w:bottom w:val="nil"/>
              <w:right w:val="nil"/>
            </w:tcBorders>
          </w:tcPr>
          <w:p w14:paraId="15E09DA4" w14:textId="77777777" w:rsidR="00BA1125" w:rsidRPr="00BA1125" w:rsidRDefault="00BA1125" w:rsidP="00D80CB9">
            <w:pPr>
              <w:spacing w:line="276" w:lineRule="auto"/>
              <w:jc w:val="center"/>
              <w:rPr>
                <w:rFonts w:ascii="Arial" w:eastAsia="Times New Roman" w:hAnsi="Arial" w:cs="Arial"/>
                <w:sz w:val="20"/>
                <w:szCs w:val="20"/>
              </w:rPr>
            </w:pPr>
          </w:p>
          <w:p w14:paraId="650C5A3E" w14:textId="77777777" w:rsidR="00BA1125" w:rsidRPr="00BA1125" w:rsidRDefault="00BA1125" w:rsidP="00D80CB9">
            <w:pPr>
              <w:spacing w:line="276" w:lineRule="auto"/>
              <w:jc w:val="center"/>
              <w:rPr>
                <w:rFonts w:ascii="Arial" w:eastAsia="Times New Roman" w:hAnsi="Arial" w:cs="Arial"/>
                <w:sz w:val="20"/>
                <w:szCs w:val="20"/>
              </w:rPr>
            </w:pPr>
          </w:p>
        </w:tc>
      </w:tr>
      <w:tr w:rsidR="00BA1125" w:rsidRPr="00BA1125" w14:paraId="6263E53D" w14:textId="77777777" w:rsidTr="00D80CB9">
        <w:tc>
          <w:tcPr>
            <w:tcW w:w="3100" w:type="dxa"/>
            <w:tcBorders>
              <w:top w:val="nil"/>
              <w:left w:val="nil"/>
              <w:bottom w:val="nil"/>
              <w:right w:val="nil"/>
            </w:tcBorders>
            <w:hideMark/>
          </w:tcPr>
          <w:p w14:paraId="5973FEFF"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b/>
                <w:bCs/>
                <w:sz w:val="20"/>
                <w:szCs w:val="20"/>
              </w:rPr>
              <w:t>Marital Status</w:t>
            </w:r>
          </w:p>
        </w:tc>
        <w:tc>
          <w:tcPr>
            <w:tcW w:w="2400" w:type="dxa"/>
            <w:tcBorders>
              <w:top w:val="nil"/>
              <w:left w:val="nil"/>
              <w:bottom w:val="nil"/>
              <w:right w:val="nil"/>
            </w:tcBorders>
            <w:hideMark/>
          </w:tcPr>
          <w:p w14:paraId="520A5773" w14:textId="77777777" w:rsidR="00BA1125" w:rsidRPr="00BA1125" w:rsidRDefault="00BA1125" w:rsidP="00D80CB9">
            <w:pPr>
              <w:spacing w:line="276" w:lineRule="auto"/>
              <w:jc w:val="center"/>
              <w:rPr>
                <w:rFonts w:ascii="Arial" w:eastAsia="Times New Roman" w:hAnsi="Arial" w:cs="Arial"/>
                <w:sz w:val="20"/>
                <w:szCs w:val="20"/>
              </w:rPr>
            </w:pPr>
          </w:p>
        </w:tc>
        <w:tc>
          <w:tcPr>
            <w:tcW w:w="3555" w:type="dxa"/>
            <w:tcBorders>
              <w:top w:val="nil"/>
              <w:left w:val="nil"/>
              <w:bottom w:val="nil"/>
              <w:right w:val="nil"/>
            </w:tcBorders>
            <w:hideMark/>
          </w:tcPr>
          <w:p w14:paraId="71C9B64F" w14:textId="77777777" w:rsidR="00BA1125" w:rsidRPr="00BA1125" w:rsidRDefault="00BA1125" w:rsidP="00D80CB9">
            <w:pPr>
              <w:spacing w:line="276" w:lineRule="auto"/>
              <w:jc w:val="center"/>
              <w:rPr>
                <w:rFonts w:ascii="Arial" w:eastAsia="Times New Roman" w:hAnsi="Arial" w:cs="Arial"/>
                <w:sz w:val="20"/>
                <w:szCs w:val="20"/>
              </w:rPr>
            </w:pPr>
          </w:p>
        </w:tc>
      </w:tr>
      <w:tr w:rsidR="00BA1125" w:rsidRPr="00BA1125" w14:paraId="0120FC94" w14:textId="77777777" w:rsidTr="00D80CB9">
        <w:tc>
          <w:tcPr>
            <w:tcW w:w="3100" w:type="dxa"/>
            <w:tcBorders>
              <w:top w:val="nil"/>
              <w:left w:val="nil"/>
              <w:bottom w:val="nil"/>
              <w:right w:val="nil"/>
            </w:tcBorders>
            <w:hideMark/>
          </w:tcPr>
          <w:p w14:paraId="2D5E4EC5"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Single</w:t>
            </w:r>
          </w:p>
        </w:tc>
        <w:tc>
          <w:tcPr>
            <w:tcW w:w="2400" w:type="dxa"/>
            <w:tcBorders>
              <w:top w:val="nil"/>
              <w:left w:val="nil"/>
              <w:bottom w:val="nil"/>
              <w:right w:val="nil"/>
            </w:tcBorders>
            <w:hideMark/>
          </w:tcPr>
          <w:p w14:paraId="1600ADD7"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141</w:t>
            </w:r>
          </w:p>
        </w:tc>
        <w:tc>
          <w:tcPr>
            <w:tcW w:w="3555" w:type="dxa"/>
            <w:tcBorders>
              <w:top w:val="nil"/>
              <w:left w:val="nil"/>
              <w:bottom w:val="nil"/>
              <w:right w:val="nil"/>
            </w:tcBorders>
            <w:hideMark/>
          </w:tcPr>
          <w:p w14:paraId="3319D584"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45.3</w:t>
            </w:r>
          </w:p>
        </w:tc>
      </w:tr>
      <w:tr w:rsidR="00BA1125" w:rsidRPr="00BA1125" w14:paraId="76D93C03" w14:textId="77777777" w:rsidTr="00D80CB9">
        <w:tc>
          <w:tcPr>
            <w:tcW w:w="3100" w:type="dxa"/>
            <w:tcBorders>
              <w:top w:val="nil"/>
              <w:left w:val="nil"/>
              <w:bottom w:val="nil"/>
              <w:right w:val="nil"/>
            </w:tcBorders>
            <w:hideMark/>
          </w:tcPr>
          <w:p w14:paraId="69866226"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Married</w:t>
            </w:r>
          </w:p>
        </w:tc>
        <w:tc>
          <w:tcPr>
            <w:tcW w:w="2400" w:type="dxa"/>
            <w:tcBorders>
              <w:top w:val="nil"/>
              <w:left w:val="nil"/>
              <w:bottom w:val="nil"/>
              <w:right w:val="nil"/>
            </w:tcBorders>
            <w:hideMark/>
          </w:tcPr>
          <w:p w14:paraId="63704856"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82</w:t>
            </w:r>
          </w:p>
        </w:tc>
        <w:tc>
          <w:tcPr>
            <w:tcW w:w="3555" w:type="dxa"/>
            <w:tcBorders>
              <w:top w:val="nil"/>
              <w:left w:val="nil"/>
              <w:bottom w:val="nil"/>
              <w:right w:val="nil"/>
            </w:tcBorders>
            <w:hideMark/>
          </w:tcPr>
          <w:p w14:paraId="6593EC33"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26.4</w:t>
            </w:r>
          </w:p>
        </w:tc>
      </w:tr>
      <w:tr w:rsidR="00BA1125" w:rsidRPr="00BA1125" w14:paraId="6ABB498E" w14:textId="77777777" w:rsidTr="00D80CB9">
        <w:tc>
          <w:tcPr>
            <w:tcW w:w="3100" w:type="dxa"/>
            <w:tcBorders>
              <w:top w:val="nil"/>
              <w:left w:val="nil"/>
              <w:bottom w:val="nil"/>
              <w:right w:val="nil"/>
            </w:tcBorders>
            <w:hideMark/>
          </w:tcPr>
          <w:p w14:paraId="06E036FB"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Widowed</w:t>
            </w:r>
          </w:p>
        </w:tc>
        <w:tc>
          <w:tcPr>
            <w:tcW w:w="2400" w:type="dxa"/>
            <w:tcBorders>
              <w:top w:val="nil"/>
              <w:left w:val="nil"/>
              <w:bottom w:val="nil"/>
              <w:right w:val="nil"/>
            </w:tcBorders>
            <w:hideMark/>
          </w:tcPr>
          <w:p w14:paraId="62A9E045"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23</w:t>
            </w:r>
          </w:p>
        </w:tc>
        <w:tc>
          <w:tcPr>
            <w:tcW w:w="3555" w:type="dxa"/>
            <w:tcBorders>
              <w:top w:val="nil"/>
              <w:left w:val="nil"/>
              <w:bottom w:val="nil"/>
              <w:right w:val="nil"/>
            </w:tcBorders>
            <w:hideMark/>
          </w:tcPr>
          <w:p w14:paraId="2A0DB3E6"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7.4</w:t>
            </w:r>
          </w:p>
        </w:tc>
      </w:tr>
      <w:tr w:rsidR="00BA1125" w:rsidRPr="00BA1125" w14:paraId="7C453708" w14:textId="77777777" w:rsidTr="00D80CB9">
        <w:tc>
          <w:tcPr>
            <w:tcW w:w="3100" w:type="dxa"/>
            <w:tcBorders>
              <w:top w:val="nil"/>
              <w:left w:val="nil"/>
              <w:bottom w:val="nil"/>
              <w:right w:val="nil"/>
            </w:tcBorders>
            <w:hideMark/>
          </w:tcPr>
          <w:p w14:paraId="2E01C5F9"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Divorced</w:t>
            </w:r>
          </w:p>
        </w:tc>
        <w:tc>
          <w:tcPr>
            <w:tcW w:w="2400" w:type="dxa"/>
            <w:tcBorders>
              <w:top w:val="nil"/>
              <w:left w:val="nil"/>
              <w:bottom w:val="nil"/>
              <w:right w:val="nil"/>
            </w:tcBorders>
            <w:hideMark/>
          </w:tcPr>
          <w:p w14:paraId="15149ED4"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65</w:t>
            </w:r>
          </w:p>
        </w:tc>
        <w:tc>
          <w:tcPr>
            <w:tcW w:w="3555" w:type="dxa"/>
            <w:tcBorders>
              <w:top w:val="nil"/>
              <w:left w:val="nil"/>
              <w:bottom w:val="nil"/>
              <w:right w:val="nil"/>
            </w:tcBorders>
            <w:hideMark/>
          </w:tcPr>
          <w:p w14:paraId="531DD56D"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20.9</w:t>
            </w:r>
          </w:p>
          <w:p w14:paraId="3A918918" w14:textId="77777777" w:rsidR="00BA1125" w:rsidRPr="00BA1125" w:rsidRDefault="00BA1125" w:rsidP="00D80CB9">
            <w:pPr>
              <w:spacing w:line="276" w:lineRule="auto"/>
              <w:jc w:val="center"/>
              <w:rPr>
                <w:rFonts w:ascii="Arial" w:eastAsia="Times New Roman" w:hAnsi="Arial" w:cs="Arial"/>
                <w:sz w:val="20"/>
                <w:szCs w:val="20"/>
              </w:rPr>
            </w:pPr>
          </w:p>
        </w:tc>
      </w:tr>
      <w:tr w:rsidR="00BA1125" w:rsidRPr="00BA1125" w14:paraId="58EFE43F" w14:textId="77777777" w:rsidTr="00D80CB9">
        <w:tc>
          <w:tcPr>
            <w:tcW w:w="3100" w:type="dxa"/>
            <w:tcBorders>
              <w:top w:val="nil"/>
              <w:left w:val="nil"/>
              <w:bottom w:val="nil"/>
              <w:right w:val="nil"/>
            </w:tcBorders>
            <w:hideMark/>
          </w:tcPr>
          <w:p w14:paraId="065D1B88" w14:textId="77777777" w:rsidR="00BA1125" w:rsidRPr="00BA1125" w:rsidRDefault="00BA1125" w:rsidP="00D80CB9">
            <w:pPr>
              <w:spacing w:line="276" w:lineRule="auto"/>
              <w:rPr>
                <w:rFonts w:ascii="Arial" w:eastAsia="Times New Roman" w:hAnsi="Arial" w:cs="Arial"/>
                <w:b/>
                <w:bCs/>
                <w:sz w:val="20"/>
                <w:szCs w:val="20"/>
              </w:rPr>
            </w:pPr>
          </w:p>
          <w:p w14:paraId="3CF5D9FE"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b/>
                <w:bCs/>
                <w:sz w:val="20"/>
                <w:szCs w:val="20"/>
              </w:rPr>
              <w:t>Education Level</w:t>
            </w:r>
          </w:p>
        </w:tc>
        <w:tc>
          <w:tcPr>
            <w:tcW w:w="2400" w:type="dxa"/>
            <w:tcBorders>
              <w:top w:val="nil"/>
              <w:left w:val="nil"/>
              <w:bottom w:val="nil"/>
              <w:right w:val="nil"/>
            </w:tcBorders>
            <w:hideMark/>
          </w:tcPr>
          <w:p w14:paraId="3EB8B7D8" w14:textId="77777777" w:rsidR="00BA1125" w:rsidRPr="00BA1125" w:rsidRDefault="00BA1125" w:rsidP="00D80CB9">
            <w:pPr>
              <w:spacing w:line="276" w:lineRule="auto"/>
              <w:jc w:val="center"/>
              <w:rPr>
                <w:rFonts w:ascii="Arial" w:eastAsia="Times New Roman" w:hAnsi="Arial" w:cs="Arial"/>
                <w:sz w:val="20"/>
                <w:szCs w:val="20"/>
              </w:rPr>
            </w:pPr>
          </w:p>
        </w:tc>
        <w:tc>
          <w:tcPr>
            <w:tcW w:w="3555" w:type="dxa"/>
            <w:tcBorders>
              <w:top w:val="nil"/>
              <w:left w:val="nil"/>
              <w:bottom w:val="nil"/>
              <w:right w:val="nil"/>
            </w:tcBorders>
            <w:hideMark/>
          </w:tcPr>
          <w:p w14:paraId="4F71B9C0" w14:textId="77777777" w:rsidR="00BA1125" w:rsidRPr="00BA1125" w:rsidRDefault="00BA1125" w:rsidP="00D80CB9">
            <w:pPr>
              <w:spacing w:line="276" w:lineRule="auto"/>
              <w:jc w:val="center"/>
              <w:rPr>
                <w:rFonts w:ascii="Arial" w:eastAsia="Times New Roman" w:hAnsi="Arial" w:cs="Arial"/>
                <w:sz w:val="20"/>
                <w:szCs w:val="20"/>
              </w:rPr>
            </w:pPr>
          </w:p>
        </w:tc>
      </w:tr>
      <w:tr w:rsidR="00BA1125" w:rsidRPr="00BA1125" w14:paraId="2A597319" w14:textId="77777777" w:rsidTr="00D80CB9">
        <w:tc>
          <w:tcPr>
            <w:tcW w:w="3100" w:type="dxa"/>
            <w:tcBorders>
              <w:top w:val="nil"/>
              <w:left w:val="nil"/>
              <w:bottom w:val="nil"/>
              <w:right w:val="nil"/>
            </w:tcBorders>
            <w:hideMark/>
          </w:tcPr>
          <w:p w14:paraId="06143B81"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Primary</w:t>
            </w:r>
          </w:p>
        </w:tc>
        <w:tc>
          <w:tcPr>
            <w:tcW w:w="2400" w:type="dxa"/>
            <w:tcBorders>
              <w:top w:val="nil"/>
              <w:left w:val="nil"/>
              <w:bottom w:val="nil"/>
              <w:right w:val="nil"/>
            </w:tcBorders>
            <w:hideMark/>
          </w:tcPr>
          <w:p w14:paraId="513B6595"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69</w:t>
            </w:r>
          </w:p>
        </w:tc>
        <w:tc>
          <w:tcPr>
            <w:tcW w:w="3555" w:type="dxa"/>
            <w:tcBorders>
              <w:top w:val="nil"/>
              <w:left w:val="nil"/>
              <w:bottom w:val="nil"/>
              <w:right w:val="nil"/>
            </w:tcBorders>
            <w:hideMark/>
          </w:tcPr>
          <w:p w14:paraId="6EB4D4ED"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22.2</w:t>
            </w:r>
          </w:p>
        </w:tc>
      </w:tr>
      <w:tr w:rsidR="00BA1125" w:rsidRPr="00BA1125" w14:paraId="4D957B36" w14:textId="77777777" w:rsidTr="00D80CB9">
        <w:tc>
          <w:tcPr>
            <w:tcW w:w="3100" w:type="dxa"/>
            <w:tcBorders>
              <w:top w:val="nil"/>
              <w:left w:val="nil"/>
              <w:bottom w:val="nil"/>
              <w:right w:val="nil"/>
            </w:tcBorders>
            <w:hideMark/>
          </w:tcPr>
          <w:p w14:paraId="44A1483E"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Tertiary</w:t>
            </w:r>
          </w:p>
        </w:tc>
        <w:tc>
          <w:tcPr>
            <w:tcW w:w="2400" w:type="dxa"/>
            <w:tcBorders>
              <w:top w:val="nil"/>
              <w:left w:val="nil"/>
              <w:bottom w:val="nil"/>
              <w:right w:val="nil"/>
            </w:tcBorders>
            <w:hideMark/>
          </w:tcPr>
          <w:p w14:paraId="7A5D5B45"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102</w:t>
            </w:r>
          </w:p>
        </w:tc>
        <w:tc>
          <w:tcPr>
            <w:tcW w:w="3555" w:type="dxa"/>
            <w:tcBorders>
              <w:top w:val="nil"/>
              <w:left w:val="nil"/>
              <w:bottom w:val="nil"/>
              <w:right w:val="nil"/>
            </w:tcBorders>
            <w:hideMark/>
          </w:tcPr>
          <w:p w14:paraId="6A8363B8"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32.8</w:t>
            </w:r>
          </w:p>
        </w:tc>
      </w:tr>
      <w:tr w:rsidR="00BA1125" w:rsidRPr="00BA1125" w14:paraId="6911234D" w14:textId="77777777" w:rsidTr="00D80CB9">
        <w:tc>
          <w:tcPr>
            <w:tcW w:w="3100" w:type="dxa"/>
            <w:tcBorders>
              <w:top w:val="nil"/>
              <w:left w:val="nil"/>
              <w:bottom w:val="nil"/>
              <w:right w:val="nil"/>
            </w:tcBorders>
            <w:hideMark/>
          </w:tcPr>
          <w:p w14:paraId="7AA499A2"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 xml:space="preserve">No Formal Education     </w:t>
            </w:r>
          </w:p>
        </w:tc>
        <w:tc>
          <w:tcPr>
            <w:tcW w:w="2400" w:type="dxa"/>
            <w:tcBorders>
              <w:top w:val="nil"/>
              <w:left w:val="nil"/>
              <w:bottom w:val="nil"/>
              <w:right w:val="nil"/>
            </w:tcBorders>
            <w:hideMark/>
          </w:tcPr>
          <w:p w14:paraId="17A6E5F2"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5</w:t>
            </w:r>
          </w:p>
        </w:tc>
        <w:tc>
          <w:tcPr>
            <w:tcW w:w="3555" w:type="dxa"/>
            <w:tcBorders>
              <w:top w:val="nil"/>
              <w:left w:val="nil"/>
              <w:bottom w:val="nil"/>
              <w:right w:val="nil"/>
            </w:tcBorders>
            <w:hideMark/>
          </w:tcPr>
          <w:p w14:paraId="78D045C2"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1.6</w:t>
            </w:r>
          </w:p>
        </w:tc>
      </w:tr>
      <w:tr w:rsidR="00BA1125" w:rsidRPr="00BA1125" w14:paraId="49F4254C" w14:textId="77777777" w:rsidTr="00D80CB9">
        <w:tc>
          <w:tcPr>
            <w:tcW w:w="3100" w:type="dxa"/>
            <w:tcBorders>
              <w:top w:val="nil"/>
              <w:left w:val="nil"/>
              <w:bottom w:val="nil"/>
              <w:right w:val="nil"/>
            </w:tcBorders>
            <w:hideMark/>
          </w:tcPr>
          <w:p w14:paraId="51843CAE"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Secondary</w:t>
            </w:r>
          </w:p>
        </w:tc>
        <w:tc>
          <w:tcPr>
            <w:tcW w:w="2400" w:type="dxa"/>
            <w:tcBorders>
              <w:top w:val="nil"/>
              <w:left w:val="nil"/>
              <w:bottom w:val="nil"/>
              <w:right w:val="nil"/>
            </w:tcBorders>
            <w:hideMark/>
          </w:tcPr>
          <w:p w14:paraId="5918B4C7"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135</w:t>
            </w:r>
          </w:p>
        </w:tc>
        <w:tc>
          <w:tcPr>
            <w:tcW w:w="3555" w:type="dxa"/>
            <w:tcBorders>
              <w:top w:val="nil"/>
              <w:left w:val="nil"/>
              <w:bottom w:val="nil"/>
              <w:right w:val="nil"/>
            </w:tcBorders>
            <w:hideMark/>
          </w:tcPr>
          <w:p w14:paraId="23DC20C5"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43.4</w:t>
            </w:r>
          </w:p>
          <w:p w14:paraId="4EE1DD50" w14:textId="77777777" w:rsidR="00BA1125" w:rsidRPr="00BA1125" w:rsidRDefault="00BA1125" w:rsidP="00D80CB9">
            <w:pPr>
              <w:spacing w:line="276" w:lineRule="auto"/>
              <w:jc w:val="center"/>
              <w:rPr>
                <w:rFonts w:ascii="Arial" w:eastAsia="Times New Roman" w:hAnsi="Arial" w:cs="Arial"/>
                <w:sz w:val="20"/>
                <w:szCs w:val="20"/>
              </w:rPr>
            </w:pPr>
          </w:p>
        </w:tc>
      </w:tr>
      <w:tr w:rsidR="00BA1125" w:rsidRPr="00BA1125" w14:paraId="4E8FF320" w14:textId="77777777" w:rsidTr="00D80CB9">
        <w:tc>
          <w:tcPr>
            <w:tcW w:w="3100" w:type="dxa"/>
            <w:tcBorders>
              <w:top w:val="nil"/>
              <w:left w:val="nil"/>
              <w:bottom w:val="nil"/>
              <w:right w:val="nil"/>
            </w:tcBorders>
          </w:tcPr>
          <w:p w14:paraId="3647A947" w14:textId="77777777" w:rsidR="00BA1125" w:rsidRPr="00BA1125" w:rsidRDefault="00BA1125" w:rsidP="00D80CB9">
            <w:pPr>
              <w:spacing w:line="276" w:lineRule="auto"/>
              <w:rPr>
                <w:rFonts w:ascii="Arial" w:eastAsia="Times New Roman" w:hAnsi="Arial" w:cs="Arial"/>
                <w:b/>
                <w:bCs/>
                <w:sz w:val="20"/>
                <w:szCs w:val="20"/>
              </w:rPr>
            </w:pPr>
          </w:p>
          <w:p w14:paraId="7635EC5F" w14:textId="77777777" w:rsidR="00BA1125" w:rsidRPr="00BA1125" w:rsidRDefault="00BA1125" w:rsidP="00D80CB9">
            <w:pPr>
              <w:spacing w:line="276" w:lineRule="auto"/>
              <w:rPr>
                <w:rFonts w:ascii="Arial" w:eastAsia="Times New Roman" w:hAnsi="Arial" w:cs="Arial"/>
                <w:b/>
                <w:bCs/>
                <w:sz w:val="20"/>
                <w:szCs w:val="20"/>
              </w:rPr>
            </w:pPr>
            <w:r w:rsidRPr="00BA1125">
              <w:rPr>
                <w:rFonts w:ascii="Arial" w:eastAsia="Times New Roman" w:hAnsi="Arial" w:cs="Arial"/>
                <w:b/>
                <w:bCs/>
                <w:sz w:val="20"/>
                <w:szCs w:val="20"/>
              </w:rPr>
              <w:t>Occupation</w:t>
            </w:r>
          </w:p>
        </w:tc>
        <w:tc>
          <w:tcPr>
            <w:tcW w:w="2400" w:type="dxa"/>
            <w:tcBorders>
              <w:top w:val="nil"/>
              <w:left w:val="nil"/>
              <w:bottom w:val="nil"/>
              <w:right w:val="nil"/>
            </w:tcBorders>
          </w:tcPr>
          <w:p w14:paraId="0DB9E1B7" w14:textId="77777777" w:rsidR="00BA1125" w:rsidRPr="00BA1125" w:rsidRDefault="00BA1125" w:rsidP="00D80CB9">
            <w:pPr>
              <w:spacing w:line="276" w:lineRule="auto"/>
              <w:jc w:val="center"/>
              <w:rPr>
                <w:rFonts w:ascii="Arial" w:eastAsia="Times New Roman" w:hAnsi="Arial" w:cs="Arial"/>
                <w:sz w:val="20"/>
                <w:szCs w:val="20"/>
              </w:rPr>
            </w:pPr>
          </w:p>
        </w:tc>
        <w:tc>
          <w:tcPr>
            <w:tcW w:w="3555" w:type="dxa"/>
            <w:tcBorders>
              <w:top w:val="nil"/>
              <w:left w:val="nil"/>
              <w:bottom w:val="nil"/>
              <w:right w:val="nil"/>
            </w:tcBorders>
          </w:tcPr>
          <w:p w14:paraId="2F14DDDB" w14:textId="77777777" w:rsidR="00BA1125" w:rsidRPr="00BA1125" w:rsidRDefault="00BA1125" w:rsidP="00D80CB9">
            <w:pPr>
              <w:spacing w:line="276" w:lineRule="auto"/>
              <w:jc w:val="center"/>
              <w:rPr>
                <w:rFonts w:ascii="Arial" w:eastAsia="Times New Roman" w:hAnsi="Arial" w:cs="Arial"/>
                <w:sz w:val="20"/>
                <w:szCs w:val="20"/>
              </w:rPr>
            </w:pPr>
          </w:p>
        </w:tc>
      </w:tr>
      <w:tr w:rsidR="00BA1125" w:rsidRPr="00BA1125" w14:paraId="0E4192B4" w14:textId="77777777" w:rsidTr="00D80CB9">
        <w:tc>
          <w:tcPr>
            <w:tcW w:w="3100" w:type="dxa"/>
            <w:tcBorders>
              <w:top w:val="nil"/>
              <w:left w:val="nil"/>
              <w:bottom w:val="nil"/>
              <w:right w:val="nil"/>
            </w:tcBorders>
          </w:tcPr>
          <w:p w14:paraId="036EE0EE"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Student</w:t>
            </w:r>
          </w:p>
        </w:tc>
        <w:tc>
          <w:tcPr>
            <w:tcW w:w="2400" w:type="dxa"/>
            <w:tcBorders>
              <w:top w:val="nil"/>
              <w:left w:val="nil"/>
              <w:bottom w:val="nil"/>
              <w:right w:val="nil"/>
            </w:tcBorders>
            <w:vAlign w:val="center"/>
          </w:tcPr>
          <w:p w14:paraId="4FB7B6D1"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141</w:t>
            </w:r>
          </w:p>
        </w:tc>
        <w:tc>
          <w:tcPr>
            <w:tcW w:w="3555" w:type="dxa"/>
            <w:tcBorders>
              <w:top w:val="nil"/>
              <w:left w:val="nil"/>
              <w:bottom w:val="nil"/>
              <w:right w:val="nil"/>
            </w:tcBorders>
            <w:vAlign w:val="center"/>
          </w:tcPr>
          <w:p w14:paraId="55ED5E25"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45.3</w:t>
            </w:r>
          </w:p>
        </w:tc>
      </w:tr>
      <w:tr w:rsidR="00BA1125" w:rsidRPr="00BA1125" w14:paraId="00144604" w14:textId="77777777" w:rsidTr="00D80CB9">
        <w:tc>
          <w:tcPr>
            <w:tcW w:w="3100" w:type="dxa"/>
            <w:tcBorders>
              <w:top w:val="nil"/>
              <w:left w:val="nil"/>
              <w:bottom w:val="nil"/>
              <w:right w:val="nil"/>
            </w:tcBorders>
          </w:tcPr>
          <w:p w14:paraId="04A5AE07"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House Wife</w:t>
            </w:r>
          </w:p>
        </w:tc>
        <w:tc>
          <w:tcPr>
            <w:tcW w:w="2400" w:type="dxa"/>
            <w:tcBorders>
              <w:top w:val="nil"/>
              <w:left w:val="nil"/>
              <w:bottom w:val="nil"/>
              <w:right w:val="nil"/>
            </w:tcBorders>
            <w:vAlign w:val="center"/>
          </w:tcPr>
          <w:p w14:paraId="63120394"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109</w:t>
            </w:r>
          </w:p>
        </w:tc>
        <w:tc>
          <w:tcPr>
            <w:tcW w:w="3555" w:type="dxa"/>
            <w:tcBorders>
              <w:top w:val="nil"/>
              <w:left w:val="nil"/>
              <w:bottom w:val="nil"/>
              <w:right w:val="nil"/>
            </w:tcBorders>
            <w:vAlign w:val="center"/>
          </w:tcPr>
          <w:p w14:paraId="45203815"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35.1</w:t>
            </w:r>
          </w:p>
        </w:tc>
      </w:tr>
      <w:tr w:rsidR="00BA1125" w:rsidRPr="00BA1125" w14:paraId="44C82327" w14:textId="77777777" w:rsidTr="00D80CB9">
        <w:tc>
          <w:tcPr>
            <w:tcW w:w="3100" w:type="dxa"/>
            <w:tcBorders>
              <w:top w:val="nil"/>
              <w:left w:val="nil"/>
              <w:bottom w:val="nil"/>
              <w:right w:val="nil"/>
            </w:tcBorders>
          </w:tcPr>
          <w:p w14:paraId="24CEA667"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Unstated</w:t>
            </w:r>
          </w:p>
        </w:tc>
        <w:tc>
          <w:tcPr>
            <w:tcW w:w="2400" w:type="dxa"/>
            <w:tcBorders>
              <w:top w:val="nil"/>
              <w:left w:val="nil"/>
              <w:bottom w:val="nil"/>
              <w:right w:val="nil"/>
            </w:tcBorders>
            <w:vAlign w:val="center"/>
          </w:tcPr>
          <w:p w14:paraId="26D27192"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61</w:t>
            </w:r>
          </w:p>
        </w:tc>
        <w:tc>
          <w:tcPr>
            <w:tcW w:w="3555" w:type="dxa"/>
            <w:tcBorders>
              <w:top w:val="nil"/>
              <w:left w:val="nil"/>
              <w:bottom w:val="nil"/>
              <w:right w:val="nil"/>
            </w:tcBorders>
            <w:vAlign w:val="center"/>
          </w:tcPr>
          <w:p w14:paraId="725BBF55"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19.6</w:t>
            </w:r>
          </w:p>
        </w:tc>
      </w:tr>
      <w:tr w:rsidR="00BA1125" w:rsidRPr="00BA1125" w14:paraId="3DD7CB9C" w14:textId="77777777" w:rsidTr="00D80CB9">
        <w:tc>
          <w:tcPr>
            <w:tcW w:w="3100" w:type="dxa"/>
            <w:tcBorders>
              <w:top w:val="nil"/>
              <w:left w:val="nil"/>
              <w:bottom w:val="nil"/>
              <w:right w:val="nil"/>
            </w:tcBorders>
            <w:hideMark/>
          </w:tcPr>
          <w:p w14:paraId="4CF971FF" w14:textId="77777777" w:rsidR="00BA1125" w:rsidRPr="00BA1125" w:rsidRDefault="00BA1125" w:rsidP="00D80CB9">
            <w:pPr>
              <w:spacing w:line="276" w:lineRule="auto"/>
              <w:rPr>
                <w:rFonts w:ascii="Arial" w:eastAsia="Times New Roman" w:hAnsi="Arial" w:cs="Arial"/>
                <w:b/>
                <w:bCs/>
                <w:sz w:val="20"/>
                <w:szCs w:val="20"/>
              </w:rPr>
            </w:pPr>
          </w:p>
          <w:p w14:paraId="189733E2"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b/>
                <w:bCs/>
                <w:sz w:val="20"/>
                <w:szCs w:val="20"/>
              </w:rPr>
              <w:t>Socioeconomic Status</w:t>
            </w:r>
          </w:p>
        </w:tc>
        <w:tc>
          <w:tcPr>
            <w:tcW w:w="2400" w:type="dxa"/>
            <w:tcBorders>
              <w:top w:val="nil"/>
              <w:left w:val="nil"/>
              <w:bottom w:val="nil"/>
              <w:right w:val="nil"/>
            </w:tcBorders>
            <w:hideMark/>
          </w:tcPr>
          <w:p w14:paraId="7BAE1C52" w14:textId="77777777" w:rsidR="00BA1125" w:rsidRPr="00BA1125" w:rsidRDefault="00BA1125" w:rsidP="00D80CB9">
            <w:pPr>
              <w:spacing w:line="276" w:lineRule="auto"/>
              <w:jc w:val="center"/>
              <w:rPr>
                <w:rFonts w:ascii="Arial" w:eastAsia="Times New Roman" w:hAnsi="Arial" w:cs="Arial"/>
                <w:sz w:val="20"/>
                <w:szCs w:val="20"/>
              </w:rPr>
            </w:pPr>
          </w:p>
        </w:tc>
        <w:tc>
          <w:tcPr>
            <w:tcW w:w="3555" w:type="dxa"/>
            <w:tcBorders>
              <w:top w:val="nil"/>
              <w:left w:val="nil"/>
              <w:bottom w:val="nil"/>
              <w:right w:val="nil"/>
            </w:tcBorders>
            <w:hideMark/>
          </w:tcPr>
          <w:p w14:paraId="618170F8" w14:textId="77777777" w:rsidR="00BA1125" w:rsidRPr="00BA1125" w:rsidRDefault="00BA1125" w:rsidP="00D80CB9">
            <w:pPr>
              <w:spacing w:line="276" w:lineRule="auto"/>
              <w:jc w:val="center"/>
              <w:rPr>
                <w:rFonts w:ascii="Arial" w:eastAsia="Times New Roman" w:hAnsi="Arial" w:cs="Arial"/>
                <w:sz w:val="20"/>
                <w:szCs w:val="20"/>
              </w:rPr>
            </w:pPr>
          </w:p>
        </w:tc>
      </w:tr>
      <w:tr w:rsidR="00BA1125" w:rsidRPr="00BA1125" w14:paraId="72BD366B" w14:textId="77777777" w:rsidTr="00D80CB9">
        <w:tc>
          <w:tcPr>
            <w:tcW w:w="3100" w:type="dxa"/>
            <w:tcBorders>
              <w:top w:val="nil"/>
              <w:left w:val="nil"/>
              <w:bottom w:val="nil"/>
              <w:right w:val="nil"/>
            </w:tcBorders>
            <w:hideMark/>
          </w:tcPr>
          <w:p w14:paraId="1AAB00A2"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Low</w:t>
            </w:r>
          </w:p>
        </w:tc>
        <w:tc>
          <w:tcPr>
            <w:tcW w:w="2400" w:type="dxa"/>
            <w:tcBorders>
              <w:top w:val="nil"/>
              <w:left w:val="nil"/>
              <w:bottom w:val="nil"/>
              <w:right w:val="nil"/>
            </w:tcBorders>
            <w:hideMark/>
          </w:tcPr>
          <w:p w14:paraId="2D43FBFA"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190</w:t>
            </w:r>
          </w:p>
        </w:tc>
        <w:tc>
          <w:tcPr>
            <w:tcW w:w="3555" w:type="dxa"/>
            <w:tcBorders>
              <w:top w:val="nil"/>
              <w:left w:val="nil"/>
              <w:bottom w:val="nil"/>
              <w:right w:val="nil"/>
            </w:tcBorders>
            <w:hideMark/>
          </w:tcPr>
          <w:p w14:paraId="24267758"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61.1</w:t>
            </w:r>
          </w:p>
        </w:tc>
      </w:tr>
      <w:tr w:rsidR="00BA1125" w:rsidRPr="00BA1125" w14:paraId="40D411A1" w14:textId="77777777" w:rsidTr="00D80CB9">
        <w:tc>
          <w:tcPr>
            <w:tcW w:w="3100" w:type="dxa"/>
            <w:tcBorders>
              <w:top w:val="nil"/>
              <w:left w:val="nil"/>
              <w:bottom w:val="nil"/>
              <w:right w:val="nil"/>
            </w:tcBorders>
            <w:hideMark/>
          </w:tcPr>
          <w:p w14:paraId="5FDDA3B3"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Middle</w:t>
            </w:r>
          </w:p>
        </w:tc>
        <w:tc>
          <w:tcPr>
            <w:tcW w:w="2400" w:type="dxa"/>
            <w:tcBorders>
              <w:top w:val="nil"/>
              <w:left w:val="nil"/>
              <w:bottom w:val="nil"/>
              <w:right w:val="nil"/>
            </w:tcBorders>
            <w:hideMark/>
          </w:tcPr>
          <w:p w14:paraId="54DDFB8B"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88</w:t>
            </w:r>
          </w:p>
        </w:tc>
        <w:tc>
          <w:tcPr>
            <w:tcW w:w="3555" w:type="dxa"/>
            <w:tcBorders>
              <w:top w:val="nil"/>
              <w:left w:val="nil"/>
              <w:bottom w:val="nil"/>
              <w:right w:val="nil"/>
            </w:tcBorders>
            <w:hideMark/>
          </w:tcPr>
          <w:p w14:paraId="6307E474"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28.3</w:t>
            </w:r>
          </w:p>
        </w:tc>
      </w:tr>
      <w:tr w:rsidR="00BA1125" w:rsidRPr="00BA1125" w14:paraId="7695D9BB" w14:textId="77777777" w:rsidTr="00D80CB9">
        <w:tc>
          <w:tcPr>
            <w:tcW w:w="3100" w:type="dxa"/>
            <w:tcBorders>
              <w:top w:val="nil"/>
              <w:left w:val="nil"/>
              <w:bottom w:val="nil"/>
              <w:right w:val="nil"/>
            </w:tcBorders>
            <w:hideMark/>
          </w:tcPr>
          <w:p w14:paraId="22B51F03"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High</w:t>
            </w:r>
          </w:p>
        </w:tc>
        <w:tc>
          <w:tcPr>
            <w:tcW w:w="2400" w:type="dxa"/>
            <w:tcBorders>
              <w:top w:val="nil"/>
              <w:left w:val="nil"/>
              <w:bottom w:val="nil"/>
              <w:right w:val="nil"/>
            </w:tcBorders>
            <w:hideMark/>
          </w:tcPr>
          <w:p w14:paraId="1973818C"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33</w:t>
            </w:r>
          </w:p>
        </w:tc>
        <w:tc>
          <w:tcPr>
            <w:tcW w:w="3555" w:type="dxa"/>
            <w:tcBorders>
              <w:top w:val="nil"/>
              <w:left w:val="nil"/>
              <w:bottom w:val="nil"/>
              <w:right w:val="nil"/>
            </w:tcBorders>
            <w:hideMark/>
          </w:tcPr>
          <w:p w14:paraId="7F3D87F6"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10.6</w:t>
            </w:r>
          </w:p>
        </w:tc>
      </w:tr>
      <w:tr w:rsidR="00BA1125" w:rsidRPr="00BA1125" w14:paraId="5B474E28" w14:textId="77777777" w:rsidTr="00D80CB9">
        <w:tc>
          <w:tcPr>
            <w:tcW w:w="3100" w:type="dxa"/>
            <w:tcBorders>
              <w:top w:val="nil"/>
              <w:left w:val="nil"/>
              <w:bottom w:val="nil"/>
              <w:right w:val="nil"/>
            </w:tcBorders>
          </w:tcPr>
          <w:p w14:paraId="6DCED464" w14:textId="77777777" w:rsidR="00BA1125" w:rsidRPr="00BA1125" w:rsidRDefault="00BA1125" w:rsidP="00D80CB9">
            <w:pPr>
              <w:spacing w:line="276" w:lineRule="auto"/>
              <w:rPr>
                <w:rFonts w:ascii="Arial" w:eastAsia="Times New Roman" w:hAnsi="Arial" w:cs="Arial"/>
                <w:b/>
                <w:bCs/>
                <w:sz w:val="20"/>
                <w:szCs w:val="20"/>
              </w:rPr>
            </w:pPr>
          </w:p>
          <w:p w14:paraId="32B6EB1A" w14:textId="77777777" w:rsidR="00BA1125" w:rsidRPr="00BA1125" w:rsidRDefault="00BA1125" w:rsidP="00D80CB9">
            <w:pPr>
              <w:spacing w:line="276" w:lineRule="auto"/>
              <w:rPr>
                <w:rFonts w:ascii="Arial" w:eastAsia="Times New Roman" w:hAnsi="Arial" w:cs="Arial"/>
                <w:b/>
                <w:bCs/>
                <w:sz w:val="20"/>
                <w:szCs w:val="20"/>
              </w:rPr>
            </w:pPr>
            <w:r w:rsidRPr="00BA1125">
              <w:rPr>
                <w:rFonts w:ascii="Arial" w:eastAsia="Times New Roman" w:hAnsi="Arial" w:cs="Arial"/>
                <w:b/>
                <w:bCs/>
                <w:sz w:val="20"/>
                <w:szCs w:val="20"/>
              </w:rPr>
              <w:t>Residential Area</w:t>
            </w:r>
          </w:p>
        </w:tc>
        <w:tc>
          <w:tcPr>
            <w:tcW w:w="2400" w:type="dxa"/>
            <w:tcBorders>
              <w:top w:val="nil"/>
              <w:left w:val="nil"/>
              <w:bottom w:val="nil"/>
              <w:right w:val="nil"/>
            </w:tcBorders>
          </w:tcPr>
          <w:p w14:paraId="2E661824" w14:textId="77777777" w:rsidR="00BA1125" w:rsidRPr="00BA1125" w:rsidRDefault="00BA1125" w:rsidP="00D80CB9">
            <w:pPr>
              <w:spacing w:line="276" w:lineRule="auto"/>
              <w:jc w:val="center"/>
              <w:rPr>
                <w:rFonts w:ascii="Arial" w:eastAsia="Times New Roman" w:hAnsi="Arial" w:cs="Arial"/>
                <w:sz w:val="20"/>
                <w:szCs w:val="20"/>
              </w:rPr>
            </w:pPr>
          </w:p>
        </w:tc>
        <w:tc>
          <w:tcPr>
            <w:tcW w:w="3555" w:type="dxa"/>
            <w:tcBorders>
              <w:top w:val="nil"/>
              <w:left w:val="nil"/>
              <w:bottom w:val="nil"/>
              <w:right w:val="nil"/>
            </w:tcBorders>
          </w:tcPr>
          <w:p w14:paraId="1DB8F2CC" w14:textId="77777777" w:rsidR="00BA1125" w:rsidRPr="00BA1125" w:rsidRDefault="00BA1125" w:rsidP="00D80CB9">
            <w:pPr>
              <w:spacing w:line="276" w:lineRule="auto"/>
              <w:jc w:val="center"/>
              <w:rPr>
                <w:rFonts w:ascii="Arial" w:eastAsia="Times New Roman" w:hAnsi="Arial" w:cs="Arial"/>
                <w:sz w:val="20"/>
                <w:szCs w:val="20"/>
              </w:rPr>
            </w:pPr>
          </w:p>
        </w:tc>
      </w:tr>
      <w:tr w:rsidR="00BA1125" w:rsidRPr="00BA1125" w14:paraId="27AEC0B6" w14:textId="77777777" w:rsidTr="00D80CB9">
        <w:tc>
          <w:tcPr>
            <w:tcW w:w="3100" w:type="dxa"/>
            <w:tcBorders>
              <w:top w:val="nil"/>
              <w:left w:val="nil"/>
              <w:bottom w:val="nil"/>
              <w:right w:val="nil"/>
            </w:tcBorders>
          </w:tcPr>
          <w:p w14:paraId="598E2A66"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Rural</w:t>
            </w:r>
          </w:p>
        </w:tc>
        <w:tc>
          <w:tcPr>
            <w:tcW w:w="2400" w:type="dxa"/>
            <w:tcBorders>
              <w:top w:val="nil"/>
              <w:left w:val="nil"/>
              <w:bottom w:val="nil"/>
              <w:right w:val="nil"/>
            </w:tcBorders>
          </w:tcPr>
          <w:p w14:paraId="3DFD6B0A"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122</w:t>
            </w:r>
          </w:p>
        </w:tc>
        <w:tc>
          <w:tcPr>
            <w:tcW w:w="3555" w:type="dxa"/>
            <w:tcBorders>
              <w:top w:val="nil"/>
              <w:left w:val="nil"/>
              <w:bottom w:val="nil"/>
              <w:right w:val="nil"/>
            </w:tcBorders>
          </w:tcPr>
          <w:p w14:paraId="3E002C42"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39.2</w:t>
            </w:r>
          </w:p>
        </w:tc>
      </w:tr>
      <w:tr w:rsidR="00BA1125" w:rsidRPr="00BA1125" w14:paraId="6F2D5F24" w14:textId="77777777" w:rsidTr="00D80CB9">
        <w:tc>
          <w:tcPr>
            <w:tcW w:w="3100" w:type="dxa"/>
            <w:tcBorders>
              <w:top w:val="nil"/>
              <w:left w:val="nil"/>
              <w:bottom w:val="single" w:sz="4" w:space="0" w:color="auto"/>
              <w:right w:val="nil"/>
            </w:tcBorders>
          </w:tcPr>
          <w:p w14:paraId="7623CCB2"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Urban</w:t>
            </w:r>
          </w:p>
        </w:tc>
        <w:tc>
          <w:tcPr>
            <w:tcW w:w="2400" w:type="dxa"/>
            <w:tcBorders>
              <w:top w:val="nil"/>
              <w:left w:val="nil"/>
              <w:bottom w:val="single" w:sz="4" w:space="0" w:color="auto"/>
              <w:right w:val="nil"/>
            </w:tcBorders>
          </w:tcPr>
          <w:p w14:paraId="5670CCE9"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189</w:t>
            </w:r>
          </w:p>
        </w:tc>
        <w:tc>
          <w:tcPr>
            <w:tcW w:w="3555" w:type="dxa"/>
            <w:tcBorders>
              <w:top w:val="nil"/>
              <w:left w:val="nil"/>
              <w:bottom w:val="single" w:sz="4" w:space="0" w:color="auto"/>
              <w:right w:val="nil"/>
            </w:tcBorders>
          </w:tcPr>
          <w:p w14:paraId="4071F769"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60.8</w:t>
            </w:r>
          </w:p>
        </w:tc>
      </w:tr>
    </w:tbl>
    <w:p w14:paraId="3634E678" w14:textId="77777777" w:rsidR="008348E0" w:rsidRDefault="008348E0" w:rsidP="00BA1125">
      <w:pPr>
        <w:rPr>
          <w:rFonts w:ascii="Arial" w:hAnsi="Arial" w:cs="Arial"/>
          <w:b/>
          <w:bCs/>
        </w:rPr>
      </w:pPr>
    </w:p>
    <w:p w14:paraId="30290037" w14:textId="77777777" w:rsidR="008348E0" w:rsidRDefault="008348E0" w:rsidP="00BA1125">
      <w:pPr>
        <w:rPr>
          <w:rFonts w:ascii="Arial" w:hAnsi="Arial" w:cs="Arial"/>
          <w:b/>
          <w:bCs/>
        </w:rPr>
      </w:pPr>
    </w:p>
    <w:p w14:paraId="693E5F83" w14:textId="77777777" w:rsidR="009F4A67" w:rsidRDefault="009F4A67" w:rsidP="00BA1125">
      <w:pPr>
        <w:rPr>
          <w:rFonts w:ascii="Arial" w:hAnsi="Arial" w:cs="Arial"/>
          <w:b/>
          <w:bCs/>
        </w:rPr>
      </w:pPr>
    </w:p>
    <w:p w14:paraId="5B8EC25C" w14:textId="77777777" w:rsidR="009F4A67" w:rsidRDefault="009F4A67" w:rsidP="00BA1125">
      <w:pPr>
        <w:rPr>
          <w:rFonts w:ascii="Arial" w:hAnsi="Arial" w:cs="Arial"/>
          <w:b/>
          <w:bCs/>
        </w:rPr>
      </w:pPr>
    </w:p>
    <w:p w14:paraId="6E9F8100" w14:textId="77777777" w:rsidR="009F4A67" w:rsidRDefault="009F4A67" w:rsidP="00BA1125">
      <w:pPr>
        <w:rPr>
          <w:rFonts w:ascii="Arial" w:hAnsi="Arial" w:cs="Arial"/>
          <w:b/>
          <w:bCs/>
        </w:rPr>
      </w:pPr>
    </w:p>
    <w:p w14:paraId="374FDC32" w14:textId="77777777" w:rsidR="009F4A67" w:rsidRDefault="009F4A67" w:rsidP="00BA1125">
      <w:pPr>
        <w:rPr>
          <w:rFonts w:ascii="Arial" w:hAnsi="Arial" w:cs="Arial"/>
          <w:b/>
          <w:bCs/>
        </w:rPr>
      </w:pPr>
    </w:p>
    <w:p w14:paraId="7C6A3A00" w14:textId="77777777" w:rsidR="009F4A67" w:rsidRDefault="009F4A67" w:rsidP="00BA1125">
      <w:pPr>
        <w:rPr>
          <w:rFonts w:ascii="Arial" w:hAnsi="Arial" w:cs="Arial"/>
          <w:b/>
          <w:bCs/>
        </w:rPr>
      </w:pPr>
    </w:p>
    <w:p w14:paraId="3CAB81CC" w14:textId="77777777" w:rsidR="009F4A67" w:rsidRDefault="009F4A67" w:rsidP="00BA1125">
      <w:pPr>
        <w:rPr>
          <w:rFonts w:ascii="Arial" w:hAnsi="Arial" w:cs="Arial"/>
          <w:b/>
          <w:bCs/>
        </w:rPr>
      </w:pPr>
    </w:p>
    <w:p w14:paraId="6A2ED5EC" w14:textId="77777777" w:rsidR="009F4A67" w:rsidRDefault="009F4A67" w:rsidP="00BA1125">
      <w:pPr>
        <w:rPr>
          <w:rFonts w:ascii="Arial" w:hAnsi="Arial" w:cs="Arial"/>
          <w:b/>
          <w:bCs/>
        </w:rPr>
      </w:pPr>
    </w:p>
    <w:p w14:paraId="0620F42A" w14:textId="77777777" w:rsidR="009F4A67" w:rsidRDefault="009F4A67" w:rsidP="00BA1125">
      <w:pPr>
        <w:rPr>
          <w:rFonts w:ascii="Arial" w:hAnsi="Arial" w:cs="Arial"/>
          <w:b/>
          <w:bCs/>
        </w:rPr>
      </w:pPr>
    </w:p>
    <w:p w14:paraId="75089DF9" w14:textId="77777777" w:rsidR="009F4A67" w:rsidRDefault="009F4A67" w:rsidP="00BA1125">
      <w:pPr>
        <w:rPr>
          <w:rFonts w:ascii="Arial" w:hAnsi="Arial" w:cs="Arial"/>
          <w:b/>
          <w:bCs/>
        </w:rPr>
      </w:pPr>
    </w:p>
    <w:p w14:paraId="5381422D" w14:textId="77777777" w:rsidR="009F4A67" w:rsidRDefault="009F4A67" w:rsidP="00BA1125">
      <w:pPr>
        <w:rPr>
          <w:rFonts w:ascii="Arial" w:hAnsi="Arial" w:cs="Arial"/>
          <w:b/>
          <w:bCs/>
        </w:rPr>
      </w:pPr>
    </w:p>
    <w:p w14:paraId="191B0908" w14:textId="77777777" w:rsidR="009F4A67" w:rsidRDefault="009F4A67" w:rsidP="00BA1125">
      <w:pPr>
        <w:rPr>
          <w:rFonts w:ascii="Arial" w:hAnsi="Arial" w:cs="Arial"/>
          <w:b/>
          <w:bCs/>
        </w:rPr>
      </w:pPr>
    </w:p>
    <w:p w14:paraId="52127302" w14:textId="20D4A718" w:rsidR="00BA1125" w:rsidRPr="00902D22" w:rsidRDefault="00BA1125" w:rsidP="00BA1125">
      <w:pPr>
        <w:rPr>
          <w:rFonts w:ascii="Arial" w:hAnsi="Arial" w:cs="Arial"/>
        </w:rPr>
      </w:pPr>
      <w:r w:rsidRPr="00902D22">
        <w:rPr>
          <w:rFonts w:ascii="Arial" w:hAnsi="Arial" w:cs="Arial"/>
          <w:b/>
          <w:bCs/>
        </w:rPr>
        <w:t>Table 2</w:t>
      </w:r>
      <w:r w:rsidRPr="00902D22">
        <w:rPr>
          <w:rFonts w:ascii="Arial" w:hAnsi="Arial" w:cs="Arial"/>
        </w:rPr>
        <w:t xml:space="preserve"> Clinical Data</w:t>
      </w:r>
    </w:p>
    <w:p w14:paraId="51137EF0" w14:textId="77777777" w:rsidR="00BA1125" w:rsidRDefault="00BA1125" w:rsidP="00BA1125">
      <w:pPr>
        <w:rPr>
          <w:rFonts w:ascii="Times New Roman" w:hAnsi="Times New Roman"/>
          <w:sz w:val="24"/>
          <w:szCs w:val="24"/>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344"/>
        <w:gridCol w:w="3505"/>
      </w:tblGrid>
      <w:tr w:rsidR="00BA1125" w:rsidRPr="00BA1125" w14:paraId="60713463" w14:textId="77777777" w:rsidTr="00D80CB9">
        <w:tc>
          <w:tcPr>
            <w:tcW w:w="3686" w:type="dxa"/>
            <w:tcBorders>
              <w:top w:val="single" w:sz="4" w:space="0" w:color="auto"/>
              <w:bottom w:val="single" w:sz="4" w:space="0" w:color="auto"/>
            </w:tcBorders>
            <w:hideMark/>
          </w:tcPr>
          <w:p w14:paraId="28D30193" w14:textId="77777777" w:rsidR="00BA1125" w:rsidRPr="00BA1125" w:rsidRDefault="00BA1125" w:rsidP="00D80CB9">
            <w:pPr>
              <w:rPr>
                <w:rFonts w:ascii="Arial" w:eastAsia="Times New Roman" w:hAnsi="Arial" w:cs="Arial"/>
                <w:b/>
                <w:bCs/>
                <w:sz w:val="20"/>
                <w:szCs w:val="20"/>
              </w:rPr>
            </w:pPr>
            <w:r w:rsidRPr="00BA1125">
              <w:rPr>
                <w:rFonts w:ascii="Arial" w:eastAsia="Times New Roman" w:hAnsi="Arial" w:cs="Arial"/>
                <w:b/>
                <w:bCs/>
                <w:sz w:val="20"/>
                <w:szCs w:val="20"/>
              </w:rPr>
              <w:lastRenderedPageBreak/>
              <w:t>Category</w:t>
            </w:r>
          </w:p>
        </w:tc>
        <w:tc>
          <w:tcPr>
            <w:tcW w:w="2344" w:type="dxa"/>
            <w:tcBorders>
              <w:top w:val="single" w:sz="4" w:space="0" w:color="auto"/>
              <w:bottom w:val="single" w:sz="4" w:space="0" w:color="auto"/>
            </w:tcBorders>
            <w:hideMark/>
          </w:tcPr>
          <w:p w14:paraId="41F022D1" w14:textId="77777777" w:rsidR="00BA1125" w:rsidRPr="00BA1125" w:rsidRDefault="00BA1125" w:rsidP="00D80CB9">
            <w:pPr>
              <w:jc w:val="center"/>
              <w:rPr>
                <w:rFonts w:ascii="Arial" w:eastAsia="Times New Roman" w:hAnsi="Arial" w:cs="Arial"/>
                <w:b/>
                <w:bCs/>
                <w:sz w:val="20"/>
                <w:szCs w:val="20"/>
              </w:rPr>
            </w:pPr>
            <w:r w:rsidRPr="00BA1125">
              <w:rPr>
                <w:rFonts w:ascii="Arial" w:eastAsia="Times New Roman" w:hAnsi="Arial" w:cs="Arial"/>
                <w:b/>
                <w:bCs/>
                <w:sz w:val="20"/>
                <w:szCs w:val="20"/>
              </w:rPr>
              <w:t xml:space="preserve">Frequency </w:t>
            </w:r>
          </w:p>
          <w:p w14:paraId="34749188" w14:textId="77777777" w:rsidR="00BA1125" w:rsidRPr="00BA1125" w:rsidRDefault="00BA1125" w:rsidP="00D80CB9">
            <w:pPr>
              <w:jc w:val="center"/>
              <w:rPr>
                <w:rFonts w:ascii="Arial" w:eastAsia="Times New Roman" w:hAnsi="Arial" w:cs="Arial"/>
                <w:b/>
                <w:bCs/>
                <w:sz w:val="20"/>
                <w:szCs w:val="20"/>
              </w:rPr>
            </w:pPr>
            <w:r w:rsidRPr="00BA1125">
              <w:rPr>
                <w:rFonts w:ascii="Arial" w:hAnsi="Arial" w:cs="Arial"/>
                <w:b/>
                <w:bCs/>
                <w:i/>
                <w:iCs/>
                <w:sz w:val="20"/>
                <w:szCs w:val="20"/>
              </w:rPr>
              <w:t>(n = 311)</w:t>
            </w:r>
          </w:p>
          <w:p w14:paraId="76FFCD91" w14:textId="77777777" w:rsidR="00BA1125" w:rsidRPr="00BA1125" w:rsidRDefault="00BA1125" w:rsidP="00D80CB9">
            <w:pPr>
              <w:jc w:val="center"/>
              <w:rPr>
                <w:rFonts w:ascii="Arial" w:eastAsia="Times New Roman" w:hAnsi="Arial" w:cs="Arial"/>
                <w:b/>
                <w:bCs/>
                <w:sz w:val="20"/>
                <w:szCs w:val="20"/>
              </w:rPr>
            </w:pPr>
          </w:p>
        </w:tc>
        <w:tc>
          <w:tcPr>
            <w:tcW w:w="3505" w:type="dxa"/>
            <w:tcBorders>
              <w:top w:val="single" w:sz="4" w:space="0" w:color="auto"/>
              <w:bottom w:val="single" w:sz="4" w:space="0" w:color="auto"/>
            </w:tcBorders>
            <w:hideMark/>
          </w:tcPr>
          <w:p w14:paraId="4E7E3899" w14:textId="77777777" w:rsidR="00BA1125" w:rsidRPr="00BA1125" w:rsidRDefault="00BA1125" w:rsidP="00D80CB9">
            <w:pPr>
              <w:jc w:val="center"/>
              <w:rPr>
                <w:rFonts w:ascii="Arial" w:eastAsia="Times New Roman" w:hAnsi="Arial" w:cs="Arial"/>
                <w:b/>
                <w:bCs/>
                <w:sz w:val="20"/>
                <w:szCs w:val="20"/>
              </w:rPr>
            </w:pPr>
            <w:r w:rsidRPr="00BA1125">
              <w:rPr>
                <w:rFonts w:ascii="Arial" w:eastAsia="Times New Roman" w:hAnsi="Arial" w:cs="Arial"/>
                <w:b/>
                <w:bCs/>
                <w:sz w:val="20"/>
                <w:szCs w:val="20"/>
              </w:rPr>
              <w:t>Percentage (%)</w:t>
            </w:r>
          </w:p>
          <w:p w14:paraId="5B4E2869" w14:textId="77777777" w:rsidR="00BA1125" w:rsidRPr="00BA1125" w:rsidRDefault="00BA1125" w:rsidP="00D80CB9">
            <w:pPr>
              <w:jc w:val="center"/>
              <w:rPr>
                <w:rFonts w:ascii="Arial" w:eastAsia="Times New Roman" w:hAnsi="Arial" w:cs="Arial"/>
                <w:b/>
                <w:bCs/>
                <w:sz w:val="20"/>
                <w:szCs w:val="20"/>
              </w:rPr>
            </w:pPr>
          </w:p>
        </w:tc>
      </w:tr>
      <w:tr w:rsidR="00BA1125" w:rsidRPr="00BA1125" w14:paraId="24D1EC7B" w14:textId="77777777" w:rsidTr="00D80CB9">
        <w:tc>
          <w:tcPr>
            <w:tcW w:w="3686" w:type="dxa"/>
            <w:tcBorders>
              <w:top w:val="single" w:sz="4" w:space="0" w:color="auto"/>
            </w:tcBorders>
            <w:hideMark/>
          </w:tcPr>
          <w:p w14:paraId="71F3978C" w14:textId="77777777" w:rsidR="00BA1125" w:rsidRPr="00BA1125" w:rsidRDefault="00BA1125" w:rsidP="00D80CB9">
            <w:pPr>
              <w:spacing w:line="360" w:lineRule="auto"/>
              <w:rPr>
                <w:rFonts w:ascii="Arial" w:eastAsia="Times New Roman" w:hAnsi="Arial" w:cs="Arial"/>
                <w:b/>
                <w:bCs/>
                <w:sz w:val="20"/>
                <w:szCs w:val="20"/>
              </w:rPr>
            </w:pPr>
          </w:p>
          <w:p w14:paraId="2909D10B" w14:textId="77777777" w:rsidR="00BA1125" w:rsidRPr="00BA1125" w:rsidRDefault="00BA1125" w:rsidP="00D80CB9">
            <w:pPr>
              <w:spacing w:line="360" w:lineRule="auto"/>
              <w:rPr>
                <w:rFonts w:ascii="Arial" w:eastAsia="Times New Roman" w:hAnsi="Arial" w:cs="Arial"/>
                <w:sz w:val="20"/>
                <w:szCs w:val="20"/>
              </w:rPr>
            </w:pPr>
            <w:r w:rsidRPr="00BA1125">
              <w:rPr>
                <w:rFonts w:ascii="Arial" w:eastAsia="Times New Roman" w:hAnsi="Arial" w:cs="Arial"/>
                <w:b/>
                <w:bCs/>
                <w:sz w:val="20"/>
                <w:szCs w:val="20"/>
              </w:rPr>
              <w:t>Gestational Age at Abortion</w:t>
            </w:r>
          </w:p>
        </w:tc>
        <w:tc>
          <w:tcPr>
            <w:tcW w:w="2344" w:type="dxa"/>
            <w:tcBorders>
              <w:top w:val="single" w:sz="4" w:space="0" w:color="auto"/>
            </w:tcBorders>
            <w:hideMark/>
          </w:tcPr>
          <w:p w14:paraId="78A55E25" w14:textId="77777777" w:rsidR="00BA1125" w:rsidRPr="00BA1125" w:rsidRDefault="00BA1125" w:rsidP="00D80CB9">
            <w:pPr>
              <w:spacing w:line="360" w:lineRule="auto"/>
              <w:jc w:val="center"/>
              <w:rPr>
                <w:rFonts w:ascii="Arial" w:eastAsia="Times New Roman" w:hAnsi="Arial" w:cs="Arial"/>
                <w:sz w:val="20"/>
                <w:szCs w:val="20"/>
              </w:rPr>
            </w:pPr>
          </w:p>
        </w:tc>
        <w:tc>
          <w:tcPr>
            <w:tcW w:w="3505" w:type="dxa"/>
            <w:tcBorders>
              <w:top w:val="single" w:sz="4" w:space="0" w:color="auto"/>
            </w:tcBorders>
            <w:hideMark/>
          </w:tcPr>
          <w:p w14:paraId="7B19B8C2" w14:textId="77777777" w:rsidR="00BA1125" w:rsidRPr="00BA1125" w:rsidRDefault="00BA1125" w:rsidP="00D80CB9">
            <w:pPr>
              <w:spacing w:line="360" w:lineRule="auto"/>
              <w:jc w:val="center"/>
              <w:rPr>
                <w:rFonts w:ascii="Arial" w:eastAsia="Times New Roman" w:hAnsi="Arial" w:cs="Arial"/>
                <w:sz w:val="20"/>
                <w:szCs w:val="20"/>
              </w:rPr>
            </w:pPr>
          </w:p>
        </w:tc>
      </w:tr>
      <w:tr w:rsidR="00BA1125" w:rsidRPr="00BA1125" w14:paraId="444169D0" w14:textId="77777777" w:rsidTr="00D80CB9">
        <w:tc>
          <w:tcPr>
            <w:tcW w:w="3686" w:type="dxa"/>
          </w:tcPr>
          <w:p w14:paraId="2469E3DB" w14:textId="77777777" w:rsidR="00BA1125" w:rsidRPr="00BA1125" w:rsidRDefault="00BA1125" w:rsidP="00D80CB9">
            <w:pPr>
              <w:spacing w:line="360" w:lineRule="auto"/>
              <w:rPr>
                <w:rFonts w:ascii="Arial" w:eastAsia="Times New Roman" w:hAnsi="Arial" w:cs="Arial"/>
                <w:sz w:val="20"/>
                <w:szCs w:val="20"/>
              </w:rPr>
            </w:pPr>
            <w:r w:rsidRPr="00BA1125">
              <w:rPr>
                <w:rFonts w:ascii="Arial" w:eastAsia="Times New Roman" w:hAnsi="Arial" w:cs="Arial"/>
                <w:sz w:val="20"/>
                <w:szCs w:val="20"/>
              </w:rPr>
              <w:t>First Trimester (0 – 12 weeks)</w:t>
            </w:r>
          </w:p>
        </w:tc>
        <w:tc>
          <w:tcPr>
            <w:tcW w:w="2344" w:type="dxa"/>
          </w:tcPr>
          <w:p w14:paraId="0D5712BE"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192</w:t>
            </w:r>
          </w:p>
        </w:tc>
        <w:tc>
          <w:tcPr>
            <w:tcW w:w="3505" w:type="dxa"/>
          </w:tcPr>
          <w:p w14:paraId="6076AFC1"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61.7</w:t>
            </w:r>
          </w:p>
        </w:tc>
      </w:tr>
      <w:tr w:rsidR="00BA1125" w:rsidRPr="00BA1125" w14:paraId="705563EC" w14:textId="77777777" w:rsidTr="00D80CB9">
        <w:tc>
          <w:tcPr>
            <w:tcW w:w="3686" w:type="dxa"/>
          </w:tcPr>
          <w:p w14:paraId="1C851D37" w14:textId="77777777" w:rsidR="00BA1125" w:rsidRPr="00BA1125" w:rsidRDefault="00BA1125" w:rsidP="00D80CB9">
            <w:pPr>
              <w:spacing w:line="360" w:lineRule="auto"/>
              <w:rPr>
                <w:rFonts w:ascii="Arial" w:eastAsia="Times New Roman" w:hAnsi="Arial" w:cs="Arial"/>
                <w:sz w:val="20"/>
                <w:szCs w:val="20"/>
              </w:rPr>
            </w:pPr>
            <w:r w:rsidRPr="00BA1125">
              <w:rPr>
                <w:rFonts w:ascii="Arial" w:eastAsia="Times New Roman" w:hAnsi="Arial" w:cs="Arial"/>
                <w:sz w:val="20"/>
                <w:szCs w:val="20"/>
              </w:rPr>
              <w:t>Second Trimester (13 -20 weeks)</w:t>
            </w:r>
          </w:p>
        </w:tc>
        <w:tc>
          <w:tcPr>
            <w:tcW w:w="2344" w:type="dxa"/>
          </w:tcPr>
          <w:p w14:paraId="39BE99DA"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119</w:t>
            </w:r>
          </w:p>
        </w:tc>
        <w:tc>
          <w:tcPr>
            <w:tcW w:w="3505" w:type="dxa"/>
          </w:tcPr>
          <w:p w14:paraId="602115FD"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38.3</w:t>
            </w:r>
          </w:p>
        </w:tc>
      </w:tr>
      <w:tr w:rsidR="00BA1125" w:rsidRPr="00BA1125" w14:paraId="4EF1F847" w14:textId="77777777" w:rsidTr="00D80CB9">
        <w:tc>
          <w:tcPr>
            <w:tcW w:w="3686" w:type="dxa"/>
            <w:hideMark/>
          </w:tcPr>
          <w:p w14:paraId="16E74CD9" w14:textId="77777777" w:rsidR="00BA1125" w:rsidRPr="00BA1125" w:rsidRDefault="00BA1125" w:rsidP="00D80CB9">
            <w:pPr>
              <w:spacing w:line="360" w:lineRule="auto"/>
              <w:rPr>
                <w:rFonts w:ascii="Arial" w:eastAsia="Times New Roman" w:hAnsi="Arial" w:cs="Arial"/>
                <w:sz w:val="20"/>
                <w:szCs w:val="20"/>
              </w:rPr>
            </w:pPr>
            <w:r w:rsidRPr="00BA1125">
              <w:rPr>
                <w:rFonts w:ascii="Arial" w:eastAsia="Times New Roman" w:hAnsi="Arial" w:cs="Arial"/>
                <w:b/>
                <w:bCs/>
                <w:sz w:val="20"/>
                <w:szCs w:val="20"/>
              </w:rPr>
              <w:t>Method of Abortion</w:t>
            </w:r>
          </w:p>
        </w:tc>
        <w:tc>
          <w:tcPr>
            <w:tcW w:w="2344" w:type="dxa"/>
            <w:hideMark/>
          </w:tcPr>
          <w:p w14:paraId="427BDAE7" w14:textId="77777777" w:rsidR="00BA1125" w:rsidRPr="00BA1125" w:rsidRDefault="00BA1125" w:rsidP="00D80CB9">
            <w:pPr>
              <w:spacing w:line="360" w:lineRule="auto"/>
              <w:jc w:val="center"/>
              <w:rPr>
                <w:rFonts w:ascii="Arial" w:eastAsia="Times New Roman" w:hAnsi="Arial" w:cs="Arial"/>
                <w:sz w:val="20"/>
                <w:szCs w:val="20"/>
              </w:rPr>
            </w:pPr>
          </w:p>
        </w:tc>
        <w:tc>
          <w:tcPr>
            <w:tcW w:w="3505" w:type="dxa"/>
            <w:hideMark/>
          </w:tcPr>
          <w:p w14:paraId="2489A0FE" w14:textId="77777777" w:rsidR="00BA1125" w:rsidRPr="00BA1125" w:rsidRDefault="00BA1125" w:rsidP="00D80CB9">
            <w:pPr>
              <w:spacing w:line="360" w:lineRule="auto"/>
              <w:jc w:val="center"/>
              <w:rPr>
                <w:rFonts w:ascii="Arial" w:eastAsia="Times New Roman" w:hAnsi="Arial" w:cs="Arial"/>
                <w:sz w:val="20"/>
                <w:szCs w:val="20"/>
              </w:rPr>
            </w:pPr>
          </w:p>
        </w:tc>
      </w:tr>
      <w:tr w:rsidR="00BA1125" w:rsidRPr="00BA1125" w14:paraId="5698018D" w14:textId="77777777" w:rsidTr="00D80CB9">
        <w:tc>
          <w:tcPr>
            <w:tcW w:w="3686" w:type="dxa"/>
            <w:hideMark/>
          </w:tcPr>
          <w:p w14:paraId="33CEAAFD" w14:textId="77777777" w:rsidR="00BA1125" w:rsidRPr="00BA1125" w:rsidRDefault="00BA1125" w:rsidP="00D80CB9">
            <w:pPr>
              <w:spacing w:line="360" w:lineRule="auto"/>
              <w:rPr>
                <w:rFonts w:ascii="Arial" w:eastAsia="Times New Roman" w:hAnsi="Arial" w:cs="Arial"/>
                <w:sz w:val="20"/>
                <w:szCs w:val="20"/>
              </w:rPr>
            </w:pPr>
            <w:r w:rsidRPr="00BA1125">
              <w:rPr>
                <w:rFonts w:ascii="Arial" w:eastAsia="Times New Roman" w:hAnsi="Arial" w:cs="Arial"/>
                <w:sz w:val="20"/>
                <w:szCs w:val="20"/>
              </w:rPr>
              <w:t>Surgical</w:t>
            </w:r>
          </w:p>
        </w:tc>
        <w:tc>
          <w:tcPr>
            <w:tcW w:w="2344" w:type="dxa"/>
            <w:hideMark/>
          </w:tcPr>
          <w:p w14:paraId="1A8274AB"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158</w:t>
            </w:r>
          </w:p>
        </w:tc>
        <w:tc>
          <w:tcPr>
            <w:tcW w:w="3505" w:type="dxa"/>
            <w:hideMark/>
          </w:tcPr>
          <w:p w14:paraId="19C285E9"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50.8</w:t>
            </w:r>
          </w:p>
        </w:tc>
      </w:tr>
      <w:tr w:rsidR="00BA1125" w:rsidRPr="00BA1125" w14:paraId="2D82F4EE" w14:textId="77777777" w:rsidTr="00D80CB9">
        <w:tc>
          <w:tcPr>
            <w:tcW w:w="3686" w:type="dxa"/>
            <w:hideMark/>
          </w:tcPr>
          <w:p w14:paraId="20806A1F" w14:textId="77777777" w:rsidR="00BA1125" w:rsidRPr="00BA1125" w:rsidRDefault="00BA1125" w:rsidP="00D80CB9">
            <w:pPr>
              <w:spacing w:line="360" w:lineRule="auto"/>
              <w:rPr>
                <w:rFonts w:ascii="Arial" w:eastAsia="Times New Roman" w:hAnsi="Arial" w:cs="Arial"/>
                <w:sz w:val="20"/>
                <w:szCs w:val="20"/>
              </w:rPr>
            </w:pPr>
            <w:r w:rsidRPr="00BA1125">
              <w:rPr>
                <w:rFonts w:ascii="Arial" w:eastAsia="Times New Roman" w:hAnsi="Arial" w:cs="Arial"/>
                <w:sz w:val="20"/>
                <w:szCs w:val="20"/>
              </w:rPr>
              <w:t>Medical</w:t>
            </w:r>
          </w:p>
        </w:tc>
        <w:tc>
          <w:tcPr>
            <w:tcW w:w="2344" w:type="dxa"/>
            <w:hideMark/>
          </w:tcPr>
          <w:p w14:paraId="7973F050"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85</w:t>
            </w:r>
          </w:p>
        </w:tc>
        <w:tc>
          <w:tcPr>
            <w:tcW w:w="3505" w:type="dxa"/>
            <w:hideMark/>
          </w:tcPr>
          <w:p w14:paraId="6FD73115"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27.3</w:t>
            </w:r>
          </w:p>
        </w:tc>
      </w:tr>
      <w:tr w:rsidR="00BA1125" w:rsidRPr="00BA1125" w14:paraId="71F42020" w14:textId="77777777" w:rsidTr="00D80CB9">
        <w:tc>
          <w:tcPr>
            <w:tcW w:w="3686" w:type="dxa"/>
            <w:hideMark/>
          </w:tcPr>
          <w:p w14:paraId="13FB2382" w14:textId="77777777" w:rsidR="00BA1125" w:rsidRPr="00BA1125" w:rsidRDefault="00BA1125" w:rsidP="00D80CB9">
            <w:pPr>
              <w:spacing w:line="360" w:lineRule="auto"/>
              <w:rPr>
                <w:rFonts w:ascii="Arial" w:eastAsia="Times New Roman" w:hAnsi="Arial" w:cs="Arial"/>
                <w:sz w:val="20"/>
                <w:szCs w:val="20"/>
              </w:rPr>
            </w:pPr>
            <w:r w:rsidRPr="00BA1125">
              <w:rPr>
                <w:rFonts w:ascii="Arial" w:eastAsia="Times New Roman" w:hAnsi="Arial" w:cs="Arial"/>
                <w:sz w:val="20"/>
                <w:szCs w:val="20"/>
              </w:rPr>
              <w:t>Herbal</w:t>
            </w:r>
          </w:p>
        </w:tc>
        <w:tc>
          <w:tcPr>
            <w:tcW w:w="2344" w:type="dxa"/>
            <w:hideMark/>
          </w:tcPr>
          <w:p w14:paraId="248DEBEC"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54</w:t>
            </w:r>
          </w:p>
        </w:tc>
        <w:tc>
          <w:tcPr>
            <w:tcW w:w="3505" w:type="dxa"/>
            <w:hideMark/>
          </w:tcPr>
          <w:p w14:paraId="73A09153"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17.4</w:t>
            </w:r>
          </w:p>
        </w:tc>
      </w:tr>
      <w:tr w:rsidR="00BA1125" w:rsidRPr="00BA1125" w14:paraId="24D56D89" w14:textId="77777777" w:rsidTr="00D80CB9">
        <w:tc>
          <w:tcPr>
            <w:tcW w:w="3686" w:type="dxa"/>
            <w:hideMark/>
          </w:tcPr>
          <w:p w14:paraId="3D8158F2" w14:textId="77777777" w:rsidR="00BA1125" w:rsidRPr="00BA1125" w:rsidRDefault="00BA1125" w:rsidP="00D80CB9">
            <w:pPr>
              <w:spacing w:line="360" w:lineRule="auto"/>
              <w:rPr>
                <w:rFonts w:ascii="Arial" w:eastAsia="Times New Roman" w:hAnsi="Arial" w:cs="Arial"/>
                <w:sz w:val="20"/>
                <w:szCs w:val="20"/>
              </w:rPr>
            </w:pPr>
            <w:r w:rsidRPr="00BA1125">
              <w:rPr>
                <w:rFonts w:ascii="Arial" w:eastAsia="Times New Roman" w:hAnsi="Arial" w:cs="Arial"/>
                <w:sz w:val="20"/>
                <w:szCs w:val="20"/>
              </w:rPr>
              <w:t>Unstated</w:t>
            </w:r>
          </w:p>
        </w:tc>
        <w:tc>
          <w:tcPr>
            <w:tcW w:w="2344" w:type="dxa"/>
            <w:hideMark/>
          </w:tcPr>
          <w:p w14:paraId="263E165B"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14</w:t>
            </w:r>
          </w:p>
        </w:tc>
        <w:tc>
          <w:tcPr>
            <w:tcW w:w="3505" w:type="dxa"/>
            <w:hideMark/>
          </w:tcPr>
          <w:p w14:paraId="36EC5DC0"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4.5</w:t>
            </w:r>
          </w:p>
        </w:tc>
      </w:tr>
      <w:tr w:rsidR="00BA1125" w:rsidRPr="00BA1125" w14:paraId="47BBEC9F" w14:textId="77777777" w:rsidTr="00D80CB9">
        <w:tc>
          <w:tcPr>
            <w:tcW w:w="3686" w:type="dxa"/>
          </w:tcPr>
          <w:p w14:paraId="2AD7F1FE" w14:textId="77777777" w:rsidR="00BA1125" w:rsidRPr="00BA1125" w:rsidRDefault="00BA1125" w:rsidP="00D80CB9">
            <w:pPr>
              <w:spacing w:line="360" w:lineRule="auto"/>
              <w:rPr>
                <w:rFonts w:ascii="Arial" w:eastAsia="Times New Roman" w:hAnsi="Arial" w:cs="Arial"/>
                <w:b/>
                <w:bCs/>
                <w:sz w:val="20"/>
                <w:szCs w:val="20"/>
              </w:rPr>
            </w:pPr>
          </w:p>
          <w:p w14:paraId="396B7338" w14:textId="77777777" w:rsidR="00BA1125" w:rsidRPr="00BA1125" w:rsidRDefault="00BA1125" w:rsidP="00D80CB9">
            <w:pPr>
              <w:spacing w:line="360" w:lineRule="auto"/>
              <w:rPr>
                <w:rFonts w:ascii="Arial" w:eastAsia="Times New Roman" w:hAnsi="Arial" w:cs="Arial"/>
                <w:sz w:val="20"/>
                <w:szCs w:val="20"/>
              </w:rPr>
            </w:pPr>
            <w:r w:rsidRPr="00BA1125">
              <w:rPr>
                <w:rFonts w:ascii="Arial" w:eastAsia="Times New Roman" w:hAnsi="Arial" w:cs="Arial"/>
                <w:b/>
                <w:bCs/>
                <w:sz w:val="20"/>
                <w:szCs w:val="20"/>
              </w:rPr>
              <w:t>Length of Hospital Stay</w:t>
            </w:r>
          </w:p>
        </w:tc>
        <w:tc>
          <w:tcPr>
            <w:tcW w:w="2344" w:type="dxa"/>
          </w:tcPr>
          <w:p w14:paraId="6A2FEBEE" w14:textId="77777777" w:rsidR="00BA1125" w:rsidRPr="00BA1125" w:rsidRDefault="00BA1125" w:rsidP="00D80CB9">
            <w:pPr>
              <w:spacing w:line="360" w:lineRule="auto"/>
              <w:jc w:val="center"/>
              <w:rPr>
                <w:rFonts w:ascii="Arial" w:eastAsia="Times New Roman" w:hAnsi="Arial" w:cs="Arial"/>
                <w:sz w:val="20"/>
                <w:szCs w:val="20"/>
              </w:rPr>
            </w:pPr>
          </w:p>
        </w:tc>
        <w:tc>
          <w:tcPr>
            <w:tcW w:w="3505" w:type="dxa"/>
          </w:tcPr>
          <w:p w14:paraId="4B7AF954" w14:textId="77777777" w:rsidR="00BA1125" w:rsidRPr="00BA1125" w:rsidRDefault="00BA1125" w:rsidP="00D80CB9">
            <w:pPr>
              <w:spacing w:line="360" w:lineRule="auto"/>
              <w:jc w:val="center"/>
              <w:rPr>
                <w:rFonts w:ascii="Arial" w:eastAsia="Times New Roman" w:hAnsi="Arial" w:cs="Arial"/>
                <w:sz w:val="20"/>
                <w:szCs w:val="20"/>
              </w:rPr>
            </w:pPr>
          </w:p>
        </w:tc>
      </w:tr>
      <w:tr w:rsidR="00BA1125" w:rsidRPr="00BA1125" w14:paraId="2DD3C5C9" w14:textId="77777777" w:rsidTr="00D80CB9">
        <w:tc>
          <w:tcPr>
            <w:tcW w:w="3686" w:type="dxa"/>
            <w:vAlign w:val="center"/>
          </w:tcPr>
          <w:p w14:paraId="0F717930" w14:textId="77777777" w:rsidR="00BA1125" w:rsidRPr="00BA1125" w:rsidRDefault="00BA1125" w:rsidP="00D80CB9">
            <w:pPr>
              <w:spacing w:line="360" w:lineRule="auto"/>
              <w:rPr>
                <w:rFonts w:ascii="Arial" w:eastAsia="Times New Roman" w:hAnsi="Arial" w:cs="Arial"/>
                <w:b/>
                <w:bCs/>
                <w:sz w:val="20"/>
                <w:szCs w:val="20"/>
              </w:rPr>
            </w:pPr>
            <w:r w:rsidRPr="00BA1125">
              <w:rPr>
                <w:rFonts w:ascii="Arial" w:eastAsia="Times New Roman" w:hAnsi="Arial" w:cs="Arial"/>
                <w:sz w:val="20"/>
                <w:szCs w:val="20"/>
              </w:rPr>
              <w:t>Less than 24 hours</w:t>
            </w:r>
          </w:p>
        </w:tc>
        <w:tc>
          <w:tcPr>
            <w:tcW w:w="2344" w:type="dxa"/>
            <w:vAlign w:val="center"/>
          </w:tcPr>
          <w:p w14:paraId="0F42EFB8"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85</w:t>
            </w:r>
          </w:p>
        </w:tc>
        <w:tc>
          <w:tcPr>
            <w:tcW w:w="3505" w:type="dxa"/>
            <w:vAlign w:val="center"/>
          </w:tcPr>
          <w:p w14:paraId="15F3320C"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27.3</w:t>
            </w:r>
          </w:p>
        </w:tc>
      </w:tr>
      <w:tr w:rsidR="00BA1125" w:rsidRPr="00BA1125" w14:paraId="1190DD0C" w14:textId="77777777" w:rsidTr="00D80CB9">
        <w:tc>
          <w:tcPr>
            <w:tcW w:w="3686" w:type="dxa"/>
            <w:vAlign w:val="center"/>
          </w:tcPr>
          <w:p w14:paraId="3057782D" w14:textId="77777777" w:rsidR="00BA1125" w:rsidRPr="00BA1125" w:rsidRDefault="00BA1125" w:rsidP="00D80CB9">
            <w:pPr>
              <w:spacing w:line="360" w:lineRule="auto"/>
              <w:rPr>
                <w:rFonts w:ascii="Arial" w:eastAsia="Times New Roman" w:hAnsi="Arial" w:cs="Arial"/>
                <w:b/>
                <w:bCs/>
                <w:sz w:val="20"/>
                <w:szCs w:val="20"/>
              </w:rPr>
            </w:pPr>
            <w:r w:rsidRPr="00BA1125">
              <w:rPr>
                <w:rFonts w:ascii="Arial" w:eastAsia="Times New Roman" w:hAnsi="Arial" w:cs="Arial"/>
                <w:sz w:val="20"/>
                <w:szCs w:val="20"/>
              </w:rPr>
              <w:t>1-3 days</w:t>
            </w:r>
          </w:p>
        </w:tc>
        <w:tc>
          <w:tcPr>
            <w:tcW w:w="2344" w:type="dxa"/>
            <w:vAlign w:val="center"/>
          </w:tcPr>
          <w:p w14:paraId="26AA2D1E"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103</w:t>
            </w:r>
          </w:p>
        </w:tc>
        <w:tc>
          <w:tcPr>
            <w:tcW w:w="3505" w:type="dxa"/>
            <w:vAlign w:val="center"/>
          </w:tcPr>
          <w:p w14:paraId="69919869"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33.1</w:t>
            </w:r>
          </w:p>
        </w:tc>
      </w:tr>
      <w:tr w:rsidR="00BA1125" w:rsidRPr="00BA1125" w14:paraId="4C3BB657" w14:textId="77777777" w:rsidTr="00D80CB9">
        <w:tc>
          <w:tcPr>
            <w:tcW w:w="3686" w:type="dxa"/>
            <w:vAlign w:val="center"/>
          </w:tcPr>
          <w:p w14:paraId="7D7CD439" w14:textId="77777777" w:rsidR="00BA1125" w:rsidRPr="00BA1125" w:rsidRDefault="00BA1125" w:rsidP="00D80CB9">
            <w:pPr>
              <w:spacing w:line="360" w:lineRule="auto"/>
              <w:rPr>
                <w:rFonts w:ascii="Arial" w:eastAsia="Times New Roman" w:hAnsi="Arial" w:cs="Arial"/>
                <w:b/>
                <w:bCs/>
                <w:sz w:val="20"/>
                <w:szCs w:val="20"/>
              </w:rPr>
            </w:pPr>
            <w:r w:rsidRPr="00BA1125">
              <w:rPr>
                <w:rFonts w:ascii="Arial" w:eastAsia="Times New Roman" w:hAnsi="Arial" w:cs="Arial"/>
                <w:sz w:val="20"/>
                <w:szCs w:val="20"/>
              </w:rPr>
              <w:t>4-7 days</w:t>
            </w:r>
          </w:p>
        </w:tc>
        <w:tc>
          <w:tcPr>
            <w:tcW w:w="2344" w:type="dxa"/>
            <w:vAlign w:val="center"/>
          </w:tcPr>
          <w:p w14:paraId="38E677C2"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78</w:t>
            </w:r>
          </w:p>
        </w:tc>
        <w:tc>
          <w:tcPr>
            <w:tcW w:w="3505" w:type="dxa"/>
            <w:vAlign w:val="center"/>
          </w:tcPr>
          <w:p w14:paraId="7C8D1A6D"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25.1</w:t>
            </w:r>
          </w:p>
        </w:tc>
      </w:tr>
      <w:tr w:rsidR="00BA1125" w:rsidRPr="00BA1125" w14:paraId="00DA837F" w14:textId="77777777" w:rsidTr="00D80CB9">
        <w:tc>
          <w:tcPr>
            <w:tcW w:w="3686" w:type="dxa"/>
            <w:vAlign w:val="center"/>
          </w:tcPr>
          <w:p w14:paraId="29CF136E" w14:textId="77777777" w:rsidR="00BA1125" w:rsidRPr="00BA1125" w:rsidRDefault="00BA1125" w:rsidP="00D80CB9">
            <w:pPr>
              <w:spacing w:line="360" w:lineRule="auto"/>
              <w:rPr>
                <w:rFonts w:ascii="Arial" w:eastAsia="Times New Roman" w:hAnsi="Arial" w:cs="Arial"/>
                <w:b/>
                <w:bCs/>
                <w:sz w:val="20"/>
                <w:szCs w:val="20"/>
              </w:rPr>
            </w:pPr>
            <w:r w:rsidRPr="00BA1125">
              <w:rPr>
                <w:rFonts w:ascii="Arial" w:eastAsia="Times New Roman" w:hAnsi="Arial" w:cs="Arial"/>
                <w:sz w:val="20"/>
                <w:szCs w:val="20"/>
              </w:rPr>
              <w:t>8-14 days</w:t>
            </w:r>
          </w:p>
        </w:tc>
        <w:tc>
          <w:tcPr>
            <w:tcW w:w="2344" w:type="dxa"/>
            <w:vAlign w:val="center"/>
          </w:tcPr>
          <w:p w14:paraId="0829250D"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30</w:t>
            </w:r>
          </w:p>
        </w:tc>
        <w:tc>
          <w:tcPr>
            <w:tcW w:w="3505" w:type="dxa"/>
            <w:vAlign w:val="center"/>
          </w:tcPr>
          <w:p w14:paraId="2D7F1F24"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9.6</w:t>
            </w:r>
          </w:p>
        </w:tc>
      </w:tr>
      <w:tr w:rsidR="00BA1125" w:rsidRPr="00BA1125" w14:paraId="04C76385" w14:textId="77777777" w:rsidTr="00D80CB9">
        <w:tc>
          <w:tcPr>
            <w:tcW w:w="3686" w:type="dxa"/>
            <w:vAlign w:val="center"/>
          </w:tcPr>
          <w:p w14:paraId="59F34353" w14:textId="77777777" w:rsidR="00BA1125" w:rsidRPr="00BA1125" w:rsidRDefault="00BA1125" w:rsidP="00D80CB9">
            <w:pPr>
              <w:spacing w:line="360" w:lineRule="auto"/>
              <w:rPr>
                <w:rFonts w:ascii="Arial" w:eastAsia="Times New Roman" w:hAnsi="Arial" w:cs="Arial"/>
                <w:b/>
                <w:bCs/>
                <w:sz w:val="20"/>
                <w:szCs w:val="20"/>
              </w:rPr>
            </w:pPr>
            <w:r w:rsidRPr="00BA1125">
              <w:rPr>
                <w:rFonts w:ascii="Arial" w:eastAsia="Times New Roman" w:hAnsi="Arial" w:cs="Arial"/>
                <w:sz w:val="20"/>
                <w:szCs w:val="20"/>
              </w:rPr>
              <w:t>15-30 days</w:t>
            </w:r>
          </w:p>
        </w:tc>
        <w:tc>
          <w:tcPr>
            <w:tcW w:w="2344" w:type="dxa"/>
            <w:vAlign w:val="center"/>
          </w:tcPr>
          <w:p w14:paraId="646ABD17"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9</w:t>
            </w:r>
          </w:p>
        </w:tc>
        <w:tc>
          <w:tcPr>
            <w:tcW w:w="3505" w:type="dxa"/>
            <w:vAlign w:val="center"/>
          </w:tcPr>
          <w:p w14:paraId="6DE4FCE9"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2.9</w:t>
            </w:r>
          </w:p>
        </w:tc>
      </w:tr>
      <w:tr w:rsidR="00BA1125" w:rsidRPr="00BA1125" w14:paraId="3CD0E7DC" w14:textId="77777777" w:rsidTr="00D80CB9">
        <w:tc>
          <w:tcPr>
            <w:tcW w:w="3686" w:type="dxa"/>
            <w:vAlign w:val="center"/>
          </w:tcPr>
          <w:p w14:paraId="704195F1" w14:textId="77777777" w:rsidR="00BA1125" w:rsidRPr="00BA1125" w:rsidRDefault="00BA1125" w:rsidP="00D80CB9">
            <w:pPr>
              <w:spacing w:line="360" w:lineRule="auto"/>
              <w:rPr>
                <w:rFonts w:ascii="Arial" w:eastAsia="Times New Roman" w:hAnsi="Arial" w:cs="Arial"/>
                <w:b/>
                <w:bCs/>
                <w:sz w:val="20"/>
                <w:szCs w:val="20"/>
              </w:rPr>
            </w:pPr>
            <w:r w:rsidRPr="00BA1125">
              <w:rPr>
                <w:rFonts w:ascii="Arial" w:eastAsia="Times New Roman" w:hAnsi="Arial" w:cs="Arial"/>
                <w:sz w:val="20"/>
                <w:szCs w:val="20"/>
              </w:rPr>
              <w:t>More than 30 days</w:t>
            </w:r>
          </w:p>
        </w:tc>
        <w:tc>
          <w:tcPr>
            <w:tcW w:w="2344" w:type="dxa"/>
            <w:vAlign w:val="center"/>
          </w:tcPr>
          <w:p w14:paraId="1F223A56"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6</w:t>
            </w:r>
          </w:p>
        </w:tc>
        <w:tc>
          <w:tcPr>
            <w:tcW w:w="3505" w:type="dxa"/>
            <w:vAlign w:val="center"/>
          </w:tcPr>
          <w:p w14:paraId="7F24AB69"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1.9</w:t>
            </w:r>
          </w:p>
        </w:tc>
      </w:tr>
      <w:tr w:rsidR="00BA1125" w:rsidRPr="00BA1125" w14:paraId="0341B684" w14:textId="77777777" w:rsidTr="00D80CB9">
        <w:tc>
          <w:tcPr>
            <w:tcW w:w="3686" w:type="dxa"/>
            <w:vAlign w:val="center"/>
          </w:tcPr>
          <w:p w14:paraId="355BC18F" w14:textId="77777777" w:rsidR="00BA1125" w:rsidRPr="00BA1125" w:rsidRDefault="00BA1125" w:rsidP="00D80CB9">
            <w:pPr>
              <w:spacing w:line="360" w:lineRule="auto"/>
              <w:rPr>
                <w:rFonts w:ascii="Arial" w:eastAsia="Times New Roman" w:hAnsi="Arial" w:cs="Arial"/>
                <w:b/>
                <w:bCs/>
                <w:sz w:val="20"/>
                <w:szCs w:val="20"/>
              </w:rPr>
            </w:pPr>
          </w:p>
          <w:p w14:paraId="1C1D4E3D" w14:textId="77777777" w:rsidR="00BA1125" w:rsidRPr="00BA1125" w:rsidRDefault="00BA1125" w:rsidP="00D80CB9">
            <w:pPr>
              <w:spacing w:line="360" w:lineRule="auto"/>
              <w:rPr>
                <w:rFonts w:ascii="Arial" w:eastAsia="Times New Roman" w:hAnsi="Arial" w:cs="Arial"/>
                <w:b/>
                <w:bCs/>
                <w:sz w:val="20"/>
                <w:szCs w:val="20"/>
              </w:rPr>
            </w:pPr>
            <w:r w:rsidRPr="00BA1125">
              <w:rPr>
                <w:rFonts w:ascii="Arial" w:eastAsia="Times New Roman" w:hAnsi="Arial" w:cs="Arial"/>
                <w:b/>
                <w:bCs/>
                <w:sz w:val="20"/>
                <w:szCs w:val="20"/>
              </w:rPr>
              <w:t>Complications</w:t>
            </w:r>
          </w:p>
        </w:tc>
        <w:tc>
          <w:tcPr>
            <w:tcW w:w="2344" w:type="dxa"/>
            <w:vAlign w:val="center"/>
          </w:tcPr>
          <w:p w14:paraId="2B4F31FC" w14:textId="77777777" w:rsidR="00BA1125" w:rsidRPr="00BA1125" w:rsidRDefault="00BA1125" w:rsidP="00D80CB9">
            <w:pPr>
              <w:spacing w:line="360" w:lineRule="auto"/>
              <w:jc w:val="center"/>
              <w:rPr>
                <w:rFonts w:ascii="Arial" w:eastAsia="Times New Roman" w:hAnsi="Arial" w:cs="Arial"/>
                <w:sz w:val="20"/>
                <w:szCs w:val="20"/>
              </w:rPr>
            </w:pPr>
          </w:p>
        </w:tc>
        <w:tc>
          <w:tcPr>
            <w:tcW w:w="3505" w:type="dxa"/>
            <w:vAlign w:val="center"/>
          </w:tcPr>
          <w:p w14:paraId="183D5063" w14:textId="77777777" w:rsidR="00BA1125" w:rsidRPr="00BA1125" w:rsidRDefault="00BA1125" w:rsidP="00D80CB9">
            <w:pPr>
              <w:spacing w:line="360" w:lineRule="auto"/>
              <w:jc w:val="center"/>
              <w:rPr>
                <w:rFonts w:ascii="Arial" w:eastAsia="Times New Roman" w:hAnsi="Arial" w:cs="Arial"/>
                <w:sz w:val="20"/>
                <w:szCs w:val="20"/>
              </w:rPr>
            </w:pPr>
          </w:p>
        </w:tc>
      </w:tr>
      <w:tr w:rsidR="00BA1125" w:rsidRPr="00BA1125" w14:paraId="3B779272" w14:textId="77777777" w:rsidTr="00D80CB9">
        <w:tc>
          <w:tcPr>
            <w:tcW w:w="3686" w:type="dxa"/>
          </w:tcPr>
          <w:p w14:paraId="0B03A38C" w14:textId="77777777" w:rsidR="00BA1125" w:rsidRPr="00BA1125" w:rsidRDefault="00BA1125" w:rsidP="00D80CB9">
            <w:pPr>
              <w:spacing w:line="360" w:lineRule="auto"/>
              <w:rPr>
                <w:rFonts w:ascii="Arial" w:eastAsia="Times New Roman" w:hAnsi="Arial" w:cs="Arial"/>
                <w:sz w:val="20"/>
                <w:szCs w:val="20"/>
              </w:rPr>
            </w:pPr>
            <w:r w:rsidRPr="00BA1125">
              <w:rPr>
                <w:rFonts w:ascii="Arial" w:eastAsia="Times New Roman" w:hAnsi="Arial" w:cs="Arial"/>
                <w:sz w:val="20"/>
                <w:szCs w:val="20"/>
              </w:rPr>
              <w:t>Hemorrhage</w:t>
            </w:r>
          </w:p>
        </w:tc>
        <w:tc>
          <w:tcPr>
            <w:tcW w:w="2344" w:type="dxa"/>
          </w:tcPr>
          <w:p w14:paraId="25A5F12E"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135</w:t>
            </w:r>
          </w:p>
        </w:tc>
        <w:tc>
          <w:tcPr>
            <w:tcW w:w="3505" w:type="dxa"/>
          </w:tcPr>
          <w:p w14:paraId="6A222879"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34.4</w:t>
            </w:r>
          </w:p>
        </w:tc>
      </w:tr>
      <w:tr w:rsidR="00BA1125" w:rsidRPr="00BA1125" w14:paraId="13EB7CDC" w14:textId="77777777" w:rsidTr="00D80CB9">
        <w:tc>
          <w:tcPr>
            <w:tcW w:w="3686" w:type="dxa"/>
          </w:tcPr>
          <w:p w14:paraId="7539F188" w14:textId="77777777" w:rsidR="00BA1125" w:rsidRPr="00BA1125" w:rsidRDefault="00BA1125" w:rsidP="00D80CB9">
            <w:pPr>
              <w:spacing w:line="360" w:lineRule="auto"/>
              <w:rPr>
                <w:rFonts w:ascii="Arial" w:eastAsia="Times New Roman" w:hAnsi="Arial" w:cs="Arial"/>
                <w:b/>
                <w:bCs/>
                <w:sz w:val="20"/>
                <w:szCs w:val="20"/>
              </w:rPr>
            </w:pPr>
            <w:proofErr w:type="spellStart"/>
            <w:r w:rsidRPr="00BA1125">
              <w:rPr>
                <w:rFonts w:ascii="Arial" w:eastAsia="Times New Roman" w:hAnsi="Arial" w:cs="Arial"/>
                <w:sz w:val="20"/>
                <w:szCs w:val="20"/>
              </w:rPr>
              <w:t>Septicaemia</w:t>
            </w:r>
            <w:proofErr w:type="spellEnd"/>
          </w:p>
        </w:tc>
        <w:tc>
          <w:tcPr>
            <w:tcW w:w="2344" w:type="dxa"/>
          </w:tcPr>
          <w:p w14:paraId="4AF3F19B"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52</w:t>
            </w:r>
          </w:p>
        </w:tc>
        <w:tc>
          <w:tcPr>
            <w:tcW w:w="3505" w:type="dxa"/>
          </w:tcPr>
          <w:p w14:paraId="0B88A340"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16.7</w:t>
            </w:r>
          </w:p>
        </w:tc>
      </w:tr>
      <w:tr w:rsidR="00BA1125" w:rsidRPr="00BA1125" w14:paraId="7A345E90" w14:textId="77777777" w:rsidTr="00D80CB9">
        <w:tc>
          <w:tcPr>
            <w:tcW w:w="3686" w:type="dxa"/>
          </w:tcPr>
          <w:p w14:paraId="4C21B6A6" w14:textId="77777777" w:rsidR="00BA1125" w:rsidRPr="00BA1125" w:rsidRDefault="00BA1125" w:rsidP="00D80CB9">
            <w:pPr>
              <w:spacing w:line="360" w:lineRule="auto"/>
              <w:rPr>
                <w:rFonts w:ascii="Arial" w:eastAsia="Times New Roman" w:hAnsi="Arial" w:cs="Arial"/>
                <w:b/>
                <w:bCs/>
                <w:sz w:val="20"/>
                <w:szCs w:val="20"/>
              </w:rPr>
            </w:pPr>
            <w:r w:rsidRPr="00BA1125">
              <w:rPr>
                <w:rFonts w:ascii="Arial" w:eastAsia="Times New Roman" w:hAnsi="Arial" w:cs="Arial"/>
                <w:sz w:val="20"/>
                <w:szCs w:val="20"/>
              </w:rPr>
              <w:t>Pelvic Abscess</w:t>
            </w:r>
          </w:p>
        </w:tc>
        <w:tc>
          <w:tcPr>
            <w:tcW w:w="2344" w:type="dxa"/>
          </w:tcPr>
          <w:p w14:paraId="4468D705"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41</w:t>
            </w:r>
          </w:p>
        </w:tc>
        <w:tc>
          <w:tcPr>
            <w:tcW w:w="3505" w:type="dxa"/>
          </w:tcPr>
          <w:p w14:paraId="050DB70F"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13.2</w:t>
            </w:r>
          </w:p>
        </w:tc>
      </w:tr>
      <w:tr w:rsidR="00BA1125" w:rsidRPr="00BA1125" w14:paraId="08F65B70" w14:textId="77777777" w:rsidTr="00D80CB9">
        <w:tc>
          <w:tcPr>
            <w:tcW w:w="3686" w:type="dxa"/>
          </w:tcPr>
          <w:p w14:paraId="461CA948" w14:textId="77777777" w:rsidR="00BA1125" w:rsidRPr="00BA1125" w:rsidRDefault="00BA1125" w:rsidP="00D80CB9">
            <w:pPr>
              <w:spacing w:line="360" w:lineRule="auto"/>
              <w:rPr>
                <w:rFonts w:ascii="Arial" w:eastAsia="Times New Roman" w:hAnsi="Arial" w:cs="Arial"/>
                <w:b/>
                <w:bCs/>
                <w:sz w:val="20"/>
                <w:szCs w:val="20"/>
              </w:rPr>
            </w:pPr>
            <w:r w:rsidRPr="00BA1125">
              <w:rPr>
                <w:rFonts w:ascii="Arial" w:eastAsia="Times New Roman" w:hAnsi="Arial" w:cs="Arial"/>
                <w:sz w:val="20"/>
                <w:szCs w:val="20"/>
              </w:rPr>
              <w:t>Acute Renal Failure</w:t>
            </w:r>
          </w:p>
        </w:tc>
        <w:tc>
          <w:tcPr>
            <w:tcW w:w="2344" w:type="dxa"/>
          </w:tcPr>
          <w:p w14:paraId="54970972"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33</w:t>
            </w:r>
          </w:p>
        </w:tc>
        <w:tc>
          <w:tcPr>
            <w:tcW w:w="3505" w:type="dxa"/>
          </w:tcPr>
          <w:p w14:paraId="41522F88"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10.6</w:t>
            </w:r>
          </w:p>
        </w:tc>
      </w:tr>
      <w:tr w:rsidR="00BA1125" w:rsidRPr="00BA1125" w14:paraId="68DC79F1" w14:textId="77777777" w:rsidTr="00D80CB9">
        <w:tc>
          <w:tcPr>
            <w:tcW w:w="3686" w:type="dxa"/>
          </w:tcPr>
          <w:p w14:paraId="6E1E81CB" w14:textId="77777777" w:rsidR="00BA1125" w:rsidRPr="00BA1125" w:rsidRDefault="00BA1125" w:rsidP="00D80CB9">
            <w:pPr>
              <w:spacing w:line="360" w:lineRule="auto"/>
              <w:rPr>
                <w:rFonts w:ascii="Arial" w:eastAsia="Times New Roman" w:hAnsi="Arial" w:cs="Arial"/>
                <w:b/>
                <w:bCs/>
                <w:sz w:val="20"/>
                <w:szCs w:val="20"/>
              </w:rPr>
            </w:pPr>
            <w:r w:rsidRPr="00BA1125">
              <w:rPr>
                <w:rFonts w:ascii="Arial" w:eastAsia="Times New Roman" w:hAnsi="Arial" w:cs="Arial"/>
                <w:sz w:val="20"/>
                <w:szCs w:val="20"/>
              </w:rPr>
              <w:t>Gangrenous Uterus</w:t>
            </w:r>
          </w:p>
        </w:tc>
        <w:tc>
          <w:tcPr>
            <w:tcW w:w="2344" w:type="dxa"/>
          </w:tcPr>
          <w:p w14:paraId="23664C19"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24</w:t>
            </w:r>
          </w:p>
        </w:tc>
        <w:tc>
          <w:tcPr>
            <w:tcW w:w="3505" w:type="dxa"/>
          </w:tcPr>
          <w:p w14:paraId="26821E98"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7.7</w:t>
            </w:r>
          </w:p>
        </w:tc>
      </w:tr>
      <w:tr w:rsidR="00BA1125" w:rsidRPr="00BA1125" w14:paraId="4028211D" w14:textId="77777777" w:rsidTr="00D80CB9">
        <w:tc>
          <w:tcPr>
            <w:tcW w:w="3686" w:type="dxa"/>
            <w:tcBorders>
              <w:bottom w:val="single" w:sz="4" w:space="0" w:color="auto"/>
            </w:tcBorders>
          </w:tcPr>
          <w:p w14:paraId="6D3F12C0" w14:textId="77777777" w:rsidR="00BA1125" w:rsidRPr="00BA1125" w:rsidRDefault="00BA1125" w:rsidP="00D80CB9">
            <w:pPr>
              <w:spacing w:line="360" w:lineRule="auto"/>
              <w:rPr>
                <w:rFonts w:ascii="Arial" w:eastAsia="Times New Roman" w:hAnsi="Arial" w:cs="Arial"/>
                <w:b/>
                <w:bCs/>
                <w:sz w:val="20"/>
                <w:szCs w:val="20"/>
              </w:rPr>
            </w:pPr>
            <w:r w:rsidRPr="00BA1125">
              <w:rPr>
                <w:rFonts w:ascii="Arial" w:eastAsia="Times New Roman" w:hAnsi="Arial" w:cs="Arial"/>
                <w:sz w:val="20"/>
                <w:szCs w:val="20"/>
              </w:rPr>
              <w:t>Genital Sepsis</w:t>
            </w:r>
          </w:p>
        </w:tc>
        <w:tc>
          <w:tcPr>
            <w:tcW w:w="2344" w:type="dxa"/>
            <w:tcBorders>
              <w:bottom w:val="single" w:sz="4" w:space="0" w:color="auto"/>
            </w:tcBorders>
          </w:tcPr>
          <w:p w14:paraId="27BF47C9"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26</w:t>
            </w:r>
          </w:p>
        </w:tc>
        <w:tc>
          <w:tcPr>
            <w:tcW w:w="3505" w:type="dxa"/>
            <w:tcBorders>
              <w:bottom w:val="single" w:sz="4" w:space="0" w:color="auto"/>
            </w:tcBorders>
          </w:tcPr>
          <w:p w14:paraId="7031C38E"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8.4</w:t>
            </w:r>
          </w:p>
        </w:tc>
      </w:tr>
    </w:tbl>
    <w:p w14:paraId="1BDE54C0" w14:textId="77777777" w:rsidR="00BA1125" w:rsidRDefault="00BA1125" w:rsidP="00441B6F">
      <w:pPr>
        <w:jc w:val="both"/>
        <w:rPr>
          <w:rFonts w:ascii="Arial" w:hAnsi="Arial" w:cs="Arial"/>
          <w:u w:val="single"/>
          <w:lang w:val="en-GB" w:eastAsia="en-GB"/>
        </w:rPr>
      </w:pPr>
    </w:p>
    <w:p w14:paraId="127AB12B" w14:textId="77777777" w:rsidR="00BA1125" w:rsidRDefault="00BA1125" w:rsidP="00BA1125">
      <w:pPr>
        <w:spacing w:before="100" w:beforeAutospacing="1" w:after="100" w:afterAutospacing="1"/>
        <w:rPr>
          <w:rFonts w:ascii="Times New Roman" w:hAnsi="Times New Roman"/>
          <w:b/>
          <w:bCs/>
          <w:sz w:val="24"/>
          <w:szCs w:val="24"/>
        </w:rPr>
      </w:pPr>
    </w:p>
    <w:p w14:paraId="2FD85998" w14:textId="77777777" w:rsidR="008348E0" w:rsidRDefault="008348E0" w:rsidP="00BA1125">
      <w:pPr>
        <w:spacing w:before="100" w:beforeAutospacing="1" w:after="100" w:afterAutospacing="1"/>
        <w:rPr>
          <w:rFonts w:ascii="Times New Roman" w:hAnsi="Times New Roman"/>
          <w:b/>
          <w:bCs/>
          <w:sz w:val="24"/>
          <w:szCs w:val="24"/>
        </w:rPr>
      </w:pPr>
    </w:p>
    <w:p w14:paraId="09E42D44" w14:textId="77777777" w:rsidR="008348E0" w:rsidRDefault="008348E0" w:rsidP="00BA1125">
      <w:pPr>
        <w:spacing w:before="100" w:beforeAutospacing="1" w:after="100" w:afterAutospacing="1"/>
        <w:rPr>
          <w:rFonts w:ascii="Arial" w:hAnsi="Arial" w:cs="Arial"/>
          <w:b/>
          <w:bCs/>
        </w:rPr>
      </w:pPr>
    </w:p>
    <w:p w14:paraId="265D6F0A" w14:textId="77777777" w:rsidR="008348E0" w:rsidRDefault="008348E0" w:rsidP="00BA1125">
      <w:pPr>
        <w:spacing w:before="100" w:beforeAutospacing="1" w:after="100" w:afterAutospacing="1"/>
        <w:rPr>
          <w:rFonts w:ascii="Arial" w:hAnsi="Arial" w:cs="Arial"/>
          <w:b/>
          <w:bCs/>
        </w:rPr>
      </w:pPr>
    </w:p>
    <w:p w14:paraId="0BB04E84" w14:textId="77777777" w:rsidR="003548BC" w:rsidRDefault="003548BC" w:rsidP="00BA1125">
      <w:pPr>
        <w:spacing w:before="100" w:beforeAutospacing="1" w:after="100" w:afterAutospacing="1"/>
        <w:rPr>
          <w:rFonts w:ascii="Arial" w:hAnsi="Arial" w:cs="Arial"/>
          <w:b/>
          <w:bCs/>
        </w:rPr>
      </w:pPr>
    </w:p>
    <w:p w14:paraId="527CABA1" w14:textId="77777777" w:rsidR="003548BC" w:rsidRDefault="003548BC" w:rsidP="00BA1125">
      <w:pPr>
        <w:spacing w:before="100" w:beforeAutospacing="1" w:after="100" w:afterAutospacing="1"/>
        <w:rPr>
          <w:rFonts w:ascii="Arial" w:hAnsi="Arial" w:cs="Arial"/>
          <w:b/>
          <w:bCs/>
        </w:rPr>
      </w:pPr>
    </w:p>
    <w:p w14:paraId="5ACD9A45" w14:textId="77777777" w:rsidR="003548BC" w:rsidRDefault="003548BC" w:rsidP="00BA1125">
      <w:pPr>
        <w:spacing w:before="100" w:beforeAutospacing="1" w:after="100" w:afterAutospacing="1"/>
        <w:rPr>
          <w:rFonts w:ascii="Arial" w:hAnsi="Arial" w:cs="Arial"/>
          <w:b/>
          <w:bCs/>
        </w:rPr>
      </w:pPr>
    </w:p>
    <w:p w14:paraId="42332A25" w14:textId="5BAD6736" w:rsidR="00BA1125" w:rsidRPr="00BA1125" w:rsidRDefault="00BA1125" w:rsidP="00BA1125">
      <w:pPr>
        <w:spacing w:before="100" w:beforeAutospacing="1" w:after="100" w:afterAutospacing="1"/>
        <w:rPr>
          <w:rFonts w:ascii="Arial" w:hAnsi="Arial" w:cs="Arial"/>
          <w:b/>
          <w:bCs/>
        </w:rPr>
      </w:pPr>
      <w:r w:rsidRPr="00BA1125">
        <w:rPr>
          <w:rFonts w:ascii="Arial" w:hAnsi="Arial" w:cs="Arial"/>
          <w:b/>
          <w:bCs/>
        </w:rPr>
        <w:t>Table</w:t>
      </w:r>
      <w:r w:rsidR="00902D22">
        <w:rPr>
          <w:rFonts w:ascii="Arial" w:hAnsi="Arial" w:cs="Arial"/>
          <w:b/>
          <w:bCs/>
        </w:rPr>
        <w:t xml:space="preserve"> </w:t>
      </w:r>
      <w:r w:rsidRPr="00BA1125">
        <w:rPr>
          <w:rFonts w:ascii="Arial" w:hAnsi="Arial" w:cs="Arial"/>
          <w:b/>
          <w:bCs/>
        </w:rPr>
        <w:t>3 Prevalence of Abortion-related Mortality from 2019 to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2310"/>
        <w:gridCol w:w="3375"/>
      </w:tblGrid>
      <w:tr w:rsidR="00BA1125" w:rsidRPr="00BA1125" w14:paraId="209EEC6D" w14:textId="77777777" w:rsidTr="00D80CB9">
        <w:tc>
          <w:tcPr>
            <w:tcW w:w="3460" w:type="dxa"/>
            <w:tcBorders>
              <w:top w:val="single" w:sz="4" w:space="0" w:color="auto"/>
              <w:bottom w:val="single" w:sz="4" w:space="0" w:color="auto"/>
            </w:tcBorders>
            <w:hideMark/>
          </w:tcPr>
          <w:p w14:paraId="3FE4A02A" w14:textId="77777777" w:rsidR="00BA1125" w:rsidRPr="00BA1125" w:rsidRDefault="00BA1125" w:rsidP="00D80CB9">
            <w:pPr>
              <w:rPr>
                <w:rFonts w:ascii="Arial" w:eastAsia="Times New Roman" w:hAnsi="Arial" w:cs="Arial"/>
                <w:b/>
                <w:bCs/>
                <w:sz w:val="20"/>
                <w:szCs w:val="20"/>
              </w:rPr>
            </w:pPr>
            <w:r w:rsidRPr="00BA1125">
              <w:rPr>
                <w:rFonts w:ascii="Arial" w:eastAsia="Times New Roman" w:hAnsi="Arial" w:cs="Arial"/>
                <w:b/>
                <w:bCs/>
                <w:sz w:val="20"/>
                <w:szCs w:val="20"/>
              </w:rPr>
              <w:lastRenderedPageBreak/>
              <w:t>Year</w:t>
            </w:r>
          </w:p>
        </w:tc>
        <w:tc>
          <w:tcPr>
            <w:tcW w:w="2310" w:type="dxa"/>
            <w:tcBorders>
              <w:top w:val="single" w:sz="4" w:space="0" w:color="auto"/>
              <w:bottom w:val="single" w:sz="4" w:space="0" w:color="auto"/>
            </w:tcBorders>
            <w:hideMark/>
          </w:tcPr>
          <w:p w14:paraId="40E1331D" w14:textId="77777777" w:rsidR="00BA1125" w:rsidRPr="00BA1125" w:rsidRDefault="00BA1125" w:rsidP="00D80CB9">
            <w:pPr>
              <w:jc w:val="center"/>
              <w:rPr>
                <w:rFonts w:ascii="Arial" w:eastAsia="Times New Roman" w:hAnsi="Arial" w:cs="Arial"/>
                <w:b/>
                <w:bCs/>
                <w:sz w:val="20"/>
                <w:szCs w:val="20"/>
              </w:rPr>
            </w:pPr>
            <w:r w:rsidRPr="00BA1125">
              <w:rPr>
                <w:rFonts w:ascii="Arial" w:eastAsia="Times New Roman" w:hAnsi="Arial" w:cs="Arial"/>
                <w:b/>
                <w:bCs/>
                <w:sz w:val="20"/>
                <w:szCs w:val="20"/>
              </w:rPr>
              <w:t>Frequency</w:t>
            </w:r>
          </w:p>
          <w:p w14:paraId="1A72C0CB" w14:textId="77777777" w:rsidR="00BA1125" w:rsidRPr="00BA1125" w:rsidRDefault="00BA1125" w:rsidP="00D80CB9">
            <w:pPr>
              <w:jc w:val="center"/>
              <w:rPr>
                <w:rFonts w:ascii="Arial" w:eastAsia="Times New Roman" w:hAnsi="Arial" w:cs="Arial"/>
                <w:b/>
                <w:bCs/>
                <w:i/>
                <w:iCs/>
                <w:sz w:val="20"/>
                <w:szCs w:val="20"/>
              </w:rPr>
            </w:pPr>
            <w:r w:rsidRPr="00BA1125">
              <w:rPr>
                <w:rFonts w:ascii="Arial" w:eastAsia="Times New Roman" w:hAnsi="Arial" w:cs="Arial"/>
                <w:b/>
                <w:bCs/>
                <w:i/>
                <w:iCs/>
                <w:sz w:val="20"/>
                <w:szCs w:val="20"/>
              </w:rPr>
              <w:t>(n = 311)</w:t>
            </w:r>
          </w:p>
        </w:tc>
        <w:tc>
          <w:tcPr>
            <w:tcW w:w="3375" w:type="dxa"/>
            <w:tcBorders>
              <w:top w:val="single" w:sz="4" w:space="0" w:color="auto"/>
              <w:bottom w:val="single" w:sz="4" w:space="0" w:color="auto"/>
            </w:tcBorders>
            <w:hideMark/>
          </w:tcPr>
          <w:p w14:paraId="3F5AFCBE" w14:textId="77777777" w:rsidR="00BA1125" w:rsidRPr="00BA1125" w:rsidRDefault="00BA1125" w:rsidP="00D80CB9">
            <w:pPr>
              <w:jc w:val="center"/>
              <w:rPr>
                <w:rFonts w:ascii="Arial" w:eastAsia="Times New Roman" w:hAnsi="Arial" w:cs="Arial"/>
                <w:b/>
                <w:bCs/>
                <w:sz w:val="20"/>
                <w:szCs w:val="20"/>
              </w:rPr>
            </w:pPr>
            <w:r w:rsidRPr="00BA1125">
              <w:rPr>
                <w:rFonts w:ascii="Arial" w:eastAsia="Times New Roman" w:hAnsi="Arial" w:cs="Arial"/>
                <w:b/>
                <w:bCs/>
                <w:sz w:val="20"/>
                <w:szCs w:val="20"/>
              </w:rPr>
              <w:t>Percentage (%)</w:t>
            </w:r>
          </w:p>
        </w:tc>
      </w:tr>
      <w:tr w:rsidR="00BA1125" w:rsidRPr="00BA1125" w14:paraId="3F623E97" w14:textId="77777777" w:rsidTr="00D80CB9">
        <w:tc>
          <w:tcPr>
            <w:tcW w:w="3460" w:type="dxa"/>
            <w:tcBorders>
              <w:top w:val="single" w:sz="4" w:space="0" w:color="auto"/>
            </w:tcBorders>
            <w:hideMark/>
          </w:tcPr>
          <w:p w14:paraId="0BE0DE8D" w14:textId="77777777" w:rsidR="00BA1125" w:rsidRPr="00BA1125" w:rsidRDefault="00BA1125" w:rsidP="00D80CB9">
            <w:pPr>
              <w:rPr>
                <w:rFonts w:ascii="Arial" w:eastAsia="Times New Roman" w:hAnsi="Arial" w:cs="Arial"/>
                <w:sz w:val="20"/>
                <w:szCs w:val="20"/>
              </w:rPr>
            </w:pPr>
          </w:p>
          <w:p w14:paraId="4CC68F9A" w14:textId="77777777" w:rsidR="00BA1125" w:rsidRPr="00BA1125" w:rsidRDefault="00BA1125" w:rsidP="00D80CB9">
            <w:pPr>
              <w:rPr>
                <w:rFonts w:ascii="Arial" w:eastAsia="Times New Roman" w:hAnsi="Arial" w:cs="Arial"/>
                <w:sz w:val="20"/>
                <w:szCs w:val="20"/>
              </w:rPr>
            </w:pPr>
            <w:r w:rsidRPr="00BA1125">
              <w:rPr>
                <w:rFonts w:ascii="Arial" w:eastAsia="Times New Roman" w:hAnsi="Arial" w:cs="Arial"/>
                <w:sz w:val="20"/>
                <w:szCs w:val="20"/>
              </w:rPr>
              <w:t>January 2019 - December 2019</w:t>
            </w:r>
          </w:p>
          <w:p w14:paraId="787FF29D" w14:textId="77777777" w:rsidR="00BA1125" w:rsidRPr="00BA1125" w:rsidRDefault="00BA1125" w:rsidP="00D80CB9">
            <w:pPr>
              <w:rPr>
                <w:rFonts w:ascii="Arial" w:eastAsia="Times New Roman" w:hAnsi="Arial" w:cs="Arial"/>
                <w:sz w:val="20"/>
                <w:szCs w:val="20"/>
              </w:rPr>
            </w:pPr>
          </w:p>
          <w:p w14:paraId="5F8B71E9" w14:textId="77777777" w:rsidR="00BA1125" w:rsidRPr="00BA1125" w:rsidRDefault="00BA1125" w:rsidP="00D80CB9">
            <w:pPr>
              <w:rPr>
                <w:rFonts w:ascii="Arial" w:eastAsia="Times New Roman" w:hAnsi="Arial" w:cs="Arial"/>
                <w:sz w:val="20"/>
                <w:szCs w:val="20"/>
              </w:rPr>
            </w:pPr>
          </w:p>
        </w:tc>
        <w:tc>
          <w:tcPr>
            <w:tcW w:w="2310" w:type="dxa"/>
            <w:tcBorders>
              <w:top w:val="single" w:sz="4" w:space="0" w:color="auto"/>
            </w:tcBorders>
            <w:hideMark/>
          </w:tcPr>
          <w:p w14:paraId="039DE1AC" w14:textId="77777777" w:rsidR="00BA1125" w:rsidRPr="00BA1125" w:rsidRDefault="00BA1125" w:rsidP="00D80CB9">
            <w:pPr>
              <w:jc w:val="center"/>
              <w:rPr>
                <w:rFonts w:ascii="Arial" w:eastAsia="Times New Roman" w:hAnsi="Arial" w:cs="Arial"/>
                <w:sz w:val="20"/>
                <w:szCs w:val="20"/>
              </w:rPr>
            </w:pPr>
          </w:p>
          <w:p w14:paraId="5AE737C8" w14:textId="77777777" w:rsidR="00BA1125" w:rsidRPr="00BA1125" w:rsidRDefault="00BA1125" w:rsidP="00D80CB9">
            <w:pPr>
              <w:jc w:val="center"/>
              <w:rPr>
                <w:rFonts w:ascii="Arial" w:eastAsia="Times New Roman" w:hAnsi="Arial" w:cs="Arial"/>
                <w:sz w:val="20"/>
                <w:szCs w:val="20"/>
              </w:rPr>
            </w:pPr>
            <w:r w:rsidRPr="00BA1125">
              <w:rPr>
                <w:rFonts w:ascii="Arial" w:eastAsia="Times New Roman" w:hAnsi="Arial" w:cs="Arial"/>
                <w:sz w:val="20"/>
                <w:szCs w:val="20"/>
              </w:rPr>
              <w:t>61</w:t>
            </w:r>
          </w:p>
          <w:p w14:paraId="7353EB9D" w14:textId="77777777" w:rsidR="00BA1125" w:rsidRPr="00BA1125" w:rsidRDefault="00BA1125" w:rsidP="00D80CB9">
            <w:pPr>
              <w:jc w:val="center"/>
              <w:rPr>
                <w:rFonts w:ascii="Arial" w:eastAsia="Times New Roman" w:hAnsi="Arial" w:cs="Arial"/>
                <w:sz w:val="20"/>
                <w:szCs w:val="20"/>
              </w:rPr>
            </w:pPr>
          </w:p>
        </w:tc>
        <w:tc>
          <w:tcPr>
            <w:tcW w:w="3375" w:type="dxa"/>
            <w:tcBorders>
              <w:top w:val="single" w:sz="4" w:space="0" w:color="auto"/>
            </w:tcBorders>
            <w:hideMark/>
          </w:tcPr>
          <w:p w14:paraId="7582DED1" w14:textId="77777777" w:rsidR="00BA1125" w:rsidRPr="00BA1125" w:rsidRDefault="00BA1125" w:rsidP="00D80CB9">
            <w:pPr>
              <w:jc w:val="center"/>
              <w:rPr>
                <w:rFonts w:ascii="Arial" w:eastAsia="Times New Roman" w:hAnsi="Arial" w:cs="Arial"/>
                <w:sz w:val="20"/>
                <w:szCs w:val="20"/>
              </w:rPr>
            </w:pPr>
          </w:p>
          <w:p w14:paraId="38AAF0A3" w14:textId="77777777" w:rsidR="00BA1125" w:rsidRPr="00BA1125" w:rsidRDefault="00BA1125" w:rsidP="00D80CB9">
            <w:pPr>
              <w:jc w:val="center"/>
              <w:rPr>
                <w:rFonts w:ascii="Arial" w:eastAsia="Times New Roman" w:hAnsi="Arial" w:cs="Arial"/>
                <w:sz w:val="20"/>
                <w:szCs w:val="20"/>
              </w:rPr>
            </w:pPr>
            <w:r w:rsidRPr="00BA1125">
              <w:rPr>
                <w:rFonts w:ascii="Arial" w:eastAsia="Times New Roman" w:hAnsi="Arial" w:cs="Arial"/>
                <w:sz w:val="20"/>
                <w:szCs w:val="20"/>
              </w:rPr>
              <w:t>19.6</w:t>
            </w:r>
          </w:p>
          <w:p w14:paraId="10DE68AC" w14:textId="77777777" w:rsidR="00BA1125" w:rsidRPr="00BA1125" w:rsidRDefault="00BA1125" w:rsidP="00D80CB9">
            <w:pPr>
              <w:jc w:val="center"/>
              <w:rPr>
                <w:rFonts w:ascii="Arial" w:eastAsia="Times New Roman" w:hAnsi="Arial" w:cs="Arial"/>
                <w:sz w:val="20"/>
                <w:szCs w:val="20"/>
              </w:rPr>
            </w:pPr>
          </w:p>
        </w:tc>
      </w:tr>
      <w:tr w:rsidR="00BA1125" w:rsidRPr="00BA1125" w14:paraId="079046EF" w14:textId="77777777" w:rsidTr="00D80CB9">
        <w:tc>
          <w:tcPr>
            <w:tcW w:w="3460" w:type="dxa"/>
            <w:hideMark/>
          </w:tcPr>
          <w:p w14:paraId="3707F1DC" w14:textId="77777777" w:rsidR="00BA1125" w:rsidRPr="00BA1125" w:rsidRDefault="00BA1125" w:rsidP="00D80CB9">
            <w:pPr>
              <w:spacing w:line="480" w:lineRule="auto"/>
              <w:rPr>
                <w:rFonts w:ascii="Arial" w:eastAsia="Times New Roman" w:hAnsi="Arial" w:cs="Arial"/>
                <w:sz w:val="20"/>
                <w:szCs w:val="20"/>
              </w:rPr>
            </w:pPr>
            <w:r w:rsidRPr="00BA1125">
              <w:rPr>
                <w:rFonts w:ascii="Arial" w:eastAsia="Times New Roman" w:hAnsi="Arial" w:cs="Arial"/>
                <w:sz w:val="20"/>
                <w:szCs w:val="20"/>
              </w:rPr>
              <w:t>January 2020 - December 2020</w:t>
            </w:r>
          </w:p>
        </w:tc>
        <w:tc>
          <w:tcPr>
            <w:tcW w:w="2310" w:type="dxa"/>
            <w:hideMark/>
          </w:tcPr>
          <w:p w14:paraId="46D657F1" w14:textId="77777777" w:rsidR="00BA1125" w:rsidRPr="00BA1125" w:rsidRDefault="00BA1125" w:rsidP="00D80CB9">
            <w:pPr>
              <w:spacing w:line="480" w:lineRule="auto"/>
              <w:jc w:val="center"/>
              <w:rPr>
                <w:rFonts w:ascii="Arial" w:eastAsia="Times New Roman" w:hAnsi="Arial" w:cs="Arial"/>
                <w:sz w:val="20"/>
                <w:szCs w:val="20"/>
              </w:rPr>
            </w:pPr>
            <w:r w:rsidRPr="00BA1125">
              <w:rPr>
                <w:rFonts w:ascii="Arial" w:eastAsia="Times New Roman" w:hAnsi="Arial" w:cs="Arial"/>
                <w:sz w:val="20"/>
                <w:szCs w:val="20"/>
              </w:rPr>
              <w:t>58</w:t>
            </w:r>
          </w:p>
        </w:tc>
        <w:tc>
          <w:tcPr>
            <w:tcW w:w="3375" w:type="dxa"/>
            <w:hideMark/>
          </w:tcPr>
          <w:p w14:paraId="27F89C48" w14:textId="77777777" w:rsidR="00BA1125" w:rsidRPr="00BA1125" w:rsidRDefault="00BA1125" w:rsidP="00D80CB9">
            <w:pPr>
              <w:spacing w:line="480" w:lineRule="auto"/>
              <w:jc w:val="center"/>
              <w:rPr>
                <w:rFonts w:ascii="Arial" w:eastAsia="Times New Roman" w:hAnsi="Arial" w:cs="Arial"/>
                <w:sz w:val="20"/>
                <w:szCs w:val="20"/>
              </w:rPr>
            </w:pPr>
            <w:r w:rsidRPr="00BA1125">
              <w:rPr>
                <w:rFonts w:ascii="Arial" w:eastAsia="Times New Roman" w:hAnsi="Arial" w:cs="Arial"/>
                <w:sz w:val="20"/>
                <w:szCs w:val="20"/>
              </w:rPr>
              <w:t>18.6</w:t>
            </w:r>
          </w:p>
        </w:tc>
      </w:tr>
      <w:tr w:rsidR="00BA1125" w:rsidRPr="00BA1125" w14:paraId="22AF6B3C" w14:textId="77777777" w:rsidTr="00D80CB9">
        <w:tc>
          <w:tcPr>
            <w:tcW w:w="3460" w:type="dxa"/>
            <w:hideMark/>
          </w:tcPr>
          <w:p w14:paraId="44FDEAF5" w14:textId="77777777" w:rsidR="00BA1125" w:rsidRPr="00BA1125" w:rsidRDefault="00BA1125" w:rsidP="00D80CB9">
            <w:pPr>
              <w:spacing w:line="480" w:lineRule="auto"/>
              <w:rPr>
                <w:rFonts w:ascii="Arial" w:eastAsia="Times New Roman" w:hAnsi="Arial" w:cs="Arial"/>
                <w:sz w:val="20"/>
                <w:szCs w:val="20"/>
              </w:rPr>
            </w:pPr>
            <w:r w:rsidRPr="00BA1125">
              <w:rPr>
                <w:rFonts w:ascii="Arial" w:eastAsia="Times New Roman" w:hAnsi="Arial" w:cs="Arial"/>
                <w:sz w:val="20"/>
                <w:szCs w:val="20"/>
              </w:rPr>
              <w:t>January 2021 - December 2021</w:t>
            </w:r>
          </w:p>
        </w:tc>
        <w:tc>
          <w:tcPr>
            <w:tcW w:w="2310" w:type="dxa"/>
            <w:hideMark/>
          </w:tcPr>
          <w:p w14:paraId="5C2B9251" w14:textId="77777777" w:rsidR="00BA1125" w:rsidRPr="00BA1125" w:rsidRDefault="00BA1125" w:rsidP="00D80CB9">
            <w:pPr>
              <w:spacing w:line="480" w:lineRule="auto"/>
              <w:jc w:val="center"/>
              <w:rPr>
                <w:rFonts w:ascii="Arial" w:eastAsia="Times New Roman" w:hAnsi="Arial" w:cs="Arial"/>
                <w:sz w:val="20"/>
                <w:szCs w:val="20"/>
              </w:rPr>
            </w:pPr>
            <w:r w:rsidRPr="00BA1125">
              <w:rPr>
                <w:rFonts w:ascii="Arial" w:eastAsia="Times New Roman" w:hAnsi="Arial" w:cs="Arial"/>
                <w:sz w:val="20"/>
                <w:szCs w:val="20"/>
              </w:rPr>
              <w:t>72</w:t>
            </w:r>
          </w:p>
        </w:tc>
        <w:tc>
          <w:tcPr>
            <w:tcW w:w="3375" w:type="dxa"/>
            <w:hideMark/>
          </w:tcPr>
          <w:p w14:paraId="0E991B0D" w14:textId="77777777" w:rsidR="00BA1125" w:rsidRPr="00BA1125" w:rsidRDefault="00BA1125" w:rsidP="00D80CB9">
            <w:pPr>
              <w:spacing w:line="480" w:lineRule="auto"/>
              <w:jc w:val="center"/>
              <w:rPr>
                <w:rFonts w:ascii="Arial" w:eastAsia="Times New Roman" w:hAnsi="Arial" w:cs="Arial"/>
                <w:sz w:val="20"/>
                <w:szCs w:val="20"/>
              </w:rPr>
            </w:pPr>
            <w:r w:rsidRPr="00BA1125">
              <w:rPr>
                <w:rFonts w:ascii="Arial" w:eastAsia="Times New Roman" w:hAnsi="Arial" w:cs="Arial"/>
                <w:sz w:val="20"/>
                <w:szCs w:val="20"/>
              </w:rPr>
              <w:t>23.1</w:t>
            </w:r>
          </w:p>
        </w:tc>
      </w:tr>
      <w:tr w:rsidR="00BA1125" w:rsidRPr="00BA1125" w14:paraId="200A9E43" w14:textId="77777777" w:rsidTr="00D80CB9">
        <w:tc>
          <w:tcPr>
            <w:tcW w:w="3460" w:type="dxa"/>
            <w:hideMark/>
          </w:tcPr>
          <w:p w14:paraId="3EB1A866" w14:textId="77777777" w:rsidR="00BA1125" w:rsidRPr="00BA1125" w:rsidRDefault="00BA1125" w:rsidP="00D80CB9">
            <w:pPr>
              <w:spacing w:line="480" w:lineRule="auto"/>
              <w:rPr>
                <w:rFonts w:ascii="Arial" w:eastAsia="Times New Roman" w:hAnsi="Arial" w:cs="Arial"/>
                <w:sz w:val="20"/>
                <w:szCs w:val="20"/>
              </w:rPr>
            </w:pPr>
            <w:r w:rsidRPr="00BA1125">
              <w:rPr>
                <w:rFonts w:ascii="Arial" w:eastAsia="Times New Roman" w:hAnsi="Arial" w:cs="Arial"/>
                <w:sz w:val="20"/>
                <w:szCs w:val="20"/>
              </w:rPr>
              <w:t>January 2022 - December 2022</w:t>
            </w:r>
          </w:p>
        </w:tc>
        <w:tc>
          <w:tcPr>
            <w:tcW w:w="2310" w:type="dxa"/>
            <w:hideMark/>
          </w:tcPr>
          <w:p w14:paraId="40963575" w14:textId="77777777" w:rsidR="00BA1125" w:rsidRPr="00BA1125" w:rsidRDefault="00BA1125" w:rsidP="00D80CB9">
            <w:pPr>
              <w:spacing w:line="480" w:lineRule="auto"/>
              <w:jc w:val="center"/>
              <w:rPr>
                <w:rFonts w:ascii="Arial" w:eastAsia="Times New Roman" w:hAnsi="Arial" w:cs="Arial"/>
                <w:sz w:val="20"/>
                <w:szCs w:val="20"/>
              </w:rPr>
            </w:pPr>
            <w:r w:rsidRPr="00BA1125">
              <w:rPr>
                <w:rFonts w:ascii="Arial" w:eastAsia="Times New Roman" w:hAnsi="Arial" w:cs="Arial"/>
                <w:sz w:val="20"/>
                <w:szCs w:val="20"/>
              </w:rPr>
              <w:t>63</w:t>
            </w:r>
          </w:p>
        </w:tc>
        <w:tc>
          <w:tcPr>
            <w:tcW w:w="3375" w:type="dxa"/>
            <w:hideMark/>
          </w:tcPr>
          <w:p w14:paraId="5D8DB2A0" w14:textId="77777777" w:rsidR="00BA1125" w:rsidRPr="00BA1125" w:rsidRDefault="00BA1125" w:rsidP="00D80CB9">
            <w:pPr>
              <w:spacing w:line="480" w:lineRule="auto"/>
              <w:jc w:val="center"/>
              <w:rPr>
                <w:rFonts w:ascii="Arial" w:eastAsia="Times New Roman" w:hAnsi="Arial" w:cs="Arial"/>
                <w:sz w:val="20"/>
                <w:szCs w:val="20"/>
              </w:rPr>
            </w:pPr>
            <w:r w:rsidRPr="00BA1125">
              <w:rPr>
                <w:rFonts w:ascii="Arial" w:eastAsia="Times New Roman" w:hAnsi="Arial" w:cs="Arial"/>
                <w:sz w:val="20"/>
                <w:szCs w:val="20"/>
              </w:rPr>
              <w:t>20.3</w:t>
            </w:r>
          </w:p>
        </w:tc>
      </w:tr>
      <w:tr w:rsidR="00BA1125" w:rsidRPr="00BA1125" w14:paraId="0CBE1E64" w14:textId="77777777" w:rsidTr="00D80CB9">
        <w:tc>
          <w:tcPr>
            <w:tcW w:w="3460" w:type="dxa"/>
            <w:tcBorders>
              <w:bottom w:val="single" w:sz="4" w:space="0" w:color="auto"/>
            </w:tcBorders>
            <w:hideMark/>
          </w:tcPr>
          <w:p w14:paraId="526626A9" w14:textId="77777777" w:rsidR="00BA1125" w:rsidRPr="00BA1125" w:rsidRDefault="00BA1125" w:rsidP="00D80CB9">
            <w:pPr>
              <w:spacing w:line="480" w:lineRule="auto"/>
              <w:rPr>
                <w:rFonts w:ascii="Arial" w:eastAsia="Times New Roman" w:hAnsi="Arial" w:cs="Arial"/>
                <w:sz w:val="20"/>
                <w:szCs w:val="20"/>
              </w:rPr>
            </w:pPr>
            <w:r w:rsidRPr="00BA1125">
              <w:rPr>
                <w:rFonts w:ascii="Arial" w:eastAsia="Times New Roman" w:hAnsi="Arial" w:cs="Arial"/>
                <w:sz w:val="20"/>
                <w:szCs w:val="20"/>
              </w:rPr>
              <w:t>January 2023 - December 2023</w:t>
            </w:r>
          </w:p>
        </w:tc>
        <w:tc>
          <w:tcPr>
            <w:tcW w:w="2310" w:type="dxa"/>
            <w:tcBorders>
              <w:bottom w:val="single" w:sz="4" w:space="0" w:color="auto"/>
            </w:tcBorders>
            <w:hideMark/>
          </w:tcPr>
          <w:p w14:paraId="33E615AF" w14:textId="77777777" w:rsidR="00BA1125" w:rsidRPr="00BA1125" w:rsidRDefault="00BA1125" w:rsidP="00D80CB9">
            <w:pPr>
              <w:spacing w:line="480" w:lineRule="auto"/>
              <w:jc w:val="center"/>
              <w:rPr>
                <w:rFonts w:ascii="Arial" w:eastAsia="Times New Roman" w:hAnsi="Arial" w:cs="Arial"/>
                <w:sz w:val="20"/>
                <w:szCs w:val="20"/>
              </w:rPr>
            </w:pPr>
            <w:r w:rsidRPr="00BA1125">
              <w:rPr>
                <w:rFonts w:ascii="Arial" w:eastAsia="Times New Roman" w:hAnsi="Arial" w:cs="Arial"/>
                <w:sz w:val="20"/>
                <w:szCs w:val="20"/>
              </w:rPr>
              <w:t>57</w:t>
            </w:r>
          </w:p>
        </w:tc>
        <w:tc>
          <w:tcPr>
            <w:tcW w:w="3375" w:type="dxa"/>
            <w:tcBorders>
              <w:bottom w:val="single" w:sz="4" w:space="0" w:color="auto"/>
            </w:tcBorders>
            <w:hideMark/>
          </w:tcPr>
          <w:p w14:paraId="1CDAB0D2" w14:textId="77777777" w:rsidR="00BA1125" w:rsidRPr="00BA1125" w:rsidRDefault="00BA1125" w:rsidP="00D80CB9">
            <w:pPr>
              <w:spacing w:line="480" w:lineRule="auto"/>
              <w:jc w:val="center"/>
              <w:rPr>
                <w:rFonts w:ascii="Arial" w:eastAsia="Times New Roman" w:hAnsi="Arial" w:cs="Arial"/>
                <w:sz w:val="20"/>
                <w:szCs w:val="20"/>
              </w:rPr>
            </w:pPr>
            <w:r w:rsidRPr="00BA1125">
              <w:rPr>
                <w:rFonts w:ascii="Arial" w:eastAsia="Times New Roman" w:hAnsi="Arial" w:cs="Arial"/>
                <w:sz w:val="20"/>
                <w:szCs w:val="20"/>
              </w:rPr>
              <w:t>18.3</w:t>
            </w:r>
          </w:p>
        </w:tc>
      </w:tr>
    </w:tbl>
    <w:p w14:paraId="696C3EC7" w14:textId="77777777" w:rsidR="00BA1125" w:rsidRDefault="00BA1125" w:rsidP="00441B6F">
      <w:pPr>
        <w:jc w:val="both"/>
        <w:rPr>
          <w:rFonts w:ascii="Arial" w:hAnsi="Arial" w:cs="Arial"/>
          <w:u w:val="single"/>
          <w:lang w:val="en-GB" w:eastAsia="en-GB"/>
        </w:rPr>
      </w:pPr>
    </w:p>
    <w:p w14:paraId="3101B0B8" w14:textId="77777777" w:rsidR="00BA1125" w:rsidRPr="00BA1125" w:rsidRDefault="00BA1125" w:rsidP="00441B6F">
      <w:pPr>
        <w:jc w:val="both"/>
        <w:rPr>
          <w:rFonts w:ascii="Arial" w:hAnsi="Arial" w:cs="Arial"/>
          <w:u w:val="single"/>
          <w:lang w:val="en-GB" w:eastAsia="en-GB"/>
        </w:rPr>
      </w:pPr>
    </w:p>
    <w:p w14:paraId="407898FE" w14:textId="2C6E4018" w:rsidR="00BA1125" w:rsidRDefault="00BA1125" w:rsidP="00441B6F">
      <w:pPr>
        <w:jc w:val="both"/>
        <w:rPr>
          <w:rFonts w:ascii="Arial" w:hAnsi="Arial" w:cs="Arial"/>
          <w:u w:val="single"/>
          <w:lang w:val="en-GB" w:eastAsia="en-GB"/>
        </w:rPr>
      </w:pPr>
      <w:r>
        <w:rPr>
          <w:noProof/>
          <w:lang w:val="en-GB" w:eastAsia="en-GB"/>
        </w:rPr>
        <w:drawing>
          <wp:inline distT="0" distB="0" distL="114300" distR="114300" wp14:anchorId="1C9DAE11" wp14:editId="06F17A8C">
            <wp:extent cx="5212080" cy="2183654"/>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F3383D" w14:textId="53072AAC" w:rsidR="00BA1125" w:rsidRPr="00BA1125" w:rsidRDefault="00BA1125" w:rsidP="00BA1125">
      <w:pPr>
        <w:rPr>
          <w:rFonts w:ascii="Arial" w:hAnsi="Arial" w:cs="Arial"/>
        </w:rPr>
      </w:pPr>
      <w:r w:rsidRPr="00BA1125">
        <w:rPr>
          <w:rFonts w:ascii="Arial" w:hAnsi="Arial" w:cs="Arial"/>
          <w:b/>
          <w:bCs/>
        </w:rPr>
        <w:t>Figure 1</w:t>
      </w:r>
      <w:r w:rsidR="00902D22">
        <w:rPr>
          <w:rFonts w:ascii="Arial" w:hAnsi="Arial" w:cs="Arial"/>
          <w:b/>
          <w:bCs/>
        </w:rPr>
        <w:t>:</w:t>
      </w:r>
      <w:r w:rsidRPr="00BA1125">
        <w:rPr>
          <w:rFonts w:ascii="Arial" w:hAnsi="Arial" w:cs="Arial"/>
        </w:rPr>
        <w:t xml:space="preserve"> Trends in Monthly Abortion-Related Deaths Over Five Years (2019–2023)</w:t>
      </w:r>
    </w:p>
    <w:p w14:paraId="11FB3A66" w14:textId="40A45F21" w:rsidR="00BA1125" w:rsidRPr="00BA1125" w:rsidRDefault="00BA1125" w:rsidP="00BA1125">
      <w:pPr>
        <w:spacing w:before="100" w:beforeAutospacing="1" w:after="100" w:afterAutospacing="1"/>
        <w:rPr>
          <w:rFonts w:ascii="Times New Roman" w:hAnsi="Times New Roman"/>
          <w:b/>
          <w:bCs/>
        </w:rPr>
      </w:pPr>
      <w:r w:rsidRPr="00BA1125">
        <w:rPr>
          <w:rFonts w:ascii="Times New Roman" w:hAnsi="Times New Roman"/>
          <w:b/>
          <w:bCs/>
        </w:rPr>
        <w:t xml:space="preserve">Table 4 </w:t>
      </w:r>
      <w:r w:rsidR="00F265F3">
        <w:rPr>
          <w:rFonts w:ascii="Times New Roman" w:hAnsi="Times New Roman"/>
          <w:b/>
          <w:bCs/>
        </w:rPr>
        <w:t>Sociod</w:t>
      </w:r>
      <w:r w:rsidRPr="00BA1125">
        <w:rPr>
          <w:rFonts w:ascii="Times New Roman" w:hAnsi="Times New Roman"/>
          <w:b/>
          <w:bCs/>
        </w:rPr>
        <w:t>emographic Factors associated with Abortion-related Mortality</w:t>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4"/>
        <w:gridCol w:w="1424"/>
        <w:gridCol w:w="1604"/>
        <w:gridCol w:w="1070"/>
        <w:gridCol w:w="1598"/>
        <w:gridCol w:w="2160"/>
      </w:tblGrid>
      <w:tr w:rsidR="00BA1125" w:rsidRPr="00BA1125" w14:paraId="295F0EE4" w14:textId="77777777" w:rsidTr="00D80CB9">
        <w:tc>
          <w:tcPr>
            <w:tcW w:w="2494" w:type="dxa"/>
            <w:tcBorders>
              <w:top w:val="single" w:sz="4" w:space="0" w:color="auto"/>
              <w:bottom w:val="single" w:sz="4" w:space="0" w:color="auto"/>
            </w:tcBorders>
            <w:hideMark/>
          </w:tcPr>
          <w:p w14:paraId="6DFC1C51" w14:textId="77777777" w:rsidR="00BA1125" w:rsidRPr="00BA1125" w:rsidRDefault="00BA1125" w:rsidP="00D80CB9">
            <w:pPr>
              <w:rPr>
                <w:rFonts w:ascii="Times New Roman" w:eastAsia="Times New Roman" w:hAnsi="Times New Roman"/>
                <w:b/>
                <w:bCs/>
                <w:sz w:val="20"/>
                <w:szCs w:val="20"/>
              </w:rPr>
            </w:pPr>
            <w:r w:rsidRPr="00BA1125">
              <w:rPr>
                <w:rFonts w:ascii="Times New Roman" w:eastAsia="Times New Roman" w:hAnsi="Times New Roman"/>
                <w:b/>
                <w:bCs/>
                <w:sz w:val="20"/>
                <w:szCs w:val="20"/>
              </w:rPr>
              <w:t>Variable</w:t>
            </w:r>
          </w:p>
        </w:tc>
        <w:tc>
          <w:tcPr>
            <w:tcW w:w="1424" w:type="dxa"/>
            <w:tcBorders>
              <w:top w:val="single" w:sz="4" w:space="0" w:color="auto"/>
              <w:bottom w:val="single" w:sz="4" w:space="0" w:color="auto"/>
            </w:tcBorders>
            <w:hideMark/>
          </w:tcPr>
          <w:p w14:paraId="7BD73147" w14:textId="77777777" w:rsidR="00BA1125" w:rsidRPr="00BA1125" w:rsidRDefault="00BA1125" w:rsidP="00D80CB9">
            <w:pPr>
              <w:jc w:val="center"/>
              <w:rPr>
                <w:rFonts w:ascii="Times New Roman" w:eastAsia="Times New Roman" w:hAnsi="Times New Roman"/>
                <w:b/>
                <w:bCs/>
                <w:sz w:val="20"/>
                <w:szCs w:val="20"/>
              </w:rPr>
            </w:pPr>
            <w:r w:rsidRPr="00BA1125">
              <w:rPr>
                <w:rFonts w:ascii="Times New Roman" w:eastAsia="Times New Roman" w:hAnsi="Times New Roman"/>
                <w:b/>
                <w:bCs/>
                <w:sz w:val="20"/>
                <w:szCs w:val="20"/>
              </w:rPr>
              <w:t xml:space="preserve">Chi-Square Value </w:t>
            </w:r>
            <w:r w:rsidRPr="00BA1125">
              <w:rPr>
                <w:rFonts w:ascii="Times New Roman" w:eastAsia="Times New Roman" w:hAnsi="Times New Roman"/>
                <w:b/>
                <w:bCs/>
                <w:i/>
                <w:iCs/>
                <w:sz w:val="20"/>
                <w:szCs w:val="20"/>
              </w:rPr>
              <w:t>(χ2)</w:t>
            </w:r>
          </w:p>
        </w:tc>
        <w:tc>
          <w:tcPr>
            <w:tcW w:w="1604" w:type="dxa"/>
            <w:tcBorders>
              <w:top w:val="single" w:sz="4" w:space="0" w:color="auto"/>
              <w:bottom w:val="single" w:sz="4" w:space="0" w:color="auto"/>
            </w:tcBorders>
            <w:hideMark/>
          </w:tcPr>
          <w:p w14:paraId="098A79B1" w14:textId="77777777" w:rsidR="00BA1125" w:rsidRPr="00BA1125" w:rsidRDefault="00BA1125" w:rsidP="00D80CB9">
            <w:pPr>
              <w:jc w:val="center"/>
              <w:rPr>
                <w:rFonts w:ascii="Times New Roman" w:eastAsia="Times New Roman" w:hAnsi="Times New Roman"/>
                <w:b/>
                <w:bCs/>
                <w:sz w:val="20"/>
                <w:szCs w:val="20"/>
              </w:rPr>
            </w:pPr>
            <w:r w:rsidRPr="00BA1125">
              <w:rPr>
                <w:rFonts w:ascii="Times New Roman" w:eastAsia="Times New Roman" w:hAnsi="Times New Roman"/>
                <w:b/>
                <w:bCs/>
                <w:sz w:val="20"/>
                <w:szCs w:val="20"/>
              </w:rPr>
              <w:t xml:space="preserve">Degrees of Freedom </w:t>
            </w:r>
            <w:r w:rsidRPr="00BA1125">
              <w:rPr>
                <w:rFonts w:ascii="Times New Roman" w:eastAsia="Times New Roman" w:hAnsi="Times New Roman"/>
                <w:b/>
                <w:bCs/>
                <w:i/>
                <w:iCs/>
                <w:sz w:val="20"/>
                <w:szCs w:val="20"/>
              </w:rPr>
              <w:t>(</w:t>
            </w:r>
            <w:proofErr w:type="spellStart"/>
            <w:r w:rsidRPr="00BA1125">
              <w:rPr>
                <w:rFonts w:ascii="Times New Roman" w:eastAsia="Times New Roman" w:hAnsi="Times New Roman"/>
                <w:b/>
                <w:bCs/>
                <w:i/>
                <w:iCs/>
                <w:sz w:val="20"/>
                <w:szCs w:val="20"/>
              </w:rPr>
              <w:t>df</w:t>
            </w:r>
            <w:proofErr w:type="spellEnd"/>
            <w:r w:rsidRPr="00BA1125">
              <w:rPr>
                <w:rFonts w:ascii="Times New Roman" w:eastAsia="Times New Roman" w:hAnsi="Times New Roman"/>
                <w:b/>
                <w:bCs/>
                <w:i/>
                <w:iCs/>
                <w:sz w:val="20"/>
                <w:szCs w:val="20"/>
              </w:rPr>
              <w:t>)</w:t>
            </w:r>
          </w:p>
        </w:tc>
        <w:tc>
          <w:tcPr>
            <w:tcW w:w="1070" w:type="dxa"/>
            <w:tcBorders>
              <w:top w:val="single" w:sz="4" w:space="0" w:color="auto"/>
              <w:bottom w:val="single" w:sz="4" w:space="0" w:color="auto"/>
            </w:tcBorders>
            <w:hideMark/>
          </w:tcPr>
          <w:p w14:paraId="206B2962" w14:textId="77777777" w:rsidR="00BA1125" w:rsidRPr="00BA1125" w:rsidRDefault="00BA1125" w:rsidP="00D80CB9">
            <w:pPr>
              <w:jc w:val="center"/>
              <w:rPr>
                <w:rFonts w:ascii="Times New Roman" w:eastAsia="Times New Roman" w:hAnsi="Times New Roman"/>
                <w:b/>
                <w:bCs/>
                <w:sz w:val="20"/>
                <w:szCs w:val="20"/>
              </w:rPr>
            </w:pPr>
            <w:r w:rsidRPr="00BA1125">
              <w:rPr>
                <w:rFonts w:ascii="Times New Roman" w:eastAsia="Times New Roman" w:hAnsi="Times New Roman"/>
                <w:b/>
                <w:bCs/>
                <w:sz w:val="20"/>
                <w:szCs w:val="20"/>
              </w:rPr>
              <w:t>P-value</w:t>
            </w:r>
          </w:p>
        </w:tc>
        <w:tc>
          <w:tcPr>
            <w:tcW w:w="1598" w:type="dxa"/>
            <w:tcBorders>
              <w:top w:val="single" w:sz="4" w:space="0" w:color="auto"/>
              <w:bottom w:val="single" w:sz="4" w:space="0" w:color="auto"/>
            </w:tcBorders>
          </w:tcPr>
          <w:p w14:paraId="4A1F6347" w14:textId="77777777" w:rsidR="00BA1125" w:rsidRPr="00BA1125" w:rsidRDefault="00BA1125" w:rsidP="00D80CB9">
            <w:pPr>
              <w:rPr>
                <w:rFonts w:ascii="Times New Roman" w:eastAsia="Times New Roman" w:hAnsi="Times New Roman"/>
                <w:b/>
                <w:bCs/>
                <w:sz w:val="20"/>
                <w:szCs w:val="20"/>
              </w:rPr>
            </w:pPr>
            <w:r w:rsidRPr="00BA1125">
              <w:rPr>
                <w:rFonts w:ascii="Times New Roman" w:eastAsia="Times New Roman" w:hAnsi="Times New Roman"/>
                <w:b/>
                <w:bCs/>
                <w:sz w:val="20"/>
                <w:szCs w:val="20"/>
              </w:rPr>
              <w:t>Significance</w:t>
            </w:r>
          </w:p>
        </w:tc>
        <w:tc>
          <w:tcPr>
            <w:tcW w:w="2160" w:type="dxa"/>
            <w:tcBorders>
              <w:top w:val="single" w:sz="4" w:space="0" w:color="auto"/>
              <w:bottom w:val="single" w:sz="4" w:space="0" w:color="auto"/>
            </w:tcBorders>
            <w:hideMark/>
          </w:tcPr>
          <w:p w14:paraId="313069FE" w14:textId="77777777" w:rsidR="00BA1125" w:rsidRPr="00BA1125" w:rsidRDefault="00BA1125" w:rsidP="00D80CB9">
            <w:pPr>
              <w:rPr>
                <w:rFonts w:ascii="Times New Roman" w:eastAsia="Times New Roman" w:hAnsi="Times New Roman"/>
                <w:b/>
                <w:bCs/>
                <w:sz w:val="20"/>
                <w:szCs w:val="20"/>
              </w:rPr>
            </w:pPr>
            <w:r w:rsidRPr="00BA1125">
              <w:rPr>
                <w:rFonts w:ascii="Times New Roman" w:eastAsia="Times New Roman" w:hAnsi="Times New Roman"/>
                <w:b/>
                <w:bCs/>
                <w:sz w:val="20"/>
                <w:szCs w:val="20"/>
              </w:rPr>
              <w:t>Category Associated with Higher Deaths</w:t>
            </w:r>
          </w:p>
        </w:tc>
      </w:tr>
      <w:tr w:rsidR="00BA1125" w:rsidRPr="00BA1125" w14:paraId="688ED98D" w14:textId="77777777" w:rsidTr="00D80CB9">
        <w:tc>
          <w:tcPr>
            <w:tcW w:w="2494" w:type="dxa"/>
            <w:tcBorders>
              <w:top w:val="single" w:sz="4" w:space="0" w:color="auto"/>
            </w:tcBorders>
            <w:hideMark/>
          </w:tcPr>
          <w:p w14:paraId="3ECAFD98" w14:textId="77777777" w:rsidR="00BA1125" w:rsidRPr="00BA1125" w:rsidRDefault="00BA1125" w:rsidP="00D80CB9">
            <w:pPr>
              <w:spacing w:line="360" w:lineRule="auto"/>
              <w:rPr>
                <w:rFonts w:ascii="Times New Roman" w:eastAsia="Times New Roman" w:hAnsi="Times New Roman"/>
                <w:sz w:val="20"/>
                <w:szCs w:val="20"/>
              </w:rPr>
            </w:pPr>
          </w:p>
          <w:p w14:paraId="0C6F95FA" w14:textId="77777777" w:rsidR="00BA1125" w:rsidRPr="00BA1125" w:rsidRDefault="00BA1125" w:rsidP="00D80CB9">
            <w:pPr>
              <w:spacing w:line="360" w:lineRule="auto"/>
              <w:rPr>
                <w:rFonts w:ascii="Times New Roman" w:eastAsia="Times New Roman" w:hAnsi="Times New Roman"/>
                <w:sz w:val="20"/>
                <w:szCs w:val="20"/>
              </w:rPr>
            </w:pPr>
            <w:r w:rsidRPr="00BA1125">
              <w:rPr>
                <w:rFonts w:ascii="Times New Roman" w:eastAsia="Times New Roman" w:hAnsi="Times New Roman"/>
                <w:sz w:val="20"/>
                <w:szCs w:val="20"/>
              </w:rPr>
              <w:t>Age Group</w:t>
            </w:r>
          </w:p>
        </w:tc>
        <w:tc>
          <w:tcPr>
            <w:tcW w:w="1424" w:type="dxa"/>
            <w:tcBorders>
              <w:top w:val="single" w:sz="4" w:space="0" w:color="auto"/>
            </w:tcBorders>
            <w:vAlign w:val="center"/>
            <w:hideMark/>
          </w:tcPr>
          <w:p w14:paraId="2FD93E8F" w14:textId="77777777" w:rsidR="00BA1125" w:rsidRPr="00BA1125" w:rsidRDefault="00BA1125" w:rsidP="00D80CB9">
            <w:pPr>
              <w:spacing w:line="36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63.29</w:t>
            </w:r>
          </w:p>
        </w:tc>
        <w:tc>
          <w:tcPr>
            <w:tcW w:w="1604" w:type="dxa"/>
            <w:tcBorders>
              <w:top w:val="single" w:sz="4" w:space="0" w:color="auto"/>
            </w:tcBorders>
            <w:hideMark/>
          </w:tcPr>
          <w:p w14:paraId="3C41CA44" w14:textId="77777777" w:rsidR="00BA1125" w:rsidRPr="00BA1125" w:rsidRDefault="00BA1125" w:rsidP="00D80CB9">
            <w:pPr>
              <w:spacing w:line="360" w:lineRule="auto"/>
              <w:jc w:val="center"/>
              <w:rPr>
                <w:rFonts w:ascii="Times New Roman" w:eastAsia="Times New Roman" w:hAnsi="Times New Roman"/>
                <w:sz w:val="20"/>
                <w:szCs w:val="20"/>
              </w:rPr>
            </w:pPr>
          </w:p>
          <w:p w14:paraId="42F97622" w14:textId="77777777" w:rsidR="00BA1125" w:rsidRPr="00BA1125" w:rsidRDefault="00BA1125" w:rsidP="00D80CB9">
            <w:pPr>
              <w:spacing w:line="36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3</w:t>
            </w:r>
          </w:p>
        </w:tc>
        <w:tc>
          <w:tcPr>
            <w:tcW w:w="1070" w:type="dxa"/>
            <w:tcBorders>
              <w:top w:val="single" w:sz="4" w:space="0" w:color="auto"/>
            </w:tcBorders>
            <w:hideMark/>
          </w:tcPr>
          <w:p w14:paraId="7735D19C" w14:textId="77777777" w:rsidR="00BA1125" w:rsidRPr="00BA1125" w:rsidRDefault="00BA1125" w:rsidP="00D80CB9">
            <w:pPr>
              <w:spacing w:line="360" w:lineRule="auto"/>
              <w:jc w:val="center"/>
              <w:rPr>
                <w:rFonts w:ascii="Times New Roman" w:eastAsia="Times New Roman" w:hAnsi="Times New Roman"/>
                <w:sz w:val="20"/>
                <w:szCs w:val="20"/>
              </w:rPr>
            </w:pPr>
          </w:p>
          <w:p w14:paraId="66B75703" w14:textId="77777777" w:rsidR="00BA1125" w:rsidRPr="00BA1125" w:rsidRDefault="00BA1125" w:rsidP="00D80CB9">
            <w:pPr>
              <w:spacing w:line="36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0.006</w:t>
            </w:r>
          </w:p>
        </w:tc>
        <w:tc>
          <w:tcPr>
            <w:tcW w:w="1598" w:type="dxa"/>
            <w:tcBorders>
              <w:top w:val="single" w:sz="4" w:space="0" w:color="auto"/>
            </w:tcBorders>
          </w:tcPr>
          <w:p w14:paraId="22920C59" w14:textId="77777777" w:rsidR="00BA1125" w:rsidRPr="00BA1125" w:rsidRDefault="00BA1125" w:rsidP="00D80CB9">
            <w:pPr>
              <w:spacing w:line="360" w:lineRule="auto"/>
              <w:jc w:val="both"/>
              <w:rPr>
                <w:rFonts w:ascii="Times New Roman" w:eastAsia="Times New Roman" w:hAnsi="Times New Roman"/>
                <w:sz w:val="20"/>
                <w:szCs w:val="20"/>
              </w:rPr>
            </w:pPr>
          </w:p>
          <w:p w14:paraId="57F06847" w14:textId="77777777" w:rsidR="00BA1125" w:rsidRPr="00BA1125" w:rsidRDefault="00BA1125" w:rsidP="00D80CB9">
            <w:pPr>
              <w:spacing w:line="360" w:lineRule="auto"/>
              <w:jc w:val="both"/>
              <w:rPr>
                <w:rFonts w:ascii="Times New Roman" w:eastAsia="Times New Roman" w:hAnsi="Times New Roman"/>
                <w:sz w:val="20"/>
                <w:szCs w:val="20"/>
              </w:rPr>
            </w:pPr>
            <w:r w:rsidRPr="00BA1125">
              <w:rPr>
                <w:rFonts w:ascii="Times New Roman" w:eastAsia="Times New Roman" w:hAnsi="Times New Roman"/>
                <w:sz w:val="20"/>
                <w:szCs w:val="20"/>
              </w:rPr>
              <w:t xml:space="preserve">Significant </w:t>
            </w:r>
          </w:p>
        </w:tc>
        <w:tc>
          <w:tcPr>
            <w:tcW w:w="2160" w:type="dxa"/>
            <w:tcBorders>
              <w:top w:val="single" w:sz="4" w:space="0" w:color="auto"/>
            </w:tcBorders>
            <w:hideMark/>
          </w:tcPr>
          <w:p w14:paraId="3CDD639B" w14:textId="77777777" w:rsidR="00BA1125" w:rsidRPr="00BA1125" w:rsidRDefault="00BA1125" w:rsidP="00D80CB9">
            <w:pPr>
              <w:spacing w:line="360" w:lineRule="auto"/>
              <w:jc w:val="both"/>
              <w:rPr>
                <w:rFonts w:ascii="Times New Roman" w:eastAsia="Times New Roman" w:hAnsi="Times New Roman"/>
                <w:sz w:val="20"/>
                <w:szCs w:val="20"/>
              </w:rPr>
            </w:pPr>
          </w:p>
          <w:p w14:paraId="1442F5CC" w14:textId="77777777" w:rsidR="00BA1125" w:rsidRPr="00BA1125" w:rsidRDefault="00BA1125" w:rsidP="00D80CB9">
            <w:pPr>
              <w:spacing w:line="360" w:lineRule="auto"/>
              <w:jc w:val="both"/>
              <w:rPr>
                <w:rFonts w:ascii="Times New Roman" w:eastAsia="Times New Roman" w:hAnsi="Times New Roman"/>
                <w:sz w:val="20"/>
                <w:szCs w:val="20"/>
              </w:rPr>
            </w:pPr>
            <w:r w:rsidRPr="00BA1125">
              <w:rPr>
                <w:rFonts w:ascii="Times New Roman" w:eastAsia="Times New Roman" w:hAnsi="Times New Roman"/>
                <w:sz w:val="20"/>
                <w:szCs w:val="20"/>
              </w:rPr>
              <w:t>25–34 years</w:t>
            </w:r>
          </w:p>
          <w:p w14:paraId="67DC4755" w14:textId="77777777" w:rsidR="00BA1125" w:rsidRPr="00BA1125" w:rsidRDefault="00BA1125" w:rsidP="00D80CB9">
            <w:pPr>
              <w:spacing w:line="360" w:lineRule="auto"/>
              <w:jc w:val="both"/>
              <w:rPr>
                <w:rFonts w:ascii="Times New Roman" w:eastAsia="Times New Roman" w:hAnsi="Times New Roman"/>
                <w:sz w:val="20"/>
                <w:szCs w:val="20"/>
              </w:rPr>
            </w:pPr>
          </w:p>
          <w:p w14:paraId="08A978E0" w14:textId="77777777" w:rsidR="00BA1125" w:rsidRPr="00BA1125" w:rsidRDefault="00BA1125" w:rsidP="00D80CB9">
            <w:pPr>
              <w:spacing w:line="360" w:lineRule="auto"/>
              <w:jc w:val="both"/>
              <w:rPr>
                <w:rFonts w:ascii="Times New Roman" w:eastAsia="Times New Roman" w:hAnsi="Times New Roman"/>
                <w:sz w:val="20"/>
                <w:szCs w:val="20"/>
              </w:rPr>
            </w:pPr>
          </w:p>
        </w:tc>
      </w:tr>
      <w:tr w:rsidR="00BA1125" w:rsidRPr="00BA1125" w14:paraId="380E1A6C" w14:textId="77777777" w:rsidTr="00D80CB9">
        <w:tc>
          <w:tcPr>
            <w:tcW w:w="2494" w:type="dxa"/>
            <w:hideMark/>
          </w:tcPr>
          <w:p w14:paraId="4B3CEE8F" w14:textId="77777777" w:rsidR="00BA1125" w:rsidRPr="00BA1125" w:rsidRDefault="00BA1125" w:rsidP="00D80CB9">
            <w:pPr>
              <w:spacing w:line="480" w:lineRule="auto"/>
              <w:rPr>
                <w:rFonts w:ascii="Times New Roman" w:eastAsia="Times New Roman" w:hAnsi="Times New Roman"/>
                <w:sz w:val="20"/>
                <w:szCs w:val="20"/>
              </w:rPr>
            </w:pPr>
            <w:r w:rsidRPr="00BA1125">
              <w:rPr>
                <w:rFonts w:ascii="Times New Roman" w:eastAsia="Times New Roman" w:hAnsi="Times New Roman"/>
                <w:sz w:val="20"/>
                <w:szCs w:val="20"/>
              </w:rPr>
              <w:t>Marital Status</w:t>
            </w:r>
          </w:p>
        </w:tc>
        <w:tc>
          <w:tcPr>
            <w:tcW w:w="1424" w:type="dxa"/>
            <w:vAlign w:val="center"/>
            <w:hideMark/>
          </w:tcPr>
          <w:p w14:paraId="7B98B2D8"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103.92</w:t>
            </w:r>
          </w:p>
        </w:tc>
        <w:tc>
          <w:tcPr>
            <w:tcW w:w="1604" w:type="dxa"/>
            <w:hideMark/>
          </w:tcPr>
          <w:p w14:paraId="2C1212F0"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3</w:t>
            </w:r>
          </w:p>
        </w:tc>
        <w:tc>
          <w:tcPr>
            <w:tcW w:w="1070" w:type="dxa"/>
            <w:hideMark/>
          </w:tcPr>
          <w:p w14:paraId="4C6D4E70"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0.016</w:t>
            </w:r>
          </w:p>
        </w:tc>
        <w:tc>
          <w:tcPr>
            <w:tcW w:w="1598" w:type="dxa"/>
          </w:tcPr>
          <w:p w14:paraId="186702F2" w14:textId="77777777" w:rsidR="00BA1125" w:rsidRPr="00BA1125" w:rsidRDefault="00BA1125" w:rsidP="00D80CB9">
            <w:pPr>
              <w:spacing w:line="480" w:lineRule="auto"/>
              <w:jc w:val="both"/>
              <w:rPr>
                <w:rFonts w:ascii="Times New Roman" w:eastAsia="Times New Roman" w:hAnsi="Times New Roman"/>
                <w:sz w:val="20"/>
                <w:szCs w:val="20"/>
              </w:rPr>
            </w:pPr>
            <w:r w:rsidRPr="00BA1125">
              <w:rPr>
                <w:rFonts w:ascii="Times New Roman" w:eastAsia="Times New Roman" w:hAnsi="Times New Roman"/>
                <w:sz w:val="20"/>
                <w:szCs w:val="20"/>
              </w:rPr>
              <w:t xml:space="preserve">Significant </w:t>
            </w:r>
          </w:p>
        </w:tc>
        <w:tc>
          <w:tcPr>
            <w:tcW w:w="2160" w:type="dxa"/>
            <w:hideMark/>
          </w:tcPr>
          <w:p w14:paraId="42E8B2BD" w14:textId="77777777" w:rsidR="00BA1125" w:rsidRPr="00BA1125" w:rsidRDefault="00BA1125" w:rsidP="00D80CB9">
            <w:pPr>
              <w:spacing w:line="480" w:lineRule="auto"/>
              <w:jc w:val="both"/>
              <w:rPr>
                <w:rFonts w:ascii="Times New Roman" w:eastAsia="Times New Roman" w:hAnsi="Times New Roman"/>
                <w:sz w:val="20"/>
                <w:szCs w:val="20"/>
              </w:rPr>
            </w:pPr>
            <w:r w:rsidRPr="00BA1125">
              <w:rPr>
                <w:rFonts w:ascii="Times New Roman" w:eastAsia="Times New Roman" w:hAnsi="Times New Roman"/>
                <w:sz w:val="20"/>
                <w:szCs w:val="20"/>
              </w:rPr>
              <w:t>Single</w:t>
            </w:r>
          </w:p>
          <w:p w14:paraId="741DD8AB" w14:textId="77777777" w:rsidR="00BA1125" w:rsidRPr="00BA1125" w:rsidRDefault="00BA1125" w:rsidP="00D80CB9">
            <w:pPr>
              <w:spacing w:line="480" w:lineRule="auto"/>
              <w:jc w:val="both"/>
              <w:rPr>
                <w:rFonts w:ascii="Times New Roman" w:eastAsia="Times New Roman" w:hAnsi="Times New Roman"/>
                <w:sz w:val="20"/>
                <w:szCs w:val="20"/>
              </w:rPr>
            </w:pPr>
          </w:p>
        </w:tc>
      </w:tr>
      <w:tr w:rsidR="00BA1125" w:rsidRPr="00BA1125" w14:paraId="0A81E7E4" w14:textId="77777777" w:rsidTr="00D80CB9">
        <w:tc>
          <w:tcPr>
            <w:tcW w:w="2494" w:type="dxa"/>
            <w:hideMark/>
          </w:tcPr>
          <w:p w14:paraId="10187648" w14:textId="77777777" w:rsidR="00BA1125" w:rsidRPr="00BA1125" w:rsidRDefault="00BA1125" w:rsidP="00D80CB9">
            <w:pPr>
              <w:spacing w:line="480" w:lineRule="auto"/>
              <w:rPr>
                <w:rFonts w:ascii="Times New Roman" w:eastAsia="Times New Roman" w:hAnsi="Times New Roman"/>
                <w:sz w:val="20"/>
                <w:szCs w:val="20"/>
              </w:rPr>
            </w:pPr>
            <w:r w:rsidRPr="00BA1125">
              <w:rPr>
                <w:rFonts w:ascii="Times New Roman" w:eastAsia="Times New Roman" w:hAnsi="Times New Roman"/>
                <w:sz w:val="20"/>
                <w:szCs w:val="20"/>
              </w:rPr>
              <w:t>Education Level</w:t>
            </w:r>
          </w:p>
        </w:tc>
        <w:tc>
          <w:tcPr>
            <w:tcW w:w="1424" w:type="dxa"/>
            <w:vAlign w:val="center"/>
            <w:hideMark/>
          </w:tcPr>
          <w:p w14:paraId="157E61DB"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104.57</w:t>
            </w:r>
          </w:p>
        </w:tc>
        <w:tc>
          <w:tcPr>
            <w:tcW w:w="1604" w:type="dxa"/>
            <w:hideMark/>
          </w:tcPr>
          <w:p w14:paraId="2C7CBCCA"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3</w:t>
            </w:r>
          </w:p>
        </w:tc>
        <w:tc>
          <w:tcPr>
            <w:tcW w:w="1070" w:type="dxa"/>
            <w:hideMark/>
          </w:tcPr>
          <w:p w14:paraId="48636DFE"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0.032</w:t>
            </w:r>
          </w:p>
        </w:tc>
        <w:tc>
          <w:tcPr>
            <w:tcW w:w="1598" w:type="dxa"/>
          </w:tcPr>
          <w:p w14:paraId="297F9698" w14:textId="77777777" w:rsidR="00BA1125" w:rsidRPr="00BA1125" w:rsidRDefault="00BA1125" w:rsidP="00D80CB9">
            <w:pPr>
              <w:spacing w:line="480" w:lineRule="auto"/>
              <w:jc w:val="both"/>
              <w:rPr>
                <w:rFonts w:ascii="Times New Roman" w:eastAsia="Times New Roman" w:hAnsi="Times New Roman"/>
                <w:sz w:val="20"/>
                <w:szCs w:val="20"/>
              </w:rPr>
            </w:pPr>
            <w:r w:rsidRPr="00BA1125">
              <w:rPr>
                <w:rFonts w:ascii="Times New Roman" w:eastAsia="Times New Roman" w:hAnsi="Times New Roman"/>
                <w:sz w:val="20"/>
                <w:szCs w:val="20"/>
              </w:rPr>
              <w:t xml:space="preserve">Significant </w:t>
            </w:r>
          </w:p>
        </w:tc>
        <w:tc>
          <w:tcPr>
            <w:tcW w:w="2160" w:type="dxa"/>
            <w:hideMark/>
          </w:tcPr>
          <w:p w14:paraId="1EC11F96" w14:textId="77777777" w:rsidR="00BA1125" w:rsidRPr="00BA1125" w:rsidRDefault="00BA1125" w:rsidP="00D80CB9">
            <w:pPr>
              <w:spacing w:line="480" w:lineRule="auto"/>
              <w:jc w:val="both"/>
              <w:rPr>
                <w:rFonts w:ascii="Times New Roman" w:eastAsia="Times New Roman" w:hAnsi="Times New Roman"/>
                <w:sz w:val="20"/>
                <w:szCs w:val="20"/>
              </w:rPr>
            </w:pPr>
            <w:r w:rsidRPr="00BA1125">
              <w:rPr>
                <w:rFonts w:ascii="Times New Roman" w:eastAsia="Times New Roman" w:hAnsi="Times New Roman"/>
                <w:sz w:val="20"/>
                <w:szCs w:val="20"/>
              </w:rPr>
              <w:t>Secondary</w:t>
            </w:r>
          </w:p>
          <w:p w14:paraId="71E57337" w14:textId="77777777" w:rsidR="00BA1125" w:rsidRPr="00BA1125" w:rsidRDefault="00BA1125" w:rsidP="00D80CB9">
            <w:pPr>
              <w:spacing w:line="480" w:lineRule="auto"/>
              <w:jc w:val="both"/>
              <w:rPr>
                <w:rFonts w:ascii="Times New Roman" w:eastAsia="Times New Roman" w:hAnsi="Times New Roman"/>
                <w:sz w:val="20"/>
                <w:szCs w:val="20"/>
              </w:rPr>
            </w:pPr>
          </w:p>
        </w:tc>
      </w:tr>
      <w:tr w:rsidR="00BA1125" w:rsidRPr="00BA1125" w14:paraId="0D476B5A" w14:textId="77777777" w:rsidTr="00D80CB9">
        <w:tc>
          <w:tcPr>
            <w:tcW w:w="2494" w:type="dxa"/>
            <w:hideMark/>
          </w:tcPr>
          <w:p w14:paraId="34A9C050" w14:textId="77777777" w:rsidR="00BA1125" w:rsidRPr="00BA1125" w:rsidRDefault="00BA1125" w:rsidP="00D80CB9">
            <w:pPr>
              <w:spacing w:line="480" w:lineRule="auto"/>
              <w:rPr>
                <w:rFonts w:ascii="Times New Roman" w:eastAsia="Times New Roman" w:hAnsi="Times New Roman"/>
                <w:sz w:val="20"/>
                <w:szCs w:val="20"/>
              </w:rPr>
            </w:pPr>
            <w:r w:rsidRPr="00BA1125">
              <w:rPr>
                <w:rFonts w:ascii="Times New Roman" w:eastAsia="Times New Roman" w:hAnsi="Times New Roman"/>
                <w:sz w:val="20"/>
                <w:szCs w:val="20"/>
              </w:rPr>
              <w:t>Occupation</w:t>
            </w:r>
          </w:p>
        </w:tc>
        <w:tc>
          <w:tcPr>
            <w:tcW w:w="1424" w:type="dxa"/>
            <w:vAlign w:val="center"/>
            <w:hideMark/>
          </w:tcPr>
          <w:p w14:paraId="6F439686"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32.35</w:t>
            </w:r>
          </w:p>
        </w:tc>
        <w:tc>
          <w:tcPr>
            <w:tcW w:w="1604" w:type="dxa"/>
            <w:hideMark/>
          </w:tcPr>
          <w:p w14:paraId="0EF28E3D"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2</w:t>
            </w:r>
          </w:p>
        </w:tc>
        <w:tc>
          <w:tcPr>
            <w:tcW w:w="1070" w:type="dxa"/>
            <w:hideMark/>
          </w:tcPr>
          <w:p w14:paraId="0A4781DF"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0.023</w:t>
            </w:r>
          </w:p>
        </w:tc>
        <w:tc>
          <w:tcPr>
            <w:tcW w:w="1598" w:type="dxa"/>
          </w:tcPr>
          <w:p w14:paraId="744DF4F7" w14:textId="77777777" w:rsidR="00BA1125" w:rsidRPr="00BA1125" w:rsidRDefault="00BA1125" w:rsidP="00D80CB9">
            <w:pPr>
              <w:spacing w:line="480" w:lineRule="auto"/>
              <w:jc w:val="both"/>
              <w:rPr>
                <w:rFonts w:ascii="Times New Roman" w:eastAsia="Times New Roman" w:hAnsi="Times New Roman"/>
                <w:sz w:val="20"/>
                <w:szCs w:val="20"/>
              </w:rPr>
            </w:pPr>
            <w:r w:rsidRPr="00BA1125">
              <w:rPr>
                <w:rFonts w:ascii="Times New Roman" w:eastAsia="Times New Roman" w:hAnsi="Times New Roman"/>
                <w:sz w:val="20"/>
                <w:szCs w:val="20"/>
              </w:rPr>
              <w:t xml:space="preserve">Significant </w:t>
            </w:r>
          </w:p>
        </w:tc>
        <w:tc>
          <w:tcPr>
            <w:tcW w:w="2160" w:type="dxa"/>
            <w:hideMark/>
          </w:tcPr>
          <w:p w14:paraId="6DBBA755" w14:textId="77777777" w:rsidR="00BA1125" w:rsidRPr="00BA1125" w:rsidRDefault="00BA1125" w:rsidP="00D80CB9">
            <w:pPr>
              <w:spacing w:line="480" w:lineRule="auto"/>
              <w:jc w:val="both"/>
              <w:rPr>
                <w:rFonts w:ascii="Times New Roman" w:eastAsia="Times New Roman" w:hAnsi="Times New Roman"/>
                <w:sz w:val="20"/>
                <w:szCs w:val="20"/>
              </w:rPr>
            </w:pPr>
            <w:r w:rsidRPr="00BA1125">
              <w:rPr>
                <w:rFonts w:ascii="Times New Roman" w:eastAsia="Times New Roman" w:hAnsi="Times New Roman"/>
                <w:sz w:val="20"/>
                <w:szCs w:val="20"/>
              </w:rPr>
              <w:t>Student</w:t>
            </w:r>
          </w:p>
          <w:p w14:paraId="530F4E9B" w14:textId="77777777" w:rsidR="00BA1125" w:rsidRPr="00BA1125" w:rsidRDefault="00BA1125" w:rsidP="00D80CB9">
            <w:pPr>
              <w:spacing w:line="480" w:lineRule="auto"/>
              <w:jc w:val="both"/>
              <w:rPr>
                <w:rFonts w:ascii="Times New Roman" w:eastAsia="Times New Roman" w:hAnsi="Times New Roman"/>
                <w:sz w:val="20"/>
                <w:szCs w:val="20"/>
              </w:rPr>
            </w:pPr>
          </w:p>
        </w:tc>
      </w:tr>
      <w:tr w:rsidR="00BA1125" w:rsidRPr="00BA1125" w14:paraId="54886B5E" w14:textId="77777777" w:rsidTr="00D80CB9">
        <w:tc>
          <w:tcPr>
            <w:tcW w:w="2494" w:type="dxa"/>
            <w:hideMark/>
          </w:tcPr>
          <w:p w14:paraId="07EE0369" w14:textId="77777777" w:rsidR="00BA1125" w:rsidRPr="00BA1125" w:rsidRDefault="00BA1125" w:rsidP="00D80CB9">
            <w:pPr>
              <w:spacing w:line="480" w:lineRule="auto"/>
              <w:rPr>
                <w:rFonts w:ascii="Times New Roman" w:eastAsia="Times New Roman" w:hAnsi="Times New Roman"/>
                <w:sz w:val="20"/>
                <w:szCs w:val="20"/>
              </w:rPr>
            </w:pPr>
            <w:r w:rsidRPr="00BA1125">
              <w:rPr>
                <w:rFonts w:ascii="Times New Roman" w:eastAsia="Times New Roman" w:hAnsi="Times New Roman"/>
                <w:sz w:val="20"/>
                <w:szCs w:val="20"/>
              </w:rPr>
              <w:t>Socioeconomic Status</w:t>
            </w:r>
          </w:p>
        </w:tc>
        <w:tc>
          <w:tcPr>
            <w:tcW w:w="1424" w:type="dxa"/>
            <w:vAlign w:val="center"/>
            <w:hideMark/>
          </w:tcPr>
          <w:p w14:paraId="510590F6"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124.88</w:t>
            </w:r>
          </w:p>
        </w:tc>
        <w:tc>
          <w:tcPr>
            <w:tcW w:w="1604" w:type="dxa"/>
            <w:hideMark/>
          </w:tcPr>
          <w:p w14:paraId="5D970196"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2</w:t>
            </w:r>
          </w:p>
        </w:tc>
        <w:tc>
          <w:tcPr>
            <w:tcW w:w="1070" w:type="dxa"/>
            <w:hideMark/>
          </w:tcPr>
          <w:p w14:paraId="0524B7A1"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0.040</w:t>
            </w:r>
          </w:p>
        </w:tc>
        <w:tc>
          <w:tcPr>
            <w:tcW w:w="1598" w:type="dxa"/>
          </w:tcPr>
          <w:p w14:paraId="6CA550AF" w14:textId="77777777" w:rsidR="00BA1125" w:rsidRPr="00BA1125" w:rsidRDefault="00BA1125" w:rsidP="00D80CB9">
            <w:pPr>
              <w:spacing w:line="480" w:lineRule="auto"/>
              <w:jc w:val="both"/>
              <w:rPr>
                <w:rFonts w:ascii="Times New Roman" w:eastAsia="Times New Roman" w:hAnsi="Times New Roman"/>
                <w:sz w:val="20"/>
                <w:szCs w:val="20"/>
              </w:rPr>
            </w:pPr>
            <w:r w:rsidRPr="00BA1125">
              <w:rPr>
                <w:rFonts w:ascii="Times New Roman" w:eastAsia="Times New Roman" w:hAnsi="Times New Roman"/>
                <w:sz w:val="20"/>
                <w:szCs w:val="20"/>
              </w:rPr>
              <w:t xml:space="preserve">Significant </w:t>
            </w:r>
          </w:p>
        </w:tc>
        <w:tc>
          <w:tcPr>
            <w:tcW w:w="2160" w:type="dxa"/>
            <w:hideMark/>
          </w:tcPr>
          <w:p w14:paraId="1D15486E" w14:textId="77777777" w:rsidR="00BA1125" w:rsidRPr="00BA1125" w:rsidRDefault="00BA1125" w:rsidP="00D80CB9">
            <w:pPr>
              <w:spacing w:line="480" w:lineRule="auto"/>
              <w:jc w:val="both"/>
              <w:rPr>
                <w:rFonts w:ascii="Times New Roman" w:eastAsia="Times New Roman" w:hAnsi="Times New Roman"/>
                <w:sz w:val="20"/>
                <w:szCs w:val="20"/>
              </w:rPr>
            </w:pPr>
            <w:r w:rsidRPr="00BA1125">
              <w:rPr>
                <w:rFonts w:ascii="Times New Roman" w:eastAsia="Times New Roman" w:hAnsi="Times New Roman"/>
                <w:sz w:val="20"/>
                <w:szCs w:val="20"/>
              </w:rPr>
              <w:t>Low</w:t>
            </w:r>
          </w:p>
        </w:tc>
      </w:tr>
      <w:tr w:rsidR="00BA1125" w:rsidRPr="00BA1125" w14:paraId="02649725" w14:textId="77777777" w:rsidTr="00D80CB9">
        <w:tc>
          <w:tcPr>
            <w:tcW w:w="2494" w:type="dxa"/>
            <w:tcBorders>
              <w:bottom w:val="single" w:sz="4" w:space="0" w:color="auto"/>
            </w:tcBorders>
            <w:hideMark/>
          </w:tcPr>
          <w:p w14:paraId="108BD2F6" w14:textId="77777777" w:rsidR="00BA1125" w:rsidRPr="00BA1125" w:rsidRDefault="00BA1125" w:rsidP="00D80CB9">
            <w:pPr>
              <w:spacing w:line="480" w:lineRule="auto"/>
              <w:rPr>
                <w:rFonts w:ascii="Times New Roman" w:eastAsia="Times New Roman" w:hAnsi="Times New Roman"/>
                <w:sz w:val="20"/>
                <w:szCs w:val="20"/>
              </w:rPr>
            </w:pPr>
            <w:r w:rsidRPr="00BA1125">
              <w:rPr>
                <w:rFonts w:ascii="Times New Roman" w:eastAsia="Times New Roman" w:hAnsi="Times New Roman"/>
                <w:sz w:val="20"/>
                <w:szCs w:val="20"/>
              </w:rPr>
              <w:t>Residential Area</w:t>
            </w:r>
          </w:p>
        </w:tc>
        <w:tc>
          <w:tcPr>
            <w:tcW w:w="1424" w:type="dxa"/>
            <w:tcBorders>
              <w:bottom w:val="single" w:sz="4" w:space="0" w:color="auto"/>
            </w:tcBorders>
            <w:vAlign w:val="center"/>
            <w:hideMark/>
          </w:tcPr>
          <w:p w14:paraId="5F28EABA"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14.36</w:t>
            </w:r>
          </w:p>
        </w:tc>
        <w:tc>
          <w:tcPr>
            <w:tcW w:w="1604" w:type="dxa"/>
            <w:tcBorders>
              <w:bottom w:val="single" w:sz="4" w:space="0" w:color="auto"/>
            </w:tcBorders>
            <w:hideMark/>
          </w:tcPr>
          <w:p w14:paraId="3FC1C6B9"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1</w:t>
            </w:r>
          </w:p>
        </w:tc>
        <w:tc>
          <w:tcPr>
            <w:tcW w:w="1070" w:type="dxa"/>
            <w:tcBorders>
              <w:bottom w:val="single" w:sz="4" w:space="0" w:color="auto"/>
            </w:tcBorders>
            <w:hideMark/>
          </w:tcPr>
          <w:p w14:paraId="07F1894B"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0.037</w:t>
            </w:r>
          </w:p>
        </w:tc>
        <w:tc>
          <w:tcPr>
            <w:tcW w:w="1598" w:type="dxa"/>
            <w:tcBorders>
              <w:bottom w:val="single" w:sz="4" w:space="0" w:color="auto"/>
            </w:tcBorders>
          </w:tcPr>
          <w:p w14:paraId="582CACCE" w14:textId="77777777" w:rsidR="00BA1125" w:rsidRPr="00BA1125" w:rsidRDefault="00BA1125" w:rsidP="00D80CB9">
            <w:pPr>
              <w:spacing w:line="480" w:lineRule="auto"/>
              <w:jc w:val="both"/>
              <w:rPr>
                <w:rFonts w:ascii="Times New Roman" w:eastAsia="Times New Roman" w:hAnsi="Times New Roman"/>
                <w:sz w:val="20"/>
                <w:szCs w:val="20"/>
              </w:rPr>
            </w:pPr>
            <w:r w:rsidRPr="00BA1125">
              <w:rPr>
                <w:rFonts w:ascii="Times New Roman" w:eastAsia="Times New Roman" w:hAnsi="Times New Roman"/>
                <w:sz w:val="20"/>
                <w:szCs w:val="20"/>
              </w:rPr>
              <w:t xml:space="preserve">Significant </w:t>
            </w:r>
          </w:p>
        </w:tc>
        <w:tc>
          <w:tcPr>
            <w:tcW w:w="2160" w:type="dxa"/>
            <w:tcBorders>
              <w:bottom w:val="single" w:sz="4" w:space="0" w:color="auto"/>
            </w:tcBorders>
            <w:hideMark/>
          </w:tcPr>
          <w:p w14:paraId="44EE3B45" w14:textId="77777777" w:rsidR="00BA1125" w:rsidRPr="00BA1125" w:rsidRDefault="00BA1125" w:rsidP="00D80CB9">
            <w:pPr>
              <w:spacing w:line="480" w:lineRule="auto"/>
              <w:jc w:val="both"/>
              <w:rPr>
                <w:rFonts w:ascii="Times New Roman" w:eastAsia="Times New Roman" w:hAnsi="Times New Roman"/>
                <w:sz w:val="20"/>
                <w:szCs w:val="20"/>
              </w:rPr>
            </w:pPr>
            <w:r w:rsidRPr="00BA1125">
              <w:rPr>
                <w:rFonts w:ascii="Times New Roman" w:eastAsia="Times New Roman" w:hAnsi="Times New Roman"/>
                <w:sz w:val="20"/>
                <w:szCs w:val="20"/>
              </w:rPr>
              <w:t>Urban</w:t>
            </w:r>
          </w:p>
        </w:tc>
      </w:tr>
    </w:tbl>
    <w:p w14:paraId="68070815" w14:textId="77777777" w:rsidR="00BA1125" w:rsidRPr="00BA1125" w:rsidRDefault="00BA1125" w:rsidP="00BA1125">
      <w:pPr>
        <w:rPr>
          <w:rFonts w:ascii="Times New Roman" w:hAnsi="Times New Roman"/>
        </w:rPr>
      </w:pPr>
    </w:p>
    <w:p w14:paraId="052AB504" w14:textId="77777777" w:rsidR="00BA1125" w:rsidRDefault="00BA1125" w:rsidP="00441B6F">
      <w:pPr>
        <w:jc w:val="both"/>
        <w:rPr>
          <w:rFonts w:ascii="Times New Roman" w:hAnsi="Times New Roman"/>
          <w:u w:val="single"/>
          <w:lang w:val="en-GB" w:eastAsia="en-GB"/>
        </w:rPr>
      </w:pPr>
    </w:p>
    <w:p w14:paraId="612BAFEE" w14:textId="77777777" w:rsidR="008348E0" w:rsidRPr="008348E0" w:rsidRDefault="008348E0" w:rsidP="008348E0">
      <w:pPr>
        <w:autoSpaceDE w:val="0"/>
        <w:autoSpaceDN w:val="0"/>
        <w:adjustRightInd w:val="0"/>
        <w:jc w:val="both"/>
        <w:rPr>
          <w:rFonts w:ascii="Arial" w:hAnsi="Arial" w:cs="Arial"/>
        </w:rPr>
      </w:pPr>
      <w:r w:rsidRPr="008348E0">
        <w:rPr>
          <w:rFonts w:ascii="Arial" w:hAnsi="Arial" w:cs="Arial"/>
        </w:rPr>
        <w:t>The analysis of sociodemographic factors associated with abortion-related mortality revealed significant associations with several key variables. These associations highlight the complexity of abortion-related deaths and offer insights into the groups most at risk.</w:t>
      </w:r>
    </w:p>
    <w:p w14:paraId="5F62E087" w14:textId="77777777" w:rsidR="00F265F3" w:rsidRDefault="00F265F3" w:rsidP="008348E0">
      <w:pPr>
        <w:autoSpaceDE w:val="0"/>
        <w:autoSpaceDN w:val="0"/>
        <w:adjustRightInd w:val="0"/>
        <w:jc w:val="both"/>
        <w:rPr>
          <w:rFonts w:ascii="Arial" w:hAnsi="Arial" w:cs="Arial"/>
          <w:b/>
          <w:bCs/>
        </w:rPr>
      </w:pPr>
    </w:p>
    <w:p w14:paraId="64093319" w14:textId="0F32113B" w:rsidR="008348E0" w:rsidRPr="008348E0" w:rsidRDefault="008348E0" w:rsidP="008348E0">
      <w:pPr>
        <w:autoSpaceDE w:val="0"/>
        <w:autoSpaceDN w:val="0"/>
        <w:adjustRightInd w:val="0"/>
        <w:jc w:val="both"/>
        <w:rPr>
          <w:rFonts w:ascii="Arial" w:hAnsi="Arial" w:cs="Arial"/>
        </w:rPr>
      </w:pPr>
      <w:r w:rsidRPr="008348E0">
        <w:rPr>
          <w:rFonts w:ascii="Arial" w:hAnsi="Arial" w:cs="Arial"/>
          <w:b/>
          <w:bCs/>
        </w:rPr>
        <w:t>Age Group</w:t>
      </w:r>
      <w:r w:rsidRPr="008348E0">
        <w:rPr>
          <w:rFonts w:ascii="Arial" w:hAnsi="Arial" w:cs="Arial"/>
        </w:rPr>
        <w:t xml:space="preserve">: The age group 25–34 years was identified as having the highest association with abortion-related mortality (χ² = 63.29, </w:t>
      </w:r>
      <w:proofErr w:type="spellStart"/>
      <w:r w:rsidRPr="008348E0">
        <w:rPr>
          <w:rFonts w:ascii="Arial" w:hAnsi="Arial" w:cs="Arial"/>
        </w:rPr>
        <w:t>df</w:t>
      </w:r>
      <w:proofErr w:type="spellEnd"/>
      <w:r w:rsidRPr="008348E0">
        <w:rPr>
          <w:rFonts w:ascii="Arial" w:hAnsi="Arial" w:cs="Arial"/>
        </w:rPr>
        <w:t xml:space="preserve"> = 3, p = 0.006). This finding suggests that women in this age range are at greater risk of experiencing abortion-related complications and deaths. This could be due to various factors, including higher fertility rates, socio-</w:t>
      </w:r>
      <w:r w:rsidRPr="008348E0">
        <w:rPr>
          <w:rFonts w:ascii="Arial" w:hAnsi="Arial" w:cs="Arial"/>
        </w:rPr>
        <w:lastRenderedPageBreak/>
        <w:t>economic pressures, and possibly a lack of access to safe abortion services. Previous studies have also shown that women in this age group tend to have higher rates of unsafe abortions due to limited access to legal and safe abortion options (Guttmacher Institute, 2018; Bankole et al., (2019)</w:t>
      </w:r>
      <w:r w:rsidR="00CF2D71">
        <w:rPr>
          <w:rFonts w:ascii="Arial" w:hAnsi="Arial" w:cs="Arial"/>
        </w:rPr>
        <w:t>.</w:t>
      </w:r>
    </w:p>
    <w:p w14:paraId="7C07222C" w14:textId="77777777" w:rsidR="00F265F3" w:rsidRDefault="00F265F3" w:rsidP="008348E0">
      <w:pPr>
        <w:autoSpaceDE w:val="0"/>
        <w:autoSpaceDN w:val="0"/>
        <w:adjustRightInd w:val="0"/>
        <w:jc w:val="both"/>
        <w:rPr>
          <w:rFonts w:ascii="Arial" w:hAnsi="Arial" w:cs="Arial"/>
          <w:b/>
          <w:bCs/>
        </w:rPr>
      </w:pPr>
    </w:p>
    <w:p w14:paraId="4FFA26AA" w14:textId="591CF984" w:rsidR="008348E0" w:rsidRPr="008348E0" w:rsidRDefault="008348E0" w:rsidP="008348E0">
      <w:pPr>
        <w:autoSpaceDE w:val="0"/>
        <w:autoSpaceDN w:val="0"/>
        <w:adjustRightInd w:val="0"/>
        <w:jc w:val="both"/>
        <w:rPr>
          <w:rFonts w:ascii="Arial" w:hAnsi="Arial" w:cs="Arial"/>
        </w:rPr>
      </w:pPr>
      <w:r w:rsidRPr="008348E0">
        <w:rPr>
          <w:rFonts w:ascii="Arial" w:hAnsi="Arial" w:cs="Arial"/>
          <w:b/>
          <w:bCs/>
        </w:rPr>
        <w:t>Marital Status</w:t>
      </w:r>
      <w:r w:rsidRPr="008348E0">
        <w:rPr>
          <w:rFonts w:ascii="Arial" w:hAnsi="Arial" w:cs="Arial"/>
        </w:rPr>
        <w:t xml:space="preserve">: A significant association was observed between marital status and abortion-related mortality (χ² = 103.92, </w:t>
      </w:r>
      <w:proofErr w:type="spellStart"/>
      <w:r w:rsidRPr="008348E0">
        <w:rPr>
          <w:rFonts w:ascii="Arial" w:hAnsi="Arial" w:cs="Arial"/>
        </w:rPr>
        <w:t>df</w:t>
      </w:r>
      <w:proofErr w:type="spellEnd"/>
      <w:r w:rsidRPr="008348E0">
        <w:rPr>
          <w:rFonts w:ascii="Arial" w:hAnsi="Arial" w:cs="Arial"/>
        </w:rPr>
        <w:t xml:space="preserve"> = 3, p = 0.016), with single women being most affected. This is consistent with previous research indicating that unmarried women may face greater barriers in accessing reproductive health services, including abortion care. They may also be less likely to seek timely medical attention due to social stigma or financial constraints (Benson et al., 2019; Jewkes &amp; Rees, 2020). The findings suggest that unmarried women are particularly vulnerable to the risks associated with unsafe abortion practices.</w:t>
      </w:r>
    </w:p>
    <w:p w14:paraId="163DB153" w14:textId="77777777" w:rsidR="00F265F3" w:rsidRDefault="00F265F3" w:rsidP="008348E0">
      <w:pPr>
        <w:autoSpaceDE w:val="0"/>
        <w:autoSpaceDN w:val="0"/>
        <w:adjustRightInd w:val="0"/>
        <w:jc w:val="both"/>
        <w:rPr>
          <w:rFonts w:ascii="Arial" w:hAnsi="Arial" w:cs="Arial"/>
          <w:b/>
          <w:bCs/>
        </w:rPr>
      </w:pPr>
    </w:p>
    <w:p w14:paraId="4AAA26C4" w14:textId="51A5690A" w:rsidR="008348E0" w:rsidRPr="008348E0" w:rsidRDefault="008348E0" w:rsidP="008348E0">
      <w:pPr>
        <w:autoSpaceDE w:val="0"/>
        <w:autoSpaceDN w:val="0"/>
        <w:adjustRightInd w:val="0"/>
        <w:jc w:val="both"/>
        <w:rPr>
          <w:rFonts w:ascii="Arial" w:hAnsi="Arial" w:cs="Arial"/>
        </w:rPr>
      </w:pPr>
      <w:r w:rsidRPr="008348E0">
        <w:rPr>
          <w:rFonts w:ascii="Arial" w:hAnsi="Arial" w:cs="Arial"/>
          <w:b/>
          <w:bCs/>
        </w:rPr>
        <w:t>Education Level</w:t>
      </w:r>
      <w:r w:rsidRPr="008348E0">
        <w:rPr>
          <w:rFonts w:ascii="Arial" w:hAnsi="Arial" w:cs="Arial"/>
        </w:rPr>
        <w:t xml:space="preserve">: Women with a secondary education level had a significantly higher likelihood of experiencing abortion-related mortality (χ² = 104.57, </w:t>
      </w:r>
      <w:proofErr w:type="spellStart"/>
      <w:r w:rsidRPr="008348E0">
        <w:rPr>
          <w:rFonts w:ascii="Arial" w:hAnsi="Arial" w:cs="Arial"/>
        </w:rPr>
        <w:t>df</w:t>
      </w:r>
      <w:proofErr w:type="spellEnd"/>
      <w:r w:rsidRPr="008348E0">
        <w:rPr>
          <w:rFonts w:ascii="Arial" w:hAnsi="Arial" w:cs="Arial"/>
        </w:rPr>
        <w:t xml:space="preserve"> = 3, p = 0.032). This result is counterintuitive, as higher education levels are typically associated with better health outcomes. However, it may reflect a range of factors, including the possible misconception that secondary-educated women may be more aware of abortion methods but lack proper guidance or access to safe services. Alternatively, this could be indicative of socio-economic challenges faced by this group, which may prevent them from accessing safe, legal abortion care despite their educational level (Guttmacher Institute, 2018).</w:t>
      </w:r>
    </w:p>
    <w:p w14:paraId="46515A9E" w14:textId="77777777" w:rsidR="00F265F3" w:rsidRDefault="00F265F3" w:rsidP="008348E0">
      <w:pPr>
        <w:autoSpaceDE w:val="0"/>
        <w:autoSpaceDN w:val="0"/>
        <w:adjustRightInd w:val="0"/>
        <w:jc w:val="both"/>
        <w:rPr>
          <w:rFonts w:ascii="Arial" w:hAnsi="Arial" w:cs="Arial"/>
          <w:b/>
          <w:bCs/>
        </w:rPr>
      </w:pPr>
    </w:p>
    <w:p w14:paraId="7C9E1354" w14:textId="0C57C0C7" w:rsidR="008348E0" w:rsidRPr="008348E0" w:rsidRDefault="008348E0" w:rsidP="008348E0">
      <w:pPr>
        <w:autoSpaceDE w:val="0"/>
        <w:autoSpaceDN w:val="0"/>
        <w:adjustRightInd w:val="0"/>
        <w:jc w:val="both"/>
        <w:rPr>
          <w:rFonts w:ascii="Arial" w:hAnsi="Arial" w:cs="Arial"/>
        </w:rPr>
      </w:pPr>
      <w:r w:rsidRPr="008348E0">
        <w:rPr>
          <w:rFonts w:ascii="Arial" w:hAnsi="Arial" w:cs="Arial"/>
          <w:b/>
          <w:bCs/>
        </w:rPr>
        <w:t>Occupation</w:t>
      </w:r>
      <w:r w:rsidRPr="008348E0">
        <w:rPr>
          <w:rFonts w:ascii="Arial" w:hAnsi="Arial" w:cs="Arial"/>
        </w:rPr>
        <w:t xml:space="preserve">: The occupation variable revealed that students had the highest association with abortion-related mortality (χ² = 32.35, </w:t>
      </w:r>
      <w:proofErr w:type="spellStart"/>
      <w:r w:rsidRPr="008348E0">
        <w:rPr>
          <w:rFonts w:ascii="Arial" w:hAnsi="Arial" w:cs="Arial"/>
        </w:rPr>
        <w:t>df</w:t>
      </w:r>
      <w:proofErr w:type="spellEnd"/>
      <w:r w:rsidRPr="008348E0">
        <w:rPr>
          <w:rFonts w:ascii="Arial" w:hAnsi="Arial" w:cs="Arial"/>
        </w:rPr>
        <w:t xml:space="preserve"> = 2, p = 0.023). This finding is concerning as it points to the challenges that young women, particularly students, face in terms of reproductive health care. Many students may not have the financial means or the support to access safe abortion services, and they may resort to unsafe methods due to stigma or lack of knowledge. This finding is in line with research highlighting the vulnerability of young women, especially students, to unsafe abortion practices (Jewkes &amp; Rees; Fjerstad et al., 2021)</w:t>
      </w:r>
      <w:r w:rsidR="00CF2D71">
        <w:rPr>
          <w:rFonts w:ascii="Arial" w:hAnsi="Arial" w:cs="Arial"/>
        </w:rPr>
        <w:t>.</w:t>
      </w:r>
    </w:p>
    <w:p w14:paraId="4384AC5B" w14:textId="77777777" w:rsidR="00F265F3" w:rsidRDefault="00F265F3" w:rsidP="008348E0">
      <w:pPr>
        <w:autoSpaceDE w:val="0"/>
        <w:autoSpaceDN w:val="0"/>
        <w:adjustRightInd w:val="0"/>
        <w:jc w:val="both"/>
        <w:rPr>
          <w:rFonts w:ascii="Arial" w:hAnsi="Arial" w:cs="Arial"/>
          <w:b/>
          <w:bCs/>
        </w:rPr>
      </w:pPr>
    </w:p>
    <w:p w14:paraId="57586D75" w14:textId="08FB6980" w:rsidR="008348E0" w:rsidRPr="008348E0" w:rsidRDefault="008348E0" w:rsidP="008348E0">
      <w:pPr>
        <w:autoSpaceDE w:val="0"/>
        <w:autoSpaceDN w:val="0"/>
        <w:adjustRightInd w:val="0"/>
        <w:jc w:val="both"/>
        <w:rPr>
          <w:rFonts w:ascii="Arial" w:hAnsi="Arial" w:cs="Arial"/>
        </w:rPr>
      </w:pPr>
      <w:r w:rsidRPr="008348E0">
        <w:rPr>
          <w:rFonts w:ascii="Arial" w:hAnsi="Arial" w:cs="Arial"/>
          <w:b/>
          <w:bCs/>
        </w:rPr>
        <w:t>Socioeconomic Status</w:t>
      </w:r>
      <w:r w:rsidRPr="008348E0">
        <w:rPr>
          <w:rFonts w:ascii="Arial" w:hAnsi="Arial" w:cs="Arial"/>
        </w:rPr>
        <w:t xml:space="preserve">: Women from low socioeconomic backgrounds were found to be most affected by abortion-related mortality (χ² = 124.88, </w:t>
      </w:r>
      <w:proofErr w:type="spellStart"/>
      <w:r w:rsidRPr="008348E0">
        <w:rPr>
          <w:rFonts w:ascii="Arial" w:hAnsi="Arial" w:cs="Arial"/>
        </w:rPr>
        <w:t>df</w:t>
      </w:r>
      <w:proofErr w:type="spellEnd"/>
      <w:r w:rsidRPr="008348E0">
        <w:rPr>
          <w:rFonts w:ascii="Arial" w:hAnsi="Arial" w:cs="Arial"/>
        </w:rPr>
        <w:t xml:space="preserve"> = 2, p = 0.040). This is a significant finding, as it emphasizes the role of financial constraints in accessing safe abortion services. Previous studies have consistently shown that low socioeconomic status is a major risk factor for unsafe abortion, as women in this group are more likely to experience barriers such as lack of healthcare access, inadequate information, and inability to afford legal abortion services (Benson et al., 2019). This highlights the need for targeted interventions aimed at improving access to reproductive health services for economically disadvantaged women.</w:t>
      </w:r>
    </w:p>
    <w:p w14:paraId="5CCE4E38" w14:textId="77777777" w:rsidR="00F265F3" w:rsidRDefault="00F265F3" w:rsidP="008348E0">
      <w:pPr>
        <w:jc w:val="both"/>
        <w:rPr>
          <w:rFonts w:ascii="Arial" w:hAnsi="Arial" w:cs="Arial"/>
          <w:b/>
          <w:bCs/>
        </w:rPr>
      </w:pPr>
    </w:p>
    <w:p w14:paraId="5DB25EC0" w14:textId="461C7EF0" w:rsidR="00F265F3" w:rsidRDefault="008348E0" w:rsidP="003548BC">
      <w:pPr>
        <w:jc w:val="both"/>
        <w:rPr>
          <w:rFonts w:ascii="Arial" w:hAnsi="Arial" w:cs="Arial"/>
        </w:rPr>
      </w:pPr>
      <w:r w:rsidRPr="008348E0">
        <w:rPr>
          <w:rFonts w:ascii="Arial" w:hAnsi="Arial" w:cs="Arial"/>
          <w:b/>
          <w:bCs/>
        </w:rPr>
        <w:t>Residential Area</w:t>
      </w:r>
      <w:r w:rsidRPr="008348E0">
        <w:rPr>
          <w:rFonts w:ascii="Arial" w:hAnsi="Arial" w:cs="Arial"/>
        </w:rPr>
        <w:t xml:space="preserve">: The residential area variable indicated that women living in urban areas were more likely to experience abortion-related mortality (χ² = 14.36, </w:t>
      </w:r>
      <w:proofErr w:type="spellStart"/>
      <w:r w:rsidRPr="008348E0">
        <w:rPr>
          <w:rFonts w:ascii="Arial" w:hAnsi="Arial" w:cs="Arial"/>
        </w:rPr>
        <w:t>df</w:t>
      </w:r>
      <w:proofErr w:type="spellEnd"/>
      <w:r w:rsidRPr="008348E0">
        <w:rPr>
          <w:rFonts w:ascii="Arial" w:hAnsi="Arial" w:cs="Arial"/>
        </w:rPr>
        <w:t xml:space="preserve"> = 1, p = 0.037). While this finding may seem surprising given the assumption that urban areas have better access to healthcare, it may reflect the higher population density and the greater number of unsafe abortion practices in urban settings. Additionally, urban areas often have diverse populations with varying levels of education and access to healthcare, which may contribute to inconsistent care outcomes. However, some studies suggest that the availability of unsafe, illegal abortion services in urban areas, combined with barriers to accessing formal healthcare, can increase the risk of complications and mortality (Ganatra et al., 2017; </w:t>
      </w:r>
      <w:r w:rsidR="003548BC" w:rsidRPr="00BA624F">
        <w:rPr>
          <w:rFonts w:ascii="Arial" w:hAnsi="Arial" w:cs="Arial"/>
        </w:rPr>
        <w:t>Campbell</w:t>
      </w:r>
      <w:r w:rsidR="003548BC" w:rsidRPr="008348E0">
        <w:rPr>
          <w:rFonts w:ascii="Arial" w:hAnsi="Arial" w:cs="Arial"/>
        </w:rPr>
        <w:t xml:space="preserve"> </w:t>
      </w:r>
      <w:r w:rsidR="003548BC" w:rsidRPr="00BA624F">
        <w:rPr>
          <w:rFonts w:ascii="Arial" w:hAnsi="Arial" w:cs="Arial"/>
        </w:rPr>
        <w:t>et al., 2018;</w:t>
      </w:r>
      <w:r w:rsidR="003548BC" w:rsidRPr="00C739D1">
        <w:rPr>
          <w:rFonts w:ascii="Arial" w:hAnsi="Arial" w:cs="Arial"/>
        </w:rPr>
        <w:t xml:space="preserve"> </w:t>
      </w:r>
      <w:proofErr w:type="spellStart"/>
      <w:r w:rsidR="003548BC" w:rsidRPr="00C739D1">
        <w:rPr>
          <w:rFonts w:ascii="Arial" w:hAnsi="Arial" w:cs="Arial"/>
        </w:rPr>
        <w:t>Bearak</w:t>
      </w:r>
      <w:proofErr w:type="spellEnd"/>
      <w:r w:rsidR="003548BC">
        <w:rPr>
          <w:rFonts w:ascii="Arial" w:hAnsi="Arial" w:cs="Arial"/>
        </w:rPr>
        <w:t xml:space="preserve"> et al., 2020)</w:t>
      </w:r>
    </w:p>
    <w:p w14:paraId="5026B0E1" w14:textId="77777777" w:rsidR="003548BC" w:rsidRDefault="003548BC" w:rsidP="003548BC">
      <w:pPr>
        <w:jc w:val="both"/>
        <w:rPr>
          <w:rFonts w:ascii="Arial" w:hAnsi="Arial" w:cs="Arial"/>
        </w:rPr>
      </w:pPr>
    </w:p>
    <w:p w14:paraId="6B88AAC0" w14:textId="77777777" w:rsidR="00F265F3" w:rsidRDefault="008348E0" w:rsidP="00F265F3">
      <w:pPr>
        <w:autoSpaceDE w:val="0"/>
        <w:autoSpaceDN w:val="0"/>
        <w:adjustRightInd w:val="0"/>
        <w:jc w:val="both"/>
        <w:rPr>
          <w:rFonts w:ascii="Arial" w:hAnsi="Arial" w:cs="Arial"/>
        </w:rPr>
      </w:pPr>
      <w:r w:rsidRPr="008348E0">
        <w:rPr>
          <w:rFonts w:ascii="Arial" w:hAnsi="Arial" w:cs="Arial"/>
        </w:rPr>
        <w:t>In summary, the sociodemographic factors associated with abortion-related mortality suggest that certain groups—women aged 25–34 years, unmarried women, those with secondary education, students, women from low socioeconomic backgrounds, and those living in urban areas—are at higher risk. These findings highlight the need for targeted interventions that address the unique challenges faced by these groups. Efforts to reduce abortion-related mortality should focus on improving access to safe, legal abortion services, providing education on reproductive health, and addressing the social determinants of health that contribute to unsafe abortion practices.</w:t>
      </w:r>
    </w:p>
    <w:p w14:paraId="6F81F2F0" w14:textId="77777777" w:rsidR="00F265F3" w:rsidRDefault="00F265F3" w:rsidP="00F265F3">
      <w:pPr>
        <w:autoSpaceDE w:val="0"/>
        <w:autoSpaceDN w:val="0"/>
        <w:adjustRightInd w:val="0"/>
        <w:jc w:val="both"/>
        <w:rPr>
          <w:rFonts w:ascii="Arial" w:hAnsi="Arial" w:cs="Arial"/>
        </w:rPr>
      </w:pPr>
    </w:p>
    <w:p w14:paraId="33D80D7D" w14:textId="77777777" w:rsidR="004803BA" w:rsidRDefault="004803BA" w:rsidP="00F265F3">
      <w:pPr>
        <w:autoSpaceDE w:val="0"/>
        <w:autoSpaceDN w:val="0"/>
        <w:adjustRightInd w:val="0"/>
        <w:jc w:val="both"/>
        <w:rPr>
          <w:rFonts w:ascii="Arial" w:hAnsi="Arial" w:cs="Arial"/>
          <w:b/>
          <w:bCs/>
        </w:rPr>
      </w:pPr>
    </w:p>
    <w:p w14:paraId="15F104D6" w14:textId="77777777" w:rsidR="004803BA" w:rsidRDefault="004803BA" w:rsidP="00F265F3">
      <w:pPr>
        <w:autoSpaceDE w:val="0"/>
        <w:autoSpaceDN w:val="0"/>
        <w:adjustRightInd w:val="0"/>
        <w:jc w:val="both"/>
        <w:rPr>
          <w:rFonts w:ascii="Arial" w:hAnsi="Arial" w:cs="Arial"/>
          <w:b/>
          <w:bCs/>
        </w:rPr>
      </w:pPr>
    </w:p>
    <w:p w14:paraId="642853A2" w14:textId="77777777" w:rsidR="004803BA" w:rsidRDefault="004803BA" w:rsidP="00F265F3">
      <w:pPr>
        <w:autoSpaceDE w:val="0"/>
        <w:autoSpaceDN w:val="0"/>
        <w:adjustRightInd w:val="0"/>
        <w:jc w:val="both"/>
        <w:rPr>
          <w:rFonts w:ascii="Arial" w:hAnsi="Arial" w:cs="Arial"/>
          <w:b/>
          <w:bCs/>
        </w:rPr>
      </w:pPr>
    </w:p>
    <w:p w14:paraId="03D408C0" w14:textId="77777777" w:rsidR="004803BA" w:rsidRDefault="004803BA" w:rsidP="00F265F3">
      <w:pPr>
        <w:autoSpaceDE w:val="0"/>
        <w:autoSpaceDN w:val="0"/>
        <w:adjustRightInd w:val="0"/>
        <w:jc w:val="both"/>
        <w:rPr>
          <w:rFonts w:ascii="Arial" w:hAnsi="Arial" w:cs="Arial"/>
          <w:b/>
          <w:bCs/>
        </w:rPr>
      </w:pPr>
    </w:p>
    <w:p w14:paraId="5FC043C8" w14:textId="77777777" w:rsidR="004803BA" w:rsidRDefault="004803BA" w:rsidP="00F265F3">
      <w:pPr>
        <w:autoSpaceDE w:val="0"/>
        <w:autoSpaceDN w:val="0"/>
        <w:adjustRightInd w:val="0"/>
        <w:jc w:val="both"/>
        <w:rPr>
          <w:rFonts w:ascii="Arial" w:hAnsi="Arial" w:cs="Arial"/>
          <w:b/>
          <w:bCs/>
        </w:rPr>
      </w:pPr>
    </w:p>
    <w:p w14:paraId="257DC4A9" w14:textId="77777777" w:rsidR="004803BA" w:rsidRDefault="004803BA" w:rsidP="00F265F3">
      <w:pPr>
        <w:autoSpaceDE w:val="0"/>
        <w:autoSpaceDN w:val="0"/>
        <w:adjustRightInd w:val="0"/>
        <w:jc w:val="both"/>
        <w:rPr>
          <w:rFonts w:ascii="Arial" w:hAnsi="Arial" w:cs="Arial"/>
          <w:b/>
          <w:bCs/>
        </w:rPr>
      </w:pPr>
    </w:p>
    <w:p w14:paraId="12209794" w14:textId="77777777" w:rsidR="004803BA" w:rsidRDefault="004803BA" w:rsidP="00F265F3">
      <w:pPr>
        <w:autoSpaceDE w:val="0"/>
        <w:autoSpaceDN w:val="0"/>
        <w:adjustRightInd w:val="0"/>
        <w:jc w:val="both"/>
        <w:rPr>
          <w:rFonts w:ascii="Arial" w:hAnsi="Arial" w:cs="Arial"/>
          <w:b/>
          <w:bCs/>
        </w:rPr>
      </w:pPr>
    </w:p>
    <w:p w14:paraId="5DF2ADA8" w14:textId="77777777" w:rsidR="004803BA" w:rsidRDefault="004803BA" w:rsidP="00F265F3">
      <w:pPr>
        <w:autoSpaceDE w:val="0"/>
        <w:autoSpaceDN w:val="0"/>
        <w:adjustRightInd w:val="0"/>
        <w:jc w:val="both"/>
        <w:rPr>
          <w:rFonts w:ascii="Arial" w:hAnsi="Arial" w:cs="Arial"/>
          <w:b/>
          <w:bCs/>
        </w:rPr>
      </w:pPr>
    </w:p>
    <w:p w14:paraId="5CA04BD5" w14:textId="77777777" w:rsidR="004803BA" w:rsidRDefault="004803BA" w:rsidP="00F265F3">
      <w:pPr>
        <w:autoSpaceDE w:val="0"/>
        <w:autoSpaceDN w:val="0"/>
        <w:adjustRightInd w:val="0"/>
        <w:jc w:val="both"/>
        <w:rPr>
          <w:rFonts w:ascii="Arial" w:hAnsi="Arial" w:cs="Arial"/>
          <w:b/>
          <w:bCs/>
        </w:rPr>
      </w:pPr>
    </w:p>
    <w:p w14:paraId="3D19A9D2" w14:textId="629E8192" w:rsidR="00BA1125" w:rsidRPr="00F265F3" w:rsidRDefault="00BA1125" w:rsidP="00F265F3">
      <w:pPr>
        <w:autoSpaceDE w:val="0"/>
        <w:autoSpaceDN w:val="0"/>
        <w:adjustRightInd w:val="0"/>
        <w:jc w:val="both"/>
        <w:rPr>
          <w:rFonts w:ascii="Arial" w:hAnsi="Arial" w:cs="Arial"/>
        </w:rPr>
      </w:pPr>
      <w:r w:rsidRPr="00BA1125">
        <w:rPr>
          <w:rFonts w:ascii="Arial" w:hAnsi="Arial" w:cs="Arial"/>
          <w:b/>
          <w:bCs/>
        </w:rPr>
        <w:t>Table 5</w:t>
      </w:r>
      <w:r w:rsidRPr="00BA1125">
        <w:rPr>
          <w:rFonts w:ascii="Arial" w:hAnsi="Arial" w:cs="Arial"/>
        </w:rPr>
        <w:t xml:space="preserve"> </w:t>
      </w:r>
      <w:r w:rsidRPr="00BA1125">
        <w:rPr>
          <w:rFonts w:ascii="Arial" w:hAnsi="Arial" w:cs="Arial"/>
          <w:b/>
          <w:bCs/>
        </w:rPr>
        <w:t>Clinical Factors associated with Abortion-related Mortality</w:t>
      </w:r>
    </w:p>
    <w:tbl>
      <w:tblPr>
        <w:tblW w:w="1007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67"/>
        <w:gridCol w:w="1358"/>
        <w:gridCol w:w="1557"/>
        <w:gridCol w:w="1143"/>
        <w:gridCol w:w="1530"/>
        <w:gridCol w:w="2520"/>
      </w:tblGrid>
      <w:tr w:rsidR="00BA1125" w:rsidRPr="00BA1125" w14:paraId="246C1409" w14:textId="77777777" w:rsidTr="00D80CB9">
        <w:trPr>
          <w:tblHeader/>
          <w:tblCellSpacing w:w="15" w:type="dxa"/>
        </w:trPr>
        <w:tc>
          <w:tcPr>
            <w:tcW w:w="1922" w:type="dxa"/>
            <w:tcBorders>
              <w:top w:val="single" w:sz="4" w:space="0" w:color="auto"/>
              <w:bottom w:val="single" w:sz="4" w:space="0" w:color="auto"/>
            </w:tcBorders>
            <w:vAlign w:val="center"/>
            <w:hideMark/>
          </w:tcPr>
          <w:p w14:paraId="1C94BAF4" w14:textId="77777777" w:rsidR="00BA1125" w:rsidRPr="00BA1125" w:rsidRDefault="00BA1125" w:rsidP="00D80CB9">
            <w:pPr>
              <w:rPr>
                <w:rFonts w:ascii="Arial" w:hAnsi="Arial" w:cs="Arial"/>
                <w:b/>
                <w:bCs/>
              </w:rPr>
            </w:pPr>
            <w:r w:rsidRPr="00BA1125">
              <w:rPr>
                <w:rFonts w:ascii="Arial" w:hAnsi="Arial" w:cs="Arial"/>
                <w:b/>
                <w:bCs/>
              </w:rPr>
              <w:lastRenderedPageBreak/>
              <w:t>Variable</w:t>
            </w:r>
          </w:p>
          <w:p w14:paraId="10D4D811" w14:textId="77777777" w:rsidR="00BA1125" w:rsidRPr="00BA1125" w:rsidRDefault="00BA1125" w:rsidP="00D80CB9">
            <w:pPr>
              <w:jc w:val="center"/>
              <w:rPr>
                <w:rFonts w:ascii="Arial" w:hAnsi="Arial" w:cs="Arial"/>
                <w:b/>
                <w:bCs/>
              </w:rPr>
            </w:pPr>
          </w:p>
        </w:tc>
        <w:tc>
          <w:tcPr>
            <w:tcW w:w="1328" w:type="dxa"/>
            <w:tcBorders>
              <w:top w:val="single" w:sz="4" w:space="0" w:color="auto"/>
              <w:bottom w:val="single" w:sz="4" w:space="0" w:color="auto"/>
            </w:tcBorders>
            <w:vAlign w:val="center"/>
            <w:hideMark/>
          </w:tcPr>
          <w:p w14:paraId="5071CB35" w14:textId="77777777" w:rsidR="00BA1125" w:rsidRPr="00BA1125" w:rsidRDefault="00BA1125" w:rsidP="00D80CB9">
            <w:pPr>
              <w:jc w:val="center"/>
              <w:rPr>
                <w:rFonts w:ascii="Arial" w:hAnsi="Arial" w:cs="Arial"/>
                <w:b/>
                <w:bCs/>
              </w:rPr>
            </w:pPr>
            <w:r w:rsidRPr="00BA1125">
              <w:rPr>
                <w:rFonts w:ascii="Arial" w:hAnsi="Arial" w:cs="Arial"/>
                <w:b/>
                <w:bCs/>
              </w:rPr>
              <w:t>Chi-Square Value (χ²)</w:t>
            </w:r>
          </w:p>
        </w:tc>
        <w:tc>
          <w:tcPr>
            <w:tcW w:w="1527" w:type="dxa"/>
            <w:tcBorders>
              <w:top w:val="single" w:sz="4" w:space="0" w:color="auto"/>
              <w:bottom w:val="single" w:sz="4" w:space="0" w:color="auto"/>
            </w:tcBorders>
            <w:vAlign w:val="center"/>
            <w:hideMark/>
          </w:tcPr>
          <w:p w14:paraId="388D9196" w14:textId="77777777" w:rsidR="00BA1125" w:rsidRPr="00BA1125" w:rsidRDefault="00BA1125" w:rsidP="00D80CB9">
            <w:pPr>
              <w:jc w:val="center"/>
              <w:rPr>
                <w:rFonts w:ascii="Arial" w:hAnsi="Arial" w:cs="Arial"/>
                <w:b/>
                <w:bCs/>
              </w:rPr>
            </w:pPr>
            <w:r w:rsidRPr="00BA1125">
              <w:rPr>
                <w:rFonts w:ascii="Arial" w:hAnsi="Arial" w:cs="Arial"/>
                <w:b/>
                <w:bCs/>
              </w:rPr>
              <w:t xml:space="preserve">Degrees of Freedom </w:t>
            </w:r>
            <w:r w:rsidRPr="00BA1125">
              <w:rPr>
                <w:rFonts w:ascii="Arial" w:hAnsi="Arial" w:cs="Arial"/>
                <w:b/>
                <w:bCs/>
                <w:i/>
                <w:iCs/>
              </w:rPr>
              <w:t>(</w:t>
            </w:r>
            <w:proofErr w:type="spellStart"/>
            <w:r w:rsidRPr="00BA1125">
              <w:rPr>
                <w:rFonts w:ascii="Arial" w:hAnsi="Arial" w:cs="Arial"/>
                <w:b/>
                <w:bCs/>
                <w:i/>
                <w:iCs/>
              </w:rPr>
              <w:t>df</w:t>
            </w:r>
            <w:proofErr w:type="spellEnd"/>
            <w:r w:rsidRPr="00BA1125">
              <w:rPr>
                <w:rFonts w:ascii="Arial" w:hAnsi="Arial" w:cs="Arial"/>
                <w:b/>
                <w:bCs/>
                <w:i/>
                <w:iCs/>
              </w:rPr>
              <w:t>)</w:t>
            </w:r>
          </w:p>
        </w:tc>
        <w:tc>
          <w:tcPr>
            <w:tcW w:w="1113" w:type="dxa"/>
            <w:tcBorders>
              <w:top w:val="single" w:sz="4" w:space="0" w:color="auto"/>
              <w:bottom w:val="single" w:sz="4" w:space="0" w:color="auto"/>
            </w:tcBorders>
            <w:vAlign w:val="center"/>
            <w:hideMark/>
          </w:tcPr>
          <w:p w14:paraId="2A16FF76" w14:textId="77777777" w:rsidR="00BA1125" w:rsidRPr="00BA1125" w:rsidRDefault="00BA1125" w:rsidP="00D80CB9">
            <w:pPr>
              <w:jc w:val="center"/>
              <w:rPr>
                <w:rFonts w:ascii="Arial" w:hAnsi="Arial" w:cs="Arial"/>
                <w:b/>
                <w:bCs/>
              </w:rPr>
            </w:pPr>
            <w:r w:rsidRPr="00BA1125">
              <w:rPr>
                <w:rFonts w:ascii="Arial" w:hAnsi="Arial" w:cs="Arial"/>
                <w:b/>
                <w:bCs/>
              </w:rPr>
              <w:t>P-value</w:t>
            </w:r>
          </w:p>
          <w:p w14:paraId="4F530EC9" w14:textId="77777777" w:rsidR="00BA1125" w:rsidRPr="00BA1125" w:rsidRDefault="00BA1125" w:rsidP="00D80CB9">
            <w:pPr>
              <w:jc w:val="center"/>
              <w:rPr>
                <w:rFonts w:ascii="Arial" w:hAnsi="Arial" w:cs="Arial"/>
                <w:b/>
                <w:bCs/>
              </w:rPr>
            </w:pPr>
          </w:p>
        </w:tc>
        <w:tc>
          <w:tcPr>
            <w:tcW w:w="1500" w:type="dxa"/>
            <w:tcBorders>
              <w:top w:val="single" w:sz="4" w:space="0" w:color="auto"/>
              <w:bottom w:val="single" w:sz="4" w:space="0" w:color="auto"/>
            </w:tcBorders>
            <w:vAlign w:val="center"/>
            <w:hideMark/>
          </w:tcPr>
          <w:p w14:paraId="406B0259" w14:textId="77777777" w:rsidR="00BA1125" w:rsidRPr="00BA1125" w:rsidRDefault="00BA1125" w:rsidP="00D80CB9">
            <w:pPr>
              <w:rPr>
                <w:rFonts w:ascii="Arial" w:hAnsi="Arial" w:cs="Arial"/>
                <w:b/>
                <w:bCs/>
              </w:rPr>
            </w:pPr>
            <w:r w:rsidRPr="00BA1125">
              <w:rPr>
                <w:rFonts w:ascii="Arial" w:hAnsi="Arial" w:cs="Arial"/>
                <w:b/>
                <w:bCs/>
              </w:rPr>
              <w:t>Significance</w:t>
            </w:r>
          </w:p>
          <w:p w14:paraId="6445D530" w14:textId="77777777" w:rsidR="00BA1125" w:rsidRPr="00BA1125" w:rsidRDefault="00BA1125" w:rsidP="00D80CB9">
            <w:pPr>
              <w:rPr>
                <w:rFonts w:ascii="Arial" w:hAnsi="Arial" w:cs="Arial"/>
                <w:b/>
                <w:bCs/>
              </w:rPr>
            </w:pPr>
          </w:p>
        </w:tc>
        <w:tc>
          <w:tcPr>
            <w:tcW w:w="2475" w:type="dxa"/>
            <w:tcBorders>
              <w:top w:val="single" w:sz="4" w:space="0" w:color="auto"/>
              <w:bottom w:val="single" w:sz="4" w:space="0" w:color="auto"/>
            </w:tcBorders>
            <w:vAlign w:val="center"/>
            <w:hideMark/>
          </w:tcPr>
          <w:p w14:paraId="66108FDE" w14:textId="77777777" w:rsidR="00BA1125" w:rsidRPr="00BA1125" w:rsidRDefault="00BA1125" w:rsidP="00D80CB9">
            <w:pPr>
              <w:rPr>
                <w:rFonts w:ascii="Arial" w:hAnsi="Arial" w:cs="Arial"/>
                <w:b/>
                <w:bCs/>
              </w:rPr>
            </w:pPr>
            <w:r w:rsidRPr="00BA1125">
              <w:rPr>
                <w:rFonts w:ascii="Arial" w:hAnsi="Arial" w:cs="Arial"/>
                <w:b/>
                <w:bCs/>
              </w:rPr>
              <w:t>Category Associated with Higher Deaths</w:t>
            </w:r>
          </w:p>
        </w:tc>
      </w:tr>
      <w:tr w:rsidR="00BA1125" w:rsidRPr="00BA1125" w14:paraId="788EC129" w14:textId="77777777" w:rsidTr="00D80CB9">
        <w:trPr>
          <w:tblCellSpacing w:w="15" w:type="dxa"/>
        </w:trPr>
        <w:tc>
          <w:tcPr>
            <w:tcW w:w="1922" w:type="dxa"/>
            <w:vAlign w:val="center"/>
            <w:hideMark/>
          </w:tcPr>
          <w:p w14:paraId="614975AF" w14:textId="77777777" w:rsidR="00BA1125" w:rsidRPr="00BA1125" w:rsidRDefault="00BA1125" w:rsidP="00D80CB9">
            <w:pPr>
              <w:rPr>
                <w:rFonts w:ascii="Arial" w:hAnsi="Arial" w:cs="Arial"/>
              </w:rPr>
            </w:pPr>
          </w:p>
          <w:p w14:paraId="5A34A14D" w14:textId="77777777" w:rsidR="00BA1125" w:rsidRPr="00BA1125" w:rsidRDefault="00BA1125" w:rsidP="00D80CB9">
            <w:pPr>
              <w:rPr>
                <w:rFonts w:ascii="Arial" w:hAnsi="Arial" w:cs="Arial"/>
              </w:rPr>
            </w:pPr>
            <w:r w:rsidRPr="00BA1125">
              <w:rPr>
                <w:rFonts w:ascii="Arial" w:hAnsi="Arial" w:cs="Arial"/>
              </w:rPr>
              <w:t>Gestational Age at Abortion</w:t>
            </w:r>
          </w:p>
        </w:tc>
        <w:tc>
          <w:tcPr>
            <w:tcW w:w="1328" w:type="dxa"/>
            <w:vAlign w:val="center"/>
            <w:hideMark/>
          </w:tcPr>
          <w:p w14:paraId="301CE1F0" w14:textId="77777777" w:rsidR="00BA1125" w:rsidRPr="00BA1125" w:rsidRDefault="00BA1125" w:rsidP="00D80CB9">
            <w:pPr>
              <w:jc w:val="center"/>
              <w:rPr>
                <w:rFonts w:ascii="Arial" w:hAnsi="Arial" w:cs="Arial"/>
              </w:rPr>
            </w:pPr>
            <w:r w:rsidRPr="00BA1125">
              <w:rPr>
                <w:rFonts w:ascii="Arial" w:hAnsi="Arial" w:cs="Arial"/>
              </w:rPr>
              <w:t>10.89</w:t>
            </w:r>
          </w:p>
        </w:tc>
        <w:tc>
          <w:tcPr>
            <w:tcW w:w="1527" w:type="dxa"/>
            <w:vAlign w:val="center"/>
            <w:hideMark/>
          </w:tcPr>
          <w:p w14:paraId="5F147B4B" w14:textId="77777777" w:rsidR="00BA1125" w:rsidRPr="00BA1125" w:rsidRDefault="00BA1125" w:rsidP="00D80CB9">
            <w:pPr>
              <w:jc w:val="center"/>
              <w:rPr>
                <w:rFonts w:ascii="Arial" w:hAnsi="Arial" w:cs="Arial"/>
              </w:rPr>
            </w:pPr>
            <w:r w:rsidRPr="00BA1125">
              <w:rPr>
                <w:rFonts w:ascii="Arial" w:hAnsi="Arial" w:cs="Arial"/>
              </w:rPr>
              <w:t>1</w:t>
            </w:r>
          </w:p>
        </w:tc>
        <w:tc>
          <w:tcPr>
            <w:tcW w:w="1113" w:type="dxa"/>
            <w:vAlign w:val="center"/>
            <w:hideMark/>
          </w:tcPr>
          <w:p w14:paraId="2FCAD48C" w14:textId="77777777" w:rsidR="00BA1125" w:rsidRPr="00BA1125" w:rsidRDefault="00BA1125" w:rsidP="00D80CB9">
            <w:pPr>
              <w:jc w:val="center"/>
              <w:rPr>
                <w:rFonts w:ascii="Arial" w:hAnsi="Arial" w:cs="Arial"/>
              </w:rPr>
            </w:pPr>
            <w:r w:rsidRPr="00BA1125">
              <w:rPr>
                <w:rFonts w:ascii="Arial" w:hAnsi="Arial" w:cs="Arial"/>
              </w:rPr>
              <w:t>0.001</w:t>
            </w:r>
          </w:p>
        </w:tc>
        <w:tc>
          <w:tcPr>
            <w:tcW w:w="1500" w:type="dxa"/>
            <w:vAlign w:val="center"/>
            <w:hideMark/>
          </w:tcPr>
          <w:p w14:paraId="1348D2B5" w14:textId="77777777" w:rsidR="00BA1125" w:rsidRPr="00BA1125" w:rsidRDefault="00BA1125" w:rsidP="00D80CB9">
            <w:pPr>
              <w:rPr>
                <w:rFonts w:ascii="Arial" w:hAnsi="Arial" w:cs="Arial"/>
              </w:rPr>
            </w:pPr>
            <w:r w:rsidRPr="00BA1125">
              <w:rPr>
                <w:rFonts w:ascii="Arial" w:hAnsi="Arial" w:cs="Arial"/>
              </w:rPr>
              <w:t>Significant</w:t>
            </w:r>
          </w:p>
        </w:tc>
        <w:tc>
          <w:tcPr>
            <w:tcW w:w="2475" w:type="dxa"/>
            <w:vAlign w:val="center"/>
            <w:hideMark/>
          </w:tcPr>
          <w:p w14:paraId="6BC8270B" w14:textId="77777777" w:rsidR="00BA1125" w:rsidRPr="00BA1125" w:rsidRDefault="00BA1125" w:rsidP="00D80CB9">
            <w:pPr>
              <w:rPr>
                <w:rFonts w:ascii="Arial" w:hAnsi="Arial" w:cs="Arial"/>
              </w:rPr>
            </w:pPr>
            <w:r w:rsidRPr="00BA1125">
              <w:rPr>
                <w:rFonts w:ascii="Arial" w:hAnsi="Arial" w:cs="Arial"/>
              </w:rPr>
              <w:t>First Trimester</w:t>
            </w:r>
          </w:p>
        </w:tc>
      </w:tr>
      <w:tr w:rsidR="00BA1125" w:rsidRPr="00BA1125" w14:paraId="6D239C9F" w14:textId="77777777" w:rsidTr="00D80CB9">
        <w:trPr>
          <w:tblCellSpacing w:w="15" w:type="dxa"/>
        </w:trPr>
        <w:tc>
          <w:tcPr>
            <w:tcW w:w="1922" w:type="dxa"/>
            <w:vAlign w:val="center"/>
            <w:hideMark/>
          </w:tcPr>
          <w:p w14:paraId="17953EF4" w14:textId="77777777" w:rsidR="00BA1125" w:rsidRPr="00BA1125" w:rsidRDefault="00BA1125" w:rsidP="00D80CB9">
            <w:pPr>
              <w:rPr>
                <w:rFonts w:ascii="Arial" w:hAnsi="Arial" w:cs="Arial"/>
              </w:rPr>
            </w:pPr>
          </w:p>
          <w:p w14:paraId="539CD042" w14:textId="77777777" w:rsidR="00BA1125" w:rsidRPr="00BA1125" w:rsidRDefault="00BA1125" w:rsidP="00D80CB9">
            <w:pPr>
              <w:rPr>
                <w:rFonts w:ascii="Arial" w:hAnsi="Arial" w:cs="Arial"/>
              </w:rPr>
            </w:pPr>
            <w:r w:rsidRPr="00BA1125">
              <w:rPr>
                <w:rFonts w:ascii="Arial" w:hAnsi="Arial" w:cs="Arial"/>
              </w:rPr>
              <w:t>Method of Abortion</w:t>
            </w:r>
          </w:p>
        </w:tc>
        <w:tc>
          <w:tcPr>
            <w:tcW w:w="1328" w:type="dxa"/>
            <w:vAlign w:val="center"/>
            <w:hideMark/>
          </w:tcPr>
          <w:p w14:paraId="41EE67F7" w14:textId="77777777" w:rsidR="00BA1125" w:rsidRPr="00BA1125" w:rsidRDefault="00BA1125" w:rsidP="00D80CB9">
            <w:pPr>
              <w:jc w:val="center"/>
              <w:rPr>
                <w:rFonts w:ascii="Arial" w:hAnsi="Arial" w:cs="Arial"/>
              </w:rPr>
            </w:pPr>
            <w:r w:rsidRPr="00BA1125">
              <w:rPr>
                <w:rFonts w:ascii="Arial" w:hAnsi="Arial" w:cs="Arial"/>
              </w:rPr>
              <w:t>22.34</w:t>
            </w:r>
          </w:p>
        </w:tc>
        <w:tc>
          <w:tcPr>
            <w:tcW w:w="1527" w:type="dxa"/>
            <w:vAlign w:val="center"/>
            <w:hideMark/>
          </w:tcPr>
          <w:p w14:paraId="72174F76" w14:textId="77777777" w:rsidR="00BA1125" w:rsidRPr="00BA1125" w:rsidRDefault="00BA1125" w:rsidP="00D80CB9">
            <w:pPr>
              <w:jc w:val="center"/>
              <w:rPr>
                <w:rFonts w:ascii="Arial" w:hAnsi="Arial" w:cs="Arial"/>
              </w:rPr>
            </w:pPr>
            <w:r w:rsidRPr="00BA1125">
              <w:rPr>
                <w:rFonts w:ascii="Arial" w:hAnsi="Arial" w:cs="Arial"/>
              </w:rPr>
              <w:t>3</w:t>
            </w:r>
          </w:p>
        </w:tc>
        <w:tc>
          <w:tcPr>
            <w:tcW w:w="1113" w:type="dxa"/>
            <w:vAlign w:val="center"/>
            <w:hideMark/>
          </w:tcPr>
          <w:p w14:paraId="03504ED1" w14:textId="77777777" w:rsidR="00BA1125" w:rsidRPr="00BA1125" w:rsidRDefault="00BA1125" w:rsidP="00D80CB9">
            <w:pPr>
              <w:jc w:val="center"/>
              <w:rPr>
                <w:rFonts w:ascii="Arial" w:hAnsi="Arial" w:cs="Arial"/>
              </w:rPr>
            </w:pPr>
            <w:r w:rsidRPr="00BA1125">
              <w:rPr>
                <w:rFonts w:ascii="Arial" w:hAnsi="Arial" w:cs="Arial"/>
              </w:rPr>
              <w:t>0.001</w:t>
            </w:r>
          </w:p>
        </w:tc>
        <w:tc>
          <w:tcPr>
            <w:tcW w:w="1500" w:type="dxa"/>
            <w:vAlign w:val="center"/>
            <w:hideMark/>
          </w:tcPr>
          <w:p w14:paraId="3AEC5F99" w14:textId="77777777" w:rsidR="00BA1125" w:rsidRPr="00BA1125" w:rsidRDefault="00BA1125" w:rsidP="00D80CB9">
            <w:pPr>
              <w:rPr>
                <w:rFonts w:ascii="Arial" w:hAnsi="Arial" w:cs="Arial"/>
              </w:rPr>
            </w:pPr>
            <w:r w:rsidRPr="00BA1125">
              <w:rPr>
                <w:rFonts w:ascii="Arial" w:hAnsi="Arial" w:cs="Arial"/>
              </w:rPr>
              <w:t>Significant</w:t>
            </w:r>
          </w:p>
        </w:tc>
        <w:tc>
          <w:tcPr>
            <w:tcW w:w="2475" w:type="dxa"/>
            <w:vAlign w:val="center"/>
            <w:hideMark/>
          </w:tcPr>
          <w:p w14:paraId="191C48DA" w14:textId="77777777" w:rsidR="00BA1125" w:rsidRPr="00BA1125" w:rsidRDefault="00BA1125" w:rsidP="00D80CB9">
            <w:pPr>
              <w:rPr>
                <w:rFonts w:ascii="Arial" w:hAnsi="Arial" w:cs="Arial"/>
              </w:rPr>
            </w:pPr>
            <w:r w:rsidRPr="00BA1125">
              <w:rPr>
                <w:rFonts w:ascii="Arial" w:hAnsi="Arial" w:cs="Arial"/>
              </w:rPr>
              <w:t>Surgical</w:t>
            </w:r>
          </w:p>
        </w:tc>
      </w:tr>
      <w:tr w:rsidR="00BA1125" w:rsidRPr="00BA1125" w14:paraId="0E375985" w14:textId="77777777" w:rsidTr="00D80CB9">
        <w:trPr>
          <w:tblCellSpacing w:w="15" w:type="dxa"/>
        </w:trPr>
        <w:tc>
          <w:tcPr>
            <w:tcW w:w="1922" w:type="dxa"/>
            <w:vAlign w:val="center"/>
            <w:hideMark/>
          </w:tcPr>
          <w:p w14:paraId="0A3C8044" w14:textId="77777777" w:rsidR="00BA1125" w:rsidRPr="00BA1125" w:rsidRDefault="00BA1125" w:rsidP="00D80CB9">
            <w:pPr>
              <w:rPr>
                <w:rFonts w:ascii="Arial" w:hAnsi="Arial" w:cs="Arial"/>
              </w:rPr>
            </w:pPr>
          </w:p>
          <w:p w14:paraId="4E1177F6" w14:textId="77777777" w:rsidR="00BA1125" w:rsidRPr="00BA1125" w:rsidRDefault="00BA1125" w:rsidP="00D80CB9">
            <w:pPr>
              <w:rPr>
                <w:rFonts w:ascii="Arial" w:hAnsi="Arial" w:cs="Arial"/>
              </w:rPr>
            </w:pPr>
            <w:r w:rsidRPr="00BA1125">
              <w:rPr>
                <w:rFonts w:ascii="Arial" w:hAnsi="Arial" w:cs="Arial"/>
              </w:rPr>
              <w:t>Length of Hospital Stay</w:t>
            </w:r>
          </w:p>
        </w:tc>
        <w:tc>
          <w:tcPr>
            <w:tcW w:w="1328" w:type="dxa"/>
            <w:vAlign w:val="center"/>
            <w:hideMark/>
          </w:tcPr>
          <w:p w14:paraId="0F33E83E" w14:textId="77777777" w:rsidR="00BA1125" w:rsidRPr="00BA1125" w:rsidRDefault="00BA1125" w:rsidP="00D80CB9">
            <w:pPr>
              <w:jc w:val="center"/>
              <w:rPr>
                <w:rFonts w:ascii="Arial" w:hAnsi="Arial" w:cs="Arial"/>
              </w:rPr>
            </w:pPr>
            <w:r w:rsidRPr="00BA1125">
              <w:rPr>
                <w:rFonts w:ascii="Arial" w:hAnsi="Arial" w:cs="Arial"/>
              </w:rPr>
              <w:t>18.76</w:t>
            </w:r>
          </w:p>
        </w:tc>
        <w:tc>
          <w:tcPr>
            <w:tcW w:w="1527" w:type="dxa"/>
            <w:vAlign w:val="center"/>
            <w:hideMark/>
          </w:tcPr>
          <w:p w14:paraId="55615E20" w14:textId="77777777" w:rsidR="00BA1125" w:rsidRPr="00BA1125" w:rsidRDefault="00BA1125" w:rsidP="00D80CB9">
            <w:pPr>
              <w:jc w:val="center"/>
              <w:rPr>
                <w:rFonts w:ascii="Arial" w:hAnsi="Arial" w:cs="Arial"/>
              </w:rPr>
            </w:pPr>
            <w:r w:rsidRPr="00BA1125">
              <w:rPr>
                <w:rFonts w:ascii="Arial" w:hAnsi="Arial" w:cs="Arial"/>
              </w:rPr>
              <w:t>5</w:t>
            </w:r>
          </w:p>
        </w:tc>
        <w:tc>
          <w:tcPr>
            <w:tcW w:w="1113" w:type="dxa"/>
            <w:vAlign w:val="center"/>
            <w:hideMark/>
          </w:tcPr>
          <w:p w14:paraId="1364D608" w14:textId="77777777" w:rsidR="00BA1125" w:rsidRPr="00BA1125" w:rsidRDefault="00BA1125" w:rsidP="00D80CB9">
            <w:pPr>
              <w:jc w:val="center"/>
              <w:rPr>
                <w:rFonts w:ascii="Arial" w:hAnsi="Arial" w:cs="Arial"/>
              </w:rPr>
            </w:pPr>
            <w:r w:rsidRPr="00BA1125">
              <w:rPr>
                <w:rFonts w:ascii="Arial" w:hAnsi="Arial" w:cs="Arial"/>
              </w:rPr>
              <w:t>0.002</w:t>
            </w:r>
          </w:p>
        </w:tc>
        <w:tc>
          <w:tcPr>
            <w:tcW w:w="1500" w:type="dxa"/>
            <w:vAlign w:val="center"/>
            <w:hideMark/>
          </w:tcPr>
          <w:p w14:paraId="1E73B3AB" w14:textId="77777777" w:rsidR="00BA1125" w:rsidRPr="00BA1125" w:rsidRDefault="00BA1125" w:rsidP="00D80CB9">
            <w:pPr>
              <w:rPr>
                <w:rFonts w:ascii="Arial" w:hAnsi="Arial" w:cs="Arial"/>
              </w:rPr>
            </w:pPr>
            <w:r w:rsidRPr="00BA1125">
              <w:rPr>
                <w:rFonts w:ascii="Arial" w:hAnsi="Arial" w:cs="Arial"/>
              </w:rPr>
              <w:t>Significant</w:t>
            </w:r>
          </w:p>
        </w:tc>
        <w:tc>
          <w:tcPr>
            <w:tcW w:w="2475" w:type="dxa"/>
            <w:vAlign w:val="center"/>
            <w:hideMark/>
          </w:tcPr>
          <w:p w14:paraId="57C07AE4" w14:textId="77777777" w:rsidR="00BA1125" w:rsidRPr="00BA1125" w:rsidRDefault="00BA1125" w:rsidP="00D80CB9">
            <w:pPr>
              <w:rPr>
                <w:rFonts w:ascii="Arial" w:hAnsi="Arial" w:cs="Arial"/>
              </w:rPr>
            </w:pPr>
            <w:r w:rsidRPr="00BA1125">
              <w:rPr>
                <w:rFonts w:ascii="Arial" w:hAnsi="Arial" w:cs="Arial"/>
              </w:rPr>
              <w:t>Less than 24 hours</w:t>
            </w:r>
          </w:p>
        </w:tc>
      </w:tr>
      <w:tr w:rsidR="00BA1125" w:rsidRPr="00BA1125" w14:paraId="4C9BED31" w14:textId="77777777" w:rsidTr="00D80CB9">
        <w:trPr>
          <w:tblCellSpacing w:w="15" w:type="dxa"/>
        </w:trPr>
        <w:tc>
          <w:tcPr>
            <w:tcW w:w="1922" w:type="dxa"/>
            <w:tcBorders>
              <w:bottom w:val="single" w:sz="4" w:space="0" w:color="auto"/>
            </w:tcBorders>
            <w:vAlign w:val="center"/>
            <w:hideMark/>
          </w:tcPr>
          <w:p w14:paraId="7C71EAE0" w14:textId="77777777" w:rsidR="00BA1125" w:rsidRPr="00BA1125" w:rsidRDefault="00BA1125" w:rsidP="00D80CB9">
            <w:pPr>
              <w:rPr>
                <w:rFonts w:ascii="Arial" w:hAnsi="Arial" w:cs="Arial"/>
              </w:rPr>
            </w:pPr>
          </w:p>
          <w:p w14:paraId="394C8FFB" w14:textId="77777777" w:rsidR="00BA1125" w:rsidRPr="00BA1125" w:rsidRDefault="00BA1125" w:rsidP="00D80CB9">
            <w:pPr>
              <w:rPr>
                <w:rFonts w:ascii="Arial" w:hAnsi="Arial" w:cs="Arial"/>
              </w:rPr>
            </w:pPr>
            <w:r w:rsidRPr="00BA1125">
              <w:rPr>
                <w:rFonts w:ascii="Arial" w:hAnsi="Arial" w:cs="Arial"/>
              </w:rPr>
              <w:t>Complications</w:t>
            </w:r>
          </w:p>
        </w:tc>
        <w:tc>
          <w:tcPr>
            <w:tcW w:w="1328" w:type="dxa"/>
            <w:tcBorders>
              <w:bottom w:val="single" w:sz="4" w:space="0" w:color="auto"/>
            </w:tcBorders>
            <w:vAlign w:val="center"/>
            <w:hideMark/>
          </w:tcPr>
          <w:p w14:paraId="493C6CB8" w14:textId="77777777" w:rsidR="00BA1125" w:rsidRPr="00BA1125" w:rsidRDefault="00BA1125" w:rsidP="00D80CB9">
            <w:pPr>
              <w:jc w:val="center"/>
              <w:rPr>
                <w:rFonts w:ascii="Arial" w:hAnsi="Arial" w:cs="Arial"/>
              </w:rPr>
            </w:pPr>
            <w:r w:rsidRPr="00BA1125">
              <w:rPr>
                <w:rFonts w:ascii="Arial" w:hAnsi="Arial" w:cs="Arial"/>
              </w:rPr>
              <w:t>26.54</w:t>
            </w:r>
          </w:p>
        </w:tc>
        <w:tc>
          <w:tcPr>
            <w:tcW w:w="1527" w:type="dxa"/>
            <w:tcBorders>
              <w:bottom w:val="single" w:sz="4" w:space="0" w:color="auto"/>
            </w:tcBorders>
            <w:vAlign w:val="center"/>
            <w:hideMark/>
          </w:tcPr>
          <w:p w14:paraId="2E23B532" w14:textId="77777777" w:rsidR="00BA1125" w:rsidRPr="00BA1125" w:rsidRDefault="00BA1125" w:rsidP="00D80CB9">
            <w:pPr>
              <w:jc w:val="center"/>
              <w:rPr>
                <w:rFonts w:ascii="Arial" w:hAnsi="Arial" w:cs="Arial"/>
              </w:rPr>
            </w:pPr>
            <w:r w:rsidRPr="00BA1125">
              <w:rPr>
                <w:rFonts w:ascii="Arial" w:hAnsi="Arial" w:cs="Arial"/>
              </w:rPr>
              <w:t>5</w:t>
            </w:r>
          </w:p>
        </w:tc>
        <w:tc>
          <w:tcPr>
            <w:tcW w:w="1113" w:type="dxa"/>
            <w:tcBorders>
              <w:bottom w:val="single" w:sz="4" w:space="0" w:color="auto"/>
            </w:tcBorders>
            <w:vAlign w:val="center"/>
            <w:hideMark/>
          </w:tcPr>
          <w:p w14:paraId="2AEB1DA6" w14:textId="77777777" w:rsidR="00BA1125" w:rsidRPr="00BA1125" w:rsidRDefault="00BA1125" w:rsidP="00D80CB9">
            <w:pPr>
              <w:jc w:val="center"/>
              <w:rPr>
                <w:rFonts w:ascii="Arial" w:hAnsi="Arial" w:cs="Arial"/>
              </w:rPr>
            </w:pPr>
            <w:r w:rsidRPr="00BA1125">
              <w:rPr>
                <w:rFonts w:ascii="Arial" w:hAnsi="Arial" w:cs="Arial"/>
              </w:rPr>
              <w:t>0.001</w:t>
            </w:r>
          </w:p>
        </w:tc>
        <w:tc>
          <w:tcPr>
            <w:tcW w:w="1500" w:type="dxa"/>
            <w:tcBorders>
              <w:bottom w:val="single" w:sz="4" w:space="0" w:color="auto"/>
            </w:tcBorders>
            <w:vAlign w:val="center"/>
            <w:hideMark/>
          </w:tcPr>
          <w:p w14:paraId="18DD4505" w14:textId="77777777" w:rsidR="00BA1125" w:rsidRPr="00BA1125" w:rsidRDefault="00BA1125" w:rsidP="00D80CB9">
            <w:pPr>
              <w:rPr>
                <w:rFonts w:ascii="Arial" w:hAnsi="Arial" w:cs="Arial"/>
              </w:rPr>
            </w:pPr>
            <w:r w:rsidRPr="00BA1125">
              <w:rPr>
                <w:rFonts w:ascii="Arial" w:hAnsi="Arial" w:cs="Arial"/>
              </w:rPr>
              <w:t>Significant</w:t>
            </w:r>
          </w:p>
        </w:tc>
        <w:tc>
          <w:tcPr>
            <w:tcW w:w="2475" w:type="dxa"/>
            <w:tcBorders>
              <w:bottom w:val="single" w:sz="4" w:space="0" w:color="auto"/>
            </w:tcBorders>
            <w:vAlign w:val="center"/>
            <w:hideMark/>
          </w:tcPr>
          <w:p w14:paraId="7BAD90E0" w14:textId="77777777" w:rsidR="00BA1125" w:rsidRPr="00BA1125" w:rsidRDefault="00BA1125" w:rsidP="00D80CB9">
            <w:pPr>
              <w:rPr>
                <w:rFonts w:ascii="Arial" w:hAnsi="Arial" w:cs="Arial"/>
              </w:rPr>
            </w:pPr>
            <w:r w:rsidRPr="00BA1125">
              <w:rPr>
                <w:rFonts w:ascii="Arial" w:hAnsi="Arial" w:cs="Arial"/>
              </w:rPr>
              <w:t>Hemorrhage</w:t>
            </w:r>
          </w:p>
        </w:tc>
      </w:tr>
    </w:tbl>
    <w:p w14:paraId="14E7488B" w14:textId="77777777" w:rsidR="00BA1125" w:rsidRPr="00BA1125" w:rsidRDefault="00BA1125" w:rsidP="00BA1125">
      <w:pPr>
        <w:rPr>
          <w:rFonts w:ascii="Arial" w:hAnsi="Arial" w:cs="Arial"/>
        </w:rPr>
      </w:pPr>
    </w:p>
    <w:p w14:paraId="51C3D8EB" w14:textId="77777777" w:rsidR="00BA1125" w:rsidRPr="00BA1125" w:rsidRDefault="00BA1125" w:rsidP="00441B6F">
      <w:pPr>
        <w:jc w:val="both"/>
        <w:rPr>
          <w:rFonts w:ascii="Times New Roman" w:hAnsi="Times New Roman"/>
          <w:u w:val="single"/>
          <w:lang w:val="en-GB" w:eastAsia="en-GB"/>
        </w:rPr>
      </w:pPr>
    </w:p>
    <w:p w14:paraId="0A3E877B" w14:textId="77777777" w:rsidR="00BA1125" w:rsidRDefault="00BA1125" w:rsidP="00441B6F">
      <w:pPr>
        <w:jc w:val="both"/>
        <w:rPr>
          <w:rFonts w:ascii="Arial" w:hAnsi="Arial" w:cs="Arial"/>
          <w:u w:val="single"/>
          <w:lang w:val="en-GB" w:eastAsia="en-GB"/>
        </w:rPr>
      </w:pPr>
    </w:p>
    <w:p w14:paraId="7B3B7016" w14:textId="77777777" w:rsidR="00F265F3" w:rsidRPr="00F265F3" w:rsidRDefault="00F265F3" w:rsidP="00F265F3">
      <w:pPr>
        <w:jc w:val="both"/>
        <w:rPr>
          <w:rFonts w:ascii="Arial" w:hAnsi="Arial" w:cs="Arial"/>
        </w:rPr>
      </w:pPr>
      <w:r w:rsidRPr="00F265F3">
        <w:rPr>
          <w:rFonts w:ascii="Arial" w:hAnsi="Arial" w:cs="Arial"/>
        </w:rPr>
        <w:t>The clinical factors associated with abortion-related mortality were thoroughly analyzed, and the findings revealed several significant associations that provide insights into the medical and procedural factors contributing to higher mortality rates. These factors include gestational age at the time of abortion, the method of abortion, the length of hospital stay, and the presence of complications.</w:t>
      </w:r>
    </w:p>
    <w:p w14:paraId="79FF3CA0" w14:textId="77777777" w:rsidR="00F265F3" w:rsidRDefault="00F265F3" w:rsidP="00F265F3">
      <w:pPr>
        <w:jc w:val="both"/>
        <w:rPr>
          <w:rFonts w:ascii="Arial" w:hAnsi="Arial" w:cs="Arial"/>
          <w:b/>
          <w:bCs/>
        </w:rPr>
      </w:pPr>
    </w:p>
    <w:p w14:paraId="324807A9" w14:textId="0A6FAF7B" w:rsidR="00F265F3" w:rsidRPr="00F265F3" w:rsidRDefault="00F265F3" w:rsidP="00F265F3">
      <w:pPr>
        <w:jc w:val="both"/>
        <w:rPr>
          <w:rFonts w:ascii="Arial" w:hAnsi="Arial" w:cs="Arial"/>
        </w:rPr>
      </w:pPr>
      <w:r w:rsidRPr="00F265F3">
        <w:rPr>
          <w:rFonts w:ascii="Arial" w:hAnsi="Arial" w:cs="Arial"/>
          <w:b/>
          <w:bCs/>
        </w:rPr>
        <w:t>Gestational Age at Abortion</w:t>
      </w:r>
      <w:r w:rsidRPr="00F265F3">
        <w:rPr>
          <w:rFonts w:ascii="Arial" w:hAnsi="Arial" w:cs="Arial"/>
        </w:rPr>
        <w:t xml:space="preserve">: The analysis showed that abortions performed in the first trimester were significantly associated with higher mortality rates (χ² = 10.89, </w:t>
      </w:r>
      <w:proofErr w:type="spellStart"/>
      <w:r w:rsidRPr="00F265F3">
        <w:rPr>
          <w:rFonts w:ascii="Arial" w:hAnsi="Arial" w:cs="Arial"/>
        </w:rPr>
        <w:t>df</w:t>
      </w:r>
      <w:proofErr w:type="spellEnd"/>
      <w:r w:rsidRPr="00F265F3">
        <w:rPr>
          <w:rFonts w:ascii="Arial" w:hAnsi="Arial" w:cs="Arial"/>
        </w:rPr>
        <w:t xml:space="preserve"> = 1, p = 0.001). Although first-trimester abortions are generally considered safer compared to those performed later in pregnancy, the result suggests that even within the first trimester, unsafe procedures or lack of timely medical intervention can increase the risk of mortality. This finding may also point to potential delays in seeking care or difficulties in accessing appropriate healthcare early in the pregnancy. Similar studies have shown that early-stage abortions, when not conducted safely, still pose significant risks, including hemorrhage and infection, which can be fatal if not promptly managed (</w:t>
      </w:r>
      <w:proofErr w:type="spellStart"/>
      <w:r w:rsidRPr="00F265F3">
        <w:rPr>
          <w:rFonts w:ascii="Arial" w:hAnsi="Arial" w:cs="Arial"/>
          <w:color w:val="222222"/>
          <w:shd w:val="clear" w:color="auto" w:fill="FFFFFF"/>
        </w:rPr>
        <w:t>Chireh</w:t>
      </w:r>
      <w:proofErr w:type="spellEnd"/>
      <w:r w:rsidRPr="00F265F3">
        <w:rPr>
          <w:rFonts w:ascii="Arial" w:hAnsi="Arial" w:cs="Arial"/>
          <w:color w:val="222222"/>
          <w:shd w:val="clear" w:color="auto" w:fill="FFFFFF"/>
        </w:rPr>
        <w:t xml:space="preserve"> et al., 2021; Pun et al., 2021</w:t>
      </w:r>
      <w:r w:rsidRPr="00F265F3">
        <w:rPr>
          <w:rFonts w:ascii="Arial" w:hAnsi="Arial" w:cs="Arial"/>
        </w:rPr>
        <w:t>).</w:t>
      </w:r>
    </w:p>
    <w:p w14:paraId="0787AB33" w14:textId="77777777" w:rsidR="00F265F3" w:rsidRDefault="00F265F3" w:rsidP="00F265F3">
      <w:pPr>
        <w:jc w:val="both"/>
        <w:rPr>
          <w:rFonts w:ascii="Arial" w:hAnsi="Arial" w:cs="Arial"/>
          <w:b/>
          <w:bCs/>
        </w:rPr>
      </w:pPr>
    </w:p>
    <w:p w14:paraId="105AA80D" w14:textId="1ED05048" w:rsidR="00F265F3" w:rsidRPr="00F265F3" w:rsidRDefault="00F265F3" w:rsidP="00F265F3">
      <w:pPr>
        <w:jc w:val="both"/>
        <w:rPr>
          <w:rFonts w:ascii="Arial" w:hAnsi="Arial" w:cs="Arial"/>
        </w:rPr>
      </w:pPr>
      <w:r w:rsidRPr="00F265F3">
        <w:rPr>
          <w:rFonts w:ascii="Arial" w:hAnsi="Arial" w:cs="Arial"/>
          <w:b/>
          <w:bCs/>
        </w:rPr>
        <w:t>Method of Abortion</w:t>
      </w:r>
      <w:r w:rsidRPr="00F265F3">
        <w:rPr>
          <w:rFonts w:ascii="Arial" w:hAnsi="Arial" w:cs="Arial"/>
        </w:rPr>
        <w:t xml:space="preserve">: The method of abortion was another critical factor, with surgical abortion being significantly associated with higher mortality (χ² = 22.34, </w:t>
      </w:r>
      <w:proofErr w:type="spellStart"/>
      <w:r w:rsidRPr="00F265F3">
        <w:rPr>
          <w:rFonts w:ascii="Arial" w:hAnsi="Arial" w:cs="Arial"/>
        </w:rPr>
        <w:t>df</w:t>
      </w:r>
      <w:proofErr w:type="spellEnd"/>
      <w:r w:rsidRPr="00F265F3">
        <w:rPr>
          <w:rFonts w:ascii="Arial" w:hAnsi="Arial" w:cs="Arial"/>
        </w:rPr>
        <w:t xml:space="preserve"> = 3, p &lt; 0.001). Surgical procedures, particularly those performed under unsafe conditions or by untrained providers, carry a higher risk of complications, including perforation, hemorrhage, and infection. This aligns with findings from other studies that highlight the dangers associated with surgical abortion when not performed in a regulated medical environment (Allen &amp; Singh, 2018; Moseson et al., 2020). The increased mortality risk from surgical methods emphasizes the need for improved access to safe, legal abortion services and skilled healthcare providers to reduce these risks.</w:t>
      </w:r>
    </w:p>
    <w:p w14:paraId="3AB66664" w14:textId="77777777" w:rsidR="00F265F3" w:rsidRDefault="00F265F3" w:rsidP="00F265F3">
      <w:pPr>
        <w:jc w:val="both"/>
        <w:rPr>
          <w:rFonts w:ascii="Arial" w:hAnsi="Arial" w:cs="Arial"/>
          <w:b/>
          <w:bCs/>
        </w:rPr>
      </w:pPr>
    </w:p>
    <w:p w14:paraId="00EDC368" w14:textId="081B328A" w:rsidR="00F265F3" w:rsidRPr="00F265F3" w:rsidRDefault="00F265F3" w:rsidP="00F265F3">
      <w:pPr>
        <w:jc w:val="both"/>
        <w:rPr>
          <w:rFonts w:ascii="Arial" w:hAnsi="Arial" w:cs="Arial"/>
        </w:rPr>
      </w:pPr>
      <w:r w:rsidRPr="00F265F3">
        <w:rPr>
          <w:rFonts w:ascii="Arial" w:hAnsi="Arial" w:cs="Arial"/>
          <w:b/>
          <w:bCs/>
        </w:rPr>
        <w:t>Length of Hospital Stay</w:t>
      </w:r>
      <w:r w:rsidRPr="00F265F3">
        <w:rPr>
          <w:rFonts w:ascii="Arial" w:hAnsi="Arial" w:cs="Arial"/>
        </w:rPr>
        <w:t xml:space="preserve">: A significant association was also observed between the length of hospital stay and abortion-related mortality, with patients who stayed less than 24 hours being at higher risk (χ² = 18.76, </w:t>
      </w:r>
      <w:proofErr w:type="spellStart"/>
      <w:r w:rsidRPr="00F265F3">
        <w:rPr>
          <w:rFonts w:ascii="Arial" w:hAnsi="Arial" w:cs="Arial"/>
        </w:rPr>
        <w:t>df</w:t>
      </w:r>
      <w:proofErr w:type="spellEnd"/>
      <w:r w:rsidRPr="00F265F3">
        <w:rPr>
          <w:rFonts w:ascii="Arial" w:hAnsi="Arial" w:cs="Arial"/>
        </w:rPr>
        <w:t xml:space="preserve"> = 5, p = 0.002). This finding could reflect several factors, including the possibility that patients with more severe complications might be discharged prematurely due to healthcare resource constraints, lack of appropriate follow-up care, or mismanagement of medical conditions. The lack of extended monitoring may lead to undetected complications, which can escalate into life-threatening situations. Previous studies have similarly highlighted that inadequate post-abortion care, particularly for those with complications, increases the risk of mortality </w:t>
      </w:r>
      <w:r w:rsidR="00A23F7C">
        <w:rPr>
          <w:rFonts w:ascii="Arial" w:hAnsi="Arial" w:cs="Arial"/>
        </w:rPr>
        <w:t>(</w:t>
      </w:r>
      <w:r w:rsidR="00A23F7C" w:rsidRPr="00BE0119">
        <w:rPr>
          <w:rFonts w:ascii="Arial" w:hAnsi="Arial" w:cs="Arial"/>
        </w:rPr>
        <w:t>Bankol</w:t>
      </w:r>
      <w:r w:rsidR="00A23F7C">
        <w:rPr>
          <w:rFonts w:ascii="Arial" w:hAnsi="Arial" w:cs="Arial"/>
        </w:rPr>
        <w:t>e et al., 2019</w:t>
      </w:r>
      <w:r w:rsidRPr="00A23F7C">
        <w:rPr>
          <w:rFonts w:ascii="Arial" w:hAnsi="Arial" w:cs="Arial"/>
        </w:rPr>
        <w:t>).</w:t>
      </w:r>
      <w:r w:rsidR="00CF2D71">
        <w:rPr>
          <w:rFonts w:ascii="Arial" w:hAnsi="Arial" w:cs="Arial"/>
        </w:rPr>
        <w:t xml:space="preserve"> </w:t>
      </w:r>
      <w:r w:rsidRPr="00F265F3">
        <w:rPr>
          <w:rFonts w:ascii="Arial" w:hAnsi="Arial" w:cs="Arial"/>
        </w:rPr>
        <w:t>This finding underscores the need for proper post-procedure care and adequate hospital stays to ensure patient recovery. The short lent of stay in the hospital before death may also be attributed to late arrival to the hospital when complications have gone beyond management. This indicates the need for reproductive health education and increasing access to abortion care.</w:t>
      </w:r>
    </w:p>
    <w:p w14:paraId="6A59A8D8" w14:textId="77777777" w:rsidR="00F265F3" w:rsidRDefault="00F265F3" w:rsidP="00F265F3">
      <w:pPr>
        <w:jc w:val="both"/>
        <w:rPr>
          <w:rFonts w:ascii="Arial" w:hAnsi="Arial" w:cs="Arial"/>
          <w:b/>
          <w:bCs/>
        </w:rPr>
      </w:pPr>
    </w:p>
    <w:p w14:paraId="3C6E279A" w14:textId="7E08638C" w:rsidR="00F265F3" w:rsidRDefault="00F265F3" w:rsidP="00F265F3">
      <w:pPr>
        <w:jc w:val="both"/>
        <w:rPr>
          <w:rFonts w:ascii="Arial" w:hAnsi="Arial" w:cs="Arial"/>
        </w:rPr>
      </w:pPr>
      <w:r w:rsidRPr="00F265F3">
        <w:rPr>
          <w:rFonts w:ascii="Arial" w:hAnsi="Arial" w:cs="Arial"/>
          <w:b/>
          <w:bCs/>
        </w:rPr>
        <w:t>Complications</w:t>
      </w:r>
      <w:r w:rsidRPr="00F265F3">
        <w:rPr>
          <w:rFonts w:ascii="Arial" w:hAnsi="Arial" w:cs="Arial"/>
        </w:rPr>
        <w:t xml:space="preserve">: The analysis also revealed that complications, particularly hemorrhage, were strongly associated with abortion-related mortality (χ² = 26.54, </w:t>
      </w:r>
      <w:proofErr w:type="spellStart"/>
      <w:r w:rsidRPr="00F265F3">
        <w:rPr>
          <w:rFonts w:ascii="Arial" w:hAnsi="Arial" w:cs="Arial"/>
        </w:rPr>
        <w:t>df</w:t>
      </w:r>
      <w:proofErr w:type="spellEnd"/>
      <w:r w:rsidRPr="00F265F3">
        <w:rPr>
          <w:rFonts w:ascii="Arial" w:hAnsi="Arial" w:cs="Arial"/>
        </w:rPr>
        <w:t xml:space="preserve"> = 5, p &lt; 0.001). Hemorrhage, whether caused by surgical trauma or an incomplete abortion, remains one of the leading causes of abortion-related deaths. This result is consistent with other studies that have shown hemorrhage as a critical factor in abortion-related mortality, particularly when healthcare systems fail to provide timely intervention (</w:t>
      </w:r>
      <w:r w:rsidR="003548BC" w:rsidRPr="00BA624F">
        <w:rPr>
          <w:rFonts w:ascii="Arial" w:hAnsi="Arial" w:cs="Arial"/>
        </w:rPr>
        <w:t>Campbell</w:t>
      </w:r>
      <w:r w:rsidR="003548BC" w:rsidRPr="008348E0">
        <w:rPr>
          <w:rFonts w:ascii="Arial" w:hAnsi="Arial" w:cs="Arial"/>
        </w:rPr>
        <w:t xml:space="preserve"> </w:t>
      </w:r>
      <w:r w:rsidR="003548BC" w:rsidRPr="00BA624F">
        <w:rPr>
          <w:rFonts w:ascii="Arial" w:hAnsi="Arial" w:cs="Arial"/>
        </w:rPr>
        <w:t>et al., 2018;</w:t>
      </w:r>
      <w:r w:rsidR="003548BC">
        <w:rPr>
          <w:rFonts w:ascii="Arial" w:hAnsi="Arial" w:cs="Arial"/>
        </w:rPr>
        <w:t xml:space="preserve"> </w:t>
      </w:r>
      <w:r w:rsidR="00A64828" w:rsidRPr="00A64828">
        <w:rPr>
          <w:rFonts w:ascii="Arial" w:hAnsi="Arial" w:cs="Arial"/>
        </w:rPr>
        <w:t>Ganatra et al., 2017; Shah et al., 2009</w:t>
      </w:r>
      <w:r w:rsidRPr="00F265F3">
        <w:rPr>
          <w:rFonts w:ascii="Arial" w:hAnsi="Arial" w:cs="Arial"/>
        </w:rPr>
        <w:t>). The findings emphasize the importance of immediate medical intervention for managing complications such as hemorrhage, as delays in treatment can quickly lead to severe outcomes, including death.</w:t>
      </w:r>
    </w:p>
    <w:p w14:paraId="2B99E707" w14:textId="77777777" w:rsidR="0011001A" w:rsidRPr="00F265F3" w:rsidRDefault="0011001A" w:rsidP="00F265F3">
      <w:pPr>
        <w:jc w:val="both"/>
        <w:rPr>
          <w:rFonts w:ascii="Arial" w:hAnsi="Arial" w:cs="Arial"/>
        </w:rPr>
      </w:pPr>
    </w:p>
    <w:p w14:paraId="68F208F9" w14:textId="77777777" w:rsidR="00F265F3" w:rsidRPr="00F265F3" w:rsidRDefault="00F265F3" w:rsidP="00F265F3">
      <w:pPr>
        <w:jc w:val="both"/>
        <w:rPr>
          <w:rFonts w:ascii="Arial" w:hAnsi="Arial" w:cs="Arial"/>
        </w:rPr>
      </w:pPr>
      <w:r w:rsidRPr="00F265F3">
        <w:rPr>
          <w:rFonts w:ascii="Arial" w:hAnsi="Arial" w:cs="Arial"/>
        </w:rPr>
        <w:t xml:space="preserve">In summary, the clinical factors associated with abortion-related mortality highlight key areas that need attention to reduce death rates. First-trimester surgical abortions, the method of abortion, the length of hospital stay, and complications such as hemorrhage all contribute to higher mortality rates. These findings suggest that improving the safety of abortion procedures, ensuring adequate post-procedure care, and addressing complications promptly can significantly reduce </w:t>
      </w:r>
      <w:r w:rsidRPr="00F265F3">
        <w:rPr>
          <w:rFonts w:ascii="Arial" w:hAnsi="Arial" w:cs="Arial"/>
        </w:rPr>
        <w:lastRenderedPageBreak/>
        <w:t>abortion-related deaths. Furthermore, these results underscore the importance of providing healthcare services that include skilled providers, access to appropriate resources, and adequate follow-up care to manage any arising complications.</w:t>
      </w:r>
    </w:p>
    <w:p w14:paraId="4D7D37E4" w14:textId="77777777" w:rsidR="00790ADA" w:rsidRPr="00F265F3" w:rsidRDefault="00790ADA" w:rsidP="00F265F3">
      <w:pPr>
        <w:pStyle w:val="Body"/>
        <w:spacing w:after="0"/>
        <w:rPr>
          <w:rFonts w:ascii="Arial" w:hAnsi="Arial" w:cs="Arial"/>
        </w:rPr>
      </w:pPr>
    </w:p>
    <w:p w14:paraId="405B392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6AD4DF1" w14:textId="77777777" w:rsidR="00790ADA" w:rsidRPr="00FB3A86" w:rsidRDefault="00790ADA" w:rsidP="00441B6F">
      <w:pPr>
        <w:pStyle w:val="ConcHead"/>
        <w:spacing w:after="0"/>
        <w:jc w:val="both"/>
        <w:rPr>
          <w:rFonts w:ascii="Arial" w:hAnsi="Arial" w:cs="Arial"/>
        </w:rPr>
      </w:pPr>
    </w:p>
    <w:p w14:paraId="5B72BA77" w14:textId="5DF67853" w:rsidR="00790ADA" w:rsidRPr="00FB3A86" w:rsidRDefault="00F265F3" w:rsidP="00441B6F">
      <w:pPr>
        <w:pStyle w:val="Body"/>
        <w:spacing w:after="0"/>
        <w:rPr>
          <w:rFonts w:ascii="Arial" w:hAnsi="Arial" w:cs="Arial"/>
        </w:rPr>
      </w:pPr>
      <w:r w:rsidRPr="00F265F3">
        <w:rPr>
          <w:rFonts w:ascii="Arial" w:hAnsi="Arial" w:cs="Arial"/>
        </w:rPr>
        <w:t>This study revealed a significant prevalence of abortion-related mortality over the five-year period at Central Hospital, Sapele, with fluctuating rates across the years. The highest prevalence was observed in 2021, while 2023 had the lowest. Sociodemographic factors such as age, marital status, education level, occupation, socioeconomic status, and residential area were significantly associated with higher mortality rates, with individuals aged 25–34 years, single, with secondary education, students, from low socioeconomic backgrounds, and residing in urban areas being most at risk. Clinically, first-trimester abortions, surgical methods, shorter hospital stays, and complications like hemorrhage were significant risk factors. These findings underscore the importance of targeted interventions to address both sociodemographic and clinical determinants in reducing abortion-related mortality.</w:t>
      </w:r>
    </w:p>
    <w:p w14:paraId="37EE65B0" w14:textId="77777777" w:rsidR="00F265F3" w:rsidRDefault="00F265F3" w:rsidP="00441B6F">
      <w:pPr>
        <w:pStyle w:val="AcknHead"/>
        <w:spacing w:after="0"/>
        <w:jc w:val="both"/>
        <w:rPr>
          <w:rFonts w:ascii="Arial" w:hAnsi="Arial" w:cs="Arial"/>
        </w:rPr>
      </w:pPr>
    </w:p>
    <w:p w14:paraId="7C1E0B3F" w14:textId="77777777" w:rsidR="002B685A" w:rsidRDefault="002B685A" w:rsidP="00441B6F">
      <w:pPr>
        <w:pStyle w:val="ReferHead"/>
        <w:spacing w:after="0"/>
        <w:jc w:val="both"/>
        <w:rPr>
          <w:rFonts w:ascii="Arial" w:hAnsi="Arial" w:cs="Arial"/>
          <w:b w:val="0"/>
          <w:caps w:val="0"/>
          <w:sz w:val="20"/>
        </w:rPr>
      </w:pPr>
    </w:p>
    <w:p w14:paraId="5DB376CC" w14:textId="77777777" w:rsidR="005C784C" w:rsidRDefault="005C784C" w:rsidP="00441B6F">
      <w:pPr>
        <w:pStyle w:val="ReferHead"/>
        <w:spacing w:after="0"/>
        <w:jc w:val="both"/>
        <w:rPr>
          <w:rFonts w:ascii="Arial" w:hAnsi="Arial" w:cs="Arial"/>
          <w:b w:val="0"/>
          <w:caps w:val="0"/>
          <w:sz w:val="20"/>
        </w:rPr>
      </w:pPr>
    </w:p>
    <w:p w14:paraId="48E16213" w14:textId="72757FCF"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097C574F" w14:textId="77777777" w:rsidR="005C784C" w:rsidRPr="002B685A" w:rsidRDefault="005C784C" w:rsidP="00441B6F">
      <w:pPr>
        <w:pStyle w:val="ReferHead"/>
        <w:spacing w:after="0"/>
        <w:jc w:val="both"/>
        <w:rPr>
          <w:rFonts w:ascii="Arial" w:hAnsi="Arial" w:cs="Arial"/>
          <w:bCs/>
        </w:rPr>
      </w:pPr>
    </w:p>
    <w:p w14:paraId="7945B22B" w14:textId="20007A1A" w:rsidR="005557E8" w:rsidRDefault="005557E8" w:rsidP="005557E8">
      <w:pPr>
        <w:pStyle w:val="Body"/>
        <w:spacing w:after="0"/>
        <w:rPr>
          <w:rFonts w:ascii="Arial" w:hAnsi="Arial" w:cs="Arial"/>
        </w:rPr>
      </w:pPr>
      <w:r w:rsidRPr="00BD3729">
        <w:rPr>
          <w:rFonts w:ascii="Arial" w:hAnsi="Arial" w:cs="Arial"/>
        </w:rPr>
        <w:t>Ethical approval for this study was obtained from the Research Ethics Committee of Central Hospital, Sapele, Delta State. As a retrospective study, data were collected solely from existing case records without direct interaction with patients. No personally identifying information such as names or hospital identification numbers was recorded. To maintain confidentiality, all data were anonymized and securely stored, with access restricted to the researcher and designated personnel. The findings are presented in aggregate form, and all data were used exclusively for academic and policy development purposes related to maternal health.</w:t>
      </w:r>
    </w:p>
    <w:p w14:paraId="4D58EAEC" w14:textId="67393167" w:rsidR="00BE5720" w:rsidRDefault="00BE5720" w:rsidP="005557E8">
      <w:pPr>
        <w:pStyle w:val="Body"/>
        <w:spacing w:after="0"/>
        <w:rPr>
          <w:rFonts w:ascii="Arial" w:hAnsi="Arial" w:cs="Arial"/>
        </w:rPr>
      </w:pPr>
    </w:p>
    <w:p w14:paraId="7FF10D5E" w14:textId="2D21DCFF" w:rsidR="00BE5720" w:rsidRDefault="00BE5720" w:rsidP="00BE5720">
      <w:pPr>
        <w:rPr>
          <w:rFonts w:ascii="Arial" w:eastAsia="Calibri" w:hAnsi="Arial" w:cs="Arial"/>
          <w:b/>
          <w:bCs/>
          <w:kern w:val="2"/>
        </w:rPr>
      </w:pPr>
      <w:bookmarkStart w:id="2" w:name="_Hlk197682619"/>
      <w:bookmarkStart w:id="3" w:name="_Hlk180402183"/>
      <w:bookmarkStart w:id="4" w:name="_Hlk183680988"/>
      <w:r w:rsidRPr="002944C6">
        <w:rPr>
          <w:rFonts w:ascii="Arial" w:eastAsia="Calibri" w:hAnsi="Arial" w:cs="Arial"/>
          <w:b/>
          <w:bCs/>
          <w:kern w:val="2"/>
        </w:rPr>
        <w:t>Disclaimer (Artificial intelligence)</w:t>
      </w:r>
    </w:p>
    <w:p w14:paraId="22AEF5C6" w14:textId="77777777" w:rsidR="002944C6" w:rsidRPr="002944C6" w:rsidRDefault="002944C6" w:rsidP="00BE5720">
      <w:pPr>
        <w:rPr>
          <w:rFonts w:ascii="Arial" w:eastAsia="Calibri" w:hAnsi="Arial" w:cs="Arial"/>
          <w:b/>
          <w:bCs/>
          <w:kern w:val="2"/>
        </w:rPr>
      </w:pPr>
    </w:p>
    <w:p w14:paraId="5D9AC17D" w14:textId="45C7821A" w:rsidR="00BE5720" w:rsidRPr="002944C6" w:rsidRDefault="00BB2F1C" w:rsidP="00BE5720">
      <w:pPr>
        <w:rPr>
          <w:rFonts w:ascii="Arial" w:eastAsia="Calibri" w:hAnsi="Arial" w:cs="Arial"/>
          <w:kern w:val="2"/>
        </w:rPr>
      </w:pPr>
      <w:r>
        <w:rPr>
          <w:rFonts w:ascii="Arial" w:eastAsia="Calibri" w:hAnsi="Arial" w:cs="Arial"/>
          <w:kern w:val="2"/>
        </w:rPr>
        <w:t>A</w:t>
      </w:r>
      <w:r w:rsidR="00BE5720" w:rsidRPr="002944C6">
        <w:rPr>
          <w:rFonts w:ascii="Arial" w:eastAsia="Calibri" w:hAnsi="Arial" w:cs="Arial"/>
          <w:kern w:val="2"/>
        </w:rPr>
        <w:t>uthor</w:t>
      </w:r>
      <w:r w:rsidR="002944C6">
        <w:rPr>
          <w:rFonts w:ascii="Arial" w:eastAsia="Calibri" w:hAnsi="Arial" w:cs="Arial"/>
          <w:kern w:val="2"/>
        </w:rPr>
        <w:t>s</w:t>
      </w:r>
      <w:r w:rsidR="00BE5720" w:rsidRPr="002944C6">
        <w:rPr>
          <w:rFonts w:ascii="Arial" w:eastAsia="Calibri" w:hAnsi="Arial" w:cs="Arial"/>
          <w:kern w:val="2"/>
        </w:rPr>
        <w:t xml:space="preserve"> hereby declare that NO generative AI technologies such as Large Language Models (ChatGPT, COPILOT, etc.) and text-to-image generators have been used during the writing or editing of this manuscript. </w:t>
      </w:r>
    </w:p>
    <w:bookmarkEnd w:id="2"/>
    <w:bookmarkEnd w:id="3"/>
    <w:bookmarkEnd w:id="4"/>
    <w:p w14:paraId="0CEF4F1D" w14:textId="77777777" w:rsidR="005557E8" w:rsidRDefault="005557E8" w:rsidP="00441B6F">
      <w:pPr>
        <w:pStyle w:val="ReferHead"/>
        <w:spacing w:after="0"/>
        <w:jc w:val="both"/>
        <w:rPr>
          <w:rFonts w:ascii="Arial" w:hAnsi="Arial" w:cs="Arial"/>
          <w:b w:val="0"/>
          <w:caps w:val="0"/>
          <w:sz w:val="20"/>
        </w:rPr>
      </w:pPr>
    </w:p>
    <w:p w14:paraId="0D498DF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9D71A82" w14:textId="77777777" w:rsidR="00790ADA" w:rsidRPr="00FB3A86" w:rsidRDefault="00790ADA" w:rsidP="00441B6F">
      <w:pPr>
        <w:pStyle w:val="ReferHead"/>
        <w:spacing w:after="0"/>
        <w:jc w:val="both"/>
        <w:rPr>
          <w:rFonts w:ascii="Arial" w:hAnsi="Arial" w:cs="Arial"/>
        </w:rPr>
      </w:pPr>
    </w:p>
    <w:p w14:paraId="1F009DDA" w14:textId="08E8829E" w:rsidR="00BB2F1C" w:rsidRDefault="00BB2F1C" w:rsidP="00F17608">
      <w:pPr>
        <w:pStyle w:val="ListParagraph"/>
        <w:numPr>
          <w:ilvl w:val="0"/>
          <w:numId w:val="31"/>
        </w:numPr>
        <w:jc w:val="both"/>
        <w:rPr>
          <w:rFonts w:ascii="Arial" w:hAnsi="Arial" w:cs="Arial"/>
          <w:sz w:val="20"/>
          <w:szCs w:val="20"/>
        </w:rPr>
      </w:pPr>
      <w:r w:rsidRPr="00BB2F1C">
        <w:rPr>
          <w:rFonts w:ascii="Arial" w:hAnsi="Arial" w:cs="Arial"/>
          <w:sz w:val="20"/>
          <w:szCs w:val="20"/>
        </w:rPr>
        <w:t>World Health Organization. (2024). Preventing unsafe abortion: Fact sheet. https://www.who.int/news-room/fact-sheets/detail/preventing-unsafe-abortion</w:t>
      </w:r>
    </w:p>
    <w:p w14:paraId="42B7661A" w14:textId="095C541E" w:rsidR="00F17608" w:rsidRPr="0065531C" w:rsidRDefault="009D28A4" w:rsidP="00F17608">
      <w:pPr>
        <w:pStyle w:val="ListParagraph"/>
        <w:numPr>
          <w:ilvl w:val="0"/>
          <w:numId w:val="31"/>
        </w:numPr>
        <w:jc w:val="both"/>
        <w:rPr>
          <w:rFonts w:ascii="Arial" w:hAnsi="Arial" w:cs="Arial"/>
          <w:sz w:val="20"/>
          <w:szCs w:val="20"/>
          <w:highlight w:val="yellow"/>
        </w:rPr>
      </w:pPr>
      <w:proofErr w:type="spellStart"/>
      <w:r w:rsidRPr="0065531C">
        <w:rPr>
          <w:rFonts w:ascii="Arial" w:hAnsi="Arial" w:cs="Arial"/>
          <w:sz w:val="20"/>
          <w:szCs w:val="20"/>
          <w:highlight w:val="yellow"/>
        </w:rPr>
        <w:t>Raufu</w:t>
      </w:r>
      <w:proofErr w:type="spellEnd"/>
      <w:r w:rsidRPr="0065531C">
        <w:rPr>
          <w:rFonts w:ascii="Arial" w:hAnsi="Arial" w:cs="Arial"/>
          <w:sz w:val="20"/>
          <w:szCs w:val="20"/>
          <w:highlight w:val="yellow"/>
        </w:rPr>
        <w:t xml:space="preserve"> A. (2002). Unsafe abortions cause 20 000 deaths a year in Nigeria. BMJ (Clinical research ed.), 325(7371), 988. </w:t>
      </w:r>
    </w:p>
    <w:p w14:paraId="7743756A" w14:textId="7E2FDE3C" w:rsidR="004E7C29" w:rsidRPr="0065531C" w:rsidRDefault="004E7C29" w:rsidP="004E7C29">
      <w:pPr>
        <w:pStyle w:val="ListParagraph"/>
        <w:numPr>
          <w:ilvl w:val="0"/>
          <w:numId w:val="31"/>
        </w:numPr>
        <w:jc w:val="both"/>
        <w:rPr>
          <w:rFonts w:ascii="Arial" w:hAnsi="Arial" w:cs="Arial"/>
          <w:sz w:val="20"/>
          <w:szCs w:val="20"/>
          <w:highlight w:val="yellow"/>
        </w:rPr>
      </w:pPr>
      <w:r w:rsidRPr="0065531C">
        <w:rPr>
          <w:rFonts w:ascii="Arial" w:hAnsi="Arial" w:cs="Arial"/>
          <w:sz w:val="20"/>
          <w:szCs w:val="20"/>
          <w:highlight w:val="yellow"/>
        </w:rPr>
        <w:t>The Guardian. (2025, January 13). 'Women are dying': The fight for abortion rights in Nigeria. https://www.theguardian.com/global-development/2025/jan/13/abortion-rights-nigeria-sexual-violence-women</w:t>
      </w:r>
    </w:p>
    <w:p w14:paraId="10D4CEF0" w14:textId="77777777" w:rsidR="00F17608" w:rsidRPr="00B769A5" w:rsidRDefault="00F17608" w:rsidP="00F17608">
      <w:pPr>
        <w:pStyle w:val="ListParagraph"/>
        <w:numPr>
          <w:ilvl w:val="0"/>
          <w:numId w:val="31"/>
        </w:numPr>
        <w:jc w:val="both"/>
        <w:rPr>
          <w:rFonts w:ascii="Arial" w:hAnsi="Arial" w:cs="Arial"/>
          <w:sz w:val="20"/>
          <w:szCs w:val="20"/>
        </w:rPr>
      </w:pPr>
      <w:r w:rsidRPr="00B769A5">
        <w:rPr>
          <w:rFonts w:ascii="Arial" w:hAnsi="Arial" w:cs="Arial"/>
          <w:sz w:val="20"/>
          <w:szCs w:val="20"/>
        </w:rPr>
        <w:t xml:space="preserve">Ralph, L., Foster, D. G., Raifman, S., et al. (2020). Prevalence of self-managed abortion among women of reproductive age in the United States. JAMA </w:t>
      </w:r>
      <w:proofErr w:type="spellStart"/>
      <w:r w:rsidRPr="00B769A5">
        <w:rPr>
          <w:rFonts w:ascii="Arial" w:hAnsi="Arial" w:cs="Arial"/>
          <w:sz w:val="20"/>
          <w:szCs w:val="20"/>
        </w:rPr>
        <w:t>Netw</w:t>
      </w:r>
      <w:proofErr w:type="spellEnd"/>
      <w:r w:rsidRPr="00B769A5">
        <w:rPr>
          <w:rFonts w:ascii="Arial" w:hAnsi="Arial" w:cs="Arial"/>
          <w:sz w:val="20"/>
          <w:szCs w:val="20"/>
        </w:rPr>
        <w:t xml:space="preserve"> Open, 3(12), e2029245.</w:t>
      </w:r>
    </w:p>
    <w:p w14:paraId="4F137858" w14:textId="15788F16" w:rsidR="00F17608" w:rsidRPr="0065531C" w:rsidRDefault="0097558C" w:rsidP="00F17608">
      <w:pPr>
        <w:pStyle w:val="ListParagraph"/>
        <w:numPr>
          <w:ilvl w:val="0"/>
          <w:numId w:val="31"/>
        </w:numPr>
        <w:jc w:val="both"/>
        <w:rPr>
          <w:rFonts w:ascii="Arial" w:hAnsi="Arial" w:cs="Arial"/>
          <w:sz w:val="20"/>
          <w:szCs w:val="20"/>
          <w:highlight w:val="yellow"/>
        </w:rPr>
      </w:pPr>
      <w:r w:rsidRPr="0065531C">
        <w:rPr>
          <w:rFonts w:ascii="Arial" w:hAnsi="Arial" w:cs="Arial"/>
          <w:sz w:val="20"/>
          <w:szCs w:val="20"/>
          <w:highlight w:val="yellow"/>
        </w:rPr>
        <w:t xml:space="preserve">Grimes, D. A., Benson, J., Singh, S., Romero, M., Ganatra, B., </w:t>
      </w:r>
      <w:proofErr w:type="spellStart"/>
      <w:r w:rsidRPr="0065531C">
        <w:rPr>
          <w:rFonts w:ascii="Arial" w:hAnsi="Arial" w:cs="Arial"/>
          <w:sz w:val="20"/>
          <w:szCs w:val="20"/>
          <w:highlight w:val="yellow"/>
        </w:rPr>
        <w:t>Okonofua</w:t>
      </w:r>
      <w:proofErr w:type="spellEnd"/>
      <w:r w:rsidRPr="0065531C">
        <w:rPr>
          <w:rFonts w:ascii="Arial" w:hAnsi="Arial" w:cs="Arial"/>
          <w:sz w:val="20"/>
          <w:szCs w:val="20"/>
          <w:highlight w:val="yellow"/>
        </w:rPr>
        <w:t xml:space="preserve">, F. E., &amp; Shah, I. H. (2006). Unsafe abortion: The preventable pandemic. The Lancet, 368(9550), 1908–1919. </w:t>
      </w:r>
    </w:p>
    <w:p w14:paraId="38FCB9C9" w14:textId="77777777" w:rsidR="00F17608" w:rsidRPr="00B769A5" w:rsidRDefault="00F17608" w:rsidP="00F17608">
      <w:pPr>
        <w:pStyle w:val="ListParagraph"/>
        <w:numPr>
          <w:ilvl w:val="0"/>
          <w:numId w:val="31"/>
        </w:numPr>
        <w:jc w:val="both"/>
        <w:rPr>
          <w:rFonts w:ascii="Arial" w:hAnsi="Arial" w:cs="Arial"/>
          <w:sz w:val="20"/>
          <w:szCs w:val="20"/>
        </w:rPr>
      </w:pPr>
      <w:proofErr w:type="spellStart"/>
      <w:r w:rsidRPr="00B769A5">
        <w:rPr>
          <w:rFonts w:ascii="Arial" w:hAnsi="Arial" w:cs="Arial"/>
          <w:sz w:val="20"/>
          <w:szCs w:val="20"/>
        </w:rPr>
        <w:t>Sedgh</w:t>
      </w:r>
      <w:proofErr w:type="spellEnd"/>
      <w:r w:rsidRPr="00B769A5">
        <w:rPr>
          <w:rFonts w:ascii="Arial" w:hAnsi="Arial" w:cs="Arial"/>
          <w:sz w:val="20"/>
          <w:szCs w:val="20"/>
        </w:rPr>
        <w:t xml:space="preserve">, G., </w:t>
      </w:r>
      <w:proofErr w:type="spellStart"/>
      <w:r w:rsidRPr="00B769A5">
        <w:rPr>
          <w:rFonts w:ascii="Arial" w:hAnsi="Arial" w:cs="Arial"/>
          <w:sz w:val="20"/>
          <w:szCs w:val="20"/>
        </w:rPr>
        <w:t>Bearak</w:t>
      </w:r>
      <w:proofErr w:type="spellEnd"/>
      <w:r w:rsidRPr="00B769A5">
        <w:rPr>
          <w:rFonts w:ascii="Arial" w:hAnsi="Arial" w:cs="Arial"/>
          <w:sz w:val="20"/>
          <w:szCs w:val="20"/>
        </w:rPr>
        <w:t>, J., &amp; Singh, S. (2022). Abortion incidence between 1990 and 2014: Global, regional, and subregional levels and trends. The Lancet, 388(10041), 258-267.</w:t>
      </w:r>
    </w:p>
    <w:p w14:paraId="52702A7C" w14:textId="77777777" w:rsidR="00F17608" w:rsidRPr="00BE0119" w:rsidRDefault="00F17608" w:rsidP="00F17608">
      <w:pPr>
        <w:pStyle w:val="ListParagraph"/>
        <w:numPr>
          <w:ilvl w:val="0"/>
          <w:numId w:val="31"/>
        </w:numPr>
        <w:jc w:val="both"/>
        <w:rPr>
          <w:rFonts w:ascii="Arial" w:hAnsi="Arial" w:cs="Arial"/>
          <w:sz w:val="20"/>
          <w:szCs w:val="20"/>
        </w:rPr>
      </w:pPr>
      <w:r w:rsidRPr="00B769A5">
        <w:rPr>
          <w:rFonts w:ascii="Arial" w:hAnsi="Arial" w:cs="Arial"/>
          <w:sz w:val="20"/>
          <w:szCs w:val="20"/>
        </w:rPr>
        <w:t>Guttmacher Institute. (2018). Abortion worldwide 2017: Uneven progress and unequal access. Retrieved from https://www.guttmacher.org/report/abortion-worldwide-2017</w:t>
      </w:r>
    </w:p>
    <w:p w14:paraId="341AC86A"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proofErr w:type="spellStart"/>
      <w:r w:rsidRPr="00BE0119">
        <w:rPr>
          <w:rFonts w:ascii="Arial" w:hAnsi="Arial" w:cs="Arial"/>
          <w:sz w:val="20"/>
          <w:szCs w:val="20"/>
        </w:rPr>
        <w:t>Obilahi-Abhulimen</w:t>
      </w:r>
      <w:proofErr w:type="spellEnd"/>
      <w:r w:rsidRPr="00BE0119">
        <w:rPr>
          <w:rFonts w:ascii="Arial" w:hAnsi="Arial" w:cs="Arial"/>
          <w:sz w:val="20"/>
          <w:szCs w:val="20"/>
        </w:rPr>
        <w:t xml:space="preserve">, T. J., Ibrahim Isa, A., &amp; Adah </w:t>
      </w:r>
      <w:proofErr w:type="spellStart"/>
      <w:r w:rsidRPr="00BE0119">
        <w:rPr>
          <w:rFonts w:ascii="Arial" w:hAnsi="Arial" w:cs="Arial"/>
          <w:sz w:val="20"/>
          <w:szCs w:val="20"/>
        </w:rPr>
        <w:t>Abednigo</w:t>
      </w:r>
      <w:proofErr w:type="spellEnd"/>
      <w:r w:rsidRPr="00BE0119">
        <w:rPr>
          <w:rFonts w:ascii="Arial" w:hAnsi="Arial" w:cs="Arial"/>
          <w:sz w:val="20"/>
          <w:szCs w:val="20"/>
        </w:rPr>
        <w:t>, O. (2016). Maternal mortality from unsafe abortion in the Niger Delta. A five-year review. International Journal of Contemporary Medical Research, 3(4), 1068-1070.</w:t>
      </w:r>
    </w:p>
    <w:p w14:paraId="02875D88"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proofErr w:type="spellStart"/>
      <w:r w:rsidRPr="00BE0119">
        <w:rPr>
          <w:rFonts w:ascii="Arial" w:hAnsi="Arial" w:cs="Arial"/>
          <w:sz w:val="20"/>
          <w:szCs w:val="20"/>
        </w:rPr>
        <w:t>Fabamwo</w:t>
      </w:r>
      <w:proofErr w:type="spellEnd"/>
      <w:r w:rsidRPr="00BE0119">
        <w:rPr>
          <w:rFonts w:ascii="Arial" w:hAnsi="Arial" w:cs="Arial"/>
          <w:sz w:val="20"/>
          <w:szCs w:val="20"/>
        </w:rPr>
        <w:t>, A. O., Akinola, O. I., &amp; Akpan, A. E. (2019). Correlates of abortion related maternal mortality at the Lagos State University Teaching Hospital, Ikeja. African Journal of Reproductive Health, 13(2), 139-146.</w:t>
      </w:r>
    </w:p>
    <w:p w14:paraId="1E1BE7C6"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r w:rsidRPr="00BE0119">
        <w:rPr>
          <w:rFonts w:ascii="Arial" w:hAnsi="Arial" w:cs="Arial"/>
          <w:sz w:val="20"/>
          <w:szCs w:val="20"/>
        </w:rPr>
        <w:t xml:space="preserve">Gerdts, C., Vohra, D., &amp; Ahern, J. (2023). Measuring unsafe abortion-related mortality: A systematic review of the existing methods. </w:t>
      </w:r>
      <w:proofErr w:type="spellStart"/>
      <w:r w:rsidRPr="00BE0119">
        <w:rPr>
          <w:rFonts w:ascii="Arial" w:hAnsi="Arial" w:cs="Arial"/>
          <w:sz w:val="20"/>
          <w:szCs w:val="20"/>
        </w:rPr>
        <w:t>PloS</w:t>
      </w:r>
      <w:proofErr w:type="spellEnd"/>
      <w:r w:rsidRPr="00BE0119">
        <w:rPr>
          <w:rFonts w:ascii="Arial" w:hAnsi="Arial" w:cs="Arial"/>
          <w:sz w:val="20"/>
          <w:szCs w:val="20"/>
        </w:rPr>
        <w:t xml:space="preserve"> One, 8(1), 533-546.</w:t>
      </w:r>
    </w:p>
    <w:p w14:paraId="2F9767B5"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r w:rsidRPr="00BE0119">
        <w:rPr>
          <w:rFonts w:ascii="Arial" w:hAnsi="Arial" w:cs="Arial"/>
          <w:sz w:val="20"/>
          <w:szCs w:val="20"/>
        </w:rPr>
        <w:t xml:space="preserve">Benson, J., </w:t>
      </w:r>
      <w:proofErr w:type="spellStart"/>
      <w:r w:rsidRPr="00BE0119">
        <w:rPr>
          <w:rFonts w:ascii="Arial" w:hAnsi="Arial" w:cs="Arial"/>
          <w:sz w:val="20"/>
          <w:szCs w:val="20"/>
        </w:rPr>
        <w:t>Kotelchuck</w:t>
      </w:r>
      <w:proofErr w:type="spellEnd"/>
      <w:r w:rsidRPr="00BE0119">
        <w:rPr>
          <w:rFonts w:ascii="Arial" w:hAnsi="Arial" w:cs="Arial"/>
          <w:sz w:val="20"/>
          <w:szCs w:val="20"/>
        </w:rPr>
        <w:t>, M., &amp; Weissman, A. (2019). The impact of socio-economic factors on abortion-related mortality. Journal of Reproductive Health, 16(2), 123-134.</w:t>
      </w:r>
    </w:p>
    <w:p w14:paraId="5E724DE3" w14:textId="4AF19E63" w:rsidR="00F17608" w:rsidRPr="00BE0119" w:rsidRDefault="00F17608" w:rsidP="002B7B71">
      <w:pPr>
        <w:pStyle w:val="NormalWeb"/>
        <w:spacing w:before="100" w:beforeAutospacing="1" w:after="100" w:afterAutospacing="1"/>
        <w:ind w:left="360"/>
        <w:jc w:val="both"/>
        <w:rPr>
          <w:rFonts w:ascii="Arial" w:hAnsi="Arial" w:cs="Arial"/>
          <w:sz w:val="20"/>
          <w:szCs w:val="20"/>
        </w:rPr>
      </w:pPr>
      <w:r w:rsidRPr="00BE0119">
        <w:rPr>
          <w:rFonts w:ascii="Arial" w:hAnsi="Arial" w:cs="Arial"/>
          <w:sz w:val="20"/>
          <w:szCs w:val="20"/>
        </w:rPr>
        <w:t>.</w:t>
      </w:r>
    </w:p>
    <w:p w14:paraId="6222F413"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r w:rsidRPr="00BE0119">
        <w:rPr>
          <w:rFonts w:ascii="Arial" w:hAnsi="Arial" w:cs="Arial"/>
          <w:sz w:val="20"/>
          <w:szCs w:val="20"/>
        </w:rPr>
        <w:lastRenderedPageBreak/>
        <w:t>Bankole, A., Singh, S., &amp; Haas, T. (2019). Reasons why women have induced abortions: Evidence from 27 countries. International Family Planning Perspectives, 25(3), 117-127.</w:t>
      </w:r>
    </w:p>
    <w:p w14:paraId="71FA6B58"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r w:rsidRPr="00BE0119">
        <w:rPr>
          <w:rFonts w:ascii="Arial" w:hAnsi="Arial" w:cs="Arial"/>
          <w:sz w:val="20"/>
          <w:szCs w:val="20"/>
        </w:rPr>
        <w:t>Jewkes, R., &amp; Rees, H. (2020). Dramatic decline in abortion mortality due to the Choice on Termination of Pregnancy Act. South African Medical Journal, 95(4), 250-251.</w:t>
      </w:r>
    </w:p>
    <w:p w14:paraId="2EF50522"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r w:rsidRPr="00BE0119">
        <w:rPr>
          <w:rFonts w:ascii="Arial" w:hAnsi="Arial" w:cs="Arial"/>
          <w:sz w:val="20"/>
          <w:szCs w:val="20"/>
        </w:rPr>
        <w:t>Fjerstad, M., Trussell, J., Lichtenberg, E. S., Sivin, I., Cullins, V., &amp; Cleland, K. (2021). Severity of infection following the introduction of new infection control measures for medical abortion. Contraception, 83(4), 330-335.</w:t>
      </w:r>
    </w:p>
    <w:p w14:paraId="3CE6356A" w14:textId="77777777" w:rsidR="00257428" w:rsidRDefault="00257428" w:rsidP="00BF0F8C">
      <w:pPr>
        <w:pStyle w:val="ListParagraph"/>
        <w:numPr>
          <w:ilvl w:val="0"/>
          <w:numId w:val="31"/>
        </w:numPr>
        <w:spacing w:before="100" w:beforeAutospacing="1" w:after="100" w:afterAutospacing="1"/>
        <w:jc w:val="both"/>
        <w:rPr>
          <w:rFonts w:ascii="Arial" w:hAnsi="Arial" w:cs="Arial"/>
          <w:sz w:val="20"/>
          <w:szCs w:val="20"/>
        </w:rPr>
      </w:pPr>
      <w:r w:rsidRPr="00257428">
        <w:rPr>
          <w:rFonts w:ascii="Arial" w:eastAsia="Times New Roman" w:hAnsi="Arial" w:cs="Arial"/>
          <w:sz w:val="20"/>
          <w:szCs w:val="20"/>
        </w:rPr>
        <w:t xml:space="preserve">Ganatra, B., Gerdts, C., Rossier, C., Johnson, B. R., </w:t>
      </w:r>
      <w:proofErr w:type="spellStart"/>
      <w:r w:rsidRPr="00257428">
        <w:rPr>
          <w:rFonts w:ascii="Arial" w:eastAsia="Times New Roman" w:hAnsi="Arial" w:cs="Arial"/>
          <w:sz w:val="20"/>
          <w:szCs w:val="20"/>
        </w:rPr>
        <w:t>Tuncalp</w:t>
      </w:r>
      <w:proofErr w:type="spellEnd"/>
      <w:r w:rsidRPr="00257428">
        <w:rPr>
          <w:rFonts w:ascii="Arial" w:eastAsia="Times New Roman" w:hAnsi="Arial" w:cs="Arial"/>
          <w:sz w:val="20"/>
          <w:szCs w:val="20"/>
        </w:rPr>
        <w:t xml:space="preserve">, Ӧ., </w:t>
      </w:r>
      <w:proofErr w:type="spellStart"/>
      <w:r w:rsidRPr="00257428">
        <w:rPr>
          <w:rFonts w:ascii="Arial" w:eastAsia="Times New Roman" w:hAnsi="Arial" w:cs="Arial"/>
          <w:sz w:val="20"/>
          <w:szCs w:val="20"/>
        </w:rPr>
        <w:t>Assifi</w:t>
      </w:r>
      <w:proofErr w:type="spellEnd"/>
      <w:r w:rsidRPr="00257428">
        <w:rPr>
          <w:rFonts w:ascii="Arial" w:eastAsia="Times New Roman" w:hAnsi="Arial" w:cs="Arial"/>
          <w:sz w:val="20"/>
          <w:szCs w:val="20"/>
        </w:rPr>
        <w:t>, A., ... &amp; Alkema, L. (2017). Global, regional, and subregional classification of abortions by safety, 2010–14: Estimates from a Bayesian hierarchical model. The Lancet, 390(10110), 2372–2381. https://doi.org/10.1016/S0140-6736(17)31794-4</w:t>
      </w:r>
      <w:r w:rsidR="00F17608" w:rsidRPr="00257428">
        <w:rPr>
          <w:rFonts w:ascii="Arial" w:hAnsi="Arial" w:cs="Arial"/>
          <w:sz w:val="20"/>
          <w:szCs w:val="20"/>
        </w:rPr>
        <w:t>.</w:t>
      </w:r>
      <w:bookmarkStart w:id="5" w:name="_Hlk203204603"/>
    </w:p>
    <w:bookmarkEnd w:id="5"/>
    <w:p w14:paraId="7A69562D" w14:textId="3FACAB1A" w:rsidR="00F17608" w:rsidRPr="0065531C" w:rsidRDefault="00C739D1" w:rsidP="00F17608">
      <w:pPr>
        <w:pStyle w:val="NormalWeb"/>
        <w:numPr>
          <w:ilvl w:val="0"/>
          <w:numId w:val="31"/>
        </w:numPr>
        <w:spacing w:before="100" w:beforeAutospacing="1" w:after="100" w:afterAutospacing="1"/>
        <w:jc w:val="both"/>
        <w:rPr>
          <w:rFonts w:ascii="Arial" w:hAnsi="Arial" w:cs="Arial"/>
          <w:sz w:val="20"/>
          <w:szCs w:val="20"/>
          <w:highlight w:val="yellow"/>
        </w:rPr>
      </w:pPr>
      <w:proofErr w:type="spellStart"/>
      <w:r w:rsidRPr="0065531C">
        <w:rPr>
          <w:rFonts w:ascii="Arial" w:hAnsi="Arial" w:cs="Arial"/>
          <w:sz w:val="20"/>
          <w:szCs w:val="20"/>
          <w:highlight w:val="yellow"/>
        </w:rPr>
        <w:t>Bearak</w:t>
      </w:r>
      <w:proofErr w:type="spellEnd"/>
      <w:r w:rsidRPr="0065531C">
        <w:rPr>
          <w:rFonts w:ascii="Arial" w:hAnsi="Arial" w:cs="Arial"/>
          <w:sz w:val="20"/>
          <w:szCs w:val="20"/>
          <w:highlight w:val="yellow"/>
        </w:rPr>
        <w:t xml:space="preserve">, J., </w:t>
      </w:r>
      <w:proofErr w:type="spellStart"/>
      <w:r w:rsidRPr="0065531C">
        <w:rPr>
          <w:rFonts w:ascii="Arial" w:hAnsi="Arial" w:cs="Arial"/>
          <w:sz w:val="20"/>
          <w:szCs w:val="20"/>
          <w:highlight w:val="yellow"/>
        </w:rPr>
        <w:t>Popinchalk</w:t>
      </w:r>
      <w:proofErr w:type="spellEnd"/>
      <w:r w:rsidRPr="0065531C">
        <w:rPr>
          <w:rFonts w:ascii="Arial" w:hAnsi="Arial" w:cs="Arial"/>
          <w:sz w:val="20"/>
          <w:szCs w:val="20"/>
          <w:highlight w:val="yellow"/>
        </w:rPr>
        <w:t>, A., Ganatra, B., Moller, A.</w:t>
      </w:r>
      <w:r w:rsidRPr="0065531C">
        <w:rPr>
          <w:rFonts w:ascii="Cambria Math" w:hAnsi="Cambria Math" w:cs="Cambria Math"/>
          <w:sz w:val="20"/>
          <w:szCs w:val="20"/>
          <w:highlight w:val="yellow"/>
        </w:rPr>
        <w:t>‑</w:t>
      </w:r>
      <w:r w:rsidRPr="0065531C">
        <w:rPr>
          <w:rFonts w:ascii="Arial" w:hAnsi="Arial" w:cs="Arial"/>
          <w:sz w:val="20"/>
          <w:szCs w:val="20"/>
          <w:highlight w:val="yellow"/>
        </w:rPr>
        <w:t xml:space="preserve">B., </w:t>
      </w:r>
      <w:proofErr w:type="spellStart"/>
      <w:r w:rsidRPr="0065531C">
        <w:rPr>
          <w:rFonts w:ascii="Arial" w:hAnsi="Arial" w:cs="Arial"/>
          <w:sz w:val="20"/>
          <w:szCs w:val="20"/>
          <w:highlight w:val="yellow"/>
        </w:rPr>
        <w:t>Tunçalp</w:t>
      </w:r>
      <w:proofErr w:type="spellEnd"/>
      <w:r w:rsidRPr="0065531C">
        <w:rPr>
          <w:rFonts w:ascii="Arial" w:hAnsi="Arial" w:cs="Arial"/>
          <w:sz w:val="20"/>
          <w:szCs w:val="20"/>
          <w:highlight w:val="yellow"/>
        </w:rPr>
        <w:t>, Ӧ., Beavin, C., Kwok, L., &amp; Alkema, L. (2020). Unintended pregnancy and abortion by income, region, and the legal status of abortion: Estimates from a comprehensive model for 1990–2019. The Lancet Global Health, 8(9), e1152–e1161. https://doi.org/10.1016/S2214-109X(20)30315-6</w:t>
      </w:r>
      <w:r w:rsidR="00F17608" w:rsidRPr="0065531C">
        <w:rPr>
          <w:rFonts w:ascii="Arial" w:hAnsi="Arial" w:cs="Arial"/>
          <w:sz w:val="20"/>
          <w:szCs w:val="20"/>
          <w:highlight w:val="yellow"/>
        </w:rPr>
        <w:t>.</w:t>
      </w:r>
    </w:p>
    <w:p w14:paraId="361BFA61"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proofErr w:type="spellStart"/>
      <w:r w:rsidRPr="00BE0119">
        <w:rPr>
          <w:rFonts w:ascii="Arial" w:hAnsi="Arial" w:cs="Arial"/>
          <w:sz w:val="20"/>
          <w:szCs w:val="20"/>
        </w:rPr>
        <w:t>Chireh</w:t>
      </w:r>
      <w:proofErr w:type="spellEnd"/>
      <w:r w:rsidRPr="00BE0119">
        <w:rPr>
          <w:rFonts w:ascii="Arial" w:hAnsi="Arial" w:cs="Arial"/>
          <w:sz w:val="20"/>
          <w:szCs w:val="20"/>
        </w:rPr>
        <w:t>, B., Essien, S. K., &amp; D’Arcy, C. (2021). First trimester antenatal care visit reduces the risk of miscarriage among women of reproductive age in Ghana. African Journal of Reproductive Health, 25(1), 129-137. Doi: 10.29063/ajrh2021/v25i1.15</w:t>
      </w:r>
    </w:p>
    <w:p w14:paraId="6A6122CB"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r w:rsidRPr="00BE0119">
        <w:rPr>
          <w:rFonts w:ascii="Arial" w:hAnsi="Arial" w:cs="Arial"/>
          <w:sz w:val="20"/>
          <w:szCs w:val="20"/>
        </w:rPr>
        <w:t xml:space="preserve">Pun, K. M., Silwal, K., Poudel, A., &amp; </w:t>
      </w:r>
      <w:proofErr w:type="spellStart"/>
      <w:r w:rsidRPr="00BE0119">
        <w:rPr>
          <w:rFonts w:ascii="Arial" w:hAnsi="Arial" w:cs="Arial"/>
          <w:sz w:val="20"/>
          <w:szCs w:val="20"/>
        </w:rPr>
        <w:t>Panthee</w:t>
      </w:r>
      <w:proofErr w:type="spellEnd"/>
      <w:r w:rsidRPr="00BE0119">
        <w:rPr>
          <w:rFonts w:ascii="Arial" w:hAnsi="Arial" w:cs="Arial"/>
          <w:sz w:val="20"/>
          <w:szCs w:val="20"/>
        </w:rPr>
        <w:t>, B. (2021). Factors associated with spontaneous abortion among reproductive aged women. International Journal of Health Sciences and Research, 11(9), 246-251.</w:t>
      </w:r>
    </w:p>
    <w:p w14:paraId="2B80B17F"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r w:rsidRPr="00BE0119">
        <w:rPr>
          <w:rFonts w:ascii="Arial" w:hAnsi="Arial" w:cs="Arial"/>
          <w:sz w:val="20"/>
          <w:szCs w:val="20"/>
        </w:rPr>
        <w:t>Allen, R. H., &amp; Singh, R. (2018). Society of Family Planning clinical guidelines pain control in surgical abortion part 1 local anesthesia and minimal sedation. Contraception, 97(6), 471-477. Doi:10.1016/j.contraception.2018.01.014</w:t>
      </w:r>
    </w:p>
    <w:p w14:paraId="03261042"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r w:rsidRPr="00BE0119">
        <w:rPr>
          <w:rFonts w:ascii="Arial" w:hAnsi="Arial" w:cs="Arial"/>
          <w:sz w:val="20"/>
          <w:szCs w:val="20"/>
        </w:rPr>
        <w:t xml:space="preserve">Moseson, H., Jayaweera, R. T., </w:t>
      </w:r>
      <w:proofErr w:type="spellStart"/>
      <w:r w:rsidRPr="00BE0119">
        <w:rPr>
          <w:rFonts w:ascii="Arial" w:hAnsi="Arial" w:cs="Arial"/>
          <w:sz w:val="20"/>
          <w:szCs w:val="20"/>
        </w:rPr>
        <w:t>Egwuatu</w:t>
      </w:r>
      <w:proofErr w:type="spellEnd"/>
      <w:r w:rsidRPr="00BE0119">
        <w:rPr>
          <w:rFonts w:ascii="Arial" w:hAnsi="Arial" w:cs="Arial"/>
          <w:sz w:val="20"/>
          <w:szCs w:val="20"/>
        </w:rPr>
        <w:t xml:space="preserve">, I., Grosso, B., &amp; Gerdts, C. (2020). Self-managed abortion: A systematic scoping review. Best Practice &amp; Research Clinical Obstetrics &amp; </w:t>
      </w:r>
      <w:proofErr w:type="spellStart"/>
      <w:r w:rsidRPr="00BE0119">
        <w:rPr>
          <w:rFonts w:ascii="Arial" w:hAnsi="Arial" w:cs="Arial"/>
          <w:sz w:val="20"/>
          <w:szCs w:val="20"/>
        </w:rPr>
        <w:t>Gynaecology</w:t>
      </w:r>
      <w:proofErr w:type="spellEnd"/>
      <w:r w:rsidRPr="00BE0119">
        <w:rPr>
          <w:rFonts w:ascii="Arial" w:hAnsi="Arial" w:cs="Arial"/>
          <w:sz w:val="20"/>
          <w:szCs w:val="20"/>
        </w:rPr>
        <w:t>, 63, 87-110.</w:t>
      </w:r>
    </w:p>
    <w:p w14:paraId="62751A5A" w14:textId="257F3678" w:rsidR="00F17608" w:rsidRPr="0065531C" w:rsidRDefault="0011001A" w:rsidP="00F17608">
      <w:pPr>
        <w:pStyle w:val="NormalWeb"/>
        <w:numPr>
          <w:ilvl w:val="0"/>
          <w:numId w:val="31"/>
        </w:numPr>
        <w:spacing w:before="100" w:beforeAutospacing="1" w:after="100" w:afterAutospacing="1"/>
        <w:jc w:val="both"/>
        <w:rPr>
          <w:rFonts w:ascii="Arial" w:hAnsi="Arial" w:cs="Arial"/>
          <w:sz w:val="20"/>
          <w:szCs w:val="20"/>
          <w:highlight w:val="yellow"/>
        </w:rPr>
      </w:pPr>
      <w:r w:rsidRPr="0065531C">
        <w:rPr>
          <w:rFonts w:ascii="Arial" w:hAnsi="Arial" w:cs="Arial"/>
          <w:sz w:val="20"/>
          <w:szCs w:val="20"/>
          <w:highlight w:val="yellow"/>
        </w:rPr>
        <w:t xml:space="preserve">Shah, I., &amp; Ahman, E. (2009). Unsafe abortion: global and regional incidence, trends, consequences, and challenges. Journal of obstetrics and </w:t>
      </w:r>
      <w:proofErr w:type="spellStart"/>
      <w:r w:rsidRPr="0065531C">
        <w:rPr>
          <w:rFonts w:ascii="Arial" w:hAnsi="Arial" w:cs="Arial"/>
          <w:sz w:val="20"/>
          <w:szCs w:val="20"/>
          <w:highlight w:val="yellow"/>
        </w:rPr>
        <w:t>gynaecology</w:t>
      </w:r>
      <w:proofErr w:type="spellEnd"/>
      <w:r w:rsidRPr="0065531C">
        <w:rPr>
          <w:rFonts w:ascii="Arial" w:hAnsi="Arial" w:cs="Arial"/>
          <w:sz w:val="20"/>
          <w:szCs w:val="20"/>
          <w:highlight w:val="yellow"/>
        </w:rPr>
        <w:t xml:space="preserve"> Canada: JOGC = Journal </w:t>
      </w:r>
      <w:proofErr w:type="spellStart"/>
      <w:r w:rsidRPr="0065531C">
        <w:rPr>
          <w:rFonts w:ascii="Arial" w:hAnsi="Arial" w:cs="Arial"/>
          <w:sz w:val="20"/>
          <w:szCs w:val="20"/>
          <w:highlight w:val="yellow"/>
        </w:rPr>
        <w:t>d'obstetrique</w:t>
      </w:r>
      <w:proofErr w:type="spellEnd"/>
      <w:r w:rsidRPr="0065531C">
        <w:rPr>
          <w:rFonts w:ascii="Arial" w:hAnsi="Arial" w:cs="Arial"/>
          <w:sz w:val="20"/>
          <w:szCs w:val="20"/>
          <w:highlight w:val="yellow"/>
        </w:rPr>
        <w:t xml:space="preserve"> et </w:t>
      </w:r>
      <w:proofErr w:type="spellStart"/>
      <w:r w:rsidRPr="0065531C">
        <w:rPr>
          <w:rFonts w:ascii="Arial" w:hAnsi="Arial" w:cs="Arial"/>
          <w:sz w:val="20"/>
          <w:szCs w:val="20"/>
          <w:highlight w:val="yellow"/>
        </w:rPr>
        <w:t>gynecologie</w:t>
      </w:r>
      <w:proofErr w:type="spellEnd"/>
      <w:r w:rsidRPr="0065531C">
        <w:rPr>
          <w:rFonts w:ascii="Arial" w:hAnsi="Arial" w:cs="Arial"/>
          <w:sz w:val="20"/>
          <w:szCs w:val="20"/>
          <w:highlight w:val="yellow"/>
        </w:rPr>
        <w:t xml:space="preserve"> du Canada: JOGC, 31(12), 1149–1158.</w:t>
      </w:r>
      <w:r w:rsidR="00F17608" w:rsidRPr="0065531C">
        <w:rPr>
          <w:rFonts w:ascii="Arial" w:hAnsi="Arial" w:cs="Arial"/>
          <w:sz w:val="20"/>
          <w:szCs w:val="20"/>
          <w:highlight w:val="yellow"/>
        </w:rPr>
        <w:t>.</w:t>
      </w:r>
    </w:p>
    <w:p w14:paraId="3F39183D" w14:textId="77777777" w:rsidR="00B01FCD" w:rsidRPr="00FB3A86" w:rsidRDefault="00B01FCD" w:rsidP="00441B6F">
      <w:pPr>
        <w:pStyle w:val="Appendix"/>
        <w:spacing w:after="0"/>
        <w:jc w:val="both"/>
        <w:rPr>
          <w:rFonts w:ascii="Arial" w:hAnsi="Arial" w:cs="Arial"/>
          <w:b w:val="0"/>
        </w:rPr>
      </w:pPr>
    </w:p>
    <w:sectPr w:rsidR="00B01FCD" w:rsidRPr="00FB3A86" w:rsidSect="00257CF7">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A5673" w14:textId="77777777" w:rsidR="00D43DED" w:rsidRDefault="00D43DED" w:rsidP="00C37E61">
      <w:r>
        <w:separator/>
      </w:r>
    </w:p>
  </w:endnote>
  <w:endnote w:type="continuationSeparator" w:id="0">
    <w:p w14:paraId="633E5C54" w14:textId="77777777" w:rsidR="00D43DED" w:rsidRDefault="00D43DE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D954" w14:textId="77777777" w:rsidR="00257CF7" w:rsidRDefault="00257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136DF" w14:textId="77777777" w:rsidR="00257CF7" w:rsidRDefault="00257C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BAD2" w14:textId="594A3071" w:rsidR="00754C9A" w:rsidRPr="00257CF7" w:rsidRDefault="00754C9A" w:rsidP="00257C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0EDC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D2B61" w14:textId="77777777" w:rsidR="00D43DED" w:rsidRDefault="00D43DED" w:rsidP="00C37E61">
      <w:r>
        <w:separator/>
      </w:r>
    </w:p>
  </w:footnote>
  <w:footnote w:type="continuationSeparator" w:id="0">
    <w:p w14:paraId="2802DE02" w14:textId="77777777" w:rsidR="00D43DED" w:rsidRDefault="00D43DE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1B666" w14:textId="5E61B320" w:rsidR="00257CF7" w:rsidRDefault="00000000">
    <w:pPr>
      <w:pStyle w:val="Header"/>
    </w:pPr>
    <w:r>
      <w:rPr>
        <w:noProof/>
      </w:rPr>
      <w:pict w14:anchorId="485E22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35829"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1BDE9" w14:textId="35A3E325" w:rsidR="00257CF7" w:rsidRDefault="00000000">
    <w:pPr>
      <w:pStyle w:val="Header"/>
    </w:pPr>
    <w:r>
      <w:rPr>
        <w:noProof/>
      </w:rPr>
      <w:pict w14:anchorId="36715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35830"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2D200" w14:textId="32494964" w:rsidR="00296529" w:rsidRPr="00296529" w:rsidRDefault="00000000" w:rsidP="00296529">
    <w:pPr>
      <w:ind w:left="2160"/>
      <w:jc w:val="center"/>
      <w:rPr>
        <w:rFonts w:ascii="Times New Roman" w:eastAsia="Calibri" w:hAnsi="Times New Roman"/>
        <w:i/>
        <w:sz w:val="18"/>
        <w:szCs w:val="22"/>
      </w:rPr>
    </w:pPr>
    <w:r>
      <w:rPr>
        <w:noProof/>
      </w:rPr>
      <w:pict w14:anchorId="744912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35828"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B5F32A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E27E72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BDC520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E43EEF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32A57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501864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3ED3" w14:textId="0360DB37" w:rsidR="00257CF7" w:rsidRDefault="00000000">
    <w:pPr>
      <w:pStyle w:val="Header"/>
    </w:pPr>
    <w:r>
      <w:rPr>
        <w:noProof/>
      </w:rPr>
      <w:pict w14:anchorId="023D4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35832"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7F24" w14:textId="3D9358D3" w:rsidR="00257CF7" w:rsidRDefault="00000000">
    <w:pPr>
      <w:pStyle w:val="Header"/>
    </w:pPr>
    <w:r>
      <w:rPr>
        <w:noProof/>
      </w:rPr>
      <w:pict w14:anchorId="6502F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35833"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FE00" w14:textId="3E65B1CF" w:rsidR="00257CF7" w:rsidRDefault="00000000">
    <w:pPr>
      <w:pStyle w:val="Header"/>
    </w:pPr>
    <w:r>
      <w:rPr>
        <w:noProof/>
      </w:rPr>
      <w:pict w14:anchorId="1AA4C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35831"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B113120"/>
    <w:multiLevelType w:val="multilevel"/>
    <w:tmpl w:val="B104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809449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19780487">
    <w:abstractNumId w:val="15"/>
  </w:num>
  <w:num w:numId="3" w16cid:durableId="1978224139">
    <w:abstractNumId w:val="24"/>
  </w:num>
  <w:num w:numId="4" w16cid:durableId="206054371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41777110">
    <w:abstractNumId w:val="7"/>
  </w:num>
  <w:num w:numId="6" w16cid:durableId="1096244909">
    <w:abstractNumId w:val="6"/>
  </w:num>
  <w:num w:numId="7" w16cid:durableId="1599483637">
    <w:abstractNumId w:val="1"/>
  </w:num>
  <w:num w:numId="8" w16cid:durableId="1259215538">
    <w:abstractNumId w:val="12"/>
  </w:num>
  <w:num w:numId="9" w16cid:durableId="733432503">
    <w:abstractNumId w:val="26"/>
  </w:num>
  <w:num w:numId="10" w16cid:durableId="1999187398">
    <w:abstractNumId w:val="2"/>
  </w:num>
  <w:num w:numId="11" w16cid:durableId="1403134663">
    <w:abstractNumId w:val="18"/>
  </w:num>
  <w:num w:numId="12" w16cid:durableId="1497188277">
    <w:abstractNumId w:val="3"/>
  </w:num>
  <w:num w:numId="13" w16cid:durableId="57168443">
    <w:abstractNumId w:val="17"/>
  </w:num>
  <w:num w:numId="14" w16cid:durableId="1815020875">
    <w:abstractNumId w:val="8"/>
  </w:num>
  <w:num w:numId="15" w16cid:durableId="1458135931">
    <w:abstractNumId w:val="22"/>
  </w:num>
  <w:num w:numId="16" w16cid:durableId="1398891795">
    <w:abstractNumId w:val="5"/>
  </w:num>
  <w:num w:numId="17" w16cid:durableId="697782385">
    <w:abstractNumId w:val="23"/>
  </w:num>
  <w:num w:numId="18" w16cid:durableId="2078749266">
    <w:abstractNumId w:val="14"/>
  </w:num>
  <w:num w:numId="19" w16cid:durableId="563297685">
    <w:abstractNumId w:val="29"/>
  </w:num>
  <w:num w:numId="20" w16cid:durableId="82922141">
    <w:abstractNumId w:val="11"/>
  </w:num>
  <w:num w:numId="21" w16cid:durableId="1692293323">
    <w:abstractNumId w:val="9"/>
  </w:num>
  <w:num w:numId="22" w16cid:durableId="1945729408">
    <w:abstractNumId w:val="13"/>
  </w:num>
  <w:num w:numId="23" w16cid:durableId="1392117881">
    <w:abstractNumId w:val="20"/>
  </w:num>
  <w:num w:numId="24" w16cid:durableId="1893732215">
    <w:abstractNumId w:val="27"/>
  </w:num>
  <w:num w:numId="25" w16cid:durableId="579487586">
    <w:abstractNumId w:val="4"/>
  </w:num>
  <w:num w:numId="26" w16cid:durableId="1417365184">
    <w:abstractNumId w:val="16"/>
  </w:num>
  <w:num w:numId="27" w16cid:durableId="968978148">
    <w:abstractNumId w:val="21"/>
  </w:num>
  <w:num w:numId="28" w16cid:durableId="34279046">
    <w:abstractNumId w:val="28"/>
  </w:num>
  <w:num w:numId="29" w16cid:durableId="497426145">
    <w:abstractNumId w:val="25"/>
  </w:num>
  <w:num w:numId="30" w16cid:durableId="1524394491">
    <w:abstractNumId w:val="10"/>
  </w:num>
  <w:num w:numId="31" w16cid:durableId="13877984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4FBE"/>
    <w:rsid w:val="00030174"/>
    <w:rsid w:val="0004579C"/>
    <w:rsid w:val="00084E33"/>
    <w:rsid w:val="000A47FA"/>
    <w:rsid w:val="000A65D3"/>
    <w:rsid w:val="000B1E33"/>
    <w:rsid w:val="000B490D"/>
    <w:rsid w:val="000D689F"/>
    <w:rsid w:val="000E7B7B"/>
    <w:rsid w:val="000E7D62"/>
    <w:rsid w:val="000F1744"/>
    <w:rsid w:val="00103357"/>
    <w:rsid w:val="0011001A"/>
    <w:rsid w:val="00123C9F"/>
    <w:rsid w:val="00126190"/>
    <w:rsid w:val="00130F17"/>
    <w:rsid w:val="001320BF"/>
    <w:rsid w:val="001467C3"/>
    <w:rsid w:val="00163BC4"/>
    <w:rsid w:val="00180FE1"/>
    <w:rsid w:val="00191062"/>
    <w:rsid w:val="00192B72"/>
    <w:rsid w:val="001A29D8"/>
    <w:rsid w:val="001A5CAA"/>
    <w:rsid w:val="001B0427"/>
    <w:rsid w:val="001D3A51"/>
    <w:rsid w:val="001E10D2"/>
    <w:rsid w:val="001E25B4"/>
    <w:rsid w:val="001E44FE"/>
    <w:rsid w:val="001F74D2"/>
    <w:rsid w:val="00200595"/>
    <w:rsid w:val="00204835"/>
    <w:rsid w:val="002175ED"/>
    <w:rsid w:val="0022259D"/>
    <w:rsid w:val="00231920"/>
    <w:rsid w:val="0023195C"/>
    <w:rsid w:val="0024282C"/>
    <w:rsid w:val="002460DC"/>
    <w:rsid w:val="00250985"/>
    <w:rsid w:val="002556F6"/>
    <w:rsid w:val="00257428"/>
    <w:rsid w:val="00257CF7"/>
    <w:rsid w:val="00265A1D"/>
    <w:rsid w:val="0026724D"/>
    <w:rsid w:val="00283105"/>
    <w:rsid w:val="00284C4C"/>
    <w:rsid w:val="00287E68"/>
    <w:rsid w:val="002944C6"/>
    <w:rsid w:val="00296529"/>
    <w:rsid w:val="002B27FB"/>
    <w:rsid w:val="002B685A"/>
    <w:rsid w:val="002B7B71"/>
    <w:rsid w:val="002C57D2"/>
    <w:rsid w:val="002C7D53"/>
    <w:rsid w:val="002E0D56"/>
    <w:rsid w:val="00311372"/>
    <w:rsid w:val="00315186"/>
    <w:rsid w:val="0033343E"/>
    <w:rsid w:val="00341B55"/>
    <w:rsid w:val="003512C2"/>
    <w:rsid w:val="003548BC"/>
    <w:rsid w:val="00371FB6"/>
    <w:rsid w:val="00374263"/>
    <w:rsid w:val="003763C1"/>
    <w:rsid w:val="00376BBE"/>
    <w:rsid w:val="0039224F"/>
    <w:rsid w:val="003A43A4"/>
    <w:rsid w:val="003A7E18"/>
    <w:rsid w:val="003C4C86"/>
    <w:rsid w:val="003C6258"/>
    <w:rsid w:val="003E2904"/>
    <w:rsid w:val="00401927"/>
    <w:rsid w:val="0041027F"/>
    <w:rsid w:val="00412475"/>
    <w:rsid w:val="00414F91"/>
    <w:rsid w:val="00423789"/>
    <w:rsid w:val="00440F43"/>
    <w:rsid w:val="00441B6F"/>
    <w:rsid w:val="00446221"/>
    <w:rsid w:val="00450E62"/>
    <w:rsid w:val="00452E43"/>
    <w:rsid w:val="004539DB"/>
    <w:rsid w:val="00454F34"/>
    <w:rsid w:val="00471A80"/>
    <w:rsid w:val="004803BA"/>
    <w:rsid w:val="004C26C3"/>
    <w:rsid w:val="004D305E"/>
    <w:rsid w:val="004D4277"/>
    <w:rsid w:val="004E7C29"/>
    <w:rsid w:val="00502516"/>
    <w:rsid w:val="00505F06"/>
    <w:rsid w:val="00506828"/>
    <w:rsid w:val="00517B0F"/>
    <w:rsid w:val="0053056E"/>
    <w:rsid w:val="005314FC"/>
    <w:rsid w:val="00554FDA"/>
    <w:rsid w:val="005557E8"/>
    <w:rsid w:val="005729B5"/>
    <w:rsid w:val="005B2921"/>
    <w:rsid w:val="005C1DF6"/>
    <w:rsid w:val="005C784C"/>
    <w:rsid w:val="005D17F6"/>
    <w:rsid w:val="005E5539"/>
    <w:rsid w:val="00602BF5"/>
    <w:rsid w:val="00617FDD"/>
    <w:rsid w:val="00633614"/>
    <w:rsid w:val="00633F68"/>
    <w:rsid w:val="00636EB2"/>
    <w:rsid w:val="006375B8"/>
    <w:rsid w:val="0065531C"/>
    <w:rsid w:val="0066510A"/>
    <w:rsid w:val="00673F9F"/>
    <w:rsid w:val="00686953"/>
    <w:rsid w:val="00687DEA"/>
    <w:rsid w:val="00687E67"/>
    <w:rsid w:val="00695EBF"/>
    <w:rsid w:val="006967F7"/>
    <w:rsid w:val="006A250C"/>
    <w:rsid w:val="006B21D3"/>
    <w:rsid w:val="006B57D0"/>
    <w:rsid w:val="006C3896"/>
    <w:rsid w:val="006D30FF"/>
    <w:rsid w:val="006D6940"/>
    <w:rsid w:val="006E38A7"/>
    <w:rsid w:val="006F11EC"/>
    <w:rsid w:val="006F4525"/>
    <w:rsid w:val="0070082C"/>
    <w:rsid w:val="00732769"/>
    <w:rsid w:val="007369E6"/>
    <w:rsid w:val="00746E59"/>
    <w:rsid w:val="00754C9A"/>
    <w:rsid w:val="0075599A"/>
    <w:rsid w:val="00761D52"/>
    <w:rsid w:val="00771C66"/>
    <w:rsid w:val="00773D13"/>
    <w:rsid w:val="007740A7"/>
    <w:rsid w:val="00776157"/>
    <w:rsid w:val="0077749E"/>
    <w:rsid w:val="00790ADA"/>
    <w:rsid w:val="007A34AC"/>
    <w:rsid w:val="007D2288"/>
    <w:rsid w:val="007D642E"/>
    <w:rsid w:val="007E088F"/>
    <w:rsid w:val="007F6F77"/>
    <w:rsid w:val="007F7B32"/>
    <w:rsid w:val="00804BC2"/>
    <w:rsid w:val="0081431A"/>
    <w:rsid w:val="00820B59"/>
    <w:rsid w:val="0083216F"/>
    <w:rsid w:val="008348E0"/>
    <w:rsid w:val="0083504C"/>
    <w:rsid w:val="00860000"/>
    <w:rsid w:val="00863BD3"/>
    <w:rsid w:val="008641ED"/>
    <w:rsid w:val="00866D66"/>
    <w:rsid w:val="008671C6"/>
    <w:rsid w:val="00873621"/>
    <w:rsid w:val="00875803"/>
    <w:rsid w:val="008B459E"/>
    <w:rsid w:val="008C0FFC"/>
    <w:rsid w:val="008D53D1"/>
    <w:rsid w:val="008E13AE"/>
    <w:rsid w:val="008E1506"/>
    <w:rsid w:val="008E1DC8"/>
    <w:rsid w:val="008E710C"/>
    <w:rsid w:val="008F69D6"/>
    <w:rsid w:val="00902823"/>
    <w:rsid w:val="00902D22"/>
    <w:rsid w:val="00915CA6"/>
    <w:rsid w:val="00927834"/>
    <w:rsid w:val="009500A6"/>
    <w:rsid w:val="00957269"/>
    <w:rsid w:val="00957C18"/>
    <w:rsid w:val="009659BA"/>
    <w:rsid w:val="0097558C"/>
    <w:rsid w:val="00983040"/>
    <w:rsid w:val="009B3FB9"/>
    <w:rsid w:val="009C2465"/>
    <w:rsid w:val="009C501F"/>
    <w:rsid w:val="009D28A4"/>
    <w:rsid w:val="009D35A0"/>
    <w:rsid w:val="009D7EB7"/>
    <w:rsid w:val="009E048A"/>
    <w:rsid w:val="009E08E9"/>
    <w:rsid w:val="009E3DB9"/>
    <w:rsid w:val="009E6E35"/>
    <w:rsid w:val="009F0EDA"/>
    <w:rsid w:val="009F4A67"/>
    <w:rsid w:val="00A03B96"/>
    <w:rsid w:val="00A05B19"/>
    <w:rsid w:val="00A1134E"/>
    <w:rsid w:val="00A23F7C"/>
    <w:rsid w:val="00A24E7E"/>
    <w:rsid w:val="00A258C3"/>
    <w:rsid w:val="00A347C0"/>
    <w:rsid w:val="00A456A6"/>
    <w:rsid w:val="00A51431"/>
    <w:rsid w:val="00A539AD"/>
    <w:rsid w:val="00A64828"/>
    <w:rsid w:val="00A94063"/>
    <w:rsid w:val="00AA6219"/>
    <w:rsid w:val="00AA74E0"/>
    <w:rsid w:val="00AB703F"/>
    <w:rsid w:val="00AC6BB8"/>
    <w:rsid w:val="00AE008F"/>
    <w:rsid w:val="00AE5DA1"/>
    <w:rsid w:val="00B01FCD"/>
    <w:rsid w:val="00B038BF"/>
    <w:rsid w:val="00B1776C"/>
    <w:rsid w:val="00B31592"/>
    <w:rsid w:val="00B52583"/>
    <w:rsid w:val="00B52896"/>
    <w:rsid w:val="00B61448"/>
    <w:rsid w:val="00B8213C"/>
    <w:rsid w:val="00B95236"/>
    <w:rsid w:val="00B96BD9"/>
    <w:rsid w:val="00BA1125"/>
    <w:rsid w:val="00BA1B01"/>
    <w:rsid w:val="00BA2641"/>
    <w:rsid w:val="00BA624F"/>
    <w:rsid w:val="00BB2F1C"/>
    <w:rsid w:val="00BB37AA"/>
    <w:rsid w:val="00BC53A0"/>
    <w:rsid w:val="00BD3729"/>
    <w:rsid w:val="00BE5720"/>
    <w:rsid w:val="00BE62AD"/>
    <w:rsid w:val="00BF0F66"/>
    <w:rsid w:val="00BF121F"/>
    <w:rsid w:val="00BF1F80"/>
    <w:rsid w:val="00C166EF"/>
    <w:rsid w:val="00C17EB0"/>
    <w:rsid w:val="00C27F5F"/>
    <w:rsid w:val="00C30A0F"/>
    <w:rsid w:val="00C37E61"/>
    <w:rsid w:val="00C60924"/>
    <w:rsid w:val="00C70F1B"/>
    <w:rsid w:val="00C71A47"/>
    <w:rsid w:val="00C739D1"/>
    <w:rsid w:val="00C7464C"/>
    <w:rsid w:val="00C85588"/>
    <w:rsid w:val="00CA5F4E"/>
    <w:rsid w:val="00CA6B1B"/>
    <w:rsid w:val="00CD6755"/>
    <w:rsid w:val="00CD6856"/>
    <w:rsid w:val="00CE0089"/>
    <w:rsid w:val="00CE793C"/>
    <w:rsid w:val="00CF193C"/>
    <w:rsid w:val="00CF2D71"/>
    <w:rsid w:val="00D12D3A"/>
    <w:rsid w:val="00D173F1"/>
    <w:rsid w:val="00D34C03"/>
    <w:rsid w:val="00D43DED"/>
    <w:rsid w:val="00D74CB0"/>
    <w:rsid w:val="00D8295D"/>
    <w:rsid w:val="00D84E62"/>
    <w:rsid w:val="00D94B17"/>
    <w:rsid w:val="00DC2A65"/>
    <w:rsid w:val="00DE0326"/>
    <w:rsid w:val="00DE15F0"/>
    <w:rsid w:val="00DE5663"/>
    <w:rsid w:val="00DE78AA"/>
    <w:rsid w:val="00E053D0"/>
    <w:rsid w:val="00E15994"/>
    <w:rsid w:val="00E201BB"/>
    <w:rsid w:val="00E3114E"/>
    <w:rsid w:val="00E31A70"/>
    <w:rsid w:val="00E35B02"/>
    <w:rsid w:val="00E37673"/>
    <w:rsid w:val="00E656C1"/>
    <w:rsid w:val="00E66496"/>
    <w:rsid w:val="00E66B35"/>
    <w:rsid w:val="00E66E10"/>
    <w:rsid w:val="00E7414C"/>
    <w:rsid w:val="00E769F6"/>
    <w:rsid w:val="00E8407C"/>
    <w:rsid w:val="00E84F3C"/>
    <w:rsid w:val="00EA012C"/>
    <w:rsid w:val="00EC6A55"/>
    <w:rsid w:val="00ED0288"/>
    <w:rsid w:val="00EE52CB"/>
    <w:rsid w:val="00EF581D"/>
    <w:rsid w:val="00EF7FD8"/>
    <w:rsid w:val="00F06F59"/>
    <w:rsid w:val="00F17608"/>
    <w:rsid w:val="00F17988"/>
    <w:rsid w:val="00F265F3"/>
    <w:rsid w:val="00F469F0"/>
    <w:rsid w:val="00F53273"/>
    <w:rsid w:val="00F57FCD"/>
    <w:rsid w:val="00F67A2F"/>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D73113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D372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773D13"/>
    <w:rPr>
      <w:rFonts w:ascii="Times New Roman" w:hAnsi="Times New Roman"/>
      <w:sz w:val="24"/>
      <w:szCs w:val="24"/>
    </w:rPr>
  </w:style>
  <w:style w:type="character" w:customStyle="1" w:styleId="Heading3Char">
    <w:name w:val="Heading 3 Char"/>
    <w:basedOn w:val="DefaultParagraphFont"/>
    <w:link w:val="Heading3"/>
    <w:semiHidden/>
    <w:rsid w:val="00BD372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F17608"/>
    <w:pPr>
      <w:spacing w:after="160" w:line="259" w:lineRule="auto"/>
      <w:ind w:left="720"/>
      <w:contextualSpacing/>
    </w:pPr>
    <w:rPr>
      <w:rFonts w:ascii="Calibri" w:eastAsia="Calibri" w:hAnsi="Calibri" w:cs="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5904995">
      <w:bodyDiv w:val="1"/>
      <w:marLeft w:val="0"/>
      <w:marRight w:val="0"/>
      <w:marTop w:val="0"/>
      <w:marBottom w:val="0"/>
      <w:divBdr>
        <w:top w:val="none" w:sz="0" w:space="0" w:color="auto"/>
        <w:left w:val="none" w:sz="0" w:space="0" w:color="auto"/>
        <w:bottom w:val="none" w:sz="0" w:space="0" w:color="auto"/>
        <w:right w:val="none" w:sz="0" w:space="0" w:color="auto"/>
      </w:divBdr>
      <w:divsChild>
        <w:div w:id="1500736226">
          <w:marLeft w:val="0"/>
          <w:marRight w:val="0"/>
          <w:marTop w:val="0"/>
          <w:marBottom w:val="0"/>
          <w:divBdr>
            <w:top w:val="none" w:sz="0" w:space="0" w:color="auto"/>
            <w:left w:val="none" w:sz="0" w:space="0" w:color="auto"/>
            <w:bottom w:val="none" w:sz="0" w:space="0" w:color="auto"/>
            <w:right w:val="none" w:sz="0" w:space="0" w:color="auto"/>
          </w:divBdr>
          <w:divsChild>
            <w:div w:id="366218850">
              <w:marLeft w:val="0"/>
              <w:marRight w:val="0"/>
              <w:marTop w:val="0"/>
              <w:marBottom w:val="0"/>
              <w:divBdr>
                <w:top w:val="none" w:sz="0" w:space="0" w:color="auto"/>
                <w:left w:val="none" w:sz="0" w:space="0" w:color="auto"/>
                <w:bottom w:val="none" w:sz="0" w:space="0" w:color="auto"/>
                <w:right w:val="none" w:sz="0" w:space="0" w:color="auto"/>
              </w:divBdr>
              <w:divsChild>
                <w:div w:id="1477991277">
                  <w:marLeft w:val="0"/>
                  <w:marRight w:val="0"/>
                  <w:marTop w:val="0"/>
                  <w:marBottom w:val="0"/>
                  <w:divBdr>
                    <w:top w:val="none" w:sz="0" w:space="0" w:color="auto"/>
                    <w:left w:val="none" w:sz="0" w:space="0" w:color="auto"/>
                    <w:bottom w:val="none" w:sz="0" w:space="0" w:color="auto"/>
                    <w:right w:val="none" w:sz="0" w:space="0" w:color="auto"/>
                  </w:divBdr>
                  <w:divsChild>
                    <w:div w:id="1589272592">
                      <w:marLeft w:val="0"/>
                      <w:marRight w:val="0"/>
                      <w:marTop w:val="0"/>
                      <w:marBottom w:val="0"/>
                      <w:divBdr>
                        <w:top w:val="none" w:sz="0" w:space="0" w:color="auto"/>
                        <w:left w:val="none" w:sz="0" w:space="0" w:color="auto"/>
                        <w:bottom w:val="none" w:sz="0" w:space="0" w:color="auto"/>
                        <w:right w:val="none" w:sz="0" w:space="0" w:color="auto"/>
                      </w:divBdr>
                      <w:divsChild>
                        <w:div w:id="1987852665">
                          <w:marLeft w:val="0"/>
                          <w:marRight w:val="0"/>
                          <w:marTop w:val="0"/>
                          <w:marBottom w:val="0"/>
                          <w:divBdr>
                            <w:top w:val="none" w:sz="0" w:space="0" w:color="auto"/>
                            <w:left w:val="none" w:sz="0" w:space="0" w:color="auto"/>
                            <w:bottom w:val="none" w:sz="0" w:space="0" w:color="auto"/>
                            <w:right w:val="none" w:sz="0" w:space="0" w:color="auto"/>
                          </w:divBdr>
                          <w:divsChild>
                            <w:div w:id="1152713808">
                              <w:marLeft w:val="0"/>
                              <w:marRight w:val="0"/>
                              <w:marTop w:val="0"/>
                              <w:marBottom w:val="0"/>
                              <w:divBdr>
                                <w:top w:val="none" w:sz="0" w:space="0" w:color="auto"/>
                                <w:left w:val="none" w:sz="0" w:space="0" w:color="auto"/>
                                <w:bottom w:val="none" w:sz="0" w:space="0" w:color="auto"/>
                                <w:right w:val="none" w:sz="0" w:space="0" w:color="auto"/>
                              </w:divBdr>
                              <w:divsChild>
                                <w:div w:id="859390492">
                                  <w:marLeft w:val="0"/>
                                  <w:marRight w:val="0"/>
                                  <w:marTop w:val="0"/>
                                  <w:marBottom w:val="0"/>
                                  <w:divBdr>
                                    <w:top w:val="none" w:sz="0" w:space="0" w:color="auto"/>
                                    <w:left w:val="none" w:sz="0" w:space="0" w:color="auto"/>
                                    <w:bottom w:val="none" w:sz="0" w:space="0" w:color="auto"/>
                                    <w:right w:val="none" w:sz="0" w:space="0" w:color="auto"/>
                                  </w:divBdr>
                                  <w:divsChild>
                                    <w:div w:id="227158620">
                                      <w:marLeft w:val="0"/>
                                      <w:marRight w:val="0"/>
                                      <w:marTop w:val="0"/>
                                      <w:marBottom w:val="0"/>
                                      <w:divBdr>
                                        <w:top w:val="none" w:sz="0" w:space="0" w:color="auto"/>
                                        <w:left w:val="none" w:sz="0" w:space="0" w:color="auto"/>
                                        <w:bottom w:val="none" w:sz="0" w:space="0" w:color="auto"/>
                                        <w:right w:val="none" w:sz="0" w:space="0" w:color="auto"/>
                                      </w:divBdr>
                                      <w:divsChild>
                                        <w:div w:id="2045910515">
                                          <w:marLeft w:val="0"/>
                                          <w:marRight w:val="0"/>
                                          <w:marTop w:val="0"/>
                                          <w:marBottom w:val="0"/>
                                          <w:divBdr>
                                            <w:top w:val="none" w:sz="0" w:space="0" w:color="auto"/>
                                            <w:left w:val="none" w:sz="0" w:space="0" w:color="auto"/>
                                            <w:bottom w:val="none" w:sz="0" w:space="0" w:color="auto"/>
                                            <w:right w:val="none" w:sz="0" w:space="0" w:color="auto"/>
                                          </w:divBdr>
                                          <w:divsChild>
                                            <w:div w:id="1633094189">
                                              <w:marLeft w:val="0"/>
                                              <w:marRight w:val="0"/>
                                              <w:marTop w:val="0"/>
                                              <w:marBottom w:val="0"/>
                                              <w:divBdr>
                                                <w:top w:val="none" w:sz="0" w:space="0" w:color="auto"/>
                                                <w:left w:val="none" w:sz="0" w:space="0" w:color="auto"/>
                                                <w:bottom w:val="none" w:sz="0" w:space="0" w:color="auto"/>
                                                <w:right w:val="none" w:sz="0" w:space="0" w:color="auto"/>
                                              </w:divBdr>
                                              <w:divsChild>
                                                <w:div w:id="689913960">
                                                  <w:marLeft w:val="0"/>
                                                  <w:marRight w:val="0"/>
                                                  <w:marTop w:val="0"/>
                                                  <w:marBottom w:val="0"/>
                                                  <w:divBdr>
                                                    <w:top w:val="none" w:sz="0" w:space="0" w:color="auto"/>
                                                    <w:left w:val="none" w:sz="0" w:space="0" w:color="auto"/>
                                                    <w:bottom w:val="none" w:sz="0" w:space="0" w:color="auto"/>
                                                    <w:right w:val="none" w:sz="0" w:space="0" w:color="auto"/>
                                                  </w:divBdr>
                                                  <w:divsChild>
                                                    <w:div w:id="5130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170627">
                                      <w:marLeft w:val="0"/>
                                      <w:marRight w:val="0"/>
                                      <w:marTop w:val="0"/>
                                      <w:marBottom w:val="0"/>
                                      <w:divBdr>
                                        <w:top w:val="none" w:sz="0" w:space="0" w:color="auto"/>
                                        <w:left w:val="none" w:sz="0" w:space="0" w:color="auto"/>
                                        <w:bottom w:val="none" w:sz="0" w:space="0" w:color="auto"/>
                                        <w:right w:val="none" w:sz="0" w:space="0" w:color="auto"/>
                                      </w:divBdr>
                                      <w:divsChild>
                                        <w:div w:id="4564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129110">
          <w:marLeft w:val="0"/>
          <w:marRight w:val="0"/>
          <w:marTop w:val="0"/>
          <w:marBottom w:val="0"/>
          <w:divBdr>
            <w:top w:val="none" w:sz="0" w:space="0" w:color="auto"/>
            <w:left w:val="none" w:sz="0" w:space="0" w:color="auto"/>
            <w:bottom w:val="none" w:sz="0" w:space="0" w:color="auto"/>
            <w:right w:val="none" w:sz="0" w:space="0" w:color="auto"/>
          </w:divBdr>
          <w:divsChild>
            <w:div w:id="1889995439">
              <w:marLeft w:val="0"/>
              <w:marRight w:val="0"/>
              <w:marTop w:val="0"/>
              <w:marBottom w:val="0"/>
              <w:divBdr>
                <w:top w:val="none" w:sz="0" w:space="0" w:color="auto"/>
                <w:left w:val="none" w:sz="0" w:space="0" w:color="auto"/>
                <w:bottom w:val="none" w:sz="0" w:space="0" w:color="auto"/>
                <w:right w:val="none" w:sz="0" w:space="0" w:color="auto"/>
              </w:divBdr>
              <w:divsChild>
                <w:div w:id="960920270">
                  <w:marLeft w:val="0"/>
                  <w:marRight w:val="0"/>
                  <w:marTop w:val="0"/>
                  <w:marBottom w:val="0"/>
                  <w:divBdr>
                    <w:top w:val="none" w:sz="0" w:space="0" w:color="auto"/>
                    <w:left w:val="none" w:sz="0" w:space="0" w:color="auto"/>
                    <w:bottom w:val="none" w:sz="0" w:space="0" w:color="auto"/>
                    <w:right w:val="none" w:sz="0" w:space="0" w:color="auto"/>
                  </w:divBdr>
                  <w:divsChild>
                    <w:div w:id="2116971709">
                      <w:marLeft w:val="0"/>
                      <w:marRight w:val="0"/>
                      <w:marTop w:val="0"/>
                      <w:marBottom w:val="0"/>
                      <w:divBdr>
                        <w:top w:val="none" w:sz="0" w:space="0" w:color="auto"/>
                        <w:left w:val="none" w:sz="0" w:space="0" w:color="auto"/>
                        <w:bottom w:val="none" w:sz="0" w:space="0" w:color="auto"/>
                        <w:right w:val="none" w:sz="0" w:space="0" w:color="auto"/>
                      </w:divBdr>
                      <w:divsChild>
                        <w:div w:id="930119365">
                          <w:marLeft w:val="0"/>
                          <w:marRight w:val="0"/>
                          <w:marTop w:val="0"/>
                          <w:marBottom w:val="0"/>
                          <w:divBdr>
                            <w:top w:val="none" w:sz="0" w:space="0" w:color="auto"/>
                            <w:left w:val="none" w:sz="0" w:space="0" w:color="auto"/>
                            <w:bottom w:val="none" w:sz="0" w:space="0" w:color="auto"/>
                            <w:right w:val="none" w:sz="0" w:space="0" w:color="auto"/>
                          </w:divBdr>
                          <w:divsChild>
                            <w:div w:id="1877155680">
                              <w:marLeft w:val="0"/>
                              <w:marRight w:val="0"/>
                              <w:marTop w:val="0"/>
                              <w:marBottom w:val="0"/>
                              <w:divBdr>
                                <w:top w:val="none" w:sz="0" w:space="0" w:color="auto"/>
                                <w:left w:val="none" w:sz="0" w:space="0" w:color="auto"/>
                                <w:bottom w:val="none" w:sz="0" w:space="0" w:color="auto"/>
                                <w:right w:val="none" w:sz="0" w:space="0" w:color="auto"/>
                              </w:divBdr>
                              <w:divsChild>
                                <w:div w:id="2041008877">
                                  <w:marLeft w:val="0"/>
                                  <w:marRight w:val="0"/>
                                  <w:marTop w:val="0"/>
                                  <w:marBottom w:val="0"/>
                                  <w:divBdr>
                                    <w:top w:val="none" w:sz="0" w:space="0" w:color="auto"/>
                                    <w:left w:val="none" w:sz="0" w:space="0" w:color="auto"/>
                                    <w:bottom w:val="none" w:sz="0" w:space="0" w:color="auto"/>
                                    <w:right w:val="none" w:sz="0" w:space="0" w:color="auto"/>
                                  </w:divBdr>
                                  <w:divsChild>
                                    <w:div w:id="432091444">
                                      <w:marLeft w:val="0"/>
                                      <w:marRight w:val="0"/>
                                      <w:marTop w:val="0"/>
                                      <w:marBottom w:val="0"/>
                                      <w:divBdr>
                                        <w:top w:val="none" w:sz="0" w:space="0" w:color="auto"/>
                                        <w:left w:val="none" w:sz="0" w:space="0" w:color="auto"/>
                                        <w:bottom w:val="none" w:sz="0" w:space="0" w:color="auto"/>
                                        <w:right w:val="none" w:sz="0" w:space="0" w:color="auto"/>
                                      </w:divBdr>
                                      <w:divsChild>
                                        <w:div w:id="1875851192">
                                          <w:marLeft w:val="0"/>
                                          <w:marRight w:val="0"/>
                                          <w:marTop w:val="0"/>
                                          <w:marBottom w:val="0"/>
                                          <w:divBdr>
                                            <w:top w:val="none" w:sz="0" w:space="0" w:color="auto"/>
                                            <w:left w:val="none" w:sz="0" w:space="0" w:color="auto"/>
                                            <w:bottom w:val="none" w:sz="0" w:space="0" w:color="auto"/>
                                            <w:right w:val="none" w:sz="0" w:space="0" w:color="auto"/>
                                          </w:divBdr>
                                          <w:divsChild>
                                            <w:div w:id="1282614401">
                                              <w:marLeft w:val="0"/>
                                              <w:marRight w:val="0"/>
                                              <w:marTop w:val="0"/>
                                              <w:marBottom w:val="0"/>
                                              <w:divBdr>
                                                <w:top w:val="none" w:sz="0" w:space="0" w:color="auto"/>
                                                <w:left w:val="none" w:sz="0" w:space="0" w:color="auto"/>
                                                <w:bottom w:val="none" w:sz="0" w:space="0" w:color="auto"/>
                                                <w:right w:val="none" w:sz="0" w:space="0" w:color="auto"/>
                                              </w:divBdr>
                                              <w:divsChild>
                                                <w:div w:id="460659529">
                                                  <w:marLeft w:val="0"/>
                                                  <w:marRight w:val="0"/>
                                                  <w:marTop w:val="0"/>
                                                  <w:marBottom w:val="0"/>
                                                  <w:divBdr>
                                                    <w:top w:val="none" w:sz="0" w:space="0" w:color="auto"/>
                                                    <w:left w:val="none" w:sz="0" w:space="0" w:color="auto"/>
                                                    <w:bottom w:val="none" w:sz="0" w:space="0" w:color="auto"/>
                                                    <w:right w:val="none" w:sz="0" w:space="0" w:color="auto"/>
                                                  </w:divBdr>
                                                  <w:divsChild>
                                                    <w:div w:id="351565509">
                                                      <w:marLeft w:val="0"/>
                                                      <w:marRight w:val="0"/>
                                                      <w:marTop w:val="0"/>
                                                      <w:marBottom w:val="0"/>
                                                      <w:divBdr>
                                                        <w:top w:val="none" w:sz="0" w:space="0" w:color="auto"/>
                                                        <w:left w:val="none" w:sz="0" w:space="0" w:color="auto"/>
                                                        <w:bottom w:val="none" w:sz="0" w:space="0" w:color="auto"/>
                                                        <w:right w:val="none" w:sz="0" w:space="0" w:color="auto"/>
                                                      </w:divBdr>
                                                      <w:divsChild>
                                                        <w:div w:id="723069522">
                                                          <w:marLeft w:val="0"/>
                                                          <w:marRight w:val="0"/>
                                                          <w:marTop w:val="0"/>
                                                          <w:marBottom w:val="0"/>
                                                          <w:divBdr>
                                                            <w:top w:val="none" w:sz="0" w:space="0" w:color="auto"/>
                                                            <w:left w:val="none" w:sz="0" w:space="0" w:color="auto"/>
                                                            <w:bottom w:val="none" w:sz="0" w:space="0" w:color="auto"/>
                                                            <w:right w:val="none" w:sz="0" w:space="0" w:color="auto"/>
                                                          </w:divBdr>
                                                          <w:divsChild>
                                                            <w:div w:id="482546590">
                                                              <w:marLeft w:val="0"/>
                                                              <w:marRight w:val="0"/>
                                                              <w:marTop w:val="0"/>
                                                              <w:marBottom w:val="0"/>
                                                              <w:divBdr>
                                                                <w:top w:val="none" w:sz="0" w:space="0" w:color="auto"/>
                                                                <w:left w:val="none" w:sz="0" w:space="0" w:color="auto"/>
                                                                <w:bottom w:val="none" w:sz="0" w:space="0" w:color="auto"/>
                                                                <w:right w:val="none" w:sz="0" w:space="0" w:color="auto"/>
                                                              </w:divBdr>
                                                              <w:divsChild>
                                                                <w:div w:id="868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998238">
                                      <w:marLeft w:val="0"/>
                                      <w:marRight w:val="0"/>
                                      <w:marTop w:val="0"/>
                                      <w:marBottom w:val="0"/>
                                      <w:divBdr>
                                        <w:top w:val="none" w:sz="0" w:space="0" w:color="auto"/>
                                        <w:left w:val="none" w:sz="0" w:space="0" w:color="auto"/>
                                        <w:bottom w:val="none" w:sz="0" w:space="0" w:color="auto"/>
                                        <w:right w:val="none" w:sz="0" w:space="0" w:color="auto"/>
                                      </w:divBdr>
                                      <w:divsChild>
                                        <w:div w:id="1690837802">
                                          <w:marLeft w:val="0"/>
                                          <w:marRight w:val="0"/>
                                          <w:marTop w:val="0"/>
                                          <w:marBottom w:val="0"/>
                                          <w:divBdr>
                                            <w:top w:val="none" w:sz="0" w:space="0" w:color="auto"/>
                                            <w:left w:val="none" w:sz="0" w:space="0" w:color="auto"/>
                                            <w:bottom w:val="none" w:sz="0" w:space="0" w:color="auto"/>
                                            <w:right w:val="none" w:sz="0" w:space="0" w:color="auto"/>
                                          </w:divBdr>
                                          <w:divsChild>
                                            <w:div w:id="6127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08831769">
      <w:bodyDiv w:val="1"/>
      <w:marLeft w:val="0"/>
      <w:marRight w:val="0"/>
      <w:marTop w:val="0"/>
      <w:marBottom w:val="0"/>
      <w:divBdr>
        <w:top w:val="none" w:sz="0" w:space="0" w:color="auto"/>
        <w:left w:val="none" w:sz="0" w:space="0" w:color="auto"/>
        <w:bottom w:val="none" w:sz="0" w:space="0" w:color="auto"/>
        <w:right w:val="none" w:sz="0" w:space="0" w:color="auto"/>
      </w:divBdr>
    </w:div>
    <w:div w:id="626937594">
      <w:bodyDiv w:val="1"/>
      <w:marLeft w:val="0"/>
      <w:marRight w:val="0"/>
      <w:marTop w:val="0"/>
      <w:marBottom w:val="0"/>
      <w:divBdr>
        <w:top w:val="none" w:sz="0" w:space="0" w:color="auto"/>
        <w:left w:val="none" w:sz="0" w:space="0" w:color="auto"/>
        <w:bottom w:val="none" w:sz="0" w:space="0" w:color="auto"/>
        <w:right w:val="none" w:sz="0" w:space="0" w:color="auto"/>
      </w:divBdr>
      <w:divsChild>
        <w:div w:id="1963686996">
          <w:marLeft w:val="0"/>
          <w:marRight w:val="0"/>
          <w:marTop w:val="0"/>
          <w:marBottom w:val="0"/>
          <w:divBdr>
            <w:top w:val="none" w:sz="0" w:space="0" w:color="auto"/>
            <w:left w:val="none" w:sz="0" w:space="0" w:color="auto"/>
            <w:bottom w:val="none" w:sz="0" w:space="0" w:color="auto"/>
            <w:right w:val="none" w:sz="0" w:space="0" w:color="auto"/>
          </w:divBdr>
          <w:divsChild>
            <w:div w:id="1934702632">
              <w:marLeft w:val="0"/>
              <w:marRight w:val="0"/>
              <w:marTop w:val="0"/>
              <w:marBottom w:val="0"/>
              <w:divBdr>
                <w:top w:val="none" w:sz="0" w:space="0" w:color="auto"/>
                <w:left w:val="none" w:sz="0" w:space="0" w:color="auto"/>
                <w:bottom w:val="none" w:sz="0" w:space="0" w:color="auto"/>
                <w:right w:val="none" w:sz="0" w:space="0" w:color="auto"/>
              </w:divBdr>
              <w:divsChild>
                <w:div w:id="2070301304">
                  <w:marLeft w:val="0"/>
                  <w:marRight w:val="0"/>
                  <w:marTop w:val="0"/>
                  <w:marBottom w:val="0"/>
                  <w:divBdr>
                    <w:top w:val="none" w:sz="0" w:space="0" w:color="auto"/>
                    <w:left w:val="none" w:sz="0" w:space="0" w:color="auto"/>
                    <w:bottom w:val="none" w:sz="0" w:space="0" w:color="auto"/>
                    <w:right w:val="none" w:sz="0" w:space="0" w:color="auto"/>
                  </w:divBdr>
                  <w:divsChild>
                    <w:div w:id="33192935">
                      <w:marLeft w:val="0"/>
                      <w:marRight w:val="0"/>
                      <w:marTop w:val="0"/>
                      <w:marBottom w:val="0"/>
                      <w:divBdr>
                        <w:top w:val="none" w:sz="0" w:space="0" w:color="auto"/>
                        <w:left w:val="none" w:sz="0" w:space="0" w:color="auto"/>
                        <w:bottom w:val="none" w:sz="0" w:space="0" w:color="auto"/>
                        <w:right w:val="none" w:sz="0" w:space="0" w:color="auto"/>
                      </w:divBdr>
                      <w:divsChild>
                        <w:div w:id="1937445015">
                          <w:marLeft w:val="0"/>
                          <w:marRight w:val="0"/>
                          <w:marTop w:val="0"/>
                          <w:marBottom w:val="0"/>
                          <w:divBdr>
                            <w:top w:val="none" w:sz="0" w:space="0" w:color="auto"/>
                            <w:left w:val="none" w:sz="0" w:space="0" w:color="auto"/>
                            <w:bottom w:val="none" w:sz="0" w:space="0" w:color="auto"/>
                            <w:right w:val="none" w:sz="0" w:space="0" w:color="auto"/>
                          </w:divBdr>
                          <w:divsChild>
                            <w:div w:id="862207937">
                              <w:marLeft w:val="0"/>
                              <w:marRight w:val="0"/>
                              <w:marTop w:val="0"/>
                              <w:marBottom w:val="0"/>
                              <w:divBdr>
                                <w:top w:val="none" w:sz="0" w:space="0" w:color="auto"/>
                                <w:left w:val="none" w:sz="0" w:space="0" w:color="auto"/>
                                <w:bottom w:val="none" w:sz="0" w:space="0" w:color="auto"/>
                                <w:right w:val="none" w:sz="0" w:space="0" w:color="auto"/>
                              </w:divBdr>
                              <w:divsChild>
                                <w:div w:id="449858623">
                                  <w:marLeft w:val="0"/>
                                  <w:marRight w:val="0"/>
                                  <w:marTop w:val="0"/>
                                  <w:marBottom w:val="0"/>
                                  <w:divBdr>
                                    <w:top w:val="none" w:sz="0" w:space="0" w:color="auto"/>
                                    <w:left w:val="none" w:sz="0" w:space="0" w:color="auto"/>
                                    <w:bottom w:val="none" w:sz="0" w:space="0" w:color="auto"/>
                                    <w:right w:val="none" w:sz="0" w:space="0" w:color="auto"/>
                                  </w:divBdr>
                                  <w:divsChild>
                                    <w:div w:id="1807969596">
                                      <w:marLeft w:val="0"/>
                                      <w:marRight w:val="0"/>
                                      <w:marTop w:val="0"/>
                                      <w:marBottom w:val="0"/>
                                      <w:divBdr>
                                        <w:top w:val="none" w:sz="0" w:space="0" w:color="auto"/>
                                        <w:left w:val="none" w:sz="0" w:space="0" w:color="auto"/>
                                        <w:bottom w:val="none" w:sz="0" w:space="0" w:color="auto"/>
                                        <w:right w:val="none" w:sz="0" w:space="0" w:color="auto"/>
                                      </w:divBdr>
                                      <w:divsChild>
                                        <w:div w:id="171646520">
                                          <w:marLeft w:val="0"/>
                                          <w:marRight w:val="0"/>
                                          <w:marTop w:val="0"/>
                                          <w:marBottom w:val="0"/>
                                          <w:divBdr>
                                            <w:top w:val="none" w:sz="0" w:space="0" w:color="auto"/>
                                            <w:left w:val="none" w:sz="0" w:space="0" w:color="auto"/>
                                            <w:bottom w:val="none" w:sz="0" w:space="0" w:color="auto"/>
                                            <w:right w:val="none" w:sz="0" w:space="0" w:color="auto"/>
                                          </w:divBdr>
                                          <w:divsChild>
                                            <w:div w:id="1567765955">
                                              <w:marLeft w:val="0"/>
                                              <w:marRight w:val="0"/>
                                              <w:marTop w:val="0"/>
                                              <w:marBottom w:val="0"/>
                                              <w:divBdr>
                                                <w:top w:val="none" w:sz="0" w:space="0" w:color="auto"/>
                                                <w:left w:val="none" w:sz="0" w:space="0" w:color="auto"/>
                                                <w:bottom w:val="none" w:sz="0" w:space="0" w:color="auto"/>
                                                <w:right w:val="none" w:sz="0" w:space="0" w:color="auto"/>
                                              </w:divBdr>
                                              <w:divsChild>
                                                <w:div w:id="777799871">
                                                  <w:marLeft w:val="0"/>
                                                  <w:marRight w:val="0"/>
                                                  <w:marTop w:val="0"/>
                                                  <w:marBottom w:val="0"/>
                                                  <w:divBdr>
                                                    <w:top w:val="none" w:sz="0" w:space="0" w:color="auto"/>
                                                    <w:left w:val="none" w:sz="0" w:space="0" w:color="auto"/>
                                                    <w:bottom w:val="none" w:sz="0" w:space="0" w:color="auto"/>
                                                    <w:right w:val="none" w:sz="0" w:space="0" w:color="auto"/>
                                                  </w:divBdr>
                                                  <w:divsChild>
                                                    <w:div w:id="6382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2852">
                                      <w:marLeft w:val="0"/>
                                      <w:marRight w:val="0"/>
                                      <w:marTop w:val="0"/>
                                      <w:marBottom w:val="0"/>
                                      <w:divBdr>
                                        <w:top w:val="none" w:sz="0" w:space="0" w:color="auto"/>
                                        <w:left w:val="none" w:sz="0" w:space="0" w:color="auto"/>
                                        <w:bottom w:val="none" w:sz="0" w:space="0" w:color="auto"/>
                                        <w:right w:val="none" w:sz="0" w:space="0" w:color="auto"/>
                                      </w:divBdr>
                                      <w:divsChild>
                                        <w:div w:id="91062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175178">
          <w:marLeft w:val="0"/>
          <w:marRight w:val="0"/>
          <w:marTop w:val="0"/>
          <w:marBottom w:val="0"/>
          <w:divBdr>
            <w:top w:val="none" w:sz="0" w:space="0" w:color="auto"/>
            <w:left w:val="none" w:sz="0" w:space="0" w:color="auto"/>
            <w:bottom w:val="none" w:sz="0" w:space="0" w:color="auto"/>
            <w:right w:val="none" w:sz="0" w:space="0" w:color="auto"/>
          </w:divBdr>
          <w:divsChild>
            <w:div w:id="1371564205">
              <w:marLeft w:val="0"/>
              <w:marRight w:val="0"/>
              <w:marTop w:val="0"/>
              <w:marBottom w:val="0"/>
              <w:divBdr>
                <w:top w:val="none" w:sz="0" w:space="0" w:color="auto"/>
                <w:left w:val="none" w:sz="0" w:space="0" w:color="auto"/>
                <w:bottom w:val="none" w:sz="0" w:space="0" w:color="auto"/>
                <w:right w:val="none" w:sz="0" w:space="0" w:color="auto"/>
              </w:divBdr>
              <w:divsChild>
                <w:div w:id="150491747">
                  <w:marLeft w:val="0"/>
                  <w:marRight w:val="0"/>
                  <w:marTop w:val="0"/>
                  <w:marBottom w:val="0"/>
                  <w:divBdr>
                    <w:top w:val="none" w:sz="0" w:space="0" w:color="auto"/>
                    <w:left w:val="none" w:sz="0" w:space="0" w:color="auto"/>
                    <w:bottom w:val="none" w:sz="0" w:space="0" w:color="auto"/>
                    <w:right w:val="none" w:sz="0" w:space="0" w:color="auto"/>
                  </w:divBdr>
                  <w:divsChild>
                    <w:div w:id="507210403">
                      <w:marLeft w:val="0"/>
                      <w:marRight w:val="0"/>
                      <w:marTop w:val="0"/>
                      <w:marBottom w:val="0"/>
                      <w:divBdr>
                        <w:top w:val="none" w:sz="0" w:space="0" w:color="auto"/>
                        <w:left w:val="none" w:sz="0" w:space="0" w:color="auto"/>
                        <w:bottom w:val="none" w:sz="0" w:space="0" w:color="auto"/>
                        <w:right w:val="none" w:sz="0" w:space="0" w:color="auto"/>
                      </w:divBdr>
                      <w:divsChild>
                        <w:div w:id="1064059212">
                          <w:marLeft w:val="0"/>
                          <w:marRight w:val="0"/>
                          <w:marTop w:val="0"/>
                          <w:marBottom w:val="0"/>
                          <w:divBdr>
                            <w:top w:val="none" w:sz="0" w:space="0" w:color="auto"/>
                            <w:left w:val="none" w:sz="0" w:space="0" w:color="auto"/>
                            <w:bottom w:val="none" w:sz="0" w:space="0" w:color="auto"/>
                            <w:right w:val="none" w:sz="0" w:space="0" w:color="auto"/>
                          </w:divBdr>
                          <w:divsChild>
                            <w:div w:id="558126551">
                              <w:marLeft w:val="0"/>
                              <w:marRight w:val="0"/>
                              <w:marTop w:val="0"/>
                              <w:marBottom w:val="0"/>
                              <w:divBdr>
                                <w:top w:val="none" w:sz="0" w:space="0" w:color="auto"/>
                                <w:left w:val="none" w:sz="0" w:space="0" w:color="auto"/>
                                <w:bottom w:val="none" w:sz="0" w:space="0" w:color="auto"/>
                                <w:right w:val="none" w:sz="0" w:space="0" w:color="auto"/>
                              </w:divBdr>
                              <w:divsChild>
                                <w:div w:id="1641688255">
                                  <w:marLeft w:val="0"/>
                                  <w:marRight w:val="0"/>
                                  <w:marTop w:val="0"/>
                                  <w:marBottom w:val="0"/>
                                  <w:divBdr>
                                    <w:top w:val="none" w:sz="0" w:space="0" w:color="auto"/>
                                    <w:left w:val="none" w:sz="0" w:space="0" w:color="auto"/>
                                    <w:bottom w:val="none" w:sz="0" w:space="0" w:color="auto"/>
                                    <w:right w:val="none" w:sz="0" w:space="0" w:color="auto"/>
                                  </w:divBdr>
                                  <w:divsChild>
                                    <w:div w:id="477722198">
                                      <w:marLeft w:val="0"/>
                                      <w:marRight w:val="0"/>
                                      <w:marTop w:val="0"/>
                                      <w:marBottom w:val="0"/>
                                      <w:divBdr>
                                        <w:top w:val="none" w:sz="0" w:space="0" w:color="auto"/>
                                        <w:left w:val="none" w:sz="0" w:space="0" w:color="auto"/>
                                        <w:bottom w:val="none" w:sz="0" w:space="0" w:color="auto"/>
                                        <w:right w:val="none" w:sz="0" w:space="0" w:color="auto"/>
                                      </w:divBdr>
                                      <w:divsChild>
                                        <w:div w:id="784809105">
                                          <w:marLeft w:val="0"/>
                                          <w:marRight w:val="0"/>
                                          <w:marTop w:val="0"/>
                                          <w:marBottom w:val="0"/>
                                          <w:divBdr>
                                            <w:top w:val="none" w:sz="0" w:space="0" w:color="auto"/>
                                            <w:left w:val="none" w:sz="0" w:space="0" w:color="auto"/>
                                            <w:bottom w:val="none" w:sz="0" w:space="0" w:color="auto"/>
                                            <w:right w:val="none" w:sz="0" w:space="0" w:color="auto"/>
                                          </w:divBdr>
                                          <w:divsChild>
                                            <w:div w:id="1270628344">
                                              <w:marLeft w:val="0"/>
                                              <w:marRight w:val="0"/>
                                              <w:marTop w:val="0"/>
                                              <w:marBottom w:val="0"/>
                                              <w:divBdr>
                                                <w:top w:val="none" w:sz="0" w:space="0" w:color="auto"/>
                                                <w:left w:val="none" w:sz="0" w:space="0" w:color="auto"/>
                                                <w:bottom w:val="none" w:sz="0" w:space="0" w:color="auto"/>
                                                <w:right w:val="none" w:sz="0" w:space="0" w:color="auto"/>
                                              </w:divBdr>
                                              <w:divsChild>
                                                <w:div w:id="1360355787">
                                                  <w:marLeft w:val="0"/>
                                                  <w:marRight w:val="0"/>
                                                  <w:marTop w:val="0"/>
                                                  <w:marBottom w:val="0"/>
                                                  <w:divBdr>
                                                    <w:top w:val="none" w:sz="0" w:space="0" w:color="auto"/>
                                                    <w:left w:val="none" w:sz="0" w:space="0" w:color="auto"/>
                                                    <w:bottom w:val="none" w:sz="0" w:space="0" w:color="auto"/>
                                                    <w:right w:val="none" w:sz="0" w:space="0" w:color="auto"/>
                                                  </w:divBdr>
                                                  <w:divsChild>
                                                    <w:div w:id="1031539151">
                                                      <w:marLeft w:val="0"/>
                                                      <w:marRight w:val="0"/>
                                                      <w:marTop w:val="0"/>
                                                      <w:marBottom w:val="0"/>
                                                      <w:divBdr>
                                                        <w:top w:val="none" w:sz="0" w:space="0" w:color="auto"/>
                                                        <w:left w:val="none" w:sz="0" w:space="0" w:color="auto"/>
                                                        <w:bottom w:val="none" w:sz="0" w:space="0" w:color="auto"/>
                                                        <w:right w:val="none" w:sz="0" w:space="0" w:color="auto"/>
                                                      </w:divBdr>
                                                      <w:divsChild>
                                                        <w:div w:id="68120128">
                                                          <w:marLeft w:val="0"/>
                                                          <w:marRight w:val="0"/>
                                                          <w:marTop w:val="0"/>
                                                          <w:marBottom w:val="0"/>
                                                          <w:divBdr>
                                                            <w:top w:val="none" w:sz="0" w:space="0" w:color="auto"/>
                                                            <w:left w:val="none" w:sz="0" w:space="0" w:color="auto"/>
                                                            <w:bottom w:val="none" w:sz="0" w:space="0" w:color="auto"/>
                                                            <w:right w:val="none" w:sz="0" w:space="0" w:color="auto"/>
                                                          </w:divBdr>
                                                          <w:divsChild>
                                                            <w:div w:id="420415695">
                                                              <w:marLeft w:val="0"/>
                                                              <w:marRight w:val="0"/>
                                                              <w:marTop w:val="0"/>
                                                              <w:marBottom w:val="0"/>
                                                              <w:divBdr>
                                                                <w:top w:val="none" w:sz="0" w:space="0" w:color="auto"/>
                                                                <w:left w:val="none" w:sz="0" w:space="0" w:color="auto"/>
                                                                <w:bottom w:val="none" w:sz="0" w:space="0" w:color="auto"/>
                                                                <w:right w:val="none" w:sz="0" w:space="0" w:color="auto"/>
                                                              </w:divBdr>
                                                              <w:divsChild>
                                                                <w:div w:id="15212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467291">
                                      <w:marLeft w:val="0"/>
                                      <w:marRight w:val="0"/>
                                      <w:marTop w:val="0"/>
                                      <w:marBottom w:val="0"/>
                                      <w:divBdr>
                                        <w:top w:val="none" w:sz="0" w:space="0" w:color="auto"/>
                                        <w:left w:val="none" w:sz="0" w:space="0" w:color="auto"/>
                                        <w:bottom w:val="none" w:sz="0" w:space="0" w:color="auto"/>
                                        <w:right w:val="none" w:sz="0" w:space="0" w:color="auto"/>
                                      </w:divBdr>
                                      <w:divsChild>
                                        <w:div w:id="550504841">
                                          <w:marLeft w:val="0"/>
                                          <w:marRight w:val="0"/>
                                          <w:marTop w:val="0"/>
                                          <w:marBottom w:val="0"/>
                                          <w:divBdr>
                                            <w:top w:val="none" w:sz="0" w:space="0" w:color="auto"/>
                                            <w:left w:val="none" w:sz="0" w:space="0" w:color="auto"/>
                                            <w:bottom w:val="none" w:sz="0" w:space="0" w:color="auto"/>
                                            <w:right w:val="none" w:sz="0" w:space="0" w:color="auto"/>
                                          </w:divBdr>
                                          <w:divsChild>
                                            <w:div w:id="17748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3691325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2019</c:v>
                </c:pt>
              </c:strCache>
            </c:strRef>
          </c:tx>
          <c:spPr>
            <a:solidFill>
              <a:schemeClr val="accent1"/>
            </a:solidFill>
            <a:ln>
              <a:noFill/>
            </a:ln>
            <a:effectLst/>
          </c:spPr>
          <c:invertIfNegative val="0"/>
          <c:cat>
            <c:strRef>
              <c:f>Sheet1!$B$1:$M$1</c:f>
              <c:strCache>
                <c:ptCount val="12"/>
                <c:pt idx="0">
                  <c:v>January </c:v>
                </c:pt>
                <c:pt idx="1">
                  <c:v>February</c:v>
                </c:pt>
                <c:pt idx="2">
                  <c:v>March </c:v>
                </c:pt>
                <c:pt idx="3">
                  <c:v>April </c:v>
                </c:pt>
                <c:pt idx="4">
                  <c:v>May </c:v>
                </c:pt>
                <c:pt idx="5">
                  <c:v>June </c:v>
                </c:pt>
                <c:pt idx="6">
                  <c:v>July </c:v>
                </c:pt>
                <c:pt idx="7">
                  <c:v>August </c:v>
                </c:pt>
                <c:pt idx="8">
                  <c:v>September </c:v>
                </c:pt>
                <c:pt idx="9">
                  <c:v>October </c:v>
                </c:pt>
                <c:pt idx="10">
                  <c:v>November </c:v>
                </c:pt>
                <c:pt idx="11">
                  <c:v>December</c:v>
                </c:pt>
              </c:strCache>
            </c:strRef>
          </c:cat>
          <c:val>
            <c:numRef>
              <c:f>Sheet1!$B$2:$M$2</c:f>
              <c:numCache>
                <c:formatCode>General</c:formatCode>
                <c:ptCount val="12"/>
                <c:pt idx="0">
                  <c:v>8</c:v>
                </c:pt>
                <c:pt idx="1">
                  <c:v>4</c:v>
                </c:pt>
                <c:pt idx="2">
                  <c:v>7</c:v>
                </c:pt>
                <c:pt idx="3">
                  <c:v>5</c:v>
                </c:pt>
                <c:pt idx="4">
                  <c:v>9</c:v>
                </c:pt>
                <c:pt idx="5">
                  <c:v>3</c:v>
                </c:pt>
                <c:pt idx="6">
                  <c:v>8</c:v>
                </c:pt>
                <c:pt idx="7">
                  <c:v>6</c:v>
                </c:pt>
                <c:pt idx="8">
                  <c:v>4</c:v>
                </c:pt>
                <c:pt idx="9">
                  <c:v>5</c:v>
                </c:pt>
                <c:pt idx="10">
                  <c:v>2</c:v>
                </c:pt>
                <c:pt idx="11">
                  <c:v>4</c:v>
                </c:pt>
              </c:numCache>
            </c:numRef>
          </c:val>
          <c:extLst>
            <c:ext xmlns:c16="http://schemas.microsoft.com/office/drawing/2014/chart" uri="{C3380CC4-5D6E-409C-BE32-E72D297353CC}">
              <c16:uniqueId val="{00000000-1DFE-4636-9780-0B5491C69F3A}"/>
            </c:ext>
          </c:extLst>
        </c:ser>
        <c:ser>
          <c:idx val="1"/>
          <c:order val="1"/>
          <c:tx>
            <c:strRef>
              <c:f>Sheet1!$A$3</c:f>
              <c:strCache>
                <c:ptCount val="1"/>
                <c:pt idx="0">
                  <c:v>2020</c:v>
                </c:pt>
              </c:strCache>
            </c:strRef>
          </c:tx>
          <c:spPr>
            <a:solidFill>
              <a:schemeClr val="accent2"/>
            </a:solidFill>
            <a:ln>
              <a:noFill/>
            </a:ln>
            <a:effectLst/>
          </c:spPr>
          <c:invertIfNegative val="0"/>
          <c:cat>
            <c:strRef>
              <c:f>Sheet1!$B$1:$M$1</c:f>
              <c:strCache>
                <c:ptCount val="12"/>
                <c:pt idx="0">
                  <c:v>January </c:v>
                </c:pt>
                <c:pt idx="1">
                  <c:v>February</c:v>
                </c:pt>
                <c:pt idx="2">
                  <c:v>March </c:v>
                </c:pt>
                <c:pt idx="3">
                  <c:v>April </c:v>
                </c:pt>
                <c:pt idx="4">
                  <c:v>May </c:v>
                </c:pt>
                <c:pt idx="5">
                  <c:v>June </c:v>
                </c:pt>
                <c:pt idx="6">
                  <c:v>July </c:v>
                </c:pt>
                <c:pt idx="7">
                  <c:v>August </c:v>
                </c:pt>
                <c:pt idx="8">
                  <c:v>September </c:v>
                </c:pt>
                <c:pt idx="9">
                  <c:v>October </c:v>
                </c:pt>
                <c:pt idx="10">
                  <c:v>November </c:v>
                </c:pt>
                <c:pt idx="11">
                  <c:v>December</c:v>
                </c:pt>
              </c:strCache>
            </c:strRef>
          </c:cat>
          <c:val>
            <c:numRef>
              <c:f>Sheet1!$B$3:$M$3</c:f>
              <c:numCache>
                <c:formatCode>General</c:formatCode>
                <c:ptCount val="12"/>
                <c:pt idx="0">
                  <c:v>7</c:v>
                </c:pt>
                <c:pt idx="1">
                  <c:v>6</c:v>
                </c:pt>
                <c:pt idx="2">
                  <c:v>4</c:v>
                </c:pt>
                <c:pt idx="3">
                  <c:v>5</c:v>
                </c:pt>
                <c:pt idx="4">
                  <c:v>8</c:v>
                </c:pt>
                <c:pt idx="5">
                  <c:v>4</c:v>
                </c:pt>
                <c:pt idx="6">
                  <c:v>6</c:v>
                </c:pt>
                <c:pt idx="7">
                  <c:v>3</c:v>
                </c:pt>
                <c:pt idx="8">
                  <c:v>6</c:v>
                </c:pt>
                <c:pt idx="9">
                  <c:v>5</c:v>
                </c:pt>
                <c:pt idx="10">
                  <c:v>4</c:v>
                </c:pt>
                <c:pt idx="11">
                  <c:v>4</c:v>
                </c:pt>
              </c:numCache>
            </c:numRef>
          </c:val>
          <c:extLst>
            <c:ext xmlns:c16="http://schemas.microsoft.com/office/drawing/2014/chart" uri="{C3380CC4-5D6E-409C-BE32-E72D297353CC}">
              <c16:uniqueId val="{00000001-1DFE-4636-9780-0B5491C69F3A}"/>
            </c:ext>
          </c:extLst>
        </c:ser>
        <c:ser>
          <c:idx val="2"/>
          <c:order val="2"/>
          <c:tx>
            <c:strRef>
              <c:f>Sheet1!$A$4</c:f>
              <c:strCache>
                <c:ptCount val="1"/>
                <c:pt idx="0">
                  <c:v>2021</c:v>
                </c:pt>
              </c:strCache>
            </c:strRef>
          </c:tx>
          <c:spPr>
            <a:solidFill>
              <a:schemeClr val="accent3"/>
            </a:solidFill>
            <a:ln>
              <a:noFill/>
            </a:ln>
            <a:effectLst/>
          </c:spPr>
          <c:invertIfNegative val="0"/>
          <c:cat>
            <c:strRef>
              <c:f>Sheet1!$B$1:$M$1</c:f>
              <c:strCache>
                <c:ptCount val="12"/>
                <c:pt idx="0">
                  <c:v>January </c:v>
                </c:pt>
                <c:pt idx="1">
                  <c:v>February</c:v>
                </c:pt>
                <c:pt idx="2">
                  <c:v>March </c:v>
                </c:pt>
                <c:pt idx="3">
                  <c:v>April </c:v>
                </c:pt>
                <c:pt idx="4">
                  <c:v>May </c:v>
                </c:pt>
                <c:pt idx="5">
                  <c:v>June </c:v>
                </c:pt>
                <c:pt idx="6">
                  <c:v>July </c:v>
                </c:pt>
                <c:pt idx="7">
                  <c:v>August </c:v>
                </c:pt>
                <c:pt idx="8">
                  <c:v>September </c:v>
                </c:pt>
                <c:pt idx="9">
                  <c:v>October </c:v>
                </c:pt>
                <c:pt idx="10">
                  <c:v>November </c:v>
                </c:pt>
                <c:pt idx="11">
                  <c:v>December</c:v>
                </c:pt>
              </c:strCache>
            </c:strRef>
          </c:cat>
          <c:val>
            <c:numRef>
              <c:f>Sheet1!$B$4:$M$4</c:f>
              <c:numCache>
                <c:formatCode>General</c:formatCode>
                <c:ptCount val="12"/>
                <c:pt idx="0">
                  <c:v>9</c:v>
                </c:pt>
                <c:pt idx="1">
                  <c:v>8</c:v>
                </c:pt>
                <c:pt idx="2">
                  <c:v>7</c:v>
                </c:pt>
                <c:pt idx="3">
                  <c:v>6</c:v>
                </c:pt>
                <c:pt idx="4">
                  <c:v>10</c:v>
                </c:pt>
                <c:pt idx="5">
                  <c:v>5</c:v>
                </c:pt>
                <c:pt idx="6">
                  <c:v>7</c:v>
                </c:pt>
                <c:pt idx="7">
                  <c:v>6</c:v>
                </c:pt>
                <c:pt idx="8">
                  <c:v>5</c:v>
                </c:pt>
                <c:pt idx="9">
                  <c:v>7</c:v>
                </c:pt>
                <c:pt idx="10">
                  <c:v>5</c:v>
                </c:pt>
                <c:pt idx="11">
                  <c:v>6</c:v>
                </c:pt>
              </c:numCache>
            </c:numRef>
          </c:val>
          <c:extLst>
            <c:ext xmlns:c16="http://schemas.microsoft.com/office/drawing/2014/chart" uri="{C3380CC4-5D6E-409C-BE32-E72D297353CC}">
              <c16:uniqueId val="{00000002-1DFE-4636-9780-0B5491C69F3A}"/>
            </c:ext>
          </c:extLst>
        </c:ser>
        <c:ser>
          <c:idx val="3"/>
          <c:order val="3"/>
          <c:tx>
            <c:strRef>
              <c:f>Sheet1!$A$5</c:f>
              <c:strCache>
                <c:ptCount val="1"/>
                <c:pt idx="0">
                  <c:v>2022</c:v>
                </c:pt>
              </c:strCache>
            </c:strRef>
          </c:tx>
          <c:spPr>
            <a:solidFill>
              <a:schemeClr val="accent4"/>
            </a:solidFill>
            <a:ln>
              <a:noFill/>
            </a:ln>
            <a:effectLst/>
          </c:spPr>
          <c:invertIfNegative val="0"/>
          <c:cat>
            <c:strRef>
              <c:f>Sheet1!$B$1:$M$1</c:f>
              <c:strCache>
                <c:ptCount val="12"/>
                <c:pt idx="0">
                  <c:v>January </c:v>
                </c:pt>
                <c:pt idx="1">
                  <c:v>February</c:v>
                </c:pt>
                <c:pt idx="2">
                  <c:v>March </c:v>
                </c:pt>
                <c:pt idx="3">
                  <c:v>April </c:v>
                </c:pt>
                <c:pt idx="4">
                  <c:v>May </c:v>
                </c:pt>
                <c:pt idx="5">
                  <c:v>June </c:v>
                </c:pt>
                <c:pt idx="6">
                  <c:v>July </c:v>
                </c:pt>
                <c:pt idx="7">
                  <c:v>August </c:v>
                </c:pt>
                <c:pt idx="8">
                  <c:v>September </c:v>
                </c:pt>
                <c:pt idx="9">
                  <c:v>October </c:v>
                </c:pt>
                <c:pt idx="10">
                  <c:v>November </c:v>
                </c:pt>
                <c:pt idx="11">
                  <c:v>December</c:v>
                </c:pt>
              </c:strCache>
            </c:strRef>
          </c:cat>
          <c:val>
            <c:numRef>
              <c:f>Sheet1!$B$5:$M$5</c:f>
              <c:numCache>
                <c:formatCode>General</c:formatCode>
                <c:ptCount val="12"/>
                <c:pt idx="0">
                  <c:v>6</c:v>
                </c:pt>
                <c:pt idx="1">
                  <c:v>4</c:v>
                </c:pt>
                <c:pt idx="2">
                  <c:v>5</c:v>
                </c:pt>
                <c:pt idx="3">
                  <c:v>7</c:v>
                </c:pt>
                <c:pt idx="4">
                  <c:v>9</c:v>
                </c:pt>
                <c:pt idx="5">
                  <c:v>5</c:v>
                </c:pt>
                <c:pt idx="6">
                  <c:v>6</c:v>
                </c:pt>
                <c:pt idx="7">
                  <c:v>8</c:v>
                </c:pt>
                <c:pt idx="8">
                  <c:v>7</c:v>
                </c:pt>
                <c:pt idx="9">
                  <c:v>5</c:v>
                </c:pt>
                <c:pt idx="10">
                  <c:v>3</c:v>
                </c:pt>
                <c:pt idx="11">
                  <c:v>6</c:v>
                </c:pt>
              </c:numCache>
            </c:numRef>
          </c:val>
          <c:extLst>
            <c:ext xmlns:c16="http://schemas.microsoft.com/office/drawing/2014/chart" uri="{C3380CC4-5D6E-409C-BE32-E72D297353CC}">
              <c16:uniqueId val="{00000003-1DFE-4636-9780-0B5491C69F3A}"/>
            </c:ext>
          </c:extLst>
        </c:ser>
        <c:ser>
          <c:idx val="4"/>
          <c:order val="4"/>
          <c:tx>
            <c:strRef>
              <c:f>Sheet1!$A$6</c:f>
              <c:strCache>
                <c:ptCount val="1"/>
                <c:pt idx="0">
                  <c:v>2023</c:v>
                </c:pt>
              </c:strCache>
            </c:strRef>
          </c:tx>
          <c:spPr>
            <a:solidFill>
              <a:schemeClr val="accent5"/>
            </a:solidFill>
            <a:ln>
              <a:noFill/>
            </a:ln>
            <a:effectLst/>
          </c:spPr>
          <c:invertIfNegative val="0"/>
          <c:cat>
            <c:strRef>
              <c:f>Sheet1!$B$1:$M$1</c:f>
              <c:strCache>
                <c:ptCount val="12"/>
                <c:pt idx="0">
                  <c:v>January </c:v>
                </c:pt>
                <c:pt idx="1">
                  <c:v>February</c:v>
                </c:pt>
                <c:pt idx="2">
                  <c:v>March </c:v>
                </c:pt>
                <c:pt idx="3">
                  <c:v>April </c:v>
                </c:pt>
                <c:pt idx="4">
                  <c:v>May </c:v>
                </c:pt>
                <c:pt idx="5">
                  <c:v>June </c:v>
                </c:pt>
                <c:pt idx="6">
                  <c:v>July </c:v>
                </c:pt>
                <c:pt idx="7">
                  <c:v>August </c:v>
                </c:pt>
                <c:pt idx="8">
                  <c:v>September </c:v>
                </c:pt>
                <c:pt idx="9">
                  <c:v>October </c:v>
                </c:pt>
                <c:pt idx="10">
                  <c:v>November </c:v>
                </c:pt>
                <c:pt idx="11">
                  <c:v>December</c:v>
                </c:pt>
              </c:strCache>
            </c:strRef>
          </c:cat>
          <c:val>
            <c:numRef>
              <c:f>Sheet1!$B$6:$M$6</c:f>
              <c:numCache>
                <c:formatCode>General</c:formatCode>
                <c:ptCount val="12"/>
                <c:pt idx="0">
                  <c:v>5</c:v>
                </c:pt>
                <c:pt idx="1">
                  <c:v>5</c:v>
                </c:pt>
                <c:pt idx="2">
                  <c:v>4</c:v>
                </c:pt>
                <c:pt idx="3">
                  <c:v>6</c:v>
                </c:pt>
                <c:pt idx="4">
                  <c:v>7</c:v>
                </c:pt>
                <c:pt idx="5">
                  <c:v>5</c:v>
                </c:pt>
                <c:pt idx="6">
                  <c:v>3</c:v>
                </c:pt>
                <c:pt idx="7">
                  <c:v>7</c:v>
                </c:pt>
                <c:pt idx="8">
                  <c:v>5</c:v>
                </c:pt>
                <c:pt idx="9">
                  <c:v>6</c:v>
                </c:pt>
                <c:pt idx="10">
                  <c:v>6</c:v>
                </c:pt>
                <c:pt idx="11">
                  <c:v>6</c:v>
                </c:pt>
              </c:numCache>
            </c:numRef>
          </c:val>
          <c:extLst>
            <c:ext xmlns:c16="http://schemas.microsoft.com/office/drawing/2014/chart" uri="{C3380CC4-5D6E-409C-BE32-E72D297353CC}">
              <c16:uniqueId val="{00000004-1DFE-4636-9780-0B5491C69F3A}"/>
            </c:ext>
          </c:extLst>
        </c:ser>
        <c:dLbls>
          <c:showLegendKey val="0"/>
          <c:showVal val="0"/>
          <c:showCatName val="0"/>
          <c:showSerName val="0"/>
          <c:showPercent val="0"/>
          <c:showBubbleSize val="0"/>
        </c:dLbls>
        <c:gapWidth val="199"/>
        <c:axId val="1748809631"/>
        <c:axId val="1748807711"/>
      </c:barChart>
      <c:catAx>
        <c:axId val="1748809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748807711"/>
        <c:crosses val="autoZero"/>
        <c:auto val="1"/>
        <c:lblAlgn val="ctr"/>
        <c:lblOffset val="100"/>
        <c:noMultiLvlLbl val="0"/>
      </c:catAx>
      <c:valAx>
        <c:axId val="1748807711"/>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8809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BB728-31F2-4863-A7E9-C540BEC5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514</TotalTime>
  <Pages>11</Pages>
  <Words>5578</Words>
  <Characters>31798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37302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41</cp:revision>
  <cp:lastPrinted>1999-07-06T11:00:00Z</cp:lastPrinted>
  <dcterms:created xsi:type="dcterms:W3CDTF">2014-10-25T14:34:00Z</dcterms:created>
  <dcterms:modified xsi:type="dcterms:W3CDTF">2025-07-14T06:14:00Z</dcterms:modified>
</cp:coreProperties>
</file>