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B699F" w14:textId="77777777" w:rsidR="00754C9A" w:rsidRDefault="00754C9A" w:rsidP="00441B6F">
      <w:pPr>
        <w:pStyle w:val="Title"/>
        <w:spacing w:after="0"/>
        <w:jc w:val="both"/>
        <w:rPr>
          <w:rFonts w:ascii="Arial" w:hAnsi="Arial" w:cs="Arial"/>
        </w:rPr>
      </w:pPr>
    </w:p>
    <w:p w14:paraId="38AFE722" w14:textId="5F200869" w:rsidR="00163BC4" w:rsidRPr="00163BC4" w:rsidRDefault="000B472C" w:rsidP="00441B6F">
      <w:pPr>
        <w:pStyle w:val="Author"/>
        <w:spacing w:line="240" w:lineRule="auto"/>
        <w:rPr>
          <w:rFonts w:ascii="Arial" w:hAnsi="Arial" w:cs="Arial"/>
          <w:bCs/>
          <w:iCs/>
          <w:kern w:val="28"/>
          <w:sz w:val="36"/>
        </w:rPr>
      </w:pPr>
      <w:r>
        <w:rPr>
          <w:rFonts w:ascii="Arial" w:hAnsi="Arial" w:cs="Arial"/>
          <w:bCs/>
          <w:iCs/>
          <w:kern w:val="28"/>
          <w:sz w:val="36"/>
        </w:rPr>
        <w:t>Monitoring Beta and Gamma Radiation Exposure Rates at Nuclear Medicine Installation of Bali Mandara Regional Hospital</w:t>
      </w:r>
    </w:p>
    <w:p w14:paraId="4F42CC2E" w14:textId="77777777" w:rsidR="00A258C3" w:rsidRPr="00790ADA" w:rsidRDefault="00A258C3" w:rsidP="00441B6F">
      <w:pPr>
        <w:pStyle w:val="Author"/>
        <w:spacing w:line="240" w:lineRule="auto"/>
        <w:jc w:val="both"/>
        <w:rPr>
          <w:rFonts w:ascii="Arial" w:hAnsi="Arial" w:cs="Arial"/>
          <w:sz w:val="36"/>
        </w:rPr>
      </w:pPr>
    </w:p>
    <w:p w14:paraId="10210EF9" w14:textId="77777777" w:rsidR="00790ADA" w:rsidRDefault="00790ADA" w:rsidP="00441B6F">
      <w:pPr>
        <w:pStyle w:val="Affiliation"/>
        <w:spacing w:after="0" w:line="240" w:lineRule="auto"/>
        <w:jc w:val="both"/>
        <w:rPr>
          <w:rFonts w:ascii="Arial" w:hAnsi="Arial" w:cs="Arial"/>
        </w:rPr>
      </w:pPr>
    </w:p>
    <w:p w14:paraId="5F481C07" w14:textId="77777777" w:rsidR="002C57D2" w:rsidRPr="00FB3A86" w:rsidRDefault="002C57D2" w:rsidP="00441B6F">
      <w:pPr>
        <w:pStyle w:val="Affiliation"/>
        <w:spacing w:after="0" w:line="240" w:lineRule="auto"/>
        <w:jc w:val="both"/>
        <w:rPr>
          <w:rFonts w:ascii="Arial" w:hAnsi="Arial" w:cs="Arial"/>
        </w:rPr>
      </w:pPr>
    </w:p>
    <w:p w14:paraId="6C6833DF" w14:textId="0F6A42E4" w:rsidR="00B01FCD" w:rsidRPr="00FB3A86" w:rsidRDefault="008736D4" w:rsidP="00441B6F">
      <w:pPr>
        <w:pStyle w:val="Copyright"/>
        <w:spacing w:after="0" w:line="240" w:lineRule="auto"/>
        <w:jc w:val="both"/>
        <w:rPr>
          <w:rFonts w:ascii="Arial" w:hAnsi="Arial" w:cs="Arial"/>
        </w:rPr>
        <w:sectPr w:rsidR="00B01FCD" w:rsidRPr="00FB3A86" w:rsidSect="002C758C">
          <w:headerReference w:type="first" r:id="rId8"/>
          <w:footerReference w:type="first" r:id="rId9"/>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4A75E92" wp14:editId="52EDFF5C">
                <wp:extent cx="5303520" cy="635"/>
                <wp:effectExtent l="13335" t="13335" r="17145" b="15240"/>
                <wp:docPr id="9507831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9514D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71JQIAAEQ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f6e9SUCAABEBAAADgAAAAAAAAAAAAAAAAAuAgAAZHJzL2Uyb0RvYy54bWxQSwEC&#10;LQAUAAYACAAAACEAScjSt9YAAAACAQAADwAAAAAAAAAAAAAAAAB/BAAAZHJzL2Rvd25yZXYueG1s&#10;UEsFBgAAAAAEAAQA8wAAAIIFAAAAAA==&#10;" strokeweight="1.5pt">
                <w10:anchorlock/>
              </v:shape>
            </w:pict>
          </mc:Fallback>
        </mc:AlternateContent>
      </w:r>
      <w:r w:rsidR="00FB3A86">
        <w:rPr>
          <w:rFonts w:ascii="Arial" w:hAnsi="Arial" w:cs="Arial"/>
        </w:rPr>
        <w:t>.</w:t>
      </w:r>
    </w:p>
    <w:p w14:paraId="749AF176" w14:textId="014E756E" w:rsidR="00B01FCD" w:rsidRDefault="00B01FCD" w:rsidP="00E87CD3">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772E3B0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F50CEFD" w14:textId="77777777" w:rsidTr="001E44FE">
        <w:tc>
          <w:tcPr>
            <w:tcW w:w="9576" w:type="dxa"/>
            <w:shd w:val="clear" w:color="auto" w:fill="F2F2F2"/>
          </w:tcPr>
          <w:p w14:paraId="7495EF5F" w14:textId="28639C1D" w:rsidR="0017660B" w:rsidRPr="00BA1B01" w:rsidRDefault="0017660B" w:rsidP="0017660B">
            <w:pPr>
              <w:pStyle w:val="Body"/>
              <w:spacing w:after="0"/>
              <w:rPr>
                <w:rFonts w:ascii="Arial" w:eastAsia="Calibri" w:hAnsi="Arial" w:cs="Arial"/>
                <w:szCs w:val="22"/>
              </w:rPr>
            </w:pPr>
            <w:r w:rsidRPr="00BA1B01">
              <w:rPr>
                <w:rFonts w:ascii="Arial" w:eastAsia="Calibri" w:hAnsi="Arial" w:cs="Arial"/>
                <w:b/>
                <w:szCs w:val="22"/>
              </w:rPr>
              <w:t xml:space="preserve">Aims: </w:t>
            </w:r>
            <w:r w:rsidR="005454E8">
              <w:rPr>
                <w:rFonts w:ascii="Arial" w:eastAsia="Calibri" w:hAnsi="Arial" w:cs="Arial"/>
                <w:szCs w:val="22"/>
              </w:rPr>
              <w:t>T</w:t>
            </w:r>
            <w:r w:rsidR="00E60E6D">
              <w:rPr>
                <w:rFonts w:ascii="Arial" w:eastAsia="Calibri" w:hAnsi="Arial" w:cs="Arial"/>
                <w:szCs w:val="22"/>
              </w:rPr>
              <w:t xml:space="preserve">o knowing the </w:t>
            </w:r>
            <w:r w:rsidR="003B2797">
              <w:rPr>
                <w:rFonts w:ascii="Arial" w:eastAsia="Calibri" w:hAnsi="Arial" w:cs="Arial"/>
                <w:szCs w:val="22"/>
              </w:rPr>
              <w:t>values</w:t>
            </w:r>
            <w:r w:rsidR="00E60E6D">
              <w:rPr>
                <w:rFonts w:ascii="Arial" w:eastAsia="Calibri" w:hAnsi="Arial" w:cs="Arial"/>
                <w:szCs w:val="22"/>
              </w:rPr>
              <w:t xml:space="preserve"> of </w:t>
            </w:r>
            <w:r w:rsidR="003B2797">
              <w:rPr>
                <w:rFonts w:ascii="Arial" w:eastAsia="Calibri" w:hAnsi="Arial" w:cs="Arial"/>
                <w:szCs w:val="22"/>
              </w:rPr>
              <w:t>gamma radiation exposure rate</w:t>
            </w:r>
            <w:r w:rsidR="00E60E6D">
              <w:rPr>
                <w:rFonts w:ascii="Arial" w:eastAsia="Calibri" w:hAnsi="Arial" w:cs="Arial"/>
                <w:szCs w:val="22"/>
              </w:rPr>
              <w:t xml:space="preserve">, </w:t>
            </w:r>
            <w:r w:rsidR="003B2797">
              <w:rPr>
                <w:rFonts w:ascii="Arial" w:eastAsia="Calibri" w:hAnsi="Arial" w:cs="Arial"/>
                <w:szCs w:val="22"/>
              </w:rPr>
              <w:t>to knowing the values of beta radiation exposure rate</w:t>
            </w:r>
            <w:r w:rsidR="00E60E6D">
              <w:rPr>
                <w:rFonts w:ascii="Arial" w:eastAsia="Calibri" w:hAnsi="Arial" w:cs="Arial"/>
                <w:szCs w:val="22"/>
              </w:rPr>
              <w:t xml:space="preserve">, and to comparing the monitoring results of gamma radiation exposure rate and </w:t>
            </w:r>
            <w:r w:rsidR="003B2797">
              <w:rPr>
                <w:rFonts w:ascii="Arial" w:eastAsia="Calibri" w:hAnsi="Arial" w:cs="Arial"/>
                <w:szCs w:val="22"/>
              </w:rPr>
              <w:t>be</w:t>
            </w:r>
            <w:r w:rsidR="00666168">
              <w:rPr>
                <w:rFonts w:ascii="Arial" w:eastAsia="Calibri" w:hAnsi="Arial" w:cs="Arial"/>
                <w:szCs w:val="22"/>
              </w:rPr>
              <w:t xml:space="preserve">ta radiation exposure rate with </w:t>
            </w:r>
            <w:r w:rsidR="003B2797">
              <w:rPr>
                <w:rFonts w:ascii="Arial" w:eastAsia="Calibri" w:hAnsi="Arial" w:cs="Arial"/>
                <w:szCs w:val="22"/>
              </w:rPr>
              <w:t>BAPETEN</w:t>
            </w:r>
            <w:r w:rsidR="00666168">
              <w:rPr>
                <w:rFonts w:ascii="Arial" w:eastAsia="Calibri" w:hAnsi="Arial" w:cs="Arial"/>
                <w:szCs w:val="22"/>
              </w:rPr>
              <w:t xml:space="preserve"> regulation</w:t>
            </w:r>
            <w:r w:rsidR="003B2797">
              <w:rPr>
                <w:rFonts w:ascii="Arial" w:eastAsia="Calibri" w:hAnsi="Arial" w:cs="Arial"/>
                <w:szCs w:val="22"/>
              </w:rPr>
              <w:t xml:space="preserve"> number 17 of 2012 article 33. </w:t>
            </w:r>
          </w:p>
          <w:p w14:paraId="370D0F6A" w14:textId="4059AEF9" w:rsidR="0017660B" w:rsidRPr="00BA1B01" w:rsidRDefault="0017660B" w:rsidP="0017660B">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3B2797">
              <w:rPr>
                <w:rFonts w:ascii="Arial" w:eastAsia="Calibri" w:hAnsi="Arial" w:cs="Arial"/>
                <w:szCs w:val="22"/>
              </w:rPr>
              <w:t>Nuclear Medicine Installation of Bali Mandara Hospital, Denpasar from March 2024 to June 2024.</w:t>
            </w:r>
          </w:p>
          <w:p w14:paraId="0B1531C0" w14:textId="4E522A8D" w:rsidR="0017660B" w:rsidRPr="00BA1B01" w:rsidRDefault="0017660B" w:rsidP="0017660B">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3B2797" w:rsidRPr="00B30E3C">
              <w:rPr>
                <w:rFonts w:ascii="Arial" w:eastAsia="Calibri" w:hAnsi="Arial" w:cs="Arial"/>
                <w:szCs w:val="22"/>
                <w:highlight w:val="yellow"/>
              </w:rPr>
              <w:t xml:space="preserve">This study used a </w:t>
            </w:r>
            <w:proofErr w:type="spellStart"/>
            <w:r w:rsidR="003B2797" w:rsidRPr="00B30E3C">
              <w:rPr>
                <w:rFonts w:ascii="Arial" w:eastAsia="Calibri" w:hAnsi="Arial" w:cs="Arial"/>
                <w:szCs w:val="22"/>
                <w:highlight w:val="yellow"/>
              </w:rPr>
              <w:t>surveymeter</w:t>
            </w:r>
            <w:proofErr w:type="spellEnd"/>
            <w:r w:rsidR="003B2797" w:rsidRPr="00B30E3C">
              <w:rPr>
                <w:rFonts w:ascii="Arial" w:eastAsia="Calibri" w:hAnsi="Arial" w:cs="Arial"/>
                <w:szCs w:val="22"/>
                <w:highlight w:val="yellow"/>
              </w:rPr>
              <w:t xml:space="preserve"> ranger</w:t>
            </w:r>
            <w:r w:rsidR="003B2797">
              <w:rPr>
                <w:rFonts w:ascii="Arial" w:eastAsia="Calibri" w:hAnsi="Arial" w:cs="Arial"/>
                <w:szCs w:val="22"/>
              </w:rPr>
              <w:t xml:space="preserve"> to measure the gamma and beta radiation exposure rate in </w:t>
            </w:r>
            <w:proofErr w:type="spellStart"/>
            <w:r w:rsidR="003B2797">
              <w:rPr>
                <w:rFonts w:ascii="Arial" w:eastAsia="Calibri" w:hAnsi="Arial" w:cs="Arial"/>
                <w:szCs w:val="22"/>
              </w:rPr>
              <w:t>hotlab</w:t>
            </w:r>
            <w:proofErr w:type="spellEnd"/>
            <w:r w:rsidR="003B2797">
              <w:rPr>
                <w:rFonts w:ascii="Arial" w:eastAsia="Calibri" w:hAnsi="Arial" w:cs="Arial"/>
                <w:szCs w:val="22"/>
              </w:rPr>
              <w:t xml:space="preserve"> room and injection room</w:t>
            </w:r>
            <w:r w:rsidR="00EB0B06">
              <w:rPr>
                <w:rFonts w:ascii="Arial" w:eastAsia="Calibri" w:hAnsi="Arial" w:cs="Arial"/>
                <w:szCs w:val="22"/>
              </w:rPr>
              <w:t xml:space="preserve">, with 30 </w:t>
            </w:r>
            <w:proofErr w:type="spellStart"/>
            <w:r w:rsidR="00EB0B06">
              <w:rPr>
                <w:rFonts w:ascii="Arial" w:eastAsia="Calibri" w:hAnsi="Arial" w:cs="Arial"/>
                <w:szCs w:val="22"/>
              </w:rPr>
              <w:t>mCi</w:t>
            </w:r>
            <w:proofErr w:type="spellEnd"/>
            <w:r w:rsidR="00EB0B06">
              <w:rPr>
                <w:rFonts w:ascii="Arial" w:eastAsia="Calibri" w:hAnsi="Arial" w:cs="Arial"/>
                <w:szCs w:val="22"/>
              </w:rPr>
              <w:t xml:space="preserve"> total activity of I-131 as radiation source. </w:t>
            </w:r>
            <w:r w:rsidR="009360A4" w:rsidRPr="009360A4">
              <w:rPr>
                <w:rFonts w:ascii="Arial" w:hAnsi="Arial" w:cs="Arial"/>
                <w:highlight w:val="yellow"/>
              </w:rPr>
              <w:t xml:space="preserve">In both rooms, several measurement points were determined as places for preparation, administration, and storage of I-131 such as work table, patient chair, and trolley. The entrance door is considered to be a measurement point to ensure radiation does not penetrate outside the </w:t>
            </w:r>
            <w:proofErr w:type="spellStart"/>
            <w:r w:rsidR="009360A4" w:rsidRPr="009360A4">
              <w:rPr>
                <w:rFonts w:ascii="Arial" w:hAnsi="Arial" w:cs="Arial"/>
                <w:highlight w:val="yellow"/>
              </w:rPr>
              <w:t>room</w:t>
            </w:r>
            <w:r w:rsidR="009360A4" w:rsidRPr="005665D4">
              <w:rPr>
                <w:rFonts w:ascii="Arial" w:hAnsi="Arial" w:cs="Arial"/>
              </w:rPr>
              <w:t>.</w:t>
            </w:r>
            <w:r w:rsidR="00EB0B06">
              <w:rPr>
                <w:rFonts w:ascii="Arial" w:eastAsia="Calibri" w:hAnsi="Arial" w:cs="Arial"/>
                <w:szCs w:val="22"/>
              </w:rPr>
              <w:t>The</w:t>
            </w:r>
            <w:proofErr w:type="spellEnd"/>
            <w:r w:rsidR="00EB0B06">
              <w:rPr>
                <w:rFonts w:ascii="Arial" w:eastAsia="Calibri" w:hAnsi="Arial" w:cs="Arial"/>
                <w:szCs w:val="22"/>
              </w:rPr>
              <w:t xml:space="preserve"> data were analyzed by</w:t>
            </w:r>
            <w:r w:rsidR="000C36BD">
              <w:rPr>
                <w:rFonts w:ascii="Arial" w:eastAsia="Calibri" w:hAnsi="Arial" w:cs="Arial"/>
                <w:szCs w:val="22"/>
              </w:rPr>
              <w:t xml:space="preserve"> </w:t>
            </w:r>
            <w:r w:rsidR="00EB0B06" w:rsidRPr="00EB0B06">
              <w:rPr>
                <w:rFonts w:ascii="Arial" w:eastAsia="Calibri" w:hAnsi="Arial" w:cs="Arial"/>
                <w:szCs w:val="22"/>
              </w:rPr>
              <w:t>calculating the actual radiation exposure rate using the formulas in equations 1 and 2,</w:t>
            </w:r>
            <w:r w:rsidR="00EB0B06">
              <w:rPr>
                <w:rFonts w:ascii="Arial" w:eastAsia="Calibri" w:hAnsi="Arial" w:cs="Arial"/>
                <w:szCs w:val="22"/>
              </w:rPr>
              <w:t xml:space="preserve"> statistical test for normality, and on</w:t>
            </w:r>
            <w:r w:rsidR="00666168">
              <w:rPr>
                <w:rFonts w:ascii="Arial" w:eastAsia="Calibri" w:hAnsi="Arial" w:cs="Arial"/>
                <w:szCs w:val="22"/>
              </w:rPr>
              <w:t xml:space="preserve">e sample t-test to compare with </w:t>
            </w:r>
            <w:r w:rsidR="00EB0B06">
              <w:rPr>
                <w:rFonts w:ascii="Arial" w:eastAsia="Calibri" w:hAnsi="Arial" w:cs="Arial"/>
                <w:szCs w:val="22"/>
              </w:rPr>
              <w:t>BAPETEN</w:t>
            </w:r>
            <w:r w:rsidR="00666168">
              <w:rPr>
                <w:rFonts w:ascii="Arial" w:eastAsia="Calibri" w:hAnsi="Arial" w:cs="Arial"/>
                <w:szCs w:val="22"/>
              </w:rPr>
              <w:t xml:space="preserve"> regulation</w:t>
            </w:r>
            <w:r w:rsidR="00EB0B06">
              <w:rPr>
                <w:rFonts w:ascii="Arial" w:eastAsia="Calibri" w:hAnsi="Arial" w:cs="Arial"/>
                <w:szCs w:val="22"/>
              </w:rPr>
              <w:t xml:space="preserve"> number 17 of 2012 article 33.</w:t>
            </w:r>
          </w:p>
          <w:p w14:paraId="45343143" w14:textId="4CD35762" w:rsidR="00505F06" w:rsidRDefault="0017660B" w:rsidP="00567343">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0C36BD" w:rsidRPr="006C1024">
              <w:rPr>
                <w:rFonts w:ascii="Arial" w:eastAsia="Calibri" w:hAnsi="Arial" w:cs="Arial"/>
                <w:szCs w:val="22"/>
                <w:highlight w:val="yellow"/>
              </w:rPr>
              <w:t>The values o</w:t>
            </w:r>
            <w:r w:rsidR="00567343" w:rsidRPr="006C1024">
              <w:rPr>
                <w:rFonts w:ascii="Arial" w:eastAsia="Calibri" w:hAnsi="Arial" w:cs="Arial"/>
                <w:szCs w:val="22"/>
                <w:highlight w:val="yellow"/>
              </w:rPr>
              <w:t xml:space="preserve">f gamma radiation exposure rate are </w:t>
            </w:r>
            <w:r w:rsidR="000C36BD" w:rsidRPr="006C1024">
              <w:rPr>
                <w:rFonts w:ascii="Arial" w:eastAsia="Calibri" w:hAnsi="Arial" w:cs="Arial"/>
                <w:szCs w:val="22"/>
                <w:highlight w:val="yellow"/>
              </w:rPr>
              <w:t xml:space="preserve">0,149 – 2,307 </w:t>
            </w:r>
            <w:proofErr w:type="spellStart"/>
            <w:r w:rsidR="000C36BD" w:rsidRPr="006C1024">
              <w:rPr>
                <w:rFonts w:ascii="Arial" w:eastAsia="Calibri" w:hAnsi="Arial" w:cs="Arial"/>
                <w:szCs w:val="22"/>
                <w:highlight w:val="yellow"/>
              </w:rPr>
              <w:t>μSv</w:t>
            </w:r>
            <w:proofErr w:type="spellEnd"/>
            <w:r w:rsidR="000C36BD" w:rsidRPr="006C1024">
              <w:rPr>
                <w:rFonts w:ascii="Arial" w:eastAsia="Calibri" w:hAnsi="Arial" w:cs="Arial"/>
                <w:szCs w:val="22"/>
                <w:highlight w:val="yellow"/>
              </w:rPr>
              <w:t xml:space="preserve"> / h. The values of beta radiation exposure rate in the Nuclear Medicine Installation of Bali Mandara Regional Hospital is 1,534 – 13,739 </w:t>
            </w:r>
            <w:proofErr w:type="spellStart"/>
            <w:r w:rsidR="000C36BD" w:rsidRPr="006C1024">
              <w:rPr>
                <w:rFonts w:ascii="Arial" w:eastAsia="Calibri" w:hAnsi="Arial" w:cs="Arial"/>
                <w:szCs w:val="22"/>
                <w:highlight w:val="yellow"/>
              </w:rPr>
              <w:t>μSv</w:t>
            </w:r>
            <w:proofErr w:type="spellEnd"/>
            <w:r w:rsidR="000C36BD" w:rsidRPr="006C1024">
              <w:rPr>
                <w:rFonts w:ascii="Arial" w:eastAsia="Calibri" w:hAnsi="Arial" w:cs="Arial"/>
                <w:szCs w:val="22"/>
                <w:highlight w:val="yellow"/>
              </w:rPr>
              <w:t xml:space="preserve"> / h.</w:t>
            </w:r>
            <w:r w:rsidR="000C36BD" w:rsidRPr="000C36BD">
              <w:rPr>
                <w:rFonts w:ascii="Arial" w:eastAsia="Calibri" w:hAnsi="Arial" w:cs="Arial"/>
                <w:szCs w:val="22"/>
              </w:rPr>
              <w:t xml:space="preserve"> </w:t>
            </w:r>
            <w:r w:rsidR="00CC727C">
              <w:rPr>
                <w:rFonts w:ascii="Arial" w:eastAsia="Calibri" w:hAnsi="Arial" w:cs="Arial"/>
                <w:szCs w:val="22"/>
              </w:rPr>
              <w:t>The t-</w:t>
            </w:r>
            <w:r w:rsidR="000C36BD">
              <w:rPr>
                <w:rFonts w:ascii="Arial" w:eastAsia="Calibri" w:hAnsi="Arial" w:cs="Arial"/>
                <w:szCs w:val="22"/>
              </w:rPr>
              <w:t>value of gamma radiation exp</w:t>
            </w:r>
            <w:r w:rsidR="00CC727C">
              <w:rPr>
                <w:rFonts w:ascii="Arial" w:eastAsia="Calibri" w:hAnsi="Arial" w:cs="Arial"/>
                <w:szCs w:val="22"/>
              </w:rPr>
              <w:t>osure rate is -27,020 and the t-</w:t>
            </w:r>
            <w:r w:rsidR="000C36BD">
              <w:rPr>
                <w:rFonts w:ascii="Arial" w:eastAsia="Calibri" w:hAnsi="Arial" w:cs="Arial"/>
                <w:szCs w:val="22"/>
              </w:rPr>
              <w:t xml:space="preserve">value of beta radiation exposure rate is -156, 413. The t-value is smaller than </w:t>
            </w:r>
            <w:r w:rsidR="00567343">
              <w:rPr>
                <w:rFonts w:ascii="Arial" w:eastAsia="Calibri" w:hAnsi="Arial" w:cs="Arial"/>
                <w:szCs w:val="22"/>
              </w:rPr>
              <w:t>the t-</w:t>
            </w:r>
            <w:r w:rsidR="00CC727C">
              <w:rPr>
                <w:rFonts w:ascii="Arial" w:eastAsia="Calibri" w:hAnsi="Arial" w:cs="Arial"/>
                <w:szCs w:val="22"/>
              </w:rPr>
              <w:t>table</w:t>
            </w:r>
            <w:r w:rsidR="00567343">
              <w:rPr>
                <w:rFonts w:ascii="Arial" w:eastAsia="Calibri" w:hAnsi="Arial" w:cs="Arial"/>
                <w:szCs w:val="22"/>
              </w:rPr>
              <w:t xml:space="preserve"> (1,94318), </w:t>
            </w:r>
            <w:r w:rsidR="00567343" w:rsidRPr="006C1024">
              <w:rPr>
                <w:rFonts w:ascii="Arial" w:eastAsia="Calibri" w:hAnsi="Arial" w:cs="Arial"/>
                <w:szCs w:val="22"/>
                <w:highlight w:val="yellow"/>
              </w:rPr>
              <w:t xml:space="preserve">it means the values of gamma radiation and beta radiation exposure rate doesn’t exceed the </w:t>
            </w:r>
            <w:r w:rsidR="00666168" w:rsidRPr="006C1024">
              <w:rPr>
                <w:rFonts w:ascii="Arial" w:eastAsia="Calibri" w:hAnsi="Arial" w:cs="Arial"/>
                <w:szCs w:val="22"/>
                <w:highlight w:val="yellow"/>
              </w:rPr>
              <w:t xml:space="preserve">NBD that has been determined in </w:t>
            </w:r>
            <w:r w:rsidR="00567343" w:rsidRPr="006C1024">
              <w:rPr>
                <w:rFonts w:ascii="Arial" w:eastAsia="Calibri" w:hAnsi="Arial" w:cs="Arial"/>
                <w:szCs w:val="22"/>
                <w:highlight w:val="yellow"/>
              </w:rPr>
              <w:t xml:space="preserve">BAPETEN </w:t>
            </w:r>
            <w:r w:rsidR="00666168" w:rsidRPr="006C1024">
              <w:rPr>
                <w:rFonts w:ascii="Arial" w:eastAsia="Calibri" w:hAnsi="Arial" w:cs="Arial"/>
                <w:szCs w:val="22"/>
                <w:highlight w:val="yellow"/>
              </w:rPr>
              <w:t xml:space="preserve">regulation </w:t>
            </w:r>
            <w:r w:rsidR="00567343" w:rsidRPr="006C1024">
              <w:rPr>
                <w:rFonts w:ascii="Arial" w:eastAsia="Calibri" w:hAnsi="Arial" w:cs="Arial"/>
                <w:szCs w:val="22"/>
                <w:highlight w:val="yellow"/>
              </w:rPr>
              <w:t xml:space="preserve">number 17 of 2012 article 33, which is 10 </w:t>
            </w:r>
            <w:proofErr w:type="spellStart"/>
            <w:r w:rsidR="00567343" w:rsidRPr="006C1024">
              <w:rPr>
                <w:rFonts w:ascii="Arial" w:eastAsia="Calibri" w:hAnsi="Arial" w:cs="Arial"/>
                <w:szCs w:val="22"/>
                <w:highlight w:val="yellow"/>
              </w:rPr>
              <w:t>μSv</w:t>
            </w:r>
            <w:proofErr w:type="spellEnd"/>
            <w:r w:rsidR="00567343" w:rsidRPr="006C1024">
              <w:rPr>
                <w:rFonts w:ascii="Arial" w:eastAsia="Calibri" w:hAnsi="Arial" w:cs="Arial"/>
                <w:szCs w:val="22"/>
                <w:highlight w:val="yellow"/>
              </w:rPr>
              <w:t xml:space="preserve">/h for gamma radiation exposure rate and 250 </w:t>
            </w:r>
            <w:proofErr w:type="spellStart"/>
            <w:r w:rsidR="00567343" w:rsidRPr="006C1024">
              <w:rPr>
                <w:rFonts w:ascii="Arial" w:eastAsia="Calibri" w:hAnsi="Arial" w:cs="Arial"/>
                <w:szCs w:val="22"/>
                <w:highlight w:val="yellow"/>
              </w:rPr>
              <w:t>μSv</w:t>
            </w:r>
            <w:proofErr w:type="spellEnd"/>
            <w:r w:rsidR="00567343" w:rsidRPr="006C1024">
              <w:rPr>
                <w:rFonts w:ascii="Arial" w:eastAsia="Calibri" w:hAnsi="Arial" w:cs="Arial"/>
                <w:szCs w:val="22"/>
                <w:highlight w:val="yellow"/>
              </w:rPr>
              <w:t>/h for beta radiation exposure rate.</w:t>
            </w:r>
          </w:p>
          <w:p w14:paraId="66427A0A" w14:textId="7E3105CC" w:rsidR="00567343" w:rsidRPr="00567343" w:rsidRDefault="00567343" w:rsidP="001C2ABE">
            <w:pPr>
              <w:pStyle w:val="Body"/>
              <w:spacing w:after="0"/>
              <w:rPr>
                <w:rFonts w:ascii="Arial" w:eastAsia="Calibri" w:hAnsi="Arial" w:cs="Arial"/>
                <w:sz w:val="18"/>
                <w:szCs w:val="22"/>
              </w:rPr>
            </w:pPr>
            <w:r>
              <w:rPr>
                <w:rFonts w:ascii="Arial" w:eastAsia="Calibri" w:hAnsi="Arial" w:cs="Arial"/>
                <w:b/>
                <w:bCs/>
                <w:szCs w:val="22"/>
              </w:rPr>
              <w:t>Conclusion</w:t>
            </w:r>
            <w:r w:rsidRPr="00BA1B01">
              <w:rPr>
                <w:rFonts w:ascii="Arial" w:eastAsia="Calibri" w:hAnsi="Arial" w:cs="Arial"/>
                <w:b/>
                <w:bCs/>
                <w:szCs w:val="22"/>
              </w:rPr>
              <w:t>:</w:t>
            </w:r>
            <w:r>
              <w:rPr>
                <w:rFonts w:ascii="Arial" w:eastAsia="Calibri" w:hAnsi="Arial" w:cs="Arial"/>
                <w:b/>
                <w:bCs/>
                <w:szCs w:val="22"/>
              </w:rPr>
              <w:t xml:space="preserve"> </w:t>
            </w:r>
            <w:r>
              <w:rPr>
                <w:rFonts w:ascii="Arial" w:eastAsia="Calibri" w:hAnsi="Arial" w:cs="Arial"/>
                <w:bCs/>
                <w:szCs w:val="22"/>
              </w:rPr>
              <w:t xml:space="preserve">The </w:t>
            </w:r>
            <w:r w:rsidRPr="00567343">
              <w:rPr>
                <w:rFonts w:ascii="Arial" w:eastAsia="Calibri" w:hAnsi="Arial" w:cs="Arial"/>
                <w:bCs/>
                <w:szCs w:val="22"/>
              </w:rPr>
              <w:t xml:space="preserve">gamma radiation </w:t>
            </w:r>
            <w:r>
              <w:rPr>
                <w:rFonts w:ascii="Arial" w:eastAsia="Calibri" w:hAnsi="Arial" w:cs="Arial"/>
                <w:bCs/>
                <w:szCs w:val="22"/>
              </w:rPr>
              <w:t xml:space="preserve">exposure rates and the </w:t>
            </w:r>
            <w:r w:rsidRPr="00567343">
              <w:rPr>
                <w:rFonts w:ascii="Arial" w:eastAsia="Calibri" w:hAnsi="Arial" w:cs="Arial"/>
                <w:bCs/>
                <w:szCs w:val="22"/>
              </w:rPr>
              <w:t xml:space="preserve">beta radiation </w:t>
            </w:r>
            <w:r w:rsidR="001C2ABE">
              <w:rPr>
                <w:rFonts w:ascii="Arial" w:eastAsia="Calibri" w:hAnsi="Arial" w:cs="Arial"/>
                <w:bCs/>
                <w:szCs w:val="22"/>
              </w:rPr>
              <w:t xml:space="preserve">exposure rates in </w:t>
            </w:r>
            <w:r w:rsidRPr="00567343">
              <w:rPr>
                <w:rFonts w:ascii="Arial" w:eastAsia="Calibri" w:hAnsi="Arial" w:cs="Arial"/>
                <w:bCs/>
                <w:szCs w:val="22"/>
              </w:rPr>
              <w:t xml:space="preserve">Bali Mandara Hospital Nuclear Medicine Installation are still very safe and far from the NBD because the number of patients and radioisotope </w:t>
            </w:r>
            <w:r w:rsidR="001C2ABE">
              <w:rPr>
                <w:rFonts w:ascii="Arial" w:eastAsia="Calibri" w:hAnsi="Arial" w:cs="Arial"/>
                <w:bCs/>
                <w:szCs w:val="22"/>
              </w:rPr>
              <w:t>activities used is still minimum</w:t>
            </w:r>
            <w:r w:rsidR="006C1024">
              <w:rPr>
                <w:rFonts w:ascii="Arial" w:eastAsia="Calibri" w:hAnsi="Arial" w:cs="Arial"/>
                <w:bCs/>
                <w:szCs w:val="22"/>
              </w:rPr>
              <w:t xml:space="preserve">, </w:t>
            </w:r>
            <w:r w:rsidR="006C1024" w:rsidRPr="006C1024">
              <w:rPr>
                <w:rFonts w:ascii="Arial" w:eastAsia="Calibri" w:hAnsi="Arial" w:cs="Arial"/>
                <w:bCs/>
                <w:szCs w:val="22"/>
                <w:highlight w:val="yellow"/>
              </w:rPr>
              <w:t xml:space="preserve">that is 30 </w:t>
            </w:r>
            <w:proofErr w:type="spellStart"/>
            <w:r w:rsidR="006C1024" w:rsidRPr="006C1024">
              <w:rPr>
                <w:rFonts w:ascii="Arial" w:eastAsia="Calibri" w:hAnsi="Arial" w:cs="Arial"/>
                <w:bCs/>
                <w:szCs w:val="22"/>
                <w:highlight w:val="yellow"/>
              </w:rPr>
              <w:t>mCi</w:t>
            </w:r>
            <w:proofErr w:type="spellEnd"/>
            <w:r w:rsidRPr="006C1024">
              <w:rPr>
                <w:rFonts w:ascii="Arial" w:eastAsia="Calibri" w:hAnsi="Arial" w:cs="Arial"/>
                <w:bCs/>
                <w:szCs w:val="22"/>
                <w:highlight w:val="yellow"/>
              </w:rPr>
              <w:t>.</w:t>
            </w:r>
            <w:r w:rsidRPr="00567343">
              <w:rPr>
                <w:rFonts w:ascii="Arial" w:eastAsia="Calibri" w:hAnsi="Arial" w:cs="Arial"/>
                <w:bCs/>
                <w:szCs w:val="22"/>
              </w:rPr>
              <w:t xml:space="preserve"> Therefore, it is important to limit the use of radioisotopes because the more radioisotope activity used, the longer the time used for preparation and administration to patients which can cause more radiation exposure.</w:t>
            </w:r>
          </w:p>
        </w:tc>
      </w:tr>
    </w:tbl>
    <w:p w14:paraId="7A219553" w14:textId="77777777" w:rsidR="00636EB2" w:rsidRDefault="00636EB2" w:rsidP="00441B6F">
      <w:pPr>
        <w:pStyle w:val="Body"/>
        <w:spacing w:after="0"/>
        <w:rPr>
          <w:rFonts w:ascii="Arial" w:hAnsi="Arial" w:cs="Arial"/>
          <w:i/>
        </w:rPr>
      </w:pPr>
    </w:p>
    <w:p w14:paraId="14BE9D27" w14:textId="5E679ED6" w:rsidR="00790ADA" w:rsidRDefault="00A24E7E" w:rsidP="00441B6F">
      <w:pPr>
        <w:pStyle w:val="Body"/>
        <w:spacing w:after="0"/>
        <w:rPr>
          <w:rFonts w:ascii="Arial" w:hAnsi="Arial" w:cs="Arial"/>
          <w:i/>
        </w:rPr>
      </w:pPr>
      <w:r>
        <w:rPr>
          <w:rFonts w:ascii="Arial" w:hAnsi="Arial" w:cs="Arial"/>
          <w:i/>
        </w:rPr>
        <w:t xml:space="preserve">Keywords: </w:t>
      </w:r>
      <w:r w:rsidR="001C2ABE">
        <w:rPr>
          <w:rFonts w:ascii="Arial" w:hAnsi="Arial" w:cs="Arial"/>
          <w:i/>
          <w:lang w:val="en"/>
        </w:rPr>
        <w:t xml:space="preserve">beta radiation exposure rate; gamma radiation exposure rate; NBD; Nuclear Medicine Installation; </w:t>
      </w:r>
      <w:proofErr w:type="spellStart"/>
      <w:r w:rsidR="006E57ED" w:rsidRPr="006E57ED">
        <w:rPr>
          <w:rFonts w:ascii="Arial" w:hAnsi="Arial" w:cs="Arial"/>
          <w:i/>
          <w:lang w:val="en"/>
        </w:rPr>
        <w:t>surveymeter</w:t>
      </w:r>
      <w:proofErr w:type="spellEnd"/>
      <w:r w:rsidR="006E57ED" w:rsidRPr="006E57ED">
        <w:rPr>
          <w:rFonts w:ascii="Arial" w:hAnsi="Arial" w:cs="Arial"/>
          <w:lang w:val="en"/>
        </w:rPr>
        <w:t>.</w:t>
      </w:r>
    </w:p>
    <w:p w14:paraId="1AA5F545" w14:textId="77777777" w:rsidR="001C2ABE" w:rsidRDefault="001C2ABE" w:rsidP="00441B6F">
      <w:pPr>
        <w:pStyle w:val="Body"/>
        <w:spacing w:after="0"/>
        <w:rPr>
          <w:rFonts w:ascii="Arial" w:hAnsi="Arial" w:cs="Arial"/>
          <w:i/>
        </w:rPr>
      </w:pPr>
    </w:p>
    <w:p w14:paraId="775123A4" w14:textId="6345AF1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ED1430F" w14:textId="77777777" w:rsidR="00790ADA" w:rsidRPr="00FB3A86" w:rsidRDefault="00790ADA" w:rsidP="00441B6F">
      <w:pPr>
        <w:pStyle w:val="AbstHead"/>
        <w:spacing w:after="0"/>
        <w:jc w:val="both"/>
        <w:rPr>
          <w:rFonts w:ascii="Arial" w:hAnsi="Arial" w:cs="Arial"/>
        </w:rPr>
      </w:pPr>
    </w:p>
    <w:p w14:paraId="68188344" w14:textId="77777777" w:rsidR="004C7FC9" w:rsidRDefault="004C7FC9" w:rsidP="00111CE4">
      <w:pPr>
        <w:pStyle w:val="Body"/>
        <w:rPr>
          <w:rFonts w:ascii="Arial" w:hAnsi="Arial" w:cs="Arial"/>
        </w:rPr>
        <w:sectPr w:rsidR="004C7FC9" w:rsidSect="004C7FC9">
          <w:footerReference w:type="default" r:id="rId10"/>
          <w:type w:val="continuous"/>
          <w:pgSz w:w="12240" w:h="15840"/>
          <w:pgMar w:top="1440" w:right="2016" w:bottom="2016" w:left="2016" w:header="720" w:footer="1123" w:gutter="0"/>
          <w:cols w:space="720"/>
          <w:docGrid w:linePitch="272"/>
        </w:sectPr>
      </w:pPr>
    </w:p>
    <w:p w14:paraId="5BD89751" w14:textId="73BB00BF" w:rsidR="00111CE4" w:rsidRDefault="00111CE4" w:rsidP="004C7FC9">
      <w:pPr>
        <w:pStyle w:val="Body"/>
        <w:ind w:right="58"/>
        <w:rPr>
          <w:rFonts w:ascii="Arial" w:hAnsi="Arial" w:cs="Arial"/>
        </w:rPr>
      </w:pPr>
      <w:r w:rsidRPr="00111CE4">
        <w:rPr>
          <w:rFonts w:ascii="Arial" w:hAnsi="Arial" w:cs="Arial"/>
        </w:rPr>
        <w:t xml:space="preserve">Advances in nuclear technology are matched by many applications in various fields of life. One application of nuclear technology that is closely related to </w:t>
      </w:r>
      <w:r w:rsidRPr="00111CE4">
        <w:rPr>
          <w:rFonts w:ascii="Arial" w:hAnsi="Arial" w:cs="Arial"/>
        </w:rPr>
        <w:t xml:space="preserve">humans is nuclear medicine. Nuclear medicine is a branch of medical science that uses open radioactive sources derived from artificial radionuclide nuclei </w:t>
      </w:r>
      <w:r w:rsidRPr="00111CE4">
        <w:rPr>
          <w:rFonts w:ascii="Arial" w:hAnsi="Arial" w:cs="Arial"/>
        </w:rPr>
        <w:lastRenderedPageBreak/>
        <w:t xml:space="preserve">to study changes in physiology and biochemistry, so that they can be used for diagnostic, therapeutic, and research purposes. Nuclear medicine uses radiopharmaceuticals that can be introduced into the patient's body through respiratory, oral, or injection routes </w:t>
      </w:r>
      <w:r>
        <w:rPr>
          <w:rFonts w:ascii="Arial" w:hAnsi="Arial" w:cs="Arial"/>
        </w:rPr>
        <w:t>[1]</w:t>
      </w:r>
      <w:r w:rsidRPr="00111CE4">
        <w:rPr>
          <w:rFonts w:ascii="Arial" w:hAnsi="Arial" w:cs="Arial"/>
        </w:rPr>
        <w:t>.</w:t>
      </w:r>
      <w:r>
        <w:rPr>
          <w:rFonts w:ascii="Arial" w:hAnsi="Arial" w:cs="Arial"/>
        </w:rPr>
        <w:t xml:space="preserve"> </w:t>
      </w:r>
      <w:r w:rsidRPr="00111CE4">
        <w:rPr>
          <w:rFonts w:ascii="Arial" w:hAnsi="Arial" w:cs="Arial"/>
        </w:rPr>
        <w:t xml:space="preserve">Radiopharmaceuticals generally consist of radioactive elements (radionuclides) that allow external scanning, linking with non-radioactive elements, biologically active molecules, drugs or cells that act as carriers or ligands, responsible for delivering the radionuclide to a specific organ </w:t>
      </w:r>
      <w:r>
        <w:rPr>
          <w:rFonts w:ascii="Arial" w:hAnsi="Arial" w:cs="Arial"/>
        </w:rPr>
        <w:t>[2]</w:t>
      </w:r>
      <w:r w:rsidRPr="00111CE4">
        <w:rPr>
          <w:rFonts w:ascii="Arial" w:hAnsi="Arial" w:cs="Arial"/>
        </w:rPr>
        <w:t>.</w:t>
      </w:r>
    </w:p>
    <w:p w14:paraId="0AE333CD" w14:textId="7E11EBE1" w:rsidR="00302B3A" w:rsidRDefault="00302B3A" w:rsidP="004C7FC9">
      <w:pPr>
        <w:pStyle w:val="Body"/>
        <w:ind w:right="58"/>
        <w:rPr>
          <w:rFonts w:ascii="Arial" w:hAnsi="Arial" w:cs="Arial"/>
        </w:rPr>
      </w:pPr>
      <w:r w:rsidRPr="00E74F94">
        <w:rPr>
          <w:rFonts w:ascii="Arial" w:hAnsi="Arial" w:cs="Arial"/>
          <w:highlight w:val="yellow"/>
        </w:rPr>
        <w:t>Radiation helps treat cancer and select other diseases by destroying cells. When radiation damages cancer cells’ DNA, it affects the cells’ ability to continue reproducing. By nature, cancer cells divide rapidly, which makes them particularly susceptible to radiation.14 Delivering ionizing radiation to patients to target specific cells requires unparalleled accuracy. Too little radiation can allow cancerous cells to regrow, but too much radiation or missed targets can harm the patient. Ensuring consistent, accurate and effective radiation treatment requires cooperation of a team of radiation oncology specialists: radiation oncologists, medical physicists, radiation therapists, medical dosimetrists and nurses [3].</w:t>
      </w:r>
    </w:p>
    <w:p w14:paraId="5D9FA10D" w14:textId="02AAAA90" w:rsidR="009812A4" w:rsidRPr="006C1024" w:rsidRDefault="009812A4" w:rsidP="004C7FC9">
      <w:pPr>
        <w:pStyle w:val="Body"/>
        <w:ind w:right="58"/>
        <w:rPr>
          <w:rFonts w:ascii="Arial" w:hAnsi="Arial" w:cs="Arial"/>
        </w:rPr>
      </w:pPr>
      <w:r w:rsidRPr="006C1024">
        <w:rPr>
          <w:rFonts w:ascii="Arial" w:hAnsi="Arial" w:cs="Arial"/>
          <w:highlight w:val="yellow"/>
          <w:shd w:val="clear" w:color="auto" w:fill="FFFFFF"/>
        </w:rPr>
        <w:t xml:space="preserve">There are three basic principles of radiation protection: justification, optimization, and dose limitation. Justification involves an appreciation for the benefits and risks of using radiation for procedures or treatments. Physicians, surgeons, and radiologic personnel all play a key role in educating patients on the potential adverse effects of radiation exposure. The benefits of exposure should be well known and accepted by the medical community. Often, procedures that expose patients to relatively higher doses of radiation—for example, interventional vascular procedures—are medically necessary, and thus the benefits outweigh the risks. The As Low </w:t>
      </w:r>
      <w:r w:rsidRPr="006C1024">
        <w:rPr>
          <w:rFonts w:ascii="Arial" w:hAnsi="Arial" w:cs="Arial"/>
          <w:highlight w:val="yellow"/>
          <w:shd w:val="clear" w:color="auto" w:fill="FFFFFF"/>
        </w:rPr>
        <w:t xml:space="preserve">as Reasonably Achievable (ALARA) principle, defined by the code of federal regulations, was created to ensure that all measures to reduce radiation exposure have been taken while acknowledging that radiation is an integral part of diagnosing and treating patients. Any amount of radiation exposure will increase the risk of stochastic effects, namely the chances of developing malignancy following radiation exposure. These effects are thought to occur as a linear model in which there is no specific threshold to predict whether or not malignancy will develop reliably. For these reasons, the radiologic community teaches protection practices under the ALARA principle </w:t>
      </w:r>
      <w:r w:rsidR="005752A6" w:rsidRPr="006C1024">
        <w:rPr>
          <w:rFonts w:ascii="Arial" w:hAnsi="Arial" w:cs="Arial"/>
          <w:highlight w:val="yellow"/>
          <w:shd w:val="clear" w:color="auto" w:fill="FFFFFF"/>
        </w:rPr>
        <w:t>[4]</w:t>
      </w:r>
      <w:r w:rsidRPr="006C1024">
        <w:rPr>
          <w:rFonts w:ascii="Arial" w:hAnsi="Arial" w:cs="Arial"/>
          <w:highlight w:val="yellow"/>
          <w:shd w:val="clear" w:color="auto" w:fill="FFFFFF"/>
        </w:rPr>
        <w:t>.</w:t>
      </w:r>
    </w:p>
    <w:p w14:paraId="375CDA35" w14:textId="271A61F1" w:rsidR="00111CE4" w:rsidRDefault="00111CE4" w:rsidP="00111CE4">
      <w:pPr>
        <w:pStyle w:val="Body"/>
        <w:rPr>
          <w:rFonts w:ascii="Arial" w:hAnsi="Arial" w:cs="Arial"/>
        </w:rPr>
      </w:pPr>
      <w:r w:rsidRPr="00342EA1">
        <w:rPr>
          <w:rFonts w:ascii="Arial" w:hAnsi="Arial" w:cs="Arial"/>
        </w:rPr>
        <w:t>N</w:t>
      </w:r>
      <w:r w:rsidRPr="00111CE4">
        <w:rPr>
          <w:rFonts w:ascii="Arial" w:hAnsi="Arial" w:cs="Arial"/>
        </w:rPr>
        <w:t xml:space="preserve">uclear medicine in Indonesia has started since 1967, after Indonesia's first atomic reactor started operating in Bandung.  Nuclear medicine is one of the specialized medical services that is being actively developed by hospitals all over Indonesia. Until now there are 27 hospitals in Indonesia that provide nuclear medicine services, one of which is Bali Mandara Hospital. Radioisotopes commonly used in nuclear medicine have a fairly short half-life, this aims to reduce radiation exposure received by patients </w:t>
      </w:r>
      <w:r w:rsidR="006C1024">
        <w:rPr>
          <w:rFonts w:ascii="Arial" w:hAnsi="Arial" w:cs="Arial"/>
        </w:rPr>
        <w:t>[5</w:t>
      </w:r>
      <w:r>
        <w:rPr>
          <w:rFonts w:ascii="Arial" w:hAnsi="Arial" w:cs="Arial"/>
        </w:rPr>
        <w:t>]</w:t>
      </w:r>
      <w:r w:rsidRPr="00111CE4">
        <w:rPr>
          <w:rFonts w:ascii="Arial" w:hAnsi="Arial" w:cs="Arial"/>
        </w:rPr>
        <w:t>.</w:t>
      </w:r>
      <w:r>
        <w:rPr>
          <w:rFonts w:ascii="Arial" w:hAnsi="Arial" w:cs="Arial"/>
        </w:rPr>
        <w:t xml:space="preserve"> </w:t>
      </w:r>
      <w:r w:rsidRPr="00342EA1">
        <w:rPr>
          <w:rFonts w:ascii="Arial" w:hAnsi="Arial" w:cs="Arial"/>
        </w:rPr>
        <w:t>R</w:t>
      </w:r>
      <w:r w:rsidRPr="00111CE4">
        <w:rPr>
          <w:rFonts w:ascii="Arial" w:hAnsi="Arial" w:cs="Arial"/>
        </w:rPr>
        <w:t>adioisotopes commonly used in nuclear medicine are F-18, I-131, and Tc-99m. Radioisotopes F-18 and I-131 can emit beta and gamma radiation, while radioisotope Tc-</w:t>
      </w:r>
      <w:r>
        <w:rPr>
          <w:rFonts w:ascii="Arial" w:hAnsi="Arial" w:cs="Arial"/>
        </w:rPr>
        <w:t>9</w:t>
      </w:r>
      <w:r w:rsidR="006C1024">
        <w:rPr>
          <w:rFonts w:ascii="Arial" w:hAnsi="Arial" w:cs="Arial"/>
        </w:rPr>
        <w:t>9m only emits gamma radiation [6</w:t>
      </w:r>
      <w:r>
        <w:rPr>
          <w:rFonts w:ascii="Arial" w:hAnsi="Arial" w:cs="Arial"/>
        </w:rPr>
        <w:t>]</w:t>
      </w:r>
      <w:r w:rsidRPr="00111CE4">
        <w:rPr>
          <w:rFonts w:ascii="Arial" w:hAnsi="Arial" w:cs="Arial"/>
        </w:rPr>
        <w:t>. Bali Mandara Hospital Nuclear Medicine uses Tc-99m and I-131 radioisotopes.</w:t>
      </w:r>
    </w:p>
    <w:p w14:paraId="0DFE3C74" w14:textId="340D8104" w:rsidR="00111CE4" w:rsidRDefault="00666168" w:rsidP="00111CE4">
      <w:pPr>
        <w:pStyle w:val="Body"/>
        <w:rPr>
          <w:rFonts w:ascii="Arial" w:hAnsi="Arial" w:cs="Arial"/>
        </w:rPr>
      </w:pPr>
      <w:r w:rsidRPr="00666168">
        <w:rPr>
          <w:rFonts w:ascii="Arial" w:hAnsi="Arial" w:cs="Arial"/>
        </w:rPr>
        <w:t xml:space="preserve">In preparing radiopharmaceuticals, administering radiopharmaceuticals to patients, and imaging patients, workers in the Nuclear Medicine Installation are routinely exposed to radiation. The potential radiation exposure that can be produced by radioisotopes depends on the type of isotope and the amount of activity used </w:t>
      </w:r>
      <w:r w:rsidR="006C1024">
        <w:rPr>
          <w:rFonts w:ascii="Arial" w:hAnsi="Arial" w:cs="Arial"/>
        </w:rPr>
        <w:t>[6</w:t>
      </w:r>
      <w:r>
        <w:rPr>
          <w:rFonts w:ascii="Arial" w:hAnsi="Arial" w:cs="Arial"/>
        </w:rPr>
        <w:t>]</w:t>
      </w:r>
      <w:r w:rsidRPr="00666168">
        <w:rPr>
          <w:rFonts w:ascii="Arial" w:hAnsi="Arial" w:cs="Arial"/>
        </w:rPr>
        <w:t>. Based on BAPETEN R</w:t>
      </w:r>
      <w:r>
        <w:rPr>
          <w:rFonts w:ascii="Arial" w:hAnsi="Arial" w:cs="Arial"/>
        </w:rPr>
        <w:t xml:space="preserve">egulation number 17 of </w:t>
      </w:r>
      <w:r w:rsidRPr="00666168">
        <w:rPr>
          <w:rFonts w:ascii="Arial" w:hAnsi="Arial" w:cs="Arial"/>
        </w:rPr>
        <w:t xml:space="preserve">2012 article 33 states that the maximum dose allowed to be received by radiation workers for the body is 20 mSv </w:t>
      </w:r>
      <w:r w:rsidRPr="00666168">
        <w:rPr>
          <w:rFonts w:ascii="Arial" w:hAnsi="Arial" w:cs="Arial"/>
        </w:rPr>
        <w:lastRenderedPageBreak/>
        <w:t>per year and for the skin is 500 mSv per year.</w:t>
      </w:r>
    </w:p>
    <w:p w14:paraId="339B8944" w14:textId="3437D8F4" w:rsidR="005D6F40" w:rsidRDefault="005D6F40" w:rsidP="00111CE4">
      <w:pPr>
        <w:pStyle w:val="Body"/>
        <w:rPr>
          <w:rFonts w:ascii="Arial" w:hAnsi="Arial" w:cs="Arial"/>
        </w:rPr>
      </w:pPr>
      <w:r w:rsidRPr="005D6F40">
        <w:rPr>
          <w:rFonts w:ascii="Arial" w:hAnsi="Arial" w:cs="Arial"/>
        </w:rPr>
        <w:t xml:space="preserve">Based on previous research by </w:t>
      </w:r>
      <w:proofErr w:type="spellStart"/>
      <w:r w:rsidRPr="005D6F40">
        <w:rPr>
          <w:rFonts w:ascii="Arial" w:hAnsi="Arial" w:cs="Arial"/>
        </w:rPr>
        <w:t>Alkhoyaref</w:t>
      </w:r>
      <w:proofErr w:type="spellEnd"/>
      <w:r w:rsidRPr="005D6F40">
        <w:rPr>
          <w:rFonts w:ascii="Arial" w:hAnsi="Arial" w:cs="Arial"/>
        </w:rPr>
        <w:t>, et al (2023), the results of radiation exposure monitoring on 30 nuclear medicine workers during a year period at King Faisal Specialist Hospital and Research Center (KFSHRC) in Riyadh were below the annual dose limit (500 mSv for skin and 20 mSv for body)</w:t>
      </w:r>
      <w:r>
        <w:rPr>
          <w:rFonts w:ascii="Arial" w:hAnsi="Arial" w:cs="Arial"/>
        </w:rPr>
        <w:t xml:space="preserve"> </w:t>
      </w:r>
      <w:r w:rsidR="006C1024">
        <w:rPr>
          <w:rFonts w:ascii="Arial" w:hAnsi="Arial" w:cs="Arial"/>
        </w:rPr>
        <w:t>[7</w:t>
      </w:r>
      <w:r w:rsidRPr="0069132F">
        <w:rPr>
          <w:rFonts w:ascii="Arial" w:hAnsi="Arial" w:cs="Arial"/>
        </w:rPr>
        <w:t>].</w:t>
      </w:r>
      <w:r w:rsidRPr="00342EA1">
        <w:rPr>
          <w:rFonts w:ascii="Arial" w:hAnsi="Arial" w:cs="Arial"/>
        </w:rPr>
        <w:t xml:space="preserve"> </w:t>
      </w:r>
      <w:r w:rsidRPr="005D6F40">
        <w:rPr>
          <w:rFonts w:ascii="Arial" w:hAnsi="Arial" w:cs="Arial"/>
        </w:rPr>
        <w:t xml:space="preserve">Research by Ernawati, et al (2022) in one of the hospitals in Jakarta, obtained a beta exposure dose rate of 0.03 - 5608.77 </w:t>
      </w:r>
      <w:proofErr w:type="spellStart"/>
      <w:r w:rsidRPr="005D6F40">
        <w:rPr>
          <w:rFonts w:ascii="Arial" w:hAnsi="Arial" w:cs="Arial"/>
        </w:rPr>
        <w:t>μSv</w:t>
      </w:r>
      <w:proofErr w:type="spellEnd"/>
      <w:r w:rsidRPr="005D6F40">
        <w:rPr>
          <w:rFonts w:ascii="Arial" w:hAnsi="Arial" w:cs="Arial"/>
        </w:rPr>
        <w:t xml:space="preserve">/h and a gamma exposure dose rate of 0.02 - 68.65 </w:t>
      </w:r>
      <w:proofErr w:type="spellStart"/>
      <w:r w:rsidRPr="005D6F40">
        <w:rPr>
          <w:rFonts w:ascii="Arial" w:hAnsi="Arial" w:cs="Arial"/>
        </w:rPr>
        <w:t>μSv</w:t>
      </w:r>
      <w:proofErr w:type="spellEnd"/>
      <w:r w:rsidRPr="005D6F40">
        <w:rPr>
          <w:rFonts w:ascii="Arial" w:hAnsi="Arial" w:cs="Arial"/>
        </w:rPr>
        <w:t>/h</w:t>
      </w:r>
      <w:r w:rsidR="006C1024">
        <w:rPr>
          <w:rFonts w:ascii="Arial" w:hAnsi="Arial" w:cs="Arial"/>
        </w:rPr>
        <w:t xml:space="preserve"> [6</w:t>
      </w:r>
      <w:r>
        <w:rPr>
          <w:rFonts w:ascii="Arial" w:hAnsi="Arial" w:cs="Arial"/>
        </w:rPr>
        <w:t>]</w:t>
      </w:r>
      <w:r w:rsidRPr="005D6F40">
        <w:rPr>
          <w:rFonts w:ascii="Arial" w:hAnsi="Arial" w:cs="Arial"/>
        </w:rPr>
        <w:t xml:space="preserve">. Another research by Martin, et al (2023) at </w:t>
      </w:r>
      <w:proofErr w:type="spellStart"/>
      <w:r w:rsidRPr="005D6F40">
        <w:rPr>
          <w:rFonts w:ascii="Arial" w:hAnsi="Arial" w:cs="Arial"/>
        </w:rPr>
        <w:t>Meixoeiro</w:t>
      </w:r>
      <w:proofErr w:type="spellEnd"/>
      <w:r w:rsidRPr="005D6F40">
        <w:rPr>
          <w:rFonts w:ascii="Arial" w:hAnsi="Arial" w:cs="Arial"/>
        </w:rPr>
        <w:t xml:space="preserve"> Hospital, Spain obtained a mixed exposure rate (beta and gamma) between 0.1 </w:t>
      </w:r>
      <w:proofErr w:type="spellStart"/>
      <w:r w:rsidRPr="005D6F40">
        <w:rPr>
          <w:rFonts w:ascii="Arial" w:hAnsi="Arial" w:cs="Arial"/>
        </w:rPr>
        <w:t>μSv</w:t>
      </w:r>
      <w:proofErr w:type="spellEnd"/>
      <w:r w:rsidRPr="005D6F40">
        <w:rPr>
          <w:rFonts w:ascii="Arial" w:hAnsi="Arial" w:cs="Arial"/>
        </w:rPr>
        <w:t xml:space="preserve">/h - 0.1 </w:t>
      </w:r>
      <w:proofErr w:type="spellStart"/>
      <w:r w:rsidRPr="005D6F40">
        <w:rPr>
          <w:rFonts w:ascii="Arial" w:hAnsi="Arial" w:cs="Arial"/>
        </w:rPr>
        <w:t>Sv</w:t>
      </w:r>
      <w:proofErr w:type="spellEnd"/>
      <w:r w:rsidRPr="005D6F40">
        <w:rPr>
          <w:rFonts w:ascii="Arial" w:hAnsi="Arial" w:cs="Arial"/>
        </w:rPr>
        <w:t>/h</w:t>
      </w:r>
      <w:r w:rsidR="006C1024">
        <w:rPr>
          <w:rFonts w:ascii="Arial" w:hAnsi="Arial" w:cs="Arial"/>
        </w:rPr>
        <w:t xml:space="preserve"> [8</w:t>
      </w:r>
      <w:r>
        <w:rPr>
          <w:rFonts w:ascii="Arial" w:hAnsi="Arial" w:cs="Arial"/>
        </w:rPr>
        <w:t>]</w:t>
      </w:r>
      <w:r w:rsidRPr="005D6F40">
        <w:rPr>
          <w:rFonts w:ascii="Arial" w:hAnsi="Arial" w:cs="Arial"/>
        </w:rPr>
        <w:t>.</w:t>
      </w:r>
    </w:p>
    <w:p w14:paraId="46A2DACA" w14:textId="642C9904" w:rsidR="00A76CE4" w:rsidRDefault="004C7FC9" w:rsidP="00111CE4">
      <w:pPr>
        <w:pStyle w:val="Body"/>
        <w:rPr>
          <w:rFonts w:ascii="Arial" w:hAnsi="Arial" w:cs="Arial"/>
        </w:rPr>
      </w:pPr>
      <w:r w:rsidRPr="004C7FC9">
        <w:rPr>
          <w:rFonts w:ascii="Arial" w:hAnsi="Arial" w:cs="Arial"/>
        </w:rPr>
        <w:t xml:space="preserve">Based on this explanation, monitoring of beta and gamma radiation exposure rates at the Bali Mandara Hospital Nuclear Medicine Installation </w:t>
      </w:r>
      <w:r>
        <w:rPr>
          <w:rFonts w:ascii="Arial" w:hAnsi="Arial" w:cs="Arial"/>
        </w:rPr>
        <w:t>is needed</w:t>
      </w:r>
      <w:r w:rsidRPr="004C7FC9">
        <w:rPr>
          <w:rFonts w:ascii="Arial" w:hAnsi="Arial" w:cs="Arial"/>
        </w:rPr>
        <w:t xml:space="preserve"> to prevent and minimize exposure of beta and gamma radiation received by radiation workers and the general public. Monitoring of radiation exposure rates is carried out by means of measurements followed by an assessment of the measurement results with the aim of assessing the level of radiation in the work area so that potential dangers that may be received by worker</w:t>
      </w:r>
      <w:r w:rsidR="00C04312">
        <w:rPr>
          <w:rFonts w:ascii="Arial" w:hAnsi="Arial" w:cs="Arial"/>
        </w:rPr>
        <w:t>s and the public can be avoided</w:t>
      </w:r>
      <w:r w:rsidR="00DF2F57">
        <w:rPr>
          <w:rFonts w:ascii="Arial" w:hAnsi="Arial" w:cs="Arial"/>
        </w:rPr>
        <w:t>.</w:t>
      </w:r>
    </w:p>
    <w:p w14:paraId="3A1FA73D" w14:textId="1F3992AD" w:rsidR="00A76CE4" w:rsidRPr="008F74E0" w:rsidRDefault="00A76CE4" w:rsidP="00111CE4">
      <w:pPr>
        <w:pStyle w:val="Body"/>
        <w:rPr>
          <w:rFonts w:ascii="Arial" w:hAnsi="Arial" w:cs="Arial"/>
          <w:b/>
          <w:sz w:val="22"/>
        </w:rPr>
      </w:pPr>
      <w:r w:rsidRPr="008F74E0">
        <w:rPr>
          <w:rFonts w:ascii="Arial" w:hAnsi="Arial" w:cs="Arial"/>
          <w:b/>
          <w:sz w:val="22"/>
        </w:rPr>
        <w:t>1.1   Beta Radiation</w:t>
      </w:r>
    </w:p>
    <w:p w14:paraId="587F1AF2" w14:textId="255197EC" w:rsidR="00A76CE4" w:rsidRPr="008F74E0" w:rsidRDefault="00C73852" w:rsidP="008F74E0">
      <w:pPr>
        <w:pStyle w:val="NormalWeb"/>
        <w:jc w:val="both"/>
        <w:rPr>
          <w:rFonts w:ascii="Arial" w:hAnsi="Arial" w:cs="Arial"/>
        </w:rPr>
      </w:pPr>
      <w:r w:rsidRPr="008F74E0">
        <w:rPr>
          <w:rFonts w:ascii="Arial" w:hAnsi="Arial" w:cs="Arial"/>
          <w:sz w:val="20"/>
        </w:rPr>
        <w:t>Beta (β) particles are electrons or positrons released from the nucleus in the process of nuclear decay. β particles are usually electrons formed from neutron decay (producing electrons and protons</w:t>
      </w:r>
      <w:r w:rsidR="00734638">
        <w:rPr>
          <w:rFonts w:ascii="Arial" w:hAnsi="Arial" w:cs="Arial"/>
          <w:sz w:val="20"/>
        </w:rPr>
        <w:t xml:space="preserve"> </w:t>
      </w:r>
      <w:r w:rsidR="006C1024">
        <w:rPr>
          <w:rFonts w:ascii="Arial" w:hAnsi="Arial" w:cs="Arial"/>
          <w:sz w:val="20"/>
        </w:rPr>
        <w:t>[9</w:t>
      </w:r>
      <w:r w:rsidR="001F4641">
        <w:rPr>
          <w:rFonts w:ascii="Arial" w:hAnsi="Arial" w:cs="Arial"/>
          <w:sz w:val="20"/>
        </w:rPr>
        <w:t>]</w:t>
      </w:r>
      <w:r w:rsidRPr="00734638">
        <w:rPr>
          <w:rFonts w:ascii="Arial" w:hAnsi="Arial" w:cs="Arial"/>
          <w:sz w:val="20"/>
        </w:rPr>
        <w:t>.</w:t>
      </w:r>
      <w:r w:rsidR="008F74E0" w:rsidRPr="008F74E0">
        <w:rPr>
          <w:rFonts w:ascii="Arial" w:hAnsi="Arial" w:cs="Arial"/>
          <w:sz w:val="20"/>
        </w:rPr>
        <w:t xml:space="preserve"> Beta radiation is particle radiation consisting of high-speed electrons, which are quickly attenuated by tissue. It is very useful for surface radiation treatment because the chance of deep tissue penetration is very small. Beta radiation has been used extensively for treatment </w:t>
      </w:r>
      <w:r w:rsidR="006C1024">
        <w:rPr>
          <w:rFonts w:ascii="Arial" w:hAnsi="Arial" w:cs="Arial"/>
          <w:sz w:val="20"/>
        </w:rPr>
        <w:t>[9</w:t>
      </w:r>
      <w:r w:rsidR="001F4641">
        <w:rPr>
          <w:rFonts w:ascii="Arial" w:hAnsi="Arial" w:cs="Arial"/>
          <w:sz w:val="20"/>
        </w:rPr>
        <w:t>]</w:t>
      </w:r>
      <w:r w:rsidR="008F74E0" w:rsidRPr="001F4641">
        <w:rPr>
          <w:rFonts w:ascii="Arial" w:hAnsi="Arial" w:cs="Arial"/>
          <w:sz w:val="20"/>
        </w:rPr>
        <w:t>.</w:t>
      </w:r>
      <w:r w:rsidR="008F74E0" w:rsidRPr="008F74E0">
        <w:rPr>
          <w:rFonts w:ascii="Arial" w:hAnsi="Arial" w:cs="Arial"/>
          <w:sz w:val="20"/>
        </w:rPr>
        <w:t xml:space="preserve"> In clinical oncology, beta radiation has become more important because of effective treatments using beta-emitting </w:t>
      </w:r>
      <w:r w:rsidR="008F74E0" w:rsidRPr="008F74E0">
        <w:rPr>
          <w:rFonts w:ascii="Arial" w:hAnsi="Arial" w:cs="Arial"/>
          <w:sz w:val="20"/>
        </w:rPr>
        <w:t>isotopes such as iodine 131 (</w:t>
      </w:r>
      <w:r w:rsidR="008F74E0" w:rsidRPr="008F74E0">
        <w:rPr>
          <w:rFonts w:ascii="Arial" w:hAnsi="Arial" w:cs="Arial"/>
          <w:sz w:val="20"/>
          <w:vertAlign w:val="superscript"/>
        </w:rPr>
        <w:t>131</w:t>
      </w:r>
      <w:r w:rsidR="008F74E0" w:rsidRPr="008F74E0">
        <w:rPr>
          <w:rFonts w:ascii="Arial" w:hAnsi="Arial" w:cs="Arial"/>
          <w:sz w:val="20"/>
        </w:rPr>
        <w:t>I), yttrium 90 (</w:t>
      </w:r>
      <w:r w:rsidR="008F74E0" w:rsidRPr="008F74E0">
        <w:rPr>
          <w:rFonts w:ascii="Arial" w:hAnsi="Arial" w:cs="Arial"/>
          <w:sz w:val="20"/>
          <w:vertAlign w:val="superscript"/>
        </w:rPr>
        <w:t>90</w:t>
      </w:r>
      <w:r w:rsidR="008F74E0" w:rsidRPr="008F74E0">
        <w:rPr>
          <w:rFonts w:ascii="Arial" w:hAnsi="Arial" w:cs="Arial"/>
          <w:sz w:val="20"/>
        </w:rPr>
        <w:t>Y), samarium 153 (</w:t>
      </w:r>
      <w:r w:rsidR="008F74E0" w:rsidRPr="008F74E0">
        <w:rPr>
          <w:rFonts w:ascii="Arial" w:hAnsi="Arial" w:cs="Arial"/>
          <w:sz w:val="20"/>
          <w:vertAlign w:val="superscript"/>
        </w:rPr>
        <w:t>153</w:t>
      </w:r>
      <w:r w:rsidR="008F74E0" w:rsidRPr="008F74E0">
        <w:rPr>
          <w:rFonts w:ascii="Arial" w:hAnsi="Arial" w:cs="Arial"/>
          <w:sz w:val="20"/>
        </w:rPr>
        <w:t>Sm), strontium 89 (</w:t>
      </w:r>
      <w:r w:rsidR="008F74E0" w:rsidRPr="008F74E0">
        <w:rPr>
          <w:rFonts w:ascii="Arial" w:hAnsi="Arial" w:cs="Arial"/>
          <w:sz w:val="20"/>
          <w:vertAlign w:val="superscript"/>
        </w:rPr>
        <w:t>89</w:t>
      </w:r>
      <w:r w:rsidR="008F74E0" w:rsidRPr="008F74E0">
        <w:rPr>
          <w:rFonts w:ascii="Arial" w:hAnsi="Arial" w:cs="Arial"/>
          <w:sz w:val="20"/>
        </w:rPr>
        <w:t>Sr), phosphorus 32 (</w:t>
      </w:r>
      <w:r w:rsidR="008F74E0" w:rsidRPr="008F74E0">
        <w:rPr>
          <w:rFonts w:ascii="Arial" w:hAnsi="Arial" w:cs="Arial"/>
          <w:sz w:val="20"/>
          <w:vertAlign w:val="superscript"/>
        </w:rPr>
        <w:t>32</w:t>
      </w:r>
      <w:r w:rsidR="008F74E0" w:rsidRPr="008F74E0">
        <w:rPr>
          <w:rFonts w:ascii="Arial" w:hAnsi="Arial" w:cs="Arial"/>
          <w:sz w:val="20"/>
        </w:rPr>
        <w:t xml:space="preserve">P), and others. </w:t>
      </w:r>
      <w:r w:rsidR="008F74E0" w:rsidRPr="008F74E0">
        <w:rPr>
          <w:rFonts w:ascii="Arial" w:hAnsi="Arial" w:cs="Arial"/>
          <w:sz w:val="20"/>
          <w:vertAlign w:val="superscript"/>
        </w:rPr>
        <w:t>90</w:t>
      </w:r>
      <w:r w:rsidR="008F74E0" w:rsidRPr="008F74E0">
        <w:rPr>
          <w:rFonts w:ascii="Arial" w:hAnsi="Arial" w:cs="Arial"/>
          <w:sz w:val="20"/>
        </w:rPr>
        <w:t xml:space="preserve">Y, </w:t>
      </w:r>
      <w:r w:rsidR="008F74E0" w:rsidRPr="008F74E0">
        <w:rPr>
          <w:rFonts w:ascii="Arial" w:hAnsi="Arial" w:cs="Arial"/>
          <w:sz w:val="20"/>
          <w:vertAlign w:val="superscript"/>
        </w:rPr>
        <w:t>89</w:t>
      </w:r>
      <w:r w:rsidR="008F74E0" w:rsidRPr="008F74E0">
        <w:rPr>
          <w:rFonts w:ascii="Arial" w:hAnsi="Arial" w:cs="Arial"/>
          <w:sz w:val="20"/>
        </w:rPr>
        <w:t xml:space="preserve">Sr, </w:t>
      </w:r>
      <w:r w:rsidR="008F74E0" w:rsidRPr="008F74E0">
        <w:rPr>
          <w:rFonts w:ascii="Arial" w:hAnsi="Arial" w:cs="Arial"/>
          <w:sz w:val="20"/>
          <w:vertAlign w:val="superscript"/>
        </w:rPr>
        <w:t>32</w:t>
      </w:r>
      <w:r w:rsidR="008F74E0" w:rsidRPr="008F74E0">
        <w:rPr>
          <w:rFonts w:ascii="Arial" w:hAnsi="Arial" w:cs="Arial"/>
          <w:sz w:val="20"/>
        </w:rPr>
        <w:t xml:space="preserve">P are pure beta emitters, while </w:t>
      </w:r>
      <w:r w:rsidR="008F74E0" w:rsidRPr="008F74E0">
        <w:rPr>
          <w:rFonts w:ascii="Arial" w:hAnsi="Arial" w:cs="Arial"/>
          <w:sz w:val="20"/>
          <w:vertAlign w:val="superscript"/>
        </w:rPr>
        <w:t>131</w:t>
      </w:r>
      <w:r w:rsidR="008F74E0" w:rsidRPr="008F74E0">
        <w:rPr>
          <w:rFonts w:ascii="Arial" w:hAnsi="Arial" w:cs="Arial"/>
          <w:sz w:val="20"/>
        </w:rPr>
        <w:t xml:space="preserve">I and </w:t>
      </w:r>
      <w:r w:rsidR="008F74E0" w:rsidRPr="008F74E0">
        <w:rPr>
          <w:rFonts w:ascii="Arial" w:hAnsi="Arial" w:cs="Arial"/>
          <w:sz w:val="20"/>
          <w:vertAlign w:val="superscript"/>
        </w:rPr>
        <w:t>153</w:t>
      </w:r>
      <w:r w:rsidR="008F74E0" w:rsidRPr="008F74E0">
        <w:rPr>
          <w:rFonts w:ascii="Arial" w:hAnsi="Arial" w:cs="Arial"/>
          <w:sz w:val="20"/>
        </w:rPr>
        <w:t xml:space="preserve">Sm emit beta and gamma radiation that allows for easier and more effective imaging </w:t>
      </w:r>
      <w:r w:rsidR="006C1024">
        <w:rPr>
          <w:rFonts w:ascii="Arial" w:hAnsi="Arial" w:cs="Arial"/>
          <w:sz w:val="20"/>
        </w:rPr>
        <w:t>[10</w:t>
      </w:r>
      <w:r w:rsidR="001F4641">
        <w:rPr>
          <w:rFonts w:ascii="Arial" w:hAnsi="Arial" w:cs="Arial"/>
          <w:sz w:val="20"/>
        </w:rPr>
        <w:t>]</w:t>
      </w:r>
      <w:r w:rsidR="008F74E0" w:rsidRPr="001F4641">
        <w:rPr>
          <w:rFonts w:ascii="Arial" w:hAnsi="Arial" w:cs="Arial"/>
          <w:sz w:val="20"/>
        </w:rPr>
        <w:t>.</w:t>
      </w:r>
    </w:p>
    <w:p w14:paraId="7EBCCBBD" w14:textId="38B2E7DC" w:rsidR="00A76CE4" w:rsidRPr="00EC5AB6" w:rsidRDefault="00A76CE4" w:rsidP="00712792">
      <w:pPr>
        <w:pStyle w:val="Body"/>
        <w:spacing w:after="0"/>
        <w:rPr>
          <w:rFonts w:ascii="Arial" w:hAnsi="Arial" w:cs="Arial"/>
          <w:b/>
          <w:sz w:val="22"/>
        </w:rPr>
      </w:pPr>
      <w:proofErr w:type="gramStart"/>
      <w:r w:rsidRPr="00EC5AB6">
        <w:rPr>
          <w:rFonts w:ascii="Arial" w:hAnsi="Arial" w:cs="Arial"/>
          <w:b/>
          <w:sz w:val="22"/>
        </w:rPr>
        <w:t>1.2  Gamma</w:t>
      </w:r>
      <w:proofErr w:type="gramEnd"/>
      <w:r w:rsidRPr="00EC5AB6">
        <w:rPr>
          <w:rFonts w:ascii="Arial" w:hAnsi="Arial" w:cs="Arial"/>
          <w:b/>
          <w:sz w:val="22"/>
        </w:rPr>
        <w:t xml:space="preserve"> Radiation</w:t>
      </w:r>
    </w:p>
    <w:p w14:paraId="694BC4DA" w14:textId="54DA3467" w:rsidR="00EC5AB6" w:rsidRPr="00EC5AB6" w:rsidRDefault="00EC5AB6" w:rsidP="00EC5AB6">
      <w:pPr>
        <w:pStyle w:val="NormalWeb"/>
        <w:jc w:val="both"/>
        <w:rPr>
          <w:rFonts w:ascii="Arial" w:hAnsi="Arial" w:cs="Arial"/>
          <w:sz w:val="20"/>
          <w:szCs w:val="20"/>
        </w:rPr>
      </w:pPr>
      <w:r w:rsidRPr="00EC5AB6">
        <w:rPr>
          <w:rFonts w:ascii="Arial" w:hAnsi="Arial" w:cs="Arial"/>
          <w:sz w:val="20"/>
          <w:szCs w:val="20"/>
        </w:rPr>
        <w:t xml:space="preserve">Gamma radiation is transmitted from radioactive nuclides as photons, not particles which means that gamma radiation has no mass or charge. Radionuclides are decayed in the form of gamma radiation, the process is not accompanied by changes in atomic number or atomic mass </w:t>
      </w:r>
      <w:r w:rsidR="006C1024">
        <w:rPr>
          <w:rFonts w:ascii="Arial" w:hAnsi="Arial" w:cs="Arial"/>
          <w:sz w:val="20"/>
          <w:szCs w:val="20"/>
        </w:rPr>
        <w:t>[11</w:t>
      </w:r>
      <w:r w:rsidR="001F4641">
        <w:rPr>
          <w:rFonts w:ascii="Arial" w:hAnsi="Arial" w:cs="Arial"/>
          <w:sz w:val="20"/>
          <w:szCs w:val="20"/>
        </w:rPr>
        <w:t>]</w:t>
      </w:r>
      <w:r w:rsidRPr="001F4641">
        <w:rPr>
          <w:rFonts w:ascii="Arial" w:hAnsi="Arial" w:cs="Arial"/>
          <w:sz w:val="20"/>
          <w:szCs w:val="20"/>
        </w:rPr>
        <w:t>.</w:t>
      </w:r>
      <w:r w:rsidRPr="00EC5AB6">
        <w:rPr>
          <w:rFonts w:ascii="Arial" w:hAnsi="Arial" w:cs="Arial"/>
          <w:sz w:val="20"/>
          <w:szCs w:val="20"/>
        </w:rPr>
        <w:t xml:space="preserve"> </w:t>
      </w:r>
    </w:p>
    <w:p w14:paraId="4275B305" w14:textId="2D1D754D" w:rsidR="00A76CE4" w:rsidRPr="00EC5AB6" w:rsidRDefault="00EC5AB6" w:rsidP="00EC5AB6">
      <w:pPr>
        <w:pStyle w:val="NormalWeb"/>
        <w:jc w:val="both"/>
      </w:pPr>
      <w:r w:rsidRPr="00EC5AB6">
        <w:rPr>
          <w:rFonts w:ascii="Arial" w:hAnsi="Arial" w:cs="Arial"/>
          <w:sz w:val="20"/>
          <w:szCs w:val="20"/>
        </w:rPr>
        <w:t>Gamma rays have no mass and so they have a higher penetrating power than beta particles. Technetium-99m is an example of a radionuclide that decays in the form of gamma radiation. Gamma rays have energies ranging from 10</w:t>
      </w:r>
      <w:r w:rsidRPr="00EC5AB6">
        <w:rPr>
          <w:rFonts w:ascii="Arial" w:hAnsi="Arial" w:cs="Arial"/>
          <w:sz w:val="20"/>
          <w:szCs w:val="20"/>
          <w:vertAlign w:val="superscript"/>
        </w:rPr>
        <w:t>4</w:t>
      </w:r>
      <w:r w:rsidRPr="00EC5AB6">
        <w:rPr>
          <w:rFonts w:ascii="Arial" w:hAnsi="Arial" w:cs="Arial"/>
          <w:sz w:val="20"/>
          <w:szCs w:val="20"/>
        </w:rPr>
        <w:t xml:space="preserve"> to 10</w:t>
      </w:r>
      <w:r w:rsidRPr="00EC5AB6">
        <w:rPr>
          <w:rFonts w:ascii="Arial" w:hAnsi="Arial" w:cs="Arial"/>
          <w:sz w:val="20"/>
          <w:szCs w:val="20"/>
          <w:vertAlign w:val="superscript"/>
        </w:rPr>
        <w:t>7</w:t>
      </w:r>
      <w:r w:rsidRPr="00EC5AB6">
        <w:rPr>
          <w:rFonts w:ascii="Arial" w:hAnsi="Arial" w:cs="Arial"/>
          <w:sz w:val="20"/>
          <w:szCs w:val="20"/>
        </w:rPr>
        <w:t xml:space="preserve"> eV. Gamma rays are often emitted as part of nuclear reactions, when atomic nuclei are left in an excited state, or during isomer transitions. Gamma radiation can penetrate living matter easily and these rays travel at the speed of light. Gamma rays have enough energy to ionize materials </w:t>
      </w:r>
      <w:r w:rsidR="006C1024">
        <w:rPr>
          <w:rFonts w:ascii="Arial" w:hAnsi="Arial" w:cs="Arial"/>
          <w:sz w:val="20"/>
          <w:szCs w:val="20"/>
        </w:rPr>
        <w:t>[9</w:t>
      </w:r>
      <w:r w:rsidR="001F4641">
        <w:rPr>
          <w:rFonts w:ascii="Arial" w:hAnsi="Arial" w:cs="Arial"/>
          <w:sz w:val="20"/>
          <w:szCs w:val="20"/>
        </w:rPr>
        <w:t>]</w:t>
      </w:r>
      <w:r w:rsidRPr="001F4641">
        <w:rPr>
          <w:rFonts w:ascii="Arial" w:hAnsi="Arial" w:cs="Arial"/>
          <w:sz w:val="20"/>
          <w:szCs w:val="20"/>
        </w:rPr>
        <w:t>.</w:t>
      </w:r>
    </w:p>
    <w:p w14:paraId="3861A753" w14:textId="6696EFB1" w:rsidR="00A76CE4" w:rsidRPr="0068539A" w:rsidRDefault="00A76CE4" w:rsidP="00111CE4">
      <w:pPr>
        <w:pStyle w:val="Body"/>
        <w:rPr>
          <w:rFonts w:ascii="Arial" w:hAnsi="Arial" w:cs="Arial"/>
          <w:b/>
          <w:sz w:val="22"/>
        </w:rPr>
      </w:pPr>
      <w:r w:rsidRPr="0068539A">
        <w:rPr>
          <w:rFonts w:ascii="Arial" w:hAnsi="Arial" w:cs="Arial"/>
          <w:b/>
          <w:sz w:val="22"/>
        </w:rPr>
        <w:t>1.3 I-131</w:t>
      </w:r>
    </w:p>
    <w:p w14:paraId="276D2E61" w14:textId="07DA15A3" w:rsidR="00AF68EF" w:rsidRDefault="00AF68EF" w:rsidP="00AF68EF">
      <w:pPr>
        <w:pStyle w:val="NormalWeb"/>
        <w:jc w:val="both"/>
        <w:rPr>
          <w:rFonts w:ascii="Arial" w:hAnsi="Arial" w:cs="Arial"/>
          <w:sz w:val="20"/>
          <w:szCs w:val="20"/>
        </w:rPr>
      </w:pPr>
      <w:r w:rsidRPr="0068539A">
        <w:rPr>
          <w:rFonts w:ascii="Arial" w:hAnsi="Arial" w:cs="Arial"/>
          <w:sz w:val="20"/>
          <w:szCs w:val="20"/>
        </w:rPr>
        <w:t xml:space="preserve">Iodine-131 is used to treat several diseases of the thyroid gland. Iodine-131 is widely used in thyroid imaging and in treating thyroid cancer and other abnormal conditions such as hyperthyroidism. It is also used to diagnose abnormal liver function, kidney, blood flow and urinary tract obstruction. Iodine-131 is a strong gamma emitter but is used for beta therapy </w:t>
      </w:r>
      <w:r w:rsidR="006C1024">
        <w:rPr>
          <w:rFonts w:ascii="Arial" w:hAnsi="Arial" w:cs="Arial"/>
          <w:sz w:val="20"/>
          <w:szCs w:val="20"/>
        </w:rPr>
        <w:t>[12</w:t>
      </w:r>
      <w:r w:rsidR="001F4641">
        <w:rPr>
          <w:rFonts w:ascii="Arial" w:hAnsi="Arial" w:cs="Arial"/>
          <w:sz w:val="20"/>
          <w:szCs w:val="20"/>
        </w:rPr>
        <w:t>]</w:t>
      </w:r>
      <w:r w:rsidRPr="001F4641">
        <w:rPr>
          <w:rFonts w:ascii="Arial" w:hAnsi="Arial" w:cs="Arial"/>
          <w:sz w:val="20"/>
          <w:szCs w:val="20"/>
        </w:rPr>
        <w:t>.</w:t>
      </w:r>
    </w:p>
    <w:p w14:paraId="2D502C19" w14:textId="4F0E8CC5" w:rsidR="00297638" w:rsidRPr="00297638" w:rsidRDefault="00297638" w:rsidP="00AF68EF">
      <w:pPr>
        <w:pStyle w:val="NormalWeb"/>
        <w:jc w:val="both"/>
        <w:rPr>
          <w:rFonts w:ascii="Arial" w:hAnsi="Arial" w:cs="Arial"/>
          <w:sz w:val="20"/>
          <w:szCs w:val="20"/>
        </w:rPr>
      </w:pPr>
      <w:r w:rsidRPr="00017802">
        <w:rPr>
          <w:rFonts w:ascii="Arial" w:hAnsi="Arial" w:cs="Arial"/>
          <w:sz w:val="20"/>
          <w:highlight w:val="yellow"/>
        </w:rPr>
        <w:t xml:space="preserve">I-131 for the treatment of thyroid disorders has been the success story of nuclear medicine. It involves the use of an economic readily available radionuclide which is highly concentrated by the thyroid </w:t>
      </w:r>
      <w:r w:rsidRPr="00017802">
        <w:rPr>
          <w:rFonts w:ascii="Arial" w:hAnsi="Arial" w:cs="Arial"/>
          <w:sz w:val="20"/>
          <w:highlight w:val="yellow"/>
        </w:rPr>
        <w:lastRenderedPageBreak/>
        <w:t>gland. The results of its use in the treatment of differentiated cancer of the thyroid are excellent, acting as a mode</w:t>
      </w:r>
      <w:r w:rsidR="006C1024">
        <w:rPr>
          <w:rFonts w:ascii="Arial" w:hAnsi="Arial" w:cs="Arial"/>
          <w:sz w:val="20"/>
          <w:highlight w:val="yellow"/>
        </w:rPr>
        <w:t>l for molecular radiotherapy [13</w:t>
      </w:r>
      <w:r w:rsidRPr="00017802">
        <w:rPr>
          <w:rFonts w:ascii="Arial" w:hAnsi="Arial" w:cs="Arial"/>
          <w:sz w:val="20"/>
          <w:highlight w:val="yellow"/>
        </w:rPr>
        <w:t>]</w:t>
      </w:r>
      <w:r w:rsidRPr="00297638">
        <w:rPr>
          <w:rFonts w:ascii="Arial" w:hAnsi="Arial" w:cs="Arial"/>
          <w:sz w:val="20"/>
        </w:rPr>
        <w:t>.</w:t>
      </w:r>
    </w:p>
    <w:p w14:paraId="259880EE" w14:textId="1B8542DE" w:rsidR="00A76CE4" w:rsidRPr="0068539A" w:rsidRDefault="00AF68EF" w:rsidP="0068539A">
      <w:pPr>
        <w:pStyle w:val="NormalWeb"/>
        <w:jc w:val="both"/>
        <w:rPr>
          <w:rFonts w:ascii="Arial" w:hAnsi="Arial" w:cs="Arial"/>
        </w:rPr>
      </w:pPr>
      <w:r w:rsidRPr="0068539A">
        <w:rPr>
          <w:rFonts w:ascii="Arial" w:hAnsi="Arial" w:cs="Arial"/>
          <w:sz w:val="20"/>
        </w:rPr>
        <w:t>According to the Environmental Protection Agency, I-131 has a very short half-life of around eight days with beta radiation and gamma radiation, which means it almost completely decays in the environment within a few months.</w:t>
      </w:r>
      <w:r w:rsidR="0068539A" w:rsidRPr="0068539A">
        <w:rPr>
          <w:rFonts w:ascii="Arial" w:hAnsi="Arial" w:cs="Arial"/>
          <w:sz w:val="20"/>
        </w:rPr>
        <w:t xml:space="preserve"> As it decays, </w:t>
      </w:r>
      <w:r w:rsidR="0068539A" w:rsidRPr="0068539A">
        <w:rPr>
          <w:rFonts w:ascii="Arial" w:hAnsi="Arial" w:cs="Arial"/>
          <w:sz w:val="20"/>
          <w:vertAlign w:val="superscript"/>
        </w:rPr>
        <w:t>131</w:t>
      </w:r>
      <w:r w:rsidR="0068539A" w:rsidRPr="0068539A">
        <w:rPr>
          <w:rFonts w:ascii="Arial" w:hAnsi="Arial" w:cs="Arial"/>
          <w:sz w:val="20"/>
        </w:rPr>
        <w:t xml:space="preserve">I most often (89% abundance) releases 971 KeV of its decay energy by transforming into stable </w:t>
      </w:r>
      <w:r w:rsidR="0068539A" w:rsidRPr="0068539A">
        <w:rPr>
          <w:rFonts w:ascii="Arial" w:hAnsi="Arial" w:cs="Arial"/>
          <w:sz w:val="20"/>
          <w:vertAlign w:val="superscript"/>
        </w:rPr>
        <w:t>131</w:t>
      </w:r>
      <w:r w:rsidR="0068539A" w:rsidRPr="0068539A">
        <w:rPr>
          <w:rFonts w:ascii="Arial" w:hAnsi="Arial" w:cs="Arial"/>
          <w:sz w:val="20"/>
        </w:rPr>
        <w:t xml:space="preserve">Xe (Xenon) in two steps, with gamma decay following quickly after beta decay </w:t>
      </w:r>
      <w:r w:rsidR="00FA3851">
        <w:rPr>
          <w:rFonts w:ascii="Arial" w:hAnsi="Arial" w:cs="Arial"/>
          <w:sz w:val="20"/>
        </w:rPr>
        <w:t>[14</w:t>
      </w:r>
      <w:r w:rsidR="001F4641">
        <w:rPr>
          <w:rFonts w:ascii="Arial" w:hAnsi="Arial" w:cs="Arial"/>
          <w:sz w:val="20"/>
        </w:rPr>
        <w:t>]</w:t>
      </w:r>
      <w:r w:rsidR="0068539A" w:rsidRPr="001F4641">
        <w:rPr>
          <w:rFonts w:ascii="Arial" w:hAnsi="Arial" w:cs="Arial"/>
          <w:sz w:val="20"/>
        </w:rPr>
        <w:t>.</w:t>
      </w:r>
    </w:p>
    <w:p w14:paraId="79BF2B83" w14:textId="57A5E2FF" w:rsidR="0068539A" w:rsidRPr="00734638" w:rsidRDefault="00A76CE4" w:rsidP="00712792">
      <w:pPr>
        <w:pStyle w:val="Body"/>
        <w:spacing w:after="0"/>
        <w:rPr>
          <w:rFonts w:ascii="Arial" w:hAnsi="Arial" w:cs="Arial"/>
          <w:b/>
          <w:sz w:val="22"/>
        </w:rPr>
      </w:pPr>
      <w:proofErr w:type="gramStart"/>
      <w:r w:rsidRPr="00734638">
        <w:rPr>
          <w:rFonts w:ascii="Arial" w:hAnsi="Arial" w:cs="Arial"/>
          <w:b/>
          <w:sz w:val="22"/>
        </w:rPr>
        <w:t xml:space="preserve">1.4  </w:t>
      </w:r>
      <w:proofErr w:type="spellStart"/>
      <w:r w:rsidRPr="00734638">
        <w:rPr>
          <w:rFonts w:ascii="Arial" w:hAnsi="Arial" w:cs="Arial"/>
          <w:b/>
          <w:sz w:val="22"/>
        </w:rPr>
        <w:t>Surveymeter</w:t>
      </w:r>
      <w:proofErr w:type="spellEnd"/>
      <w:proofErr w:type="gramEnd"/>
    </w:p>
    <w:p w14:paraId="1A2E5B3E" w14:textId="0AB2D2FF" w:rsidR="0068539A" w:rsidRPr="00734638" w:rsidRDefault="0068539A" w:rsidP="00734638">
      <w:pPr>
        <w:pStyle w:val="NormalWeb"/>
        <w:jc w:val="both"/>
        <w:rPr>
          <w:rFonts w:ascii="Arial" w:hAnsi="Arial" w:cs="Arial"/>
          <w:sz w:val="20"/>
        </w:rPr>
      </w:pPr>
      <w:proofErr w:type="spellStart"/>
      <w:r w:rsidRPr="00734638">
        <w:rPr>
          <w:rFonts w:ascii="Arial" w:hAnsi="Arial" w:cs="Arial"/>
          <w:sz w:val="20"/>
        </w:rPr>
        <w:t>Surveymeter</w:t>
      </w:r>
      <w:proofErr w:type="spellEnd"/>
      <w:r w:rsidRPr="00734638">
        <w:rPr>
          <w:rFonts w:ascii="Arial" w:hAnsi="Arial" w:cs="Arial"/>
          <w:sz w:val="20"/>
        </w:rPr>
        <w:t xml:space="preserve"> is an essential component of any radiation safety program. A </w:t>
      </w:r>
      <w:proofErr w:type="spellStart"/>
      <w:r w:rsidRPr="00734638">
        <w:rPr>
          <w:rFonts w:ascii="Arial" w:hAnsi="Arial" w:cs="Arial"/>
          <w:sz w:val="20"/>
        </w:rPr>
        <w:t>surveymeter</w:t>
      </w:r>
      <w:proofErr w:type="spellEnd"/>
      <w:r w:rsidRPr="00734638">
        <w:rPr>
          <w:rFonts w:ascii="Arial" w:hAnsi="Arial" w:cs="Arial"/>
          <w:sz w:val="20"/>
        </w:rPr>
        <w:t xml:space="preserve"> is a portable ionization detector, battery-operated, and gas-filled that used to monitor radiation exposure levels </w:t>
      </w:r>
      <w:r w:rsidR="00FA3851">
        <w:rPr>
          <w:rFonts w:ascii="Arial" w:hAnsi="Arial" w:cs="Arial"/>
          <w:sz w:val="20"/>
        </w:rPr>
        <w:t>[15</w:t>
      </w:r>
      <w:r w:rsidR="001F4641">
        <w:rPr>
          <w:rFonts w:ascii="Arial" w:hAnsi="Arial" w:cs="Arial"/>
          <w:sz w:val="20"/>
        </w:rPr>
        <w:t>]</w:t>
      </w:r>
      <w:r w:rsidRPr="00734638">
        <w:rPr>
          <w:rFonts w:ascii="Arial" w:hAnsi="Arial" w:cs="Arial"/>
          <w:sz w:val="20"/>
        </w:rPr>
        <w:t>.</w:t>
      </w:r>
    </w:p>
    <w:p w14:paraId="215C0139" w14:textId="25722610" w:rsidR="0068539A" w:rsidRPr="00712792" w:rsidRDefault="0068539A" w:rsidP="00712792">
      <w:pPr>
        <w:pStyle w:val="NormalWeb"/>
        <w:jc w:val="both"/>
        <w:sectPr w:rsidR="0068539A" w:rsidRPr="00712792" w:rsidSect="004C7FC9">
          <w:type w:val="continuous"/>
          <w:pgSz w:w="12240" w:h="15840"/>
          <w:pgMar w:top="1440" w:right="2016" w:bottom="2016" w:left="2016" w:header="720" w:footer="1123" w:gutter="0"/>
          <w:cols w:num="2" w:space="720"/>
          <w:docGrid w:linePitch="272"/>
        </w:sectPr>
      </w:pPr>
      <w:r w:rsidRPr="00734638">
        <w:rPr>
          <w:rFonts w:ascii="Arial" w:hAnsi="Arial" w:cs="Arial"/>
          <w:sz w:val="20"/>
        </w:rPr>
        <w:t xml:space="preserve">The </w:t>
      </w:r>
      <w:proofErr w:type="spellStart"/>
      <w:r w:rsidRPr="00734638">
        <w:rPr>
          <w:rFonts w:ascii="Arial" w:hAnsi="Arial" w:cs="Arial"/>
          <w:sz w:val="20"/>
        </w:rPr>
        <w:t>surveymeter</w:t>
      </w:r>
      <w:proofErr w:type="spellEnd"/>
      <w:r w:rsidRPr="00734638">
        <w:rPr>
          <w:rFonts w:ascii="Arial" w:hAnsi="Arial" w:cs="Arial"/>
          <w:sz w:val="20"/>
        </w:rPr>
        <w:t xml:space="preserve"> used in this study uses a Geiger Muller gas fill detector. The working principle starts from radiation (gamma rays or beta particles) entering the detector, then the radiation ionizes the gas in the tube and produces positive ions and negative ions (electrons) proportional to the radiation intensity. Then, the ions move toward the appropriate electrode (cathode or anode) and generate an electrical voltage pulse </w:t>
      </w:r>
      <w:r w:rsidR="00FA3851">
        <w:rPr>
          <w:rFonts w:ascii="Arial" w:hAnsi="Arial" w:cs="Arial"/>
          <w:sz w:val="20"/>
        </w:rPr>
        <w:t>[16</w:t>
      </w:r>
      <w:r w:rsidR="001F4641">
        <w:rPr>
          <w:rFonts w:ascii="Arial" w:hAnsi="Arial" w:cs="Arial"/>
          <w:sz w:val="20"/>
        </w:rPr>
        <w:t>]</w:t>
      </w:r>
      <w:r w:rsidR="00712792">
        <w:rPr>
          <w:rFonts w:ascii="Arial" w:hAnsi="Arial" w:cs="Arial"/>
          <w:sz w:val="20"/>
        </w:rPr>
        <w:t>.</w:t>
      </w:r>
    </w:p>
    <w:p w14:paraId="76207500" w14:textId="4F1F891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5635743D" w14:textId="77777777" w:rsidR="00790ADA" w:rsidRPr="00FB3A86" w:rsidRDefault="00790ADA" w:rsidP="00441B6F">
      <w:pPr>
        <w:pStyle w:val="AbstHead"/>
        <w:spacing w:after="0"/>
        <w:jc w:val="both"/>
        <w:rPr>
          <w:rFonts w:ascii="Arial" w:hAnsi="Arial" w:cs="Arial"/>
        </w:rPr>
      </w:pPr>
    </w:p>
    <w:p w14:paraId="7D099BFC" w14:textId="77777777" w:rsidR="00E36F0B" w:rsidRDefault="00E36F0B" w:rsidP="00441B6F">
      <w:pPr>
        <w:pStyle w:val="Body"/>
        <w:spacing w:after="0"/>
        <w:rPr>
          <w:rFonts w:ascii="Arial" w:hAnsi="Arial" w:cs="Arial"/>
        </w:rPr>
        <w:sectPr w:rsidR="00E36F0B" w:rsidSect="00C04312">
          <w:type w:val="continuous"/>
          <w:pgSz w:w="12240" w:h="15840"/>
          <w:pgMar w:top="1440" w:right="2016" w:bottom="2016" w:left="2016" w:header="720" w:footer="1123" w:gutter="0"/>
          <w:cols w:space="720"/>
          <w:docGrid w:linePitch="272"/>
        </w:sectPr>
      </w:pPr>
    </w:p>
    <w:p w14:paraId="782504E6" w14:textId="5348710B" w:rsidR="00790ADA" w:rsidRDefault="003C6851" w:rsidP="00441B6F">
      <w:pPr>
        <w:pStyle w:val="Body"/>
        <w:spacing w:after="0"/>
        <w:rPr>
          <w:rFonts w:ascii="Arial" w:hAnsi="Arial" w:cs="Arial"/>
        </w:rPr>
      </w:pPr>
      <w:r>
        <w:rPr>
          <w:rFonts w:ascii="Arial" w:hAnsi="Arial" w:cs="Arial"/>
        </w:rPr>
        <w:t>This study</w:t>
      </w:r>
      <w:r w:rsidR="005665D4" w:rsidRPr="005665D4">
        <w:rPr>
          <w:rFonts w:ascii="Arial" w:hAnsi="Arial" w:cs="Arial"/>
        </w:rPr>
        <w:t xml:space="preserve"> was </w:t>
      </w:r>
      <w:r>
        <w:rPr>
          <w:rFonts w:ascii="Arial" w:hAnsi="Arial" w:cs="Arial"/>
        </w:rPr>
        <w:t>done</w:t>
      </w:r>
      <w:r w:rsidR="005665D4" w:rsidRPr="005665D4">
        <w:rPr>
          <w:rFonts w:ascii="Arial" w:hAnsi="Arial" w:cs="Arial"/>
        </w:rPr>
        <w:t xml:space="preserve"> in two rooms in the Nuclear Medicine Installation where there was I-131 activity, which were the </w:t>
      </w:r>
      <w:proofErr w:type="spellStart"/>
      <w:r w:rsidR="005665D4" w:rsidRPr="005665D4">
        <w:rPr>
          <w:rFonts w:ascii="Arial" w:hAnsi="Arial" w:cs="Arial"/>
        </w:rPr>
        <w:t>hotlab</w:t>
      </w:r>
      <w:proofErr w:type="spellEnd"/>
      <w:r w:rsidR="005665D4" w:rsidRPr="005665D4">
        <w:rPr>
          <w:rFonts w:ascii="Arial" w:hAnsi="Arial" w:cs="Arial"/>
        </w:rPr>
        <w:t xml:space="preserve"> room and the injection room. In both rooms, several measurement points were determined as places for preparation, administration, and stor</w:t>
      </w:r>
      <w:r w:rsidR="00E36F0B">
        <w:rPr>
          <w:rFonts w:ascii="Arial" w:hAnsi="Arial" w:cs="Arial"/>
        </w:rPr>
        <w:t>age of I-131 such as work table, patient chair, and trolley</w:t>
      </w:r>
      <w:r w:rsidR="005665D4" w:rsidRPr="005665D4">
        <w:rPr>
          <w:rFonts w:ascii="Arial" w:hAnsi="Arial" w:cs="Arial"/>
        </w:rPr>
        <w:t xml:space="preserve">. The entrance </w:t>
      </w:r>
      <w:r w:rsidR="00610D8F">
        <w:rPr>
          <w:rFonts w:ascii="Arial" w:hAnsi="Arial" w:cs="Arial"/>
        </w:rPr>
        <w:t xml:space="preserve">door </w:t>
      </w:r>
      <w:r w:rsidR="005665D4" w:rsidRPr="005665D4">
        <w:rPr>
          <w:rFonts w:ascii="Arial" w:hAnsi="Arial" w:cs="Arial"/>
        </w:rPr>
        <w:t>is considered to be a measurement point to ensure radiation does not penetrate outside the room.</w:t>
      </w:r>
      <w:r w:rsidR="00B2374D">
        <w:rPr>
          <w:rFonts w:ascii="Arial" w:hAnsi="Arial" w:cs="Arial"/>
        </w:rPr>
        <w:t xml:space="preserve"> </w:t>
      </w:r>
      <w:r w:rsidR="00B2374D" w:rsidRPr="00B2374D">
        <w:rPr>
          <w:rFonts w:ascii="Arial" w:hAnsi="Arial" w:cs="Arial"/>
        </w:rPr>
        <w:t xml:space="preserve">Measurements were carried out using a ranger </w:t>
      </w:r>
      <w:proofErr w:type="spellStart"/>
      <w:r w:rsidR="00B2374D" w:rsidRPr="00B2374D">
        <w:rPr>
          <w:rFonts w:ascii="Arial" w:hAnsi="Arial" w:cs="Arial"/>
        </w:rPr>
        <w:t>surveymeter</w:t>
      </w:r>
      <w:proofErr w:type="spellEnd"/>
      <w:r w:rsidR="00B2374D" w:rsidRPr="00B2374D">
        <w:rPr>
          <w:rFonts w:ascii="Arial" w:hAnsi="Arial" w:cs="Arial"/>
        </w:rPr>
        <w:t xml:space="preserve"> as a radiation measuring instrument, I-131 with a total activity of 20 </w:t>
      </w:r>
      <w:proofErr w:type="spellStart"/>
      <w:r w:rsidR="00B2374D" w:rsidRPr="00B2374D">
        <w:rPr>
          <w:rFonts w:ascii="Arial" w:hAnsi="Arial" w:cs="Arial"/>
        </w:rPr>
        <w:t>mCi</w:t>
      </w:r>
      <w:proofErr w:type="spellEnd"/>
      <w:r w:rsidR="00B2374D" w:rsidRPr="00B2374D">
        <w:rPr>
          <w:rFonts w:ascii="Arial" w:hAnsi="Arial" w:cs="Arial"/>
        </w:rPr>
        <w:t xml:space="preserve"> as a source of beta and gamma radiation, 3 mm thick aluminum as a beta radiation blocking filter, and a ruler as a measuring tool for the distance between the researcher and the measurement point, which is about 30 cm.</w:t>
      </w:r>
      <w:r w:rsidR="00AA74E0" w:rsidRPr="00FB3A86">
        <w:rPr>
          <w:rFonts w:ascii="Arial" w:hAnsi="Arial" w:cs="Arial"/>
        </w:rPr>
        <w:t xml:space="preserve">  </w:t>
      </w:r>
    </w:p>
    <w:p w14:paraId="34E78930" w14:textId="77777777" w:rsidR="00E36F0B" w:rsidRDefault="00E36F0B" w:rsidP="00441B6F">
      <w:pPr>
        <w:pStyle w:val="Body"/>
        <w:spacing w:after="0"/>
        <w:rPr>
          <w:rFonts w:ascii="Arial" w:hAnsi="Arial" w:cs="Arial"/>
        </w:rPr>
      </w:pPr>
    </w:p>
    <w:p w14:paraId="5AA5C68A" w14:textId="7DB96B64" w:rsidR="003C6851" w:rsidRDefault="003C6851" w:rsidP="00441B6F">
      <w:pPr>
        <w:pStyle w:val="Body"/>
        <w:spacing w:after="0"/>
        <w:rPr>
          <w:rFonts w:ascii="Arial" w:hAnsi="Arial" w:cs="Arial"/>
        </w:rPr>
      </w:pPr>
      <w:r w:rsidRPr="003C6851">
        <w:rPr>
          <w:rFonts w:ascii="Arial" w:hAnsi="Arial" w:cs="Arial"/>
        </w:rPr>
        <w:t xml:space="preserve">Data were taken in two steps. The first step was taken with the detector without a beta radiation </w:t>
      </w:r>
      <w:r>
        <w:rPr>
          <w:rFonts w:ascii="Arial" w:hAnsi="Arial" w:cs="Arial"/>
        </w:rPr>
        <w:t>blocking</w:t>
      </w:r>
      <w:r w:rsidRPr="003C6851">
        <w:rPr>
          <w:rFonts w:ascii="Arial" w:hAnsi="Arial" w:cs="Arial"/>
        </w:rPr>
        <w:t xml:space="preserve"> filter, so that the</w:t>
      </w:r>
      <w:r>
        <w:rPr>
          <w:rFonts w:ascii="Arial" w:hAnsi="Arial" w:cs="Arial"/>
        </w:rPr>
        <w:t xml:space="preserve"> unknown separately</w:t>
      </w:r>
      <w:r w:rsidRPr="003C6851">
        <w:rPr>
          <w:rFonts w:ascii="Arial" w:hAnsi="Arial" w:cs="Arial"/>
        </w:rPr>
        <w:t xml:space="preserve"> gamma</w:t>
      </w:r>
      <w:r>
        <w:rPr>
          <w:rFonts w:ascii="Arial" w:hAnsi="Arial" w:cs="Arial"/>
        </w:rPr>
        <w:t xml:space="preserve"> and beta</w:t>
      </w:r>
      <w:r w:rsidRPr="003C6851">
        <w:rPr>
          <w:rFonts w:ascii="Arial" w:hAnsi="Arial" w:cs="Arial"/>
        </w:rPr>
        <w:t xml:space="preserve"> radiation </w:t>
      </w:r>
      <w:r>
        <w:rPr>
          <w:rFonts w:ascii="Arial" w:hAnsi="Arial" w:cs="Arial"/>
        </w:rPr>
        <w:t>exposure rate were read</w:t>
      </w:r>
      <w:r w:rsidRPr="003C6851">
        <w:rPr>
          <w:rFonts w:ascii="Arial" w:hAnsi="Arial" w:cs="Arial"/>
        </w:rPr>
        <w:t xml:space="preserve">. The second step was taken by covering the entire surface of the detector on the </w:t>
      </w:r>
      <w:proofErr w:type="spellStart"/>
      <w:r w:rsidRPr="003C6851">
        <w:rPr>
          <w:rFonts w:ascii="Arial" w:hAnsi="Arial" w:cs="Arial"/>
        </w:rPr>
        <w:t>surveymeter</w:t>
      </w:r>
      <w:proofErr w:type="spellEnd"/>
      <w:r w:rsidRPr="003C6851">
        <w:rPr>
          <w:rFonts w:ascii="Arial" w:hAnsi="Arial" w:cs="Arial"/>
        </w:rPr>
        <w:t xml:space="preserve"> using a beta radiation blocking filter (3 mm aluminum), so that only the gamma ra</w:t>
      </w:r>
      <w:r w:rsidR="00D43DBA">
        <w:rPr>
          <w:rFonts w:ascii="Arial" w:hAnsi="Arial" w:cs="Arial"/>
        </w:rPr>
        <w:t>diation exposure rate was read. T</w:t>
      </w:r>
      <w:r>
        <w:rPr>
          <w:rFonts w:ascii="Arial" w:hAnsi="Arial" w:cs="Arial"/>
        </w:rPr>
        <w:t>o know the</w:t>
      </w:r>
      <w:r w:rsidRPr="003C6851">
        <w:rPr>
          <w:rFonts w:ascii="Arial" w:hAnsi="Arial" w:cs="Arial"/>
        </w:rPr>
        <w:t xml:space="preserve"> measured beta </w:t>
      </w:r>
      <w:r w:rsidRPr="003C6851">
        <w:rPr>
          <w:rFonts w:ascii="Arial" w:hAnsi="Arial" w:cs="Arial"/>
        </w:rPr>
        <w:t xml:space="preserve">radiation exposure rate is </w:t>
      </w:r>
      <w:r>
        <w:rPr>
          <w:rFonts w:ascii="Arial" w:hAnsi="Arial" w:cs="Arial"/>
        </w:rPr>
        <w:t xml:space="preserve">calculated by using equation </w:t>
      </w:r>
      <w:r w:rsidR="00E36F0B">
        <w:rPr>
          <w:rFonts w:ascii="Arial" w:hAnsi="Arial" w:cs="Arial"/>
        </w:rPr>
        <w:t xml:space="preserve">1 </w:t>
      </w:r>
      <w:r w:rsidR="00F52461">
        <w:rPr>
          <w:rFonts w:ascii="Arial" w:hAnsi="Arial" w:cs="Arial"/>
        </w:rPr>
        <w:t>[4]</w:t>
      </w:r>
      <w:r w:rsidRPr="003C6851">
        <w:rPr>
          <w:rFonts w:ascii="Arial" w:hAnsi="Arial" w:cs="Arial"/>
        </w:rPr>
        <w:t>.</w:t>
      </w:r>
    </w:p>
    <w:p w14:paraId="290A8162" w14:textId="77777777" w:rsidR="00E36F0B" w:rsidRDefault="00E36F0B" w:rsidP="00441B6F">
      <w:pPr>
        <w:pStyle w:val="Body"/>
        <w:spacing w:after="0"/>
        <w:rPr>
          <w:rFonts w:ascii="Arial" w:hAnsi="Arial" w:cs="Arial"/>
        </w:rPr>
      </w:pPr>
    </w:p>
    <w:p w14:paraId="39C51AA2" w14:textId="78B65EAD" w:rsidR="003C6851" w:rsidRDefault="00DD2746" w:rsidP="00E32B52">
      <w:pPr>
        <w:pStyle w:val="Body"/>
        <w:spacing w:after="0"/>
        <w:ind w:firstLine="142"/>
        <w:jc w:val="center"/>
        <w:rPr>
          <w:rFonts w:ascii="Arial" w:eastAsiaTheme="minorEastAsia" w:hAnsi="Arial" w:cs="Arial"/>
          <w:szCs w:val="24"/>
        </w:rPr>
      </w:pPr>
      <m:oMath>
        <m:sSub>
          <m:sSubPr>
            <m:ctrlPr>
              <w:rPr>
                <w:rFonts w:ascii="Cambria Math" w:hAnsi="Cambria Math"/>
                <w:iCs/>
                <w:szCs w:val="24"/>
              </w:rPr>
            </m:ctrlPr>
          </m:sSubPr>
          <m:e>
            <m:r>
              <m:rPr>
                <m:sty m:val="p"/>
              </m:rPr>
              <w:rPr>
                <w:rFonts w:ascii="Cambria Math" w:hAnsi="Cambria Math"/>
                <w:szCs w:val="24"/>
              </w:rPr>
              <m:t>X</m:t>
            </m:r>
          </m:e>
          <m:sub>
            <m:r>
              <m:rPr>
                <m:sty m:val="p"/>
              </m:rPr>
              <w:rPr>
                <w:rFonts w:ascii="Cambria Math" w:hAnsi="Cambria Math"/>
                <w:szCs w:val="24"/>
              </w:rPr>
              <m:t>u</m:t>
            </m:r>
          </m:sub>
        </m:sSub>
        <m:r>
          <m:rPr>
            <m:sty m:val="p"/>
          </m:rPr>
          <w:rPr>
            <w:rFonts w:ascii="Cambria Math" w:hAnsi="Cambria Math"/>
            <w:szCs w:val="24"/>
          </w:rPr>
          <m:t>β</m:t>
        </m:r>
      </m:oMath>
      <w:r w:rsidR="003C6851" w:rsidRPr="00A153AC">
        <w:rPr>
          <w:szCs w:val="24"/>
        </w:rPr>
        <w:t xml:space="preserve"> = </w:t>
      </w:r>
      <m:oMath>
        <m:sSub>
          <m:sSubPr>
            <m:ctrlPr>
              <w:rPr>
                <w:rFonts w:ascii="Cambria Math" w:hAnsi="Cambria Math"/>
                <w:iCs/>
                <w:szCs w:val="24"/>
              </w:rPr>
            </m:ctrlPr>
          </m:sSubPr>
          <m:e>
            <m:r>
              <m:rPr>
                <m:sty m:val="p"/>
              </m:rPr>
              <w:rPr>
                <w:rFonts w:ascii="Cambria Math" w:hAnsi="Cambria Math"/>
                <w:szCs w:val="24"/>
              </w:rPr>
              <m:t>(X</m:t>
            </m:r>
          </m:e>
          <m:sub>
            <m:r>
              <m:rPr>
                <m:sty m:val="p"/>
              </m:rPr>
              <w:rPr>
                <w:rFonts w:ascii="Cambria Math" w:hAnsi="Cambria Math"/>
                <w:szCs w:val="24"/>
              </w:rPr>
              <m:t>u</m:t>
            </m:r>
          </m:sub>
        </m:sSub>
        <m:r>
          <m:rPr>
            <m:sty m:val="p"/>
          </m:rPr>
          <w:rPr>
            <w:rFonts w:ascii="Cambria Math" w:hAnsi="Cambria Math"/>
            <w:szCs w:val="24"/>
          </w:rPr>
          <m:t>β</m:t>
        </m:r>
      </m:oMath>
      <w:r w:rsidR="003C6851" w:rsidRPr="00A153AC">
        <w:rPr>
          <w:szCs w:val="24"/>
        </w:rPr>
        <w:t>,</w:t>
      </w:r>
      <m:oMath>
        <m:r>
          <m:rPr>
            <m:sty m:val="p"/>
          </m:rPr>
          <w:rPr>
            <w:rFonts w:ascii="Cambria Math" w:hAnsi="Cambria Math"/>
            <w:szCs w:val="24"/>
          </w:rPr>
          <m:t>γ</m:t>
        </m:r>
      </m:oMath>
      <w:r w:rsidR="003C6851" w:rsidRPr="00A153AC">
        <w:rPr>
          <w:szCs w:val="24"/>
        </w:rPr>
        <w:t xml:space="preserve"> – </w:t>
      </w:r>
      <m:oMath>
        <m:sSub>
          <m:sSubPr>
            <m:ctrlPr>
              <w:rPr>
                <w:rFonts w:ascii="Cambria Math" w:hAnsi="Cambria Math"/>
                <w:iCs/>
                <w:szCs w:val="24"/>
              </w:rPr>
            </m:ctrlPr>
          </m:sSubPr>
          <m:e>
            <m:r>
              <m:rPr>
                <m:sty m:val="p"/>
              </m:rPr>
              <w:rPr>
                <w:rFonts w:ascii="Cambria Math" w:hAnsi="Cambria Math"/>
                <w:szCs w:val="24"/>
              </w:rPr>
              <m:t>X</m:t>
            </m:r>
          </m:e>
          <m:sub>
            <m:r>
              <m:rPr>
                <m:sty m:val="p"/>
              </m:rPr>
              <w:rPr>
                <w:rFonts w:ascii="Cambria Math" w:hAnsi="Cambria Math"/>
                <w:szCs w:val="24"/>
              </w:rPr>
              <m:t>u</m:t>
            </m:r>
          </m:sub>
        </m:sSub>
        <m:r>
          <m:rPr>
            <m:sty m:val="p"/>
          </m:rPr>
          <w:rPr>
            <w:rFonts w:ascii="Cambria Math" w:hAnsi="Cambria Math"/>
            <w:szCs w:val="24"/>
          </w:rPr>
          <m:t>γ</m:t>
        </m:r>
      </m:oMath>
      <w:r w:rsidR="003C6851" w:rsidRPr="00A153AC">
        <w:rPr>
          <w:szCs w:val="24"/>
        </w:rPr>
        <w:t xml:space="preserve">) </w:t>
      </w:r>
      <w:r w:rsidR="003C6851">
        <w:rPr>
          <w:szCs w:val="24"/>
        </w:rPr>
        <w:t xml:space="preserve"> </w:t>
      </w:r>
      <w:r w:rsidR="003C6851" w:rsidRPr="00A153AC">
        <w:rPr>
          <w:szCs w:val="24"/>
        </w:rPr>
        <w:t xml:space="preserve">x </w:t>
      </w:r>
      <m:oMath>
        <m:r>
          <w:rPr>
            <w:rFonts w:ascii="Cambria Math" w:hAnsi="Cambria Math"/>
            <w:szCs w:val="24"/>
          </w:rPr>
          <m:t xml:space="preserve"> </m:t>
        </m:r>
        <m:sSub>
          <m:sSubPr>
            <m:ctrlPr>
              <w:rPr>
                <w:rFonts w:ascii="Cambria Math" w:hAnsi="Cambria Math"/>
                <w:szCs w:val="24"/>
              </w:rPr>
            </m:ctrlPr>
          </m:sSubPr>
          <m:e>
            <m:r>
              <m:rPr>
                <m:sty m:val="p"/>
              </m:rPr>
              <w:rPr>
                <w:rFonts w:ascii="Cambria Math" w:hAnsi="Cambria Math"/>
                <w:szCs w:val="24"/>
              </w:rPr>
              <m:t>FK</m:t>
            </m:r>
          </m:e>
          <m:sub>
            <m:r>
              <m:rPr>
                <m:sty m:val="p"/>
              </m:rPr>
              <w:rPr>
                <w:rFonts w:ascii="Cambria Math" w:hAnsi="Cambria Math"/>
                <w:szCs w:val="24"/>
              </w:rPr>
              <m:t>filter</m:t>
            </m:r>
          </m:sub>
        </m:sSub>
      </m:oMath>
      <w:r w:rsidR="00E32B52">
        <w:rPr>
          <w:szCs w:val="24"/>
        </w:rPr>
        <w:t xml:space="preserve">  </w:t>
      </w:r>
      <w:r w:rsidR="00E32B52">
        <w:rPr>
          <w:rFonts w:eastAsiaTheme="minorEastAsia"/>
          <w:szCs w:val="24"/>
        </w:rPr>
        <w:tab/>
      </w:r>
      <w:r w:rsidR="003C6851" w:rsidRPr="00F148BE">
        <w:rPr>
          <w:rFonts w:ascii="Arial" w:eastAsiaTheme="minorEastAsia" w:hAnsi="Arial" w:cs="Arial"/>
          <w:szCs w:val="24"/>
        </w:rPr>
        <w:t>(1)</w:t>
      </w:r>
    </w:p>
    <w:p w14:paraId="616E6DE5" w14:textId="77777777" w:rsidR="00E32B52" w:rsidRPr="00F148BE" w:rsidRDefault="00E32B52" w:rsidP="00E36F0B">
      <w:pPr>
        <w:pStyle w:val="Body"/>
        <w:spacing w:after="0"/>
        <w:ind w:hanging="142"/>
        <w:jc w:val="center"/>
        <w:rPr>
          <w:rFonts w:ascii="Arial" w:eastAsiaTheme="minorEastAsia" w:hAnsi="Arial" w:cs="Arial"/>
          <w:szCs w:val="24"/>
        </w:rPr>
      </w:pPr>
    </w:p>
    <w:p w14:paraId="3186C689" w14:textId="475E9166" w:rsidR="00E36F0B" w:rsidRDefault="003C6851" w:rsidP="003C6851">
      <w:pPr>
        <w:pStyle w:val="Body"/>
        <w:spacing w:after="0"/>
        <w:rPr>
          <w:rFonts w:eastAsiaTheme="minorEastAsia"/>
          <w:szCs w:val="24"/>
        </w:rPr>
      </w:pPr>
      <w:proofErr w:type="gramStart"/>
      <w:r>
        <w:rPr>
          <w:rFonts w:eastAsiaTheme="minorEastAsia"/>
          <w:szCs w:val="24"/>
        </w:rPr>
        <w:t>where</w:t>
      </w:r>
      <w:proofErr w:type="gramEnd"/>
      <w:r w:rsidR="003B45FA">
        <w:rPr>
          <w:rFonts w:eastAsiaTheme="minorEastAsia"/>
          <w:szCs w:val="24"/>
        </w:rPr>
        <w:t xml:space="preserve"> </w:t>
      </w:r>
      <m:oMath>
        <m:sSub>
          <m:sSubPr>
            <m:ctrlPr>
              <w:rPr>
                <w:rFonts w:ascii="Cambria Math" w:hAnsi="Cambria Math"/>
                <w:iCs/>
                <w:szCs w:val="24"/>
              </w:rPr>
            </m:ctrlPr>
          </m:sSubPr>
          <m:e>
            <m:r>
              <m:rPr>
                <m:sty m:val="p"/>
              </m:rPr>
              <w:rPr>
                <w:rFonts w:ascii="Cambria Math" w:hAnsi="Cambria Math"/>
                <w:szCs w:val="24"/>
              </w:rPr>
              <m:t>X</m:t>
            </m:r>
          </m:e>
          <m:sub>
            <m:r>
              <m:rPr>
                <m:sty m:val="p"/>
              </m:rPr>
              <w:rPr>
                <w:rFonts w:ascii="Cambria Math" w:hAnsi="Cambria Math"/>
                <w:szCs w:val="24"/>
              </w:rPr>
              <m:t>u</m:t>
            </m:r>
          </m:sub>
        </m:sSub>
        <m:r>
          <m:rPr>
            <m:sty m:val="p"/>
          </m:rPr>
          <w:rPr>
            <w:rFonts w:ascii="Cambria Math" w:hAnsi="Cambria Math"/>
            <w:szCs w:val="24"/>
          </w:rPr>
          <m:t>β</m:t>
        </m:r>
      </m:oMath>
      <w:r w:rsidR="003B45FA">
        <w:rPr>
          <w:rFonts w:eastAsiaTheme="minorEastAsia"/>
          <w:szCs w:val="24"/>
        </w:rPr>
        <w:t xml:space="preserve"> is the measured beta radiation exposure rate</w:t>
      </w:r>
      <w:r w:rsidR="00F52461">
        <w:rPr>
          <w:rFonts w:eastAsiaTheme="minorEastAsia"/>
          <w:szCs w:val="24"/>
        </w:rPr>
        <w:t xml:space="preserve"> </w:t>
      </w:r>
      <w:r w:rsidR="00F52461" w:rsidRPr="00A153AC">
        <w:rPr>
          <w:szCs w:val="24"/>
        </w:rPr>
        <w:t>(</w:t>
      </w:r>
      <m:oMath>
        <m:r>
          <m:rPr>
            <m:sty m:val="p"/>
          </m:rPr>
          <w:rPr>
            <w:rFonts w:ascii="Cambria Math" w:hAnsi="Cambria Math"/>
            <w:szCs w:val="24"/>
          </w:rPr>
          <m:t>μSv/h</m:t>
        </m:r>
      </m:oMath>
      <w:r w:rsidR="00F52461" w:rsidRPr="00A153AC">
        <w:rPr>
          <w:rFonts w:eastAsiaTheme="minorEastAsia"/>
          <w:szCs w:val="24"/>
        </w:rPr>
        <w:t>)</w:t>
      </w:r>
      <w:r w:rsidR="003B45FA">
        <w:rPr>
          <w:rFonts w:eastAsiaTheme="minorEastAsia"/>
          <w:szCs w:val="24"/>
        </w:rPr>
        <w:t xml:space="preserve"> , </w:t>
      </w:r>
      <m:oMath>
        <m:sSub>
          <m:sSubPr>
            <m:ctrlPr>
              <w:rPr>
                <w:rFonts w:ascii="Cambria Math" w:hAnsi="Cambria Math"/>
                <w:iCs/>
                <w:szCs w:val="24"/>
              </w:rPr>
            </m:ctrlPr>
          </m:sSubPr>
          <m:e>
            <m:r>
              <m:rPr>
                <m:sty m:val="p"/>
              </m:rPr>
              <w:rPr>
                <w:rFonts w:ascii="Cambria Math" w:hAnsi="Cambria Math"/>
                <w:szCs w:val="24"/>
              </w:rPr>
              <m:t>X</m:t>
            </m:r>
          </m:e>
          <m:sub>
            <m:r>
              <m:rPr>
                <m:sty m:val="p"/>
              </m:rPr>
              <w:rPr>
                <w:rFonts w:ascii="Cambria Math" w:hAnsi="Cambria Math"/>
                <w:szCs w:val="24"/>
              </w:rPr>
              <m:t>u</m:t>
            </m:r>
          </m:sub>
        </m:sSub>
        <m:r>
          <m:rPr>
            <m:sty m:val="p"/>
          </m:rPr>
          <w:rPr>
            <w:rFonts w:ascii="Cambria Math" w:hAnsi="Cambria Math"/>
            <w:szCs w:val="24"/>
          </w:rPr>
          <m:t>β</m:t>
        </m:r>
      </m:oMath>
      <w:r w:rsidR="003B45FA" w:rsidRPr="00A153AC">
        <w:rPr>
          <w:szCs w:val="24"/>
        </w:rPr>
        <w:t>,</w:t>
      </w:r>
      <m:oMath>
        <m:r>
          <m:rPr>
            <m:sty m:val="p"/>
          </m:rPr>
          <w:rPr>
            <w:rFonts w:ascii="Cambria Math" w:hAnsi="Cambria Math"/>
            <w:szCs w:val="24"/>
          </w:rPr>
          <m:t>γ</m:t>
        </m:r>
      </m:oMath>
      <w:r w:rsidR="003B45FA">
        <w:rPr>
          <w:szCs w:val="24"/>
        </w:rPr>
        <w:t xml:space="preserve"> is the unknown separately gamma and beta radiation exposure</w:t>
      </w:r>
      <w:r w:rsidR="00F52461">
        <w:rPr>
          <w:szCs w:val="24"/>
        </w:rPr>
        <w:t xml:space="preserve"> </w:t>
      </w:r>
      <w:r w:rsidR="00F52461" w:rsidRPr="00A153AC">
        <w:rPr>
          <w:szCs w:val="24"/>
        </w:rPr>
        <w:t>(</w:t>
      </w:r>
      <m:oMath>
        <m:r>
          <m:rPr>
            <m:sty m:val="p"/>
          </m:rPr>
          <w:rPr>
            <w:rFonts w:ascii="Cambria Math" w:hAnsi="Cambria Math"/>
            <w:szCs w:val="24"/>
          </w:rPr>
          <m:t>μSv/h</m:t>
        </m:r>
      </m:oMath>
      <w:r w:rsidR="00F52461" w:rsidRPr="00A153AC">
        <w:rPr>
          <w:rFonts w:eastAsiaTheme="minorEastAsia"/>
          <w:szCs w:val="24"/>
        </w:rPr>
        <w:t>)</w:t>
      </w:r>
      <w:r w:rsidR="003B45FA">
        <w:rPr>
          <w:szCs w:val="24"/>
        </w:rPr>
        <w:t xml:space="preserve">, and </w:t>
      </w:r>
      <m:oMath>
        <m:sSub>
          <m:sSubPr>
            <m:ctrlPr>
              <w:rPr>
                <w:rFonts w:ascii="Cambria Math" w:hAnsi="Cambria Math"/>
                <w:szCs w:val="24"/>
              </w:rPr>
            </m:ctrlPr>
          </m:sSubPr>
          <m:e>
            <m:r>
              <m:rPr>
                <m:sty m:val="p"/>
              </m:rPr>
              <w:rPr>
                <w:rFonts w:ascii="Cambria Math" w:hAnsi="Cambria Math"/>
                <w:szCs w:val="24"/>
              </w:rPr>
              <m:t>FK</m:t>
            </m:r>
          </m:e>
          <m:sub>
            <m:r>
              <m:rPr>
                <m:sty m:val="p"/>
              </m:rPr>
              <w:rPr>
                <w:rFonts w:ascii="Cambria Math" w:hAnsi="Cambria Math"/>
                <w:szCs w:val="24"/>
              </w:rPr>
              <m:t>filter</m:t>
            </m:r>
          </m:sub>
        </m:sSub>
      </m:oMath>
      <w:r w:rsidR="003B45FA">
        <w:rPr>
          <w:szCs w:val="24"/>
        </w:rPr>
        <w:t xml:space="preserve"> is correcti</w:t>
      </w:r>
      <w:r w:rsidR="005D6F17">
        <w:rPr>
          <w:szCs w:val="24"/>
        </w:rPr>
        <w:t>on factor of aluminum filter (6.</w:t>
      </w:r>
      <w:r w:rsidR="003B45FA">
        <w:rPr>
          <w:szCs w:val="24"/>
        </w:rPr>
        <w:t>25).</w:t>
      </w:r>
    </w:p>
    <w:p w14:paraId="0CB7B19A" w14:textId="77777777" w:rsidR="00D43DBA" w:rsidRPr="00D43DBA" w:rsidRDefault="00D43DBA" w:rsidP="003C6851">
      <w:pPr>
        <w:pStyle w:val="Body"/>
        <w:spacing w:after="0"/>
        <w:rPr>
          <w:rFonts w:eastAsiaTheme="minorEastAsia"/>
          <w:szCs w:val="24"/>
        </w:rPr>
      </w:pPr>
    </w:p>
    <w:p w14:paraId="3C77DB20" w14:textId="6B033F54" w:rsidR="00E32B52" w:rsidRDefault="00F148BE" w:rsidP="003C6851">
      <w:pPr>
        <w:pStyle w:val="Body"/>
        <w:spacing w:after="0"/>
        <w:rPr>
          <w:rFonts w:ascii="Arial" w:hAnsi="Arial" w:cs="Arial"/>
        </w:rPr>
      </w:pPr>
      <w:r w:rsidRPr="00F148BE">
        <w:rPr>
          <w:rFonts w:ascii="Arial" w:hAnsi="Arial" w:cs="Arial"/>
        </w:rPr>
        <w:t xml:space="preserve">The measurement results are the read values of the </w:t>
      </w:r>
      <w:proofErr w:type="spellStart"/>
      <w:r w:rsidRPr="00F148BE">
        <w:rPr>
          <w:rFonts w:ascii="Arial" w:hAnsi="Arial" w:cs="Arial"/>
        </w:rPr>
        <w:t>surveymeter</w:t>
      </w:r>
      <w:proofErr w:type="spellEnd"/>
      <w:r w:rsidRPr="00F148BE">
        <w:rPr>
          <w:rFonts w:ascii="Arial" w:hAnsi="Arial" w:cs="Arial"/>
        </w:rPr>
        <w:t xml:space="preserve"> and didn't show the actual radiation exposure rate value</w:t>
      </w:r>
      <w:r>
        <w:rPr>
          <w:rFonts w:ascii="Arial" w:hAnsi="Arial" w:cs="Arial"/>
        </w:rPr>
        <w:t>,</w:t>
      </w:r>
      <w:r w:rsidRPr="00F148BE">
        <w:rPr>
          <w:rFonts w:ascii="Arial" w:hAnsi="Arial" w:cs="Arial"/>
        </w:rPr>
        <w:t xml:space="preserve"> so the calculations to get the actual radiation exposure rate value shou</w:t>
      </w:r>
      <w:r w:rsidR="0050586B">
        <w:rPr>
          <w:rFonts w:ascii="Arial" w:hAnsi="Arial" w:cs="Arial"/>
        </w:rPr>
        <w:t>ld be done by using equation 2</w:t>
      </w:r>
      <w:r>
        <w:rPr>
          <w:rFonts w:ascii="Arial" w:hAnsi="Arial" w:cs="Arial"/>
        </w:rPr>
        <w:t xml:space="preserve"> for the </w:t>
      </w:r>
      <w:r w:rsidRPr="00F148BE">
        <w:rPr>
          <w:rFonts w:ascii="Arial" w:hAnsi="Arial" w:cs="Arial"/>
        </w:rPr>
        <w:t>gamma radiation</w:t>
      </w:r>
      <w:r>
        <w:rPr>
          <w:rFonts w:ascii="Arial" w:hAnsi="Arial" w:cs="Arial"/>
        </w:rPr>
        <w:t xml:space="preserve"> exposure</w:t>
      </w:r>
      <w:r w:rsidR="0050586B">
        <w:rPr>
          <w:rFonts w:ascii="Arial" w:hAnsi="Arial" w:cs="Arial"/>
        </w:rPr>
        <w:t xml:space="preserve"> rate and equation 3</w:t>
      </w:r>
      <w:r>
        <w:rPr>
          <w:rFonts w:ascii="Arial" w:hAnsi="Arial" w:cs="Arial"/>
        </w:rPr>
        <w:t xml:space="preserve"> for the </w:t>
      </w:r>
      <w:r w:rsidRPr="00F148BE">
        <w:rPr>
          <w:rFonts w:ascii="Arial" w:hAnsi="Arial" w:cs="Arial"/>
        </w:rPr>
        <w:t>beta radiation</w:t>
      </w:r>
      <w:r>
        <w:rPr>
          <w:rFonts w:ascii="Arial" w:hAnsi="Arial" w:cs="Arial"/>
        </w:rPr>
        <w:t xml:space="preserve"> exposure rate</w:t>
      </w:r>
      <w:r w:rsidR="00C4555D">
        <w:rPr>
          <w:rFonts w:ascii="Arial" w:hAnsi="Arial" w:cs="Arial"/>
        </w:rPr>
        <w:t xml:space="preserve"> [4]</w:t>
      </w:r>
      <w:r w:rsidRPr="00F148BE">
        <w:rPr>
          <w:rFonts w:ascii="Arial" w:hAnsi="Arial" w:cs="Arial"/>
        </w:rPr>
        <w:t>.</w:t>
      </w:r>
    </w:p>
    <w:p w14:paraId="2CC38214" w14:textId="77777777" w:rsidR="00E32B52" w:rsidRDefault="00E32B52" w:rsidP="003C6851">
      <w:pPr>
        <w:pStyle w:val="Body"/>
        <w:spacing w:after="0"/>
        <w:rPr>
          <w:rFonts w:ascii="Arial" w:hAnsi="Arial" w:cs="Arial"/>
        </w:rPr>
      </w:pPr>
    </w:p>
    <w:p w14:paraId="052C11C5" w14:textId="1DDD4DFB" w:rsidR="00E32B52" w:rsidRPr="00E32B52" w:rsidRDefault="00DD2746" w:rsidP="00E32B52">
      <w:pPr>
        <w:pStyle w:val="ListParagraph"/>
        <w:ind w:left="284"/>
        <w:jc w:val="center"/>
        <w:rPr>
          <w:rFonts w:ascii="Arial" w:eastAsiaTheme="minorEastAsia" w:hAnsi="Arial" w:cs="Arial"/>
          <w:iCs/>
          <w:sz w:val="20"/>
          <w:szCs w:val="20"/>
        </w:rPr>
      </w:pPr>
      <m:oMath>
        <m:sSub>
          <m:sSubPr>
            <m:ctrlPr>
              <w:rPr>
                <w:rFonts w:ascii="Cambria Math" w:hAnsi="Cambria Math" w:cs="Times New Roman"/>
                <w:iCs/>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s</m:t>
            </m:r>
          </m:sub>
        </m:sSub>
        <m:r>
          <m:rPr>
            <m:sty m:val="p"/>
          </m:rPr>
          <w:rPr>
            <w:rFonts w:ascii="Cambria Math" w:hAnsi="Cambria Math" w:cs="Times New Roman"/>
            <w:sz w:val="20"/>
            <w:szCs w:val="20"/>
          </w:rPr>
          <m:t>γ</m:t>
        </m:r>
      </m:oMath>
      <w:r w:rsidR="00C4555D" w:rsidRPr="00C4555D">
        <w:rPr>
          <w:rFonts w:cs="Times New Roman"/>
          <w:sz w:val="20"/>
          <w:szCs w:val="20"/>
        </w:rPr>
        <w:t xml:space="preserve">= </w:t>
      </w:r>
      <m:oMath>
        <m:d>
          <m:dPr>
            <m:ctrlPr>
              <w:rPr>
                <w:rFonts w:ascii="Cambria Math" w:hAnsi="Cambria Math" w:cs="Times New Roman"/>
                <w:sz w:val="20"/>
                <w:szCs w:val="20"/>
              </w:rPr>
            </m:ctrlPr>
          </m:dPr>
          <m:e>
            <m:sSub>
              <m:sSubPr>
                <m:ctrlPr>
                  <w:rPr>
                    <w:rFonts w:ascii="Cambria Math" w:hAnsi="Cambria Math" w:cs="Times New Roman"/>
                    <w:iCs/>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u</m:t>
                </m:r>
              </m:sub>
            </m:sSub>
            <m:r>
              <m:rPr>
                <m:sty m:val="p"/>
              </m:rPr>
              <w:rPr>
                <w:rFonts w:ascii="Cambria Math" w:hAnsi="Cambria Math" w:cs="Times New Roman"/>
                <w:sz w:val="20"/>
                <w:szCs w:val="20"/>
              </w:rPr>
              <m:t>γ-</m:t>
            </m:r>
            <m:sSub>
              <m:sSubPr>
                <m:ctrlPr>
                  <w:rPr>
                    <w:rFonts w:ascii="Cambria Math" w:hAnsi="Cambria Math" w:cs="Times New Roman"/>
                    <w:iCs/>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BG</m:t>
                </m:r>
              </m:sub>
            </m:sSub>
          </m:e>
        </m:d>
        <m:r>
          <m:rPr>
            <m:sty m:val="p"/>
          </m:rPr>
          <w:rPr>
            <w:rFonts w:ascii="Cambria Math" w:hAnsi="Cambria Math" w:cs="Times New Roman"/>
            <w:sz w:val="20"/>
            <w:szCs w:val="20"/>
          </w:rPr>
          <m:t xml:space="preserve"> x</m:t>
        </m:r>
        <m:sSub>
          <m:sSubPr>
            <m:ctrlPr>
              <w:rPr>
                <w:rFonts w:ascii="Cambria Math" w:hAnsi="Cambria Math" w:cs="Times New Roman"/>
                <w:iCs/>
                <w:sz w:val="20"/>
                <w:szCs w:val="20"/>
              </w:rPr>
            </m:ctrlPr>
          </m:sSubPr>
          <m:e>
            <m:r>
              <m:rPr>
                <m:sty m:val="p"/>
              </m:rPr>
              <w:rPr>
                <w:rFonts w:ascii="Cambria Math" w:hAnsi="Cambria Math" w:cs="Times New Roman"/>
                <w:sz w:val="20"/>
                <w:szCs w:val="20"/>
              </w:rPr>
              <m:t xml:space="preserve"> FK</m:t>
            </m:r>
          </m:e>
          <m:sub>
            <m:r>
              <m:rPr>
                <m:sty m:val="p"/>
              </m:rPr>
              <w:rPr>
                <w:rFonts w:ascii="Cambria Math" w:hAnsi="Cambria Math" w:cs="Times New Roman"/>
                <w:sz w:val="20"/>
                <w:szCs w:val="20"/>
              </w:rPr>
              <m:t>γ</m:t>
            </m:r>
          </m:sub>
        </m:sSub>
      </m:oMath>
      <w:r w:rsidR="00E32B52">
        <w:rPr>
          <w:rFonts w:eastAsiaTheme="minorEastAsia" w:cs="Times New Roman"/>
          <w:iCs/>
          <w:sz w:val="20"/>
          <w:szCs w:val="20"/>
        </w:rPr>
        <w:t xml:space="preserve">   </w:t>
      </w:r>
      <w:r w:rsidR="0050586B">
        <w:rPr>
          <w:rFonts w:ascii="Arial" w:eastAsiaTheme="minorEastAsia" w:hAnsi="Arial" w:cs="Arial"/>
          <w:iCs/>
          <w:sz w:val="20"/>
          <w:szCs w:val="20"/>
        </w:rPr>
        <w:t>(2</w:t>
      </w:r>
      <w:r w:rsidR="00C4555D" w:rsidRPr="00C4555D">
        <w:rPr>
          <w:rFonts w:ascii="Arial" w:eastAsiaTheme="minorEastAsia" w:hAnsi="Arial" w:cs="Arial"/>
          <w:iCs/>
          <w:sz w:val="20"/>
          <w:szCs w:val="20"/>
        </w:rPr>
        <w:t>)</w:t>
      </w:r>
    </w:p>
    <w:p w14:paraId="0D3C4C1D" w14:textId="782B35CC" w:rsidR="00957260" w:rsidRDefault="00C4555D" w:rsidP="003C6851">
      <w:pPr>
        <w:pStyle w:val="Body"/>
        <w:spacing w:after="0"/>
        <w:rPr>
          <w:rFonts w:eastAsiaTheme="minorEastAsia"/>
          <w:szCs w:val="24"/>
        </w:rPr>
      </w:pPr>
      <w:r>
        <w:rPr>
          <w:rFonts w:ascii="Arial" w:hAnsi="Arial" w:cs="Arial"/>
        </w:rPr>
        <w:t xml:space="preserve">where </w:t>
      </w: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s</m:t>
            </m:r>
          </m:sub>
        </m:sSub>
        <m:r>
          <m:rPr>
            <m:sty m:val="p"/>
          </m:rPr>
          <w:rPr>
            <w:rFonts w:ascii="Cambria Math" w:hAnsi="Cambria Math"/>
          </w:rPr>
          <m:t>γ</m:t>
        </m:r>
      </m:oMath>
      <w:r>
        <w:rPr>
          <w:rFonts w:ascii="Arial" w:hAnsi="Arial" w:cs="Arial"/>
        </w:rPr>
        <w:t xml:space="preserve"> is the actual gamma radiation exposure rate (</w:t>
      </w:r>
      <m:oMath>
        <m:r>
          <m:rPr>
            <m:sty m:val="p"/>
          </m:rPr>
          <w:rPr>
            <w:rFonts w:ascii="Cambria Math" w:hAnsi="Cambria Math"/>
            <w:szCs w:val="24"/>
          </w:rPr>
          <m:t>μSv/h)</m:t>
        </m:r>
      </m:oMath>
      <w:r>
        <w:rPr>
          <w:rFonts w:ascii="Arial" w:hAnsi="Arial" w:cs="Arial"/>
        </w:rPr>
        <w:t xml:space="preserve">, </w:t>
      </w: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u</m:t>
            </m:r>
          </m:sub>
        </m:sSub>
        <m:r>
          <m:rPr>
            <m:sty m:val="p"/>
          </m:rPr>
          <w:rPr>
            <w:rFonts w:ascii="Cambria Math" w:hAnsi="Cambria Math"/>
          </w:rPr>
          <m:t xml:space="preserve">γ </m:t>
        </m:r>
      </m:oMath>
      <w:r>
        <w:rPr>
          <w:rFonts w:ascii="Arial" w:hAnsi="Arial" w:cs="Arial"/>
        </w:rPr>
        <w:t>is the measured gamma radiation exposure rate (</w:t>
      </w:r>
      <m:oMath>
        <m:r>
          <m:rPr>
            <m:sty m:val="p"/>
          </m:rPr>
          <w:rPr>
            <w:rFonts w:ascii="Cambria Math" w:hAnsi="Cambria Math"/>
            <w:szCs w:val="24"/>
          </w:rPr>
          <m:t>μSv/h)</m:t>
        </m:r>
      </m:oMath>
      <w:r>
        <w:rPr>
          <w:rFonts w:ascii="Arial" w:hAnsi="Arial" w:cs="Arial"/>
        </w:rPr>
        <w:t xml:space="preserve">, </w:t>
      </w: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BG</m:t>
            </m:r>
          </m:sub>
        </m:sSub>
      </m:oMath>
      <w:r>
        <w:rPr>
          <w:rFonts w:ascii="Arial" w:hAnsi="Arial" w:cs="Arial"/>
          <w:iCs/>
        </w:rPr>
        <w:t xml:space="preserve"> is the background radiation (</w:t>
      </w:r>
      <m:oMath>
        <m:r>
          <m:rPr>
            <m:sty m:val="p"/>
          </m:rPr>
          <w:rPr>
            <w:rFonts w:ascii="Cambria Math" w:hAnsi="Cambria Math"/>
            <w:szCs w:val="24"/>
          </w:rPr>
          <m:t>μSv/h)</m:t>
        </m:r>
      </m:oMath>
      <w:r>
        <w:rPr>
          <w:rFonts w:ascii="Arial" w:hAnsi="Arial" w:cs="Arial"/>
          <w:iCs/>
        </w:rPr>
        <w:t xml:space="preserve">, and </w:t>
      </w:r>
      <m:oMath>
        <m:sSub>
          <m:sSubPr>
            <m:ctrlPr>
              <w:rPr>
                <w:rFonts w:ascii="Cambria Math" w:hAnsi="Cambria Math"/>
                <w:iCs/>
              </w:rPr>
            </m:ctrlPr>
          </m:sSubPr>
          <m:e>
            <m:r>
              <m:rPr>
                <m:sty m:val="p"/>
              </m:rPr>
              <w:rPr>
                <w:rFonts w:ascii="Cambria Math" w:hAnsi="Cambria Math"/>
              </w:rPr>
              <m:t xml:space="preserve"> FK</m:t>
            </m:r>
          </m:e>
          <m:sub>
            <m:r>
              <m:rPr>
                <m:sty m:val="p"/>
              </m:rPr>
              <w:rPr>
                <w:rFonts w:ascii="Cambria Math" w:hAnsi="Cambria Math"/>
              </w:rPr>
              <m:t>γ</m:t>
            </m:r>
          </m:sub>
        </m:sSub>
      </m:oMath>
      <w:r>
        <w:rPr>
          <w:rFonts w:eastAsiaTheme="minorEastAsia"/>
          <w:iCs/>
        </w:rPr>
        <w:t xml:space="preserve"> is the gamma calibration factor (</w:t>
      </w:r>
      <m:oMath>
        <m:r>
          <w:rPr>
            <w:rFonts w:ascii="Cambria Math" w:eastAsiaTheme="minorEastAsia" w:hAnsi="Cambria Math"/>
          </w:rPr>
          <m:t xml:space="preserve"> 0.98 </m:t>
        </m:r>
        <m:r>
          <m:rPr>
            <m:sty m:val="p"/>
          </m:rPr>
          <w:rPr>
            <w:rFonts w:ascii="Cambria Math" w:hAnsi="Cambria Math"/>
            <w:szCs w:val="24"/>
          </w:rPr>
          <m:t>μSv/h</m:t>
        </m:r>
      </m:oMath>
      <w:r>
        <w:rPr>
          <w:rFonts w:eastAsiaTheme="minorEastAsia"/>
          <w:szCs w:val="24"/>
        </w:rPr>
        <w:t>).</w:t>
      </w:r>
    </w:p>
    <w:p w14:paraId="7C3B0E1D" w14:textId="77777777" w:rsidR="0000265C" w:rsidRPr="00957260" w:rsidRDefault="0000265C" w:rsidP="003C6851">
      <w:pPr>
        <w:pStyle w:val="Body"/>
        <w:spacing w:after="0"/>
        <w:rPr>
          <w:rFonts w:eastAsiaTheme="minorEastAsia"/>
          <w:szCs w:val="24"/>
        </w:rPr>
      </w:pPr>
    </w:p>
    <w:p w14:paraId="62493D00" w14:textId="28D07BBC" w:rsidR="00957260" w:rsidRDefault="00DD2746" w:rsidP="00E32B52">
      <w:pPr>
        <w:pStyle w:val="ListParagraph"/>
        <w:ind w:left="284"/>
        <w:jc w:val="center"/>
        <w:rPr>
          <w:rFonts w:ascii="Arial" w:eastAsiaTheme="minorEastAsia" w:hAnsi="Arial" w:cs="Arial"/>
          <w:iCs/>
          <w:sz w:val="20"/>
          <w:szCs w:val="20"/>
        </w:rPr>
      </w:pPr>
      <m:oMath>
        <m:sSub>
          <m:sSubPr>
            <m:ctrlPr>
              <w:rPr>
                <w:rFonts w:ascii="Cambria Math" w:hAnsi="Cambria Math" w:cs="Times New Roman"/>
                <w:iCs/>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s</m:t>
            </m:r>
          </m:sub>
        </m:sSub>
        <m:r>
          <m:rPr>
            <m:sty m:val="p"/>
          </m:rPr>
          <w:rPr>
            <w:rFonts w:ascii="Cambria Math" w:hAnsi="Cambria Math" w:cs="Times New Roman"/>
            <w:sz w:val="20"/>
            <w:szCs w:val="20"/>
          </w:rPr>
          <m:t>β</m:t>
        </m:r>
      </m:oMath>
      <w:r w:rsidR="00957260" w:rsidRPr="00C4555D">
        <w:rPr>
          <w:rFonts w:cs="Times New Roman"/>
          <w:sz w:val="20"/>
          <w:szCs w:val="20"/>
        </w:rPr>
        <w:t xml:space="preserve">= </w:t>
      </w:r>
      <m:oMath>
        <m:d>
          <m:dPr>
            <m:ctrlPr>
              <w:rPr>
                <w:rFonts w:ascii="Cambria Math" w:hAnsi="Cambria Math" w:cs="Times New Roman"/>
                <w:sz w:val="20"/>
                <w:szCs w:val="20"/>
              </w:rPr>
            </m:ctrlPr>
          </m:dPr>
          <m:e>
            <m:sSub>
              <m:sSubPr>
                <m:ctrlPr>
                  <w:rPr>
                    <w:rFonts w:ascii="Cambria Math" w:hAnsi="Cambria Math" w:cs="Times New Roman"/>
                    <w:iCs/>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u</m:t>
                </m:r>
              </m:sub>
            </m:sSub>
            <m:r>
              <m:rPr>
                <m:sty m:val="p"/>
              </m:rPr>
              <w:rPr>
                <w:rFonts w:ascii="Cambria Math" w:hAnsi="Cambria Math" w:cs="Times New Roman"/>
                <w:sz w:val="20"/>
                <w:szCs w:val="20"/>
              </w:rPr>
              <m:t>β-</m:t>
            </m:r>
            <m:sSub>
              <m:sSubPr>
                <m:ctrlPr>
                  <w:rPr>
                    <w:rFonts w:ascii="Cambria Math" w:hAnsi="Cambria Math" w:cs="Times New Roman"/>
                    <w:iCs/>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BG</m:t>
                </m:r>
              </m:sub>
            </m:sSub>
          </m:e>
        </m:d>
        <m:r>
          <m:rPr>
            <m:sty m:val="p"/>
          </m:rPr>
          <w:rPr>
            <w:rFonts w:ascii="Cambria Math" w:hAnsi="Cambria Math" w:cs="Times New Roman"/>
            <w:sz w:val="20"/>
            <w:szCs w:val="20"/>
          </w:rPr>
          <m:t xml:space="preserve"> x</m:t>
        </m:r>
        <m:sSub>
          <m:sSubPr>
            <m:ctrlPr>
              <w:rPr>
                <w:rFonts w:ascii="Cambria Math" w:hAnsi="Cambria Math" w:cs="Times New Roman"/>
                <w:iCs/>
                <w:sz w:val="20"/>
                <w:szCs w:val="20"/>
              </w:rPr>
            </m:ctrlPr>
          </m:sSubPr>
          <m:e>
            <m:r>
              <m:rPr>
                <m:sty m:val="p"/>
              </m:rPr>
              <w:rPr>
                <w:rFonts w:ascii="Cambria Math" w:hAnsi="Cambria Math" w:cs="Times New Roman"/>
                <w:sz w:val="20"/>
                <w:szCs w:val="20"/>
              </w:rPr>
              <m:t xml:space="preserve"> FK</m:t>
            </m:r>
          </m:e>
          <m:sub>
            <m:r>
              <m:rPr>
                <m:sty m:val="p"/>
              </m:rPr>
              <w:rPr>
                <w:rFonts w:ascii="Cambria Math" w:hAnsi="Cambria Math" w:cs="Times New Roman"/>
                <w:sz w:val="20"/>
                <w:szCs w:val="20"/>
              </w:rPr>
              <m:t xml:space="preserve">β   </m:t>
            </m:r>
          </m:sub>
        </m:sSub>
      </m:oMath>
      <w:r w:rsidR="0050586B">
        <w:rPr>
          <w:rFonts w:ascii="Arial" w:eastAsiaTheme="minorEastAsia" w:hAnsi="Arial" w:cs="Arial"/>
          <w:iCs/>
          <w:sz w:val="20"/>
          <w:szCs w:val="20"/>
        </w:rPr>
        <w:t>(3</w:t>
      </w:r>
      <w:r w:rsidR="00957260" w:rsidRPr="00C4555D">
        <w:rPr>
          <w:rFonts w:ascii="Arial" w:eastAsiaTheme="minorEastAsia" w:hAnsi="Arial" w:cs="Arial"/>
          <w:iCs/>
          <w:sz w:val="20"/>
          <w:szCs w:val="20"/>
        </w:rPr>
        <w:t>)</w:t>
      </w:r>
    </w:p>
    <w:p w14:paraId="7EC9C81B" w14:textId="29BEE519" w:rsidR="00957260" w:rsidRDefault="00957260" w:rsidP="00957260">
      <w:pPr>
        <w:jc w:val="both"/>
        <w:rPr>
          <w:rFonts w:eastAsiaTheme="minorEastAsia"/>
          <w:szCs w:val="24"/>
        </w:rPr>
      </w:pPr>
      <w:r>
        <w:rPr>
          <w:rFonts w:ascii="Arial" w:hAnsi="Arial" w:cs="Arial"/>
        </w:rPr>
        <w:lastRenderedPageBreak/>
        <w:t xml:space="preserve">where </w:t>
      </w: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s</m:t>
            </m:r>
          </m:sub>
        </m:sSub>
        <m:r>
          <m:rPr>
            <m:sty m:val="p"/>
          </m:rPr>
          <w:rPr>
            <w:rFonts w:ascii="Cambria Math" w:hAnsi="Cambria Math"/>
          </w:rPr>
          <m:t>β</m:t>
        </m:r>
      </m:oMath>
      <w:r>
        <w:rPr>
          <w:rFonts w:ascii="Arial" w:hAnsi="Arial" w:cs="Arial"/>
        </w:rPr>
        <w:t xml:space="preserve"> is the actual beta radiation exposure rate (</w:t>
      </w:r>
      <m:oMath>
        <m:r>
          <m:rPr>
            <m:sty m:val="p"/>
          </m:rPr>
          <w:rPr>
            <w:rFonts w:ascii="Cambria Math" w:hAnsi="Cambria Math"/>
            <w:szCs w:val="24"/>
          </w:rPr>
          <m:t>μSv/h)</m:t>
        </m:r>
      </m:oMath>
      <w:r>
        <w:rPr>
          <w:rFonts w:ascii="Arial" w:hAnsi="Arial" w:cs="Arial"/>
        </w:rPr>
        <w:t xml:space="preserve">, </w:t>
      </w: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u</m:t>
            </m:r>
          </m:sub>
        </m:sSub>
        <m:r>
          <m:rPr>
            <m:sty m:val="p"/>
          </m:rPr>
          <w:rPr>
            <w:rFonts w:ascii="Cambria Math" w:hAnsi="Cambria Math"/>
          </w:rPr>
          <m:t xml:space="preserve">β </m:t>
        </m:r>
      </m:oMath>
      <w:r>
        <w:rPr>
          <w:rFonts w:ascii="Arial" w:hAnsi="Arial" w:cs="Arial"/>
        </w:rPr>
        <w:t>is the measured beta radiation exposure rate (</w:t>
      </w:r>
      <m:oMath>
        <m:r>
          <m:rPr>
            <m:sty m:val="p"/>
          </m:rPr>
          <w:rPr>
            <w:rFonts w:ascii="Cambria Math" w:hAnsi="Cambria Math"/>
            <w:szCs w:val="24"/>
          </w:rPr>
          <m:t>μSv/h)</m:t>
        </m:r>
      </m:oMath>
      <w:r>
        <w:rPr>
          <w:rFonts w:ascii="Arial" w:hAnsi="Arial" w:cs="Arial"/>
        </w:rPr>
        <w:t xml:space="preserve">, </w:t>
      </w: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BG</m:t>
            </m:r>
          </m:sub>
        </m:sSub>
      </m:oMath>
      <w:r>
        <w:rPr>
          <w:rFonts w:ascii="Arial" w:hAnsi="Arial" w:cs="Arial"/>
          <w:iCs/>
        </w:rPr>
        <w:t xml:space="preserve"> is the background radiation (</w:t>
      </w:r>
      <m:oMath>
        <m:r>
          <m:rPr>
            <m:sty m:val="p"/>
          </m:rPr>
          <w:rPr>
            <w:rFonts w:ascii="Cambria Math" w:hAnsi="Cambria Math"/>
            <w:szCs w:val="24"/>
          </w:rPr>
          <m:t>μSv/h)</m:t>
        </m:r>
      </m:oMath>
      <w:r>
        <w:rPr>
          <w:rFonts w:ascii="Arial" w:hAnsi="Arial" w:cs="Arial"/>
          <w:iCs/>
        </w:rPr>
        <w:t xml:space="preserve">, and </w:t>
      </w:r>
      <m:oMath>
        <m:sSub>
          <m:sSubPr>
            <m:ctrlPr>
              <w:rPr>
                <w:rFonts w:ascii="Cambria Math" w:hAnsi="Cambria Math"/>
                <w:iCs/>
              </w:rPr>
            </m:ctrlPr>
          </m:sSubPr>
          <m:e>
            <m:r>
              <m:rPr>
                <m:sty m:val="p"/>
              </m:rPr>
              <w:rPr>
                <w:rFonts w:ascii="Cambria Math" w:hAnsi="Cambria Math"/>
              </w:rPr>
              <m:t xml:space="preserve"> FK</m:t>
            </m:r>
          </m:e>
          <m:sub>
            <m:r>
              <m:rPr>
                <m:sty m:val="p"/>
              </m:rPr>
              <w:rPr>
                <w:rFonts w:ascii="Cambria Math" w:hAnsi="Cambria Math"/>
              </w:rPr>
              <m:t>β</m:t>
            </m:r>
          </m:sub>
        </m:sSub>
      </m:oMath>
      <w:r>
        <w:rPr>
          <w:rFonts w:eastAsiaTheme="minorEastAsia"/>
          <w:iCs/>
        </w:rPr>
        <w:t xml:space="preserve"> is the beta calibration factor (</w:t>
      </w:r>
      <m:oMath>
        <m:r>
          <w:rPr>
            <w:rFonts w:ascii="Cambria Math" w:eastAsiaTheme="minorEastAsia" w:hAnsi="Cambria Math"/>
          </w:rPr>
          <m:t xml:space="preserve">2.09 </m:t>
        </m:r>
        <m:r>
          <m:rPr>
            <m:sty m:val="p"/>
          </m:rPr>
          <w:rPr>
            <w:rFonts w:ascii="Cambria Math" w:hAnsi="Cambria Math"/>
            <w:szCs w:val="24"/>
          </w:rPr>
          <m:t>μSv/h</m:t>
        </m:r>
      </m:oMath>
      <w:r>
        <w:rPr>
          <w:rFonts w:eastAsiaTheme="minorEastAsia"/>
          <w:szCs w:val="24"/>
        </w:rPr>
        <w:t>).</w:t>
      </w:r>
    </w:p>
    <w:p w14:paraId="1A7B5648" w14:textId="77777777" w:rsidR="00E36F0B" w:rsidRDefault="00E36F0B" w:rsidP="00957260">
      <w:pPr>
        <w:jc w:val="both"/>
        <w:rPr>
          <w:rFonts w:eastAsiaTheme="minorEastAsia"/>
          <w:szCs w:val="24"/>
        </w:rPr>
      </w:pPr>
    </w:p>
    <w:p w14:paraId="7795E980" w14:textId="1D04B0CE" w:rsidR="001446CF" w:rsidRDefault="00E36F0B" w:rsidP="001446CF">
      <w:pPr>
        <w:jc w:val="both"/>
        <w:rPr>
          <w:rFonts w:ascii="Arial" w:hAnsi="Arial" w:cs="Arial"/>
        </w:rPr>
      </w:pPr>
      <w:r>
        <w:rPr>
          <w:rFonts w:ascii="Arial" w:eastAsiaTheme="minorEastAsia" w:hAnsi="Arial" w:cs="Arial"/>
          <w:iCs/>
        </w:rPr>
        <w:t xml:space="preserve">The results of calculation actual gamma radiation exposure rate and beta radiation exposure rate then compared with NBD that has been determined in BAPETEN </w:t>
      </w:r>
      <w:r w:rsidRPr="00666168">
        <w:rPr>
          <w:rFonts w:ascii="Arial" w:hAnsi="Arial" w:cs="Arial"/>
        </w:rPr>
        <w:t>R</w:t>
      </w:r>
      <w:r>
        <w:rPr>
          <w:rFonts w:ascii="Arial" w:hAnsi="Arial" w:cs="Arial"/>
        </w:rPr>
        <w:t xml:space="preserve">egulation number 17 of </w:t>
      </w:r>
      <w:r w:rsidRPr="00666168">
        <w:rPr>
          <w:rFonts w:ascii="Arial" w:hAnsi="Arial" w:cs="Arial"/>
        </w:rPr>
        <w:t>2012 article 33</w:t>
      </w:r>
      <w:r>
        <w:rPr>
          <w:rFonts w:ascii="Arial" w:hAnsi="Arial" w:cs="Arial"/>
        </w:rPr>
        <w:t xml:space="preserve"> using one sample t-test. One sample t-test was analyzed by using IBM SPSS Statistics Version 25.</w:t>
      </w:r>
      <w:r w:rsidR="001446CF">
        <w:rPr>
          <w:rFonts w:ascii="Arial" w:hAnsi="Arial" w:cs="Arial"/>
        </w:rPr>
        <w:t xml:space="preserve"> </w:t>
      </w:r>
      <w:r w:rsidR="009D3D0B">
        <w:rPr>
          <w:rFonts w:ascii="Arial" w:hAnsi="Arial" w:cs="Arial"/>
        </w:rPr>
        <w:t>Hypothese</w:t>
      </w:r>
      <w:r w:rsidR="001446CF" w:rsidRPr="001446CF">
        <w:rPr>
          <w:rFonts w:ascii="Arial" w:hAnsi="Arial" w:cs="Arial"/>
        </w:rPr>
        <w:t>s</w:t>
      </w:r>
      <w:r w:rsidR="001446CF">
        <w:rPr>
          <w:rFonts w:ascii="Arial" w:hAnsi="Arial" w:cs="Arial"/>
        </w:rPr>
        <w:t xml:space="preserve"> </w:t>
      </w:r>
      <w:r w:rsidR="001446CF" w:rsidRPr="001446CF">
        <w:rPr>
          <w:rFonts w:ascii="Arial" w:hAnsi="Arial" w:cs="Arial"/>
        </w:rPr>
        <w:t>proposed in this study are:</w:t>
      </w:r>
    </w:p>
    <w:p w14:paraId="37EFA5D1" w14:textId="16C84543" w:rsidR="001446CF" w:rsidRPr="00492B8B" w:rsidRDefault="001446CF" w:rsidP="00492B8B">
      <w:pPr>
        <w:pStyle w:val="ListParagraph"/>
        <w:numPr>
          <w:ilvl w:val="0"/>
          <w:numId w:val="31"/>
        </w:numPr>
        <w:spacing w:line="240" w:lineRule="auto"/>
        <w:ind w:left="777" w:hanging="357"/>
        <w:jc w:val="both"/>
        <w:rPr>
          <w:rFonts w:ascii="Arial" w:hAnsi="Arial" w:cs="Arial"/>
          <w:sz w:val="20"/>
          <w:szCs w:val="20"/>
        </w:rPr>
      </w:pPr>
      <w:r w:rsidRPr="00492B8B">
        <w:rPr>
          <w:rFonts w:ascii="Arial" w:hAnsi="Arial" w:cs="Arial"/>
          <w:sz w:val="20"/>
          <w:szCs w:val="20"/>
        </w:rPr>
        <w:t>H</w:t>
      </w:r>
      <w:r w:rsidRPr="00492B8B">
        <w:rPr>
          <w:rFonts w:ascii="Arial" w:hAnsi="Arial" w:cs="Arial"/>
          <w:sz w:val="20"/>
          <w:szCs w:val="20"/>
          <w:vertAlign w:val="subscript"/>
        </w:rPr>
        <w:t>0</w:t>
      </w:r>
      <w:r w:rsidRPr="00492B8B">
        <w:rPr>
          <w:rFonts w:ascii="Arial" w:hAnsi="Arial" w:cs="Arial"/>
          <w:sz w:val="20"/>
          <w:szCs w:val="20"/>
        </w:rPr>
        <w:t>:</w:t>
      </w:r>
      <w:r w:rsidR="009D3D0B">
        <w:rPr>
          <w:rFonts w:ascii="Arial" w:hAnsi="Arial" w:cs="Arial"/>
          <w:sz w:val="20"/>
          <w:szCs w:val="20"/>
        </w:rPr>
        <w:t xml:space="preserve"> </w:t>
      </w:r>
      <w:r w:rsidR="00492B8B" w:rsidRPr="00492B8B">
        <w:rPr>
          <w:rFonts w:ascii="Arial" w:hAnsi="Arial" w:cs="Arial"/>
          <w:sz w:val="20"/>
          <w:szCs w:val="20"/>
        </w:rPr>
        <w:t>The b</w:t>
      </w:r>
      <w:r w:rsidRPr="00492B8B">
        <w:rPr>
          <w:rFonts w:ascii="Arial" w:hAnsi="Arial" w:cs="Arial"/>
          <w:sz w:val="20"/>
          <w:szCs w:val="20"/>
        </w:rPr>
        <w:t>eta radiation exposure rate and gamma radiation exposure rate doesn’t exceed the NBD in PERKA BAPETEN number 17 of 2012 article 33.</w:t>
      </w:r>
    </w:p>
    <w:p w14:paraId="4A31EE1E" w14:textId="1724FDB4" w:rsidR="001446CF" w:rsidRPr="00492B8B" w:rsidRDefault="001446CF" w:rsidP="00492B8B">
      <w:pPr>
        <w:pStyle w:val="ListParagraph"/>
        <w:numPr>
          <w:ilvl w:val="0"/>
          <w:numId w:val="31"/>
        </w:numPr>
        <w:spacing w:line="240" w:lineRule="auto"/>
        <w:ind w:left="777" w:hanging="357"/>
        <w:jc w:val="both"/>
        <w:rPr>
          <w:rFonts w:ascii="Arial" w:hAnsi="Arial" w:cs="Arial"/>
          <w:sz w:val="20"/>
          <w:szCs w:val="20"/>
        </w:rPr>
      </w:pPr>
      <w:r w:rsidRPr="00492B8B">
        <w:rPr>
          <w:rFonts w:ascii="Arial" w:hAnsi="Arial" w:cs="Arial"/>
          <w:sz w:val="20"/>
          <w:szCs w:val="20"/>
        </w:rPr>
        <w:t>H</w:t>
      </w:r>
      <w:r w:rsidRPr="009D3D0B">
        <w:rPr>
          <w:rFonts w:ascii="Arial" w:hAnsi="Arial" w:cs="Arial"/>
          <w:sz w:val="20"/>
          <w:szCs w:val="20"/>
          <w:vertAlign w:val="subscript"/>
        </w:rPr>
        <w:t>1</w:t>
      </w:r>
      <w:r w:rsidRPr="00492B8B">
        <w:rPr>
          <w:rFonts w:ascii="Arial" w:hAnsi="Arial" w:cs="Arial"/>
          <w:sz w:val="20"/>
          <w:szCs w:val="20"/>
        </w:rPr>
        <w:t>: The beta radiation exposure rate and gamma radiation exposure rate</w:t>
      </w:r>
      <w:r w:rsidR="00492B8B" w:rsidRPr="00492B8B">
        <w:rPr>
          <w:rFonts w:ascii="Arial" w:hAnsi="Arial" w:cs="Arial"/>
          <w:sz w:val="20"/>
          <w:szCs w:val="20"/>
        </w:rPr>
        <w:t xml:space="preserve"> exceeds the NBD </w:t>
      </w:r>
      <w:r w:rsidRPr="00492B8B">
        <w:rPr>
          <w:rFonts w:ascii="Arial" w:hAnsi="Arial" w:cs="Arial"/>
          <w:sz w:val="20"/>
          <w:szCs w:val="20"/>
        </w:rPr>
        <w:t>in PERKA BAPETEN number 17 of 2012 article 33.</w:t>
      </w:r>
    </w:p>
    <w:p w14:paraId="072573DF" w14:textId="353CA4F1" w:rsidR="001446CF" w:rsidRPr="009D3D0B" w:rsidRDefault="001446CF" w:rsidP="009D3D0B">
      <w:pPr>
        <w:jc w:val="both"/>
        <w:rPr>
          <w:rFonts w:ascii="Arial" w:hAnsi="Arial" w:cs="Arial"/>
        </w:rPr>
      </w:pPr>
      <w:r w:rsidRPr="009D3D0B">
        <w:rPr>
          <w:rFonts w:ascii="Arial" w:hAnsi="Arial" w:cs="Arial"/>
        </w:rPr>
        <w:t>Basic</w:t>
      </w:r>
      <w:r w:rsidR="00492B8B" w:rsidRPr="009D3D0B">
        <w:rPr>
          <w:rFonts w:ascii="Arial" w:hAnsi="Arial" w:cs="Arial"/>
        </w:rPr>
        <w:t xml:space="preserve"> deci</w:t>
      </w:r>
      <w:r w:rsidR="00297638">
        <w:rPr>
          <w:rFonts w:ascii="Arial" w:hAnsi="Arial" w:cs="Arial"/>
        </w:rPr>
        <w:t>s</w:t>
      </w:r>
      <w:r w:rsidR="00FA3851">
        <w:rPr>
          <w:rFonts w:ascii="Arial" w:hAnsi="Arial" w:cs="Arial"/>
        </w:rPr>
        <w:t>ion making in the t test are [17</w:t>
      </w:r>
      <w:r w:rsidR="00492B8B" w:rsidRPr="009D3D0B">
        <w:rPr>
          <w:rFonts w:ascii="Arial" w:hAnsi="Arial" w:cs="Arial"/>
        </w:rPr>
        <w:t>]</w:t>
      </w:r>
      <w:r w:rsidRPr="009D3D0B">
        <w:rPr>
          <w:rFonts w:ascii="Arial" w:hAnsi="Arial" w:cs="Arial"/>
        </w:rPr>
        <w:t>:</w:t>
      </w:r>
    </w:p>
    <w:p w14:paraId="79F4655F" w14:textId="09416E98" w:rsidR="009D3D0B" w:rsidRPr="009D3D0B" w:rsidRDefault="009D3D0B" w:rsidP="009D3D0B">
      <w:pPr>
        <w:pStyle w:val="ListParagraph"/>
        <w:numPr>
          <w:ilvl w:val="0"/>
          <w:numId w:val="32"/>
        </w:numPr>
        <w:spacing w:line="240" w:lineRule="auto"/>
        <w:jc w:val="both"/>
        <w:rPr>
          <w:rFonts w:ascii="Arial" w:hAnsi="Arial" w:cs="Arial"/>
          <w:sz w:val="20"/>
          <w:szCs w:val="20"/>
        </w:rPr>
      </w:pPr>
      <w:r w:rsidRPr="009D3D0B">
        <w:rPr>
          <w:rFonts w:ascii="Arial" w:hAnsi="Arial" w:cs="Arial"/>
          <w:sz w:val="20"/>
          <w:szCs w:val="20"/>
        </w:rPr>
        <w:t>If t-value &gt; t-table, then H0 is rejected.</w:t>
      </w:r>
    </w:p>
    <w:p w14:paraId="59320045" w14:textId="65927B0A" w:rsidR="009D3D0B" w:rsidRPr="009D3D0B" w:rsidRDefault="009D3D0B" w:rsidP="009D3D0B">
      <w:pPr>
        <w:pStyle w:val="ListParagraph"/>
        <w:numPr>
          <w:ilvl w:val="0"/>
          <w:numId w:val="32"/>
        </w:numPr>
        <w:spacing w:line="240" w:lineRule="auto"/>
        <w:jc w:val="both"/>
        <w:rPr>
          <w:rFonts w:ascii="Arial" w:hAnsi="Arial" w:cs="Arial"/>
          <w:sz w:val="20"/>
          <w:szCs w:val="20"/>
        </w:rPr>
      </w:pPr>
      <w:r w:rsidRPr="009D3D0B">
        <w:rPr>
          <w:rFonts w:ascii="Arial" w:hAnsi="Arial" w:cs="Arial"/>
          <w:sz w:val="20"/>
          <w:szCs w:val="20"/>
        </w:rPr>
        <w:t>If t-</w:t>
      </w:r>
      <w:r w:rsidR="005D6F17">
        <w:rPr>
          <w:rFonts w:ascii="Arial" w:hAnsi="Arial" w:cs="Arial"/>
          <w:sz w:val="20"/>
          <w:szCs w:val="20"/>
        </w:rPr>
        <w:t>value</w:t>
      </w:r>
      <w:r w:rsidRPr="009D3D0B">
        <w:rPr>
          <w:rFonts w:ascii="Arial" w:hAnsi="Arial" w:cs="Arial"/>
          <w:sz w:val="20"/>
          <w:szCs w:val="20"/>
        </w:rPr>
        <w:t xml:space="preserve"> &lt; t-table, then H0 is accepted.</w:t>
      </w:r>
    </w:p>
    <w:p w14:paraId="2BABF064" w14:textId="78211F74" w:rsidR="001446CF" w:rsidRDefault="009D3D0B" w:rsidP="009D3D0B">
      <w:pPr>
        <w:jc w:val="both"/>
        <w:rPr>
          <w:rFonts w:ascii="Arial" w:hAnsi="Arial" w:cs="Arial"/>
        </w:rPr>
      </w:pPr>
      <w:r>
        <w:rPr>
          <w:rFonts w:ascii="Arial" w:hAnsi="Arial" w:cs="Arial"/>
        </w:rPr>
        <w:t>Requirements of one sample t-</w:t>
      </w:r>
      <w:r w:rsidR="001446CF" w:rsidRPr="001446CF">
        <w:rPr>
          <w:rFonts w:ascii="Arial" w:hAnsi="Arial" w:cs="Arial"/>
        </w:rPr>
        <w:t>test is that the data is normally distributed, so it is necessary to do a normality test first with the following hypotheses</w:t>
      </w:r>
      <w:r>
        <w:rPr>
          <w:rFonts w:ascii="Arial" w:hAnsi="Arial" w:cs="Arial"/>
        </w:rPr>
        <w:t>:</w:t>
      </w:r>
    </w:p>
    <w:p w14:paraId="29C091A3" w14:textId="2A1A9491" w:rsidR="009D3D0B" w:rsidRPr="009D3D0B" w:rsidRDefault="009D3D0B" w:rsidP="009D3D0B">
      <w:pPr>
        <w:pStyle w:val="ListParagraph"/>
        <w:numPr>
          <w:ilvl w:val="0"/>
          <w:numId w:val="33"/>
        </w:numPr>
        <w:spacing w:line="240" w:lineRule="auto"/>
        <w:jc w:val="both"/>
        <w:rPr>
          <w:rFonts w:ascii="Arial" w:hAnsi="Arial" w:cs="Arial"/>
        </w:rPr>
      </w:pPr>
      <w:r w:rsidRPr="00492B8B">
        <w:rPr>
          <w:rFonts w:ascii="Arial" w:hAnsi="Arial" w:cs="Arial"/>
          <w:sz w:val="20"/>
          <w:szCs w:val="20"/>
        </w:rPr>
        <w:t>H</w:t>
      </w:r>
      <w:r w:rsidRPr="00492B8B">
        <w:rPr>
          <w:rFonts w:ascii="Arial" w:hAnsi="Arial" w:cs="Arial"/>
          <w:sz w:val="20"/>
          <w:szCs w:val="20"/>
          <w:vertAlign w:val="subscript"/>
        </w:rPr>
        <w:t>0</w:t>
      </w:r>
      <w:r w:rsidRPr="00492B8B">
        <w:rPr>
          <w:rFonts w:ascii="Arial" w:hAnsi="Arial" w:cs="Arial"/>
          <w:sz w:val="20"/>
          <w:szCs w:val="20"/>
        </w:rPr>
        <w:t>:</w:t>
      </w:r>
      <w:r>
        <w:rPr>
          <w:rFonts w:ascii="Arial" w:hAnsi="Arial" w:cs="Arial"/>
          <w:sz w:val="20"/>
          <w:szCs w:val="20"/>
        </w:rPr>
        <w:t xml:space="preserve"> Data is normally distributed.</w:t>
      </w:r>
    </w:p>
    <w:p w14:paraId="63AD5479" w14:textId="77777777" w:rsidR="009D3D0B" w:rsidRPr="009D3D0B" w:rsidRDefault="009D3D0B" w:rsidP="009D3D0B">
      <w:pPr>
        <w:pStyle w:val="ListParagraph"/>
        <w:numPr>
          <w:ilvl w:val="0"/>
          <w:numId w:val="33"/>
        </w:numPr>
        <w:spacing w:line="240" w:lineRule="auto"/>
        <w:jc w:val="both"/>
        <w:rPr>
          <w:rFonts w:ascii="Arial" w:hAnsi="Arial" w:cs="Arial"/>
        </w:rPr>
      </w:pPr>
      <w:r w:rsidRPr="00492B8B">
        <w:rPr>
          <w:rFonts w:ascii="Arial" w:hAnsi="Arial" w:cs="Arial"/>
          <w:sz w:val="20"/>
          <w:szCs w:val="20"/>
        </w:rPr>
        <w:t>H</w:t>
      </w:r>
      <w:r w:rsidRPr="009D3D0B">
        <w:rPr>
          <w:rFonts w:ascii="Arial" w:hAnsi="Arial" w:cs="Arial"/>
          <w:sz w:val="20"/>
          <w:szCs w:val="20"/>
          <w:vertAlign w:val="subscript"/>
        </w:rPr>
        <w:t>1</w:t>
      </w:r>
      <w:r w:rsidRPr="00492B8B">
        <w:rPr>
          <w:rFonts w:ascii="Arial" w:hAnsi="Arial" w:cs="Arial"/>
          <w:sz w:val="20"/>
          <w:szCs w:val="20"/>
        </w:rPr>
        <w:t>:</w:t>
      </w:r>
      <w:r>
        <w:rPr>
          <w:rFonts w:ascii="Arial" w:hAnsi="Arial" w:cs="Arial"/>
          <w:sz w:val="20"/>
          <w:szCs w:val="20"/>
        </w:rPr>
        <w:t xml:space="preserve"> Data is not normally distributed.</w:t>
      </w:r>
    </w:p>
    <w:p w14:paraId="37665D44" w14:textId="2D62F6F6" w:rsidR="001446CF" w:rsidRDefault="001446CF" w:rsidP="001446CF">
      <w:pPr>
        <w:jc w:val="both"/>
        <w:rPr>
          <w:rFonts w:ascii="Arial" w:hAnsi="Arial" w:cs="Arial"/>
        </w:rPr>
      </w:pPr>
      <w:r w:rsidRPr="009D3D0B">
        <w:rPr>
          <w:rFonts w:ascii="Arial" w:hAnsi="Arial" w:cs="Arial"/>
        </w:rPr>
        <w:t>Basic</w:t>
      </w:r>
      <w:r w:rsidR="009D3D0B">
        <w:rPr>
          <w:rFonts w:ascii="Arial" w:hAnsi="Arial" w:cs="Arial"/>
        </w:rPr>
        <w:t xml:space="preserve"> </w:t>
      </w:r>
      <w:r w:rsidRPr="001446CF">
        <w:rPr>
          <w:rFonts w:ascii="Arial" w:hAnsi="Arial" w:cs="Arial"/>
        </w:rPr>
        <w:t xml:space="preserve">decision making in the normality test </w:t>
      </w:r>
      <w:r w:rsidR="00FA3851">
        <w:rPr>
          <w:rFonts w:ascii="Arial" w:hAnsi="Arial" w:cs="Arial"/>
        </w:rPr>
        <w:t>are [17</w:t>
      </w:r>
      <w:r w:rsidR="009D3D0B">
        <w:rPr>
          <w:rFonts w:ascii="Arial" w:hAnsi="Arial" w:cs="Arial"/>
        </w:rPr>
        <w:t>]</w:t>
      </w:r>
      <w:r w:rsidRPr="001446CF">
        <w:rPr>
          <w:rFonts w:ascii="Arial" w:hAnsi="Arial" w:cs="Arial"/>
        </w:rPr>
        <w:t>:</w:t>
      </w:r>
    </w:p>
    <w:p w14:paraId="5D24E1AB" w14:textId="2B8243AE" w:rsidR="009D3D0B" w:rsidRPr="008D2590" w:rsidRDefault="009D3D0B" w:rsidP="008D2590">
      <w:pPr>
        <w:pStyle w:val="ListParagraph"/>
        <w:numPr>
          <w:ilvl w:val="0"/>
          <w:numId w:val="34"/>
        </w:numPr>
        <w:spacing w:line="240" w:lineRule="auto"/>
        <w:ind w:left="714" w:hanging="357"/>
        <w:jc w:val="both"/>
        <w:rPr>
          <w:rFonts w:ascii="Arial" w:hAnsi="Arial" w:cs="Arial"/>
          <w:sz w:val="20"/>
          <w:szCs w:val="20"/>
        </w:rPr>
      </w:pPr>
      <w:r w:rsidRPr="008D2590">
        <w:rPr>
          <w:rFonts w:ascii="Arial" w:hAnsi="Arial" w:cs="Arial"/>
          <w:sz w:val="20"/>
          <w:szCs w:val="20"/>
        </w:rPr>
        <w:t>If sig &gt; .05, then H0 is accepted.</w:t>
      </w:r>
    </w:p>
    <w:p w14:paraId="12A3A875" w14:textId="55488772" w:rsidR="009D3D0B" w:rsidRPr="008D2590" w:rsidRDefault="009D3D0B" w:rsidP="008D2590">
      <w:pPr>
        <w:pStyle w:val="ListParagraph"/>
        <w:numPr>
          <w:ilvl w:val="0"/>
          <w:numId w:val="34"/>
        </w:numPr>
        <w:spacing w:line="240" w:lineRule="auto"/>
        <w:ind w:left="714" w:hanging="357"/>
        <w:jc w:val="both"/>
        <w:rPr>
          <w:rFonts w:ascii="Arial" w:hAnsi="Arial" w:cs="Arial"/>
          <w:sz w:val="20"/>
          <w:szCs w:val="20"/>
        </w:rPr>
      </w:pPr>
      <w:r w:rsidRPr="008D2590">
        <w:rPr>
          <w:rFonts w:ascii="Arial" w:hAnsi="Arial" w:cs="Arial"/>
          <w:sz w:val="20"/>
          <w:szCs w:val="20"/>
        </w:rPr>
        <w:t>If sig &lt; .05, the H</w:t>
      </w:r>
      <w:r w:rsidR="008D2590" w:rsidRPr="008D2590">
        <w:rPr>
          <w:rFonts w:ascii="Arial" w:hAnsi="Arial" w:cs="Arial"/>
          <w:sz w:val="20"/>
          <w:szCs w:val="20"/>
        </w:rPr>
        <w:t>0 is rejected.</w:t>
      </w:r>
    </w:p>
    <w:p w14:paraId="4E5A1892" w14:textId="26A76658" w:rsidR="001446CF" w:rsidRPr="001446CF" w:rsidRDefault="001446CF" w:rsidP="001446CF">
      <w:pPr>
        <w:jc w:val="both"/>
        <w:rPr>
          <w:rFonts w:ascii="Arial" w:hAnsi="Arial" w:cs="Arial"/>
        </w:rPr>
      </w:pPr>
    </w:p>
    <w:p w14:paraId="6CD13527" w14:textId="52DF22D8" w:rsidR="00E36F0B" w:rsidRDefault="00E36F0B" w:rsidP="001446CF">
      <w:pPr>
        <w:jc w:val="both"/>
        <w:rPr>
          <w:rFonts w:ascii="Arial" w:hAnsi="Arial" w:cs="Arial"/>
        </w:rPr>
        <w:sectPr w:rsidR="00E36F0B" w:rsidSect="00E36F0B">
          <w:type w:val="continuous"/>
          <w:pgSz w:w="12240" w:h="15840"/>
          <w:pgMar w:top="1440" w:right="2016" w:bottom="2016" w:left="2016" w:header="720" w:footer="1123" w:gutter="0"/>
          <w:cols w:num="2" w:space="720"/>
          <w:docGrid w:linePitch="272"/>
        </w:sectPr>
      </w:pPr>
    </w:p>
    <w:p w14:paraId="7766D2E3" w14:textId="77777777" w:rsidR="00C4555D" w:rsidRPr="00FB3A86" w:rsidRDefault="00C4555D" w:rsidP="003C6851">
      <w:pPr>
        <w:pStyle w:val="Body"/>
        <w:spacing w:after="0"/>
        <w:rPr>
          <w:rFonts w:ascii="Arial" w:hAnsi="Arial" w:cs="Arial"/>
        </w:rPr>
      </w:pPr>
    </w:p>
    <w:p w14:paraId="4AAA9BA7" w14:textId="00A4C2A6" w:rsidR="00AB3AE5" w:rsidRDefault="00AB3AE5" w:rsidP="00441B6F">
      <w:pPr>
        <w:pStyle w:val="Head1"/>
        <w:spacing w:after="0"/>
        <w:jc w:val="both"/>
        <w:rPr>
          <w:rFonts w:ascii="Arial" w:hAnsi="Arial" w:cs="Arial"/>
        </w:rPr>
        <w:sectPr w:rsidR="00AB3AE5" w:rsidSect="00C04312">
          <w:type w:val="continuous"/>
          <w:pgSz w:w="12240" w:h="15840"/>
          <w:pgMar w:top="1440" w:right="2016" w:bottom="2016" w:left="2016" w:header="720" w:footer="1123" w:gutter="0"/>
          <w:cols w:space="720"/>
          <w:docGrid w:linePitch="272"/>
        </w:sectPr>
      </w:pPr>
    </w:p>
    <w:p w14:paraId="2B7B0A35" w14:textId="4BCC18DF" w:rsidR="00790ADA" w:rsidRDefault="009D7462" w:rsidP="00441B6F">
      <w:pPr>
        <w:pStyle w:val="Head1"/>
        <w:spacing w:after="0"/>
        <w:jc w:val="both"/>
        <w:rPr>
          <w:rFonts w:ascii="Arial" w:hAnsi="Arial" w:cs="Arial"/>
        </w:rPr>
      </w:pPr>
      <w:r>
        <w:rPr>
          <w:rFonts w:ascii="Arial" w:hAnsi="Arial" w:cs="Arial"/>
        </w:rPr>
        <w:t xml:space="preserve">3. </w:t>
      </w:r>
      <w:r w:rsidR="00000F8F">
        <w:rPr>
          <w:rFonts w:ascii="Arial" w:hAnsi="Arial" w:cs="Arial"/>
        </w:rPr>
        <w:t>results and discussion</w:t>
      </w:r>
    </w:p>
    <w:p w14:paraId="39BBF8A9" w14:textId="77777777" w:rsidR="008D2590" w:rsidRPr="00FB3A86" w:rsidRDefault="008D2590" w:rsidP="00441B6F">
      <w:pPr>
        <w:pStyle w:val="Head1"/>
        <w:spacing w:after="0"/>
        <w:jc w:val="both"/>
        <w:rPr>
          <w:rFonts w:ascii="Arial" w:hAnsi="Arial" w:cs="Arial"/>
        </w:rPr>
      </w:pPr>
    </w:p>
    <w:p w14:paraId="086E3916" w14:textId="77777777" w:rsidR="009D6F01" w:rsidRDefault="009D6F01" w:rsidP="00441B6F">
      <w:pPr>
        <w:pStyle w:val="Body"/>
        <w:spacing w:after="0"/>
        <w:rPr>
          <w:rFonts w:ascii="Arial" w:hAnsi="Arial" w:cs="Arial"/>
        </w:rPr>
        <w:sectPr w:rsidR="009D6F01" w:rsidSect="00AB3AE5">
          <w:type w:val="continuous"/>
          <w:pgSz w:w="12240" w:h="15840"/>
          <w:pgMar w:top="1440" w:right="2016" w:bottom="2016" w:left="2016" w:header="720" w:footer="1123" w:gutter="0"/>
          <w:cols w:space="720"/>
          <w:docGrid w:linePitch="272"/>
        </w:sectPr>
      </w:pPr>
    </w:p>
    <w:p w14:paraId="26BD82C8" w14:textId="128160E0" w:rsidR="0000265C" w:rsidRDefault="0000265C" w:rsidP="00AB3AE5">
      <w:pPr>
        <w:pStyle w:val="Body"/>
        <w:spacing w:after="0"/>
        <w:rPr>
          <w:rFonts w:ascii="Arial" w:hAnsi="Arial" w:cs="Arial"/>
        </w:rPr>
      </w:pPr>
      <w:r w:rsidRPr="0000265C">
        <w:rPr>
          <w:rFonts w:ascii="Arial" w:hAnsi="Arial" w:cs="Arial"/>
        </w:rPr>
        <w:t>The measurement results of gamma radiation exposure rate and beta radiation exposure rate are shown in Figure 1</w:t>
      </w:r>
      <w:r>
        <w:rPr>
          <w:rFonts w:ascii="Arial" w:hAnsi="Arial" w:cs="Arial"/>
        </w:rPr>
        <w:t xml:space="preserve"> for measurement in </w:t>
      </w:r>
      <w:proofErr w:type="spellStart"/>
      <w:r>
        <w:rPr>
          <w:rFonts w:ascii="Arial" w:hAnsi="Arial" w:cs="Arial"/>
        </w:rPr>
        <w:t>hotlab</w:t>
      </w:r>
      <w:proofErr w:type="spellEnd"/>
      <w:r>
        <w:rPr>
          <w:rFonts w:ascii="Arial" w:hAnsi="Arial" w:cs="Arial"/>
        </w:rPr>
        <w:t xml:space="preserve"> room and Figure 2 for measurement in injection room</w:t>
      </w:r>
      <w:r w:rsidRPr="0000265C">
        <w:rPr>
          <w:rFonts w:ascii="Arial" w:hAnsi="Arial" w:cs="Arial"/>
        </w:rPr>
        <w:t>.</w:t>
      </w:r>
    </w:p>
    <w:p w14:paraId="3317B85C" w14:textId="3D8267D4" w:rsidR="00502516" w:rsidRDefault="00DC4F2C" w:rsidP="00AB3AE5">
      <w:pPr>
        <w:pStyle w:val="Body"/>
        <w:spacing w:after="0"/>
        <w:jc w:val="center"/>
        <w:rPr>
          <w:rFonts w:ascii="Arial" w:hAnsi="Arial" w:cs="Arial"/>
        </w:rPr>
      </w:pPr>
      <w:r>
        <w:rPr>
          <w:noProof/>
        </w:rPr>
        <w:drawing>
          <wp:inline distT="0" distB="0" distL="0" distR="0" wp14:anchorId="4ED5FDDE" wp14:editId="106594FF">
            <wp:extent cx="2471401" cy="1466490"/>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139" t="37977" r="50679" b="14339"/>
                    <a:stretch/>
                  </pic:blipFill>
                  <pic:spPr bwMode="auto">
                    <a:xfrm>
                      <a:off x="0" y="0"/>
                      <a:ext cx="2471401" cy="1466490"/>
                    </a:xfrm>
                    <a:prstGeom prst="rect">
                      <a:avLst/>
                    </a:prstGeom>
                    <a:ln>
                      <a:noFill/>
                    </a:ln>
                    <a:extLst>
                      <a:ext uri="{53640926-AAD7-44D8-BBD7-CCE9431645EC}">
                        <a14:shadowObscured xmlns:a14="http://schemas.microsoft.com/office/drawing/2010/main"/>
                      </a:ext>
                    </a:extLst>
                  </pic:spPr>
                </pic:pic>
              </a:graphicData>
            </a:graphic>
          </wp:inline>
        </w:drawing>
      </w:r>
    </w:p>
    <w:p w14:paraId="0545B268" w14:textId="77777777" w:rsidR="00D43DBA" w:rsidRDefault="00D43DBA" w:rsidP="00AB3AE5">
      <w:pPr>
        <w:pStyle w:val="Body"/>
        <w:spacing w:after="0"/>
        <w:jc w:val="center"/>
        <w:rPr>
          <w:rFonts w:ascii="Arial" w:hAnsi="Arial" w:cs="Arial"/>
          <w:b/>
        </w:rPr>
      </w:pPr>
    </w:p>
    <w:p w14:paraId="23C97D01" w14:textId="52EA6586" w:rsidR="0000265C" w:rsidRDefault="0000265C" w:rsidP="00AB3AE5">
      <w:pPr>
        <w:pStyle w:val="Body"/>
        <w:spacing w:after="0"/>
        <w:jc w:val="center"/>
        <w:rPr>
          <w:rFonts w:ascii="Arial" w:hAnsi="Arial" w:cs="Arial"/>
          <w:b/>
        </w:rPr>
      </w:pPr>
      <w:r w:rsidRPr="00D43DBA">
        <w:rPr>
          <w:rFonts w:ascii="Arial" w:hAnsi="Arial" w:cs="Arial"/>
          <w:b/>
        </w:rPr>
        <w:t xml:space="preserve">Fig. 1. </w:t>
      </w:r>
      <w:r w:rsidR="00D43DBA" w:rsidRPr="00D43DBA">
        <w:rPr>
          <w:rFonts w:ascii="Arial" w:hAnsi="Arial" w:cs="Arial"/>
          <w:b/>
        </w:rPr>
        <w:t xml:space="preserve">Graph of the average measured radiation exposure rate in the </w:t>
      </w:r>
      <w:proofErr w:type="spellStart"/>
      <w:r w:rsidR="00D43DBA" w:rsidRPr="00D43DBA">
        <w:rPr>
          <w:rFonts w:ascii="Arial" w:hAnsi="Arial" w:cs="Arial"/>
          <w:b/>
        </w:rPr>
        <w:t>hotlab</w:t>
      </w:r>
      <w:proofErr w:type="spellEnd"/>
      <w:r w:rsidR="00D43DBA" w:rsidRPr="00D43DBA">
        <w:rPr>
          <w:rFonts w:ascii="Arial" w:hAnsi="Arial" w:cs="Arial"/>
          <w:b/>
        </w:rPr>
        <w:t xml:space="preserve"> room.</w:t>
      </w:r>
    </w:p>
    <w:p w14:paraId="18341256" w14:textId="77777777" w:rsidR="00D43DBA" w:rsidRDefault="00D43DBA" w:rsidP="00AB3AE5">
      <w:pPr>
        <w:pStyle w:val="Body"/>
        <w:spacing w:after="0"/>
        <w:jc w:val="center"/>
        <w:rPr>
          <w:rFonts w:ascii="Arial" w:hAnsi="Arial" w:cs="Arial"/>
          <w:b/>
        </w:rPr>
      </w:pPr>
    </w:p>
    <w:p w14:paraId="09F6C493" w14:textId="6152DFFF" w:rsidR="00542ECE" w:rsidRPr="00542ECE" w:rsidRDefault="00542ECE" w:rsidP="00AB3AE5">
      <w:pPr>
        <w:pStyle w:val="Body"/>
        <w:spacing w:after="0"/>
        <w:rPr>
          <w:rFonts w:ascii="Arial" w:hAnsi="Arial" w:cs="Arial"/>
        </w:rPr>
      </w:pPr>
      <w:r>
        <w:rPr>
          <w:rFonts w:ascii="Arial" w:hAnsi="Arial" w:cs="Arial"/>
        </w:rPr>
        <w:t xml:space="preserve">Based on the graph in Figure </w:t>
      </w:r>
      <w:r w:rsidRPr="00542ECE">
        <w:rPr>
          <w:rFonts w:ascii="Arial" w:hAnsi="Arial" w:cs="Arial"/>
        </w:rPr>
        <w:t xml:space="preserve">1, it can be seen that the highest measured radiation exposure rate is found on the work table, which </w:t>
      </w:r>
      <w:r w:rsidR="0050586B">
        <w:rPr>
          <w:rFonts w:ascii="Arial" w:hAnsi="Arial" w:cs="Arial"/>
        </w:rPr>
        <w:t>are</w:t>
      </w:r>
      <w:r w:rsidRPr="00542ECE">
        <w:rPr>
          <w:rFonts w:ascii="Arial" w:hAnsi="Arial" w:cs="Arial"/>
        </w:rPr>
        <w:t xml:space="preserve"> 2.435</w:t>
      </w:r>
      <w:r>
        <w:rPr>
          <w:rFonts w:ascii="Arial" w:hAnsi="Arial" w:cs="Arial"/>
        </w:rPr>
        <w:t xml:space="preserve"> </w:t>
      </w:r>
      <m:oMath>
        <m:r>
          <m:rPr>
            <m:sty m:val="p"/>
          </m:rPr>
          <w:rPr>
            <w:rFonts w:ascii="Cambria Math" w:hAnsi="Cambria Math"/>
            <w:szCs w:val="24"/>
          </w:rPr>
          <m:t>μSv/h</m:t>
        </m:r>
      </m:oMath>
      <w:r>
        <w:rPr>
          <w:rFonts w:ascii="Arial" w:hAnsi="Arial" w:cs="Arial"/>
        </w:rPr>
        <w:t xml:space="preserve"> for </w:t>
      </w:r>
      <w:r w:rsidRPr="00542ECE">
        <w:rPr>
          <w:rFonts w:ascii="Arial" w:hAnsi="Arial" w:cs="Arial"/>
        </w:rPr>
        <w:t>gamma radiation</w:t>
      </w:r>
      <w:r>
        <w:rPr>
          <w:rFonts w:ascii="Arial" w:hAnsi="Arial" w:cs="Arial"/>
        </w:rPr>
        <w:t xml:space="preserve"> exposure rate</w:t>
      </w:r>
      <w:r w:rsidRPr="00542ECE">
        <w:rPr>
          <w:rFonts w:ascii="Arial" w:hAnsi="Arial" w:cs="Arial"/>
        </w:rPr>
        <w:t xml:space="preserve"> and 6.654</w:t>
      </w:r>
      <w:r>
        <w:rPr>
          <w:rFonts w:ascii="Arial" w:hAnsi="Arial" w:cs="Arial"/>
        </w:rPr>
        <w:t xml:space="preserve"> </w:t>
      </w:r>
      <m:oMath>
        <m:r>
          <m:rPr>
            <m:sty m:val="p"/>
          </m:rPr>
          <w:rPr>
            <w:rFonts w:ascii="Cambria Math" w:hAnsi="Cambria Math"/>
            <w:szCs w:val="24"/>
          </w:rPr>
          <m:t>μSv/h</m:t>
        </m:r>
      </m:oMath>
      <w:r>
        <w:rPr>
          <w:rFonts w:ascii="Arial" w:hAnsi="Arial" w:cs="Arial"/>
        </w:rPr>
        <w:t xml:space="preserve"> for </w:t>
      </w:r>
      <w:r w:rsidRPr="00542ECE">
        <w:rPr>
          <w:rFonts w:ascii="Arial" w:hAnsi="Arial" w:cs="Arial"/>
        </w:rPr>
        <w:t>beta radiation</w:t>
      </w:r>
      <w:r>
        <w:rPr>
          <w:rFonts w:ascii="Arial" w:hAnsi="Arial" w:cs="Arial"/>
        </w:rPr>
        <w:t xml:space="preserve"> exposure rate</w:t>
      </w:r>
      <w:r w:rsidRPr="00542ECE">
        <w:rPr>
          <w:rFonts w:ascii="Arial" w:hAnsi="Arial" w:cs="Arial"/>
        </w:rPr>
        <w:t>.</w:t>
      </w:r>
    </w:p>
    <w:p w14:paraId="6AF4FBB6" w14:textId="59E92C3C" w:rsidR="00D43DBA" w:rsidRPr="00FA3851" w:rsidRDefault="00DC4F2C" w:rsidP="00FA3851">
      <w:pPr>
        <w:pStyle w:val="Body"/>
        <w:spacing w:after="0"/>
        <w:jc w:val="center"/>
        <w:rPr>
          <w:rFonts w:ascii="Arial" w:hAnsi="Arial" w:cs="Arial"/>
        </w:rPr>
      </w:pPr>
      <w:r>
        <w:rPr>
          <w:noProof/>
        </w:rPr>
        <w:drawing>
          <wp:inline distT="0" distB="0" distL="0" distR="0" wp14:anchorId="33B569DC" wp14:editId="7D470558">
            <wp:extent cx="2370762" cy="14439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9633" t="37973" r="25507" b="13431"/>
                    <a:stretch/>
                  </pic:blipFill>
                  <pic:spPr bwMode="auto">
                    <a:xfrm>
                      <a:off x="0" y="0"/>
                      <a:ext cx="2436274" cy="1483893"/>
                    </a:xfrm>
                    <a:prstGeom prst="rect">
                      <a:avLst/>
                    </a:prstGeom>
                    <a:ln>
                      <a:noFill/>
                    </a:ln>
                    <a:extLst>
                      <a:ext uri="{53640926-AAD7-44D8-BBD7-CCE9431645EC}">
                        <a14:shadowObscured xmlns:a14="http://schemas.microsoft.com/office/drawing/2010/main"/>
                      </a:ext>
                    </a:extLst>
                  </pic:spPr>
                </pic:pic>
              </a:graphicData>
            </a:graphic>
          </wp:inline>
        </w:drawing>
      </w:r>
    </w:p>
    <w:p w14:paraId="786F9005" w14:textId="28A4EB72" w:rsidR="00D43DBA" w:rsidRDefault="00D43DBA" w:rsidP="00FA3851">
      <w:pPr>
        <w:pStyle w:val="Body"/>
        <w:spacing w:after="0"/>
        <w:jc w:val="center"/>
        <w:rPr>
          <w:rFonts w:ascii="Arial" w:hAnsi="Arial" w:cs="Arial"/>
          <w:b/>
        </w:rPr>
      </w:pPr>
      <w:r>
        <w:rPr>
          <w:rFonts w:ascii="Arial" w:hAnsi="Arial" w:cs="Arial"/>
          <w:b/>
        </w:rPr>
        <w:t>Fig. 2</w:t>
      </w:r>
      <w:r w:rsidRPr="00D43DBA">
        <w:rPr>
          <w:rFonts w:ascii="Arial" w:hAnsi="Arial" w:cs="Arial"/>
          <w:b/>
        </w:rPr>
        <w:t xml:space="preserve">. Graph of the average measured radiation exposure rate in the </w:t>
      </w:r>
      <w:r>
        <w:rPr>
          <w:rFonts w:ascii="Arial" w:hAnsi="Arial" w:cs="Arial"/>
          <w:b/>
        </w:rPr>
        <w:t>injection</w:t>
      </w:r>
      <w:r w:rsidRPr="00D43DBA">
        <w:rPr>
          <w:rFonts w:ascii="Arial" w:hAnsi="Arial" w:cs="Arial"/>
          <w:b/>
        </w:rPr>
        <w:t xml:space="preserve"> room.</w:t>
      </w:r>
    </w:p>
    <w:p w14:paraId="4368308C" w14:textId="77777777" w:rsidR="00FA3851" w:rsidRPr="00FA3851" w:rsidRDefault="00FA3851" w:rsidP="00FA3851">
      <w:pPr>
        <w:pStyle w:val="Body"/>
        <w:spacing w:after="0"/>
        <w:jc w:val="center"/>
        <w:rPr>
          <w:rFonts w:ascii="Arial" w:hAnsi="Arial" w:cs="Arial"/>
          <w:b/>
        </w:rPr>
      </w:pPr>
    </w:p>
    <w:p w14:paraId="4DDE287F" w14:textId="19C4EC9F" w:rsidR="00502516" w:rsidRDefault="00542ECE" w:rsidP="00AB3AE5">
      <w:pPr>
        <w:pStyle w:val="Body"/>
        <w:spacing w:after="0"/>
        <w:rPr>
          <w:rFonts w:ascii="Arial" w:hAnsi="Arial" w:cs="Arial"/>
        </w:rPr>
      </w:pPr>
      <w:r>
        <w:rPr>
          <w:rFonts w:ascii="Arial" w:hAnsi="Arial" w:cs="Arial"/>
        </w:rPr>
        <w:t>Based on the graph in Figure 2</w:t>
      </w:r>
      <w:r w:rsidRPr="00542ECE">
        <w:rPr>
          <w:rFonts w:ascii="Arial" w:hAnsi="Arial" w:cs="Arial"/>
        </w:rPr>
        <w:t xml:space="preserve">, it can be seen that the highest measured radiation exposure rate is found on the </w:t>
      </w:r>
      <w:r>
        <w:rPr>
          <w:rFonts w:ascii="Arial" w:hAnsi="Arial" w:cs="Arial"/>
        </w:rPr>
        <w:t>patient’s chair</w:t>
      </w:r>
      <w:r w:rsidRPr="00542ECE">
        <w:rPr>
          <w:rFonts w:ascii="Arial" w:hAnsi="Arial" w:cs="Arial"/>
        </w:rPr>
        <w:t xml:space="preserve">, which </w:t>
      </w:r>
      <w:r w:rsidR="0050586B">
        <w:rPr>
          <w:rFonts w:ascii="Arial" w:hAnsi="Arial" w:cs="Arial"/>
        </w:rPr>
        <w:t>are</w:t>
      </w:r>
      <w:r w:rsidRPr="00542ECE">
        <w:rPr>
          <w:rFonts w:ascii="Arial" w:hAnsi="Arial" w:cs="Arial"/>
        </w:rPr>
        <w:t xml:space="preserve"> </w:t>
      </w:r>
      <w:r>
        <w:rPr>
          <w:rFonts w:ascii="Arial" w:hAnsi="Arial" w:cs="Arial"/>
        </w:rPr>
        <w:t xml:space="preserve">1.872 </w:t>
      </w:r>
      <m:oMath>
        <m:r>
          <m:rPr>
            <m:sty m:val="p"/>
          </m:rPr>
          <w:rPr>
            <w:rFonts w:ascii="Cambria Math" w:hAnsi="Cambria Math"/>
            <w:szCs w:val="24"/>
          </w:rPr>
          <m:t>μSv/h</m:t>
        </m:r>
      </m:oMath>
      <w:r>
        <w:rPr>
          <w:rFonts w:ascii="Arial" w:hAnsi="Arial" w:cs="Arial"/>
        </w:rPr>
        <w:t xml:space="preserve"> for </w:t>
      </w:r>
      <w:r w:rsidRPr="00542ECE">
        <w:rPr>
          <w:rFonts w:ascii="Arial" w:hAnsi="Arial" w:cs="Arial"/>
        </w:rPr>
        <w:t>gamma radiation</w:t>
      </w:r>
      <w:r>
        <w:rPr>
          <w:rFonts w:ascii="Arial" w:hAnsi="Arial" w:cs="Arial"/>
        </w:rPr>
        <w:t xml:space="preserve"> exposure rate</w:t>
      </w:r>
      <w:r w:rsidRPr="00542ECE">
        <w:rPr>
          <w:rFonts w:ascii="Arial" w:hAnsi="Arial" w:cs="Arial"/>
        </w:rPr>
        <w:t xml:space="preserve"> and </w:t>
      </w:r>
      <w:r>
        <w:rPr>
          <w:rFonts w:ascii="Arial" w:hAnsi="Arial" w:cs="Arial"/>
        </w:rPr>
        <w:t xml:space="preserve">4.537 </w:t>
      </w:r>
      <m:oMath>
        <m:r>
          <m:rPr>
            <m:sty m:val="p"/>
          </m:rPr>
          <w:rPr>
            <w:rFonts w:ascii="Cambria Math" w:hAnsi="Cambria Math"/>
            <w:szCs w:val="24"/>
          </w:rPr>
          <m:t>μSv/h</m:t>
        </m:r>
      </m:oMath>
      <w:r>
        <w:rPr>
          <w:rFonts w:ascii="Arial" w:hAnsi="Arial" w:cs="Arial"/>
        </w:rPr>
        <w:t xml:space="preserve"> for </w:t>
      </w:r>
      <w:r w:rsidRPr="00542ECE">
        <w:rPr>
          <w:rFonts w:ascii="Arial" w:hAnsi="Arial" w:cs="Arial"/>
        </w:rPr>
        <w:t>beta radiation</w:t>
      </w:r>
      <w:r>
        <w:rPr>
          <w:rFonts w:ascii="Arial" w:hAnsi="Arial" w:cs="Arial"/>
        </w:rPr>
        <w:t xml:space="preserve"> exposure rate</w:t>
      </w:r>
      <w:r w:rsidRPr="00542ECE">
        <w:rPr>
          <w:rFonts w:ascii="Arial" w:hAnsi="Arial" w:cs="Arial"/>
        </w:rPr>
        <w:t>.</w:t>
      </w:r>
    </w:p>
    <w:p w14:paraId="23B72E2F" w14:textId="77777777" w:rsidR="00D43DBA" w:rsidRDefault="00D43DBA" w:rsidP="00AB3AE5">
      <w:pPr>
        <w:pStyle w:val="Body"/>
        <w:spacing w:after="0"/>
        <w:rPr>
          <w:rFonts w:ascii="Arial" w:hAnsi="Arial" w:cs="Arial"/>
        </w:rPr>
      </w:pPr>
    </w:p>
    <w:p w14:paraId="13C4EEF7" w14:textId="144A7B74" w:rsidR="00145C09" w:rsidRDefault="0051163C" w:rsidP="00AB3AE5">
      <w:pPr>
        <w:pStyle w:val="Body"/>
        <w:spacing w:after="0"/>
        <w:rPr>
          <w:rFonts w:ascii="Arial" w:hAnsi="Arial" w:cs="Arial"/>
          <w:b/>
        </w:rPr>
      </w:pPr>
      <w:r w:rsidRPr="0051163C">
        <w:rPr>
          <w:rFonts w:ascii="Arial" w:hAnsi="Arial" w:cs="Arial"/>
        </w:rPr>
        <w:t>The meas</w:t>
      </w:r>
      <w:r>
        <w:rPr>
          <w:rFonts w:ascii="Arial" w:hAnsi="Arial" w:cs="Arial"/>
        </w:rPr>
        <w:t xml:space="preserve">ured radiation exposure rate </w:t>
      </w:r>
      <w:r w:rsidRPr="0051163C">
        <w:rPr>
          <w:rFonts w:ascii="Arial" w:hAnsi="Arial" w:cs="Arial"/>
        </w:rPr>
        <w:t xml:space="preserve">then used to find the actual radiation exposure rate. The </w:t>
      </w:r>
      <w:r>
        <w:rPr>
          <w:rFonts w:ascii="Arial" w:hAnsi="Arial" w:cs="Arial"/>
        </w:rPr>
        <w:t>calculation results</w:t>
      </w:r>
      <w:r w:rsidRPr="0051163C">
        <w:rPr>
          <w:rFonts w:ascii="Arial" w:hAnsi="Arial" w:cs="Arial"/>
        </w:rPr>
        <w:t xml:space="preserve"> of the actual gamma radiation exposure rate and the actual beta radiation exposure rate </w:t>
      </w:r>
      <w:r>
        <w:rPr>
          <w:rFonts w:ascii="Arial" w:hAnsi="Arial" w:cs="Arial"/>
        </w:rPr>
        <w:t>are shown</w:t>
      </w:r>
      <w:r w:rsidR="00145C09">
        <w:rPr>
          <w:rFonts w:ascii="Arial" w:hAnsi="Arial" w:cs="Arial"/>
        </w:rPr>
        <w:t xml:space="preserve"> in Table 1.</w:t>
      </w:r>
      <w:r w:rsidR="009542E4">
        <w:rPr>
          <w:rFonts w:ascii="Arial" w:hAnsi="Arial" w:cs="Arial"/>
          <w:b/>
        </w:rPr>
        <w:t xml:space="preserve"> </w:t>
      </w:r>
    </w:p>
    <w:p w14:paraId="32B65CB7" w14:textId="77777777" w:rsidR="0050586B" w:rsidRDefault="0050586B" w:rsidP="00AB3AE5">
      <w:pPr>
        <w:pStyle w:val="Body"/>
        <w:spacing w:after="0"/>
        <w:rPr>
          <w:rFonts w:ascii="Arial" w:hAnsi="Arial" w:cs="Arial"/>
          <w:b/>
        </w:rPr>
      </w:pPr>
    </w:p>
    <w:p w14:paraId="079B0399" w14:textId="77777777" w:rsidR="0050586B" w:rsidRDefault="0050586B" w:rsidP="00AB3AE5">
      <w:pPr>
        <w:pStyle w:val="Body"/>
        <w:spacing w:after="0"/>
        <w:rPr>
          <w:rFonts w:ascii="Arial" w:hAnsi="Arial" w:cs="Arial"/>
          <w:b/>
        </w:rPr>
        <w:sectPr w:rsidR="0050586B" w:rsidSect="00602394">
          <w:type w:val="continuous"/>
          <w:pgSz w:w="12240" w:h="15840"/>
          <w:pgMar w:top="1440" w:right="2016" w:bottom="2016" w:left="2016" w:header="720" w:footer="1123" w:gutter="0"/>
          <w:cols w:num="2" w:space="720"/>
          <w:docGrid w:linePitch="272"/>
        </w:sectPr>
      </w:pPr>
    </w:p>
    <w:p w14:paraId="574D0B50" w14:textId="69156D0E" w:rsidR="00145C09" w:rsidRDefault="00145C09" w:rsidP="00145C09">
      <w:pPr>
        <w:pStyle w:val="Body"/>
        <w:spacing w:after="0"/>
        <w:jc w:val="center"/>
        <w:rPr>
          <w:rFonts w:ascii="Arial" w:hAnsi="Arial" w:cs="Arial"/>
          <w:b/>
        </w:rPr>
      </w:pPr>
      <w:r w:rsidRPr="006675E1">
        <w:rPr>
          <w:rFonts w:ascii="Arial" w:hAnsi="Arial" w:cs="Arial"/>
          <w:b/>
        </w:rPr>
        <w:t>Table 1. The actual gamma radiation exposure rate and the actu</w:t>
      </w:r>
      <w:r>
        <w:rPr>
          <w:rFonts w:ascii="Arial" w:hAnsi="Arial" w:cs="Arial"/>
          <w:b/>
        </w:rPr>
        <w:t>al beta radiation exposure rate.</w:t>
      </w:r>
    </w:p>
    <w:p w14:paraId="55014758" w14:textId="77777777" w:rsidR="00145C09" w:rsidRDefault="00145C09" w:rsidP="00145C09">
      <w:pPr>
        <w:pStyle w:val="Body"/>
        <w:spacing w:after="0"/>
        <w:jc w:val="center"/>
        <w:rPr>
          <w:rFonts w:ascii="Arial" w:hAnsi="Arial" w:cs="Arial"/>
          <w:b/>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261"/>
        <w:gridCol w:w="2835"/>
      </w:tblGrid>
      <w:tr w:rsidR="00145C09" w:rsidRPr="001825CA" w14:paraId="04C00539" w14:textId="77777777" w:rsidTr="00A76CE4">
        <w:tc>
          <w:tcPr>
            <w:tcW w:w="2268" w:type="dxa"/>
          </w:tcPr>
          <w:p w14:paraId="7C5C9899" w14:textId="77777777" w:rsidR="00145C09" w:rsidRPr="001825CA" w:rsidRDefault="00145C09" w:rsidP="00A76CE4">
            <w:pPr>
              <w:pStyle w:val="ListParagraph"/>
              <w:tabs>
                <w:tab w:val="left" w:pos="1552"/>
              </w:tabs>
              <w:spacing w:line="240" w:lineRule="auto"/>
              <w:ind w:left="0"/>
              <w:jc w:val="center"/>
              <w:rPr>
                <w:rFonts w:ascii="Arial" w:hAnsi="Arial" w:cs="Arial"/>
                <w:b/>
                <w:sz w:val="20"/>
                <w:szCs w:val="20"/>
              </w:rPr>
            </w:pPr>
            <w:r w:rsidRPr="001825CA">
              <w:rPr>
                <w:rFonts w:ascii="Arial" w:hAnsi="Arial" w:cs="Arial"/>
                <w:b/>
                <w:sz w:val="20"/>
                <w:szCs w:val="20"/>
              </w:rPr>
              <w:t>Measurement point</w:t>
            </w:r>
          </w:p>
        </w:tc>
        <w:tc>
          <w:tcPr>
            <w:tcW w:w="3261" w:type="dxa"/>
          </w:tcPr>
          <w:p w14:paraId="0757136E" w14:textId="77777777" w:rsidR="00145C09" w:rsidRPr="001825CA" w:rsidRDefault="00145C09" w:rsidP="00A76CE4">
            <w:pPr>
              <w:pStyle w:val="ListParagraph"/>
              <w:tabs>
                <w:tab w:val="left" w:pos="1552"/>
              </w:tabs>
              <w:spacing w:line="240" w:lineRule="auto"/>
              <w:ind w:left="0"/>
              <w:jc w:val="center"/>
              <w:rPr>
                <w:rFonts w:ascii="Arial" w:hAnsi="Arial" w:cs="Arial"/>
                <w:b/>
                <w:sz w:val="20"/>
                <w:szCs w:val="20"/>
              </w:rPr>
            </w:pPr>
            <w:r w:rsidRPr="001825CA">
              <w:rPr>
                <w:rFonts w:ascii="Arial" w:hAnsi="Arial" w:cs="Arial"/>
                <w:b/>
                <w:sz w:val="20"/>
                <w:szCs w:val="20"/>
              </w:rPr>
              <w:t xml:space="preserve">The actual gamma radiation exposure rate </w:t>
            </w:r>
            <m:oMath>
              <m:r>
                <m:rPr>
                  <m:sty m:val="bi"/>
                </m:rPr>
                <w:rPr>
                  <w:rFonts w:ascii="Cambria Math" w:hAnsi="Cambria Math" w:cs="Arial"/>
                  <w:sz w:val="20"/>
                  <w:szCs w:val="20"/>
                </w:rPr>
                <m:t>(</m:t>
              </m:r>
              <m:r>
                <m:rPr>
                  <m:sty m:val="b"/>
                </m:rPr>
                <w:rPr>
                  <w:rFonts w:ascii="Cambria Math" w:hAnsi="Cambria Math" w:cs="Arial"/>
                  <w:sz w:val="20"/>
                  <w:szCs w:val="20"/>
                </w:rPr>
                <m:t>μSv/h</m:t>
              </m:r>
            </m:oMath>
            <w:r w:rsidRPr="001825CA">
              <w:rPr>
                <w:rFonts w:ascii="Arial" w:eastAsiaTheme="minorEastAsia" w:hAnsi="Arial" w:cs="Arial"/>
                <w:b/>
                <w:sz w:val="20"/>
                <w:szCs w:val="20"/>
              </w:rPr>
              <w:t>)</w:t>
            </w:r>
          </w:p>
        </w:tc>
        <w:tc>
          <w:tcPr>
            <w:tcW w:w="2835" w:type="dxa"/>
          </w:tcPr>
          <w:p w14:paraId="32912187" w14:textId="77777777" w:rsidR="00145C09" w:rsidRPr="001825CA" w:rsidRDefault="00145C09" w:rsidP="00A76CE4">
            <w:pPr>
              <w:pStyle w:val="ListParagraph"/>
              <w:tabs>
                <w:tab w:val="left" w:pos="1552"/>
              </w:tabs>
              <w:spacing w:line="240" w:lineRule="auto"/>
              <w:ind w:left="0"/>
              <w:jc w:val="center"/>
              <w:rPr>
                <w:rFonts w:ascii="Arial" w:hAnsi="Arial" w:cs="Arial"/>
                <w:b/>
                <w:sz w:val="20"/>
                <w:szCs w:val="20"/>
              </w:rPr>
            </w:pPr>
            <w:r w:rsidRPr="001825CA">
              <w:rPr>
                <w:rFonts w:ascii="Arial" w:hAnsi="Arial" w:cs="Arial"/>
                <w:b/>
                <w:sz w:val="20"/>
                <w:szCs w:val="20"/>
              </w:rPr>
              <w:t>The actual beta radiation exposure rate</w:t>
            </w:r>
            <m:oMath>
              <m:r>
                <m:rPr>
                  <m:sty m:val="bi"/>
                </m:rPr>
                <w:rPr>
                  <w:rFonts w:ascii="Cambria Math" w:hAnsi="Cambria Math" w:cs="Arial"/>
                  <w:sz w:val="20"/>
                  <w:szCs w:val="20"/>
                </w:rPr>
                <m:t xml:space="preserve"> (</m:t>
              </m:r>
              <m:r>
                <m:rPr>
                  <m:sty m:val="b"/>
                </m:rPr>
                <w:rPr>
                  <w:rFonts w:ascii="Cambria Math" w:hAnsi="Cambria Math" w:cs="Arial"/>
                  <w:sz w:val="20"/>
                  <w:szCs w:val="20"/>
                </w:rPr>
                <m:t>μSv/h</m:t>
              </m:r>
            </m:oMath>
            <w:r w:rsidRPr="001825CA">
              <w:rPr>
                <w:rFonts w:ascii="Arial" w:eastAsiaTheme="minorEastAsia" w:hAnsi="Arial" w:cs="Arial"/>
                <w:b/>
                <w:sz w:val="20"/>
                <w:szCs w:val="20"/>
              </w:rPr>
              <w:t>)</w:t>
            </w:r>
          </w:p>
        </w:tc>
      </w:tr>
      <w:tr w:rsidR="00145C09" w:rsidRPr="001825CA" w14:paraId="52F889CC" w14:textId="77777777" w:rsidTr="00A76CE4">
        <w:tc>
          <w:tcPr>
            <w:tcW w:w="8364" w:type="dxa"/>
            <w:gridSpan w:val="3"/>
          </w:tcPr>
          <w:p w14:paraId="559512A1" w14:textId="77777777" w:rsidR="00145C09" w:rsidRPr="001825CA" w:rsidRDefault="00145C09" w:rsidP="00A76CE4">
            <w:pPr>
              <w:pStyle w:val="ListParagraph"/>
              <w:tabs>
                <w:tab w:val="left" w:pos="1552"/>
              </w:tabs>
              <w:spacing w:line="240" w:lineRule="auto"/>
              <w:ind w:left="0"/>
              <w:jc w:val="center"/>
              <w:rPr>
                <w:rFonts w:ascii="Arial" w:hAnsi="Arial" w:cs="Arial"/>
                <w:b/>
                <w:sz w:val="20"/>
                <w:szCs w:val="20"/>
              </w:rPr>
            </w:pPr>
            <w:proofErr w:type="spellStart"/>
            <w:r w:rsidRPr="001825CA">
              <w:rPr>
                <w:rFonts w:ascii="Arial" w:hAnsi="Arial" w:cs="Arial"/>
                <w:b/>
                <w:sz w:val="20"/>
                <w:szCs w:val="20"/>
              </w:rPr>
              <w:t>Hotlab</w:t>
            </w:r>
            <w:proofErr w:type="spellEnd"/>
            <w:r w:rsidRPr="001825CA">
              <w:rPr>
                <w:rFonts w:ascii="Arial" w:hAnsi="Arial" w:cs="Arial"/>
                <w:b/>
                <w:sz w:val="20"/>
                <w:szCs w:val="20"/>
              </w:rPr>
              <w:t xml:space="preserve"> room</w:t>
            </w:r>
          </w:p>
        </w:tc>
      </w:tr>
      <w:tr w:rsidR="00145C09" w:rsidRPr="001825CA" w14:paraId="52D38D36" w14:textId="77777777" w:rsidTr="00A76CE4">
        <w:tc>
          <w:tcPr>
            <w:tcW w:w="2268" w:type="dxa"/>
          </w:tcPr>
          <w:p w14:paraId="23CB32C0" w14:textId="77777777" w:rsidR="00145C09" w:rsidRPr="001825CA" w:rsidRDefault="00145C09" w:rsidP="00A76CE4">
            <w:pPr>
              <w:pStyle w:val="ListParagraph"/>
              <w:tabs>
                <w:tab w:val="left" w:pos="1552"/>
              </w:tabs>
              <w:spacing w:line="240" w:lineRule="auto"/>
              <w:ind w:left="0"/>
              <w:jc w:val="both"/>
              <w:rPr>
                <w:rFonts w:ascii="Arial" w:hAnsi="Arial" w:cs="Arial"/>
                <w:sz w:val="20"/>
                <w:szCs w:val="20"/>
              </w:rPr>
            </w:pPr>
            <w:r w:rsidRPr="001825CA">
              <w:rPr>
                <w:rFonts w:ascii="Arial" w:hAnsi="Arial" w:cs="Arial"/>
                <w:sz w:val="20"/>
                <w:szCs w:val="20"/>
              </w:rPr>
              <w:t>Entrance door</w:t>
            </w:r>
          </w:p>
        </w:tc>
        <w:tc>
          <w:tcPr>
            <w:tcW w:w="3261" w:type="dxa"/>
          </w:tcPr>
          <w:p w14:paraId="4566A8D8" w14:textId="77777777" w:rsidR="00145C09" w:rsidRPr="001825CA" w:rsidRDefault="00145C09" w:rsidP="00A76CE4">
            <w:pPr>
              <w:pStyle w:val="ListParagraph"/>
              <w:tabs>
                <w:tab w:val="left" w:pos="1552"/>
              </w:tabs>
              <w:spacing w:line="240" w:lineRule="auto"/>
              <w:ind w:left="0"/>
              <w:jc w:val="center"/>
              <w:rPr>
                <w:rFonts w:ascii="Arial" w:hAnsi="Arial" w:cs="Arial"/>
                <w:sz w:val="20"/>
                <w:szCs w:val="20"/>
              </w:rPr>
            </w:pPr>
            <w:r>
              <w:rPr>
                <w:rFonts w:ascii="Arial" w:hAnsi="Arial" w:cs="Arial"/>
                <w:sz w:val="20"/>
                <w:szCs w:val="20"/>
              </w:rPr>
              <w:t>0.</w:t>
            </w:r>
            <w:r w:rsidRPr="001825CA">
              <w:rPr>
                <w:rFonts w:ascii="Arial" w:hAnsi="Arial" w:cs="Arial"/>
                <w:sz w:val="20"/>
                <w:szCs w:val="20"/>
              </w:rPr>
              <w:t>185</w:t>
            </w:r>
          </w:p>
        </w:tc>
        <w:tc>
          <w:tcPr>
            <w:tcW w:w="2835" w:type="dxa"/>
          </w:tcPr>
          <w:p w14:paraId="0E68500C" w14:textId="77777777" w:rsidR="00145C09" w:rsidRPr="001825CA" w:rsidRDefault="00145C09" w:rsidP="00A76CE4">
            <w:pPr>
              <w:pStyle w:val="ListParagraph"/>
              <w:tabs>
                <w:tab w:val="left" w:pos="1552"/>
              </w:tabs>
              <w:spacing w:line="240" w:lineRule="auto"/>
              <w:ind w:left="0"/>
              <w:jc w:val="center"/>
              <w:rPr>
                <w:rFonts w:ascii="Arial" w:hAnsi="Arial" w:cs="Arial"/>
                <w:sz w:val="20"/>
                <w:szCs w:val="20"/>
              </w:rPr>
            </w:pPr>
            <w:r>
              <w:rPr>
                <w:rFonts w:ascii="Arial" w:hAnsi="Arial" w:cs="Arial"/>
                <w:sz w:val="20"/>
                <w:szCs w:val="20"/>
              </w:rPr>
              <w:t>8.</w:t>
            </w:r>
            <w:r w:rsidRPr="001825CA">
              <w:rPr>
                <w:rFonts w:ascii="Arial" w:hAnsi="Arial" w:cs="Arial"/>
                <w:sz w:val="20"/>
                <w:szCs w:val="20"/>
              </w:rPr>
              <w:t>282</w:t>
            </w:r>
          </w:p>
        </w:tc>
      </w:tr>
      <w:tr w:rsidR="00145C09" w:rsidRPr="001825CA" w14:paraId="6BAE6491" w14:textId="77777777" w:rsidTr="00A76CE4">
        <w:tc>
          <w:tcPr>
            <w:tcW w:w="2268" w:type="dxa"/>
          </w:tcPr>
          <w:p w14:paraId="18DD3AF1" w14:textId="77777777" w:rsidR="00145C09" w:rsidRPr="001825CA" w:rsidRDefault="00145C09" w:rsidP="00A76CE4">
            <w:pPr>
              <w:pStyle w:val="ListParagraph"/>
              <w:tabs>
                <w:tab w:val="left" w:pos="1552"/>
              </w:tabs>
              <w:spacing w:line="240" w:lineRule="auto"/>
              <w:ind w:left="0"/>
              <w:jc w:val="both"/>
              <w:rPr>
                <w:rFonts w:ascii="Arial" w:hAnsi="Arial" w:cs="Arial"/>
                <w:sz w:val="20"/>
                <w:szCs w:val="20"/>
              </w:rPr>
            </w:pPr>
            <w:r w:rsidRPr="001825CA">
              <w:rPr>
                <w:rFonts w:ascii="Arial" w:hAnsi="Arial" w:cs="Arial"/>
                <w:sz w:val="20"/>
                <w:szCs w:val="20"/>
              </w:rPr>
              <w:t>Work table</w:t>
            </w:r>
          </w:p>
        </w:tc>
        <w:tc>
          <w:tcPr>
            <w:tcW w:w="3261" w:type="dxa"/>
          </w:tcPr>
          <w:p w14:paraId="7A2AFFB9" w14:textId="77777777" w:rsidR="00145C09" w:rsidRPr="001825CA" w:rsidRDefault="00145C09" w:rsidP="00A76CE4">
            <w:pPr>
              <w:pStyle w:val="ListParagraph"/>
              <w:tabs>
                <w:tab w:val="left" w:pos="1552"/>
              </w:tabs>
              <w:spacing w:line="240" w:lineRule="auto"/>
              <w:ind w:left="0"/>
              <w:jc w:val="center"/>
              <w:rPr>
                <w:rFonts w:ascii="Arial" w:hAnsi="Arial" w:cs="Arial"/>
                <w:sz w:val="20"/>
                <w:szCs w:val="20"/>
              </w:rPr>
            </w:pPr>
            <w:r>
              <w:rPr>
                <w:rFonts w:ascii="Arial" w:hAnsi="Arial" w:cs="Arial"/>
                <w:sz w:val="20"/>
                <w:szCs w:val="20"/>
              </w:rPr>
              <w:t>2.</w:t>
            </w:r>
            <w:r w:rsidRPr="001825CA">
              <w:rPr>
                <w:rFonts w:ascii="Arial" w:hAnsi="Arial" w:cs="Arial"/>
                <w:sz w:val="20"/>
                <w:szCs w:val="20"/>
              </w:rPr>
              <w:t>307</w:t>
            </w:r>
          </w:p>
        </w:tc>
        <w:tc>
          <w:tcPr>
            <w:tcW w:w="2835" w:type="dxa"/>
          </w:tcPr>
          <w:p w14:paraId="5EA143AE" w14:textId="77777777" w:rsidR="00145C09" w:rsidRPr="001825CA" w:rsidRDefault="00145C09" w:rsidP="00A76CE4">
            <w:pPr>
              <w:pStyle w:val="ListParagraph"/>
              <w:tabs>
                <w:tab w:val="left" w:pos="1552"/>
              </w:tabs>
              <w:spacing w:line="240" w:lineRule="auto"/>
              <w:ind w:left="0"/>
              <w:jc w:val="center"/>
              <w:rPr>
                <w:rFonts w:ascii="Arial" w:hAnsi="Arial" w:cs="Arial"/>
                <w:sz w:val="20"/>
                <w:szCs w:val="20"/>
              </w:rPr>
            </w:pPr>
            <w:r>
              <w:rPr>
                <w:rFonts w:ascii="Arial" w:hAnsi="Arial" w:cs="Arial"/>
                <w:sz w:val="20"/>
                <w:szCs w:val="20"/>
              </w:rPr>
              <w:t>13.</w:t>
            </w:r>
            <w:r w:rsidRPr="001825CA">
              <w:rPr>
                <w:rFonts w:ascii="Arial" w:hAnsi="Arial" w:cs="Arial"/>
                <w:sz w:val="20"/>
                <w:szCs w:val="20"/>
              </w:rPr>
              <w:t>739</w:t>
            </w:r>
          </w:p>
        </w:tc>
      </w:tr>
      <w:tr w:rsidR="00145C09" w:rsidRPr="001825CA" w14:paraId="23C83675" w14:textId="77777777" w:rsidTr="00A76CE4">
        <w:tc>
          <w:tcPr>
            <w:tcW w:w="2268" w:type="dxa"/>
          </w:tcPr>
          <w:p w14:paraId="1C550045" w14:textId="77777777" w:rsidR="00145C09" w:rsidRPr="001825CA" w:rsidRDefault="00145C09" w:rsidP="00A76CE4">
            <w:pPr>
              <w:pStyle w:val="ListParagraph"/>
              <w:tabs>
                <w:tab w:val="left" w:pos="1552"/>
              </w:tabs>
              <w:spacing w:line="240" w:lineRule="auto"/>
              <w:ind w:left="0"/>
              <w:jc w:val="both"/>
              <w:rPr>
                <w:rFonts w:ascii="Arial" w:hAnsi="Arial" w:cs="Arial"/>
                <w:sz w:val="20"/>
                <w:szCs w:val="20"/>
              </w:rPr>
            </w:pPr>
            <w:r w:rsidRPr="001825CA">
              <w:rPr>
                <w:rFonts w:ascii="Arial" w:hAnsi="Arial" w:cs="Arial"/>
                <w:sz w:val="20"/>
                <w:szCs w:val="20"/>
              </w:rPr>
              <w:t>Trolley</w:t>
            </w:r>
          </w:p>
        </w:tc>
        <w:tc>
          <w:tcPr>
            <w:tcW w:w="3261" w:type="dxa"/>
          </w:tcPr>
          <w:p w14:paraId="03F818A2" w14:textId="77777777" w:rsidR="00145C09" w:rsidRPr="001825CA" w:rsidRDefault="00145C09" w:rsidP="00A76CE4">
            <w:pPr>
              <w:pStyle w:val="ListParagraph"/>
              <w:tabs>
                <w:tab w:val="left" w:pos="1552"/>
              </w:tabs>
              <w:spacing w:line="240" w:lineRule="auto"/>
              <w:ind w:left="0"/>
              <w:jc w:val="center"/>
              <w:rPr>
                <w:rFonts w:ascii="Arial" w:hAnsi="Arial" w:cs="Arial"/>
                <w:sz w:val="20"/>
                <w:szCs w:val="20"/>
              </w:rPr>
            </w:pPr>
            <w:r>
              <w:rPr>
                <w:rFonts w:ascii="Arial" w:hAnsi="Arial" w:cs="Arial"/>
                <w:sz w:val="20"/>
                <w:szCs w:val="20"/>
              </w:rPr>
              <w:t>1.</w:t>
            </w:r>
            <w:r w:rsidRPr="001825CA">
              <w:rPr>
                <w:rFonts w:ascii="Arial" w:hAnsi="Arial" w:cs="Arial"/>
                <w:sz w:val="20"/>
                <w:szCs w:val="20"/>
              </w:rPr>
              <w:t>499</w:t>
            </w:r>
          </w:p>
        </w:tc>
        <w:tc>
          <w:tcPr>
            <w:tcW w:w="2835" w:type="dxa"/>
          </w:tcPr>
          <w:p w14:paraId="5FD5AFDA" w14:textId="77777777" w:rsidR="00145C09" w:rsidRPr="001825CA" w:rsidRDefault="00145C09" w:rsidP="00A76CE4">
            <w:pPr>
              <w:pStyle w:val="ListParagraph"/>
              <w:tabs>
                <w:tab w:val="left" w:pos="1552"/>
              </w:tabs>
              <w:spacing w:line="240" w:lineRule="auto"/>
              <w:ind w:left="0"/>
              <w:jc w:val="center"/>
              <w:rPr>
                <w:rFonts w:ascii="Arial" w:hAnsi="Arial" w:cs="Arial"/>
                <w:sz w:val="20"/>
                <w:szCs w:val="20"/>
              </w:rPr>
            </w:pPr>
            <w:r>
              <w:rPr>
                <w:rFonts w:ascii="Arial" w:hAnsi="Arial" w:cs="Arial"/>
                <w:sz w:val="20"/>
                <w:szCs w:val="20"/>
              </w:rPr>
              <w:t>9.</w:t>
            </w:r>
            <w:r w:rsidRPr="001825CA">
              <w:rPr>
                <w:rFonts w:ascii="Arial" w:hAnsi="Arial" w:cs="Arial"/>
                <w:sz w:val="20"/>
                <w:szCs w:val="20"/>
              </w:rPr>
              <w:t>392</w:t>
            </w:r>
          </w:p>
        </w:tc>
      </w:tr>
      <w:tr w:rsidR="00145C09" w:rsidRPr="001825CA" w14:paraId="2711008D" w14:textId="77777777" w:rsidTr="00A76CE4">
        <w:tc>
          <w:tcPr>
            <w:tcW w:w="8364" w:type="dxa"/>
            <w:gridSpan w:val="3"/>
          </w:tcPr>
          <w:p w14:paraId="52DDEE6F" w14:textId="77777777" w:rsidR="00145C09" w:rsidRPr="001825CA" w:rsidRDefault="00145C09" w:rsidP="00A76CE4">
            <w:pPr>
              <w:pStyle w:val="ListParagraph"/>
              <w:tabs>
                <w:tab w:val="left" w:pos="1552"/>
              </w:tabs>
              <w:spacing w:line="240" w:lineRule="auto"/>
              <w:ind w:left="0"/>
              <w:jc w:val="center"/>
              <w:rPr>
                <w:rFonts w:ascii="Arial" w:hAnsi="Arial" w:cs="Arial"/>
                <w:b/>
                <w:sz w:val="20"/>
                <w:szCs w:val="20"/>
              </w:rPr>
            </w:pPr>
            <w:r w:rsidRPr="001825CA">
              <w:rPr>
                <w:rFonts w:ascii="Arial" w:hAnsi="Arial" w:cs="Arial"/>
                <w:b/>
                <w:sz w:val="20"/>
                <w:szCs w:val="20"/>
              </w:rPr>
              <w:t>Injection room</w:t>
            </w:r>
          </w:p>
        </w:tc>
      </w:tr>
      <w:tr w:rsidR="00145C09" w:rsidRPr="001825CA" w14:paraId="197A6FD6" w14:textId="77777777" w:rsidTr="00A76CE4">
        <w:tc>
          <w:tcPr>
            <w:tcW w:w="2268" w:type="dxa"/>
          </w:tcPr>
          <w:p w14:paraId="524EEE19" w14:textId="77777777" w:rsidR="00145C09" w:rsidRPr="001825CA" w:rsidRDefault="00145C09" w:rsidP="00A76CE4">
            <w:pPr>
              <w:pStyle w:val="ListParagraph"/>
              <w:tabs>
                <w:tab w:val="left" w:pos="1552"/>
              </w:tabs>
              <w:spacing w:line="240" w:lineRule="auto"/>
              <w:ind w:left="0"/>
              <w:jc w:val="both"/>
              <w:rPr>
                <w:rFonts w:ascii="Arial" w:hAnsi="Arial" w:cs="Arial"/>
                <w:sz w:val="20"/>
                <w:szCs w:val="20"/>
              </w:rPr>
            </w:pPr>
            <w:r w:rsidRPr="001825CA">
              <w:rPr>
                <w:rFonts w:ascii="Arial" w:hAnsi="Arial" w:cs="Arial"/>
                <w:sz w:val="20"/>
                <w:szCs w:val="20"/>
              </w:rPr>
              <w:t>Entrance door</w:t>
            </w:r>
          </w:p>
        </w:tc>
        <w:tc>
          <w:tcPr>
            <w:tcW w:w="3261" w:type="dxa"/>
          </w:tcPr>
          <w:p w14:paraId="39111CDC" w14:textId="77777777" w:rsidR="00145C09" w:rsidRPr="001825CA" w:rsidRDefault="00145C09" w:rsidP="00A76CE4">
            <w:pPr>
              <w:pStyle w:val="ListParagraph"/>
              <w:tabs>
                <w:tab w:val="left" w:pos="1552"/>
              </w:tabs>
              <w:spacing w:line="240" w:lineRule="auto"/>
              <w:ind w:left="0"/>
              <w:jc w:val="center"/>
              <w:rPr>
                <w:rFonts w:ascii="Arial" w:hAnsi="Arial" w:cs="Arial"/>
                <w:sz w:val="20"/>
                <w:szCs w:val="20"/>
              </w:rPr>
            </w:pPr>
            <w:r>
              <w:rPr>
                <w:rFonts w:ascii="Arial" w:hAnsi="Arial" w:cs="Arial"/>
                <w:sz w:val="20"/>
                <w:szCs w:val="20"/>
              </w:rPr>
              <w:t>0.</w:t>
            </w:r>
            <w:r w:rsidRPr="001825CA">
              <w:rPr>
                <w:rFonts w:ascii="Arial" w:hAnsi="Arial" w:cs="Arial"/>
                <w:sz w:val="20"/>
                <w:szCs w:val="20"/>
              </w:rPr>
              <w:t>149</w:t>
            </w:r>
          </w:p>
        </w:tc>
        <w:tc>
          <w:tcPr>
            <w:tcW w:w="2835" w:type="dxa"/>
          </w:tcPr>
          <w:p w14:paraId="608CED5A" w14:textId="77777777" w:rsidR="00145C09" w:rsidRPr="001825CA" w:rsidRDefault="00145C09" w:rsidP="00A76CE4">
            <w:pPr>
              <w:pStyle w:val="ListParagraph"/>
              <w:tabs>
                <w:tab w:val="left" w:pos="1552"/>
              </w:tabs>
              <w:spacing w:line="240" w:lineRule="auto"/>
              <w:ind w:left="0"/>
              <w:jc w:val="center"/>
              <w:rPr>
                <w:rFonts w:ascii="Arial" w:hAnsi="Arial" w:cs="Arial"/>
                <w:sz w:val="20"/>
                <w:szCs w:val="20"/>
              </w:rPr>
            </w:pPr>
            <w:r>
              <w:rPr>
                <w:rFonts w:ascii="Arial" w:hAnsi="Arial" w:cs="Arial"/>
                <w:sz w:val="20"/>
                <w:szCs w:val="20"/>
              </w:rPr>
              <w:t>1.</w:t>
            </w:r>
            <w:r w:rsidRPr="001825CA">
              <w:rPr>
                <w:rFonts w:ascii="Arial" w:hAnsi="Arial" w:cs="Arial"/>
                <w:sz w:val="20"/>
                <w:szCs w:val="20"/>
              </w:rPr>
              <w:t>534</w:t>
            </w:r>
          </w:p>
        </w:tc>
      </w:tr>
      <w:tr w:rsidR="00145C09" w:rsidRPr="001825CA" w14:paraId="584CDA05" w14:textId="77777777" w:rsidTr="00A76CE4">
        <w:tc>
          <w:tcPr>
            <w:tcW w:w="2268" w:type="dxa"/>
          </w:tcPr>
          <w:p w14:paraId="09212BEE" w14:textId="77777777" w:rsidR="00145C09" w:rsidRPr="001825CA" w:rsidRDefault="00145C09" w:rsidP="00A76CE4">
            <w:pPr>
              <w:pStyle w:val="ListParagraph"/>
              <w:tabs>
                <w:tab w:val="left" w:pos="1552"/>
              </w:tabs>
              <w:spacing w:line="240" w:lineRule="auto"/>
              <w:ind w:left="0"/>
              <w:jc w:val="both"/>
              <w:rPr>
                <w:rFonts w:ascii="Arial" w:hAnsi="Arial" w:cs="Arial"/>
                <w:sz w:val="20"/>
                <w:szCs w:val="20"/>
              </w:rPr>
            </w:pPr>
            <w:r w:rsidRPr="001825CA">
              <w:rPr>
                <w:rFonts w:ascii="Arial" w:hAnsi="Arial" w:cs="Arial"/>
                <w:sz w:val="20"/>
                <w:szCs w:val="20"/>
              </w:rPr>
              <w:t>Patient chair</w:t>
            </w:r>
          </w:p>
        </w:tc>
        <w:tc>
          <w:tcPr>
            <w:tcW w:w="3261" w:type="dxa"/>
          </w:tcPr>
          <w:p w14:paraId="589EEC00" w14:textId="77777777" w:rsidR="00145C09" w:rsidRPr="001825CA" w:rsidRDefault="00145C09" w:rsidP="00A76CE4">
            <w:pPr>
              <w:pStyle w:val="ListParagraph"/>
              <w:tabs>
                <w:tab w:val="left" w:pos="1552"/>
              </w:tabs>
              <w:spacing w:line="240" w:lineRule="auto"/>
              <w:ind w:left="0"/>
              <w:jc w:val="center"/>
              <w:rPr>
                <w:rFonts w:ascii="Arial" w:hAnsi="Arial" w:cs="Arial"/>
                <w:sz w:val="20"/>
                <w:szCs w:val="20"/>
              </w:rPr>
            </w:pPr>
            <w:r>
              <w:rPr>
                <w:rFonts w:ascii="Arial" w:hAnsi="Arial" w:cs="Arial"/>
                <w:sz w:val="20"/>
                <w:szCs w:val="20"/>
              </w:rPr>
              <w:t>1.</w:t>
            </w:r>
            <w:r w:rsidRPr="001825CA">
              <w:rPr>
                <w:rFonts w:ascii="Arial" w:hAnsi="Arial" w:cs="Arial"/>
                <w:sz w:val="20"/>
                <w:szCs w:val="20"/>
              </w:rPr>
              <w:t>746</w:t>
            </w:r>
          </w:p>
        </w:tc>
        <w:tc>
          <w:tcPr>
            <w:tcW w:w="2835" w:type="dxa"/>
          </w:tcPr>
          <w:p w14:paraId="63D0B216" w14:textId="77777777" w:rsidR="00145C09" w:rsidRPr="001825CA" w:rsidRDefault="00145C09" w:rsidP="00A76CE4">
            <w:pPr>
              <w:pStyle w:val="ListParagraph"/>
              <w:tabs>
                <w:tab w:val="left" w:pos="1552"/>
              </w:tabs>
              <w:spacing w:line="240" w:lineRule="auto"/>
              <w:ind w:left="0"/>
              <w:jc w:val="center"/>
              <w:rPr>
                <w:rFonts w:ascii="Arial" w:hAnsi="Arial" w:cs="Arial"/>
                <w:sz w:val="20"/>
                <w:szCs w:val="20"/>
              </w:rPr>
            </w:pPr>
            <w:r>
              <w:rPr>
                <w:rFonts w:ascii="Arial" w:hAnsi="Arial" w:cs="Arial"/>
                <w:sz w:val="20"/>
                <w:szCs w:val="20"/>
              </w:rPr>
              <w:t>9.</w:t>
            </w:r>
            <w:r w:rsidRPr="001825CA">
              <w:rPr>
                <w:rFonts w:ascii="Arial" w:hAnsi="Arial" w:cs="Arial"/>
                <w:sz w:val="20"/>
                <w:szCs w:val="20"/>
              </w:rPr>
              <w:t>294</w:t>
            </w:r>
          </w:p>
        </w:tc>
      </w:tr>
      <w:tr w:rsidR="00145C09" w:rsidRPr="001825CA" w14:paraId="013B18C8" w14:textId="77777777" w:rsidTr="00A76CE4">
        <w:tc>
          <w:tcPr>
            <w:tcW w:w="2268" w:type="dxa"/>
          </w:tcPr>
          <w:p w14:paraId="1754DE77" w14:textId="77777777" w:rsidR="00145C09" w:rsidRPr="001825CA" w:rsidRDefault="00145C09" w:rsidP="00A76CE4">
            <w:pPr>
              <w:pStyle w:val="ListParagraph"/>
              <w:tabs>
                <w:tab w:val="left" w:pos="1552"/>
              </w:tabs>
              <w:spacing w:line="240" w:lineRule="auto"/>
              <w:ind w:left="0"/>
              <w:jc w:val="both"/>
              <w:rPr>
                <w:rFonts w:ascii="Arial" w:hAnsi="Arial" w:cs="Arial"/>
                <w:sz w:val="20"/>
                <w:szCs w:val="20"/>
              </w:rPr>
            </w:pPr>
            <w:r w:rsidRPr="001825CA">
              <w:rPr>
                <w:rFonts w:ascii="Arial" w:hAnsi="Arial" w:cs="Arial"/>
                <w:sz w:val="20"/>
                <w:szCs w:val="20"/>
              </w:rPr>
              <w:t>Work table</w:t>
            </w:r>
          </w:p>
        </w:tc>
        <w:tc>
          <w:tcPr>
            <w:tcW w:w="3261" w:type="dxa"/>
          </w:tcPr>
          <w:p w14:paraId="2DE73D3E" w14:textId="77777777" w:rsidR="00145C09" w:rsidRPr="001825CA" w:rsidRDefault="00145C09" w:rsidP="00A76CE4">
            <w:pPr>
              <w:pStyle w:val="ListParagraph"/>
              <w:tabs>
                <w:tab w:val="left" w:pos="1552"/>
              </w:tabs>
              <w:spacing w:line="240" w:lineRule="auto"/>
              <w:ind w:left="0"/>
              <w:jc w:val="center"/>
              <w:rPr>
                <w:rFonts w:ascii="Arial" w:hAnsi="Arial" w:cs="Arial"/>
                <w:sz w:val="20"/>
                <w:szCs w:val="20"/>
              </w:rPr>
            </w:pPr>
            <w:r>
              <w:rPr>
                <w:rFonts w:ascii="Arial" w:hAnsi="Arial" w:cs="Arial"/>
                <w:sz w:val="20"/>
                <w:szCs w:val="20"/>
              </w:rPr>
              <w:t>1.</w:t>
            </w:r>
            <w:r w:rsidRPr="001825CA">
              <w:rPr>
                <w:rFonts w:ascii="Arial" w:hAnsi="Arial" w:cs="Arial"/>
                <w:sz w:val="20"/>
                <w:szCs w:val="20"/>
              </w:rPr>
              <w:t>197</w:t>
            </w:r>
          </w:p>
        </w:tc>
        <w:tc>
          <w:tcPr>
            <w:tcW w:w="2835" w:type="dxa"/>
          </w:tcPr>
          <w:p w14:paraId="1B254E57" w14:textId="77777777" w:rsidR="00145C09" w:rsidRPr="001825CA" w:rsidRDefault="00145C09" w:rsidP="00A76CE4">
            <w:pPr>
              <w:pStyle w:val="ListParagraph"/>
              <w:tabs>
                <w:tab w:val="left" w:pos="1552"/>
              </w:tabs>
              <w:spacing w:line="240" w:lineRule="auto"/>
              <w:ind w:left="0"/>
              <w:jc w:val="center"/>
              <w:rPr>
                <w:rFonts w:ascii="Arial" w:hAnsi="Arial" w:cs="Arial"/>
                <w:sz w:val="20"/>
                <w:szCs w:val="20"/>
              </w:rPr>
            </w:pPr>
            <w:r>
              <w:rPr>
                <w:rFonts w:ascii="Arial" w:hAnsi="Arial" w:cs="Arial"/>
                <w:sz w:val="20"/>
                <w:szCs w:val="20"/>
              </w:rPr>
              <w:t>4.</w:t>
            </w:r>
            <w:r w:rsidRPr="001825CA">
              <w:rPr>
                <w:rFonts w:ascii="Arial" w:hAnsi="Arial" w:cs="Arial"/>
                <w:sz w:val="20"/>
                <w:szCs w:val="20"/>
              </w:rPr>
              <w:t>434</w:t>
            </w:r>
          </w:p>
        </w:tc>
      </w:tr>
      <w:tr w:rsidR="00145C09" w:rsidRPr="001825CA" w14:paraId="44D41219" w14:textId="77777777" w:rsidTr="00A76CE4">
        <w:tc>
          <w:tcPr>
            <w:tcW w:w="2268" w:type="dxa"/>
          </w:tcPr>
          <w:p w14:paraId="53325479" w14:textId="77777777" w:rsidR="00145C09" w:rsidRPr="001825CA" w:rsidRDefault="00145C09" w:rsidP="00A76CE4">
            <w:pPr>
              <w:pStyle w:val="ListParagraph"/>
              <w:tabs>
                <w:tab w:val="left" w:pos="1552"/>
              </w:tabs>
              <w:spacing w:line="240" w:lineRule="auto"/>
              <w:ind w:left="0"/>
              <w:jc w:val="both"/>
              <w:rPr>
                <w:rFonts w:ascii="Arial" w:hAnsi="Arial" w:cs="Arial"/>
                <w:sz w:val="20"/>
                <w:szCs w:val="20"/>
              </w:rPr>
            </w:pPr>
            <w:r w:rsidRPr="001825CA">
              <w:rPr>
                <w:rFonts w:ascii="Arial" w:hAnsi="Arial" w:cs="Arial"/>
                <w:sz w:val="20"/>
                <w:szCs w:val="20"/>
              </w:rPr>
              <w:t>Trolley</w:t>
            </w:r>
          </w:p>
        </w:tc>
        <w:tc>
          <w:tcPr>
            <w:tcW w:w="3261" w:type="dxa"/>
          </w:tcPr>
          <w:p w14:paraId="4CDF790E" w14:textId="77777777" w:rsidR="00145C09" w:rsidRPr="001825CA" w:rsidRDefault="00145C09" w:rsidP="00A76CE4">
            <w:pPr>
              <w:pStyle w:val="ListParagraph"/>
              <w:tabs>
                <w:tab w:val="left" w:pos="1552"/>
              </w:tabs>
              <w:spacing w:line="240" w:lineRule="auto"/>
              <w:ind w:left="0"/>
              <w:jc w:val="center"/>
              <w:rPr>
                <w:rFonts w:ascii="Arial" w:hAnsi="Arial" w:cs="Arial"/>
                <w:sz w:val="20"/>
                <w:szCs w:val="20"/>
              </w:rPr>
            </w:pPr>
            <w:r>
              <w:rPr>
                <w:rFonts w:ascii="Arial" w:hAnsi="Arial" w:cs="Arial"/>
                <w:sz w:val="20"/>
                <w:szCs w:val="20"/>
              </w:rPr>
              <w:t>0.</w:t>
            </w:r>
            <w:r w:rsidRPr="001825CA">
              <w:rPr>
                <w:rFonts w:ascii="Arial" w:hAnsi="Arial" w:cs="Arial"/>
                <w:sz w:val="20"/>
                <w:szCs w:val="20"/>
              </w:rPr>
              <w:t>169</w:t>
            </w:r>
          </w:p>
        </w:tc>
        <w:tc>
          <w:tcPr>
            <w:tcW w:w="2835" w:type="dxa"/>
          </w:tcPr>
          <w:p w14:paraId="3433DDE3" w14:textId="77777777" w:rsidR="00145C09" w:rsidRPr="001825CA" w:rsidRDefault="00145C09" w:rsidP="00A76CE4">
            <w:pPr>
              <w:pStyle w:val="ListParagraph"/>
              <w:tabs>
                <w:tab w:val="left" w:pos="1552"/>
              </w:tabs>
              <w:spacing w:line="240" w:lineRule="auto"/>
              <w:ind w:left="0"/>
              <w:jc w:val="center"/>
              <w:rPr>
                <w:rFonts w:ascii="Arial" w:hAnsi="Arial" w:cs="Arial"/>
                <w:sz w:val="20"/>
                <w:szCs w:val="20"/>
              </w:rPr>
            </w:pPr>
            <w:r>
              <w:rPr>
                <w:rFonts w:ascii="Arial" w:hAnsi="Arial" w:cs="Arial"/>
                <w:sz w:val="20"/>
                <w:szCs w:val="20"/>
              </w:rPr>
              <w:t>4.</w:t>
            </w:r>
            <w:r w:rsidRPr="001825CA">
              <w:rPr>
                <w:rFonts w:ascii="Arial" w:hAnsi="Arial" w:cs="Arial"/>
                <w:sz w:val="20"/>
                <w:szCs w:val="20"/>
              </w:rPr>
              <w:t>317</w:t>
            </w:r>
          </w:p>
        </w:tc>
      </w:tr>
    </w:tbl>
    <w:p w14:paraId="14EA5C02" w14:textId="77777777" w:rsidR="00C34C7C" w:rsidRDefault="00C34C7C" w:rsidP="00C34C7C">
      <w:pPr>
        <w:pStyle w:val="Body"/>
        <w:spacing w:after="0"/>
        <w:rPr>
          <w:rFonts w:ascii="Arial" w:hAnsi="Arial" w:cs="Arial"/>
        </w:rPr>
        <w:sectPr w:rsidR="00C34C7C" w:rsidSect="00145C09">
          <w:type w:val="continuous"/>
          <w:pgSz w:w="12240" w:h="15840"/>
          <w:pgMar w:top="1440" w:right="2016" w:bottom="2016" w:left="2016" w:header="720" w:footer="1123" w:gutter="0"/>
          <w:cols w:space="720"/>
          <w:docGrid w:linePitch="272"/>
        </w:sectPr>
      </w:pPr>
    </w:p>
    <w:p w14:paraId="697B9179" w14:textId="56805930" w:rsidR="00145C09" w:rsidRDefault="00145C09" w:rsidP="009542E4">
      <w:pPr>
        <w:pStyle w:val="Body"/>
        <w:spacing w:after="0"/>
        <w:rPr>
          <w:rFonts w:ascii="Arial" w:hAnsi="Arial" w:cs="Arial"/>
        </w:rPr>
      </w:pPr>
      <w:r w:rsidRPr="00610D8F">
        <w:rPr>
          <w:rFonts w:ascii="Arial" w:hAnsi="Arial" w:cs="Arial"/>
        </w:rPr>
        <w:t xml:space="preserve">The data in Table </w:t>
      </w:r>
      <w:r>
        <w:rPr>
          <w:rFonts w:ascii="Arial" w:hAnsi="Arial" w:cs="Arial"/>
        </w:rPr>
        <w:t xml:space="preserve">1 are compared with </w:t>
      </w:r>
      <w:r w:rsidRPr="00610D8F">
        <w:rPr>
          <w:rFonts w:ascii="Arial" w:hAnsi="Arial" w:cs="Arial"/>
        </w:rPr>
        <w:t>NBD that has been determined in PERKA BAPETE</w:t>
      </w:r>
      <w:r>
        <w:rPr>
          <w:rFonts w:ascii="Arial" w:hAnsi="Arial" w:cs="Arial"/>
        </w:rPr>
        <w:t xml:space="preserve">N number 17 of 2012 article 33, 20 </w:t>
      </w:r>
      <w:proofErr w:type="spellStart"/>
      <w:r>
        <w:rPr>
          <w:rFonts w:ascii="Arial" w:hAnsi="Arial" w:cs="Arial"/>
        </w:rPr>
        <w:t>mSv</w:t>
      </w:r>
      <w:proofErr w:type="spellEnd"/>
      <w:r>
        <w:rPr>
          <w:rFonts w:ascii="Arial" w:hAnsi="Arial" w:cs="Arial"/>
        </w:rPr>
        <w:t>/</w:t>
      </w:r>
      <w:proofErr w:type="spellStart"/>
      <w:r>
        <w:rPr>
          <w:rFonts w:ascii="Arial" w:hAnsi="Arial" w:cs="Arial"/>
        </w:rPr>
        <w:t>th</w:t>
      </w:r>
      <w:proofErr w:type="spellEnd"/>
      <w:r>
        <w:rPr>
          <w:rFonts w:ascii="Arial" w:hAnsi="Arial" w:cs="Arial"/>
        </w:rPr>
        <w:t xml:space="preserve"> for the </w:t>
      </w:r>
      <w:r w:rsidRPr="00610D8F">
        <w:rPr>
          <w:rFonts w:ascii="Arial" w:hAnsi="Arial" w:cs="Arial"/>
        </w:rPr>
        <w:t>gamma radiation</w:t>
      </w:r>
      <w:r>
        <w:rPr>
          <w:rFonts w:ascii="Arial" w:hAnsi="Arial" w:cs="Arial"/>
        </w:rPr>
        <w:t xml:space="preserve"> exposure rate</w:t>
      </w:r>
      <w:r w:rsidRPr="00610D8F">
        <w:rPr>
          <w:rFonts w:ascii="Arial" w:hAnsi="Arial" w:cs="Arial"/>
        </w:rPr>
        <w:t xml:space="preserve"> and 500 </w:t>
      </w:r>
      <w:proofErr w:type="spellStart"/>
      <w:r w:rsidRPr="00610D8F">
        <w:rPr>
          <w:rFonts w:ascii="Arial" w:hAnsi="Arial" w:cs="Arial"/>
        </w:rPr>
        <w:t>mSv</w:t>
      </w:r>
      <w:proofErr w:type="spellEnd"/>
      <w:r w:rsidRPr="00610D8F">
        <w:rPr>
          <w:rFonts w:ascii="Arial" w:hAnsi="Arial" w:cs="Arial"/>
        </w:rPr>
        <w:t>/</w:t>
      </w:r>
      <w:proofErr w:type="spellStart"/>
      <w:r w:rsidRPr="00610D8F">
        <w:rPr>
          <w:rFonts w:ascii="Arial" w:hAnsi="Arial" w:cs="Arial"/>
        </w:rPr>
        <w:t>th</w:t>
      </w:r>
      <w:proofErr w:type="spellEnd"/>
      <w:r w:rsidRPr="00610D8F">
        <w:rPr>
          <w:rFonts w:ascii="Arial" w:hAnsi="Arial" w:cs="Arial"/>
        </w:rPr>
        <w:t xml:space="preserve"> for </w:t>
      </w:r>
      <w:r>
        <w:rPr>
          <w:rFonts w:ascii="Arial" w:hAnsi="Arial" w:cs="Arial"/>
        </w:rPr>
        <w:t>the beta</w:t>
      </w:r>
      <w:r w:rsidRPr="00610D8F">
        <w:rPr>
          <w:rFonts w:ascii="Arial" w:hAnsi="Arial" w:cs="Arial"/>
        </w:rPr>
        <w:t xml:space="preserve"> radiation</w:t>
      </w:r>
      <w:r>
        <w:rPr>
          <w:rFonts w:ascii="Arial" w:hAnsi="Arial" w:cs="Arial"/>
        </w:rPr>
        <w:t xml:space="preserve"> exposure rate</w:t>
      </w:r>
      <w:r w:rsidRPr="00610D8F">
        <w:rPr>
          <w:rFonts w:ascii="Arial" w:hAnsi="Arial" w:cs="Arial"/>
        </w:rPr>
        <w:t xml:space="preserve">. The NBD was converted from </w:t>
      </w:r>
      <w:proofErr w:type="spellStart"/>
      <w:r w:rsidRPr="00610D8F">
        <w:rPr>
          <w:rFonts w:ascii="Arial" w:hAnsi="Arial" w:cs="Arial"/>
        </w:rPr>
        <w:t>mSv</w:t>
      </w:r>
      <w:proofErr w:type="spellEnd"/>
      <w:r w:rsidRPr="00610D8F">
        <w:rPr>
          <w:rFonts w:ascii="Arial" w:hAnsi="Arial" w:cs="Arial"/>
        </w:rPr>
        <w:t>/</w:t>
      </w:r>
      <w:proofErr w:type="spellStart"/>
      <w:r w:rsidRPr="00610D8F">
        <w:rPr>
          <w:rFonts w:ascii="Arial" w:hAnsi="Arial" w:cs="Arial"/>
        </w:rPr>
        <w:t>th</w:t>
      </w:r>
      <w:proofErr w:type="spellEnd"/>
      <w:r>
        <w:rPr>
          <w:rFonts w:ascii="Arial" w:hAnsi="Arial" w:cs="Arial"/>
        </w:rPr>
        <w:t xml:space="preserve"> (</w:t>
      </w:r>
      <w:proofErr w:type="spellStart"/>
      <w:r>
        <w:rPr>
          <w:rFonts w:ascii="Arial" w:hAnsi="Arial" w:cs="Arial"/>
        </w:rPr>
        <w:t>milisievert</w:t>
      </w:r>
      <w:proofErr w:type="spellEnd"/>
      <w:r>
        <w:rPr>
          <w:rFonts w:ascii="Arial" w:hAnsi="Arial" w:cs="Arial"/>
        </w:rPr>
        <w:t xml:space="preserve"> per year)</w:t>
      </w:r>
      <w:r w:rsidRPr="00610D8F">
        <w:rPr>
          <w:rFonts w:ascii="Arial" w:hAnsi="Arial" w:cs="Arial"/>
        </w:rPr>
        <w:t xml:space="preserve"> units to </w:t>
      </w:r>
      <w:proofErr w:type="spellStart"/>
      <w:r w:rsidRPr="00610D8F">
        <w:rPr>
          <w:rFonts w:ascii="Arial" w:hAnsi="Arial" w:cs="Arial"/>
        </w:rPr>
        <w:t>μSv</w:t>
      </w:r>
      <w:proofErr w:type="spellEnd"/>
      <w:r w:rsidRPr="00610D8F">
        <w:rPr>
          <w:rFonts w:ascii="Arial" w:hAnsi="Arial" w:cs="Arial"/>
        </w:rPr>
        <w:t>/h</w:t>
      </w:r>
      <w:r>
        <w:rPr>
          <w:rFonts w:ascii="Arial" w:hAnsi="Arial" w:cs="Arial"/>
        </w:rPr>
        <w:t xml:space="preserve"> (</w:t>
      </w:r>
      <w:proofErr w:type="spellStart"/>
      <w:r>
        <w:rPr>
          <w:rFonts w:ascii="Arial" w:hAnsi="Arial" w:cs="Arial"/>
        </w:rPr>
        <w:t>mikrosievert</w:t>
      </w:r>
      <w:proofErr w:type="spellEnd"/>
      <w:r>
        <w:rPr>
          <w:rFonts w:ascii="Arial" w:hAnsi="Arial" w:cs="Arial"/>
        </w:rPr>
        <w:t xml:space="preserve"> per hour)</w:t>
      </w:r>
      <w:r w:rsidRPr="00610D8F">
        <w:rPr>
          <w:rFonts w:ascii="Arial" w:hAnsi="Arial" w:cs="Arial"/>
        </w:rPr>
        <w:t xml:space="preserve"> units to match the units used in this study. NBD was converted based on effective working hours at the Nuclear Medicine Installation. Effective working hours at the Nuclear Medicine Installation are 8 hours per day, while effective working days are 5 days a week, and in a year there are 50 weeks.</w:t>
      </w:r>
    </w:p>
    <w:p w14:paraId="4C7FB96E" w14:textId="77777777" w:rsidR="00C34C7C" w:rsidRDefault="00C34C7C" w:rsidP="00C34C7C">
      <w:pPr>
        <w:pStyle w:val="Body"/>
        <w:spacing w:after="0"/>
        <w:rPr>
          <w:rFonts w:ascii="Arial" w:hAnsi="Arial" w:cs="Arial"/>
        </w:rPr>
      </w:pPr>
    </w:p>
    <w:p w14:paraId="318B34F1" w14:textId="77777777" w:rsidR="00C34C7C" w:rsidRPr="00602394" w:rsidRDefault="00DD2746" w:rsidP="00C34C7C">
      <w:pPr>
        <w:pStyle w:val="ListParagraph"/>
        <w:spacing w:line="240" w:lineRule="auto"/>
        <w:ind w:left="0" w:right="625"/>
        <w:jc w:val="both"/>
        <w:rPr>
          <w:rFonts w:ascii="Arial" w:eastAsiaTheme="minorEastAsia" w:hAnsi="Arial" w:cs="Arial"/>
          <w:sz w:val="18"/>
          <w:szCs w:val="18"/>
        </w:rPr>
      </w:pPr>
      <m:oMathPara>
        <m:oMathParaPr>
          <m:jc m:val="center"/>
        </m:oMathParaPr>
        <m:oMath>
          <m:f>
            <m:fPr>
              <m:type m:val="skw"/>
              <m:ctrlPr>
                <w:rPr>
                  <w:rFonts w:ascii="Cambria Math" w:eastAsiaTheme="minorEastAsia" w:hAnsi="Cambria Math" w:cs="Arial"/>
                  <w:sz w:val="18"/>
                  <w:szCs w:val="18"/>
                </w:rPr>
              </m:ctrlPr>
            </m:fPr>
            <m:num>
              <m:r>
                <m:rPr>
                  <m:sty m:val="p"/>
                </m:rPr>
                <w:rPr>
                  <w:rFonts w:ascii="Cambria Math" w:eastAsiaTheme="minorEastAsia" w:hAnsi="Cambria Math" w:cs="Arial"/>
                  <w:sz w:val="18"/>
                  <w:szCs w:val="18"/>
                </w:rPr>
                <m:t>8 hours</m:t>
              </m:r>
            </m:num>
            <m:den>
              <m:r>
                <m:rPr>
                  <m:sty m:val="p"/>
                </m:rPr>
                <w:rPr>
                  <w:rFonts w:ascii="Cambria Math" w:eastAsiaTheme="minorEastAsia" w:hAnsi="Cambria Math" w:cs="Arial"/>
                  <w:strike/>
                  <w:sz w:val="18"/>
                  <w:szCs w:val="18"/>
                </w:rPr>
                <m:t>day</m:t>
              </m:r>
            </m:den>
          </m:f>
          <m:r>
            <m:rPr>
              <m:sty m:val="p"/>
            </m:rPr>
            <w:rPr>
              <w:rFonts w:ascii="Cambria Math" w:eastAsiaTheme="minorEastAsia" w:hAnsi="Cambria Math" w:cs="Arial"/>
              <w:sz w:val="18"/>
              <w:szCs w:val="18"/>
            </w:rPr>
            <m:t xml:space="preserve">x </m:t>
          </m:r>
          <m:f>
            <m:fPr>
              <m:type m:val="skw"/>
              <m:ctrlPr>
                <w:rPr>
                  <w:rFonts w:ascii="Cambria Math" w:eastAsiaTheme="minorEastAsia" w:hAnsi="Cambria Math" w:cs="Arial"/>
                  <w:sz w:val="18"/>
                  <w:szCs w:val="18"/>
                </w:rPr>
              </m:ctrlPr>
            </m:fPr>
            <m:num>
              <m:r>
                <m:rPr>
                  <m:sty m:val="p"/>
                </m:rPr>
                <w:rPr>
                  <w:rFonts w:ascii="Cambria Math" w:eastAsiaTheme="minorEastAsia" w:hAnsi="Cambria Math" w:cs="Arial"/>
                  <w:sz w:val="18"/>
                  <w:szCs w:val="18"/>
                </w:rPr>
                <m:t xml:space="preserve">5 </m:t>
              </m:r>
              <m:r>
                <m:rPr>
                  <m:sty m:val="p"/>
                </m:rPr>
                <w:rPr>
                  <w:rFonts w:ascii="Cambria Math" w:eastAsiaTheme="minorEastAsia" w:hAnsi="Cambria Math" w:cs="Arial"/>
                  <w:strike/>
                  <w:sz w:val="18"/>
                  <w:szCs w:val="18"/>
                </w:rPr>
                <m:t>days</m:t>
              </m:r>
            </m:num>
            <m:den>
              <m:r>
                <m:rPr>
                  <m:sty m:val="p"/>
                </m:rPr>
                <w:rPr>
                  <w:rFonts w:ascii="Cambria Math" w:eastAsiaTheme="minorEastAsia" w:hAnsi="Cambria Math" w:cs="Arial"/>
                  <w:strike/>
                  <w:sz w:val="18"/>
                  <w:szCs w:val="18"/>
                </w:rPr>
                <m:t>week</m:t>
              </m:r>
            </m:den>
          </m:f>
          <m:r>
            <m:rPr>
              <m:sty m:val="p"/>
            </m:rPr>
            <w:rPr>
              <w:rFonts w:ascii="Cambria Math" w:eastAsiaTheme="minorEastAsia" w:hAnsi="Cambria Math" w:cs="Arial"/>
              <w:sz w:val="18"/>
              <w:szCs w:val="18"/>
            </w:rPr>
            <m:t xml:space="preserve">x </m:t>
          </m:r>
          <m:f>
            <m:fPr>
              <m:type m:val="skw"/>
              <m:ctrlPr>
                <w:rPr>
                  <w:rFonts w:ascii="Cambria Math" w:eastAsiaTheme="minorEastAsia" w:hAnsi="Cambria Math" w:cs="Arial"/>
                  <w:sz w:val="18"/>
                  <w:szCs w:val="18"/>
                </w:rPr>
              </m:ctrlPr>
            </m:fPr>
            <m:num>
              <m:r>
                <m:rPr>
                  <m:sty m:val="p"/>
                </m:rPr>
                <w:rPr>
                  <w:rFonts w:ascii="Cambria Math" w:eastAsiaTheme="minorEastAsia" w:hAnsi="Cambria Math" w:cs="Arial"/>
                  <w:sz w:val="18"/>
                  <w:szCs w:val="18"/>
                </w:rPr>
                <m:t xml:space="preserve">50 </m:t>
              </m:r>
              <m:r>
                <m:rPr>
                  <m:sty m:val="p"/>
                </m:rPr>
                <w:rPr>
                  <w:rFonts w:ascii="Cambria Math" w:eastAsiaTheme="minorEastAsia" w:hAnsi="Cambria Math" w:cs="Arial"/>
                  <w:strike/>
                  <w:sz w:val="18"/>
                  <w:szCs w:val="18"/>
                </w:rPr>
                <m:t>weeks</m:t>
              </m:r>
            </m:num>
            <m:den>
              <m:r>
                <m:rPr>
                  <m:sty m:val="p"/>
                </m:rPr>
                <w:rPr>
                  <w:rFonts w:ascii="Cambria Math" w:eastAsiaTheme="minorEastAsia" w:hAnsi="Cambria Math" w:cs="Arial"/>
                  <w:sz w:val="18"/>
                  <w:szCs w:val="18"/>
                </w:rPr>
                <m:t>year</m:t>
              </m:r>
            </m:den>
          </m:f>
          <m:r>
            <m:rPr>
              <m:sty m:val="p"/>
            </m:rPr>
            <w:rPr>
              <w:rFonts w:ascii="Cambria Math" w:eastAsiaTheme="minorEastAsia" w:hAnsi="Cambria Math" w:cs="Arial"/>
              <w:sz w:val="18"/>
              <w:szCs w:val="18"/>
            </w:rPr>
            <m:t xml:space="preserve">= </m:t>
          </m:r>
          <m:f>
            <m:fPr>
              <m:type m:val="skw"/>
              <m:ctrlPr>
                <w:rPr>
                  <w:rFonts w:ascii="Cambria Math" w:eastAsiaTheme="minorEastAsia" w:hAnsi="Cambria Math" w:cs="Arial"/>
                  <w:sz w:val="18"/>
                  <w:szCs w:val="18"/>
                </w:rPr>
              </m:ctrlPr>
            </m:fPr>
            <m:num>
              <m:r>
                <m:rPr>
                  <m:sty m:val="p"/>
                </m:rPr>
                <w:rPr>
                  <w:rFonts w:ascii="Cambria Math" w:eastAsiaTheme="minorEastAsia" w:hAnsi="Cambria Math" w:cs="Arial"/>
                  <w:sz w:val="18"/>
                  <w:szCs w:val="18"/>
                </w:rPr>
                <m:t>2000 hours</m:t>
              </m:r>
            </m:num>
            <m:den>
              <m:r>
                <m:rPr>
                  <m:sty m:val="p"/>
                </m:rPr>
                <w:rPr>
                  <w:rFonts w:ascii="Cambria Math" w:eastAsiaTheme="minorEastAsia" w:hAnsi="Cambria Math" w:cs="Arial"/>
                  <w:sz w:val="18"/>
                  <w:szCs w:val="18"/>
                </w:rPr>
                <m:t>year</m:t>
              </m:r>
            </m:den>
          </m:f>
        </m:oMath>
      </m:oMathPara>
    </w:p>
    <w:p w14:paraId="5AF985B4" w14:textId="77777777" w:rsidR="00C34C7C" w:rsidRDefault="00C34C7C" w:rsidP="00C34C7C">
      <w:pPr>
        <w:pStyle w:val="Body"/>
        <w:spacing w:after="0"/>
        <w:rPr>
          <w:rFonts w:ascii="Arial" w:hAnsi="Arial" w:cs="Arial"/>
          <w:b/>
        </w:rPr>
      </w:pPr>
    </w:p>
    <w:p w14:paraId="5181199E" w14:textId="60C09DBC" w:rsidR="00C34C7C" w:rsidRDefault="00C34C7C" w:rsidP="00C34C7C">
      <w:pPr>
        <w:pStyle w:val="Body"/>
        <w:spacing w:after="0"/>
        <w:rPr>
          <w:rFonts w:ascii="Arial" w:hAnsi="Arial" w:cs="Arial"/>
        </w:rPr>
      </w:pPr>
      <w:r w:rsidRPr="00AC36AF">
        <w:rPr>
          <w:rFonts w:ascii="Arial" w:hAnsi="Arial" w:cs="Arial"/>
        </w:rPr>
        <w:t xml:space="preserve">then the effective working hours </w:t>
      </w:r>
      <w:r>
        <w:rPr>
          <w:rFonts w:ascii="Arial" w:hAnsi="Arial" w:cs="Arial"/>
        </w:rPr>
        <w:t xml:space="preserve">in one year are 2000 hours, so </w:t>
      </w:r>
      <w:r w:rsidRPr="00AC36AF">
        <w:rPr>
          <w:rFonts w:ascii="Arial" w:hAnsi="Arial" w:cs="Arial"/>
        </w:rPr>
        <w:t xml:space="preserve">NBD for the </w:t>
      </w:r>
      <w:r w:rsidRPr="00610D8F">
        <w:rPr>
          <w:rFonts w:ascii="Arial" w:hAnsi="Arial" w:cs="Arial"/>
        </w:rPr>
        <w:t>gamma radiation</w:t>
      </w:r>
      <w:r>
        <w:rPr>
          <w:rFonts w:ascii="Arial" w:hAnsi="Arial" w:cs="Arial"/>
        </w:rPr>
        <w:t xml:space="preserve"> exposure rate if converted into </w:t>
      </w:r>
      <w:proofErr w:type="spellStart"/>
      <w:r w:rsidRPr="00AC36AF">
        <w:rPr>
          <w:rFonts w:ascii="Arial" w:hAnsi="Arial" w:cs="Arial"/>
        </w:rPr>
        <w:t>μSv</w:t>
      </w:r>
      <w:proofErr w:type="spellEnd"/>
      <w:r w:rsidRPr="00AC36AF">
        <w:rPr>
          <w:rFonts w:ascii="Arial" w:hAnsi="Arial" w:cs="Arial"/>
        </w:rPr>
        <w:t xml:space="preserve"> / h</w:t>
      </w:r>
      <w:r>
        <w:rPr>
          <w:rFonts w:ascii="Arial" w:hAnsi="Arial" w:cs="Arial"/>
        </w:rPr>
        <w:t xml:space="preserve"> units</w:t>
      </w:r>
      <w:r w:rsidRPr="00AC36AF">
        <w:rPr>
          <w:rFonts w:ascii="Arial" w:hAnsi="Arial" w:cs="Arial"/>
        </w:rPr>
        <w:t>, then obtained:</w:t>
      </w:r>
    </w:p>
    <w:p w14:paraId="183D34DA" w14:textId="77777777" w:rsidR="00C34C7C" w:rsidRDefault="00C34C7C" w:rsidP="00C34C7C">
      <w:pPr>
        <w:pStyle w:val="Body"/>
        <w:spacing w:after="0"/>
        <w:rPr>
          <w:rFonts w:ascii="Arial" w:hAnsi="Arial" w:cs="Arial"/>
        </w:rPr>
      </w:pPr>
    </w:p>
    <w:p w14:paraId="38DC9F9B" w14:textId="77777777" w:rsidR="00C34C7C" w:rsidRPr="00C34C7C" w:rsidRDefault="00DD2746" w:rsidP="00C34C7C">
      <w:pPr>
        <w:pStyle w:val="Body"/>
        <w:spacing w:after="0"/>
        <w:ind w:left="-284" w:right="-225" w:hanging="709"/>
        <w:rPr>
          <w:rFonts w:ascii="Arial" w:hAnsi="Arial" w:cs="Arial"/>
          <w:sz w:val="18"/>
        </w:rPr>
      </w:pPr>
      <m:oMathPara>
        <m:oMath>
          <m:f>
            <m:fPr>
              <m:type m:val="skw"/>
              <m:ctrlPr>
                <w:rPr>
                  <w:rFonts w:ascii="Cambria Math" w:eastAsiaTheme="minorEastAsia" w:hAnsi="Cambria Math" w:cs="Arial"/>
                  <w:sz w:val="18"/>
                </w:rPr>
              </m:ctrlPr>
            </m:fPr>
            <m:num>
              <m:r>
                <m:rPr>
                  <m:sty m:val="p"/>
                </m:rPr>
                <w:rPr>
                  <w:rFonts w:ascii="Cambria Math" w:eastAsiaTheme="minorEastAsia" w:hAnsi="Cambria Math" w:cs="Arial"/>
                  <w:sz w:val="18"/>
                </w:rPr>
                <m:t>20 mSv</m:t>
              </m:r>
            </m:num>
            <m:den>
              <m:r>
                <m:rPr>
                  <m:sty m:val="p"/>
                </m:rPr>
                <w:rPr>
                  <w:rFonts w:ascii="Cambria Math" w:eastAsiaTheme="minorEastAsia" w:hAnsi="Cambria Math" w:cs="Arial"/>
                  <w:sz w:val="18"/>
                </w:rPr>
                <m:t>th</m:t>
              </m:r>
            </m:den>
          </m:f>
          <m:r>
            <m:rPr>
              <m:sty m:val="p"/>
            </m:rPr>
            <w:rPr>
              <w:rFonts w:ascii="Cambria Math" w:eastAsiaTheme="minorEastAsia" w:hAnsi="Cambria Math" w:cs="Arial"/>
              <w:sz w:val="18"/>
            </w:rPr>
            <m:t xml:space="preserve">= </m:t>
          </m:r>
          <m:f>
            <m:fPr>
              <m:type m:val="skw"/>
              <m:ctrlPr>
                <w:rPr>
                  <w:rFonts w:ascii="Cambria Math" w:eastAsiaTheme="minorEastAsia" w:hAnsi="Cambria Math" w:cs="Arial"/>
                  <w:sz w:val="18"/>
                </w:rPr>
              </m:ctrlPr>
            </m:fPr>
            <m:num>
              <m:r>
                <m:rPr>
                  <m:sty m:val="p"/>
                </m:rPr>
                <w:rPr>
                  <w:rFonts w:ascii="Cambria Math" w:eastAsiaTheme="minorEastAsia" w:hAnsi="Cambria Math" w:cs="Arial"/>
                  <w:sz w:val="18"/>
                </w:rPr>
                <m:t>20.</m:t>
              </m:r>
              <m:r>
                <m:rPr>
                  <m:sty m:val="p"/>
                </m:rPr>
                <w:rPr>
                  <w:rFonts w:ascii="Cambria Math" w:eastAsiaTheme="minorEastAsia" w:hAnsi="Cambria Math" w:cs="Arial"/>
                  <w:strike/>
                  <w:sz w:val="18"/>
                </w:rPr>
                <m:t>000</m:t>
              </m:r>
              <m:r>
                <m:rPr>
                  <m:sty m:val="p"/>
                </m:rPr>
                <w:rPr>
                  <w:rFonts w:ascii="Cambria Math" w:eastAsiaTheme="minorEastAsia" w:hAnsi="Cambria Math" w:cs="Arial"/>
                  <w:sz w:val="18"/>
                </w:rPr>
                <m:t xml:space="preserve"> μSv</m:t>
              </m:r>
            </m:num>
            <m:den>
              <m:r>
                <m:rPr>
                  <m:sty m:val="p"/>
                </m:rPr>
                <w:rPr>
                  <w:rFonts w:ascii="Cambria Math" w:eastAsiaTheme="minorEastAsia" w:hAnsi="Cambria Math" w:cs="Arial"/>
                  <w:sz w:val="18"/>
                </w:rPr>
                <m:t>2</m:t>
              </m:r>
              <m:r>
                <m:rPr>
                  <m:sty m:val="p"/>
                </m:rPr>
                <w:rPr>
                  <w:rFonts w:ascii="Cambria Math" w:eastAsiaTheme="minorEastAsia" w:hAnsi="Cambria Math" w:cs="Arial"/>
                  <w:strike/>
                  <w:sz w:val="18"/>
                </w:rPr>
                <m:t>000</m:t>
              </m:r>
              <m:r>
                <m:rPr>
                  <m:sty m:val="p"/>
                </m:rPr>
                <w:rPr>
                  <w:rFonts w:ascii="Cambria Math" w:eastAsiaTheme="minorEastAsia" w:hAnsi="Cambria Math" w:cs="Arial"/>
                  <w:sz w:val="18"/>
                </w:rPr>
                <m:t xml:space="preserve"> h</m:t>
              </m:r>
            </m:den>
          </m:f>
          <m:r>
            <m:rPr>
              <m:sty m:val="p"/>
            </m:rPr>
            <w:rPr>
              <w:rFonts w:ascii="Cambria Math" w:eastAsiaTheme="minorEastAsia" w:hAnsi="Cambria Math" w:cs="Arial"/>
              <w:sz w:val="18"/>
            </w:rPr>
            <m:t xml:space="preserve">= </m:t>
          </m:r>
          <m:f>
            <m:fPr>
              <m:type m:val="skw"/>
              <m:ctrlPr>
                <w:rPr>
                  <w:rFonts w:ascii="Cambria Math" w:eastAsiaTheme="minorEastAsia" w:hAnsi="Cambria Math" w:cs="Arial"/>
                  <w:sz w:val="18"/>
                </w:rPr>
              </m:ctrlPr>
            </m:fPr>
            <m:num>
              <m:r>
                <m:rPr>
                  <m:sty m:val="p"/>
                </m:rPr>
                <w:rPr>
                  <w:rFonts w:ascii="Cambria Math" w:eastAsiaTheme="minorEastAsia" w:hAnsi="Cambria Math" w:cs="Arial"/>
                  <w:sz w:val="18"/>
                </w:rPr>
                <m:t>10 μSv</m:t>
              </m:r>
            </m:num>
            <m:den>
              <m:r>
                <m:rPr>
                  <m:sty m:val="p"/>
                </m:rPr>
                <w:rPr>
                  <w:rFonts w:ascii="Cambria Math" w:eastAsiaTheme="minorEastAsia" w:hAnsi="Cambria Math" w:cs="Arial"/>
                  <w:sz w:val="18"/>
                </w:rPr>
                <m:t xml:space="preserve"> h</m:t>
              </m:r>
            </m:den>
          </m:f>
        </m:oMath>
      </m:oMathPara>
    </w:p>
    <w:p w14:paraId="7F213AE0" w14:textId="77777777" w:rsidR="00C34C7C" w:rsidRDefault="00C34C7C" w:rsidP="00C34C7C">
      <w:pPr>
        <w:pStyle w:val="Body"/>
        <w:spacing w:after="0"/>
        <w:rPr>
          <w:rFonts w:ascii="Arial" w:hAnsi="Arial" w:cs="Arial"/>
          <w:b/>
        </w:rPr>
      </w:pPr>
    </w:p>
    <w:p w14:paraId="78F3262D" w14:textId="05C1F0A2" w:rsidR="00C34C7C" w:rsidRDefault="00C34C7C" w:rsidP="00C34C7C">
      <w:pPr>
        <w:pStyle w:val="Body"/>
        <w:spacing w:after="0"/>
        <w:rPr>
          <w:rFonts w:ascii="Arial" w:hAnsi="Arial" w:cs="Arial"/>
        </w:rPr>
      </w:pPr>
      <w:r>
        <w:rPr>
          <w:rFonts w:ascii="Arial" w:hAnsi="Arial" w:cs="Arial"/>
        </w:rPr>
        <w:t xml:space="preserve">and </w:t>
      </w:r>
      <w:r w:rsidRPr="00AC36AF">
        <w:rPr>
          <w:rFonts w:ascii="Arial" w:hAnsi="Arial" w:cs="Arial"/>
        </w:rPr>
        <w:t xml:space="preserve">NBD for the </w:t>
      </w:r>
      <w:r>
        <w:rPr>
          <w:rFonts w:ascii="Arial" w:hAnsi="Arial" w:cs="Arial"/>
        </w:rPr>
        <w:t>beta</w:t>
      </w:r>
      <w:r w:rsidRPr="00610D8F">
        <w:rPr>
          <w:rFonts w:ascii="Arial" w:hAnsi="Arial" w:cs="Arial"/>
        </w:rPr>
        <w:t xml:space="preserve"> radiation</w:t>
      </w:r>
      <w:r>
        <w:rPr>
          <w:rFonts w:ascii="Arial" w:hAnsi="Arial" w:cs="Arial"/>
        </w:rPr>
        <w:t xml:space="preserve"> exposure rate if converted into </w:t>
      </w:r>
      <w:proofErr w:type="spellStart"/>
      <w:r w:rsidRPr="00AC36AF">
        <w:rPr>
          <w:rFonts w:ascii="Arial" w:hAnsi="Arial" w:cs="Arial"/>
        </w:rPr>
        <w:t>μSv</w:t>
      </w:r>
      <w:proofErr w:type="spellEnd"/>
      <w:r w:rsidRPr="00AC36AF">
        <w:rPr>
          <w:rFonts w:ascii="Arial" w:hAnsi="Arial" w:cs="Arial"/>
        </w:rPr>
        <w:t xml:space="preserve"> / h</w:t>
      </w:r>
      <w:r>
        <w:rPr>
          <w:rFonts w:ascii="Arial" w:hAnsi="Arial" w:cs="Arial"/>
        </w:rPr>
        <w:t xml:space="preserve"> units</w:t>
      </w:r>
      <w:r w:rsidRPr="00AC36AF">
        <w:rPr>
          <w:rFonts w:ascii="Arial" w:hAnsi="Arial" w:cs="Arial"/>
        </w:rPr>
        <w:t>, then obtained:</w:t>
      </w:r>
    </w:p>
    <w:p w14:paraId="7C3930EB" w14:textId="77777777" w:rsidR="00C34C7C" w:rsidRDefault="00C34C7C" w:rsidP="00C34C7C">
      <w:pPr>
        <w:pStyle w:val="Body"/>
        <w:spacing w:after="0"/>
        <w:rPr>
          <w:rFonts w:ascii="Arial" w:hAnsi="Arial" w:cs="Arial"/>
        </w:rPr>
      </w:pPr>
    </w:p>
    <w:p w14:paraId="08CB993A" w14:textId="77777777" w:rsidR="00C34C7C" w:rsidRPr="00602394" w:rsidRDefault="00DD2746" w:rsidP="00C34C7C">
      <w:pPr>
        <w:pStyle w:val="ListParagraph"/>
        <w:tabs>
          <w:tab w:val="left" w:pos="284"/>
          <w:tab w:val="left" w:pos="1552"/>
        </w:tabs>
        <w:spacing w:line="240" w:lineRule="auto"/>
        <w:ind w:left="-851" w:right="-367" w:hanging="567"/>
        <w:jc w:val="both"/>
        <w:rPr>
          <w:rFonts w:eastAsiaTheme="minorEastAsia" w:cs="Times New Roman"/>
          <w:sz w:val="18"/>
          <w:szCs w:val="20"/>
        </w:rPr>
      </w:pPr>
      <m:oMathPara>
        <m:oMath>
          <m:f>
            <m:fPr>
              <m:type m:val="skw"/>
              <m:ctrlPr>
                <w:rPr>
                  <w:rFonts w:ascii="Cambria Math" w:eastAsiaTheme="minorEastAsia" w:hAnsi="Cambria Math" w:cs="Times New Roman"/>
                  <w:sz w:val="18"/>
                  <w:szCs w:val="20"/>
                </w:rPr>
              </m:ctrlPr>
            </m:fPr>
            <m:num>
              <m:r>
                <m:rPr>
                  <m:sty m:val="p"/>
                </m:rPr>
                <w:rPr>
                  <w:rFonts w:ascii="Cambria Math" w:eastAsiaTheme="minorEastAsia" w:hAnsi="Cambria Math" w:cs="Times New Roman"/>
                  <w:sz w:val="18"/>
                  <w:szCs w:val="20"/>
                </w:rPr>
                <m:t>500 mSv</m:t>
              </m:r>
            </m:num>
            <m:den>
              <m:r>
                <m:rPr>
                  <m:sty m:val="p"/>
                </m:rPr>
                <w:rPr>
                  <w:rFonts w:ascii="Cambria Math" w:eastAsiaTheme="minorEastAsia" w:hAnsi="Cambria Math" w:cs="Times New Roman"/>
                  <w:sz w:val="18"/>
                  <w:szCs w:val="20"/>
                </w:rPr>
                <m:t>th</m:t>
              </m:r>
            </m:den>
          </m:f>
          <m:r>
            <m:rPr>
              <m:sty m:val="p"/>
            </m:rPr>
            <w:rPr>
              <w:rFonts w:ascii="Cambria Math" w:eastAsiaTheme="minorEastAsia" w:hAnsi="Cambria Math" w:cs="Times New Roman"/>
              <w:sz w:val="18"/>
              <w:szCs w:val="20"/>
            </w:rPr>
            <m:t xml:space="preserve">= </m:t>
          </m:r>
          <m:f>
            <m:fPr>
              <m:type m:val="skw"/>
              <m:ctrlPr>
                <w:rPr>
                  <w:rFonts w:ascii="Cambria Math" w:eastAsiaTheme="minorEastAsia" w:hAnsi="Cambria Math" w:cs="Times New Roman"/>
                  <w:sz w:val="18"/>
                  <w:szCs w:val="20"/>
                </w:rPr>
              </m:ctrlPr>
            </m:fPr>
            <m:num>
              <m:r>
                <m:rPr>
                  <m:sty m:val="p"/>
                </m:rPr>
                <w:rPr>
                  <w:rFonts w:ascii="Cambria Math" w:eastAsiaTheme="minorEastAsia" w:hAnsi="Cambria Math" w:cs="Times New Roman"/>
                  <w:sz w:val="18"/>
                  <w:szCs w:val="20"/>
                </w:rPr>
                <m:t>500.</m:t>
              </m:r>
              <m:r>
                <m:rPr>
                  <m:sty m:val="p"/>
                </m:rPr>
                <w:rPr>
                  <w:rFonts w:ascii="Cambria Math" w:eastAsiaTheme="minorEastAsia" w:hAnsi="Cambria Math" w:cs="Times New Roman"/>
                  <w:strike/>
                  <w:sz w:val="18"/>
                  <w:szCs w:val="20"/>
                </w:rPr>
                <m:t>000</m:t>
              </m:r>
              <m:r>
                <m:rPr>
                  <m:sty m:val="p"/>
                </m:rPr>
                <w:rPr>
                  <w:rFonts w:ascii="Cambria Math" w:eastAsiaTheme="minorEastAsia" w:hAnsi="Cambria Math" w:cs="Times New Roman"/>
                  <w:sz w:val="18"/>
                  <w:szCs w:val="20"/>
                </w:rPr>
                <m:t xml:space="preserve"> μSv</m:t>
              </m:r>
            </m:num>
            <m:den>
              <m:r>
                <m:rPr>
                  <m:sty m:val="p"/>
                </m:rPr>
                <w:rPr>
                  <w:rFonts w:ascii="Cambria Math" w:eastAsiaTheme="minorEastAsia" w:hAnsi="Cambria Math" w:cs="Times New Roman"/>
                  <w:sz w:val="18"/>
                  <w:szCs w:val="20"/>
                </w:rPr>
                <m:t>2</m:t>
              </m:r>
              <m:r>
                <m:rPr>
                  <m:sty m:val="p"/>
                </m:rPr>
                <w:rPr>
                  <w:rFonts w:ascii="Cambria Math" w:eastAsiaTheme="minorEastAsia" w:hAnsi="Cambria Math" w:cs="Times New Roman"/>
                  <w:strike/>
                  <w:sz w:val="18"/>
                  <w:szCs w:val="20"/>
                </w:rPr>
                <m:t>000</m:t>
              </m:r>
              <m:r>
                <m:rPr>
                  <m:sty m:val="p"/>
                </m:rPr>
                <w:rPr>
                  <w:rFonts w:ascii="Cambria Math" w:eastAsiaTheme="minorEastAsia" w:hAnsi="Cambria Math" w:cs="Times New Roman"/>
                  <w:sz w:val="18"/>
                  <w:szCs w:val="20"/>
                </w:rPr>
                <m:t xml:space="preserve"> h</m:t>
              </m:r>
            </m:den>
          </m:f>
          <m:r>
            <m:rPr>
              <m:sty m:val="p"/>
            </m:rPr>
            <w:rPr>
              <w:rFonts w:ascii="Cambria Math" w:eastAsiaTheme="minorEastAsia" w:hAnsi="Cambria Math" w:cs="Times New Roman"/>
              <w:sz w:val="18"/>
              <w:szCs w:val="20"/>
            </w:rPr>
            <m:t xml:space="preserve">= </m:t>
          </m:r>
          <m:f>
            <m:fPr>
              <m:type m:val="skw"/>
              <m:ctrlPr>
                <w:rPr>
                  <w:rFonts w:ascii="Cambria Math" w:eastAsiaTheme="minorEastAsia" w:hAnsi="Cambria Math" w:cs="Times New Roman"/>
                  <w:sz w:val="18"/>
                  <w:szCs w:val="20"/>
                </w:rPr>
              </m:ctrlPr>
            </m:fPr>
            <m:num>
              <m:r>
                <m:rPr>
                  <m:sty m:val="p"/>
                </m:rPr>
                <w:rPr>
                  <w:rFonts w:ascii="Cambria Math" w:eastAsiaTheme="minorEastAsia" w:hAnsi="Cambria Math" w:cs="Times New Roman"/>
                  <w:sz w:val="18"/>
                  <w:szCs w:val="20"/>
                </w:rPr>
                <m:t>250 μSv</m:t>
              </m:r>
            </m:num>
            <m:den>
              <m:r>
                <m:rPr>
                  <m:sty m:val="p"/>
                </m:rPr>
                <w:rPr>
                  <w:rFonts w:ascii="Cambria Math" w:eastAsiaTheme="minorEastAsia" w:hAnsi="Cambria Math" w:cs="Times New Roman"/>
                  <w:sz w:val="18"/>
                  <w:szCs w:val="20"/>
                </w:rPr>
                <m:t xml:space="preserve"> h</m:t>
              </m:r>
            </m:den>
          </m:f>
        </m:oMath>
      </m:oMathPara>
    </w:p>
    <w:p w14:paraId="230C9159" w14:textId="77777777" w:rsidR="00C34C7C" w:rsidRDefault="00C34C7C" w:rsidP="00C34C7C">
      <w:pPr>
        <w:pStyle w:val="Body"/>
        <w:spacing w:after="0"/>
        <w:rPr>
          <w:rFonts w:ascii="Arial" w:hAnsi="Arial" w:cs="Arial"/>
          <w:b/>
        </w:rPr>
      </w:pPr>
    </w:p>
    <w:p w14:paraId="39169ECF" w14:textId="77777777" w:rsidR="00C34C7C" w:rsidRDefault="00C34C7C" w:rsidP="00C34C7C">
      <w:pPr>
        <w:pStyle w:val="Body"/>
        <w:spacing w:after="0"/>
        <w:rPr>
          <w:rFonts w:ascii="Arial" w:hAnsi="Arial" w:cs="Arial"/>
          <w:b/>
        </w:rPr>
      </w:pPr>
    </w:p>
    <w:p w14:paraId="33D7335B" w14:textId="199D82B1" w:rsidR="00C34C7C" w:rsidRDefault="00C34C7C" w:rsidP="00C34C7C">
      <w:pPr>
        <w:pStyle w:val="Body"/>
        <w:spacing w:after="0"/>
        <w:rPr>
          <w:rFonts w:ascii="Arial" w:hAnsi="Arial" w:cs="Arial"/>
        </w:rPr>
      </w:pPr>
      <w:r>
        <w:rPr>
          <w:rFonts w:ascii="Arial" w:hAnsi="Arial" w:cs="Arial"/>
        </w:rPr>
        <w:t>T</w:t>
      </w:r>
      <w:r w:rsidRPr="00CE7740">
        <w:rPr>
          <w:rFonts w:ascii="Arial" w:hAnsi="Arial" w:cs="Arial"/>
        </w:rPr>
        <w:t xml:space="preserve">he data in Table 1 were subjected to a normality </w:t>
      </w:r>
      <w:r>
        <w:rPr>
          <w:rFonts w:ascii="Arial" w:hAnsi="Arial" w:cs="Arial"/>
        </w:rPr>
        <w:t xml:space="preserve">test as a requirement for a one </w:t>
      </w:r>
      <w:r w:rsidRPr="00CE7740">
        <w:rPr>
          <w:rFonts w:ascii="Arial" w:hAnsi="Arial" w:cs="Arial"/>
        </w:rPr>
        <w:t xml:space="preserve">sample t-test to compare gamma radiation </w:t>
      </w:r>
      <w:r w:rsidRPr="00CE7740">
        <w:rPr>
          <w:rFonts w:ascii="Arial" w:hAnsi="Arial" w:cs="Arial"/>
        </w:rPr>
        <w:t>exposure rates a</w:t>
      </w:r>
      <w:r>
        <w:rPr>
          <w:rFonts w:ascii="Arial" w:hAnsi="Arial" w:cs="Arial"/>
        </w:rPr>
        <w:t xml:space="preserve">nd beta radiation exposure rates </w:t>
      </w:r>
      <w:r w:rsidRPr="00CE7740">
        <w:rPr>
          <w:rFonts w:ascii="Arial" w:hAnsi="Arial" w:cs="Arial"/>
        </w:rPr>
        <w:t>with NBD. T</w:t>
      </w:r>
      <w:r>
        <w:rPr>
          <w:rFonts w:ascii="Arial" w:hAnsi="Arial" w:cs="Arial"/>
        </w:rPr>
        <w:t xml:space="preserve">he results of normality and one </w:t>
      </w:r>
      <w:r w:rsidRPr="00CE7740">
        <w:rPr>
          <w:rFonts w:ascii="Arial" w:hAnsi="Arial" w:cs="Arial"/>
        </w:rPr>
        <w:t>sample t-test are shown in Table 2 and Table 3.</w:t>
      </w:r>
    </w:p>
    <w:p w14:paraId="58AA6141" w14:textId="77777777" w:rsidR="00C34C7C" w:rsidRDefault="00C34C7C" w:rsidP="00C34C7C">
      <w:pPr>
        <w:pStyle w:val="Body"/>
        <w:spacing w:after="0"/>
        <w:rPr>
          <w:rFonts w:ascii="Arial" w:hAnsi="Arial" w:cs="Arial"/>
        </w:rPr>
      </w:pPr>
    </w:p>
    <w:p w14:paraId="1214E3D8" w14:textId="77777777" w:rsidR="00C34C7C" w:rsidRDefault="00C34C7C" w:rsidP="00C34C7C">
      <w:pPr>
        <w:pStyle w:val="Body"/>
        <w:spacing w:after="0"/>
        <w:jc w:val="center"/>
        <w:rPr>
          <w:rFonts w:ascii="Arial" w:hAnsi="Arial" w:cs="Arial"/>
          <w:b/>
        </w:rPr>
      </w:pPr>
      <w:r w:rsidRPr="001F1B5E">
        <w:rPr>
          <w:rFonts w:ascii="Arial" w:hAnsi="Arial" w:cs="Arial"/>
          <w:b/>
        </w:rPr>
        <w:t>Table 2. Normality test result</w:t>
      </w:r>
    </w:p>
    <w:p w14:paraId="4675881F" w14:textId="77777777" w:rsidR="00C34C7C" w:rsidRPr="001F1B5E" w:rsidRDefault="00C34C7C" w:rsidP="00C34C7C">
      <w:pPr>
        <w:pStyle w:val="Body"/>
        <w:spacing w:after="0"/>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71"/>
      </w:tblGrid>
      <w:tr w:rsidR="00C34C7C" w14:paraId="1CA48619" w14:textId="77777777" w:rsidTr="00A76CE4">
        <w:trPr>
          <w:jc w:val="center"/>
        </w:trPr>
        <w:tc>
          <w:tcPr>
            <w:tcW w:w="2263" w:type="dxa"/>
          </w:tcPr>
          <w:p w14:paraId="25F3DF03" w14:textId="77777777" w:rsidR="00C34C7C" w:rsidRPr="001825CA" w:rsidRDefault="00C34C7C" w:rsidP="00A76CE4">
            <w:pPr>
              <w:pStyle w:val="ListParagraph"/>
              <w:spacing w:line="240" w:lineRule="auto"/>
              <w:ind w:left="0"/>
              <w:jc w:val="center"/>
              <w:outlineLvl w:val="2"/>
              <w:rPr>
                <w:rFonts w:ascii="Arial" w:eastAsiaTheme="minorEastAsia" w:hAnsi="Arial" w:cs="Arial"/>
                <w:b/>
                <w:sz w:val="20"/>
                <w:szCs w:val="20"/>
              </w:rPr>
            </w:pPr>
            <w:r w:rsidRPr="001825CA">
              <w:rPr>
                <w:rFonts w:ascii="Arial" w:eastAsiaTheme="minorEastAsia" w:hAnsi="Arial" w:cs="Arial"/>
                <w:b/>
                <w:sz w:val="20"/>
                <w:szCs w:val="20"/>
              </w:rPr>
              <w:t>Tested variables</w:t>
            </w:r>
          </w:p>
        </w:tc>
        <w:tc>
          <w:tcPr>
            <w:tcW w:w="1471" w:type="dxa"/>
          </w:tcPr>
          <w:p w14:paraId="17BF3016" w14:textId="77777777" w:rsidR="00C34C7C" w:rsidRPr="001825CA" w:rsidRDefault="00C34C7C" w:rsidP="00A76CE4">
            <w:pPr>
              <w:pStyle w:val="ListParagraph"/>
              <w:spacing w:line="240" w:lineRule="auto"/>
              <w:ind w:left="0"/>
              <w:jc w:val="center"/>
              <w:outlineLvl w:val="2"/>
              <w:rPr>
                <w:rFonts w:ascii="Arial" w:eastAsiaTheme="minorEastAsia" w:hAnsi="Arial" w:cs="Arial"/>
                <w:b/>
                <w:sz w:val="20"/>
                <w:szCs w:val="20"/>
              </w:rPr>
            </w:pPr>
            <w:r w:rsidRPr="001825CA">
              <w:rPr>
                <w:rFonts w:ascii="Arial" w:eastAsiaTheme="minorEastAsia" w:hAnsi="Arial" w:cs="Arial"/>
                <w:b/>
                <w:sz w:val="20"/>
                <w:szCs w:val="20"/>
              </w:rPr>
              <w:t>Signification value</w:t>
            </w:r>
          </w:p>
        </w:tc>
      </w:tr>
      <w:tr w:rsidR="00C34C7C" w14:paraId="4067C641" w14:textId="77777777" w:rsidTr="00A76CE4">
        <w:trPr>
          <w:jc w:val="center"/>
        </w:trPr>
        <w:tc>
          <w:tcPr>
            <w:tcW w:w="2263" w:type="dxa"/>
          </w:tcPr>
          <w:p w14:paraId="6EB93935" w14:textId="77777777" w:rsidR="00C34C7C" w:rsidRPr="001825CA" w:rsidRDefault="00C34C7C" w:rsidP="00A76CE4">
            <w:pPr>
              <w:pStyle w:val="ListParagraph"/>
              <w:spacing w:line="240" w:lineRule="auto"/>
              <w:ind w:left="0"/>
              <w:jc w:val="both"/>
              <w:outlineLvl w:val="2"/>
              <w:rPr>
                <w:rFonts w:ascii="Arial" w:eastAsiaTheme="minorEastAsia" w:hAnsi="Arial" w:cs="Arial"/>
                <w:sz w:val="20"/>
                <w:szCs w:val="20"/>
              </w:rPr>
            </w:pPr>
            <w:r w:rsidRPr="001825CA">
              <w:rPr>
                <w:rFonts w:ascii="Arial" w:eastAsiaTheme="minorEastAsia" w:hAnsi="Arial" w:cs="Arial"/>
                <w:sz w:val="20"/>
                <w:szCs w:val="20"/>
              </w:rPr>
              <w:t>Gamma radiation exposure rate</w:t>
            </w:r>
          </w:p>
        </w:tc>
        <w:tc>
          <w:tcPr>
            <w:tcW w:w="1471" w:type="dxa"/>
          </w:tcPr>
          <w:p w14:paraId="52D49512" w14:textId="77777777" w:rsidR="00C34C7C" w:rsidRPr="001825CA" w:rsidRDefault="00C34C7C" w:rsidP="00A76CE4">
            <w:pPr>
              <w:pStyle w:val="ListParagraph"/>
              <w:spacing w:line="240" w:lineRule="auto"/>
              <w:ind w:left="0"/>
              <w:jc w:val="center"/>
              <w:outlineLvl w:val="2"/>
              <w:rPr>
                <w:rFonts w:ascii="Arial" w:eastAsiaTheme="minorEastAsia" w:hAnsi="Arial" w:cs="Arial"/>
                <w:sz w:val="20"/>
                <w:szCs w:val="20"/>
              </w:rPr>
            </w:pPr>
            <w:r>
              <w:rPr>
                <w:rFonts w:ascii="Arial" w:eastAsiaTheme="minorEastAsia" w:hAnsi="Arial" w:cs="Arial"/>
                <w:sz w:val="20"/>
                <w:szCs w:val="20"/>
              </w:rPr>
              <w:t>.</w:t>
            </w:r>
            <w:r w:rsidRPr="001825CA">
              <w:rPr>
                <w:rFonts w:ascii="Arial" w:eastAsiaTheme="minorEastAsia" w:hAnsi="Arial" w:cs="Arial"/>
                <w:sz w:val="20"/>
                <w:szCs w:val="20"/>
              </w:rPr>
              <w:t>872</w:t>
            </w:r>
          </w:p>
        </w:tc>
      </w:tr>
      <w:tr w:rsidR="00C34C7C" w14:paraId="519269D0" w14:textId="77777777" w:rsidTr="00A76CE4">
        <w:trPr>
          <w:jc w:val="center"/>
        </w:trPr>
        <w:tc>
          <w:tcPr>
            <w:tcW w:w="2263" w:type="dxa"/>
          </w:tcPr>
          <w:p w14:paraId="682D88F9" w14:textId="77777777" w:rsidR="00C34C7C" w:rsidRPr="001825CA" w:rsidRDefault="00C34C7C" w:rsidP="00A76CE4">
            <w:pPr>
              <w:pStyle w:val="ListParagraph"/>
              <w:spacing w:line="240" w:lineRule="auto"/>
              <w:ind w:left="0"/>
              <w:jc w:val="both"/>
              <w:outlineLvl w:val="2"/>
              <w:rPr>
                <w:rFonts w:ascii="Arial" w:eastAsiaTheme="minorEastAsia" w:hAnsi="Arial" w:cs="Arial"/>
                <w:sz w:val="20"/>
                <w:szCs w:val="20"/>
              </w:rPr>
            </w:pPr>
            <w:r w:rsidRPr="001825CA">
              <w:rPr>
                <w:rFonts w:ascii="Arial" w:eastAsiaTheme="minorEastAsia" w:hAnsi="Arial" w:cs="Arial"/>
                <w:sz w:val="20"/>
                <w:szCs w:val="20"/>
              </w:rPr>
              <w:t>Beta radiation exposure rate</w:t>
            </w:r>
          </w:p>
        </w:tc>
        <w:tc>
          <w:tcPr>
            <w:tcW w:w="1471" w:type="dxa"/>
          </w:tcPr>
          <w:p w14:paraId="35EC9EBC" w14:textId="77777777" w:rsidR="00C34C7C" w:rsidRPr="001825CA" w:rsidRDefault="00C34C7C" w:rsidP="00A76CE4">
            <w:pPr>
              <w:pStyle w:val="ListParagraph"/>
              <w:spacing w:line="240" w:lineRule="auto"/>
              <w:ind w:left="0"/>
              <w:jc w:val="center"/>
              <w:outlineLvl w:val="2"/>
              <w:rPr>
                <w:rFonts w:ascii="Arial" w:eastAsiaTheme="minorEastAsia" w:hAnsi="Arial" w:cs="Arial"/>
                <w:sz w:val="20"/>
                <w:szCs w:val="20"/>
              </w:rPr>
            </w:pPr>
            <w:r>
              <w:rPr>
                <w:rFonts w:ascii="Arial" w:eastAsiaTheme="minorEastAsia" w:hAnsi="Arial" w:cs="Arial"/>
                <w:sz w:val="20"/>
                <w:szCs w:val="20"/>
              </w:rPr>
              <w:t>.</w:t>
            </w:r>
            <w:r w:rsidRPr="001825CA">
              <w:rPr>
                <w:rFonts w:ascii="Arial" w:eastAsiaTheme="minorEastAsia" w:hAnsi="Arial" w:cs="Arial"/>
                <w:sz w:val="20"/>
                <w:szCs w:val="20"/>
              </w:rPr>
              <w:t>955</w:t>
            </w:r>
          </w:p>
        </w:tc>
      </w:tr>
    </w:tbl>
    <w:p w14:paraId="7DCC3D7C" w14:textId="77777777" w:rsidR="001F1B5E" w:rsidRDefault="001F1B5E" w:rsidP="00AB3AE5">
      <w:pPr>
        <w:pStyle w:val="Body"/>
        <w:spacing w:after="0"/>
        <w:jc w:val="center"/>
        <w:rPr>
          <w:rFonts w:ascii="Arial" w:hAnsi="Arial" w:cs="Arial"/>
        </w:rPr>
      </w:pPr>
    </w:p>
    <w:p w14:paraId="0BDC8969" w14:textId="21093277" w:rsidR="00721F30" w:rsidRDefault="00721F30" w:rsidP="00AB3AE5">
      <w:pPr>
        <w:pStyle w:val="NormalWeb"/>
        <w:spacing w:before="0" w:beforeAutospacing="0" w:after="0" w:afterAutospacing="0"/>
        <w:jc w:val="both"/>
        <w:rPr>
          <w:rFonts w:ascii="Arial" w:hAnsi="Arial" w:cs="Arial"/>
          <w:sz w:val="20"/>
        </w:rPr>
      </w:pPr>
      <w:r w:rsidRPr="005366DD">
        <w:rPr>
          <w:rFonts w:ascii="Arial" w:hAnsi="Arial" w:cs="Arial"/>
          <w:sz w:val="20"/>
        </w:rPr>
        <w:t xml:space="preserve">The significance value obtained is more than .05, so the data of gamma radiation exposure rate and beta radiation exposure rate are normally distributed, so it is </w:t>
      </w:r>
      <w:r w:rsidR="00602394">
        <w:rPr>
          <w:rFonts w:ascii="Arial" w:hAnsi="Arial" w:cs="Arial"/>
          <w:sz w:val="20"/>
        </w:rPr>
        <w:t>eligible to do the t-test.</w:t>
      </w:r>
    </w:p>
    <w:p w14:paraId="19B71E11" w14:textId="77777777" w:rsidR="00602394" w:rsidRDefault="00602394" w:rsidP="00AB3AE5">
      <w:pPr>
        <w:pStyle w:val="NormalWeb"/>
        <w:spacing w:before="0" w:beforeAutospacing="0" w:after="0" w:afterAutospacing="0"/>
        <w:jc w:val="both"/>
        <w:rPr>
          <w:rFonts w:ascii="Arial" w:hAnsi="Arial" w:cs="Arial"/>
          <w:sz w:val="20"/>
        </w:rPr>
      </w:pPr>
    </w:p>
    <w:p w14:paraId="0F1B4ED1" w14:textId="77777777" w:rsidR="00FA3851" w:rsidRDefault="00FA3851" w:rsidP="00AB3AE5">
      <w:pPr>
        <w:pStyle w:val="NormalWeb"/>
        <w:spacing w:before="0" w:beforeAutospacing="0" w:after="0" w:afterAutospacing="0"/>
        <w:jc w:val="both"/>
        <w:rPr>
          <w:rFonts w:ascii="Arial" w:hAnsi="Arial" w:cs="Arial"/>
          <w:sz w:val="20"/>
        </w:rPr>
      </w:pPr>
    </w:p>
    <w:p w14:paraId="25AB673E" w14:textId="77777777" w:rsidR="00FA3851" w:rsidRDefault="00FA3851" w:rsidP="00AB3AE5">
      <w:pPr>
        <w:pStyle w:val="NormalWeb"/>
        <w:spacing w:before="0" w:beforeAutospacing="0" w:after="0" w:afterAutospacing="0"/>
        <w:jc w:val="both"/>
        <w:rPr>
          <w:rFonts w:ascii="Arial" w:hAnsi="Arial" w:cs="Arial"/>
          <w:sz w:val="20"/>
        </w:rPr>
      </w:pPr>
    </w:p>
    <w:p w14:paraId="3BA47BA8" w14:textId="77777777" w:rsidR="00FA3851" w:rsidRDefault="00FA3851" w:rsidP="00AB3AE5">
      <w:pPr>
        <w:pStyle w:val="NormalWeb"/>
        <w:spacing w:before="0" w:beforeAutospacing="0" w:after="0" w:afterAutospacing="0"/>
        <w:jc w:val="both"/>
        <w:rPr>
          <w:rFonts w:ascii="Arial" w:hAnsi="Arial" w:cs="Arial"/>
          <w:sz w:val="20"/>
        </w:rPr>
      </w:pPr>
    </w:p>
    <w:p w14:paraId="3028B679" w14:textId="77777777" w:rsidR="00FA3851" w:rsidRDefault="00FA3851" w:rsidP="00AB3AE5">
      <w:pPr>
        <w:pStyle w:val="NormalWeb"/>
        <w:spacing w:before="0" w:beforeAutospacing="0" w:after="0" w:afterAutospacing="0"/>
        <w:jc w:val="both"/>
        <w:rPr>
          <w:rFonts w:ascii="Arial" w:hAnsi="Arial" w:cs="Arial"/>
          <w:sz w:val="20"/>
        </w:rPr>
      </w:pPr>
    </w:p>
    <w:p w14:paraId="24ECFCA7" w14:textId="77777777" w:rsidR="00FA3851" w:rsidRPr="005366DD" w:rsidRDefault="00FA3851" w:rsidP="00AB3AE5">
      <w:pPr>
        <w:pStyle w:val="NormalWeb"/>
        <w:spacing w:before="0" w:beforeAutospacing="0" w:after="0" w:afterAutospacing="0"/>
        <w:jc w:val="both"/>
        <w:rPr>
          <w:rFonts w:ascii="Arial" w:hAnsi="Arial" w:cs="Arial"/>
          <w:sz w:val="20"/>
        </w:rPr>
      </w:pPr>
    </w:p>
    <w:p w14:paraId="3837216B" w14:textId="77777777" w:rsidR="00FA3851" w:rsidRDefault="00FA3851" w:rsidP="00AB3AE5">
      <w:pPr>
        <w:pStyle w:val="Body"/>
        <w:spacing w:after="0"/>
        <w:jc w:val="center"/>
        <w:rPr>
          <w:rFonts w:ascii="Arial" w:hAnsi="Arial" w:cs="Arial"/>
          <w:b/>
        </w:rPr>
      </w:pPr>
    </w:p>
    <w:p w14:paraId="693EB778" w14:textId="366706A1" w:rsidR="001F1B5E" w:rsidRDefault="001F1B5E" w:rsidP="00AB3AE5">
      <w:pPr>
        <w:pStyle w:val="Body"/>
        <w:spacing w:after="0"/>
        <w:jc w:val="center"/>
        <w:rPr>
          <w:rFonts w:ascii="Arial" w:hAnsi="Arial" w:cs="Arial"/>
          <w:b/>
        </w:rPr>
      </w:pPr>
      <w:r w:rsidRPr="001F1B5E">
        <w:rPr>
          <w:rFonts w:ascii="Arial" w:hAnsi="Arial" w:cs="Arial"/>
          <w:b/>
        </w:rPr>
        <w:t>Table 3. One sample t-test result with NBD</w:t>
      </w:r>
    </w:p>
    <w:p w14:paraId="78E1D339" w14:textId="77777777" w:rsidR="00602394" w:rsidRPr="001F1B5E" w:rsidRDefault="00602394" w:rsidP="00AB3AE5">
      <w:pPr>
        <w:pStyle w:val="Body"/>
        <w:spacing w:after="0"/>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585"/>
      </w:tblGrid>
      <w:tr w:rsidR="001F1B5E" w:rsidRPr="001F1B5E" w14:paraId="1959A253" w14:textId="77777777" w:rsidTr="00A76CE4">
        <w:trPr>
          <w:jc w:val="center"/>
        </w:trPr>
        <w:tc>
          <w:tcPr>
            <w:tcW w:w="4093" w:type="dxa"/>
          </w:tcPr>
          <w:p w14:paraId="2ADBB711" w14:textId="17DDFE75" w:rsidR="001F1B5E" w:rsidRPr="001F1B5E" w:rsidRDefault="001F1B5E" w:rsidP="00AB3AE5">
            <w:pPr>
              <w:pStyle w:val="ListParagraph"/>
              <w:spacing w:line="240" w:lineRule="auto"/>
              <w:ind w:left="0"/>
              <w:jc w:val="center"/>
              <w:outlineLvl w:val="2"/>
              <w:rPr>
                <w:rFonts w:ascii="Arial" w:eastAsiaTheme="minorEastAsia" w:hAnsi="Arial" w:cs="Arial"/>
                <w:b/>
                <w:sz w:val="20"/>
                <w:szCs w:val="20"/>
              </w:rPr>
            </w:pPr>
            <w:r w:rsidRPr="001F1B5E">
              <w:rPr>
                <w:rFonts w:ascii="Arial" w:eastAsiaTheme="minorEastAsia" w:hAnsi="Arial" w:cs="Arial"/>
                <w:b/>
                <w:sz w:val="20"/>
                <w:szCs w:val="20"/>
              </w:rPr>
              <w:t>Tested variable</w:t>
            </w:r>
          </w:p>
        </w:tc>
        <w:tc>
          <w:tcPr>
            <w:tcW w:w="2423" w:type="dxa"/>
          </w:tcPr>
          <w:p w14:paraId="4A0ABF4C" w14:textId="03BCA636" w:rsidR="001F1B5E" w:rsidRPr="001F1B5E" w:rsidRDefault="004E7E77" w:rsidP="00AB3AE5">
            <w:pPr>
              <w:pStyle w:val="ListParagraph"/>
              <w:spacing w:line="240" w:lineRule="auto"/>
              <w:ind w:left="0"/>
              <w:jc w:val="center"/>
              <w:outlineLvl w:val="2"/>
              <w:rPr>
                <w:rFonts w:ascii="Arial" w:eastAsiaTheme="minorEastAsia" w:hAnsi="Arial" w:cs="Arial"/>
                <w:b/>
                <w:sz w:val="20"/>
                <w:szCs w:val="20"/>
              </w:rPr>
            </w:pPr>
            <w:r>
              <w:rPr>
                <w:rFonts w:ascii="Arial" w:eastAsia="Calibri" w:hAnsi="Arial" w:cs="Arial"/>
                <w:b/>
                <w:sz w:val="20"/>
                <w:szCs w:val="20"/>
              </w:rPr>
              <w:t>t-</w:t>
            </w:r>
            <w:r w:rsidR="001F1B5E" w:rsidRPr="001F1B5E">
              <w:rPr>
                <w:rFonts w:ascii="Arial" w:eastAsia="Calibri" w:hAnsi="Arial" w:cs="Arial"/>
                <w:b/>
                <w:sz w:val="20"/>
                <w:szCs w:val="20"/>
              </w:rPr>
              <w:t>value</w:t>
            </w:r>
          </w:p>
        </w:tc>
      </w:tr>
      <w:tr w:rsidR="001F1B5E" w:rsidRPr="001F1B5E" w14:paraId="4F840AEA" w14:textId="77777777" w:rsidTr="00A76CE4">
        <w:trPr>
          <w:jc w:val="center"/>
        </w:trPr>
        <w:tc>
          <w:tcPr>
            <w:tcW w:w="4093" w:type="dxa"/>
          </w:tcPr>
          <w:p w14:paraId="1EB50A38" w14:textId="02D5CABC" w:rsidR="001F1B5E" w:rsidRPr="001F1B5E" w:rsidRDefault="001F1B5E" w:rsidP="00AB3AE5">
            <w:pPr>
              <w:pStyle w:val="ListParagraph"/>
              <w:spacing w:line="240" w:lineRule="auto"/>
              <w:ind w:left="0"/>
              <w:jc w:val="both"/>
              <w:outlineLvl w:val="2"/>
              <w:rPr>
                <w:rFonts w:ascii="Arial" w:eastAsiaTheme="minorEastAsia" w:hAnsi="Arial" w:cs="Arial"/>
                <w:sz w:val="20"/>
                <w:szCs w:val="20"/>
              </w:rPr>
            </w:pPr>
            <w:r w:rsidRPr="001F1B5E">
              <w:rPr>
                <w:rFonts w:ascii="Arial" w:eastAsiaTheme="minorEastAsia" w:hAnsi="Arial" w:cs="Arial"/>
                <w:sz w:val="20"/>
                <w:szCs w:val="20"/>
              </w:rPr>
              <w:t>Gamma radiation exposure rate</w:t>
            </w:r>
          </w:p>
        </w:tc>
        <w:tc>
          <w:tcPr>
            <w:tcW w:w="2423" w:type="dxa"/>
          </w:tcPr>
          <w:p w14:paraId="2255C56F" w14:textId="50AA7EB0" w:rsidR="001F1B5E" w:rsidRPr="001F1B5E" w:rsidRDefault="00721F30" w:rsidP="00AB3AE5">
            <w:pPr>
              <w:pStyle w:val="ListParagraph"/>
              <w:spacing w:line="240" w:lineRule="auto"/>
              <w:ind w:left="0"/>
              <w:jc w:val="center"/>
              <w:outlineLvl w:val="2"/>
              <w:rPr>
                <w:rFonts w:ascii="Arial" w:eastAsiaTheme="minorEastAsia" w:hAnsi="Arial" w:cs="Arial"/>
                <w:sz w:val="20"/>
                <w:szCs w:val="20"/>
              </w:rPr>
            </w:pPr>
            <w:r>
              <w:rPr>
                <w:rFonts w:ascii="Arial" w:eastAsiaTheme="minorEastAsia" w:hAnsi="Arial" w:cs="Arial"/>
                <w:sz w:val="20"/>
                <w:szCs w:val="20"/>
              </w:rPr>
              <w:t>-27.</w:t>
            </w:r>
            <w:r w:rsidR="001F1B5E" w:rsidRPr="001F1B5E">
              <w:rPr>
                <w:rFonts w:ascii="Arial" w:eastAsiaTheme="minorEastAsia" w:hAnsi="Arial" w:cs="Arial"/>
                <w:sz w:val="20"/>
                <w:szCs w:val="20"/>
              </w:rPr>
              <w:t>020</w:t>
            </w:r>
          </w:p>
        </w:tc>
      </w:tr>
      <w:tr w:rsidR="001F1B5E" w:rsidRPr="001F1B5E" w14:paraId="7CB6E756" w14:textId="77777777" w:rsidTr="00A76CE4">
        <w:trPr>
          <w:jc w:val="center"/>
        </w:trPr>
        <w:tc>
          <w:tcPr>
            <w:tcW w:w="4093" w:type="dxa"/>
          </w:tcPr>
          <w:p w14:paraId="17A399D0" w14:textId="4660EBD4" w:rsidR="001F1B5E" w:rsidRPr="001F1B5E" w:rsidRDefault="001F1B5E" w:rsidP="00AB3AE5">
            <w:pPr>
              <w:pStyle w:val="ListParagraph"/>
              <w:spacing w:line="240" w:lineRule="auto"/>
              <w:ind w:left="0"/>
              <w:jc w:val="both"/>
              <w:outlineLvl w:val="2"/>
              <w:rPr>
                <w:rFonts w:ascii="Arial" w:eastAsiaTheme="minorEastAsia" w:hAnsi="Arial" w:cs="Arial"/>
                <w:sz w:val="20"/>
                <w:szCs w:val="20"/>
              </w:rPr>
            </w:pPr>
            <w:r w:rsidRPr="001F1B5E">
              <w:rPr>
                <w:rFonts w:ascii="Arial" w:eastAsiaTheme="minorEastAsia" w:hAnsi="Arial" w:cs="Arial"/>
                <w:sz w:val="20"/>
                <w:szCs w:val="20"/>
              </w:rPr>
              <w:t>Beta radiation exposure rate</w:t>
            </w:r>
          </w:p>
        </w:tc>
        <w:tc>
          <w:tcPr>
            <w:tcW w:w="2423" w:type="dxa"/>
          </w:tcPr>
          <w:p w14:paraId="7A507C21" w14:textId="0089F511" w:rsidR="001F1B5E" w:rsidRPr="001F1B5E" w:rsidRDefault="00721F30" w:rsidP="00AB3AE5">
            <w:pPr>
              <w:pStyle w:val="ListParagraph"/>
              <w:spacing w:line="240" w:lineRule="auto"/>
              <w:ind w:left="0"/>
              <w:jc w:val="center"/>
              <w:outlineLvl w:val="2"/>
              <w:rPr>
                <w:rFonts w:ascii="Arial" w:eastAsiaTheme="minorEastAsia" w:hAnsi="Arial" w:cs="Arial"/>
                <w:sz w:val="20"/>
                <w:szCs w:val="20"/>
              </w:rPr>
            </w:pPr>
            <w:r>
              <w:rPr>
                <w:rFonts w:ascii="Arial" w:eastAsiaTheme="minorEastAsia" w:hAnsi="Arial" w:cs="Arial"/>
                <w:sz w:val="20"/>
                <w:szCs w:val="20"/>
              </w:rPr>
              <w:t>-156.</w:t>
            </w:r>
            <w:r w:rsidR="001F1B5E" w:rsidRPr="001F1B5E">
              <w:rPr>
                <w:rFonts w:ascii="Arial" w:eastAsiaTheme="minorEastAsia" w:hAnsi="Arial" w:cs="Arial"/>
                <w:sz w:val="20"/>
                <w:szCs w:val="20"/>
              </w:rPr>
              <w:t>413</w:t>
            </w:r>
          </w:p>
        </w:tc>
      </w:tr>
    </w:tbl>
    <w:p w14:paraId="60E5B8BB" w14:textId="77777777" w:rsidR="0050586B" w:rsidRDefault="0050586B" w:rsidP="00AB3AE5">
      <w:pPr>
        <w:pStyle w:val="NormalWeb"/>
        <w:spacing w:before="0" w:beforeAutospacing="0" w:after="0" w:afterAutospacing="0"/>
        <w:jc w:val="both"/>
        <w:rPr>
          <w:rFonts w:ascii="Arial" w:hAnsi="Arial" w:cs="Arial"/>
          <w:sz w:val="20"/>
        </w:rPr>
      </w:pPr>
    </w:p>
    <w:p w14:paraId="5C645115" w14:textId="77777777" w:rsidR="00FA3851" w:rsidRDefault="00FA3851" w:rsidP="00AB3AE5">
      <w:pPr>
        <w:pStyle w:val="NormalWeb"/>
        <w:spacing w:before="0" w:beforeAutospacing="0" w:after="0" w:afterAutospacing="0"/>
        <w:jc w:val="both"/>
        <w:rPr>
          <w:rFonts w:ascii="Arial" w:hAnsi="Arial" w:cs="Arial"/>
          <w:sz w:val="20"/>
        </w:rPr>
      </w:pPr>
    </w:p>
    <w:p w14:paraId="0F877C0E" w14:textId="77777777" w:rsidR="00FA3851" w:rsidRDefault="00FA3851" w:rsidP="00AB3AE5">
      <w:pPr>
        <w:pStyle w:val="NormalWeb"/>
        <w:spacing w:before="0" w:beforeAutospacing="0" w:after="0" w:afterAutospacing="0"/>
        <w:jc w:val="both"/>
        <w:rPr>
          <w:rFonts w:ascii="Arial" w:hAnsi="Arial" w:cs="Arial"/>
          <w:sz w:val="20"/>
        </w:rPr>
      </w:pPr>
    </w:p>
    <w:p w14:paraId="5BAEEE5D" w14:textId="77777777" w:rsidR="00FA3851" w:rsidRDefault="00FA3851" w:rsidP="00AB3AE5">
      <w:pPr>
        <w:pStyle w:val="NormalWeb"/>
        <w:spacing w:before="0" w:beforeAutospacing="0" w:after="0" w:afterAutospacing="0"/>
        <w:jc w:val="both"/>
        <w:rPr>
          <w:rFonts w:ascii="Arial" w:hAnsi="Arial" w:cs="Arial"/>
          <w:sz w:val="20"/>
        </w:rPr>
      </w:pPr>
    </w:p>
    <w:p w14:paraId="751DE38E" w14:textId="181A2852" w:rsidR="008330D1" w:rsidRDefault="005D6F17" w:rsidP="00AB3AE5">
      <w:pPr>
        <w:pStyle w:val="NormalWeb"/>
        <w:spacing w:before="0" w:beforeAutospacing="0" w:after="0" w:afterAutospacing="0"/>
        <w:jc w:val="both"/>
        <w:rPr>
          <w:rFonts w:ascii="Arial" w:hAnsi="Arial" w:cs="Arial"/>
          <w:sz w:val="20"/>
        </w:rPr>
      </w:pPr>
      <w:r w:rsidRPr="005366DD">
        <w:rPr>
          <w:rFonts w:ascii="Arial" w:hAnsi="Arial" w:cs="Arial"/>
          <w:sz w:val="20"/>
        </w:rPr>
        <w:t>The t-value obtained is smaller than the t-table, 1.94318, so H</w:t>
      </w:r>
      <w:r w:rsidRPr="005366DD">
        <w:rPr>
          <w:rFonts w:ascii="Arial" w:hAnsi="Arial" w:cs="Arial"/>
          <w:sz w:val="20"/>
          <w:vertAlign w:val="subscript"/>
        </w:rPr>
        <w:t>0</w:t>
      </w:r>
      <w:r w:rsidRPr="005366DD">
        <w:rPr>
          <w:rFonts w:ascii="Arial" w:hAnsi="Arial" w:cs="Arial"/>
          <w:sz w:val="20"/>
        </w:rPr>
        <w:t xml:space="preserve"> is accepted, </w:t>
      </w:r>
      <w:r w:rsidR="00721F30" w:rsidRPr="005366DD">
        <w:rPr>
          <w:rFonts w:ascii="Arial" w:hAnsi="Arial" w:cs="Arial"/>
          <w:sz w:val="20"/>
        </w:rPr>
        <w:t>that</w:t>
      </w:r>
      <w:r w:rsidRPr="005366DD">
        <w:rPr>
          <w:rFonts w:ascii="Arial" w:hAnsi="Arial" w:cs="Arial"/>
          <w:sz w:val="20"/>
        </w:rPr>
        <w:t xml:space="preserve"> </w:t>
      </w:r>
      <w:r w:rsidR="008330D1" w:rsidRPr="005366DD">
        <w:rPr>
          <w:rFonts w:ascii="Arial" w:hAnsi="Arial" w:cs="Arial"/>
          <w:sz w:val="20"/>
        </w:rPr>
        <w:t>the gamma radiation exposure rate</w:t>
      </w:r>
      <w:r w:rsidRPr="005366DD">
        <w:rPr>
          <w:rFonts w:ascii="Arial" w:hAnsi="Arial" w:cs="Arial"/>
          <w:sz w:val="20"/>
        </w:rPr>
        <w:t xml:space="preserve"> and </w:t>
      </w:r>
      <w:r w:rsidR="008330D1" w:rsidRPr="005366DD">
        <w:rPr>
          <w:rFonts w:ascii="Arial" w:hAnsi="Arial" w:cs="Arial"/>
          <w:sz w:val="20"/>
        </w:rPr>
        <w:t xml:space="preserve">beta radiation exposure rate </w:t>
      </w:r>
      <w:r w:rsidRPr="005366DD">
        <w:rPr>
          <w:rFonts w:ascii="Arial" w:hAnsi="Arial" w:cs="Arial"/>
          <w:sz w:val="20"/>
        </w:rPr>
        <w:t xml:space="preserve">does not exceed the NBD set in PERKA BAPETEN number 17 of </w:t>
      </w:r>
      <w:r w:rsidRPr="005366DD">
        <w:rPr>
          <w:rFonts w:ascii="Arial" w:hAnsi="Arial" w:cs="Arial"/>
          <w:sz w:val="20"/>
        </w:rPr>
        <w:t>2012 article 33.</w:t>
      </w:r>
      <w:r w:rsidR="008330D1" w:rsidRPr="005366DD">
        <w:rPr>
          <w:rFonts w:ascii="Arial" w:hAnsi="Arial" w:cs="Arial"/>
          <w:sz w:val="20"/>
        </w:rPr>
        <w:t xml:space="preserve"> The comparison between gamma radiation exposure rate and beta radiation exposure rate with NBD can be interpreted in graphs as shown in Figure 3 and Figure 4.</w:t>
      </w:r>
    </w:p>
    <w:p w14:paraId="44A972A2" w14:textId="77777777" w:rsidR="009360A4" w:rsidRPr="005366DD" w:rsidRDefault="009360A4" w:rsidP="00AB3AE5">
      <w:pPr>
        <w:pStyle w:val="NormalWeb"/>
        <w:spacing w:before="0" w:beforeAutospacing="0" w:after="0" w:afterAutospacing="0"/>
        <w:jc w:val="both"/>
        <w:rPr>
          <w:rFonts w:ascii="Arial" w:hAnsi="Arial" w:cs="Arial"/>
          <w:sz w:val="20"/>
        </w:rPr>
      </w:pPr>
    </w:p>
    <w:p w14:paraId="6E338671" w14:textId="77777777" w:rsidR="009360A4" w:rsidRDefault="009360A4" w:rsidP="009D7462">
      <w:pPr>
        <w:pStyle w:val="NormalWeb"/>
        <w:spacing w:before="0" w:beforeAutospacing="0" w:after="0" w:afterAutospacing="0"/>
        <w:jc w:val="center"/>
        <w:rPr>
          <w:rFonts w:ascii="Arial" w:hAnsi="Arial" w:cs="Arial"/>
          <w:b/>
        </w:rPr>
        <w:sectPr w:rsidR="009360A4" w:rsidSect="009B4616">
          <w:type w:val="continuous"/>
          <w:pgSz w:w="12240" w:h="15840"/>
          <w:pgMar w:top="720" w:right="1608" w:bottom="720" w:left="1985" w:header="720" w:footer="720" w:gutter="0"/>
          <w:cols w:num="2" w:space="720"/>
          <w:docGrid w:linePitch="360"/>
        </w:sectPr>
      </w:pPr>
    </w:p>
    <w:p w14:paraId="3C2EC04C" w14:textId="4C2979D4" w:rsidR="009D7462" w:rsidRDefault="00000EDA" w:rsidP="009D7462">
      <w:pPr>
        <w:pStyle w:val="NormalWeb"/>
        <w:spacing w:before="0" w:beforeAutospacing="0" w:after="0" w:afterAutospacing="0"/>
        <w:jc w:val="center"/>
        <w:rPr>
          <w:rFonts w:ascii="Arial" w:hAnsi="Arial" w:cs="Arial"/>
          <w:b/>
        </w:rPr>
      </w:pPr>
      <w:r w:rsidRPr="00467187">
        <w:rPr>
          <w:noProof/>
        </w:rPr>
        <w:drawing>
          <wp:inline distT="0" distB="0" distL="0" distR="0" wp14:anchorId="0F86156E" wp14:editId="66C7E997">
            <wp:extent cx="3954236" cy="256032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0429" t="22740" r="27459" b="32236"/>
                    <a:stretch/>
                  </pic:blipFill>
                  <pic:spPr bwMode="auto">
                    <a:xfrm>
                      <a:off x="0" y="0"/>
                      <a:ext cx="4054686" cy="2625360"/>
                    </a:xfrm>
                    <a:prstGeom prst="rect">
                      <a:avLst/>
                    </a:prstGeom>
                    <a:ln>
                      <a:noFill/>
                    </a:ln>
                    <a:extLst>
                      <a:ext uri="{53640926-AAD7-44D8-BBD7-CCE9431645EC}">
                        <a14:shadowObscured xmlns:a14="http://schemas.microsoft.com/office/drawing/2010/main"/>
                      </a:ext>
                    </a:extLst>
                  </pic:spPr>
                </pic:pic>
              </a:graphicData>
            </a:graphic>
          </wp:inline>
        </w:drawing>
      </w:r>
    </w:p>
    <w:p w14:paraId="65A5A64F" w14:textId="3609DCA4" w:rsidR="009360A4" w:rsidRDefault="000B1EB6" w:rsidP="00FA3851">
      <w:pPr>
        <w:pStyle w:val="NormalWeb"/>
        <w:spacing w:before="0" w:beforeAutospacing="0" w:after="0" w:afterAutospacing="0"/>
        <w:jc w:val="center"/>
        <w:rPr>
          <w:rFonts w:ascii="Arial" w:hAnsi="Arial" w:cs="Arial"/>
          <w:b/>
          <w:sz w:val="20"/>
        </w:rPr>
      </w:pPr>
      <w:r w:rsidRPr="00B30E3C">
        <w:rPr>
          <w:rFonts w:ascii="Arial" w:hAnsi="Arial" w:cs="Arial"/>
          <w:b/>
          <w:sz w:val="20"/>
          <w:highlight w:val="yellow"/>
        </w:rPr>
        <w:t>Fig. 3. Graph of the comparison between gamma radiation exposure rate with NBD</w:t>
      </w:r>
      <w:r w:rsidRPr="009D7462">
        <w:rPr>
          <w:rFonts w:ascii="Arial" w:hAnsi="Arial" w:cs="Arial"/>
          <w:b/>
          <w:sz w:val="20"/>
        </w:rPr>
        <w:t>.</w:t>
      </w:r>
    </w:p>
    <w:p w14:paraId="1EEA23C8" w14:textId="77777777" w:rsidR="009360A4" w:rsidRDefault="009360A4" w:rsidP="009D7462">
      <w:pPr>
        <w:pStyle w:val="NormalWeb"/>
        <w:spacing w:before="0" w:beforeAutospacing="0" w:after="0" w:afterAutospacing="0"/>
        <w:jc w:val="center"/>
        <w:rPr>
          <w:rFonts w:ascii="Arial" w:hAnsi="Arial" w:cs="Arial"/>
          <w:b/>
          <w:sz w:val="20"/>
        </w:rPr>
      </w:pPr>
    </w:p>
    <w:p w14:paraId="68B8BA0E" w14:textId="23C315DE" w:rsidR="00602394" w:rsidRPr="009D7462" w:rsidRDefault="00602394" w:rsidP="009D7462">
      <w:pPr>
        <w:pStyle w:val="NormalWeb"/>
        <w:spacing w:before="0" w:beforeAutospacing="0" w:after="0" w:afterAutospacing="0"/>
        <w:jc w:val="center"/>
        <w:rPr>
          <w:rFonts w:ascii="Arial" w:hAnsi="Arial" w:cs="Arial"/>
          <w:b/>
        </w:rPr>
      </w:pPr>
      <w:r>
        <w:rPr>
          <w:noProof/>
        </w:rPr>
        <w:drawing>
          <wp:inline distT="0" distB="0" distL="0" distR="0" wp14:anchorId="0E2AB440" wp14:editId="1F630C87">
            <wp:extent cx="4210493" cy="286573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0858" t="24555" r="29971" b="25704"/>
                    <a:stretch/>
                  </pic:blipFill>
                  <pic:spPr bwMode="auto">
                    <a:xfrm>
                      <a:off x="0" y="0"/>
                      <a:ext cx="4241410" cy="2886782"/>
                    </a:xfrm>
                    <a:prstGeom prst="rect">
                      <a:avLst/>
                    </a:prstGeom>
                    <a:ln>
                      <a:noFill/>
                    </a:ln>
                    <a:extLst>
                      <a:ext uri="{53640926-AAD7-44D8-BBD7-CCE9431645EC}">
                        <a14:shadowObscured xmlns:a14="http://schemas.microsoft.com/office/drawing/2010/main"/>
                      </a:ext>
                    </a:extLst>
                  </pic:spPr>
                </pic:pic>
              </a:graphicData>
            </a:graphic>
          </wp:inline>
        </w:drawing>
      </w:r>
    </w:p>
    <w:p w14:paraId="61BE757A" w14:textId="77777777" w:rsidR="000B1EB6" w:rsidRDefault="000B1EB6" w:rsidP="00AB3AE5">
      <w:pPr>
        <w:pStyle w:val="Body"/>
        <w:spacing w:after="0"/>
        <w:jc w:val="center"/>
        <w:rPr>
          <w:rFonts w:ascii="Arial" w:hAnsi="Arial" w:cs="Arial"/>
          <w:b/>
        </w:rPr>
      </w:pPr>
    </w:p>
    <w:p w14:paraId="2720A54E" w14:textId="5799D3C3" w:rsidR="000B53FB" w:rsidRDefault="00602394" w:rsidP="00AB3AE5">
      <w:pPr>
        <w:pStyle w:val="Body"/>
        <w:spacing w:after="0"/>
        <w:jc w:val="center"/>
        <w:rPr>
          <w:rFonts w:ascii="Arial" w:hAnsi="Arial" w:cs="Arial"/>
          <w:b/>
        </w:rPr>
      </w:pPr>
      <w:r w:rsidRPr="00B30E3C">
        <w:rPr>
          <w:rFonts w:ascii="Arial" w:hAnsi="Arial" w:cs="Arial"/>
          <w:b/>
          <w:highlight w:val="yellow"/>
        </w:rPr>
        <w:t>Fig. 4. Graph of the comparison between beta radiation exposure rate with NBD.</w:t>
      </w:r>
    </w:p>
    <w:p w14:paraId="6CA54878" w14:textId="77777777" w:rsidR="009360A4" w:rsidRDefault="009360A4" w:rsidP="00AB3AE5">
      <w:pPr>
        <w:pStyle w:val="Body"/>
        <w:spacing w:after="0"/>
        <w:jc w:val="center"/>
        <w:rPr>
          <w:rFonts w:ascii="Arial" w:hAnsi="Arial" w:cs="Arial"/>
          <w:b/>
        </w:rPr>
        <w:sectPr w:rsidR="009360A4" w:rsidSect="009360A4">
          <w:type w:val="continuous"/>
          <w:pgSz w:w="12240" w:h="15840"/>
          <w:pgMar w:top="720" w:right="1608" w:bottom="720" w:left="1985" w:header="720" w:footer="720" w:gutter="0"/>
          <w:cols w:space="720"/>
          <w:docGrid w:linePitch="360"/>
        </w:sectPr>
      </w:pPr>
    </w:p>
    <w:p w14:paraId="25053D7A" w14:textId="49B98161" w:rsidR="00602394" w:rsidRDefault="00602394" w:rsidP="00AB3AE5">
      <w:pPr>
        <w:pStyle w:val="Body"/>
        <w:spacing w:after="0"/>
        <w:jc w:val="center"/>
        <w:rPr>
          <w:rFonts w:ascii="Arial" w:hAnsi="Arial" w:cs="Arial"/>
          <w:b/>
        </w:rPr>
      </w:pPr>
    </w:p>
    <w:p w14:paraId="33624018" w14:textId="77777777" w:rsidR="00FA3851" w:rsidRDefault="00FA3851" w:rsidP="00602394">
      <w:pPr>
        <w:pStyle w:val="Body"/>
        <w:spacing w:after="0"/>
        <w:rPr>
          <w:rFonts w:ascii="Arial" w:hAnsi="Arial" w:cs="Arial"/>
        </w:rPr>
      </w:pPr>
    </w:p>
    <w:p w14:paraId="5B419B41" w14:textId="77777777" w:rsidR="00FA3851" w:rsidRDefault="00FA3851" w:rsidP="00602394">
      <w:pPr>
        <w:pStyle w:val="Body"/>
        <w:spacing w:after="0"/>
        <w:rPr>
          <w:rFonts w:ascii="Arial" w:hAnsi="Arial" w:cs="Arial"/>
        </w:rPr>
      </w:pPr>
    </w:p>
    <w:p w14:paraId="7EEDF1D6" w14:textId="77777777" w:rsidR="00FA3851" w:rsidRDefault="00FA3851" w:rsidP="00602394">
      <w:pPr>
        <w:pStyle w:val="Body"/>
        <w:spacing w:after="0"/>
        <w:rPr>
          <w:rFonts w:ascii="Arial" w:hAnsi="Arial" w:cs="Arial"/>
        </w:rPr>
      </w:pPr>
    </w:p>
    <w:p w14:paraId="0963AE29" w14:textId="77777777" w:rsidR="00FA3851" w:rsidRDefault="00FA3851" w:rsidP="00602394">
      <w:pPr>
        <w:pStyle w:val="Body"/>
        <w:spacing w:after="0"/>
        <w:rPr>
          <w:rFonts w:ascii="Arial" w:hAnsi="Arial" w:cs="Arial"/>
        </w:rPr>
      </w:pPr>
    </w:p>
    <w:p w14:paraId="501D017B" w14:textId="77777777" w:rsidR="00FA3851" w:rsidRDefault="00FA3851" w:rsidP="00602394">
      <w:pPr>
        <w:pStyle w:val="Body"/>
        <w:spacing w:after="0"/>
        <w:rPr>
          <w:rFonts w:ascii="Arial" w:hAnsi="Arial" w:cs="Arial"/>
        </w:rPr>
      </w:pPr>
    </w:p>
    <w:p w14:paraId="03CEBA6E" w14:textId="77777777" w:rsidR="00FA3851" w:rsidRDefault="00FA3851" w:rsidP="00602394">
      <w:pPr>
        <w:pStyle w:val="Body"/>
        <w:spacing w:after="0"/>
        <w:rPr>
          <w:rFonts w:ascii="Arial" w:hAnsi="Arial" w:cs="Arial"/>
        </w:rPr>
      </w:pPr>
    </w:p>
    <w:p w14:paraId="2CD2D345" w14:textId="77777777" w:rsidR="00FA3851" w:rsidRDefault="00FA3851" w:rsidP="00602394">
      <w:pPr>
        <w:pStyle w:val="Body"/>
        <w:spacing w:after="0"/>
        <w:rPr>
          <w:rFonts w:ascii="Arial" w:hAnsi="Arial" w:cs="Arial"/>
        </w:rPr>
      </w:pPr>
    </w:p>
    <w:p w14:paraId="2EFFD895" w14:textId="77777777" w:rsidR="00FA3851" w:rsidRDefault="00FA3851" w:rsidP="00602394">
      <w:pPr>
        <w:pStyle w:val="Body"/>
        <w:spacing w:after="0"/>
        <w:rPr>
          <w:rFonts w:ascii="Arial" w:hAnsi="Arial" w:cs="Arial"/>
        </w:rPr>
      </w:pPr>
    </w:p>
    <w:p w14:paraId="28248FCA" w14:textId="77777777" w:rsidR="00FA3851" w:rsidRDefault="00FA3851" w:rsidP="00602394">
      <w:pPr>
        <w:pStyle w:val="Body"/>
        <w:spacing w:after="0"/>
        <w:rPr>
          <w:rFonts w:ascii="Arial" w:hAnsi="Arial" w:cs="Arial"/>
        </w:rPr>
      </w:pPr>
    </w:p>
    <w:p w14:paraId="1DAD130C" w14:textId="77777777" w:rsidR="00FA3851" w:rsidRDefault="00FA3851" w:rsidP="00602394">
      <w:pPr>
        <w:pStyle w:val="Body"/>
        <w:spacing w:after="0"/>
        <w:rPr>
          <w:rFonts w:ascii="Arial" w:hAnsi="Arial" w:cs="Arial"/>
        </w:rPr>
      </w:pPr>
    </w:p>
    <w:p w14:paraId="13C084F6" w14:textId="77777777" w:rsidR="00FA3851" w:rsidRDefault="00FA3851" w:rsidP="00602394">
      <w:pPr>
        <w:pStyle w:val="Body"/>
        <w:spacing w:after="0"/>
        <w:rPr>
          <w:rFonts w:ascii="Arial" w:hAnsi="Arial" w:cs="Arial"/>
        </w:rPr>
      </w:pPr>
    </w:p>
    <w:p w14:paraId="017E5F4C" w14:textId="77777777" w:rsidR="00FA3851" w:rsidRDefault="00FA3851" w:rsidP="00602394">
      <w:pPr>
        <w:pStyle w:val="Body"/>
        <w:spacing w:after="0"/>
        <w:rPr>
          <w:rFonts w:ascii="Arial" w:hAnsi="Arial" w:cs="Arial"/>
        </w:rPr>
      </w:pPr>
    </w:p>
    <w:p w14:paraId="681A8FE5" w14:textId="77777777" w:rsidR="00FA3851" w:rsidRDefault="00FA3851" w:rsidP="00602394">
      <w:pPr>
        <w:pStyle w:val="Body"/>
        <w:spacing w:after="0"/>
        <w:rPr>
          <w:rFonts w:ascii="Arial" w:hAnsi="Arial" w:cs="Arial"/>
        </w:rPr>
      </w:pPr>
    </w:p>
    <w:p w14:paraId="5514350E" w14:textId="03443BB9" w:rsidR="00602394" w:rsidRDefault="00602394" w:rsidP="00602394">
      <w:pPr>
        <w:pStyle w:val="Body"/>
        <w:spacing w:after="0"/>
        <w:rPr>
          <w:rFonts w:ascii="Arial" w:hAnsi="Arial" w:cs="Arial"/>
        </w:rPr>
      </w:pPr>
      <w:r w:rsidRPr="005366DD">
        <w:rPr>
          <w:rFonts w:ascii="Arial" w:hAnsi="Arial" w:cs="Arial"/>
        </w:rPr>
        <w:t>Based on the graphs in Figure 3 and Figure 4, it can be seen that the gamma radiation exposure rate and the beta radiation exposure rate doesn’t exceed the NBD that has been determined in PERKA BAPETEN number 17 of 2012 article 33.</w:t>
      </w:r>
      <w:r>
        <w:rPr>
          <w:rFonts w:ascii="Arial" w:hAnsi="Arial" w:cs="Arial"/>
        </w:rPr>
        <w:t xml:space="preserve"> </w:t>
      </w:r>
      <w:r w:rsidRPr="005366DD">
        <w:rPr>
          <w:rFonts w:ascii="Arial" w:hAnsi="Arial" w:cs="Arial"/>
        </w:rPr>
        <w:t xml:space="preserve">The highest gamma radiation exposure rate and beta radiation exposure rate are found at the same point, at the work table in the </w:t>
      </w:r>
      <w:proofErr w:type="spellStart"/>
      <w:r w:rsidRPr="005366DD">
        <w:rPr>
          <w:rFonts w:ascii="Arial" w:hAnsi="Arial" w:cs="Arial"/>
        </w:rPr>
        <w:t>hotlab</w:t>
      </w:r>
      <w:proofErr w:type="spellEnd"/>
      <w:r w:rsidRPr="005366DD">
        <w:rPr>
          <w:rFonts w:ascii="Arial" w:hAnsi="Arial" w:cs="Arial"/>
        </w:rPr>
        <w:t xml:space="preserve"> room and the patient chair in the injection room. The highest radiation exposure rate on the work table could be caused the work table is a place for radiopharmaceutical preparation that can take a long time depending on the </w:t>
      </w:r>
      <w:r w:rsidRPr="005366DD">
        <w:rPr>
          <w:rFonts w:ascii="Arial" w:hAnsi="Arial" w:cs="Arial"/>
        </w:rPr>
        <w:lastRenderedPageBreak/>
        <w:t>total activity of I-131 that will be used. The highest radiation exposure rate on the patient chair could be caused the patient chair is the place where I-131 is administered to the patient that can also cause the occur time of I-131 activity longer than other measurement points, because after the radiopharmaceutical given to the patient, the patient will become a radioactive sour</w:t>
      </w:r>
      <w:r>
        <w:rPr>
          <w:rFonts w:ascii="Arial" w:hAnsi="Arial" w:cs="Arial"/>
        </w:rPr>
        <w:t>ce.</w:t>
      </w:r>
    </w:p>
    <w:p w14:paraId="0F176B10" w14:textId="77777777" w:rsidR="005B3BC6" w:rsidRDefault="005B3BC6" w:rsidP="00602394">
      <w:pPr>
        <w:pStyle w:val="Body"/>
        <w:spacing w:after="0"/>
        <w:rPr>
          <w:rFonts w:ascii="Arial" w:hAnsi="Arial" w:cs="Arial"/>
        </w:rPr>
      </w:pPr>
    </w:p>
    <w:p w14:paraId="2AB4515F" w14:textId="62A2800D" w:rsidR="005B3BC6" w:rsidRDefault="005B3BC6" w:rsidP="00602394">
      <w:pPr>
        <w:pStyle w:val="Body"/>
        <w:spacing w:after="0"/>
        <w:rPr>
          <w:rFonts w:ascii="Arial" w:hAnsi="Arial" w:cs="Arial"/>
          <w:b/>
          <w:sz w:val="22"/>
          <w:szCs w:val="22"/>
        </w:rPr>
      </w:pPr>
      <w:r>
        <w:rPr>
          <w:rFonts w:ascii="Arial" w:hAnsi="Arial" w:cs="Arial"/>
          <w:b/>
          <w:sz w:val="22"/>
          <w:szCs w:val="22"/>
        </w:rPr>
        <w:t>4.  CONCLUSION</w:t>
      </w:r>
    </w:p>
    <w:p w14:paraId="38815DB8" w14:textId="77777777" w:rsidR="0050586B" w:rsidRDefault="0050586B" w:rsidP="00602394">
      <w:pPr>
        <w:pStyle w:val="Body"/>
        <w:spacing w:after="0"/>
        <w:rPr>
          <w:rFonts w:ascii="Arial" w:hAnsi="Arial" w:cs="Arial"/>
          <w:b/>
          <w:sz w:val="22"/>
          <w:szCs w:val="22"/>
        </w:rPr>
      </w:pPr>
    </w:p>
    <w:p w14:paraId="35DE2771" w14:textId="7FB1ACAA" w:rsidR="005B3BC6" w:rsidRDefault="005B3BC6" w:rsidP="00602394">
      <w:pPr>
        <w:pStyle w:val="Body"/>
        <w:spacing w:after="0"/>
      </w:pPr>
      <w:r w:rsidRPr="00AE57E5">
        <w:rPr>
          <w:rFonts w:ascii="Arial" w:hAnsi="Arial" w:cs="Arial"/>
        </w:rPr>
        <w:t>Based on the results of this study, it can be concluded that the gamma radiation exposure rate and beta radiation exposure rate in the Nuclear Medicine Installation of Bali Mandara Hospital are still very safe and far from NBD because the amount of patients and radioisotope activities used are still low. Therefore, it is important to limit the usage of radioisotopes because the more radioisotope activity used, the longer the time needed for preparation and administration to patients that can cause more radiation exposure. According to the WHO article in 2023</w:t>
      </w:r>
      <w:r w:rsidR="00297638">
        <w:rPr>
          <w:rFonts w:ascii="Arial" w:hAnsi="Arial" w:cs="Arial"/>
        </w:rPr>
        <w:t xml:space="preserve"> [16</w:t>
      </w:r>
      <w:r w:rsidRPr="00AE57E5">
        <w:rPr>
          <w:rFonts w:ascii="Arial" w:hAnsi="Arial" w:cs="Arial"/>
        </w:rPr>
        <w:t>], excessive radiation exposure can interfere tissue or organ function and can cause acute effects such as skin redness, hair loss, burn injuries, and acute radiation syndrome, and even though the resulting exposure is low, if given for a long time there will still be a risk of long-term effects such as cataracts or cancer that may appear several years later</w:t>
      </w:r>
      <w:r>
        <w:t>.</w:t>
      </w:r>
    </w:p>
    <w:p w14:paraId="2A4A1C9A" w14:textId="77777777" w:rsidR="005B3BC6" w:rsidRDefault="005B3BC6" w:rsidP="00602394">
      <w:pPr>
        <w:pStyle w:val="Body"/>
        <w:spacing w:after="0"/>
      </w:pPr>
    </w:p>
    <w:p w14:paraId="4821C0EA" w14:textId="73CD6935" w:rsidR="005B3BC6" w:rsidRDefault="005B3BC6" w:rsidP="00602394">
      <w:pPr>
        <w:pStyle w:val="Body"/>
        <w:spacing w:after="0"/>
        <w:rPr>
          <w:b/>
          <w:sz w:val="22"/>
        </w:rPr>
      </w:pPr>
      <w:r w:rsidRPr="009D7462">
        <w:rPr>
          <w:b/>
          <w:sz w:val="22"/>
        </w:rPr>
        <w:t>ACKNOWLEDGEMENTS</w:t>
      </w:r>
    </w:p>
    <w:p w14:paraId="78380DA5" w14:textId="77777777" w:rsidR="005B3BC6" w:rsidRDefault="005B3BC6" w:rsidP="00602394">
      <w:pPr>
        <w:pStyle w:val="Body"/>
        <w:spacing w:after="0"/>
        <w:rPr>
          <w:rFonts w:ascii="Arial" w:hAnsi="Arial" w:cs="Arial"/>
        </w:rPr>
      </w:pPr>
    </w:p>
    <w:p w14:paraId="1C58F105" w14:textId="3036B298" w:rsidR="005B3BC6" w:rsidRDefault="005B3BC6" w:rsidP="00602394">
      <w:pPr>
        <w:pStyle w:val="Body"/>
        <w:spacing w:after="0"/>
        <w:rPr>
          <w:rFonts w:ascii="Arial" w:hAnsi="Arial" w:cs="Arial"/>
        </w:rPr>
      </w:pPr>
      <w:r w:rsidRPr="00AE57E5">
        <w:rPr>
          <w:rFonts w:ascii="Arial" w:hAnsi="Arial" w:cs="Arial"/>
        </w:rPr>
        <w:t xml:space="preserve">The authors would like to thank Dr. Ida </w:t>
      </w:r>
      <w:proofErr w:type="spellStart"/>
      <w:r w:rsidRPr="00AE57E5">
        <w:rPr>
          <w:rFonts w:ascii="Arial" w:hAnsi="Arial" w:cs="Arial"/>
        </w:rPr>
        <w:t>Bagus</w:t>
      </w:r>
      <w:proofErr w:type="spellEnd"/>
      <w:r w:rsidRPr="00AE57E5">
        <w:rPr>
          <w:rFonts w:ascii="Arial" w:hAnsi="Arial" w:cs="Arial"/>
        </w:rPr>
        <w:t xml:space="preserve"> Made </w:t>
      </w:r>
      <w:proofErr w:type="spellStart"/>
      <w:r w:rsidRPr="00AE57E5">
        <w:rPr>
          <w:rFonts w:ascii="Arial" w:hAnsi="Arial" w:cs="Arial"/>
        </w:rPr>
        <w:t>Suryatika</w:t>
      </w:r>
      <w:proofErr w:type="spellEnd"/>
      <w:r w:rsidRPr="00AE57E5">
        <w:rPr>
          <w:rFonts w:ascii="Arial" w:hAnsi="Arial" w:cs="Arial"/>
        </w:rPr>
        <w:t xml:space="preserve">, S. Si., </w:t>
      </w:r>
      <w:proofErr w:type="spellStart"/>
      <w:r w:rsidRPr="00AE57E5">
        <w:rPr>
          <w:rFonts w:ascii="Arial" w:hAnsi="Arial" w:cs="Arial"/>
        </w:rPr>
        <w:t>M.Si</w:t>
      </w:r>
      <w:proofErr w:type="spellEnd"/>
      <w:r w:rsidRPr="00AE57E5">
        <w:rPr>
          <w:rFonts w:ascii="Arial" w:hAnsi="Arial" w:cs="Arial"/>
        </w:rPr>
        <w:t xml:space="preserve">, Drs. </w:t>
      </w:r>
      <w:proofErr w:type="spellStart"/>
      <w:r w:rsidRPr="00AE57E5">
        <w:rPr>
          <w:rFonts w:ascii="Arial" w:hAnsi="Arial" w:cs="Arial"/>
        </w:rPr>
        <w:t>Bunawas</w:t>
      </w:r>
      <w:proofErr w:type="spellEnd"/>
      <w:r w:rsidRPr="00AE57E5">
        <w:rPr>
          <w:rFonts w:ascii="Arial" w:hAnsi="Arial" w:cs="Arial"/>
        </w:rPr>
        <w:t xml:space="preserve">, APU, Dr. </w:t>
      </w:r>
      <w:proofErr w:type="spellStart"/>
      <w:r w:rsidRPr="00AE57E5">
        <w:rPr>
          <w:rFonts w:ascii="Arial" w:hAnsi="Arial" w:cs="Arial"/>
        </w:rPr>
        <w:t>Gusti</w:t>
      </w:r>
      <w:proofErr w:type="spellEnd"/>
      <w:r w:rsidRPr="00AE57E5">
        <w:rPr>
          <w:rFonts w:ascii="Arial" w:hAnsi="Arial" w:cs="Arial"/>
        </w:rPr>
        <w:t xml:space="preserve"> </w:t>
      </w:r>
      <w:proofErr w:type="spellStart"/>
      <w:r w:rsidRPr="00AE57E5">
        <w:rPr>
          <w:rFonts w:ascii="Arial" w:hAnsi="Arial" w:cs="Arial"/>
        </w:rPr>
        <w:t>Ngurah</w:t>
      </w:r>
      <w:proofErr w:type="spellEnd"/>
      <w:r w:rsidRPr="00AE57E5">
        <w:rPr>
          <w:rFonts w:ascii="Arial" w:hAnsi="Arial" w:cs="Arial"/>
        </w:rPr>
        <w:t xml:space="preserve"> </w:t>
      </w:r>
      <w:proofErr w:type="spellStart"/>
      <w:r w:rsidRPr="00AE57E5">
        <w:rPr>
          <w:rFonts w:ascii="Arial" w:hAnsi="Arial" w:cs="Arial"/>
        </w:rPr>
        <w:t>Sutapa</w:t>
      </w:r>
      <w:proofErr w:type="spellEnd"/>
      <w:r w:rsidRPr="00AE57E5">
        <w:rPr>
          <w:rFonts w:ascii="Arial" w:hAnsi="Arial" w:cs="Arial"/>
        </w:rPr>
        <w:t xml:space="preserve">, </w:t>
      </w:r>
      <w:proofErr w:type="spellStart"/>
      <w:r w:rsidRPr="00AE57E5">
        <w:rPr>
          <w:rFonts w:ascii="Arial" w:hAnsi="Arial" w:cs="Arial"/>
        </w:rPr>
        <w:t>S.Si</w:t>
      </w:r>
      <w:proofErr w:type="spellEnd"/>
      <w:r w:rsidRPr="00AE57E5">
        <w:rPr>
          <w:rFonts w:ascii="Arial" w:hAnsi="Arial" w:cs="Arial"/>
        </w:rPr>
        <w:t xml:space="preserve">, </w:t>
      </w:r>
      <w:proofErr w:type="spellStart"/>
      <w:proofErr w:type="gramStart"/>
      <w:r w:rsidRPr="00AE57E5">
        <w:rPr>
          <w:rFonts w:ascii="Arial" w:hAnsi="Arial" w:cs="Arial"/>
        </w:rPr>
        <w:t>M.Si</w:t>
      </w:r>
      <w:proofErr w:type="spellEnd"/>
      <w:r w:rsidRPr="00AE57E5">
        <w:rPr>
          <w:rFonts w:ascii="Arial" w:hAnsi="Arial" w:cs="Arial"/>
        </w:rPr>
        <w:t>.,</w:t>
      </w:r>
      <w:proofErr w:type="gramEnd"/>
      <w:r w:rsidRPr="00AE57E5">
        <w:rPr>
          <w:rFonts w:ascii="Arial" w:hAnsi="Arial" w:cs="Arial"/>
        </w:rPr>
        <w:t xml:space="preserve"> Prof. Dr. Drs. Anak Agung Ngurah Gunawan, MT, and Ir. </w:t>
      </w:r>
      <w:proofErr w:type="spellStart"/>
      <w:r w:rsidRPr="00AE57E5">
        <w:rPr>
          <w:rFonts w:ascii="Arial" w:hAnsi="Arial" w:cs="Arial"/>
        </w:rPr>
        <w:t>Putu</w:t>
      </w:r>
      <w:proofErr w:type="spellEnd"/>
      <w:r w:rsidRPr="00AE57E5">
        <w:rPr>
          <w:rFonts w:ascii="Arial" w:hAnsi="Arial" w:cs="Arial"/>
        </w:rPr>
        <w:t xml:space="preserve"> </w:t>
      </w:r>
      <w:proofErr w:type="spellStart"/>
      <w:r w:rsidRPr="00AE57E5">
        <w:rPr>
          <w:rFonts w:ascii="Arial" w:hAnsi="Arial" w:cs="Arial"/>
        </w:rPr>
        <w:t>Suardana</w:t>
      </w:r>
      <w:proofErr w:type="spellEnd"/>
      <w:r w:rsidRPr="00AE57E5">
        <w:rPr>
          <w:rFonts w:ascii="Arial" w:hAnsi="Arial" w:cs="Arial"/>
        </w:rPr>
        <w:t xml:space="preserve">, </w:t>
      </w:r>
      <w:proofErr w:type="spellStart"/>
      <w:r w:rsidRPr="00AE57E5">
        <w:rPr>
          <w:rFonts w:ascii="Arial" w:hAnsi="Arial" w:cs="Arial"/>
        </w:rPr>
        <w:t>M.Si</w:t>
      </w:r>
      <w:proofErr w:type="spellEnd"/>
      <w:r w:rsidRPr="00AE57E5">
        <w:rPr>
          <w:rFonts w:ascii="Arial" w:hAnsi="Arial" w:cs="Arial"/>
        </w:rPr>
        <w:t>. for their valuable guidance and direction in this research process. The author also expresses his gratitude to Bali Mandara Hospital for providing facilities in the form of a research site and research support equipment, and thanks to all those who have contributed to this research, both directly and indirectly</w:t>
      </w:r>
      <w:r>
        <w:rPr>
          <w:rFonts w:ascii="Arial" w:hAnsi="Arial" w:cs="Arial"/>
        </w:rPr>
        <w:t>.</w:t>
      </w:r>
    </w:p>
    <w:p w14:paraId="3D6E4BA8" w14:textId="4B594F16" w:rsidR="0081417D" w:rsidRDefault="0081417D" w:rsidP="00602394">
      <w:pPr>
        <w:pStyle w:val="Body"/>
        <w:spacing w:after="0"/>
        <w:rPr>
          <w:rFonts w:ascii="Arial" w:hAnsi="Arial" w:cs="Arial"/>
        </w:rPr>
      </w:pPr>
    </w:p>
    <w:p w14:paraId="3DDD3126" w14:textId="77777777" w:rsidR="0081417D" w:rsidRPr="0081417D" w:rsidRDefault="0081417D" w:rsidP="0081417D">
      <w:pPr>
        <w:pStyle w:val="Body"/>
        <w:rPr>
          <w:rFonts w:ascii="Arial" w:hAnsi="Arial" w:cs="Arial"/>
        </w:rPr>
      </w:pPr>
      <w:r w:rsidRPr="0081417D">
        <w:rPr>
          <w:rFonts w:ascii="Arial" w:hAnsi="Arial" w:cs="Arial"/>
        </w:rPr>
        <w:t>Ethical Approval:</w:t>
      </w:r>
    </w:p>
    <w:p w14:paraId="3C3BDDC7" w14:textId="69B3551F" w:rsidR="0081417D" w:rsidRDefault="0081417D" w:rsidP="0081417D">
      <w:pPr>
        <w:pStyle w:val="Body"/>
        <w:spacing w:after="0"/>
        <w:rPr>
          <w:rFonts w:ascii="Arial" w:hAnsi="Arial" w:cs="Arial"/>
        </w:rPr>
      </w:pPr>
      <w:r w:rsidRPr="0081417D">
        <w:rPr>
          <w:rFonts w:ascii="Arial" w:hAnsi="Arial" w:cs="Arial"/>
        </w:rPr>
        <w:t xml:space="preserve">As per international standards or university standards written ethical approval has been </w:t>
      </w:r>
      <w:proofErr w:type="gramStart"/>
      <w:r w:rsidRPr="0081417D">
        <w:rPr>
          <w:rFonts w:ascii="Arial" w:hAnsi="Arial" w:cs="Arial"/>
        </w:rPr>
        <w:t>collected</w:t>
      </w:r>
      <w:proofErr w:type="gramEnd"/>
      <w:r w:rsidRPr="0081417D">
        <w:rPr>
          <w:rFonts w:ascii="Arial" w:hAnsi="Arial" w:cs="Arial"/>
        </w:rPr>
        <w:t xml:space="preserve"> and preserved by the author(s).</w:t>
      </w:r>
      <w:bookmarkStart w:id="0" w:name="_GoBack"/>
      <w:bookmarkEnd w:id="0"/>
    </w:p>
    <w:p w14:paraId="2C8C43DB" w14:textId="77777777" w:rsidR="005B3BC6" w:rsidRDefault="005B3BC6" w:rsidP="00602394">
      <w:pPr>
        <w:pStyle w:val="Body"/>
        <w:spacing w:after="0"/>
        <w:rPr>
          <w:rFonts w:ascii="Arial" w:hAnsi="Arial" w:cs="Arial"/>
        </w:rPr>
      </w:pPr>
    </w:p>
    <w:p w14:paraId="1C13E45B" w14:textId="476FF301" w:rsidR="005B3BC6" w:rsidRDefault="005B3BC6" w:rsidP="00602394">
      <w:pPr>
        <w:pStyle w:val="Body"/>
        <w:spacing w:after="0"/>
        <w:rPr>
          <w:rFonts w:ascii="Arial" w:hAnsi="Arial" w:cs="Arial"/>
          <w:b/>
          <w:sz w:val="22"/>
        </w:rPr>
      </w:pPr>
      <w:r w:rsidRPr="009D7462">
        <w:rPr>
          <w:rFonts w:ascii="Arial" w:hAnsi="Arial" w:cs="Arial"/>
          <w:b/>
          <w:sz w:val="22"/>
        </w:rPr>
        <w:t>COMPETING INTERESTS</w:t>
      </w:r>
    </w:p>
    <w:p w14:paraId="2CCA47F4" w14:textId="77777777" w:rsidR="005B3BC6" w:rsidRDefault="005B3BC6" w:rsidP="00602394">
      <w:pPr>
        <w:pStyle w:val="Body"/>
        <w:spacing w:after="0"/>
        <w:rPr>
          <w:rFonts w:ascii="Arial" w:hAnsi="Arial" w:cs="Arial"/>
          <w:b/>
          <w:sz w:val="22"/>
        </w:rPr>
      </w:pPr>
    </w:p>
    <w:p w14:paraId="4E40AD49" w14:textId="22449DBE" w:rsidR="005B3BC6" w:rsidRDefault="005B3BC6" w:rsidP="00602394">
      <w:pPr>
        <w:pStyle w:val="Body"/>
        <w:spacing w:after="0"/>
        <w:rPr>
          <w:rFonts w:ascii="Arial" w:hAnsi="Arial" w:cs="Arial"/>
        </w:rPr>
      </w:pPr>
      <w:r>
        <w:rPr>
          <w:rFonts w:ascii="Arial" w:hAnsi="Arial" w:cs="Arial"/>
        </w:rPr>
        <w:t>Authors have declared that no competing interests exist.</w:t>
      </w:r>
    </w:p>
    <w:p w14:paraId="10772F83" w14:textId="77777777" w:rsidR="00734638" w:rsidRDefault="00734638" w:rsidP="00602394">
      <w:pPr>
        <w:pStyle w:val="Body"/>
        <w:spacing w:after="0"/>
        <w:rPr>
          <w:rFonts w:ascii="Arial" w:hAnsi="Arial" w:cs="Arial"/>
          <w:b/>
        </w:rPr>
      </w:pPr>
    </w:p>
    <w:p w14:paraId="64C36C39" w14:textId="381BA305" w:rsidR="004107F1" w:rsidRPr="004107F1" w:rsidRDefault="004107F1" w:rsidP="00602394">
      <w:pPr>
        <w:pStyle w:val="Body"/>
        <w:spacing w:after="0"/>
        <w:rPr>
          <w:rFonts w:ascii="Arial" w:hAnsi="Arial" w:cs="Arial"/>
          <w:b/>
        </w:rPr>
      </w:pPr>
      <w:r w:rsidRPr="004107F1">
        <w:rPr>
          <w:rFonts w:ascii="Arial" w:hAnsi="Arial" w:cs="Arial"/>
          <w:b/>
        </w:rPr>
        <w:t>REFERENCES</w:t>
      </w:r>
    </w:p>
    <w:p w14:paraId="1749C844" w14:textId="77777777" w:rsidR="004107F1" w:rsidRDefault="004107F1" w:rsidP="00602394">
      <w:pPr>
        <w:pStyle w:val="Body"/>
        <w:spacing w:after="0"/>
        <w:rPr>
          <w:rFonts w:ascii="Arial" w:hAnsi="Arial" w:cs="Arial"/>
        </w:rPr>
      </w:pPr>
    </w:p>
    <w:p w14:paraId="7FB99462" w14:textId="6D9B53E7" w:rsidR="004107F1" w:rsidRPr="004107F1" w:rsidRDefault="004107F1" w:rsidP="004107F1">
      <w:pPr>
        <w:pStyle w:val="ListParagraph"/>
        <w:numPr>
          <w:ilvl w:val="0"/>
          <w:numId w:val="40"/>
        </w:numPr>
        <w:autoSpaceDE w:val="0"/>
        <w:autoSpaceDN w:val="0"/>
        <w:spacing w:line="240" w:lineRule="auto"/>
        <w:ind w:left="284" w:right="27" w:hanging="283"/>
        <w:jc w:val="both"/>
        <w:rPr>
          <w:rFonts w:ascii="Arial" w:eastAsia="Calibri" w:hAnsi="Arial" w:cs="Arial"/>
          <w:noProof/>
          <w:sz w:val="20"/>
          <w:szCs w:val="20"/>
          <w:shd w:val="clear" w:color="auto" w:fill="FFFFFF"/>
        </w:rPr>
      </w:pPr>
      <w:r w:rsidRPr="00E654A4">
        <w:rPr>
          <w:rFonts w:ascii="Arial" w:eastAsia="Calibri" w:hAnsi="Arial" w:cs="Arial"/>
          <w:noProof/>
          <w:sz w:val="20"/>
          <w:szCs w:val="20"/>
        </w:rPr>
        <w:t xml:space="preserve">Wiharto, K. (1996). Nuclear Medicine and Applications of Nuclear Engineering in Medicine. </w:t>
      </w:r>
      <w:r w:rsidRPr="009B4616">
        <w:rPr>
          <w:rFonts w:ascii="Arial" w:eastAsia="Calibri" w:hAnsi="Arial" w:cs="Arial"/>
          <w:i/>
          <w:noProof/>
          <w:sz w:val="20"/>
          <w:szCs w:val="20"/>
        </w:rPr>
        <w:t>Proceedings of the Scientific Presentation on Radiat</w:t>
      </w:r>
      <w:r w:rsidR="009B4616" w:rsidRPr="009B4616">
        <w:rPr>
          <w:rFonts w:ascii="Arial" w:eastAsia="Calibri" w:hAnsi="Arial" w:cs="Arial"/>
          <w:i/>
          <w:noProof/>
          <w:sz w:val="20"/>
          <w:szCs w:val="20"/>
        </w:rPr>
        <w:t>ion Safety and the Environment.</w:t>
      </w:r>
      <w:r w:rsidR="009B4616">
        <w:rPr>
          <w:rFonts w:ascii="Arial" w:eastAsia="Calibri" w:hAnsi="Arial" w:cs="Arial"/>
          <w:noProof/>
          <w:sz w:val="20"/>
          <w:szCs w:val="20"/>
        </w:rPr>
        <w:t xml:space="preserve"> Page </w:t>
      </w:r>
      <w:r w:rsidRPr="00E654A4">
        <w:rPr>
          <w:rFonts w:ascii="Arial" w:eastAsia="Calibri" w:hAnsi="Arial" w:cs="Arial"/>
          <w:noProof/>
          <w:sz w:val="20"/>
          <w:szCs w:val="20"/>
        </w:rPr>
        <w:t>8 – 15.</w:t>
      </w:r>
    </w:p>
    <w:p w14:paraId="63444702" w14:textId="77777777" w:rsidR="0023410F" w:rsidRPr="0023410F" w:rsidRDefault="004107F1" w:rsidP="0023410F">
      <w:pPr>
        <w:pStyle w:val="ListParagraph"/>
        <w:numPr>
          <w:ilvl w:val="0"/>
          <w:numId w:val="40"/>
        </w:numPr>
        <w:autoSpaceDE w:val="0"/>
        <w:autoSpaceDN w:val="0"/>
        <w:spacing w:line="240" w:lineRule="auto"/>
        <w:ind w:left="284" w:right="27" w:hanging="283"/>
        <w:jc w:val="both"/>
        <w:rPr>
          <w:rFonts w:ascii="Arial" w:eastAsia="Calibri" w:hAnsi="Arial" w:cs="Arial"/>
          <w:noProof/>
          <w:sz w:val="20"/>
          <w:szCs w:val="20"/>
          <w:shd w:val="clear" w:color="auto" w:fill="FFFFFF"/>
        </w:rPr>
      </w:pPr>
      <w:r w:rsidRPr="004107F1">
        <w:rPr>
          <w:rFonts w:ascii="Arial" w:eastAsia="Calibri" w:hAnsi="Arial" w:cs="Arial"/>
          <w:noProof/>
          <w:sz w:val="20"/>
          <w:szCs w:val="20"/>
        </w:rPr>
        <w:t xml:space="preserve">Payolla, F. B., Massabni, A. C., &amp; Orvig, C. (2019). Radiopharmaceuticals for Diagnosis in Nuclear Medicine: A Short Review. </w:t>
      </w:r>
      <w:r w:rsidRPr="004107F1">
        <w:rPr>
          <w:rFonts w:ascii="Arial" w:eastAsia="Times New Roman" w:hAnsi="Arial" w:cs="Arial"/>
          <w:i/>
          <w:noProof/>
          <w:sz w:val="20"/>
          <w:szCs w:val="20"/>
          <w:lang w:val="id-ID"/>
        </w:rPr>
        <w:t>Eclética Química</w:t>
      </w:r>
      <w:r w:rsidR="009B4616">
        <w:rPr>
          <w:rFonts w:ascii="Arial" w:eastAsia="Times New Roman" w:hAnsi="Arial" w:cs="Arial"/>
          <w:noProof/>
          <w:sz w:val="20"/>
          <w:szCs w:val="20"/>
        </w:rPr>
        <w:t xml:space="preserve">. Vol 44 (3): </w:t>
      </w:r>
      <w:r w:rsidRPr="004107F1">
        <w:rPr>
          <w:rFonts w:ascii="Arial" w:eastAsia="Times New Roman" w:hAnsi="Arial" w:cs="Arial"/>
          <w:noProof/>
          <w:sz w:val="20"/>
          <w:szCs w:val="20"/>
        </w:rPr>
        <w:t xml:space="preserve">11 – 19. </w:t>
      </w:r>
      <w:hyperlink r:id="rId15" w:tgtFrame="_blank" w:history="1">
        <w:r w:rsidR="009B4616" w:rsidRPr="009B4616">
          <w:rPr>
            <w:rFonts w:ascii="Arial" w:eastAsia="Times New Roman" w:hAnsi="Arial" w:cs="Arial"/>
            <w:noProof/>
            <w:color w:val="0000FF"/>
            <w:sz w:val="20"/>
            <w:szCs w:val="20"/>
            <w:u w:val="single"/>
            <w:lang w:val="id-ID"/>
          </w:rPr>
          <w:t>https://doi.org/10.26850/1678-4618eqj.v44.3.2019.p11-19</w:t>
        </w:r>
      </w:hyperlink>
    </w:p>
    <w:p w14:paraId="1093118D" w14:textId="7863DC08" w:rsidR="00302B3A" w:rsidRPr="005752A6" w:rsidRDefault="00302B3A" w:rsidP="0096706E">
      <w:pPr>
        <w:pStyle w:val="ListParagraph"/>
        <w:numPr>
          <w:ilvl w:val="0"/>
          <w:numId w:val="40"/>
        </w:numPr>
        <w:autoSpaceDE w:val="0"/>
        <w:autoSpaceDN w:val="0"/>
        <w:spacing w:line="240" w:lineRule="auto"/>
        <w:ind w:left="284" w:right="27" w:hanging="283"/>
        <w:jc w:val="both"/>
        <w:rPr>
          <w:rFonts w:ascii="Arial" w:eastAsia="Calibri" w:hAnsi="Arial" w:cs="Arial"/>
          <w:noProof/>
          <w:sz w:val="20"/>
          <w:szCs w:val="20"/>
          <w:highlight w:val="yellow"/>
          <w:shd w:val="clear" w:color="auto" w:fill="FFFFFF"/>
        </w:rPr>
      </w:pPr>
      <w:r w:rsidRPr="00E74F94">
        <w:rPr>
          <w:rFonts w:ascii="Arial" w:eastAsia="Calibri" w:hAnsi="Arial" w:cs="Arial"/>
          <w:noProof/>
          <w:sz w:val="20"/>
          <w:szCs w:val="20"/>
          <w:highlight w:val="yellow"/>
        </w:rPr>
        <w:t>Odle, T.</w:t>
      </w:r>
      <w:r w:rsidRPr="00E74F94">
        <w:rPr>
          <w:rFonts w:ascii="Arial" w:eastAsia="Calibri" w:hAnsi="Arial" w:cs="Arial"/>
          <w:noProof/>
          <w:sz w:val="20"/>
          <w:szCs w:val="20"/>
          <w:highlight w:val="yellow"/>
          <w:shd w:val="clear" w:color="auto" w:fill="FFFFFF"/>
        </w:rPr>
        <w:t xml:space="preserve"> G., and Rosier, N. 2012. Radiation Therapy Safety: The Critical Role of the Radiation Therapist. ASRT Education and Research Foundation.</w:t>
      </w:r>
      <w:r w:rsidRPr="00E74F94">
        <w:rPr>
          <w:highlight w:val="yellow"/>
        </w:rPr>
        <w:t xml:space="preserve"> </w:t>
      </w:r>
      <w:hyperlink r:id="rId16" w:history="1">
        <w:r w:rsidRPr="00E74F94">
          <w:rPr>
            <w:rStyle w:val="Hyperlink"/>
            <w:rFonts w:ascii="Arial" w:eastAsia="Calibri" w:hAnsi="Arial" w:cs="Arial"/>
            <w:noProof/>
            <w:color w:val="0000FF"/>
            <w:sz w:val="20"/>
            <w:szCs w:val="20"/>
            <w:highlight w:val="yellow"/>
            <w:shd w:val="clear" w:color="auto" w:fill="FFFFFF"/>
          </w:rPr>
          <w:t>ht</w:t>
        </w:r>
        <w:r w:rsidR="0096706E" w:rsidRPr="00E74F94">
          <w:rPr>
            <w:rStyle w:val="Hyperlink"/>
            <w:rFonts w:ascii="Arial" w:eastAsia="Calibri" w:hAnsi="Arial" w:cs="Arial"/>
            <w:noProof/>
            <w:color w:val="0000FF"/>
            <w:sz w:val="20"/>
            <w:szCs w:val="20"/>
            <w:highlight w:val="yellow"/>
            <w:shd w:val="clear" w:color="auto" w:fill="FFFFFF"/>
          </w:rPr>
          <w:t>tps://www.asrt.org/docs/default-</w:t>
        </w:r>
        <w:r w:rsidRPr="00E74F94">
          <w:rPr>
            <w:rStyle w:val="Hyperlink"/>
            <w:rFonts w:ascii="Arial" w:eastAsia="Calibri" w:hAnsi="Arial" w:cs="Arial"/>
            <w:noProof/>
            <w:color w:val="0000FF"/>
            <w:sz w:val="20"/>
            <w:szCs w:val="20"/>
            <w:highlight w:val="yellow"/>
            <w:shd w:val="clear" w:color="auto" w:fill="FFFFFF"/>
          </w:rPr>
          <w:t>source/research/whitepapers/rt-safety</w:t>
        </w:r>
        <w:r w:rsidR="0096706E" w:rsidRPr="00E74F94">
          <w:rPr>
            <w:rStyle w:val="Hyperlink"/>
            <w:rFonts w:ascii="Arial" w:eastAsia="Calibri" w:hAnsi="Arial" w:cs="Arial"/>
            <w:noProof/>
            <w:color w:val="0000FF"/>
            <w:sz w:val="20"/>
            <w:szCs w:val="20"/>
            <w:highlight w:val="yellow"/>
            <w:shd w:val="clear" w:color="auto" w:fill="FFFFFF"/>
          </w:rPr>
          <w:t>---the-critical-role-of-the-rad-</w:t>
        </w:r>
        <w:r w:rsidRPr="00E74F94">
          <w:rPr>
            <w:rStyle w:val="Hyperlink"/>
            <w:rFonts w:ascii="Arial" w:eastAsia="Calibri" w:hAnsi="Arial" w:cs="Arial"/>
            <w:noProof/>
            <w:color w:val="0000FF"/>
            <w:sz w:val="20"/>
            <w:szCs w:val="20"/>
            <w:highlight w:val="yellow"/>
            <w:shd w:val="clear" w:color="auto" w:fill="FFFFFF"/>
          </w:rPr>
          <w:t>therapist.pdf?sfvrsn=7ce57dd0_12</w:t>
        </w:r>
      </w:hyperlink>
    </w:p>
    <w:p w14:paraId="685DF76E" w14:textId="18AC97FD" w:rsidR="005752A6" w:rsidRPr="00E74F94" w:rsidRDefault="005752A6" w:rsidP="0096706E">
      <w:pPr>
        <w:pStyle w:val="ListParagraph"/>
        <w:numPr>
          <w:ilvl w:val="0"/>
          <w:numId w:val="40"/>
        </w:numPr>
        <w:autoSpaceDE w:val="0"/>
        <w:autoSpaceDN w:val="0"/>
        <w:spacing w:line="240" w:lineRule="auto"/>
        <w:ind w:left="284" w:right="27" w:hanging="283"/>
        <w:jc w:val="both"/>
        <w:rPr>
          <w:rFonts w:ascii="Arial" w:eastAsia="Calibri" w:hAnsi="Arial" w:cs="Arial"/>
          <w:noProof/>
          <w:sz w:val="20"/>
          <w:szCs w:val="20"/>
          <w:highlight w:val="yellow"/>
          <w:shd w:val="clear" w:color="auto" w:fill="FFFFFF"/>
        </w:rPr>
      </w:pPr>
      <w:r>
        <w:rPr>
          <w:rFonts w:ascii="Arial" w:eastAsia="Calibri" w:hAnsi="Arial" w:cs="Arial"/>
          <w:noProof/>
          <w:sz w:val="20"/>
          <w:szCs w:val="20"/>
          <w:highlight w:val="yellow"/>
        </w:rPr>
        <w:t>Frane, N.</w:t>
      </w:r>
      <w:r>
        <w:rPr>
          <w:rFonts w:ascii="Arial" w:eastAsia="Calibri" w:hAnsi="Arial" w:cs="Arial"/>
          <w:noProof/>
          <w:sz w:val="20"/>
          <w:szCs w:val="20"/>
          <w:highlight w:val="yellow"/>
          <w:shd w:val="clear" w:color="auto" w:fill="FFFFFF"/>
        </w:rPr>
        <w:t>, and Bitterman A. (2023). Radiatio Safety and Protection. Florida: StatPearls Publishing.</w:t>
      </w:r>
    </w:p>
    <w:p w14:paraId="04949D31" w14:textId="513D5C57" w:rsidR="004107F1" w:rsidRPr="009B06D7" w:rsidRDefault="004107F1" w:rsidP="004107F1">
      <w:pPr>
        <w:pStyle w:val="ListParagraph"/>
        <w:numPr>
          <w:ilvl w:val="0"/>
          <w:numId w:val="40"/>
        </w:numPr>
        <w:autoSpaceDE w:val="0"/>
        <w:autoSpaceDN w:val="0"/>
        <w:spacing w:line="240" w:lineRule="auto"/>
        <w:ind w:left="284" w:right="27" w:hanging="283"/>
        <w:jc w:val="both"/>
        <w:rPr>
          <w:rFonts w:ascii="Arial" w:eastAsia="Calibri" w:hAnsi="Arial" w:cs="Arial"/>
          <w:noProof/>
          <w:sz w:val="20"/>
          <w:szCs w:val="20"/>
          <w:shd w:val="clear" w:color="auto" w:fill="FFFFFF"/>
        </w:rPr>
      </w:pPr>
      <w:r w:rsidRPr="009B06D7">
        <w:rPr>
          <w:rFonts w:ascii="Arial" w:eastAsia="Calibri" w:hAnsi="Arial" w:cs="Arial"/>
          <w:noProof/>
          <w:sz w:val="20"/>
          <w:szCs w:val="20"/>
        </w:rPr>
        <w:t xml:space="preserve">Badawi, R. D. (2001). Nuclear Medicine. </w:t>
      </w:r>
      <w:r w:rsidRPr="009B4616">
        <w:rPr>
          <w:rFonts w:ascii="Arial" w:eastAsia="Calibri" w:hAnsi="Arial" w:cs="Arial"/>
          <w:i/>
          <w:noProof/>
          <w:sz w:val="20"/>
          <w:szCs w:val="20"/>
        </w:rPr>
        <w:t>Physics Education</w:t>
      </w:r>
      <w:r w:rsidR="009B4616">
        <w:rPr>
          <w:rFonts w:ascii="Arial" w:eastAsia="Calibri" w:hAnsi="Arial" w:cs="Arial"/>
          <w:noProof/>
          <w:sz w:val="20"/>
          <w:szCs w:val="20"/>
        </w:rPr>
        <w:t xml:space="preserve">. Vol 36(6): </w:t>
      </w:r>
      <w:r w:rsidRPr="009B06D7">
        <w:rPr>
          <w:rFonts w:ascii="Arial" w:eastAsia="Calibri" w:hAnsi="Arial" w:cs="Arial"/>
          <w:noProof/>
          <w:sz w:val="20"/>
          <w:szCs w:val="20"/>
        </w:rPr>
        <w:t>452-459.</w:t>
      </w:r>
    </w:p>
    <w:p w14:paraId="6D29E722" w14:textId="71389809" w:rsidR="009B06D7" w:rsidRPr="009B06D7" w:rsidRDefault="009B06D7" w:rsidP="004107F1">
      <w:pPr>
        <w:pStyle w:val="ListParagraph"/>
        <w:numPr>
          <w:ilvl w:val="0"/>
          <w:numId w:val="40"/>
        </w:numPr>
        <w:autoSpaceDE w:val="0"/>
        <w:autoSpaceDN w:val="0"/>
        <w:spacing w:line="240" w:lineRule="auto"/>
        <w:ind w:left="284" w:right="27" w:hanging="283"/>
        <w:jc w:val="both"/>
        <w:rPr>
          <w:rFonts w:ascii="Arial" w:eastAsia="Calibri" w:hAnsi="Arial" w:cs="Arial"/>
          <w:noProof/>
          <w:sz w:val="20"/>
          <w:szCs w:val="20"/>
          <w:shd w:val="clear" w:color="auto" w:fill="FFFFFF"/>
        </w:rPr>
      </w:pPr>
      <w:r w:rsidRPr="00602394">
        <w:rPr>
          <w:rFonts w:ascii="Arial" w:eastAsia="Calibri" w:hAnsi="Arial" w:cs="Arial"/>
          <w:noProof/>
          <w:sz w:val="20"/>
          <w:szCs w:val="20"/>
          <w:lang w:val="id-ID"/>
        </w:rPr>
        <w:t xml:space="preserve">Ernawati, H. E., Herwiningsih, S., </w:t>
      </w:r>
      <w:r w:rsidRPr="00602394">
        <w:rPr>
          <w:rFonts w:ascii="Arial" w:eastAsia="Calibri" w:hAnsi="Arial" w:cs="Arial"/>
          <w:noProof/>
          <w:sz w:val="20"/>
          <w:szCs w:val="20"/>
        </w:rPr>
        <w:t xml:space="preserve">&amp; </w:t>
      </w:r>
      <w:r w:rsidRPr="00602394">
        <w:rPr>
          <w:rFonts w:ascii="Arial" w:eastAsia="Calibri" w:hAnsi="Arial" w:cs="Arial"/>
          <w:noProof/>
          <w:sz w:val="20"/>
          <w:szCs w:val="20"/>
          <w:lang w:val="id-ID"/>
        </w:rPr>
        <w:t xml:space="preserve">Bunawas. </w:t>
      </w:r>
      <w:r w:rsidRPr="00602394">
        <w:rPr>
          <w:rFonts w:ascii="Arial" w:eastAsia="Calibri" w:hAnsi="Arial" w:cs="Arial"/>
          <w:noProof/>
          <w:sz w:val="20"/>
          <w:szCs w:val="20"/>
        </w:rPr>
        <w:t>(</w:t>
      </w:r>
      <w:r w:rsidRPr="00602394">
        <w:rPr>
          <w:rFonts w:ascii="Arial" w:eastAsia="Calibri" w:hAnsi="Arial" w:cs="Arial"/>
          <w:noProof/>
          <w:sz w:val="20"/>
          <w:szCs w:val="20"/>
          <w:lang w:val="id-ID"/>
        </w:rPr>
        <w:t>2022</w:t>
      </w:r>
      <w:r w:rsidRPr="00602394">
        <w:rPr>
          <w:rFonts w:ascii="Arial" w:eastAsia="Calibri" w:hAnsi="Arial" w:cs="Arial"/>
          <w:noProof/>
          <w:sz w:val="20"/>
          <w:szCs w:val="20"/>
        </w:rPr>
        <w:t xml:space="preserve">). Monitoring Dose Rates of Beta and Gamma Radiation Exposure in Nuclear Medicine Installation. </w:t>
      </w:r>
      <w:r w:rsidR="009B4616">
        <w:rPr>
          <w:rFonts w:ascii="Arial" w:eastAsia="Calibri" w:hAnsi="Arial" w:cs="Arial"/>
          <w:i/>
          <w:noProof/>
          <w:sz w:val="20"/>
          <w:szCs w:val="20"/>
        </w:rPr>
        <w:t>Si-INTAN Seminar P</w:t>
      </w:r>
      <w:r w:rsidRPr="009B4616">
        <w:rPr>
          <w:rFonts w:ascii="Arial" w:eastAsia="Calibri" w:hAnsi="Arial" w:cs="Arial"/>
          <w:i/>
          <w:noProof/>
          <w:sz w:val="20"/>
          <w:szCs w:val="20"/>
        </w:rPr>
        <w:t>roceedings</w:t>
      </w:r>
      <w:r w:rsidR="009B4616">
        <w:rPr>
          <w:rFonts w:ascii="Arial" w:eastAsia="Calibri" w:hAnsi="Arial" w:cs="Arial"/>
          <w:noProof/>
          <w:sz w:val="20"/>
          <w:szCs w:val="20"/>
        </w:rPr>
        <w:t xml:space="preserve">. Vol 2(1): </w:t>
      </w:r>
      <w:r w:rsidRPr="00602394">
        <w:rPr>
          <w:rFonts w:ascii="Arial" w:eastAsia="Calibri" w:hAnsi="Arial" w:cs="Arial"/>
          <w:noProof/>
          <w:sz w:val="20"/>
          <w:szCs w:val="20"/>
        </w:rPr>
        <w:t>14-21.</w:t>
      </w:r>
    </w:p>
    <w:p w14:paraId="0C5C6CBB" w14:textId="5E3A2186" w:rsidR="009B06D7" w:rsidRPr="009B4616" w:rsidRDefault="009B06D7" w:rsidP="009B06D7">
      <w:pPr>
        <w:pStyle w:val="ListParagraph"/>
        <w:numPr>
          <w:ilvl w:val="0"/>
          <w:numId w:val="40"/>
        </w:numPr>
        <w:autoSpaceDE w:val="0"/>
        <w:autoSpaceDN w:val="0"/>
        <w:spacing w:line="240" w:lineRule="auto"/>
        <w:ind w:left="284" w:right="27" w:hanging="283"/>
        <w:jc w:val="both"/>
        <w:rPr>
          <w:rFonts w:ascii="Arial" w:eastAsia="Calibri" w:hAnsi="Arial" w:cs="Arial"/>
          <w:noProof/>
          <w:sz w:val="20"/>
          <w:szCs w:val="20"/>
          <w:shd w:val="clear" w:color="auto" w:fill="FFFFFF"/>
        </w:rPr>
      </w:pPr>
      <w:r w:rsidRPr="009B4616">
        <w:rPr>
          <w:rFonts w:ascii="Arial" w:eastAsia="Calibri" w:hAnsi="Arial" w:cs="Arial"/>
          <w:noProof/>
          <w:sz w:val="20"/>
          <w:szCs w:val="20"/>
          <w:lang w:val="id-ID"/>
        </w:rPr>
        <w:t>Alkhorayef</w:t>
      </w:r>
      <w:r w:rsidRPr="009B4616">
        <w:rPr>
          <w:rFonts w:ascii="Arial" w:eastAsia="Calibri" w:hAnsi="Arial" w:cs="Arial"/>
          <w:noProof/>
          <w:sz w:val="20"/>
          <w:szCs w:val="20"/>
        </w:rPr>
        <w:t xml:space="preserve">, M., </w:t>
      </w:r>
      <w:r w:rsidR="009B4616" w:rsidRPr="009B4616">
        <w:rPr>
          <w:rFonts w:ascii="Arial" w:eastAsia="Calibri" w:hAnsi="Arial" w:cs="Arial"/>
          <w:noProof/>
          <w:sz w:val="20"/>
          <w:szCs w:val="20"/>
          <w:lang w:val="id-ID"/>
        </w:rPr>
        <w:t>Mayhoub</w:t>
      </w:r>
      <w:r w:rsidR="009B4616" w:rsidRPr="009B4616">
        <w:rPr>
          <w:rFonts w:ascii="Arial" w:eastAsia="Calibri" w:hAnsi="Arial" w:cs="Arial"/>
          <w:noProof/>
          <w:sz w:val="20"/>
          <w:szCs w:val="20"/>
        </w:rPr>
        <w:t>, F. H.</w:t>
      </w:r>
      <w:r w:rsidR="009B4616" w:rsidRPr="009B4616">
        <w:rPr>
          <w:rFonts w:ascii="Arial" w:eastAsia="Calibri" w:hAnsi="Arial" w:cs="Arial"/>
          <w:noProof/>
          <w:sz w:val="20"/>
          <w:szCs w:val="20"/>
          <w:lang w:val="id-ID"/>
        </w:rPr>
        <w:t>, Salah,</w:t>
      </w:r>
      <w:r w:rsidR="009B4616" w:rsidRPr="009B4616">
        <w:rPr>
          <w:rFonts w:ascii="Arial" w:eastAsia="Calibri" w:hAnsi="Arial" w:cs="Arial"/>
          <w:noProof/>
          <w:sz w:val="20"/>
          <w:szCs w:val="20"/>
        </w:rPr>
        <w:t xml:space="preserve"> H., </w:t>
      </w:r>
      <w:r w:rsidR="009B4616" w:rsidRPr="009B4616">
        <w:rPr>
          <w:rFonts w:ascii="Arial" w:eastAsia="Calibri" w:hAnsi="Arial" w:cs="Arial"/>
          <w:noProof/>
          <w:sz w:val="20"/>
          <w:szCs w:val="20"/>
          <w:lang w:val="id-ID"/>
        </w:rPr>
        <w:t>Sulieman,</w:t>
      </w:r>
      <w:r w:rsidR="009B4616" w:rsidRPr="009B4616">
        <w:rPr>
          <w:rFonts w:ascii="Arial" w:eastAsia="Calibri" w:hAnsi="Arial" w:cs="Arial"/>
          <w:noProof/>
          <w:sz w:val="20"/>
          <w:szCs w:val="20"/>
        </w:rPr>
        <w:t xml:space="preserve"> A.,</w:t>
      </w:r>
      <w:r w:rsidR="009B4616" w:rsidRPr="009B4616">
        <w:rPr>
          <w:rFonts w:ascii="Arial" w:eastAsia="Calibri" w:hAnsi="Arial" w:cs="Arial"/>
          <w:noProof/>
          <w:sz w:val="20"/>
          <w:szCs w:val="20"/>
          <w:lang w:val="id-ID"/>
        </w:rPr>
        <w:t xml:space="preserve"> Al-Mohammed</w:t>
      </w:r>
      <w:r w:rsidR="009B4616" w:rsidRPr="009B4616">
        <w:rPr>
          <w:rFonts w:ascii="Arial" w:eastAsia="Calibri" w:hAnsi="Arial" w:cs="Arial"/>
          <w:noProof/>
          <w:sz w:val="20"/>
          <w:szCs w:val="20"/>
        </w:rPr>
        <w:t>, H. I.,</w:t>
      </w:r>
      <w:r w:rsidR="009B4616" w:rsidRPr="009B4616">
        <w:rPr>
          <w:rFonts w:ascii="Arial" w:eastAsia="Calibri" w:hAnsi="Arial" w:cs="Arial"/>
          <w:noProof/>
          <w:sz w:val="20"/>
          <w:szCs w:val="20"/>
          <w:lang w:val="id-ID"/>
        </w:rPr>
        <w:t xml:space="preserve"> Almuwannis, </w:t>
      </w:r>
      <w:r w:rsidR="009B4616" w:rsidRPr="009B4616">
        <w:rPr>
          <w:rFonts w:ascii="Arial" w:eastAsia="Calibri" w:hAnsi="Arial" w:cs="Arial"/>
          <w:noProof/>
          <w:sz w:val="20"/>
          <w:szCs w:val="20"/>
        </w:rPr>
        <w:t xml:space="preserve">M., </w:t>
      </w:r>
      <w:r w:rsidR="009B4616" w:rsidRPr="009B4616">
        <w:rPr>
          <w:rFonts w:ascii="Arial" w:eastAsia="Calibri" w:hAnsi="Arial" w:cs="Arial"/>
          <w:noProof/>
          <w:sz w:val="20"/>
          <w:szCs w:val="20"/>
          <w:lang w:val="id-ID"/>
        </w:rPr>
        <w:t xml:space="preserve">Kappas, </w:t>
      </w:r>
      <w:r w:rsidR="009B4616" w:rsidRPr="009B4616">
        <w:rPr>
          <w:rFonts w:ascii="Arial" w:eastAsia="Calibri" w:hAnsi="Arial" w:cs="Arial"/>
          <w:noProof/>
          <w:sz w:val="20"/>
          <w:szCs w:val="20"/>
        </w:rPr>
        <w:t xml:space="preserve">C., &amp; </w:t>
      </w:r>
      <w:r w:rsidR="009B4616" w:rsidRPr="009B4616">
        <w:rPr>
          <w:rFonts w:ascii="Arial" w:eastAsia="Calibri" w:hAnsi="Arial" w:cs="Arial"/>
          <w:noProof/>
          <w:sz w:val="20"/>
          <w:szCs w:val="20"/>
          <w:lang w:val="id-ID"/>
        </w:rPr>
        <w:t>Bradle</w:t>
      </w:r>
      <w:r w:rsidR="009B4616" w:rsidRPr="009B4616">
        <w:rPr>
          <w:rFonts w:ascii="Arial" w:eastAsia="Calibri" w:hAnsi="Arial" w:cs="Arial"/>
          <w:noProof/>
          <w:sz w:val="20"/>
          <w:szCs w:val="20"/>
        </w:rPr>
        <w:t>y</w:t>
      </w:r>
      <w:r w:rsidR="009B4616" w:rsidRPr="009B4616">
        <w:rPr>
          <w:rFonts w:ascii="Arial" w:eastAsia="Calibri" w:hAnsi="Arial" w:cs="Arial"/>
          <w:noProof/>
          <w:sz w:val="20"/>
          <w:szCs w:val="20"/>
          <w:lang w:val="id-ID"/>
        </w:rPr>
        <w:t xml:space="preserve">, </w:t>
      </w:r>
      <w:r w:rsidR="009B4616" w:rsidRPr="009B4616">
        <w:rPr>
          <w:rFonts w:ascii="Arial" w:eastAsia="Calibri" w:hAnsi="Arial" w:cs="Arial"/>
          <w:noProof/>
          <w:sz w:val="20"/>
          <w:szCs w:val="20"/>
        </w:rPr>
        <w:t>D. A</w:t>
      </w:r>
      <w:r w:rsidRPr="009B4616">
        <w:rPr>
          <w:rFonts w:ascii="Arial" w:eastAsia="Calibri" w:hAnsi="Arial" w:cs="Arial"/>
          <w:noProof/>
          <w:sz w:val="20"/>
          <w:szCs w:val="20"/>
        </w:rPr>
        <w:t>.</w:t>
      </w:r>
      <w:r w:rsidRPr="009B4616">
        <w:rPr>
          <w:rFonts w:ascii="Arial" w:eastAsia="Calibri" w:hAnsi="Arial" w:cs="Arial"/>
          <w:noProof/>
          <w:sz w:val="20"/>
          <w:szCs w:val="20"/>
          <w:lang w:val="id-ID"/>
        </w:rPr>
        <w:t xml:space="preserve"> </w:t>
      </w:r>
      <w:r w:rsidRPr="009B4616">
        <w:rPr>
          <w:rFonts w:ascii="Arial" w:eastAsia="Calibri" w:hAnsi="Arial" w:cs="Arial"/>
          <w:noProof/>
          <w:sz w:val="20"/>
          <w:szCs w:val="20"/>
        </w:rPr>
        <w:t>(</w:t>
      </w:r>
      <w:r w:rsidRPr="009B4616">
        <w:rPr>
          <w:rFonts w:ascii="Arial" w:eastAsia="Calibri" w:hAnsi="Arial" w:cs="Arial"/>
          <w:noProof/>
          <w:sz w:val="20"/>
          <w:szCs w:val="20"/>
          <w:lang w:val="id-ID"/>
        </w:rPr>
        <w:t>20</w:t>
      </w:r>
      <w:r w:rsidRPr="009B4616">
        <w:rPr>
          <w:rFonts w:ascii="Arial" w:eastAsia="Calibri" w:hAnsi="Arial" w:cs="Arial"/>
          <w:noProof/>
          <w:sz w:val="20"/>
          <w:szCs w:val="20"/>
        </w:rPr>
        <w:t xml:space="preserve">20). </w:t>
      </w:r>
      <w:r w:rsidRPr="009B4616">
        <w:rPr>
          <w:rFonts w:ascii="Arial" w:eastAsia="Calibri" w:hAnsi="Arial" w:cs="Arial"/>
          <w:noProof/>
          <w:sz w:val="20"/>
          <w:szCs w:val="20"/>
          <w:lang w:val="id-ID"/>
        </w:rPr>
        <w:t xml:space="preserve">Assessment of </w:t>
      </w:r>
      <w:r w:rsidRPr="009B4616">
        <w:rPr>
          <w:rFonts w:ascii="Arial" w:eastAsia="Calibri" w:hAnsi="Arial" w:cs="Arial"/>
          <w:noProof/>
          <w:sz w:val="20"/>
          <w:szCs w:val="20"/>
        </w:rPr>
        <w:t>O</w:t>
      </w:r>
      <w:r w:rsidRPr="009B4616">
        <w:rPr>
          <w:rFonts w:ascii="Arial" w:eastAsia="Calibri" w:hAnsi="Arial" w:cs="Arial"/>
          <w:noProof/>
          <w:sz w:val="20"/>
          <w:szCs w:val="20"/>
          <w:lang w:val="id-ID"/>
        </w:rPr>
        <w:t xml:space="preserve">ccupational </w:t>
      </w:r>
      <w:r w:rsidRPr="009B4616">
        <w:rPr>
          <w:rFonts w:ascii="Arial" w:eastAsia="Calibri" w:hAnsi="Arial" w:cs="Arial"/>
          <w:noProof/>
          <w:sz w:val="20"/>
          <w:szCs w:val="20"/>
        </w:rPr>
        <w:t>E</w:t>
      </w:r>
      <w:r w:rsidRPr="009B4616">
        <w:rPr>
          <w:rFonts w:ascii="Arial" w:eastAsia="Calibri" w:hAnsi="Arial" w:cs="Arial"/>
          <w:noProof/>
          <w:sz w:val="20"/>
          <w:szCs w:val="20"/>
          <w:lang w:val="id-ID"/>
        </w:rPr>
        <w:t xml:space="preserve">xposure and </w:t>
      </w:r>
      <w:r w:rsidRPr="009B4616">
        <w:rPr>
          <w:rFonts w:ascii="Arial" w:eastAsia="Calibri" w:hAnsi="Arial" w:cs="Arial"/>
          <w:noProof/>
          <w:sz w:val="20"/>
          <w:szCs w:val="20"/>
        </w:rPr>
        <w:t>R</w:t>
      </w:r>
      <w:r w:rsidRPr="009B4616">
        <w:rPr>
          <w:rFonts w:ascii="Arial" w:eastAsia="Calibri" w:hAnsi="Arial" w:cs="Arial"/>
          <w:noProof/>
          <w:sz w:val="20"/>
          <w:szCs w:val="20"/>
          <w:lang w:val="id-ID"/>
        </w:rPr>
        <w:t xml:space="preserve">adiation </w:t>
      </w:r>
      <w:r w:rsidRPr="009B4616">
        <w:rPr>
          <w:rFonts w:ascii="Arial" w:eastAsia="Calibri" w:hAnsi="Arial" w:cs="Arial"/>
          <w:noProof/>
          <w:sz w:val="20"/>
          <w:szCs w:val="20"/>
        </w:rPr>
        <w:t>R</w:t>
      </w:r>
      <w:r w:rsidRPr="009B4616">
        <w:rPr>
          <w:rFonts w:ascii="Arial" w:eastAsia="Calibri" w:hAnsi="Arial" w:cs="Arial"/>
          <w:noProof/>
          <w:sz w:val="20"/>
          <w:szCs w:val="20"/>
          <w:lang w:val="id-ID"/>
        </w:rPr>
        <w:t xml:space="preserve">isks in </w:t>
      </w:r>
      <w:r w:rsidRPr="009B4616">
        <w:rPr>
          <w:rFonts w:ascii="Arial" w:eastAsia="Calibri" w:hAnsi="Arial" w:cs="Arial"/>
          <w:noProof/>
          <w:sz w:val="20"/>
          <w:szCs w:val="20"/>
        </w:rPr>
        <w:t>N</w:t>
      </w:r>
      <w:r w:rsidRPr="009B4616">
        <w:rPr>
          <w:rFonts w:ascii="Arial" w:eastAsia="Calibri" w:hAnsi="Arial" w:cs="Arial"/>
          <w:noProof/>
          <w:sz w:val="20"/>
          <w:szCs w:val="20"/>
          <w:lang w:val="id-ID"/>
        </w:rPr>
        <w:t xml:space="preserve">uclear </w:t>
      </w:r>
      <w:r w:rsidRPr="009B4616">
        <w:rPr>
          <w:rFonts w:ascii="Arial" w:eastAsia="Calibri" w:hAnsi="Arial" w:cs="Arial"/>
          <w:noProof/>
          <w:sz w:val="20"/>
          <w:szCs w:val="20"/>
        </w:rPr>
        <w:t>M</w:t>
      </w:r>
      <w:r w:rsidRPr="009B4616">
        <w:rPr>
          <w:rFonts w:ascii="Arial" w:eastAsia="Calibri" w:hAnsi="Arial" w:cs="Arial"/>
          <w:noProof/>
          <w:sz w:val="20"/>
          <w:szCs w:val="20"/>
          <w:lang w:val="id-ID"/>
        </w:rPr>
        <w:t xml:space="preserve">edicine </w:t>
      </w:r>
      <w:r w:rsidRPr="009B4616">
        <w:rPr>
          <w:rFonts w:ascii="Arial" w:eastAsia="Calibri" w:hAnsi="Arial" w:cs="Arial"/>
          <w:noProof/>
          <w:sz w:val="20"/>
          <w:szCs w:val="20"/>
        </w:rPr>
        <w:t>D</w:t>
      </w:r>
      <w:r w:rsidRPr="009B4616">
        <w:rPr>
          <w:rFonts w:ascii="Arial" w:eastAsia="Calibri" w:hAnsi="Arial" w:cs="Arial"/>
          <w:noProof/>
          <w:sz w:val="20"/>
          <w:szCs w:val="20"/>
          <w:lang w:val="id-ID"/>
        </w:rPr>
        <w:t>epartments.</w:t>
      </w:r>
      <w:r w:rsidRPr="009B4616">
        <w:rPr>
          <w:rFonts w:ascii="Arial" w:eastAsia="Calibri" w:hAnsi="Arial" w:cs="Arial"/>
          <w:noProof/>
          <w:sz w:val="20"/>
          <w:szCs w:val="20"/>
        </w:rPr>
        <w:t xml:space="preserve"> </w:t>
      </w:r>
      <w:r w:rsidRPr="009B4616">
        <w:rPr>
          <w:rFonts w:ascii="Arial" w:eastAsia="Calibri" w:hAnsi="Arial" w:cs="Arial"/>
          <w:i/>
          <w:noProof/>
          <w:sz w:val="20"/>
          <w:szCs w:val="20"/>
          <w:lang w:val="id-ID"/>
        </w:rPr>
        <w:t>Radiation Physics and Chemistry</w:t>
      </w:r>
      <w:r w:rsidR="009B4616" w:rsidRPr="009B4616">
        <w:rPr>
          <w:rFonts w:ascii="Arial" w:eastAsia="Calibri" w:hAnsi="Arial" w:cs="Arial"/>
          <w:noProof/>
          <w:sz w:val="20"/>
          <w:szCs w:val="20"/>
          <w:lang w:val="id-ID"/>
        </w:rPr>
        <w:t>.</w:t>
      </w:r>
      <w:r w:rsidR="009B4616" w:rsidRPr="009B4616">
        <w:rPr>
          <w:rFonts w:ascii="Arial" w:eastAsia="Calibri" w:hAnsi="Arial" w:cs="Arial"/>
          <w:noProof/>
          <w:sz w:val="20"/>
          <w:szCs w:val="20"/>
        </w:rPr>
        <w:t xml:space="preserve"> Vol</w:t>
      </w:r>
      <w:r w:rsidRPr="009B4616">
        <w:rPr>
          <w:rFonts w:ascii="Arial" w:eastAsia="Calibri" w:hAnsi="Arial" w:cs="Arial"/>
          <w:noProof/>
          <w:sz w:val="20"/>
          <w:szCs w:val="20"/>
          <w:lang w:val="id-ID"/>
        </w:rPr>
        <w:t xml:space="preserve"> 170.</w:t>
      </w:r>
      <w:r w:rsidR="009B4616" w:rsidRPr="009B4616">
        <w:rPr>
          <w:rFonts w:ascii="Arial" w:hAnsi="Arial" w:cs="Arial"/>
          <w:sz w:val="20"/>
          <w:szCs w:val="20"/>
        </w:rPr>
        <w:t xml:space="preserve"> </w:t>
      </w:r>
      <w:hyperlink r:id="rId17" w:history="1">
        <w:r w:rsidR="009B4616" w:rsidRPr="009B4616">
          <w:rPr>
            <w:rFonts w:ascii="Arial" w:eastAsia="Calibri" w:hAnsi="Arial" w:cs="Arial"/>
            <w:noProof/>
            <w:color w:val="0000FF"/>
            <w:sz w:val="20"/>
            <w:szCs w:val="20"/>
            <w:u w:val="single"/>
            <w:lang w:val="id-ID"/>
          </w:rPr>
          <w:t>https://doi.org/10.1016/j.radphyschem.2019.108529</w:t>
        </w:r>
      </w:hyperlink>
    </w:p>
    <w:p w14:paraId="633C355D" w14:textId="19EE00A1" w:rsidR="009B06D7" w:rsidRPr="009B4616" w:rsidRDefault="009B06D7" w:rsidP="009B4616">
      <w:pPr>
        <w:pStyle w:val="ListParagraph"/>
        <w:numPr>
          <w:ilvl w:val="0"/>
          <w:numId w:val="40"/>
        </w:numPr>
        <w:autoSpaceDE w:val="0"/>
        <w:autoSpaceDN w:val="0"/>
        <w:spacing w:line="240" w:lineRule="auto"/>
        <w:ind w:left="284" w:right="135" w:hanging="283"/>
        <w:jc w:val="both"/>
        <w:rPr>
          <w:rFonts w:ascii="Arial" w:eastAsia="Calibri" w:hAnsi="Arial" w:cs="Arial"/>
          <w:noProof/>
          <w:sz w:val="20"/>
          <w:szCs w:val="20"/>
          <w:shd w:val="clear" w:color="auto" w:fill="FFFFFF"/>
        </w:rPr>
      </w:pPr>
      <w:r w:rsidRPr="009B4616">
        <w:rPr>
          <w:rFonts w:ascii="Arial" w:eastAsia="Calibri" w:hAnsi="Arial" w:cs="Arial"/>
          <w:noProof/>
          <w:sz w:val="20"/>
          <w:szCs w:val="20"/>
        </w:rPr>
        <w:t xml:space="preserve">Martin, M. R., </w:t>
      </w:r>
      <w:r w:rsidR="009B4616" w:rsidRPr="009B4616">
        <w:rPr>
          <w:rFonts w:ascii="Arial" w:eastAsia="Calibri" w:hAnsi="Arial" w:cs="Arial"/>
          <w:noProof/>
          <w:sz w:val="20"/>
          <w:szCs w:val="20"/>
        </w:rPr>
        <w:t>Struelens, L., Iglesias, J. M., Schoonjans, W., Tabuenca, O., Nogueiras, J. M., Gomez, F. J. S., &amp; Medina, A. L</w:t>
      </w:r>
      <w:r w:rsidRPr="009B4616">
        <w:rPr>
          <w:rFonts w:ascii="Arial" w:eastAsia="Calibri" w:hAnsi="Arial" w:cs="Arial"/>
          <w:noProof/>
          <w:sz w:val="20"/>
          <w:szCs w:val="20"/>
        </w:rPr>
        <w:t>. (2023). Radiation Exposure Assesment of Nuclear Medicine Staff Administering [</w:t>
      </w:r>
      <w:r w:rsidRPr="009B4616">
        <w:rPr>
          <w:rFonts w:ascii="Arial" w:eastAsia="Calibri" w:hAnsi="Arial" w:cs="Arial"/>
          <w:noProof/>
          <w:sz w:val="20"/>
          <w:szCs w:val="20"/>
          <w:vertAlign w:val="superscript"/>
        </w:rPr>
        <w:t>177</w:t>
      </w:r>
      <w:r w:rsidRPr="009B4616">
        <w:rPr>
          <w:rFonts w:ascii="Arial" w:eastAsia="Calibri" w:hAnsi="Arial" w:cs="Arial"/>
          <w:noProof/>
          <w:sz w:val="20"/>
          <w:szCs w:val="20"/>
        </w:rPr>
        <w:t xml:space="preserve">Lu] Lu – DOTA –TATE with Active and Passive Dosimetry. </w:t>
      </w:r>
      <w:r w:rsidRPr="009B4616">
        <w:rPr>
          <w:rFonts w:ascii="Arial" w:eastAsia="Calibri" w:hAnsi="Arial" w:cs="Arial"/>
          <w:i/>
          <w:noProof/>
          <w:sz w:val="20"/>
          <w:szCs w:val="20"/>
        </w:rPr>
        <w:t>EJNMMI Physics</w:t>
      </w:r>
      <w:r w:rsidR="009B4616" w:rsidRPr="009B4616">
        <w:rPr>
          <w:rFonts w:ascii="Arial" w:eastAsia="Calibri" w:hAnsi="Arial" w:cs="Arial"/>
          <w:noProof/>
          <w:sz w:val="20"/>
          <w:szCs w:val="20"/>
        </w:rPr>
        <w:t xml:space="preserve">. Vol10(70): </w:t>
      </w:r>
      <w:r w:rsidRPr="009B4616">
        <w:rPr>
          <w:rFonts w:ascii="Arial" w:eastAsia="Calibri" w:hAnsi="Arial" w:cs="Arial"/>
          <w:noProof/>
          <w:sz w:val="20"/>
          <w:szCs w:val="20"/>
        </w:rPr>
        <w:t>1 – 25.</w:t>
      </w:r>
      <w:r w:rsidR="009B4616">
        <w:rPr>
          <w:rFonts w:ascii="Arial" w:eastAsia="Calibri" w:hAnsi="Arial" w:cs="Arial"/>
          <w:noProof/>
          <w:sz w:val="20"/>
          <w:szCs w:val="20"/>
        </w:rPr>
        <w:t xml:space="preserve"> </w:t>
      </w:r>
      <w:hyperlink r:id="rId18" w:history="1">
        <w:r w:rsidR="009B4616" w:rsidRPr="009B4616">
          <w:rPr>
            <w:rFonts w:ascii="Arial" w:eastAsia="Calibri" w:hAnsi="Arial" w:cs="Arial"/>
            <w:noProof/>
            <w:color w:val="0000FF"/>
            <w:sz w:val="20"/>
            <w:szCs w:val="20"/>
            <w:u w:val="single"/>
          </w:rPr>
          <w:t>htt</w:t>
        </w:r>
        <w:r w:rsidR="009B4616">
          <w:rPr>
            <w:rFonts w:ascii="Arial" w:eastAsia="Calibri" w:hAnsi="Arial" w:cs="Arial"/>
            <w:noProof/>
            <w:color w:val="0000FF"/>
            <w:sz w:val="20"/>
            <w:szCs w:val="20"/>
            <w:u w:val="single"/>
          </w:rPr>
          <w:t xml:space="preserve">ps://doi.org/10.1186/s40658-023 </w:t>
        </w:r>
        <w:r w:rsidR="009B4616" w:rsidRPr="009B4616">
          <w:rPr>
            <w:rFonts w:ascii="Arial" w:eastAsia="Calibri" w:hAnsi="Arial" w:cs="Arial"/>
            <w:noProof/>
            <w:color w:val="0000FF"/>
            <w:sz w:val="20"/>
            <w:szCs w:val="20"/>
            <w:u w:val="single"/>
          </w:rPr>
          <w:t>00592-1</w:t>
        </w:r>
      </w:hyperlink>
      <w:r w:rsidR="009B4616" w:rsidRPr="009B4616">
        <w:rPr>
          <w:rFonts w:ascii="Arial" w:eastAsia="Calibri" w:hAnsi="Arial" w:cs="Arial"/>
          <w:noProof/>
          <w:sz w:val="20"/>
          <w:szCs w:val="20"/>
        </w:rPr>
        <w:t>.</w:t>
      </w:r>
    </w:p>
    <w:p w14:paraId="73A00F6D" w14:textId="63A22389" w:rsidR="009B4616" w:rsidRPr="009B4616" w:rsidRDefault="009B4616" w:rsidP="009B4616">
      <w:pPr>
        <w:pStyle w:val="ListParagraph"/>
        <w:numPr>
          <w:ilvl w:val="0"/>
          <w:numId w:val="40"/>
        </w:numPr>
        <w:autoSpaceDE w:val="0"/>
        <w:autoSpaceDN w:val="0"/>
        <w:spacing w:line="240" w:lineRule="auto"/>
        <w:ind w:left="284" w:right="-6" w:hanging="283"/>
        <w:jc w:val="both"/>
        <w:rPr>
          <w:rFonts w:ascii="Arial" w:eastAsia="Calibri" w:hAnsi="Arial" w:cs="Arial"/>
          <w:noProof/>
          <w:sz w:val="20"/>
          <w:szCs w:val="20"/>
          <w:shd w:val="clear" w:color="auto" w:fill="FFFFFF"/>
        </w:rPr>
      </w:pPr>
      <w:r w:rsidRPr="009B4616">
        <w:rPr>
          <w:rFonts w:ascii="Arial" w:eastAsia="Calibri" w:hAnsi="Arial" w:cs="Arial"/>
          <w:noProof/>
          <w:sz w:val="20"/>
          <w:szCs w:val="20"/>
        </w:rPr>
        <w:t xml:space="preserve">Karmaker, N., Maraz, K. M., Islam, F., Haque, M. M., Razak, M., Mollah, M. Z. I., Faruque, M. R. I., &amp; Khan, R. A. 2021. </w:t>
      </w:r>
      <w:r w:rsidRPr="009B4616">
        <w:rPr>
          <w:rFonts w:ascii="Arial" w:eastAsia="Calibri" w:hAnsi="Arial" w:cs="Arial"/>
          <w:noProof/>
          <w:sz w:val="20"/>
          <w:szCs w:val="20"/>
        </w:rPr>
        <w:lastRenderedPageBreak/>
        <w:t xml:space="preserve">Fundamental Characteristics and Application of Radiation. </w:t>
      </w:r>
      <w:r w:rsidRPr="009B4616">
        <w:rPr>
          <w:rFonts w:ascii="Arial" w:eastAsia="Calibri" w:hAnsi="Arial" w:cs="Arial"/>
          <w:i/>
          <w:noProof/>
          <w:sz w:val="20"/>
          <w:szCs w:val="20"/>
        </w:rPr>
        <w:t>GSC Advanced Research and Reviews</w:t>
      </w:r>
      <w:r w:rsidRPr="009B4616">
        <w:rPr>
          <w:rFonts w:ascii="Arial" w:eastAsia="Calibri" w:hAnsi="Arial" w:cs="Arial"/>
          <w:noProof/>
          <w:sz w:val="20"/>
          <w:szCs w:val="20"/>
        </w:rPr>
        <w:t>. Vol 07(01): 064 – 072.</w:t>
      </w:r>
      <w:r>
        <w:rPr>
          <w:rFonts w:ascii="Arial" w:eastAsia="Calibri" w:hAnsi="Arial" w:cs="Arial"/>
          <w:noProof/>
          <w:sz w:val="20"/>
          <w:szCs w:val="20"/>
        </w:rPr>
        <w:t xml:space="preserve"> </w:t>
      </w:r>
      <w:hyperlink r:id="rId19" w:history="1">
        <w:r w:rsidRPr="009B4616">
          <w:rPr>
            <w:rFonts w:ascii="Arial" w:eastAsia="Calibri" w:hAnsi="Arial" w:cs="Arial"/>
            <w:noProof/>
            <w:color w:val="0000FF"/>
            <w:sz w:val="20"/>
            <w:szCs w:val="20"/>
            <w:u w:val="single"/>
          </w:rPr>
          <w:t>https://doi.org/10.30574/gscarr.2021.7.1.0043</w:t>
        </w:r>
      </w:hyperlink>
    </w:p>
    <w:p w14:paraId="62C2025F" w14:textId="1C53FD17" w:rsidR="009B4616" w:rsidRPr="009B4616" w:rsidRDefault="009B4616" w:rsidP="009B4616">
      <w:pPr>
        <w:pStyle w:val="ListParagraph"/>
        <w:numPr>
          <w:ilvl w:val="0"/>
          <w:numId w:val="40"/>
        </w:numPr>
        <w:autoSpaceDE w:val="0"/>
        <w:autoSpaceDN w:val="0"/>
        <w:spacing w:line="240" w:lineRule="auto"/>
        <w:ind w:left="284" w:right="-6" w:hanging="283"/>
        <w:jc w:val="both"/>
        <w:rPr>
          <w:rFonts w:ascii="Arial" w:eastAsia="Calibri" w:hAnsi="Arial" w:cs="Arial"/>
          <w:noProof/>
          <w:sz w:val="20"/>
          <w:szCs w:val="20"/>
          <w:shd w:val="clear" w:color="auto" w:fill="FFFFFF"/>
        </w:rPr>
      </w:pPr>
      <w:r w:rsidRPr="009B4616">
        <w:rPr>
          <w:rFonts w:ascii="Arial" w:eastAsia="Times New Roman" w:hAnsi="Arial" w:cs="Arial"/>
          <w:noProof/>
          <w:sz w:val="20"/>
          <w:szCs w:val="20"/>
        </w:rPr>
        <w:t xml:space="preserve">Welsh, J. S. 2006. Beta Radiation. </w:t>
      </w:r>
      <w:r w:rsidRPr="009B4616">
        <w:rPr>
          <w:rFonts w:ascii="Arial" w:eastAsia="Times New Roman" w:hAnsi="Arial" w:cs="Arial"/>
          <w:i/>
          <w:noProof/>
          <w:sz w:val="20"/>
          <w:szCs w:val="20"/>
        </w:rPr>
        <w:t>The Oncologist</w:t>
      </w:r>
      <w:r w:rsidRPr="009B4616">
        <w:rPr>
          <w:rFonts w:ascii="Arial" w:eastAsia="Times New Roman" w:hAnsi="Arial" w:cs="Arial"/>
          <w:noProof/>
          <w:sz w:val="20"/>
          <w:szCs w:val="20"/>
        </w:rPr>
        <w:t>. Vol 11: 181 – 183.</w:t>
      </w:r>
    </w:p>
    <w:p w14:paraId="100994C3" w14:textId="53DFEC69" w:rsidR="009B4616" w:rsidRPr="001F25A2" w:rsidRDefault="009B4616" w:rsidP="009B4616">
      <w:pPr>
        <w:pStyle w:val="ListParagraph"/>
        <w:numPr>
          <w:ilvl w:val="0"/>
          <w:numId w:val="40"/>
        </w:numPr>
        <w:autoSpaceDE w:val="0"/>
        <w:autoSpaceDN w:val="0"/>
        <w:spacing w:line="240" w:lineRule="auto"/>
        <w:ind w:left="284" w:right="-6" w:hanging="283"/>
        <w:jc w:val="both"/>
        <w:rPr>
          <w:rFonts w:ascii="Arial" w:eastAsia="Calibri" w:hAnsi="Arial" w:cs="Arial"/>
          <w:noProof/>
          <w:sz w:val="20"/>
          <w:szCs w:val="20"/>
          <w:shd w:val="clear" w:color="auto" w:fill="FFFFFF"/>
        </w:rPr>
      </w:pPr>
      <w:r w:rsidRPr="001F25A2">
        <w:rPr>
          <w:rFonts w:ascii="Arial" w:eastAsia="Times New Roman" w:hAnsi="Arial" w:cs="Arial"/>
          <w:noProof/>
          <w:sz w:val="20"/>
          <w:szCs w:val="20"/>
        </w:rPr>
        <w:t xml:space="preserve">Ridwan, Jatu. 2015. </w:t>
      </w:r>
      <w:r w:rsidR="001F25A2" w:rsidRPr="001F25A2">
        <w:rPr>
          <w:rFonts w:ascii="Arial" w:eastAsia="Times New Roman" w:hAnsi="Arial" w:cs="Arial"/>
          <w:noProof/>
          <w:sz w:val="20"/>
          <w:szCs w:val="20"/>
        </w:rPr>
        <w:t>Numerical Simulation of Nuclei Decay Mass of Radioactive Element Uranium-238 by Matrix Algebra Method</w:t>
      </w:r>
      <w:r w:rsidRPr="001F25A2">
        <w:rPr>
          <w:rFonts w:ascii="Arial" w:eastAsia="Times New Roman" w:hAnsi="Arial" w:cs="Arial"/>
          <w:noProof/>
          <w:sz w:val="20"/>
          <w:szCs w:val="20"/>
        </w:rPr>
        <w:t>.</w:t>
      </w:r>
      <w:r w:rsidR="001F25A2">
        <w:rPr>
          <w:rFonts w:ascii="Arial" w:eastAsia="Times New Roman" w:hAnsi="Arial" w:cs="Arial"/>
          <w:noProof/>
          <w:sz w:val="20"/>
          <w:szCs w:val="20"/>
        </w:rPr>
        <w:t xml:space="preserve"> </w:t>
      </w:r>
      <w:r w:rsidR="001F25A2" w:rsidRPr="001F25A2">
        <w:rPr>
          <w:rFonts w:ascii="Arial" w:eastAsia="Times New Roman" w:hAnsi="Arial" w:cs="Arial"/>
          <w:i/>
          <w:noProof/>
          <w:sz w:val="20"/>
          <w:szCs w:val="20"/>
        </w:rPr>
        <w:t>Thesis</w:t>
      </w:r>
      <w:r w:rsidRPr="001F25A2">
        <w:rPr>
          <w:rFonts w:ascii="Arial" w:eastAsia="Times New Roman" w:hAnsi="Arial" w:cs="Arial"/>
          <w:noProof/>
          <w:sz w:val="20"/>
          <w:szCs w:val="20"/>
        </w:rPr>
        <w:t xml:space="preserve">. </w:t>
      </w:r>
      <w:r w:rsidR="001F25A2" w:rsidRPr="001F25A2">
        <w:rPr>
          <w:rFonts w:ascii="Arial" w:eastAsia="Times New Roman" w:hAnsi="Arial" w:cs="Arial"/>
          <w:noProof/>
          <w:sz w:val="20"/>
          <w:szCs w:val="20"/>
        </w:rPr>
        <w:t>Physics Department</w:t>
      </w:r>
      <w:r w:rsidRPr="001F25A2">
        <w:rPr>
          <w:rFonts w:ascii="Arial" w:eastAsia="Times New Roman" w:hAnsi="Arial" w:cs="Arial"/>
          <w:noProof/>
          <w:sz w:val="20"/>
          <w:szCs w:val="20"/>
        </w:rPr>
        <w:t xml:space="preserve"> </w:t>
      </w:r>
      <w:r w:rsidR="001F25A2" w:rsidRPr="001F25A2">
        <w:rPr>
          <w:rFonts w:ascii="Arial" w:eastAsia="Times New Roman" w:hAnsi="Arial" w:cs="Arial"/>
          <w:noProof/>
          <w:sz w:val="20"/>
          <w:szCs w:val="20"/>
        </w:rPr>
        <w:t>Faculty of Teaching and Education</w:t>
      </w:r>
      <w:r w:rsidRPr="001F25A2">
        <w:rPr>
          <w:rFonts w:ascii="Arial" w:eastAsia="Times New Roman" w:hAnsi="Arial" w:cs="Arial"/>
          <w:noProof/>
          <w:sz w:val="20"/>
          <w:szCs w:val="20"/>
        </w:rPr>
        <w:t xml:space="preserve"> </w:t>
      </w:r>
      <w:r w:rsidR="001F25A2" w:rsidRPr="001F25A2">
        <w:rPr>
          <w:rFonts w:ascii="Arial" w:eastAsia="Times New Roman" w:hAnsi="Arial" w:cs="Arial"/>
          <w:noProof/>
          <w:sz w:val="20"/>
          <w:szCs w:val="20"/>
        </w:rPr>
        <w:t>Jember University</w:t>
      </w:r>
      <w:r w:rsidRPr="001F25A2">
        <w:rPr>
          <w:rFonts w:ascii="Arial" w:eastAsia="Times New Roman" w:hAnsi="Arial" w:cs="Arial"/>
          <w:noProof/>
          <w:sz w:val="20"/>
          <w:szCs w:val="20"/>
        </w:rPr>
        <w:t>. Jember.</w:t>
      </w:r>
    </w:p>
    <w:p w14:paraId="1B777B9A" w14:textId="6B0FBEA2" w:rsidR="001F25A2" w:rsidRPr="00297638" w:rsidRDefault="001F25A2" w:rsidP="009B4616">
      <w:pPr>
        <w:pStyle w:val="ListParagraph"/>
        <w:numPr>
          <w:ilvl w:val="0"/>
          <w:numId w:val="40"/>
        </w:numPr>
        <w:autoSpaceDE w:val="0"/>
        <w:autoSpaceDN w:val="0"/>
        <w:spacing w:line="240" w:lineRule="auto"/>
        <w:ind w:left="284" w:right="-6" w:hanging="283"/>
        <w:jc w:val="both"/>
        <w:rPr>
          <w:rFonts w:ascii="Arial" w:eastAsia="Calibri" w:hAnsi="Arial" w:cs="Arial"/>
          <w:noProof/>
          <w:sz w:val="20"/>
          <w:szCs w:val="20"/>
          <w:shd w:val="clear" w:color="auto" w:fill="FFFFFF"/>
        </w:rPr>
      </w:pPr>
      <w:r w:rsidRPr="001F25A2">
        <w:rPr>
          <w:rFonts w:ascii="Arial" w:eastAsia="Calibri" w:hAnsi="Arial" w:cs="Arial"/>
          <w:noProof/>
          <w:sz w:val="20"/>
          <w:szCs w:val="20"/>
        </w:rPr>
        <w:t xml:space="preserve">Oliveira, C. M., Silva, T. V., Alonso, T. C., &amp; Squair, P. L. 2009. Calibration of CTDN Whole Body Counter for </w:t>
      </w:r>
      <w:r w:rsidRPr="001F25A2">
        <w:rPr>
          <w:rFonts w:ascii="Arial" w:eastAsia="Calibri" w:hAnsi="Arial" w:cs="Arial"/>
          <w:i/>
          <w:noProof/>
          <w:sz w:val="20"/>
          <w:szCs w:val="20"/>
        </w:rPr>
        <w:t>In Vivo</w:t>
      </w:r>
      <w:r w:rsidRPr="001F25A2">
        <w:rPr>
          <w:rFonts w:ascii="Arial" w:eastAsia="Calibri" w:hAnsi="Arial" w:cs="Arial"/>
          <w:noProof/>
          <w:sz w:val="20"/>
          <w:szCs w:val="20"/>
        </w:rPr>
        <w:t xml:space="preserve"> Measurements of I-131. </w:t>
      </w:r>
      <w:r w:rsidRPr="001F25A2">
        <w:rPr>
          <w:rFonts w:ascii="Arial" w:eastAsia="Calibri" w:hAnsi="Arial" w:cs="Arial"/>
          <w:i/>
          <w:noProof/>
          <w:sz w:val="20"/>
          <w:szCs w:val="20"/>
        </w:rPr>
        <w:t>International Nuclear Atlantic Conference</w:t>
      </w:r>
      <w:r w:rsidRPr="001F25A2">
        <w:rPr>
          <w:rFonts w:ascii="Arial" w:eastAsia="Calibri" w:hAnsi="Arial" w:cs="Arial"/>
          <w:noProof/>
          <w:sz w:val="20"/>
          <w:szCs w:val="20"/>
        </w:rPr>
        <w:t>.</w:t>
      </w:r>
    </w:p>
    <w:p w14:paraId="0FD65C1F" w14:textId="7724FAF3" w:rsidR="00297638" w:rsidRPr="00017802" w:rsidRDefault="00297638" w:rsidP="009B4616">
      <w:pPr>
        <w:pStyle w:val="ListParagraph"/>
        <w:numPr>
          <w:ilvl w:val="0"/>
          <w:numId w:val="40"/>
        </w:numPr>
        <w:autoSpaceDE w:val="0"/>
        <w:autoSpaceDN w:val="0"/>
        <w:spacing w:line="240" w:lineRule="auto"/>
        <w:ind w:left="284" w:right="-6" w:hanging="283"/>
        <w:jc w:val="both"/>
        <w:rPr>
          <w:rFonts w:ascii="Arial" w:eastAsia="Calibri" w:hAnsi="Arial" w:cs="Arial"/>
          <w:noProof/>
          <w:sz w:val="20"/>
          <w:szCs w:val="20"/>
          <w:highlight w:val="yellow"/>
          <w:shd w:val="clear" w:color="auto" w:fill="FFFFFF"/>
        </w:rPr>
      </w:pPr>
      <w:r w:rsidRPr="00017802">
        <w:rPr>
          <w:rFonts w:ascii="Arial" w:eastAsia="Calibri" w:hAnsi="Arial" w:cs="Arial"/>
          <w:noProof/>
          <w:sz w:val="20"/>
          <w:szCs w:val="20"/>
          <w:highlight w:val="yellow"/>
        </w:rPr>
        <w:t xml:space="preserve">McCready, V. R. 2017. Radioiodine – the success story of Nuclear Medicine. </w:t>
      </w:r>
      <w:r w:rsidR="00017802" w:rsidRPr="00017802">
        <w:rPr>
          <w:rFonts w:ascii="Arial" w:eastAsia="Calibri" w:hAnsi="Arial" w:cs="Arial"/>
          <w:noProof/>
          <w:sz w:val="20"/>
          <w:szCs w:val="20"/>
          <w:highlight w:val="yellow"/>
        </w:rPr>
        <w:t xml:space="preserve">Eur J Nucl Med Mol Imaging. Vol 44: 179 – 182. </w:t>
      </w:r>
      <w:hyperlink r:id="rId20" w:history="1">
        <w:r w:rsidR="00017802" w:rsidRPr="00017802">
          <w:rPr>
            <w:rStyle w:val="Hyperlink"/>
            <w:rFonts w:ascii="Arial" w:eastAsia="Calibri" w:hAnsi="Arial" w:cs="Arial"/>
            <w:noProof/>
            <w:color w:val="0033CC"/>
            <w:sz w:val="20"/>
            <w:szCs w:val="20"/>
            <w:highlight w:val="yellow"/>
          </w:rPr>
          <w:t>https://doi.org/10.1007/s00259-016-3548-5</w:t>
        </w:r>
      </w:hyperlink>
    </w:p>
    <w:p w14:paraId="77BF694B" w14:textId="4BD7F574" w:rsidR="001F25A2" w:rsidRPr="001F25A2" w:rsidRDefault="001F25A2" w:rsidP="009B4616">
      <w:pPr>
        <w:pStyle w:val="ListParagraph"/>
        <w:numPr>
          <w:ilvl w:val="0"/>
          <w:numId w:val="40"/>
        </w:numPr>
        <w:autoSpaceDE w:val="0"/>
        <w:autoSpaceDN w:val="0"/>
        <w:spacing w:line="240" w:lineRule="auto"/>
        <w:ind w:left="284" w:right="-6" w:hanging="283"/>
        <w:jc w:val="both"/>
        <w:rPr>
          <w:rFonts w:ascii="Arial" w:eastAsia="Calibri" w:hAnsi="Arial" w:cs="Arial"/>
          <w:noProof/>
          <w:sz w:val="20"/>
          <w:szCs w:val="20"/>
          <w:shd w:val="clear" w:color="auto" w:fill="FFFFFF"/>
        </w:rPr>
      </w:pPr>
      <w:r w:rsidRPr="001F25A2">
        <w:rPr>
          <w:rFonts w:ascii="Arial" w:eastAsia="Calibri" w:hAnsi="Arial" w:cs="Arial"/>
          <w:noProof/>
          <w:sz w:val="20"/>
          <w:szCs w:val="20"/>
        </w:rPr>
        <w:t xml:space="preserve">Al-jubeh, W., Shaheen, A., &amp; Zalloum, O. 2012. Radioiodine I-131 for Diagnosing and Treatment of Thyroid. </w:t>
      </w:r>
      <w:r w:rsidRPr="001F25A2">
        <w:rPr>
          <w:rFonts w:ascii="Arial" w:eastAsia="Calibri" w:hAnsi="Arial" w:cs="Arial"/>
          <w:i/>
          <w:noProof/>
          <w:sz w:val="20"/>
          <w:szCs w:val="20"/>
        </w:rPr>
        <w:t>Paper</w:t>
      </w:r>
      <w:r w:rsidRPr="001F25A2">
        <w:rPr>
          <w:rFonts w:ascii="Arial" w:eastAsia="Calibri" w:hAnsi="Arial" w:cs="Arial"/>
          <w:noProof/>
          <w:sz w:val="20"/>
          <w:szCs w:val="20"/>
        </w:rPr>
        <w:t>. Palestine Polythenic University. Palestine.</w:t>
      </w:r>
    </w:p>
    <w:p w14:paraId="0A846840" w14:textId="14A01859" w:rsidR="001F25A2" w:rsidRPr="001F25A2" w:rsidRDefault="001F25A2" w:rsidP="009B4616">
      <w:pPr>
        <w:pStyle w:val="ListParagraph"/>
        <w:numPr>
          <w:ilvl w:val="0"/>
          <w:numId w:val="40"/>
        </w:numPr>
        <w:autoSpaceDE w:val="0"/>
        <w:autoSpaceDN w:val="0"/>
        <w:spacing w:line="240" w:lineRule="auto"/>
        <w:ind w:left="284" w:right="-6" w:hanging="283"/>
        <w:jc w:val="both"/>
        <w:rPr>
          <w:rFonts w:ascii="Arial" w:eastAsia="Calibri" w:hAnsi="Arial" w:cs="Arial"/>
          <w:noProof/>
          <w:sz w:val="20"/>
          <w:szCs w:val="20"/>
          <w:shd w:val="clear" w:color="auto" w:fill="FFFFFF"/>
        </w:rPr>
      </w:pPr>
      <w:r w:rsidRPr="001F25A2">
        <w:rPr>
          <w:rFonts w:ascii="Arial" w:eastAsia="Calibri" w:hAnsi="Arial" w:cs="Arial"/>
          <w:noProof/>
          <w:sz w:val="20"/>
          <w:szCs w:val="20"/>
        </w:rPr>
        <w:t xml:space="preserve">Bailey, D. L., Humm, J. L., Pokropek, A. T., &amp; Aswegen, A. V. 2014. </w:t>
      </w:r>
      <w:r w:rsidRPr="001F25A2">
        <w:rPr>
          <w:rFonts w:ascii="Arial" w:eastAsia="Calibri" w:hAnsi="Arial" w:cs="Arial"/>
          <w:i/>
          <w:noProof/>
          <w:sz w:val="20"/>
          <w:szCs w:val="20"/>
        </w:rPr>
        <w:t>Nuclear Medicine Physics: A Handbook for Teachers and Students</w:t>
      </w:r>
      <w:r w:rsidRPr="001F25A2">
        <w:rPr>
          <w:rFonts w:ascii="Arial" w:eastAsia="Calibri" w:hAnsi="Arial" w:cs="Arial"/>
          <w:noProof/>
          <w:sz w:val="20"/>
          <w:szCs w:val="20"/>
        </w:rPr>
        <w:t>. Vienna: International Atomic Energy Agency.</w:t>
      </w:r>
    </w:p>
    <w:p w14:paraId="084517AE" w14:textId="2F818F8A" w:rsidR="001F25A2" w:rsidRPr="001F25A2" w:rsidRDefault="001F25A2" w:rsidP="009B4616">
      <w:pPr>
        <w:pStyle w:val="ListParagraph"/>
        <w:numPr>
          <w:ilvl w:val="0"/>
          <w:numId w:val="40"/>
        </w:numPr>
        <w:autoSpaceDE w:val="0"/>
        <w:autoSpaceDN w:val="0"/>
        <w:spacing w:line="240" w:lineRule="auto"/>
        <w:ind w:left="284" w:right="-6" w:hanging="283"/>
        <w:jc w:val="both"/>
        <w:rPr>
          <w:rFonts w:ascii="Arial" w:eastAsia="Calibri" w:hAnsi="Arial" w:cs="Arial"/>
          <w:noProof/>
          <w:sz w:val="20"/>
          <w:szCs w:val="20"/>
          <w:shd w:val="clear" w:color="auto" w:fill="FFFFFF"/>
        </w:rPr>
      </w:pPr>
      <w:r w:rsidRPr="001F25A2">
        <w:rPr>
          <w:rFonts w:ascii="Arial" w:eastAsia="Calibri" w:hAnsi="Arial" w:cs="Arial"/>
          <w:noProof/>
          <w:sz w:val="20"/>
          <w:szCs w:val="20"/>
          <w:shd w:val="clear" w:color="auto" w:fill="FFFFFF"/>
          <w:lang w:val="id-ID"/>
        </w:rPr>
        <w:t xml:space="preserve">Steinmeyer, </w:t>
      </w:r>
      <w:r w:rsidRPr="001F25A2">
        <w:rPr>
          <w:rFonts w:ascii="Arial" w:eastAsia="Calibri" w:hAnsi="Arial" w:cs="Arial"/>
          <w:noProof/>
          <w:sz w:val="20"/>
          <w:szCs w:val="20"/>
          <w:shd w:val="clear" w:color="auto" w:fill="FFFFFF"/>
        </w:rPr>
        <w:t>P. R.</w:t>
      </w:r>
      <w:r w:rsidRPr="001F25A2">
        <w:rPr>
          <w:rFonts w:ascii="Arial" w:eastAsia="Calibri" w:hAnsi="Arial" w:cs="Arial"/>
          <w:noProof/>
          <w:sz w:val="20"/>
          <w:szCs w:val="20"/>
          <w:shd w:val="clear" w:color="auto" w:fill="FFFFFF"/>
          <w:lang w:val="id-ID"/>
        </w:rPr>
        <w:t xml:space="preserve"> 2005. G-M Pancake Detectors: Everyhting You’ve Wanted to Know (But Were Afraid to Ask). </w:t>
      </w:r>
      <w:r w:rsidRPr="001F25A2">
        <w:rPr>
          <w:rFonts w:ascii="Arial" w:eastAsia="Calibri" w:hAnsi="Arial" w:cs="Arial"/>
          <w:i/>
          <w:noProof/>
          <w:sz w:val="20"/>
          <w:szCs w:val="20"/>
          <w:shd w:val="clear" w:color="auto" w:fill="FFFFFF"/>
          <w:lang w:val="id-ID"/>
        </w:rPr>
        <w:t>RSO Magazine</w:t>
      </w:r>
      <w:r w:rsidRPr="001F25A2">
        <w:rPr>
          <w:rFonts w:ascii="Arial" w:eastAsia="Calibri" w:hAnsi="Arial" w:cs="Arial"/>
          <w:noProof/>
          <w:sz w:val="20"/>
          <w:szCs w:val="20"/>
          <w:shd w:val="clear" w:color="auto" w:fill="FFFFFF"/>
          <w:lang w:val="id-ID"/>
        </w:rPr>
        <w:t>. Vol 10(5): 7-17.</w:t>
      </w:r>
    </w:p>
    <w:p w14:paraId="2DA68A2C" w14:textId="6A4189B5" w:rsidR="004833ED" w:rsidRDefault="004833ED" w:rsidP="004833ED">
      <w:pPr>
        <w:pStyle w:val="ListParagraph"/>
        <w:numPr>
          <w:ilvl w:val="0"/>
          <w:numId w:val="40"/>
        </w:numPr>
        <w:autoSpaceDE w:val="0"/>
        <w:autoSpaceDN w:val="0"/>
        <w:spacing w:line="240" w:lineRule="auto"/>
        <w:ind w:left="284" w:right="27" w:hanging="283"/>
        <w:jc w:val="both"/>
        <w:rPr>
          <w:rFonts w:ascii="Arial" w:eastAsia="Calibri" w:hAnsi="Arial" w:cs="Arial"/>
          <w:noProof/>
          <w:sz w:val="20"/>
          <w:szCs w:val="20"/>
          <w:shd w:val="clear" w:color="auto" w:fill="FFFFFF"/>
        </w:rPr>
      </w:pPr>
      <w:r w:rsidRPr="00602394">
        <w:rPr>
          <w:rFonts w:ascii="Arial" w:eastAsia="Calibri" w:hAnsi="Arial" w:cs="Arial"/>
          <w:noProof/>
          <w:sz w:val="20"/>
          <w:szCs w:val="20"/>
          <w:shd w:val="clear" w:color="auto" w:fill="FFFFFF"/>
        </w:rPr>
        <w:t xml:space="preserve">Muhid, Abdul. (2019). </w:t>
      </w:r>
      <w:r w:rsidRPr="00602394">
        <w:rPr>
          <w:rFonts w:ascii="Arial" w:eastAsia="Calibri" w:hAnsi="Arial" w:cs="Arial"/>
          <w:i/>
          <w:noProof/>
          <w:sz w:val="20"/>
          <w:szCs w:val="20"/>
          <w:shd w:val="clear" w:color="auto" w:fill="FFFFFF"/>
        </w:rPr>
        <w:t xml:space="preserve">5 </w:t>
      </w:r>
      <w:r w:rsidR="00DF2F57">
        <w:rPr>
          <w:rFonts w:ascii="Arial" w:eastAsia="Calibri" w:hAnsi="Arial" w:cs="Arial"/>
          <w:noProof/>
          <w:sz w:val="20"/>
          <w:szCs w:val="20"/>
          <w:shd w:val="clear" w:color="auto" w:fill="FFFFFF"/>
        </w:rPr>
        <w:t>Practical Steps for Statistical Analysis</w:t>
      </w:r>
      <w:r w:rsidRPr="00602394">
        <w:rPr>
          <w:rFonts w:ascii="Arial" w:eastAsia="Calibri" w:hAnsi="Arial" w:cs="Arial"/>
          <w:noProof/>
          <w:sz w:val="20"/>
          <w:szCs w:val="20"/>
          <w:shd w:val="clear" w:color="auto" w:fill="FFFFFF"/>
        </w:rPr>
        <w:t xml:space="preserve"> </w:t>
      </w:r>
      <w:r w:rsidR="00DF2F57">
        <w:rPr>
          <w:rFonts w:ascii="Arial" w:eastAsia="Calibri" w:hAnsi="Arial" w:cs="Arial"/>
          <w:noProof/>
          <w:sz w:val="20"/>
          <w:szCs w:val="20"/>
          <w:shd w:val="clear" w:color="auto" w:fill="FFFFFF"/>
        </w:rPr>
        <w:t>with</w:t>
      </w:r>
      <w:r w:rsidRPr="00602394">
        <w:rPr>
          <w:rFonts w:ascii="Arial" w:eastAsia="Calibri" w:hAnsi="Arial" w:cs="Arial"/>
          <w:noProof/>
          <w:sz w:val="20"/>
          <w:szCs w:val="20"/>
          <w:shd w:val="clear" w:color="auto" w:fill="FFFFFF"/>
        </w:rPr>
        <w:t xml:space="preserve"> SPSS for Windows. Sidoarjo: Zifatama Jawara.</w:t>
      </w:r>
    </w:p>
    <w:p w14:paraId="26002AFF" w14:textId="0268CB8A" w:rsidR="004833ED" w:rsidRPr="004833ED" w:rsidRDefault="004833ED" w:rsidP="004833ED">
      <w:pPr>
        <w:pStyle w:val="ListParagraph"/>
        <w:numPr>
          <w:ilvl w:val="0"/>
          <w:numId w:val="40"/>
        </w:numPr>
        <w:autoSpaceDE w:val="0"/>
        <w:autoSpaceDN w:val="0"/>
        <w:spacing w:line="240" w:lineRule="auto"/>
        <w:ind w:left="284" w:right="27" w:hanging="283"/>
        <w:jc w:val="both"/>
        <w:rPr>
          <w:rFonts w:ascii="Arial" w:eastAsia="Calibri" w:hAnsi="Arial" w:cs="Arial"/>
          <w:noProof/>
          <w:sz w:val="20"/>
          <w:szCs w:val="20"/>
          <w:shd w:val="clear" w:color="auto" w:fill="FFFFFF"/>
        </w:rPr>
        <w:sectPr w:rsidR="004833ED" w:rsidRPr="004833ED" w:rsidSect="00FA3851">
          <w:type w:val="continuous"/>
          <w:pgSz w:w="12240" w:h="15840"/>
          <w:pgMar w:top="1418" w:right="1610" w:bottom="720" w:left="1985" w:header="720" w:footer="720" w:gutter="0"/>
          <w:cols w:num="2" w:space="720"/>
          <w:docGrid w:linePitch="360"/>
        </w:sectPr>
      </w:pPr>
      <w:r w:rsidRPr="004833ED">
        <w:rPr>
          <w:rFonts w:ascii="Arial" w:eastAsia="Calibri" w:hAnsi="Arial" w:cs="Arial"/>
          <w:noProof/>
          <w:sz w:val="20"/>
          <w:szCs w:val="20"/>
          <w:shd w:val="clear" w:color="auto" w:fill="FFFFFF"/>
        </w:rPr>
        <w:t xml:space="preserve">WHO. </w:t>
      </w:r>
      <w:r w:rsidR="001F25A2">
        <w:rPr>
          <w:rFonts w:ascii="Arial" w:eastAsia="Calibri" w:hAnsi="Arial" w:cs="Arial"/>
          <w:noProof/>
          <w:sz w:val="20"/>
          <w:szCs w:val="20"/>
          <w:shd w:val="clear" w:color="auto" w:fill="FFFFFF"/>
        </w:rPr>
        <w:t>(</w:t>
      </w:r>
      <w:r w:rsidRPr="004833ED">
        <w:rPr>
          <w:rFonts w:ascii="Arial" w:eastAsia="Calibri" w:hAnsi="Arial" w:cs="Arial"/>
          <w:noProof/>
          <w:sz w:val="20"/>
          <w:szCs w:val="20"/>
          <w:shd w:val="clear" w:color="auto" w:fill="FFFFFF"/>
        </w:rPr>
        <w:t>2023</w:t>
      </w:r>
      <w:r w:rsidR="001F25A2">
        <w:rPr>
          <w:rFonts w:ascii="Arial" w:eastAsia="Calibri" w:hAnsi="Arial" w:cs="Arial"/>
          <w:noProof/>
          <w:sz w:val="20"/>
          <w:szCs w:val="20"/>
          <w:shd w:val="clear" w:color="auto" w:fill="FFFFFF"/>
        </w:rPr>
        <w:t>)</w:t>
      </w:r>
      <w:r w:rsidRPr="004833ED">
        <w:rPr>
          <w:rFonts w:ascii="Arial" w:eastAsia="Calibri" w:hAnsi="Arial" w:cs="Arial"/>
          <w:noProof/>
          <w:sz w:val="20"/>
          <w:szCs w:val="20"/>
          <w:shd w:val="clear" w:color="auto" w:fill="FFFFFF"/>
        </w:rPr>
        <w:t xml:space="preserve">. Ionizing radiation and health effects. </w:t>
      </w:r>
      <w:hyperlink r:id="rId21" w:history="1">
        <w:r w:rsidRPr="004833ED">
          <w:rPr>
            <w:rFonts w:ascii="Arial" w:eastAsia="Calibri" w:hAnsi="Arial" w:cs="Arial"/>
            <w:noProof/>
            <w:color w:val="0000FF"/>
            <w:sz w:val="20"/>
            <w:szCs w:val="20"/>
            <w:u w:val="single"/>
            <w:shd w:val="clear" w:color="auto" w:fill="FFFFFF"/>
          </w:rPr>
          <w:t>https://www.who.int/news-room/fact-sheets/detail/ionizing-radiation-and-health-effects</w:t>
        </w:r>
      </w:hyperlink>
    </w:p>
    <w:p w14:paraId="78C3A53F" w14:textId="77777777" w:rsidR="00B01FCD" w:rsidRPr="00FB3A86" w:rsidRDefault="00B01FCD" w:rsidP="0050586B">
      <w:pPr>
        <w:pStyle w:val="Appendix"/>
        <w:spacing w:after="0"/>
        <w:jc w:val="both"/>
        <w:rPr>
          <w:rFonts w:ascii="Arial" w:hAnsi="Arial" w:cs="Arial"/>
          <w:b w:val="0"/>
        </w:rPr>
      </w:pPr>
    </w:p>
    <w:sectPr w:rsidR="00B01FCD" w:rsidRPr="00FB3A86" w:rsidSect="0019758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CE44A" w14:textId="77777777" w:rsidR="00DD2746" w:rsidRDefault="00DD2746" w:rsidP="00C37E61">
      <w:r>
        <w:separator/>
      </w:r>
    </w:p>
  </w:endnote>
  <w:endnote w:type="continuationSeparator" w:id="0">
    <w:p w14:paraId="036B4696" w14:textId="77777777" w:rsidR="00DD2746" w:rsidRDefault="00DD274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4B2E" w14:textId="77777777" w:rsidR="00A76CE4" w:rsidRDefault="00A76CE4">
    <w:pPr>
      <w:pStyle w:val="Footer"/>
      <w:rPr>
        <w:rFonts w:ascii="Arial" w:hAnsi="Arial" w:cs="Arial"/>
        <w:sz w:val="16"/>
      </w:rPr>
    </w:pPr>
  </w:p>
  <w:p w14:paraId="51E60E8F" w14:textId="77777777" w:rsidR="00A76CE4" w:rsidRDefault="00A76CE4"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1C95E8B" w14:textId="77777777" w:rsidR="00A76CE4" w:rsidRDefault="00A76CE4">
    <w:pPr>
      <w:pStyle w:val="Footer"/>
      <w:rPr>
        <w:rFonts w:ascii="Arial" w:hAnsi="Arial" w:cs="Arial"/>
        <w:sz w:val="16"/>
      </w:rPr>
    </w:pPr>
  </w:p>
  <w:p w14:paraId="253C9EC3" w14:textId="77777777" w:rsidR="00A76CE4" w:rsidRPr="009E048A" w:rsidRDefault="00A76CE4">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B1994" w14:textId="77777777" w:rsidR="00A76CE4" w:rsidRPr="00C37E61" w:rsidRDefault="00A76CE4"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09E8E" w14:textId="77777777" w:rsidR="00DD2746" w:rsidRDefault="00DD2746" w:rsidP="00C37E61">
      <w:r>
        <w:separator/>
      </w:r>
    </w:p>
  </w:footnote>
  <w:footnote w:type="continuationSeparator" w:id="0">
    <w:p w14:paraId="39CF0AE6" w14:textId="77777777" w:rsidR="00DD2746" w:rsidRDefault="00DD274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6C0D" w14:textId="77777777" w:rsidR="00A76CE4" w:rsidRPr="00296529" w:rsidRDefault="00A76CE4" w:rsidP="00296529">
    <w:pPr>
      <w:ind w:left="2160"/>
      <w:jc w:val="center"/>
      <w:rPr>
        <w:rFonts w:ascii="Times New Roman" w:eastAsia="Calibri" w:hAnsi="Times New Roman"/>
        <w:i/>
        <w:sz w:val="18"/>
        <w:szCs w:val="22"/>
      </w:rPr>
    </w:pPr>
  </w:p>
  <w:p w14:paraId="01EBE9B2" w14:textId="77777777" w:rsidR="00A76CE4" w:rsidRPr="00296529" w:rsidRDefault="00A76CE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2710344" w14:textId="77777777" w:rsidR="00A76CE4" w:rsidRPr="00296529" w:rsidRDefault="00A76CE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4972AFC" w14:textId="77777777" w:rsidR="00A76CE4" w:rsidRPr="00296529" w:rsidRDefault="00A76CE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658E9E0" w14:textId="77777777" w:rsidR="00A76CE4" w:rsidRDefault="00A76CE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C111888" w14:textId="77777777" w:rsidR="00A76CE4" w:rsidRDefault="00A76CE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6E6F14D" w14:textId="77777777" w:rsidR="00A76CE4" w:rsidRDefault="00A76CE4">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3E30DD"/>
    <w:multiLevelType w:val="hybridMultilevel"/>
    <w:tmpl w:val="9A74BF78"/>
    <w:lvl w:ilvl="0" w:tplc="EA0EB9A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34400"/>
    <w:multiLevelType w:val="hybridMultilevel"/>
    <w:tmpl w:val="DA3A89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BE235FB"/>
    <w:multiLevelType w:val="hybridMultilevel"/>
    <w:tmpl w:val="7CB6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FE106E2"/>
    <w:multiLevelType w:val="hybridMultilevel"/>
    <w:tmpl w:val="7AC6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BC946F6"/>
    <w:multiLevelType w:val="hybridMultilevel"/>
    <w:tmpl w:val="0BC03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C7E29"/>
    <w:multiLevelType w:val="hybridMultilevel"/>
    <w:tmpl w:val="268408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46D3C"/>
    <w:multiLevelType w:val="hybridMultilevel"/>
    <w:tmpl w:val="12B4D652"/>
    <w:lvl w:ilvl="0" w:tplc="57F01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9F2279"/>
    <w:multiLevelType w:val="hybridMultilevel"/>
    <w:tmpl w:val="587C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F2C373E"/>
    <w:multiLevelType w:val="hybridMultilevel"/>
    <w:tmpl w:val="0382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3BE1641"/>
    <w:multiLevelType w:val="hybridMultilevel"/>
    <w:tmpl w:val="268408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001A1A"/>
    <w:multiLevelType w:val="hybridMultilevel"/>
    <w:tmpl w:val="DDEE7A44"/>
    <w:lvl w:ilvl="0" w:tplc="57F01F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5"/>
  </w:num>
  <w:num w:numId="9">
    <w:abstractNumId w:val="36"/>
  </w:num>
  <w:num w:numId="10">
    <w:abstractNumId w:val="2"/>
  </w:num>
  <w:num w:numId="11">
    <w:abstractNumId w:val="26"/>
  </w:num>
  <w:num w:numId="12">
    <w:abstractNumId w:val="4"/>
  </w:num>
  <w:num w:numId="13">
    <w:abstractNumId w:val="25"/>
  </w:num>
  <w:num w:numId="14">
    <w:abstractNumId w:val="9"/>
  </w:num>
  <w:num w:numId="15">
    <w:abstractNumId w:val="30"/>
  </w:num>
  <w:num w:numId="16">
    <w:abstractNumId w:val="6"/>
  </w:num>
  <w:num w:numId="17">
    <w:abstractNumId w:val="32"/>
  </w:num>
  <w:num w:numId="18">
    <w:abstractNumId w:val="18"/>
  </w:num>
  <w:num w:numId="19">
    <w:abstractNumId w:val="39"/>
  </w:num>
  <w:num w:numId="20">
    <w:abstractNumId w:val="13"/>
  </w:num>
  <w:num w:numId="21">
    <w:abstractNumId w:val="10"/>
  </w:num>
  <w:num w:numId="22">
    <w:abstractNumId w:val="16"/>
  </w:num>
  <w:num w:numId="23">
    <w:abstractNumId w:val="28"/>
  </w:num>
  <w:num w:numId="24">
    <w:abstractNumId w:val="37"/>
  </w:num>
  <w:num w:numId="25">
    <w:abstractNumId w:val="5"/>
  </w:num>
  <w:num w:numId="26">
    <w:abstractNumId w:val="22"/>
  </w:num>
  <w:num w:numId="27">
    <w:abstractNumId w:val="29"/>
  </w:num>
  <w:num w:numId="28">
    <w:abstractNumId w:val="38"/>
  </w:num>
  <w:num w:numId="29">
    <w:abstractNumId w:val="35"/>
  </w:num>
  <w:num w:numId="30">
    <w:abstractNumId w:val="11"/>
  </w:num>
  <w:num w:numId="31">
    <w:abstractNumId w:val="12"/>
  </w:num>
  <w:num w:numId="32">
    <w:abstractNumId w:val="17"/>
  </w:num>
  <w:num w:numId="33">
    <w:abstractNumId w:val="24"/>
  </w:num>
  <w:num w:numId="34">
    <w:abstractNumId w:val="27"/>
  </w:num>
  <w:num w:numId="35">
    <w:abstractNumId w:val="14"/>
  </w:num>
  <w:num w:numId="36">
    <w:abstractNumId w:val="3"/>
  </w:num>
  <w:num w:numId="37">
    <w:abstractNumId w:val="19"/>
  </w:num>
  <w:num w:numId="38">
    <w:abstractNumId w:val="34"/>
  </w:num>
  <w:num w:numId="39">
    <w:abstractNumId w:val="23"/>
  </w:num>
  <w:num w:numId="40">
    <w:abstractNumId w:val="3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cwNbWwNDY0MrUwN7VQ0lEKTi0uzszPAykwrAUABBJ0lywAAAA="/>
  </w:docVars>
  <w:rsids>
    <w:rsidRoot w:val="00AA6219"/>
    <w:rsid w:val="00000EDA"/>
    <w:rsid w:val="00000F8F"/>
    <w:rsid w:val="0000265C"/>
    <w:rsid w:val="00017802"/>
    <w:rsid w:val="00030174"/>
    <w:rsid w:val="000303C4"/>
    <w:rsid w:val="0004447D"/>
    <w:rsid w:val="0004579C"/>
    <w:rsid w:val="00082A35"/>
    <w:rsid w:val="000A47FA"/>
    <w:rsid w:val="000A61D3"/>
    <w:rsid w:val="000A65D3"/>
    <w:rsid w:val="000B1E33"/>
    <w:rsid w:val="000B1EB6"/>
    <w:rsid w:val="000B472C"/>
    <w:rsid w:val="000B53FB"/>
    <w:rsid w:val="000C36BD"/>
    <w:rsid w:val="000C4E8B"/>
    <w:rsid w:val="000D689F"/>
    <w:rsid w:val="000E7B7B"/>
    <w:rsid w:val="000E7D62"/>
    <w:rsid w:val="00103357"/>
    <w:rsid w:val="00111CE4"/>
    <w:rsid w:val="00123C9F"/>
    <w:rsid w:val="00126190"/>
    <w:rsid w:val="00130F17"/>
    <w:rsid w:val="001320BF"/>
    <w:rsid w:val="001446CF"/>
    <w:rsid w:val="00145C09"/>
    <w:rsid w:val="00163BC4"/>
    <w:rsid w:val="0017660B"/>
    <w:rsid w:val="001825CA"/>
    <w:rsid w:val="00191062"/>
    <w:rsid w:val="00192B72"/>
    <w:rsid w:val="00197589"/>
    <w:rsid w:val="001A29D8"/>
    <w:rsid w:val="001A5CAA"/>
    <w:rsid w:val="001B0427"/>
    <w:rsid w:val="001C2ABE"/>
    <w:rsid w:val="001D3A51"/>
    <w:rsid w:val="001E10D2"/>
    <w:rsid w:val="001E25B4"/>
    <w:rsid w:val="001E44FE"/>
    <w:rsid w:val="001F1B5E"/>
    <w:rsid w:val="001F25A2"/>
    <w:rsid w:val="001F4641"/>
    <w:rsid w:val="00200595"/>
    <w:rsid w:val="00204835"/>
    <w:rsid w:val="002310B3"/>
    <w:rsid w:val="00231920"/>
    <w:rsid w:val="0023195C"/>
    <w:rsid w:val="0023410F"/>
    <w:rsid w:val="0024282C"/>
    <w:rsid w:val="002460DC"/>
    <w:rsid w:val="00250985"/>
    <w:rsid w:val="002556F6"/>
    <w:rsid w:val="00276262"/>
    <w:rsid w:val="002803A6"/>
    <w:rsid w:val="00283105"/>
    <w:rsid w:val="00284C4C"/>
    <w:rsid w:val="00287E68"/>
    <w:rsid w:val="00296529"/>
    <w:rsid w:val="00297638"/>
    <w:rsid w:val="002A22B6"/>
    <w:rsid w:val="002B27FB"/>
    <w:rsid w:val="002B685A"/>
    <w:rsid w:val="002C57D2"/>
    <w:rsid w:val="002C758C"/>
    <w:rsid w:val="002E0D56"/>
    <w:rsid w:val="002F6E5B"/>
    <w:rsid w:val="00302B3A"/>
    <w:rsid w:val="00315186"/>
    <w:rsid w:val="0033343E"/>
    <w:rsid w:val="00342EA1"/>
    <w:rsid w:val="003512C2"/>
    <w:rsid w:val="00371FB6"/>
    <w:rsid w:val="003763C1"/>
    <w:rsid w:val="00376BBE"/>
    <w:rsid w:val="00390BF9"/>
    <w:rsid w:val="0039224F"/>
    <w:rsid w:val="00397132"/>
    <w:rsid w:val="003A43A4"/>
    <w:rsid w:val="003A7E18"/>
    <w:rsid w:val="003B2797"/>
    <w:rsid w:val="003B45FA"/>
    <w:rsid w:val="003C4C86"/>
    <w:rsid w:val="003C6258"/>
    <w:rsid w:val="003C6851"/>
    <w:rsid w:val="003D19D0"/>
    <w:rsid w:val="003E2904"/>
    <w:rsid w:val="00401927"/>
    <w:rsid w:val="0041027F"/>
    <w:rsid w:val="004107F1"/>
    <w:rsid w:val="00412475"/>
    <w:rsid w:val="00423789"/>
    <w:rsid w:val="00440F43"/>
    <w:rsid w:val="00441B6F"/>
    <w:rsid w:val="00446221"/>
    <w:rsid w:val="00450E62"/>
    <w:rsid w:val="004539DB"/>
    <w:rsid w:val="00467187"/>
    <w:rsid w:val="00471A80"/>
    <w:rsid w:val="004833ED"/>
    <w:rsid w:val="00492B8B"/>
    <w:rsid w:val="004C72A9"/>
    <w:rsid w:val="004C7FC9"/>
    <w:rsid w:val="004D305E"/>
    <w:rsid w:val="004D4277"/>
    <w:rsid w:val="004E7E77"/>
    <w:rsid w:val="00502516"/>
    <w:rsid w:val="0050586B"/>
    <w:rsid w:val="00505F06"/>
    <w:rsid w:val="00506675"/>
    <w:rsid w:val="00506828"/>
    <w:rsid w:val="0051163C"/>
    <w:rsid w:val="00511EF7"/>
    <w:rsid w:val="0053056E"/>
    <w:rsid w:val="005366DD"/>
    <w:rsid w:val="00542ECE"/>
    <w:rsid w:val="005454E8"/>
    <w:rsid w:val="005537B9"/>
    <w:rsid w:val="00554FDA"/>
    <w:rsid w:val="005665D4"/>
    <w:rsid w:val="00567343"/>
    <w:rsid w:val="005752A6"/>
    <w:rsid w:val="005B3BC6"/>
    <w:rsid w:val="005C784C"/>
    <w:rsid w:val="005D17F6"/>
    <w:rsid w:val="005D6F17"/>
    <w:rsid w:val="005D6F40"/>
    <w:rsid w:val="005E5539"/>
    <w:rsid w:val="005F2F71"/>
    <w:rsid w:val="00602394"/>
    <w:rsid w:val="00602BF5"/>
    <w:rsid w:val="00610D8F"/>
    <w:rsid w:val="00617FDD"/>
    <w:rsid w:val="00621475"/>
    <w:rsid w:val="00633614"/>
    <w:rsid w:val="00633F68"/>
    <w:rsid w:val="00636EB2"/>
    <w:rsid w:val="006375B8"/>
    <w:rsid w:val="0066510A"/>
    <w:rsid w:val="00666168"/>
    <w:rsid w:val="006675E1"/>
    <w:rsid w:val="00673F9F"/>
    <w:rsid w:val="0068539A"/>
    <w:rsid w:val="00686953"/>
    <w:rsid w:val="00687DEA"/>
    <w:rsid w:val="00687E67"/>
    <w:rsid w:val="0069132F"/>
    <w:rsid w:val="006967F7"/>
    <w:rsid w:val="006A250C"/>
    <w:rsid w:val="006B21D3"/>
    <w:rsid w:val="006B57D0"/>
    <w:rsid w:val="006C1024"/>
    <w:rsid w:val="006D30FF"/>
    <w:rsid w:val="006D6940"/>
    <w:rsid w:val="006E57ED"/>
    <w:rsid w:val="006E7FF6"/>
    <w:rsid w:val="006F11EC"/>
    <w:rsid w:val="0070082C"/>
    <w:rsid w:val="00712792"/>
    <w:rsid w:val="00721F30"/>
    <w:rsid w:val="00734638"/>
    <w:rsid w:val="007369E6"/>
    <w:rsid w:val="00746E59"/>
    <w:rsid w:val="00754C9A"/>
    <w:rsid w:val="0075599A"/>
    <w:rsid w:val="00761D52"/>
    <w:rsid w:val="0077749E"/>
    <w:rsid w:val="00790ADA"/>
    <w:rsid w:val="007A5F15"/>
    <w:rsid w:val="007D2288"/>
    <w:rsid w:val="007D363E"/>
    <w:rsid w:val="007E088F"/>
    <w:rsid w:val="007F58AD"/>
    <w:rsid w:val="007F7B32"/>
    <w:rsid w:val="00804BC2"/>
    <w:rsid w:val="0081417D"/>
    <w:rsid w:val="0081431A"/>
    <w:rsid w:val="0083216F"/>
    <w:rsid w:val="008330D1"/>
    <w:rsid w:val="00860000"/>
    <w:rsid w:val="00863BD3"/>
    <w:rsid w:val="008641ED"/>
    <w:rsid w:val="00866D66"/>
    <w:rsid w:val="008671C6"/>
    <w:rsid w:val="008736D4"/>
    <w:rsid w:val="00875803"/>
    <w:rsid w:val="008B459E"/>
    <w:rsid w:val="008D2590"/>
    <w:rsid w:val="008E13AE"/>
    <w:rsid w:val="008E1506"/>
    <w:rsid w:val="008E710C"/>
    <w:rsid w:val="008F69D6"/>
    <w:rsid w:val="008F74E0"/>
    <w:rsid w:val="00902823"/>
    <w:rsid w:val="00915CA6"/>
    <w:rsid w:val="00927834"/>
    <w:rsid w:val="009360A4"/>
    <w:rsid w:val="009500A6"/>
    <w:rsid w:val="009542E4"/>
    <w:rsid w:val="00957260"/>
    <w:rsid w:val="00957C18"/>
    <w:rsid w:val="009659BA"/>
    <w:rsid w:val="0096706E"/>
    <w:rsid w:val="009735C2"/>
    <w:rsid w:val="009812A4"/>
    <w:rsid w:val="00983040"/>
    <w:rsid w:val="009B06D7"/>
    <w:rsid w:val="009B3FB9"/>
    <w:rsid w:val="009B4616"/>
    <w:rsid w:val="009C2465"/>
    <w:rsid w:val="009D35A0"/>
    <w:rsid w:val="009D3D0B"/>
    <w:rsid w:val="009D6F01"/>
    <w:rsid w:val="009D7462"/>
    <w:rsid w:val="009D7EB7"/>
    <w:rsid w:val="009E048A"/>
    <w:rsid w:val="009E08E9"/>
    <w:rsid w:val="009E3DB9"/>
    <w:rsid w:val="009E6E35"/>
    <w:rsid w:val="009F0EDA"/>
    <w:rsid w:val="00A01C38"/>
    <w:rsid w:val="00A03B96"/>
    <w:rsid w:val="00A05B19"/>
    <w:rsid w:val="00A1134E"/>
    <w:rsid w:val="00A24E7E"/>
    <w:rsid w:val="00A258C3"/>
    <w:rsid w:val="00A347C0"/>
    <w:rsid w:val="00A51431"/>
    <w:rsid w:val="00A539AD"/>
    <w:rsid w:val="00A76CE4"/>
    <w:rsid w:val="00A94063"/>
    <w:rsid w:val="00AA6219"/>
    <w:rsid w:val="00AA74E0"/>
    <w:rsid w:val="00AB3AE5"/>
    <w:rsid w:val="00AB703F"/>
    <w:rsid w:val="00AC0EA7"/>
    <w:rsid w:val="00AC36AF"/>
    <w:rsid w:val="00AC6BB8"/>
    <w:rsid w:val="00AE008F"/>
    <w:rsid w:val="00AE57E5"/>
    <w:rsid w:val="00AF68EF"/>
    <w:rsid w:val="00B01FCD"/>
    <w:rsid w:val="00B1776C"/>
    <w:rsid w:val="00B2374D"/>
    <w:rsid w:val="00B30E3C"/>
    <w:rsid w:val="00B51BD3"/>
    <w:rsid w:val="00B52583"/>
    <w:rsid w:val="00B52896"/>
    <w:rsid w:val="00B95236"/>
    <w:rsid w:val="00B96BD9"/>
    <w:rsid w:val="00BA10F3"/>
    <w:rsid w:val="00BA1B01"/>
    <w:rsid w:val="00BA2641"/>
    <w:rsid w:val="00BB37AA"/>
    <w:rsid w:val="00BC53A0"/>
    <w:rsid w:val="00BE62AD"/>
    <w:rsid w:val="00BF121F"/>
    <w:rsid w:val="00BF1F80"/>
    <w:rsid w:val="00C04312"/>
    <w:rsid w:val="00C166EF"/>
    <w:rsid w:val="00C17EB0"/>
    <w:rsid w:val="00C27F5F"/>
    <w:rsid w:val="00C30A0F"/>
    <w:rsid w:val="00C317A1"/>
    <w:rsid w:val="00C34C7C"/>
    <w:rsid w:val="00C37E61"/>
    <w:rsid w:val="00C4555D"/>
    <w:rsid w:val="00C70F1B"/>
    <w:rsid w:val="00C71A47"/>
    <w:rsid w:val="00C73852"/>
    <w:rsid w:val="00C7464C"/>
    <w:rsid w:val="00C80125"/>
    <w:rsid w:val="00C85588"/>
    <w:rsid w:val="00C90A3B"/>
    <w:rsid w:val="00CC36D0"/>
    <w:rsid w:val="00CC727C"/>
    <w:rsid w:val="00CD6755"/>
    <w:rsid w:val="00CD6856"/>
    <w:rsid w:val="00CE0089"/>
    <w:rsid w:val="00CE7740"/>
    <w:rsid w:val="00CE793C"/>
    <w:rsid w:val="00CF193C"/>
    <w:rsid w:val="00D02652"/>
    <w:rsid w:val="00D173F1"/>
    <w:rsid w:val="00D41D59"/>
    <w:rsid w:val="00D43DBA"/>
    <w:rsid w:val="00D56AB9"/>
    <w:rsid w:val="00D74CB0"/>
    <w:rsid w:val="00D8295D"/>
    <w:rsid w:val="00DA2B33"/>
    <w:rsid w:val="00DA66BA"/>
    <w:rsid w:val="00DC2A65"/>
    <w:rsid w:val="00DC2D7D"/>
    <w:rsid w:val="00DC4F2C"/>
    <w:rsid w:val="00DD2746"/>
    <w:rsid w:val="00DE15F0"/>
    <w:rsid w:val="00DE5663"/>
    <w:rsid w:val="00DE78AA"/>
    <w:rsid w:val="00DF2F57"/>
    <w:rsid w:val="00E053D0"/>
    <w:rsid w:val="00E15994"/>
    <w:rsid w:val="00E3114E"/>
    <w:rsid w:val="00E31A70"/>
    <w:rsid w:val="00E32B52"/>
    <w:rsid w:val="00E35B02"/>
    <w:rsid w:val="00E36F0B"/>
    <w:rsid w:val="00E4602F"/>
    <w:rsid w:val="00E60E6D"/>
    <w:rsid w:val="00E654A4"/>
    <w:rsid w:val="00E66496"/>
    <w:rsid w:val="00E66B35"/>
    <w:rsid w:val="00E66E10"/>
    <w:rsid w:val="00E74D71"/>
    <w:rsid w:val="00E74F94"/>
    <w:rsid w:val="00E769F6"/>
    <w:rsid w:val="00E8407C"/>
    <w:rsid w:val="00E84F3C"/>
    <w:rsid w:val="00E87CD3"/>
    <w:rsid w:val="00EA012C"/>
    <w:rsid w:val="00EB0B06"/>
    <w:rsid w:val="00EC5AB6"/>
    <w:rsid w:val="00EC6A55"/>
    <w:rsid w:val="00ED0288"/>
    <w:rsid w:val="00ED3BF4"/>
    <w:rsid w:val="00EE52CB"/>
    <w:rsid w:val="00EF581D"/>
    <w:rsid w:val="00EF7FD8"/>
    <w:rsid w:val="00F06F59"/>
    <w:rsid w:val="00F148BE"/>
    <w:rsid w:val="00F17988"/>
    <w:rsid w:val="00F26E56"/>
    <w:rsid w:val="00F469F0"/>
    <w:rsid w:val="00F52461"/>
    <w:rsid w:val="00F53273"/>
    <w:rsid w:val="00F755E4"/>
    <w:rsid w:val="00F77D02"/>
    <w:rsid w:val="00FA3851"/>
    <w:rsid w:val="00FB3A86"/>
    <w:rsid w:val="00FD0554"/>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81C5C"/>
  <w15:docId w15:val="{7AD14C2E-580D-4906-ACE3-25D250FE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link w:val="ListParagraphChar"/>
    <w:uiPriority w:val="34"/>
    <w:qFormat/>
    <w:rsid w:val="00F52461"/>
    <w:pPr>
      <w:spacing w:line="360" w:lineRule="auto"/>
      <w:ind w:left="720"/>
      <w:contextualSpacing/>
    </w:pPr>
    <w:rPr>
      <w:rFonts w:ascii="Times New Roman" w:eastAsia="SimSun" w:hAnsi="Times New Roman" w:cstheme="minorBidi"/>
      <w:sz w:val="24"/>
      <w:szCs w:val="22"/>
    </w:rPr>
  </w:style>
  <w:style w:type="character" w:customStyle="1" w:styleId="ListParagraphChar">
    <w:name w:val="List Paragraph Char"/>
    <w:basedOn w:val="DefaultParagraphFont"/>
    <w:link w:val="ListParagraph"/>
    <w:uiPriority w:val="34"/>
    <w:qFormat/>
    <w:locked/>
    <w:rsid w:val="00F52461"/>
    <w:rPr>
      <w:rFonts w:eastAsia="SimSun" w:cstheme="minorBidi"/>
      <w:sz w:val="24"/>
      <w:szCs w:val="22"/>
    </w:rPr>
  </w:style>
  <w:style w:type="paragraph" w:styleId="NormalWeb">
    <w:name w:val="Normal (Web)"/>
    <w:basedOn w:val="Normal"/>
    <w:uiPriority w:val="99"/>
    <w:unhideWhenUsed/>
    <w:rsid w:val="005D6F1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459043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1792530">
      <w:bodyDiv w:val="1"/>
      <w:marLeft w:val="0"/>
      <w:marRight w:val="0"/>
      <w:marTop w:val="0"/>
      <w:marBottom w:val="0"/>
      <w:divBdr>
        <w:top w:val="none" w:sz="0" w:space="0" w:color="auto"/>
        <w:left w:val="none" w:sz="0" w:space="0" w:color="auto"/>
        <w:bottom w:val="none" w:sz="0" w:space="0" w:color="auto"/>
        <w:right w:val="none" w:sz="0" w:space="0" w:color="auto"/>
      </w:divBdr>
    </w:div>
    <w:div w:id="395326670">
      <w:bodyDiv w:val="1"/>
      <w:marLeft w:val="0"/>
      <w:marRight w:val="0"/>
      <w:marTop w:val="0"/>
      <w:marBottom w:val="0"/>
      <w:divBdr>
        <w:top w:val="none" w:sz="0" w:space="0" w:color="auto"/>
        <w:left w:val="none" w:sz="0" w:space="0" w:color="auto"/>
        <w:bottom w:val="none" w:sz="0" w:space="0" w:color="auto"/>
        <w:right w:val="none" w:sz="0" w:space="0" w:color="auto"/>
      </w:divBdr>
    </w:div>
    <w:div w:id="515382688">
      <w:bodyDiv w:val="1"/>
      <w:marLeft w:val="0"/>
      <w:marRight w:val="0"/>
      <w:marTop w:val="0"/>
      <w:marBottom w:val="0"/>
      <w:divBdr>
        <w:top w:val="none" w:sz="0" w:space="0" w:color="auto"/>
        <w:left w:val="none" w:sz="0" w:space="0" w:color="auto"/>
        <w:bottom w:val="none" w:sz="0" w:space="0" w:color="auto"/>
        <w:right w:val="none" w:sz="0" w:space="0" w:color="auto"/>
      </w:divBdr>
    </w:div>
    <w:div w:id="587884510">
      <w:bodyDiv w:val="1"/>
      <w:marLeft w:val="0"/>
      <w:marRight w:val="0"/>
      <w:marTop w:val="0"/>
      <w:marBottom w:val="0"/>
      <w:divBdr>
        <w:top w:val="none" w:sz="0" w:space="0" w:color="auto"/>
        <w:left w:val="none" w:sz="0" w:space="0" w:color="auto"/>
        <w:bottom w:val="none" w:sz="0" w:space="0" w:color="auto"/>
        <w:right w:val="none" w:sz="0" w:space="0" w:color="auto"/>
      </w:divBdr>
    </w:div>
    <w:div w:id="593438096">
      <w:bodyDiv w:val="1"/>
      <w:marLeft w:val="0"/>
      <w:marRight w:val="0"/>
      <w:marTop w:val="0"/>
      <w:marBottom w:val="0"/>
      <w:divBdr>
        <w:top w:val="none" w:sz="0" w:space="0" w:color="auto"/>
        <w:left w:val="none" w:sz="0" w:space="0" w:color="auto"/>
        <w:bottom w:val="none" w:sz="0" w:space="0" w:color="auto"/>
        <w:right w:val="none" w:sz="0" w:space="0" w:color="auto"/>
      </w:divBdr>
    </w:div>
    <w:div w:id="60916798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1831843">
      <w:bodyDiv w:val="1"/>
      <w:marLeft w:val="0"/>
      <w:marRight w:val="0"/>
      <w:marTop w:val="0"/>
      <w:marBottom w:val="0"/>
      <w:divBdr>
        <w:top w:val="none" w:sz="0" w:space="0" w:color="auto"/>
        <w:left w:val="none" w:sz="0" w:space="0" w:color="auto"/>
        <w:bottom w:val="none" w:sz="0" w:space="0" w:color="auto"/>
        <w:right w:val="none" w:sz="0" w:space="0" w:color="auto"/>
      </w:divBdr>
    </w:div>
    <w:div w:id="72884873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6148446">
      <w:bodyDiv w:val="1"/>
      <w:marLeft w:val="0"/>
      <w:marRight w:val="0"/>
      <w:marTop w:val="0"/>
      <w:marBottom w:val="0"/>
      <w:divBdr>
        <w:top w:val="none" w:sz="0" w:space="0" w:color="auto"/>
        <w:left w:val="none" w:sz="0" w:space="0" w:color="auto"/>
        <w:bottom w:val="none" w:sz="0" w:space="0" w:color="auto"/>
        <w:right w:val="none" w:sz="0" w:space="0" w:color="auto"/>
      </w:divBdr>
    </w:div>
    <w:div w:id="1209339069">
      <w:bodyDiv w:val="1"/>
      <w:marLeft w:val="0"/>
      <w:marRight w:val="0"/>
      <w:marTop w:val="0"/>
      <w:marBottom w:val="0"/>
      <w:divBdr>
        <w:top w:val="none" w:sz="0" w:space="0" w:color="auto"/>
        <w:left w:val="none" w:sz="0" w:space="0" w:color="auto"/>
        <w:bottom w:val="none" w:sz="0" w:space="0" w:color="auto"/>
        <w:right w:val="none" w:sz="0" w:space="0" w:color="auto"/>
      </w:divBdr>
    </w:div>
    <w:div w:id="1410352207">
      <w:bodyDiv w:val="1"/>
      <w:marLeft w:val="0"/>
      <w:marRight w:val="0"/>
      <w:marTop w:val="0"/>
      <w:marBottom w:val="0"/>
      <w:divBdr>
        <w:top w:val="none" w:sz="0" w:space="0" w:color="auto"/>
        <w:left w:val="none" w:sz="0" w:space="0" w:color="auto"/>
        <w:bottom w:val="none" w:sz="0" w:space="0" w:color="auto"/>
        <w:right w:val="none" w:sz="0" w:space="0" w:color="auto"/>
      </w:divBdr>
    </w:div>
    <w:div w:id="1475635271">
      <w:bodyDiv w:val="1"/>
      <w:marLeft w:val="0"/>
      <w:marRight w:val="0"/>
      <w:marTop w:val="0"/>
      <w:marBottom w:val="0"/>
      <w:divBdr>
        <w:top w:val="none" w:sz="0" w:space="0" w:color="auto"/>
        <w:left w:val="none" w:sz="0" w:space="0" w:color="auto"/>
        <w:bottom w:val="none" w:sz="0" w:space="0" w:color="auto"/>
        <w:right w:val="none" w:sz="0" w:space="0" w:color="auto"/>
      </w:divBdr>
    </w:div>
    <w:div w:id="1545747339">
      <w:bodyDiv w:val="1"/>
      <w:marLeft w:val="0"/>
      <w:marRight w:val="0"/>
      <w:marTop w:val="0"/>
      <w:marBottom w:val="0"/>
      <w:divBdr>
        <w:top w:val="none" w:sz="0" w:space="0" w:color="auto"/>
        <w:left w:val="none" w:sz="0" w:space="0" w:color="auto"/>
        <w:bottom w:val="none" w:sz="0" w:space="0" w:color="auto"/>
        <w:right w:val="none" w:sz="0" w:space="0" w:color="auto"/>
      </w:divBdr>
    </w:div>
    <w:div w:id="1677615127">
      <w:bodyDiv w:val="1"/>
      <w:marLeft w:val="0"/>
      <w:marRight w:val="0"/>
      <w:marTop w:val="0"/>
      <w:marBottom w:val="0"/>
      <w:divBdr>
        <w:top w:val="none" w:sz="0" w:space="0" w:color="auto"/>
        <w:left w:val="none" w:sz="0" w:space="0" w:color="auto"/>
        <w:bottom w:val="none" w:sz="0" w:space="0" w:color="auto"/>
        <w:right w:val="none" w:sz="0" w:space="0" w:color="auto"/>
      </w:divBdr>
    </w:div>
    <w:div w:id="1697540055">
      <w:bodyDiv w:val="1"/>
      <w:marLeft w:val="0"/>
      <w:marRight w:val="0"/>
      <w:marTop w:val="0"/>
      <w:marBottom w:val="0"/>
      <w:divBdr>
        <w:top w:val="none" w:sz="0" w:space="0" w:color="auto"/>
        <w:left w:val="none" w:sz="0" w:space="0" w:color="auto"/>
        <w:bottom w:val="none" w:sz="0" w:space="0" w:color="auto"/>
        <w:right w:val="none" w:sz="0" w:space="0" w:color="auto"/>
      </w:divBdr>
    </w:div>
    <w:div w:id="1711882910">
      <w:bodyDiv w:val="1"/>
      <w:marLeft w:val="0"/>
      <w:marRight w:val="0"/>
      <w:marTop w:val="0"/>
      <w:marBottom w:val="0"/>
      <w:divBdr>
        <w:top w:val="none" w:sz="0" w:space="0" w:color="auto"/>
        <w:left w:val="none" w:sz="0" w:space="0" w:color="auto"/>
        <w:bottom w:val="none" w:sz="0" w:space="0" w:color="auto"/>
        <w:right w:val="none" w:sz="0" w:space="0" w:color="auto"/>
      </w:divBdr>
    </w:div>
    <w:div w:id="172117564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s://doi.org/10.1186/s40658-023-00592-1" TargetMode="External"/><Relationship Id="rId3" Type="http://schemas.openxmlformats.org/officeDocument/2006/relationships/styles" Target="styles.xml"/><Relationship Id="rId21" Type="http://schemas.openxmlformats.org/officeDocument/2006/relationships/hyperlink" Target="https://www.who.int/news-room/fact-sheets/detail/ionizing-radiation-and-health-effect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016/j.radphyschem.2019.108529" TargetMode="External"/><Relationship Id="rId2" Type="http://schemas.openxmlformats.org/officeDocument/2006/relationships/numbering" Target="numbering.xml"/><Relationship Id="rId16" Type="http://schemas.openxmlformats.org/officeDocument/2006/relationships/hyperlink" Target="https://www.asrt.org/docs/default-source/research/whitepapers/rt-safety---the-critical-role-of-the-radtherapist.pdf?sfvrsn=7ce57dd0_12%20" TargetMode="External"/><Relationship Id="rId20" Type="http://schemas.openxmlformats.org/officeDocument/2006/relationships/hyperlink" Target="https://doi.org/10.1007/s00259-016-354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oi.org/10.26850/1678-4618eqj.v44.3.2019.p11-19"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oi.org/10.30574/gscarr.2021.7.1.004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01AFD-B2E0-4E7A-888C-A155CDB5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9</Pages>
  <Words>3815</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25516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CPU 1117</cp:lastModifiedBy>
  <cp:revision>4</cp:revision>
  <cp:lastPrinted>2025-06-30T08:14:00Z</cp:lastPrinted>
  <dcterms:created xsi:type="dcterms:W3CDTF">2025-07-08T07:25:00Z</dcterms:created>
  <dcterms:modified xsi:type="dcterms:W3CDTF">2025-07-15T12:25:00Z</dcterms:modified>
</cp:coreProperties>
</file>