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6CEA" w14:textId="77777777" w:rsidR="001E2150" w:rsidRPr="001E2150" w:rsidRDefault="001E2150" w:rsidP="001E2150">
      <w:pPr>
        <w:spacing w:before="100" w:beforeAutospacing="1" w:after="100" w:afterAutospacing="1" w:line="480" w:lineRule="auto"/>
        <w:jc w:val="both"/>
        <w:rPr>
          <w:rFonts w:ascii="Times New Roman" w:eastAsia="Times New Roman" w:hAnsi="Times New Roman" w:cs="Times New Roman"/>
          <w:b/>
          <w:bCs/>
          <w:i/>
          <w:iCs/>
          <w:kern w:val="0"/>
          <w:u w:val="single"/>
          <w14:ligatures w14:val="none"/>
        </w:rPr>
      </w:pPr>
      <w:bookmarkStart w:id="0" w:name="_Hlk203679046"/>
      <w:r w:rsidRPr="001E2150">
        <w:rPr>
          <w:rFonts w:ascii="Times New Roman" w:eastAsia="Times New Roman" w:hAnsi="Times New Roman" w:cs="Times New Roman"/>
          <w:b/>
          <w:bCs/>
          <w:i/>
          <w:iCs/>
          <w:kern w:val="0"/>
          <w:u w:val="single"/>
          <w14:ligatures w14:val="none"/>
        </w:rPr>
        <w:t>Review Article</w:t>
      </w:r>
    </w:p>
    <w:bookmarkEnd w:id="0"/>
    <w:p w14:paraId="5AF9254D" w14:textId="5BBD508A" w:rsidR="00766AEA" w:rsidRDefault="00805F14" w:rsidP="003D24DC">
      <w:pPr>
        <w:spacing w:before="100" w:beforeAutospacing="1" w:after="100" w:afterAutospacing="1" w:line="480" w:lineRule="auto"/>
        <w:jc w:val="both"/>
        <w:rPr>
          <w:rFonts w:ascii="Times New Roman" w:eastAsia="Times New Roman" w:hAnsi="Times New Roman" w:cs="Times New Roman"/>
          <w:b/>
          <w:bCs/>
          <w:kern w:val="0"/>
          <w14:ligatures w14:val="none"/>
        </w:rPr>
      </w:pPr>
      <w:r w:rsidRPr="00D974BD">
        <w:rPr>
          <w:rFonts w:ascii="Times New Roman" w:eastAsia="Times New Roman" w:hAnsi="Times New Roman" w:cs="Times New Roman"/>
          <w:b/>
          <w:bCs/>
          <w:color w:val="EE0000"/>
          <w:kern w:val="0"/>
          <w14:ligatures w14:val="none"/>
        </w:rPr>
        <w:t>Evaluating Groundwater Recharge Techniques in Cameroon: Toward Sustainable Water Policy and Planning</w:t>
      </w:r>
    </w:p>
    <w:p w14:paraId="22806DBD" w14:textId="00CD31B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ABSTRACT</w:t>
      </w:r>
    </w:p>
    <w:p w14:paraId="33FEBF95" w14:textId="0D70EF62"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Groundwater recharge is the primary mechanism through which aquifers are replenished, playing a crucial role in water security across Sub-Saharan Africa. In Cameroon, where climatic, geological, and land-use patterns vary significantly, </w:t>
      </w:r>
      <w:r w:rsidR="003D24DC">
        <w:rPr>
          <w:rFonts w:ascii="Times New Roman" w:eastAsia="Times New Roman" w:hAnsi="Times New Roman" w:cs="Times New Roman"/>
          <w:kern w:val="0"/>
          <w14:ligatures w14:val="none"/>
        </w:rPr>
        <w:t>accurately estimating</w:t>
      </w:r>
      <w:r w:rsidRPr="004E6FAE">
        <w:rPr>
          <w:rFonts w:ascii="Times New Roman" w:eastAsia="Times New Roman" w:hAnsi="Times New Roman" w:cs="Times New Roman"/>
          <w:kern w:val="0"/>
          <w14:ligatures w14:val="none"/>
        </w:rPr>
        <w:t xml:space="preserve"> recharge rates is essential for sustainable groundwater management. This review </w:t>
      </w:r>
      <w:r w:rsidR="005178FD">
        <w:rPr>
          <w:rFonts w:ascii="Times New Roman" w:eastAsia="Times New Roman" w:hAnsi="Times New Roman" w:cs="Times New Roman"/>
          <w:kern w:val="0"/>
          <w14:ligatures w14:val="none"/>
        </w:rPr>
        <w:t>synthesises</w:t>
      </w:r>
      <w:r w:rsidRPr="004E6FAE">
        <w:rPr>
          <w:rFonts w:ascii="Times New Roman" w:eastAsia="Times New Roman" w:hAnsi="Times New Roman" w:cs="Times New Roman"/>
          <w:kern w:val="0"/>
          <w14:ligatures w14:val="none"/>
        </w:rPr>
        <w:t xml:space="preserve"> s</w:t>
      </w:r>
      <w:r w:rsidR="005178FD">
        <w:rPr>
          <w:rFonts w:ascii="Times New Roman" w:eastAsia="Times New Roman" w:hAnsi="Times New Roman" w:cs="Times New Roman"/>
          <w:kern w:val="0"/>
          <w14:ligatures w14:val="none"/>
        </w:rPr>
        <w:t>ix</w:t>
      </w:r>
      <w:r w:rsidRPr="004E6FAE">
        <w:rPr>
          <w:rFonts w:ascii="Times New Roman" w:eastAsia="Times New Roman" w:hAnsi="Times New Roman" w:cs="Times New Roman"/>
          <w:kern w:val="0"/>
          <w14:ligatures w14:val="none"/>
        </w:rPr>
        <w:t xml:space="preserve"> major methods for estimating groundwater recharge: lysimeters, the water balance method, groundwater table fluctuation (GTF), stable isotopes, chloride mass balance (CMB), and unsaturated zone modelling. The review contextualizes these methods within the Cameroonian and broader African settings, evaluating their applicability, data requirements, advantages, and limitations.</w:t>
      </w:r>
      <w:r w:rsidR="008602B4">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 xml:space="preserve">The findings highlight the importance of method integration tailored to specific hydrogeological and climatic conditions, offering </w:t>
      </w:r>
      <w:r w:rsidR="005178FD">
        <w:rPr>
          <w:rFonts w:ascii="Times New Roman" w:eastAsia="Times New Roman" w:hAnsi="Times New Roman" w:cs="Times New Roman"/>
          <w:kern w:val="0"/>
          <w14:ligatures w14:val="none"/>
        </w:rPr>
        <w:t>insights</w:t>
      </w:r>
      <w:r w:rsidRPr="004E6FAE">
        <w:rPr>
          <w:rFonts w:ascii="Times New Roman" w:eastAsia="Times New Roman" w:hAnsi="Times New Roman" w:cs="Times New Roman"/>
          <w:kern w:val="0"/>
          <w14:ligatures w14:val="none"/>
        </w:rPr>
        <w:t xml:space="preserve"> for researchers and policymakers aiming to secure groundwater resources in the region.</w:t>
      </w:r>
    </w:p>
    <w:p w14:paraId="4F087B63" w14:textId="2318E36D" w:rsid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Keywords:</w:t>
      </w:r>
      <w:r w:rsidRPr="004E6FAE">
        <w:rPr>
          <w:rFonts w:ascii="Times New Roman" w:eastAsia="Times New Roman" w:hAnsi="Times New Roman" w:cs="Times New Roman"/>
          <w:kern w:val="0"/>
          <w14:ligatures w14:val="none"/>
        </w:rPr>
        <w:t xml:space="preserve"> Groundwater, recharge estimation, Cameroon, Sub-Saharan Africa, lysimeters, water balance, recharge modelling</w:t>
      </w:r>
    </w:p>
    <w:p w14:paraId="0CD9937C" w14:textId="11FBA915"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7E924478" w14:textId="4C59B87D"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290767DB" w14:textId="77777777"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6B0E93D8" w14:textId="453DBBE3" w:rsidR="00996CEC" w:rsidRPr="002A18AF" w:rsidRDefault="002A18AF" w:rsidP="003D24DC">
      <w:pPr>
        <w:spacing w:before="100" w:beforeAutospacing="1" w:after="100" w:afterAutospacing="1" w:line="480" w:lineRule="auto"/>
        <w:jc w:val="both"/>
        <w:rPr>
          <w:rFonts w:ascii="Times New Roman" w:eastAsia="Times New Roman" w:hAnsi="Times New Roman" w:cs="Times New Roman"/>
          <w:b/>
          <w:bCs/>
          <w:kern w:val="0"/>
          <w14:ligatures w14:val="none"/>
        </w:rPr>
      </w:pPr>
      <w:r w:rsidRPr="002A18AF">
        <w:rPr>
          <w:rFonts w:ascii="Times New Roman" w:eastAsia="Times New Roman" w:hAnsi="Times New Roman" w:cs="Times New Roman"/>
          <w:b/>
          <w:bCs/>
          <w:kern w:val="0"/>
          <w14:ligatures w14:val="none"/>
        </w:rPr>
        <w:lastRenderedPageBreak/>
        <w:t>Introduction:</w:t>
      </w:r>
      <w:r w:rsidR="00996CEC" w:rsidRPr="002A18AF">
        <w:rPr>
          <w:rFonts w:ascii="Times New Roman" w:eastAsia="Times New Roman" w:hAnsi="Times New Roman" w:cs="Times New Roman"/>
          <w:b/>
          <w:bCs/>
          <w:kern w:val="0"/>
          <w14:ligatures w14:val="none"/>
        </w:rPr>
        <w:t xml:space="preserve"> </w:t>
      </w:r>
    </w:p>
    <w:p w14:paraId="7927960B" w14:textId="11B1E10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Groundwater is a vital resource for domestic consumption, agriculture, and industrial use across Sub-Saharan Africa, and particularly in Cameroon, where large portions of the population rely on wells and boreholes as their primary water source (Healy &amp; Scanlon, 2010</w:t>
      </w:r>
      <w:r w:rsidR="002E7A06">
        <w:rPr>
          <w:rFonts w:ascii="Times New Roman" w:eastAsia="Times New Roman" w:hAnsi="Times New Roman" w:cs="Times New Roman"/>
          <w:kern w:val="0"/>
          <w14:ligatures w14:val="none"/>
        </w:rPr>
        <w:t xml:space="preserve">; </w:t>
      </w:r>
      <w:r w:rsidR="002E7A06" w:rsidRPr="002E7A06">
        <w:rPr>
          <w:rFonts w:ascii="Times New Roman" w:eastAsia="Times New Roman" w:hAnsi="Times New Roman" w:cs="Times New Roman"/>
          <w:kern w:val="0"/>
          <w14:ligatures w14:val="none"/>
        </w:rPr>
        <w:t>Raouf</w:t>
      </w:r>
      <w:r w:rsidR="002E7A06">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Given increasing water demand and climate change pressures, understanding and accurately estimating groundwater recharge</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the process by which water infiltrates the soil and replenishes aquifers</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is essential for sustainable water management</w:t>
      </w:r>
      <w:r w:rsidR="002E7A06">
        <w:rPr>
          <w:rFonts w:ascii="Times New Roman" w:eastAsia="Times New Roman" w:hAnsi="Times New Roman" w:cs="Times New Roman"/>
          <w:kern w:val="0"/>
          <w14:ligatures w14:val="none"/>
        </w:rPr>
        <w:t xml:space="preserve"> (</w:t>
      </w:r>
      <w:r w:rsidR="002E7A06" w:rsidRPr="002E7A06">
        <w:rPr>
          <w:rFonts w:ascii="Times New Roman" w:eastAsia="Times New Roman" w:hAnsi="Times New Roman" w:cs="Times New Roman"/>
          <w:kern w:val="0"/>
          <w14:ligatures w14:val="none"/>
        </w:rPr>
        <w:t>Davamani</w:t>
      </w:r>
      <w:r w:rsidR="002E7A06">
        <w:rPr>
          <w:rFonts w:ascii="Times New Roman" w:eastAsia="Times New Roman" w:hAnsi="Times New Roman" w:cs="Times New Roman"/>
          <w:kern w:val="0"/>
          <w14:ligatures w14:val="none"/>
        </w:rPr>
        <w:t xml:space="preserve"> et al., 2024; </w:t>
      </w:r>
      <w:r w:rsidR="002E7A06" w:rsidRPr="002E7A06">
        <w:rPr>
          <w:rFonts w:ascii="Times New Roman" w:eastAsia="Times New Roman" w:hAnsi="Times New Roman" w:cs="Times New Roman"/>
          <w:kern w:val="0"/>
          <w14:ligatures w14:val="none"/>
        </w:rPr>
        <w:t>Rekha</w:t>
      </w:r>
      <w:r w:rsidR="002E7A06">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xml:space="preserve">. Cameroon’s diverse climatic zones, ranging from the humid rainforest in the south to </w:t>
      </w:r>
      <w:r w:rsidR="00161B56">
        <w:rPr>
          <w:rFonts w:ascii="Times New Roman" w:eastAsia="Times New Roman" w:hAnsi="Times New Roman" w:cs="Times New Roman"/>
          <w:kern w:val="0"/>
          <w14:ligatures w14:val="none"/>
        </w:rPr>
        <w:t xml:space="preserve">the </w:t>
      </w:r>
      <w:r w:rsidRPr="004E6FAE">
        <w:rPr>
          <w:rFonts w:ascii="Times New Roman" w:eastAsia="Times New Roman" w:hAnsi="Times New Roman" w:cs="Times New Roman"/>
          <w:kern w:val="0"/>
          <w14:ligatures w14:val="none"/>
        </w:rPr>
        <w:t>arid Sahel in the north, present complex hydrogeological conditions that influence recharge processes and estimation techniques</w:t>
      </w:r>
      <w:r w:rsidR="002E7A06">
        <w:rPr>
          <w:rFonts w:ascii="Times New Roman" w:eastAsia="Times New Roman" w:hAnsi="Times New Roman" w:cs="Times New Roman"/>
          <w:kern w:val="0"/>
          <w14:ligatures w14:val="none"/>
        </w:rPr>
        <w:t xml:space="preserve"> (</w:t>
      </w:r>
      <w:r w:rsidR="002E7A06" w:rsidRPr="002E7A06">
        <w:rPr>
          <w:rFonts w:ascii="Times New Roman" w:eastAsia="Times New Roman" w:hAnsi="Times New Roman" w:cs="Times New Roman"/>
          <w:kern w:val="0"/>
          <w14:ligatures w14:val="none"/>
        </w:rPr>
        <w:t>Nlend</w:t>
      </w:r>
      <w:r w:rsidR="002E7A06">
        <w:rPr>
          <w:rFonts w:ascii="Times New Roman" w:eastAsia="Times New Roman" w:hAnsi="Times New Roman" w:cs="Times New Roman"/>
          <w:kern w:val="0"/>
          <w14:ligatures w14:val="none"/>
        </w:rPr>
        <w:t xml:space="preserve"> et al., 2023; </w:t>
      </w:r>
      <w:r w:rsidR="002E7A06" w:rsidRPr="002E7A06">
        <w:rPr>
          <w:rFonts w:ascii="Times New Roman" w:eastAsia="Times New Roman" w:hAnsi="Times New Roman" w:cs="Times New Roman"/>
          <w:kern w:val="0"/>
          <w14:ligatures w14:val="none"/>
        </w:rPr>
        <w:t>Tidjani</w:t>
      </w:r>
      <w:r w:rsidR="002E7A06">
        <w:rPr>
          <w:rFonts w:ascii="Times New Roman" w:eastAsia="Times New Roman" w:hAnsi="Times New Roman" w:cs="Times New Roman"/>
          <w:kern w:val="0"/>
          <w14:ligatures w14:val="none"/>
        </w:rPr>
        <w:t xml:space="preserve"> et al., 2025).</w:t>
      </w:r>
    </w:p>
    <w:p w14:paraId="6045059E" w14:textId="6E1A8ED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Groundwater recharge studies are limited in many African countries due to inadequate data and monitoring infrastructure. In Cameroon, existing research has primarily focused on localized studies using a limited number of estimation techniques (Gava et al., 2016; Tchatcho et al., 2018). This review seeks to synthesize available knowledge, compare methodological approaches, and provide guidance on selecting appropriate techniques based on regional conditions. The review also identifies research gaps and makes recommendations for future groundwater resource management and policy development in Cameroon and comparable African contexts.</w:t>
      </w:r>
    </w:p>
    <w:p w14:paraId="52F563ED" w14:textId="3BDBCC84"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2. </w:t>
      </w:r>
      <w:r w:rsidR="00CE2E3B" w:rsidRPr="004E6FAE">
        <w:rPr>
          <w:rFonts w:ascii="Times New Roman" w:eastAsia="Times New Roman" w:hAnsi="Times New Roman" w:cs="Times New Roman"/>
          <w:b/>
          <w:bCs/>
          <w:kern w:val="0"/>
          <w14:ligatures w14:val="none"/>
        </w:rPr>
        <w:t>Methodology</w:t>
      </w:r>
    </w:p>
    <w:p w14:paraId="3AAF7C6C" w14:textId="6F12450B" w:rsidR="004E6FAE" w:rsidRPr="004E6FAE" w:rsidRDefault="004E6FAE" w:rsidP="00D1223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The review adopted a qualitative approach to synthesize findings from peer-reviewed articles, institutional reports, conference papers, and technical theses published between 2000 and 2024. The focus was on Cameroon and relevant case studies from Sub-Saharan Africa. Selected studies </w:t>
      </w:r>
      <w:r w:rsidRPr="004E6FAE">
        <w:rPr>
          <w:rFonts w:ascii="Times New Roman" w:eastAsia="Times New Roman" w:hAnsi="Times New Roman" w:cs="Times New Roman"/>
          <w:kern w:val="0"/>
          <w14:ligatures w14:val="none"/>
        </w:rPr>
        <w:lastRenderedPageBreak/>
        <w:t>were categorized based on methodological approach (e.g., field-based, tracer-based, or modelling), climatic zone (humid, sub-humid, semi-arid), and geographical context within Cameroon. Case studies with quantitative recharge estimates were prioritized, particularly those that compared multiple methods or addressed spatial variability across hydrogeological units.</w:t>
      </w:r>
    </w:p>
    <w:p w14:paraId="7945210F" w14:textId="09FC1505"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3. </w:t>
      </w:r>
      <w:r w:rsidR="00CE2E3B" w:rsidRPr="004E6FAE">
        <w:rPr>
          <w:rFonts w:ascii="Times New Roman" w:eastAsia="Times New Roman" w:hAnsi="Times New Roman" w:cs="Times New Roman"/>
          <w:b/>
          <w:bCs/>
          <w:kern w:val="0"/>
          <w14:ligatures w14:val="none"/>
        </w:rPr>
        <w:t xml:space="preserve">Processes </w:t>
      </w:r>
      <w:r w:rsidR="00CE2E3B">
        <w:rPr>
          <w:rFonts w:ascii="Times New Roman" w:eastAsia="Times New Roman" w:hAnsi="Times New Roman" w:cs="Times New Roman"/>
          <w:b/>
          <w:bCs/>
          <w:kern w:val="0"/>
          <w14:ligatures w14:val="none"/>
        </w:rPr>
        <w:t>a</w:t>
      </w:r>
      <w:r w:rsidR="00CE2E3B" w:rsidRPr="004E6FAE">
        <w:rPr>
          <w:rFonts w:ascii="Times New Roman" w:eastAsia="Times New Roman" w:hAnsi="Times New Roman" w:cs="Times New Roman"/>
          <w:b/>
          <w:bCs/>
          <w:kern w:val="0"/>
          <w14:ligatures w14:val="none"/>
        </w:rPr>
        <w:t xml:space="preserve">nd Mechanisms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 xml:space="preserve">f Recharge </w:t>
      </w:r>
      <w:r w:rsidR="00CE2E3B">
        <w:rPr>
          <w:rFonts w:ascii="Times New Roman" w:eastAsia="Times New Roman" w:hAnsi="Times New Roman" w:cs="Times New Roman"/>
          <w:b/>
          <w:bCs/>
          <w:kern w:val="0"/>
          <w14:ligatures w14:val="none"/>
        </w:rPr>
        <w:t>i</w:t>
      </w:r>
      <w:r w:rsidR="00CE2E3B" w:rsidRPr="004E6FAE">
        <w:rPr>
          <w:rFonts w:ascii="Times New Roman" w:eastAsia="Times New Roman" w:hAnsi="Times New Roman" w:cs="Times New Roman"/>
          <w:b/>
          <w:bCs/>
          <w:kern w:val="0"/>
          <w14:ligatures w14:val="none"/>
        </w:rPr>
        <w:t>n Cameroon</w:t>
      </w:r>
    </w:p>
    <w:p w14:paraId="6C1236E1" w14:textId="270D39E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Recharge processes in Cameroon are shaped by the country's diverse ecological and climatic conditions</w:t>
      </w:r>
      <w:r w:rsidR="002E7A06">
        <w:rPr>
          <w:rFonts w:ascii="Times New Roman" w:eastAsia="Times New Roman" w:hAnsi="Times New Roman" w:cs="Times New Roman"/>
          <w:kern w:val="0"/>
          <w14:ligatures w14:val="none"/>
        </w:rPr>
        <w:t xml:space="preserve"> (</w:t>
      </w:r>
      <w:r w:rsidR="002E7A06" w:rsidRPr="002E7A06">
        <w:rPr>
          <w:rFonts w:ascii="Times New Roman" w:eastAsia="Times New Roman" w:hAnsi="Times New Roman" w:cs="Times New Roman"/>
          <w:kern w:val="0"/>
          <w14:ligatures w14:val="none"/>
        </w:rPr>
        <w:t>Fantong</w:t>
      </w:r>
      <w:r w:rsidR="002E7A06">
        <w:rPr>
          <w:rFonts w:ascii="Times New Roman" w:eastAsia="Times New Roman" w:hAnsi="Times New Roman" w:cs="Times New Roman"/>
          <w:kern w:val="0"/>
          <w14:ligatures w14:val="none"/>
        </w:rPr>
        <w:t xml:space="preserve"> et al., 2020; </w:t>
      </w:r>
      <w:r w:rsidR="002E7A06" w:rsidRPr="002E7A06">
        <w:rPr>
          <w:rFonts w:ascii="Times New Roman" w:eastAsia="Times New Roman" w:hAnsi="Times New Roman" w:cs="Times New Roman"/>
          <w:kern w:val="0"/>
          <w14:ligatures w14:val="none"/>
        </w:rPr>
        <w:t>Mba</w:t>
      </w:r>
      <w:r w:rsidR="002E7A06">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 In the southern rainforest and central plateau regions, recharge predominantly occurs through diffuse infiltration of rainfall due to high annual precipitation (1,200–2,000 mm/year) and permeable soils</w:t>
      </w:r>
      <w:r w:rsidR="006D7ABE">
        <w:rPr>
          <w:rFonts w:ascii="Times New Roman" w:eastAsia="Times New Roman" w:hAnsi="Times New Roman" w:cs="Times New Roman"/>
          <w:kern w:val="0"/>
          <w14:ligatures w14:val="none"/>
        </w:rPr>
        <w:t xml:space="preserve"> (</w:t>
      </w:r>
      <w:r w:rsidR="006D7ABE" w:rsidRPr="006D7ABE">
        <w:rPr>
          <w:rFonts w:ascii="Times New Roman" w:eastAsia="Times New Roman" w:hAnsi="Times New Roman" w:cs="Times New Roman"/>
          <w:kern w:val="0"/>
          <w14:ligatures w14:val="none"/>
        </w:rPr>
        <w:t>Zhang</w:t>
      </w:r>
      <w:r w:rsidR="006D7ABE">
        <w:rPr>
          <w:rFonts w:ascii="Times New Roman" w:eastAsia="Times New Roman" w:hAnsi="Times New Roman" w:cs="Times New Roman"/>
          <w:kern w:val="0"/>
          <w14:ligatures w14:val="none"/>
        </w:rPr>
        <w:t xml:space="preserve"> et al., 2022; </w:t>
      </w:r>
      <w:r w:rsidR="006D7ABE" w:rsidRPr="006D7ABE">
        <w:rPr>
          <w:rFonts w:ascii="Times New Roman" w:eastAsia="Times New Roman" w:hAnsi="Times New Roman" w:cs="Times New Roman"/>
          <w:kern w:val="0"/>
          <w14:ligatures w14:val="none"/>
        </w:rPr>
        <w:t>Shen</w:t>
      </w:r>
      <w:r w:rsidR="006D7ABE">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In contrast, the northern regions receive significantly less rainfall (400–900 mm/year), and recharge mechanisms include indirect processes such as ephemeral stream infiltration and focused recharge in topographic depressions (LCBC, 2017</w:t>
      </w:r>
      <w:r w:rsidR="006D7ABE">
        <w:rPr>
          <w:rFonts w:ascii="Times New Roman" w:eastAsia="Times New Roman" w:hAnsi="Times New Roman" w:cs="Times New Roman"/>
          <w:kern w:val="0"/>
          <w14:ligatures w14:val="none"/>
        </w:rPr>
        <w:t>;</w:t>
      </w:r>
      <w:r w:rsidR="000219C1">
        <w:rPr>
          <w:rFonts w:ascii="Times New Roman" w:eastAsia="Times New Roman" w:hAnsi="Times New Roman" w:cs="Times New Roman"/>
          <w:kern w:val="0"/>
          <w14:ligatures w14:val="none"/>
        </w:rPr>
        <w:t xml:space="preserve"> </w:t>
      </w:r>
      <w:r w:rsidR="006D7ABE" w:rsidRPr="006D7ABE">
        <w:rPr>
          <w:rFonts w:ascii="Times New Roman" w:eastAsia="Times New Roman" w:hAnsi="Times New Roman" w:cs="Times New Roman"/>
          <w:kern w:val="0"/>
          <w14:ligatures w14:val="none"/>
        </w:rPr>
        <w:t>Jin</w:t>
      </w:r>
      <w:r w:rsidR="006D7ABE">
        <w:rPr>
          <w:rFonts w:ascii="Times New Roman" w:eastAsia="Times New Roman" w:hAnsi="Times New Roman" w:cs="Times New Roman"/>
          <w:kern w:val="0"/>
          <w14:ligatures w14:val="none"/>
        </w:rPr>
        <w:t xml:space="preserve"> et al., 2021; </w:t>
      </w:r>
      <w:r w:rsidR="006D7ABE" w:rsidRPr="006D7ABE">
        <w:rPr>
          <w:rFonts w:ascii="Times New Roman" w:eastAsia="Times New Roman" w:hAnsi="Times New Roman" w:cs="Times New Roman"/>
          <w:kern w:val="0"/>
          <w14:ligatures w14:val="none"/>
        </w:rPr>
        <w:t>Getaneh</w:t>
      </w:r>
      <w:r w:rsidR="006D7ABE">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w:t>
      </w:r>
    </w:p>
    <w:p w14:paraId="19B630C3" w14:textId="4B772832" w:rsidR="003D24DC"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geological structure also plays a critical role. Fractured volcanic rocks in the West and Northwest Regions facilitate rapid percolation, while sedimentary basins such as the Benue Trough in the north allow for slow, sustained infiltration</w:t>
      </w:r>
      <w:r w:rsidR="000219C1">
        <w:rPr>
          <w:rFonts w:ascii="Times New Roman" w:eastAsia="Times New Roman" w:hAnsi="Times New Roman" w:cs="Times New Roman"/>
          <w:kern w:val="0"/>
          <w14:ligatures w14:val="none"/>
        </w:rPr>
        <w:t xml:space="preserve"> (</w:t>
      </w:r>
      <w:r w:rsidR="000219C1" w:rsidRPr="000219C1">
        <w:rPr>
          <w:rFonts w:ascii="Times New Roman" w:eastAsia="Times New Roman" w:hAnsi="Times New Roman" w:cs="Times New Roman"/>
          <w:kern w:val="0"/>
          <w14:ligatures w14:val="none"/>
        </w:rPr>
        <w:t>Ukpai</w:t>
      </w:r>
      <w:r w:rsidR="000219C1">
        <w:rPr>
          <w:rFonts w:ascii="Times New Roman" w:eastAsia="Times New Roman" w:hAnsi="Times New Roman" w:cs="Times New Roman"/>
          <w:kern w:val="0"/>
          <w14:ligatures w14:val="none"/>
        </w:rPr>
        <w:t xml:space="preserve"> et al., 2020; </w:t>
      </w:r>
      <w:r w:rsidR="000219C1" w:rsidRPr="000219C1">
        <w:rPr>
          <w:rFonts w:ascii="Times New Roman" w:eastAsia="Times New Roman" w:hAnsi="Times New Roman" w:cs="Times New Roman"/>
          <w:kern w:val="0"/>
          <w14:ligatures w14:val="none"/>
        </w:rPr>
        <w:t>Minhas</w:t>
      </w:r>
      <w:r w:rsidR="000219C1">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xml:space="preserve">. Vegetation cover, slope, and land use further modulate recharge by influencing runoff and evapotranspiration rates (Jobbágy &amp; Jackson, </w:t>
      </w:r>
      <w:r w:rsidR="003C07C1" w:rsidRPr="004E6FAE">
        <w:rPr>
          <w:rFonts w:ascii="Times New Roman" w:eastAsia="Times New Roman" w:hAnsi="Times New Roman" w:cs="Times New Roman"/>
          <w:kern w:val="0"/>
          <w14:ligatures w14:val="none"/>
        </w:rPr>
        <w:t>2004</w:t>
      </w:r>
      <w:r w:rsidR="003C07C1">
        <w:rPr>
          <w:rFonts w:ascii="Times New Roman" w:eastAsia="Times New Roman" w:hAnsi="Times New Roman" w:cs="Times New Roman"/>
          <w:kern w:val="0"/>
          <w14:ligatures w14:val="none"/>
        </w:rPr>
        <w:t>;</w:t>
      </w:r>
      <w:r w:rsidR="003C07C1" w:rsidRPr="000219C1">
        <w:rPr>
          <w:rFonts w:ascii="Times New Roman" w:eastAsia="Times New Roman" w:hAnsi="Times New Roman" w:cs="Times New Roman"/>
          <w:kern w:val="0"/>
          <w14:ligatures w14:val="none"/>
        </w:rPr>
        <w:t xml:space="preserve"> Shadmehri</w:t>
      </w:r>
      <w:r w:rsidR="000219C1" w:rsidRPr="000219C1">
        <w:rPr>
          <w:rFonts w:ascii="Times New Roman" w:eastAsia="Times New Roman" w:hAnsi="Times New Roman" w:cs="Times New Roman"/>
          <w:kern w:val="0"/>
          <w14:ligatures w14:val="none"/>
        </w:rPr>
        <w:t xml:space="preserve"> </w:t>
      </w:r>
      <w:r w:rsidR="000219C1">
        <w:rPr>
          <w:rFonts w:ascii="Times New Roman" w:eastAsia="Times New Roman" w:hAnsi="Times New Roman" w:cs="Times New Roman"/>
          <w:kern w:val="0"/>
          <w14:ligatures w14:val="none"/>
        </w:rPr>
        <w:t>et al., 2025</w:t>
      </w:r>
      <w:r w:rsidRPr="004E6FAE">
        <w:rPr>
          <w:rFonts w:ascii="Times New Roman" w:eastAsia="Times New Roman" w:hAnsi="Times New Roman" w:cs="Times New Roman"/>
          <w:kern w:val="0"/>
          <w14:ligatures w14:val="none"/>
        </w:rPr>
        <w:t>).</w:t>
      </w:r>
    </w:p>
    <w:p w14:paraId="7F5E5D3A" w14:textId="7D9F3E4D" w:rsidR="004E6FAE" w:rsidRPr="001432C3" w:rsidRDefault="004E6FAE" w:rsidP="001432C3">
      <w:pPr>
        <w:pStyle w:val="ListParagraph"/>
        <w:numPr>
          <w:ilvl w:val="1"/>
          <w:numId w:val="6"/>
        </w:numPr>
        <w:spacing w:before="100" w:beforeAutospacing="1" w:after="100" w:afterAutospacing="1"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b/>
          <w:bCs/>
          <w:kern w:val="0"/>
          <w14:ligatures w14:val="none"/>
        </w:rPr>
        <w:t>Groundwater Recharge Types</w:t>
      </w:r>
    </w:p>
    <w:p w14:paraId="387D4712" w14:textId="508E494F"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Groundwater recharge in Cameroon can be classified into three types, similar to classifications proposed globally (de Vries &amp; Simmers, </w:t>
      </w:r>
      <w:r w:rsidR="00C140ED" w:rsidRPr="004E6FAE">
        <w:rPr>
          <w:rFonts w:ascii="Times New Roman" w:eastAsia="Times New Roman" w:hAnsi="Times New Roman" w:cs="Times New Roman"/>
          <w:kern w:val="0"/>
          <w14:ligatures w14:val="none"/>
        </w:rPr>
        <w:t>2002</w:t>
      </w:r>
      <w:r w:rsidR="00C140ED">
        <w:rPr>
          <w:rFonts w:ascii="Times New Roman" w:eastAsia="Times New Roman" w:hAnsi="Times New Roman" w:cs="Times New Roman"/>
          <w:kern w:val="0"/>
          <w14:ligatures w14:val="none"/>
        </w:rPr>
        <w:t>;</w:t>
      </w:r>
      <w:r w:rsidR="00C140ED" w:rsidRPr="00C140ED">
        <w:rPr>
          <w:rFonts w:ascii="Times New Roman" w:eastAsia="Times New Roman" w:hAnsi="Times New Roman" w:cs="Times New Roman"/>
          <w:kern w:val="0"/>
          <w14:ligatures w14:val="none"/>
        </w:rPr>
        <w:t xml:space="preserve"> Tsoata</w:t>
      </w:r>
      <w:r w:rsidR="00C140ED">
        <w:rPr>
          <w:rFonts w:ascii="Times New Roman" w:eastAsia="Times New Roman" w:hAnsi="Times New Roman" w:cs="Times New Roman"/>
          <w:kern w:val="0"/>
          <w14:ligatures w14:val="none"/>
        </w:rPr>
        <w:t xml:space="preserve"> et al., 2025).</w:t>
      </w:r>
      <w:r w:rsidR="001432C3">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 xml:space="preserve">Direct or diffuse recharge results from rainfall infiltrating through the soil and unsaturated zone into the water table. This is </w:t>
      </w:r>
      <w:r w:rsidRPr="004E6FAE">
        <w:rPr>
          <w:rFonts w:ascii="Times New Roman" w:eastAsia="Times New Roman" w:hAnsi="Times New Roman" w:cs="Times New Roman"/>
          <w:kern w:val="0"/>
          <w14:ligatures w14:val="none"/>
        </w:rPr>
        <w:lastRenderedPageBreak/>
        <w:t>the most common type in the forested southern and central regions where soils are permeable and rainfall is abundant</w:t>
      </w:r>
      <w:r w:rsidR="0014525E">
        <w:rPr>
          <w:rFonts w:ascii="Times New Roman" w:eastAsia="Times New Roman" w:hAnsi="Times New Roman" w:cs="Times New Roman"/>
          <w:kern w:val="0"/>
          <w14:ligatures w14:val="none"/>
        </w:rPr>
        <w:t xml:space="preserve"> (</w:t>
      </w:r>
      <w:r w:rsidR="0014525E" w:rsidRPr="0014525E">
        <w:rPr>
          <w:rFonts w:ascii="Times New Roman" w:eastAsia="Times New Roman" w:hAnsi="Times New Roman" w:cs="Times New Roman"/>
          <w:kern w:val="0"/>
          <w14:ligatures w14:val="none"/>
        </w:rPr>
        <w:t>Al Khoury</w:t>
      </w:r>
      <w:r w:rsidR="0014525E">
        <w:rPr>
          <w:rFonts w:ascii="Times New Roman" w:eastAsia="Times New Roman" w:hAnsi="Times New Roman" w:cs="Times New Roman"/>
          <w:kern w:val="0"/>
          <w14:ligatures w14:val="none"/>
        </w:rPr>
        <w:t>, 2024).</w:t>
      </w:r>
    </w:p>
    <w:p w14:paraId="391C5E7F" w14:textId="169CFECD"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Localized recharge occurs in areas where surface water collects and infiltrates, such as ponded fields, rock outcrops, or depressions. This is observed in agricultural catchments where bunded rice fields or paddy systems enhance infiltration</w:t>
      </w:r>
      <w:r w:rsidR="0014525E">
        <w:rPr>
          <w:rFonts w:ascii="Times New Roman" w:eastAsia="Times New Roman" w:hAnsi="Times New Roman" w:cs="Times New Roman"/>
          <w:kern w:val="0"/>
          <w14:ligatures w14:val="none"/>
        </w:rPr>
        <w:t xml:space="preserve"> (</w:t>
      </w:r>
      <w:r w:rsidR="0014525E" w:rsidRPr="0014525E">
        <w:rPr>
          <w:rFonts w:ascii="Times New Roman" w:eastAsia="Times New Roman" w:hAnsi="Times New Roman" w:cs="Times New Roman"/>
          <w:kern w:val="0"/>
          <w14:ligatures w14:val="none"/>
        </w:rPr>
        <w:t>Lerner</w:t>
      </w:r>
      <w:r w:rsidR="0014525E">
        <w:rPr>
          <w:rFonts w:ascii="Times New Roman" w:eastAsia="Times New Roman" w:hAnsi="Times New Roman" w:cs="Times New Roman"/>
          <w:kern w:val="0"/>
          <w14:ligatures w14:val="none"/>
        </w:rPr>
        <w:t xml:space="preserve"> et al., 2020).</w:t>
      </w:r>
    </w:p>
    <w:p w14:paraId="106209A1" w14:textId="354DE83F"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Indirect recharge happens when water percolates through stream beds, floodplains, or irrigation channels. This is particularly important in the Sahelian north during rainy seasons when temporary rivers and flood events provide episodic recharge pulses (Edmunds &amp; Gaye, </w:t>
      </w:r>
      <w:r w:rsidR="0014525E" w:rsidRPr="004E6FAE">
        <w:rPr>
          <w:rFonts w:ascii="Times New Roman" w:eastAsia="Times New Roman" w:hAnsi="Times New Roman" w:cs="Times New Roman"/>
          <w:kern w:val="0"/>
          <w14:ligatures w14:val="none"/>
        </w:rPr>
        <w:t>1994</w:t>
      </w:r>
      <w:r w:rsidR="0014525E">
        <w:rPr>
          <w:rFonts w:ascii="Times New Roman" w:eastAsia="Times New Roman" w:hAnsi="Times New Roman" w:cs="Times New Roman"/>
          <w:kern w:val="0"/>
          <w14:ligatures w14:val="none"/>
        </w:rPr>
        <w:t>;</w:t>
      </w:r>
      <w:r w:rsidR="0014525E">
        <w:rPr>
          <w:rFonts w:ascii="Times New Roman" w:hAnsi="Times New Roman" w:cs="Times New Roman"/>
          <w:color w:val="222222"/>
          <w:shd w:val="clear" w:color="auto" w:fill="FFFFFF"/>
        </w:rPr>
        <w:t xml:space="preserve"> Biasutti</w:t>
      </w:r>
      <w:r w:rsidR="0014525E" w:rsidRPr="0014525E">
        <w:rPr>
          <w:rFonts w:ascii="Times New Roman" w:hAnsi="Times New Roman" w:cs="Times New Roman"/>
          <w:color w:val="222222"/>
          <w:shd w:val="clear" w:color="auto" w:fill="FFFFFF"/>
        </w:rPr>
        <w:t xml:space="preserve"> et al., 2019; Wang et al., 2023</w:t>
      </w:r>
      <w:r w:rsidRPr="004E6FAE">
        <w:rPr>
          <w:rFonts w:ascii="Times New Roman" w:eastAsia="Times New Roman" w:hAnsi="Times New Roman" w:cs="Times New Roman"/>
          <w:kern w:val="0"/>
          <w14:ligatures w14:val="none"/>
        </w:rPr>
        <w:t>).</w:t>
      </w:r>
    </w:p>
    <w:p w14:paraId="1C1810A6"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3.2 Groundwater Recharge Estimations</w:t>
      </w:r>
    </w:p>
    <w:p w14:paraId="62437BC1" w14:textId="0F5B107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In Cameroon, various methods are employed to estimate groundwater recharge. Direct methods such as lysimeters are limited due to their cost and technical complexity but have been used in research projects in the Centre Region (Ndjama et al., 2021). Indirect methods, including the water balance approach and the groundwater table fluctuation (GTF) method, are common due to their lower cost and suitability for regional-scale studies.</w:t>
      </w:r>
    </w:p>
    <w:p w14:paraId="51EF97F1"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Tracer methods such as the chloride mass balance (CMB) and stable isotopes (δ18O and δ2H) have been used in the Far North and Adamawa regions to trace recharge origin and estimate recharge rates in arid and semi-arid settings (Gava et al., 2016; Tchatcho et al., 2018). Modelling approaches like HYDRUS-1D have recently gained attention, particularly for simulating land use impacts and climate scenarios on recharge in the southern rainforest belt (Fouepe et al., 2022).</w:t>
      </w:r>
    </w:p>
    <w:p w14:paraId="6FA4E9EA" w14:textId="2869128D"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Each method presents unique strengths and limitations depending on the hydro-climatic context, data availability, and spatial scale of application</w:t>
      </w:r>
      <w:r w:rsidR="004A38A3">
        <w:rPr>
          <w:rFonts w:ascii="Times New Roman" w:eastAsia="Times New Roman" w:hAnsi="Times New Roman" w:cs="Times New Roman"/>
          <w:kern w:val="0"/>
          <w14:ligatures w14:val="none"/>
        </w:rPr>
        <w:t xml:space="preserve"> (</w:t>
      </w:r>
      <w:r w:rsidR="004A38A3" w:rsidRPr="004A38A3">
        <w:rPr>
          <w:rFonts w:ascii="Times New Roman" w:eastAsia="Times New Roman" w:hAnsi="Times New Roman" w:cs="Times New Roman"/>
          <w:kern w:val="0"/>
          <w14:ligatures w14:val="none"/>
        </w:rPr>
        <w:t>Nusrat</w:t>
      </w:r>
      <w:r w:rsidR="004A38A3">
        <w:rPr>
          <w:rFonts w:ascii="Times New Roman" w:eastAsia="Times New Roman" w:hAnsi="Times New Roman" w:cs="Times New Roman"/>
          <w:kern w:val="0"/>
          <w14:ligatures w14:val="none"/>
        </w:rPr>
        <w:t xml:space="preserve"> et al., 2020; </w:t>
      </w:r>
      <w:r w:rsidR="004A38A3" w:rsidRPr="004A38A3">
        <w:rPr>
          <w:rFonts w:ascii="Times New Roman" w:eastAsia="Times New Roman" w:hAnsi="Times New Roman" w:cs="Times New Roman"/>
          <w:kern w:val="0"/>
          <w14:ligatures w14:val="none"/>
        </w:rPr>
        <w:t>Vahab</w:t>
      </w:r>
      <w:r w:rsidR="004A38A3">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Multi-method approaches are increasingly recommended for more accurate recharge quantification.</w:t>
      </w:r>
    </w:p>
    <w:p w14:paraId="24AEAF65"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3.3 Recharge and Discharge Areas in Groundwater Systems</w:t>
      </w:r>
    </w:p>
    <w:p w14:paraId="5C8B730E" w14:textId="12BD62B4"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Recharge and discharge areas are spatial zones that characterize the dynamics of groundwater systems. Recharge zones in Cameroon are typically located in highland areas with permeable soils and minimal surface sealing</w:t>
      </w:r>
      <w:r w:rsidR="004A38A3">
        <w:rPr>
          <w:rFonts w:ascii="Times New Roman" w:eastAsia="Times New Roman" w:hAnsi="Times New Roman" w:cs="Times New Roman"/>
          <w:kern w:val="0"/>
          <w14:ligatures w14:val="none"/>
        </w:rPr>
        <w:t xml:space="preserve"> (</w:t>
      </w:r>
      <w:r w:rsidR="004A38A3" w:rsidRPr="004A38A3">
        <w:rPr>
          <w:rFonts w:ascii="Times New Roman" w:eastAsia="Times New Roman" w:hAnsi="Times New Roman" w:cs="Times New Roman"/>
          <w:kern w:val="0"/>
          <w14:ligatures w14:val="none"/>
        </w:rPr>
        <w:t>Njikeu</w:t>
      </w:r>
      <w:r w:rsidR="004A38A3">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These include volcanic plateaus in the Northwest and Southwest regions, which act as critical water towers. Conversely, discharge zones are found in lower elevation areas such as the Sanaga and Logone floodplains, where groundwater feeds rivers and springs (M¿béguélé et al., 2020).</w:t>
      </w:r>
    </w:p>
    <w:p w14:paraId="6CC9D738" w14:textId="0C4442F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Understanding the spatial configuration of these areas is crucial for aquifer protection and land use planning</w:t>
      </w:r>
      <w:r w:rsidR="004A38A3">
        <w:rPr>
          <w:rFonts w:ascii="Times New Roman" w:eastAsia="Times New Roman" w:hAnsi="Times New Roman" w:cs="Times New Roman"/>
          <w:kern w:val="0"/>
          <w14:ligatures w14:val="none"/>
        </w:rPr>
        <w:t xml:space="preserve"> (</w:t>
      </w:r>
      <w:r w:rsidR="004A38A3" w:rsidRPr="004A38A3">
        <w:rPr>
          <w:rFonts w:ascii="Times New Roman" w:eastAsia="Times New Roman" w:hAnsi="Times New Roman" w:cs="Times New Roman"/>
          <w:kern w:val="0"/>
          <w14:ligatures w14:val="none"/>
        </w:rPr>
        <w:t>Bircol</w:t>
      </w:r>
      <w:r w:rsidR="004A38A3">
        <w:rPr>
          <w:rFonts w:ascii="Times New Roman" w:eastAsia="Times New Roman" w:hAnsi="Times New Roman" w:cs="Times New Roman"/>
          <w:kern w:val="0"/>
          <w14:ligatures w14:val="none"/>
        </w:rPr>
        <w:t xml:space="preserve"> et al., 2018;</w:t>
      </w:r>
      <w:r w:rsidR="00194E53">
        <w:rPr>
          <w:rFonts w:ascii="Times New Roman" w:eastAsia="Times New Roman" w:hAnsi="Times New Roman" w:cs="Times New Roman"/>
          <w:kern w:val="0"/>
          <w14:ligatures w14:val="none"/>
        </w:rPr>
        <w:t xml:space="preserve"> </w:t>
      </w:r>
      <w:r w:rsidR="00194E53" w:rsidRPr="00194E53">
        <w:rPr>
          <w:rFonts w:ascii="Times New Roman" w:eastAsia="Times New Roman" w:hAnsi="Times New Roman" w:cs="Times New Roman"/>
          <w:kern w:val="0"/>
          <w14:ligatures w14:val="none"/>
        </w:rPr>
        <w:t>Yanbo</w:t>
      </w:r>
      <w:r w:rsidR="00194E53">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 Overexploitation in discharge zones without replenishment in recharge areas can lead to aquifer depletion</w:t>
      </w:r>
      <w:r w:rsidR="00194E53">
        <w:rPr>
          <w:rFonts w:ascii="Times New Roman" w:eastAsia="Times New Roman" w:hAnsi="Times New Roman" w:cs="Times New Roman"/>
          <w:kern w:val="0"/>
          <w14:ligatures w14:val="none"/>
        </w:rPr>
        <w:t xml:space="preserve"> (</w:t>
      </w:r>
      <w:r w:rsidR="00194E53" w:rsidRPr="00194E53">
        <w:rPr>
          <w:rFonts w:ascii="Times New Roman" w:eastAsia="Times New Roman" w:hAnsi="Times New Roman" w:cs="Times New Roman"/>
          <w:kern w:val="0"/>
          <w14:ligatures w14:val="none"/>
        </w:rPr>
        <w:t>Chen</w:t>
      </w:r>
      <w:r w:rsidR="00194E53">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Hydrogeological mapping and modelling are essential tools for identifying and managing these zones (Healy &amp; Cook, 2002</w:t>
      </w:r>
      <w:r w:rsidR="00194E53">
        <w:rPr>
          <w:rFonts w:ascii="Times New Roman" w:eastAsia="Times New Roman" w:hAnsi="Times New Roman" w:cs="Times New Roman"/>
          <w:kern w:val="0"/>
          <w14:ligatures w14:val="none"/>
        </w:rPr>
        <w:t xml:space="preserve">; </w:t>
      </w:r>
      <w:r w:rsidR="00194E53" w:rsidRPr="00194E53">
        <w:rPr>
          <w:rFonts w:ascii="Times New Roman" w:eastAsia="Times New Roman" w:hAnsi="Times New Roman" w:cs="Times New Roman"/>
          <w:kern w:val="0"/>
          <w14:ligatures w14:val="none"/>
        </w:rPr>
        <w:t>Kadam</w:t>
      </w:r>
      <w:r w:rsidR="00194E53">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w:t>
      </w:r>
    </w:p>
    <w:p w14:paraId="16527835" w14:textId="77777777" w:rsidR="004E6FAE" w:rsidRPr="004E6FAE" w:rsidRDefault="004E6FAE" w:rsidP="001432C3">
      <w:pPr>
        <w:spacing w:after="0"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3.4 Factors Affecting Groundwater Recharge</w:t>
      </w:r>
    </w:p>
    <w:p w14:paraId="597E14A4" w14:textId="70E91FF3" w:rsidR="001432C3" w:rsidRPr="001432C3" w:rsidRDefault="001432C3" w:rsidP="001432C3">
      <w:pPr>
        <w:spacing w:after="0"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Groundwater recharge in Cameroon is influenced by a combination of climatic, geological, ecological, and anthropogenic factors, each shaping the rate and spatial distribution of infiltration across diverse landscapes. Climate, particularly precipitation and evapotranspiration, plays a dominant role. While higher rainfall generally supports recharge, intense storms often lead to increased surface runoff, which can limit effective infiltration (Zeydalinejad et al., 2024). Soil</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lastRenderedPageBreak/>
        <w:t>c</w:t>
      </w:r>
      <w:r w:rsidRPr="001432C3">
        <w:rPr>
          <w:rFonts w:ascii="Times New Roman" w:eastAsia="Times New Roman" w:hAnsi="Times New Roman" w:cs="Times New Roman"/>
          <w:kern w:val="0"/>
          <w14:ligatures w14:val="none"/>
        </w:rPr>
        <w:t>haracteristics are equally critical; sandy soils with high porosity facilitate deep infiltration, whereas clayey and lateritic soils tend to impede water movement due to their low permeability. This contrast is evident when comparing regions like Garoua, where sandy soils enhance recharge, to the Adamawa Plateau, which is dominated by clayey substrates that restrict infiltration (Agyingi et al., 2023).</w:t>
      </w:r>
    </w:p>
    <w:p w14:paraId="4D9645A9" w14:textId="78A95FD0" w:rsidR="001432C3" w:rsidRPr="001432C3" w:rsidRDefault="001432C3" w:rsidP="001432C3">
      <w:pPr>
        <w:spacing w:after="0"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Land use and vegetation cover further modulate recharge potential. Forested landscapes typically support greater infiltration owing to dense canopy layers and root systems that improve soil structure and permeability. In contrast, agricultural expansion, deforestation, and urban development reduce vegetative cover, leading to diminished infiltration and increased runoff (Jobbágy &amp; Jackson, 2004; Kučera et al., 2020). Topography also plays a key role, with steep slopes in highland areas favoring runoff over infiltration, while flatter terrains allow water to infiltrate more gradually and sustainably (Sharma et al., 2023; Nyairo et al., 2024).</w:t>
      </w:r>
    </w:p>
    <w:p w14:paraId="449127C9" w14:textId="09BB11F8" w:rsidR="004E6FAE" w:rsidRDefault="001432C3"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Anthropogenic activities, particularly in urban centers like Yaoundé and Douala, have substantially altered recharge dynamics. The proliferation of impervious surfaces such as roads and buildings has reduced groundwater replenishment by blocking natural infiltration pathways (Olabode et al., 2024). Agricultural interventions, including irrigation, plowing, and tillage, can either enhance or inhibit recharge depending on local practices and soil conditions (Amami et al., 2021; Wang et al., 2024). Together, these interacting factors shape the spatial variability and sustainability of groundwater recharge across Cameroon.</w:t>
      </w:r>
      <w:r>
        <w:rPr>
          <w:rFonts w:ascii="Times New Roman" w:eastAsia="Times New Roman" w:hAnsi="Times New Roman" w:cs="Times New Roman"/>
          <w:kern w:val="0"/>
          <w14:ligatures w14:val="none"/>
        </w:rPr>
        <w:t xml:space="preserve"> </w:t>
      </w:r>
      <w:r w:rsidR="00F56263">
        <w:rPr>
          <w:rFonts w:ascii="Times New Roman" w:eastAsia="Times New Roman" w:hAnsi="Times New Roman" w:cs="Times New Roman"/>
          <w:kern w:val="0"/>
          <w14:ligatures w14:val="none"/>
        </w:rPr>
        <w:t>G</w:t>
      </w:r>
      <w:r w:rsidR="004E6FAE" w:rsidRPr="004E6FAE">
        <w:rPr>
          <w:rFonts w:ascii="Times New Roman" w:eastAsia="Times New Roman" w:hAnsi="Times New Roman" w:cs="Times New Roman"/>
          <w:kern w:val="0"/>
          <w14:ligatures w14:val="none"/>
        </w:rPr>
        <w:t>roundwater recharge is controlled by a complex interplay of natural and human-induced factors that must be integrated into estimation frameworks and water management strategies.</w:t>
      </w:r>
    </w:p>
    <w:p w14:paraId="32C9FB51" w14:textId="77777777" w:rsidR="001432C3" w:rsidRPr="003D24DC" w:rsidRDefault="001432C3" w:rsidP="001432C3">
      <w:pPr>
        <w:spacing w:before="100" w:beforeAutospacing="1" w:after="100" w:afterAutospacing="1" w:line="480" w:lineRule="auto"/>
        <w:jc w:val="both"/>
        <w:rPr>
          <w:rFonts w:ascii="Times New Roman" w:eastAsia="Times New Roman" w:hAnsi="Times New Roman" w:cs="Times New Roman"/>
          <w:kern w:val="0"/>
          <w14:ligatures w14:val="none"/>
        </w:rPr>
      </w:pPr>
    </w:p>
    <w:p w14:paraId="3298384F" w14:textId="595A4824"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lastRenderedPageBreak/>
        <w:t xml:space="preserve">4. </w:t>
      </w:r>
      <w:r w:rsidR="00CE2E3B" w:rsidRPr="004E6FAE">
        <w:rPr>
          <w:rFonts w:ascii="Times New Roman" w:eastAsia="Times New Roman" w:hAnsi="Times New Roman" w:cs="Times New Roman"/>
          <w:b/>
          <w:bCs/>
          <w:kern w:val="0"/>
          <w14:ligatures w14:val="none"/>
        </w:rPr>
        <w:t>Direct In-Situ Measurements: Lysimeters</w:t>
      </w:r>
    </w:p>
    <w:p w14:paraId="14B4F62F" w14:textId="0E22B7CC"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Lysimeters provide a direct, physical method for measuring percolation and evapotranspiration by isolating a block of soil and quantifying water input and output</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Reth</w:t>
      </w:r>
      <w:r w:rsidR="00D802DB">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xml:space="preserve"> Though uncommon in Cameroon due to the cost and infrastructure required, lysimeter experiments have been conducted on research farms in the Centre and West Regions to understand soil moisture dynamics under varying vegetation covers (Ndjama et al., 2021). These studies found that forested land allowed greater infiltration compared to areas under maize cultivation, with estimated recharge between 120–180 mm/year.</w:t>
      </w:r>
    </w:p>
    <w:p w14:paraId="46D8CC03" w14:textId="706F82E8"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precision of lysimeters is unmatched for small-scale, site-specific measurements, but their high maintenance and limited scalability hinder widespread adoption in the country. They are best suited for calibration and validation of models or other estimation methods.</w:t>
      </w:r>
    </w:p>
    <w:p w14:paraId="0617749F" w14:textId="2BFE0355"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5. </w:t>
      </w:r>
      <w:r w:rsidR="00CE2E3B" w:rsidRPr="004E6FAE">
        <w:rPr>
          <w:rFonts w:ascii="Times New Roman" w:eastAsia="Times New Roman" w:hAnsi="Times New Roman" w:cs="Times New Roman"/>
          <w:b/>
          <w:bCs/>
          <w:kern w:val="0"/>
          <w14:ligatures w14:val="none"/>
        </w:rPr>
        <w:t>Water Balance Method</w:t>
      </w:r>
    </w:p>
    <w:p w14:paraId="4CE1AFF5" w14:textId="77777777" w:rsidR="004E6FAE" w:rsidRPr="003D24DC"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water balance method is one of the most widely used indirect approaches for estimating recharge in Cameroon. It is based on the equation:</w:t>
      </w:r>
    </w:p>
    <w:p w14:paraId="6AD8E00F" w14:textId="0A5AF0F3" w:rsidR="004E6FAE" w:rsidRPr="004E6FAE" w:rsidRDefault="004E6FAE" w:rsidP="003D24DC">
      <w:pPr>
        <w:spacing w:before="100" w:beforeAutospacing="1" w:after="100" w:afterAutospacing="1" w:line="480" w:lineRule="auto"/>
        <w:jc w:val="center"/>
        <w:rPr>
          <w:rFonts w:ascii="Times New Roman" w:eastAsia="Times New Roman" w:hAnsi="Times New Roman" w:cs="Times New Roman"/>
          <w:kern w:val="0"/>
          <w14:ligatures w14:val="none"/>
        </w:rPr>
      </w:pPr>
      <w:r w:rsidRPr="003D24DC">
        <w:rPr>
          <w:rFonts w:ascii="Times New Roman" w:eastAsia="Times New Roman" w:hAnsi="Times New Roman" w:cs="Times New Roman"/>
          <w:kern w:val="0"/>
          <w14:ligatures w14:val="none"/>
        </w:rPr>
        <w:t>R=</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P−ET−</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Q</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ΔS</w:t>
      </w:r>
      <w:r w:rsidR="00F56263">
        <w:rPr>
          <w:rFonts w:ascii="Times New Roman" w:eastAsia="Times New Roman" w:hAnsi="Times New Roman" w:cs="Times New Roman"/>
          <w:kern w:val="0"/>
          <w14:ligatures w14:val="none"/>
        </w:rPr>
        <w:t xml:space="preserve"> </w:t>
      </w:r>
      <w:r w:rsidR="003D24DC">
        <w:rPr>
          <w:rFonts w:ascii="Times New Roman" w:eastAsia="Times New Roman" w:hAnsi="Times New Roman" w:cs="Times New Roman"/>
          <w:kern w:val="0"/>
          <w14:ligatures w14:val="none"/>
        </w:rPr>
        <w:t>………………………………………………………(1)</w:t>
      </w:r>
    </w:p>
    <w:p w14:paraId="01DCC60A" w14:textId="77777777" w:rsidR="000B7416" w:rsidRDefault="004E6FAE" w:rsidP="000B7416">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where </w:t>
      </w:r>
      <w:r w:rsidRPr="004E6FAE">
        <w:rPr>
          <w:rFonts w:ascii="Times New Roman" w:eastAsia="Times New Roman" w:hAnsi="Times New Roman" w:cs="Times New Roman"/>
          <w:b/>
          <w:bCs/>
          <w:kern w:val="0"/>
          <w14:ligatures w14:val="none"/>
        </w:rPr>
        <w:t>R</w:t>
      </w:r>
      <w:r w:rsidRPr="004E6FAE">
        <w:rPr>
          <w:rFonts w:ascii="Times New Roman" w:eastAsia="Times New Roman" w:hAnsi="Times New Roman" w:cs="Times New Roman"/>
          <w:kern w:val="0"/>
          <w14:ligatures w14:val="none"/>
        </w:rPr>
        <w:t xml:space="preserve"> is recharge, </w:t>
      </w:r>
      <w:r w:rsidRPr="004E6FAE">
        <w:rPr>
          <w:rFonts w:ascii="Times New Roman" w:eastAsia="Times New Roman" w:hAnsi="Times New Roman" w:cs="Times New Roman"/>
          <w:b/>
          <w:bCs/>
          <w:kern w:val="0"/>
          <w14:ligatures w14:val="none"/>
        </w:rPr>
        <w:t>P</w:t>
      </w:r>
      <w:r w:rsidRPr="004E6FAE">
        <w:rPr>
          <w:rFonts w:ascii="Times New Roman" w:eastAsia="Times New Roman" w:hAnsi="Times New Roman" w:cs="Times New Roman"/>
          <w:kern w:val="0"/>
          <w14:ligatures w14:val="none"/>
        </w:rPr>
        <w:t xml:space="preserve"> is precipitation, </w:t>
      </w:r>
      <w:r w:rsidRPr="004E6FAE">
        <w:rPr>
          <w:rFonts w:ascii="Times New Roman" w:eastAsia="Times New Roman" w:hAnsi="Times New Roman" w:cs="Times New Roman"/>
          <w:b/>
          <w:bCs/>
          <w:kern w:val="0"/>
          <w14:ligatures w14:val="none"/>
        </w:rPr>
        <w:t>ET</w:t>
      </w:r>
      <w:r w:rsidRPr="004E6FAE">
        <w:rPr>
          <w:rFonts w:ascii="Times New Roman" w:eastAsia="Times New Roman" w:hAnsi="Times New Roman" w:cs="Times New Roman"/>
          <w:kern w:val="0"/>
          <w14:ligatures w14:val="none"/>
        </w:rPr>
        <w:t xml:space="preserve"> is evapotranspiration, </w:t>
      </w:r>
      <w:r w:rsidRPr="004E6FAE">
        <w:rPr>
          <w:rFonts w:ascii="Times New Roman" w:eastAsia="Times New Roman" w:hAnsi="Times New Roman" w:cs="Times New Roman"/>
          <w:b/>
          <w:bCs/>
          <w:kern w:val="0"/>
          <w14:ligatures w14:val="none"/>
        </w:rPr>
        <w:t>Q</w:t>
      </w:r>
      <w:r w:rsidRPr="004E6FAE">
        <w:rPr>
          <w:rFonts w:ascii="Times New Roman" w:eastAsia="Times New Roman" w:hAnsi="Times New Roman" w:cs="Times New Roman"/>
          <w:kern w:val="0"/>
          <w14:ligatures w14:val="none"/>
        </w:rPr>
        <w:t xml:space="preserve"> is runoff, and </w:t>
      </w:r>
      <w:r w:rsidRPr="004E6FAE">
        <w:rPr>
          <w:rFonts w:ascii="Times New Roman" w:eastAsia="Times New Roman" w:hAnsi="Times New Roman" w:cs="Times New Roman"/>
          <w:b/>
          <w:bCs/>
          <w:kern w:val="0"/>
          <w14:ligatures w14:val="none"/>
        </w:rPr>
        <w:t>ΔS</w:t>
      </w:r>
      <w:r w:rsidRPr="004E6FAE">
        <w:rPr>
          <w:rFonts w:ascii="Times New Roman" w:eastAsia="Times New Roman" w:hAnsi="Times New Roman" w:cs="Times New Roman"/>
          <w:kern w:val="0"/>
          <w14:ligatures w14:val="none"/>
        </w:rPr>
        <w:t xml:space="preserve"> is the change in soil moisture storage.</w:t>
      </w:r>
    </w:p>
    <w:p w14:paraId="69B34738" w14:textId="172BAEC7"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0B7416">
        <w:rPr>
          <w:rFonts w:ascii="Times New Roman" w:eastAsia="Times New Roman" w:hAnsi="Times New Roman" w:cs="Times New Roman"/>
          <w:kern w:val="0"/>
          <w14:ligatures w14:val="none"/>
        </w:rPr>
        <w:t xml:space="preserve"> </w:t>
      </w:r>
      <w:r w:rsidRPr="00D974BD">
        <w:rPr>
          <w:rFonts w:ascii="Times New Roman" w:eastAsia="Times New Roman" w:hAnsi="Times New Roman" w:cs="Times New Roman"/>
          <w:color w:val="EE0000"/>
          <w:kern w:val="0"/>
          <w14:ligatures w14:val="none"/>
        </w:rPr>
        <w:t>R represents the amount of water that ultimately infiltrates the ground and contributes to aquifer recharge. Each component of this equation reflects a key part of the hydrological cycle, and understanding them is essential for accurately assessing recharge.</w:t>
      </w:r>
    </w:p>
    <w:p w14:paraId="1DC01639" w14:textId="344ADD15"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lastRenderedPageBreak/>
        <w:t>Precipitation (P) is the primary input in the water balance and includes all forms of water, rain, snow, sleet that fall from the atmosphere to the ground. In Cameroon, rainfall patterns vary significantly by region, with the southwest experiencing very high rainfall levels, while the northern parts of the country are drier. Precipitation data are collected through ground-based rain gauges and meteorological stations, but satellite-based measurements, such as those from the Tropical Rainfall Measuring Mission (TRMM) or Global Precipitation Measurement (GPM) satellites, are increasingly used, especially in data-scarce regions.</w:t>
      </w:r>
    </w:p>
    <w:p w14:paraId="75B5A4DF" w14:textId="1FF2A554"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t>Evapotranspiration (ET) accounts for water lost back to the atmosphere through both evaporation from soil and water surfaces, and transpiration from plant leaves. Estimating ET is particularly important in humid and semi-arid zones of Cameroon, where high temperatures and dense vegetation drive significant water loss. While lysimeters, which directly measure ET, exist in some experimental research stations, their use is limited due to cost and complexity. Instead, satellite-based ET products are becoming the preferred approach. Tools like MODIS (Moderate Resolution Imaging Spectroradiometer)  and models such as GLEAM and SEBAL provide spatially continuous estimates of ET across large areas, which is valuable in the diverse landscapes of Cameroon. In some cases, empirical formulas like Penman-Monteith or Hargreaves are also used where satellite data are unavailable or need to be validated.</w:t>
      </w:r>
    </w:p>
    <w:p w14:paraId="5482F925" w14:textId="30FC050A"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t xml:space="preserve">Runoff (Q)  is the portion of precipitation that flows over the surface or through shallow subsurface layers into rivers, lakes, or the ocean. This component is highly variable in Cameroon, influenced by topography, vegetation, and land use. For instance, mountainous regions such as those around Mount Cameroon experience high runoff due to steep slopes and intense rainfall. Runoff is </w:t>
      </w:r>
      <w:r w:rsidRPr="00D974BD">
        <w:rPr>
          <w:rFonts w:ascii="Times New Roman" w:eastAsia="Times New Roman" w:hAnsi="Times New Roman" w:cs="Times New Roman"/>
          <w:color w:val="EE0000"/>
          <w:kern w:val="0"/>
          <w14:ligatures w14:val="none"/>
        </w:rPr>
        <w:lastRenderedPageBreak/>
        <w:t>measured using stream gauges or modeled using hydrological simulation tools, particularly in areas where monitoring infrastructure is lacking.</w:t>
      </w:r>
    </w:p>
    <w:p w14:paraId="13DBA309" w14:textId="78DE87E8"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t>The final component, ΔS, represents the change in soil moisture storage. This term captures the temporary gain or loss of water held in the soil and unsaturated zone. A positive ΔS indicates that soil moisture is increasing, possibly delaying recharge, while a negative ΔS suggests water is moving downward, potentially contributing to recharge or lost via evapotranspiration. In Cameroon, changes in soil moisture are typically estimated using soil moisture sensors, remote sensing products such as those from SMAP (Soil Moisture Active Passive) satellite, or hydrological models that simulate water movement in the soil profile.</w:t>
      </w:r>
    </w:p>
    <w:p w14:paraId="5500BF9C" w14:textId="5CEFAAFB" w:rsidR="000B7416" w:rsidRDefault="000B7416" w:rsidP="000B7416">
      <w:pPr>
        <w:spacing w:before="100" w:beforeAutospacing="1" w:after="100" w:afterAutospacing="1"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Pr="000B7416">
        <w:rPr>
          <w:rFonts w:ascii="Times New Roman" w:eastAsia="Times New Roman" w:hAnsi="Times New Roman" w:cs="Times New Roman"/>
          <w:kern w:val="0"/>
          <w14:ligatures w14:val="none"/>
        </w:rPr>
        <w:t xml:space="preserve">he water balance method provides a comprehensive framework for estimating groundwater recharge in Cameroon by accounting for precipitation inputs, water losses through evapotranspiration and runoff, and changes in soil moisture. While direct measurements like lysimeters are not commonly used, satellite-based data and hydrological models have become essential tools for estimating parameters like ET and ΔS across the country’s diverse ecological zones. </w:t>
      </w:r>
    </w:p>
    <w:p w14:paraId="102BA6C0" w14:textId="13D45D02" w:rsidR="004E6FAE" w:rsidRPr="004E6FAE" w:rsidRDefault="004E6FAE" w:rsidP="000B7416">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This method has been employed in the Mbam and Sanaga River basins, where sufficient meteorological data are available (Fouepe et al., 2022). Studies found recharge coefficients ranging from 8–15%, depending on land cover and rainfall intensity</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Kuang</w:t>
      </w:r>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In humid zones, excess rainfall after fulfilling soil moisture deficits and overcoming surface runoff contributes to recharge</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Zhou</w:t>
      </w:r>
      <w:r w:rsidR="00D802DB">
        <w:rPr>
          <w:rFonts w:ascii="Times New Roman" w:eastAsia="Times New Roman" w:hAnsi="Times New Roman" w:cs="Times New Roman"/>
          <w:kern w:val="0"/>
          <w14:ligatures w14:val="none"/>
        </w:rPr>
        <w:t xml:space="preserve"> et al., 2020)</w:t>
      </w:r>
      <w:r w:rsidRPr="004E6FAE">
        <w:rPr>
          <w:rFonts w:ascii="Times New Roman" w:eastAsia="Times New Roman" w:hAnsi="Times New Roman" w:cs="Times New Roman"/>
          <w:kern w:val="0"/>
          <w14:ligatures w14:val="none"/>
        </w:rPr>
        <w:t>. However, in the Sahelian north, where evapotranspiration often exceeds 85% of precipitation, recharge is minimal or episodic.</w:t>
      </w:r>
      <w:r w:rsidR="003D24DC">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The accuracy of this method relies heavily on high-quality input data, which is often a limitation in many parts of Cameroon</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Nourdi</w:t>
      </w:r>
      <w:r w:rsidR="00D802DB">
        <w:rPr>
          <w:rFonts w:ascii="Times New Roman" w:eastAsia="Times New Roman" w:hAnsi="Times New Roman" w:cs="Times New Roman"/>
          <w:kern w:val="0"/>
          <w14:ligatures w14:val="none"/>
        </w:rPr>
        <w:t xml:space="preserve"> </w:t>
      </w:r>
      <w:r w:rsidR="00D802DB">
        <w:rPr>
          <w:rFonts w:ascii="Times New Roman" w:eastAsia="Times New Roman" w:hAnsi="Times New Roman" w:cs="Times New Roman"/>
          <w:kern w:val="0"/>
          <w14:ligatures w14:val="none"/>
        </w:rPr>
        <w:lastRenderedPageBreak/>
        <w:t xml:space="preserve">et al., 2024). </w:t>
      </w:r>
      <w:r w:rsidRPr="004E6FAE">
        <w:rPr>
          <w:rFonts w:ascii="Times New Roman" w:eastAsia="Times New Roman" w:hAnsi="Times New Roman" w:cs="Times New Roman"/>
          <w:kern w:val="0"/>
          <w14:ligatures w14:val="none"/>
        </w:rPr>
        <w:t>Nonetheless, it remains a cost-effective tool for regional planning and is especially useful in watershed-scale analyses.</w:t>
      </w:r>
    </w:p>
    <w:p w14:paraId="65D05AAC" w14:textId="0ABEF2CD"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6. </w:t>
      </w:r>
      <w:r w:rsidR="00CE2E3B" w:rsidRPr="004E6FAE">
        <w:rPr>
          <w:rFonts w:ascii="Times New Roman" w:eastAsia="Times New Roman" w:hAnsi="Times New Roman" w:cs="Times New Roman"/>
          <w:b/>
          <w:bCs/>
          <w:kern w:val="0"/>
          <w14:ligatures w14:val="none"/>
        </w:rPr>
        <w:t>Groundwater Table Fluctuation (Gtf) Method</w:t>
      </w:r>
    </w:p>
    <w:p w14:paraId="05336E80" w14:textId="1E0D520E"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GTF method estimates recharge by monitoring the rise in groundwater levels following rainfall events</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Andualem</w:t>
      </w:r>
      <w:r w:rsidR="00D802DB">
        <w:rPr>
          <w:rFonts w:ascii="Times New Roman" w:eastAsia="Times New Roman" w:hAnsi="Times New Roman" w:cs="Times New Roman"/>
          <w:kern w:val="0"/>
          <w14:ligatures w14:val="none"/>
        </w:rPr>
        <w:t xml:space="preserve"> et al., 2021; </w:t>
      </w:r>
      <w:r w:rsidR="00D802DB" w:rsidRPr="00D802DB">
        <w:rPr>
          <w:rFonts w:ascii="Times New Roman" w:eastAsia="Times New Roman" w:hAnsi="Times New Roman" w:cs="Times New Roman"/>
          <w:kern w:val="0"/>
          <w14:ligatures w14:val="none"/>
        </w:rPr>
        <w:t>Wei</w:t>
      </w:r>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In Cameroon, it has been applied in the Garoua and Maroua areas where shallow aquifers are present</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Nlend</w:t>
      </w:r>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Using long-term water level monitoring data, recharge estimates between 20–60 mm/year have been reported in the Far North, with higher values during intense seasonal rainfall (Gava et al., 2016).</w:t>
      </w:r>
    </w:p>
    <w:p w14:paraId="40105CAF" w14:textId="5B2DD18F" w:rsidR="009C2AAE" w:rsidRPr="00D974BD" w:rsidRDefault="004E6FAE" w:rsidP="003D24DC">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t>This method is suitable for unconfined aquifers with minimal anthropogenic abstraction. However, it requires accurate estimation of specific yield, which is often variable due to heterogeneity in geological formations</w:t>
      </w:r>
      <w:r w:rsidR="006E2377" w:rsidRPr="00D974BD">
        <w:rPr>
          <w:rFonts w:ascii="Times New Roman" w:eastAsia="Times New Roman" w:hAnsi="Times New Roman" w:cs="Times New Roman"/>
          <w:color w:val="EE0000"/>
          <w:kern w:val="0"/>
          <w14:ligatures w14:val="none"/>
        </w:rPr>
        <w:t xml:space="preserve"> (Arnaud, 2020)</w:t>
      </w:r>
      <w:r w:rsidRPr="00D974BD">
        <w:rPr>
          <w:rFonts w:ascii="Times New Roman" w:eastAsia="Times New Roman" w:hAnsi="Times New Roman" w:cs="Times New Roman"/>
          <w:color w:val="EE0000"/>
          <w:kern w:val="0"/>
          <w14:ligatures w14:val="none"/>
        </w:rPr>
        <w:t>. Groundwater abstraction for irrigation and domestic use in urban centers may distort the natural signal of recharge, making this method less effective in developed areas</w:t>
      </w:r>
      <w:r w:rsidR="006E2377" w:rsidRPr="00D974BD">
        <w:rPr>
          <w:rFonts w:ascii="Times New Roman" w:eastAsia="Times New Roman" w:hAnsi="Times New Roman" w:cs="Times New Roman"/>
          <w:color w:val="EE0000"/>
          <w:kern w:val="0"/>
          <w14:ligatures w14:val="none"/>
        </w:rPr>
        <w:t xml:space="preserve"> (Tang et al., 2023).</w:t>
      </w:r>
      <w:r w:rsidR="009C2AAE" w:rsidRPr="00D974BD">
        <w:rPr>
          <w:rFonts w:ascii="Times New Roman" w:eastAsia="Times New Roman" w:hAnsi="Times New Roman" w:cs="Times New Roman"/>
          <w:color w:val="EE0000"/>
          <w:kern w:val="0"/>
          <w14:ligatures w14:val="none"/>
        </w:rPr>
        <w:t xml:space="preserve">To address challenges, several strategies have been employed to reduce the distortions caused by groundwater abstraction and enhance the reliability of the GTF method in recharge estimation. One effective approach is to carefully select monitoring wells located in areas with minimal human influence, such as protected or rural zones where pumping is negligible. In addition, hydrograph separation techniques and time-series analysis are used to distinguish natural recharge signals from fluctuations due to anthropogenic withdrawals. Advances in data processing and the integration of auxiliary datasets, such as land use maps, abstraction records, and meteorological data, further help to isolate recharge-driven groundwater level rises. In some cases, recharge estimates are validated through the use of multiple methods, including isotope hydrology or soil moisture balance models, which reinforce the accuracy of GTF-derived </w:t>
      </w:r>
      <w:r w:rsidR="009C2AAE" w:rsidRPr="00D974BD">
        <w:rPr>
          <w:rFonts w:ascii="Times New Roman" w:eastAsia="Times New Roman" w:hAnsi="Times New Roman" w:cs="Times New Roman"/>
          <w:color w:val="EE0000"/>
          <w:kern w:val="0"/>
          <w14:ligatures w14:val="none"/>
        </w:rPr>
        <w:lastRenderedPageBreak/>
        <w:t>values. Consequently, even in regions with some degree of water use, these methodological refinements can significantly reduce the impact of abstraction, allowing for more robust and meaningful recharge assessments.</w:t>
      </w:r>
    </w:p>
    <w:p w14:paraId="1EFD7B77" w14:textId="20763AE6"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7. </w:t>
      </w:r>
      <w:r w:rsidR="00CE2E3B" w:rsidRPr="004E6FAE">
        <w:rPr>
          <w:rFonts w:ascii="Times New Roman" w:eastAsia="Times New Roman" w:hAnsi="Times New Roman" w:cs="Times New Roman"/>
          <w:b/>
          <w:bCs/>
          <w:kern w:val="0"/>
          <w14:ligatures w14:val="none"/>
        </w:rPr>
        <w:t xml:space="preserve">Application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f Stable Isotopes</w:t>
      </w:r>
    </w:p>
    <w:p w14:paraId="7D763C33" w14:textId="775ED1C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Stable isotopes of oxygen (δ¹⁸O) and hydrogen (δ²H) are increasingly used in Cameroon to trace the origin, seasonality, and mechanisms of groundwater recharge</w:t>
      </w:r>
      <w:r w:rsidR="006E2377">
        <w:rPr>
          <w:rFonts w:ascii="Times New Roman" w:eastAsia="Times New Roman" w:hAnsi="Times New Roman" w:cs="Times New Roman"/>
          <w:kern w:val="0"/>
          <w14:ligatures w14:val="none"/>
        </w:rPr>
        <w:t xml:space="preserve"> (</w:t>
      </w:r>
      <w:r w:rsidR="006E2377" w:rsidRPr="006E2377">
        <w:rPr>
          <w:rFonts w:ascii="Times New Roman" w:eastAsia="Times New Roman" w:hAnsi="Times New Roman" w:cs="Times New Roman"/>
          <w:kern w:val="0"/>
          <w14:ligatures w14:val="none"/>
        </w:rPr>
        <w:t>Goni</w:t>
      </w:r>
      <w:r w:rsidR="006E2377">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Studies in the Adamawa Plateau and Mount Bamboutos regions have shown that groundwater isotope compositions closely match those of local rainfall, indicating direct recharge with limited evaporation (Tchatcho et al., 2018).</w:t>
      </w:r>
    </w:p>
    <w:p w14:paraId="448F34F2" w14:textId="25399D30" w:rsidR="00D12233"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These isotopes are particularly effective for distinguishing between recent rainfall and paleowater sources, especially in the </w:t>
      </w:r>
      <w:r w:rsidR="006E2377">
        <w:rPr>
          <w:rFonts w:ascii="Times New Roman" w:eastAsia="Times New Roman" w:hAnsi="Times New Roman" w:cs="Times New Roman"/>
          <w:kern w:val="0"/>
          <w14:ligatures w14:val="none"/>
        </w:rPr>
        <w:t>N</w:t>
      </w:r>
      <w:r w:rsidRPr="004E6FAE">
        <w:rPr>
          <w:rFonts w:ascii="Times New Roman" w:eastAsia="Times New Roman" w:hAnsi="Times New Roman" w:cs="Times New Roman"/>
          <w:kern w:val="0"/>
          <w14:ligatures w14:val="none"/>
        </w:rPr>
        <w:t>orth</w:t>
      </w:r>
      <w:r w:rsidR="006E2377">
        <w:rPr>
          <w:rFonts w:ascii="Times New Roman" w:eastAsia="Times New Roman" w:hAnsi="Times New Roman" w:cs="Times New Roman"/>
          <w:kern w:val="0"/>
          <w14:ligatures w14:val="none"/>
        </w:rPr>
        <w:t>,</w:t>
      </w:r>
      <w:r w:rsidRPr="004E6FAE">
        <w:rPr>
          <w:rFonts w:ascii="Times New Roman" w:eastAsia="Times New Roman" w:hAnsi="Times New Roman" w:cs="Times New Roman"/>
          <w:kern w:val="0"/>
          <w14:ligatures w14:val="none"/>
        </w:rPr>
        <w:t xml:space="preserve"> where deep aquifers may contain fossil water</w:t>
      </w:r>
      <w:r w:rsidR="006E2377">
        <w:rPr>
          <w:rFonts w:ascii="Times New Roman" w:eastAsia="Times New Roman" w:hAnsi="Times New Roman" w:cs="Times New Roman"/>
          <w:kern w:val="0"/>
          <w14:ligatures w14:val="none"/>
        </w:rPr>
        <w:t xml:space="preserve"> (</w:t>
      </w:r>
      <w:r w:rsidR="006E2377" w:rsidRPr="006E2377">
        <w:rPr>
          <w:rFonts w:ascii="Times New Roman" w:eastAsia="Times New Roman" w:hAnsi="Times New Roman" w:cs="Times New Roman"/>
          <w:kern w:val="0"/>
          <w14:ligatures w14:val="none"/>
        </w:rPr>
        <w:t>Abouelmagd</w:t>
      </w:r>
      <w:r w:rsidR="006E2377">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However, the method requires laboratory infrastructure and technical expertise, which are limited in many institutions across the country.</w:t>
      </w:r>
    </w:p>
    <w:p w14:paraId="5119460B" w14:textId="0799E92F"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8. </w:t>
      </w:r>
      <w:r w:rsidR="00CE2E3B" w:rsidRPr="004E6FAE">
        <w:rPr>
          <w:rFonts w:ascii="Times New Roman" w:eastAsia="Times New Roman" w:hAnsi="Times New Roman" w:cs="Times New Roman"/>
          <w:b/>
          <w:bCs/>
          <w:kern w:val="0"/>
          <w14:ligatures w14:val="none"/>
        </w:rPr>
        <w:t>Chloride Mass Balance (Cmb) Method</w:t>
      </w:r>
    </w:p>
    <w:p w14:paraId="0CC940EE" w14:textId="39A9DD01"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The CMB method uses the concentration difference between chloride in rainfall and groundwater to estimate recharge. Its application in </w:t>
      </w:r>
      <w:r w:rsidR="006E2377">
        <w:rPr>
          <w:rFonts w:ascii="Times New Roman" w:eastAsia="Times New Roman" w:hAnsi="Times New Roman" w:cs="Times New Roman"/>
          <w:kern w:val="0"/>
          <w14:ligatures w14:val="none"/>
        </w:rPr>
        <w:t>non-tropical</w:t>
      </w:r>
      <w:r w:rsidRPr="004E6FAE">
        <w:rPr>
          <w:rFonts w:ascii="Times New Roman" w:eastAsia="Times New Roman" w:hAnsi="Times New Roman" w:cs="Times New Roman"/>
          <w:kern w:val="0"/>
          <w14:ligatures w14:val="none"/>
        </w:rPr>
        <w:t xml:space="preserve"> regions of Cameroon has yielded recharge estimates of 10–30 mm/year (Gava et al., 2016). It is useful in areas like Maroua</w:t>
      </w:r>
      <w:r w:rsidR="006E2377">
        <w:rPr>
          <w:rFonts w:ascii="Times New Roman" w:eastAsia="Times New Roman" w:hAnsi="Times New Roman" w:cs="Times New Roman"/>
          <w:kern w:val="0"/>
          <w14:ligatures w14:val="none"/>
        </w:rPr>
        <w:t>,</w:t>
      </w:r>
      <w:r w:rsidRPr="004E6FAE">
        <w:rPr>
          <w:rFonts w:ascii="Times New Roman" w:eastAsia="Times New Roman" w:hAnsi="Times New Roman" w:cs="Times New Roman"/>
          <w:kern w:val="0"/>
          <w14:ligatures w14:val="none"/>
        </w:rPr>
        <w:t xml:space="preserve"> where rainfall is infrequent but significant chloride accumulation occurs due to evapoconcentration</w:t>
      </w:r>
      <w:r w:rsidR="0016551C">
        <w:rPr>
          <w:rFonts w:ascii="Times New Roman" w:eastAsia="Times New Roman" w:hAnsi="Times New Roman" w:cs="Times New Roman"/>
          <w:kern w:val="0"/>
          <w14:ligatures w14:val="none"/>
        </w:rPr>
        <w:t xml:space="preserve"> (</w:t>
      </w:r>
      <w:r w:rsidR="0016551C" w:rsidRPr="0016551C">
        <w:rPr>
          <w:rFonts w:ascii="Times New Roman" w:eastAsia="Times New Roman" w:hAnsi="Times New Roman" w:cs="Times New Roman"/>
          <w:kern w:val="0"/>
          <w14:ligatures w14:val="none"/>
        </w:rPr>
        <w:t>Semar</w:t>
      </w:r>
      <w:r w:rsidR="0016551C">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However, this method may be affected by anthropogenic chloride sources such as fertilizer and road salt. In agricultural areas, corrections must be made to account for non-atmospheric chloride inputs.</w:t>
      </w:r>
    </w:p>
    <w:p w14:paraId="69B7A77F" w14:textId="0CB2B2EE" w:rsidR="004E6FAE" w:rsidRPr="004E6FAE" w:rsidRDefault="00C55BE0"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9</w:t>
      </w:r>
      <w:r w:rsidR="004E6FAE" w:rsidRPr="004E6FAE">
        <w:rPr>
          <w:rFonts w:ascii="Times New Roman" w:eastAsia="Times New Roman" w:hAnsi="Times New Roman" w:cs="Times New Roman"/>
          <w:b/>
          <w:bCs/>
          <w:kern w:val="0"/>
          <w14:ligatures w14:val="none"/>
        </w:rPr>
        <w:t xml:space="preserve">. </w:t>
      </w:r>
      <w:r w:rsidR="00CE2E3B" w:rsidRPr="004E6FAE">
        <w:rPr>
          <w:rFonts w:ascii="Times New Roman" w:eastAsia="Times New Roman" w:hAnsi="Times New Roman" w:cs="Times New Roman"/>
          <w:b/>
          <w:bCs/>
          <w:kern w:val="0"/>
          <w14:ligatures w14:val="none"/>
        </w:rPr>
        <w:t>Unsaturated Zone Modelling</w:t>
      </w:r>
    </w:p>
    <w:p w14:paraId="45A19D4F"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Simulation models like HYDRUS-1D are being increasingly used in Cameroon to assess recharge under different land use and climate conditions. For example, Fouepe et al. (2022) modeled recharge under forest and maize cover in the Centre Region, finding recharge of 145 mm/year under forest and only 60 mm/year under maize due to higher evapotranspiration.</w:t>
      </w:r>
    </w:p>
    <w:p w14:paraId="3F3CFB54" w14:textId="6F1F12E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Such models provide valuable scenario-based predictions but require detailed inputs on soil characteristics, vegetation, and meteorological variables. Calibration with field data is critical to reduce uncertainty.</w:t>
      </w:r>
    </w:p>
    <w:p w14:paraId="218298B0" w14:textId="5D149630"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1</w:t>
      </w:r>
      <w:r w:rsidR="00C55BE0">
        <w:rPr>
          <w:rFonts w:ascii="Times New Roman" w:eastAsia="Times New Roman" w:hAnsi="Times New Roman" w:cs="Times New Roman"/>
          <w:b/>
          <w:bCs/>
          <w:kern w:val="0"/>
          <w14:ligatures w14:val="none"/>
        </w:rPr>
        <w:t>0</w:t>
      </w:r>
      <w:r w:rsidRPr="004E6FAE">
        <w:rPr>
          <w:rFonts w:ascii="Times New Roman" w:eastAsia="Times New Roman" w:hAnsi="Times New Roman" w:cs="Times New Roman"/>
          <w:b/>
          <w:bCs/>
          <w:kern w:val="0"/>
          <w14:ligatures w14:val="none"/>
        </w:rPr>
        <w:t xml:space="preserve">. </w:t>
      </w:r>
      <w:r w:rsidR="00CE2E3B" w:rsidRPr="004E6FAE">
        <w:rPr>
          <w:rFonts w:ascii="Times New Roman" w:eastAsia="Times New Roman" w:hAnsi="Times New Roman" w:cs="Times New Roman"/>
          <w:b/>
          <w:bCs/>
          <w:kern w:val="0"/>
          <w14:ligatures w14:val="none"/>
        </w:rPr>
        <w:t xml:space="preserve">Comparative Evaluation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f Methods</w:t>
      </w:r>
    </w:p>
    <w:p w14:paraId="2A28633E" w14:textId="4F50D9EC"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Recharge estimation methods vary in </w:t>
      </w:r>
      <w:r w:rsidR="003D24DC">
        <w:rPr>
          <w:rFonts w:ascii="Times New Roman" w:eastAsia="Times New Roman" w:hAnsi="Times New Roman" w:cs="Times New Roman"/>
          <w:kern w:val="0"/>
          <w14:ligatures w14:val="none"/>
        </w:rPr>
        <w:t>terms of precision, cost, spatial scale, and data requirements</w:t>
      </w:r>
      <w:r w:rsidRPr="004E6FAE">
        <w:rPr>
          <w:rFonts w:ascii="Times New Roman" w:eastAsia="Times New Roman" w:hAnsi="Times New Roman" w:cs="Times New Roman"/>
          <w:kern w:val="0"/>
          <w14:ligatures w14:val="none"/>
        </w:rPr>
        <w:t xml:space="preserve">. </w:t>
      </w:r>
      <w:r w:rsidR="00161B56">
        <w:rPr>
          <w:rFonts w:ascii="Times New Roman" w:eastAsia="Times New Roman" w:hAnsi="Times New Roman" w:cs="Times New Roman"/>
          <w:kern w:val="0"/>
          <w14:ligatures w14:val="none"/>
        </w:rPr>
        <w:t>Tables</w:t>
      </w:r>
      <w:r w:rsidRPr="004E6FAE">
        <w:rPr>
          <w:rFonts w:ascii="Times New Roman" w:eastAsia="Times New Roman" w:hAnsi="Times New Roman" w:cs="Times New Roman"/>
          <w:kern w:val="0"/>
          <w14:ligatures w14:val="none"/>
        </w:rPr>
        <w:t xml:space="preserve"> </w:t>
      </w:r>
      <w:r w:rsidR="00161B56">
        <w:rPr>
          <w:rFonts w:ascii="Times New Roman" w:eastAsia="Times New Roman" w:hAnsi="Times New Roman" w:cs="Times New Roman"/>
          <w:kern w:val="0"/>
          <w14:ligatures w14:val="none"/>
        </w:rPr>
        <w:t xml:space="preserve">1 and </w:t>
      </w:r>
      <w:r w:rsidR="003C07C1">
        <w:rPr>
          <w:rFonts w:ascii="Times New Roman" w:eastAsia="Times New Roman" w:hAnsi="Times New Roman" w:cs="Times New Roman"/>
          <w:kern w:val="0"/>
          <w14:ligatures w14:val="none"/>
        </w:rPr>
        <w:t xml:space="preserve">2 </w:t>
      </w:r>
      <w:r w:rsidR="003C07C1" w:rsidRPr="004E6FAE">
        <w:rPr>
          <w:rFonts w:ascii="Times New Roman" w:eastAsia="Times New Roman" w:hAnsi="Times New Roman" w:cs="Times New Roman"/>
          <w:kern w:val="0"/>
          <w14:ligatures w14:val="none"/>
        </w:rPr>
        <w:t>summarizes</w:t>
      </w:r>
      <w:r w:rsidRPr="004E6FAE">
        <w:rPr>
          <w:rFonts w:ascii="Times New Roman" w:eastAsia="Times New Roman" w:hAnsi="Times New Roman" w:cs="Times New Roman"/>
          <w:kern w:val="0"/>
          <w14:ligatures w14:val="none"/>
        </w:rPr>
        <w:t xml:space="preserve"> the comparative advantages and limitations of methods commonly used in Cameroon.</w:t>
      </w:r>
    </w:p>
    <w:p w14:paraId="148B15AC" w14:textId="58135269" w:rsidR="004E6FAE" w:rsidRDefault="004E6FAE" w:rsidP="00B051C8">
      <w:pPr>
        <w:spacing w:before="100" w:beforeAutospacing="1" w:after="100" w:afterAutospacing="1" w:line="276"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Table </w:t>
      </w:r>
      <w:r w:rsidR="00161B56">
        <w:rPr>
          <w:rFonts w:ascii="Times New Roman" w:eastAsia="Times New Roman" w:hAnsi="Times New Roman" w:cs="Times New Roman"/>
          <w:b/>
          <w:bCs/>
          <w:kern w:val="0"/>
          <w14:ligatures w14:val="none"/>
        </w:rPr>
        <w:t>1</w:t>
      </w:r>
      <w:r w:rsidRPr="004E6FAE">
        <w:rPr>
          <w:rFonts w:ascii="Times New Roman" w:eastAsia="Times New Roman" w:hAnsi="Times New Roman" w:cs="Times New Roman"/>
          <w:b/>
          <w:bCs/>
          <w:kern w:val="0"/>
          <w14:ligatures w14:val="none"/>
        </w:rPr>
        <w:t>. Comparative Summary of Groundwater Recharge Estimation Methods in Cameroon</w:t>
      </w:r>
    </w:p>
    <w:tbl>
      <w:tblPr>
        <w:tblStyle w:val="TableGrid1"/>
        <w:tblW w:w="0" w:type="auto"/>
        <w:tblLook w:val="04A0" w:firstRow="1" w:lastRow="0" w:firstColumn="1" w:lastColumn="0" w:noHBand="0" w:noVBand="1"/>
      </w:tblPr>
      <w:tblGrid>
        <w:gridCol w:w="1475"/>
        <w:gridCol w:w="1355"/>
        <w:gridCol w:w="1905"/>
        <w:gridCol w:w="1450"/>
        <w:gridCol w:w="1579"/>
        <w:gridCol w:w="1586"/>
      </w:tblGrid>
      <w:tr w:rsidR="00B051C8" w:rsidRPr="002B6EF9" w14:paraId="2E894B3F" w14:textId="77777777" w:rsidTr="00340067">
        <w:tc>
          <w:tcPr>
            <w:tcW w:w="1440" w:type="dxa"/>
          </w:tcPr>
          <w:p w14:paraId="3BBD8155"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Method</w:t>
            </w:r>
          </w:p>
        </w:tc>
        <w:tc>
          <w:tcPr>
            <w:tcW w:w="1440" w:type="dxa"/>
          </w:tcPr>
          <w:p w14:paraId="7017701E"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Precision</w:t>
            </w:r>
          </w:p>
        </w:tc>
        <w:tc>
          <w:tcPr>
            <w:tcW w:w="1440" w:type="dxa"/>
          </w:tcPr>
          <w:p w14:paraId="4E3531B9"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Scale</w:t>
            </w:r>
          </w:p>
        </w:tc>
        <w:tc>
          <w:tcPr>
            <w:tcW w:w="1440" w:type="dxa"/>
          </w:tcPr>
          <w:p w14:paraId="69C165BD"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Data Needs</w:t>
            </w:r>
          </w:p>
        </w:tc>
        <w:tc>
          <w:tcPr>
            <w:tcW w:w="1440" w:type="dxa"/>
          </w:tcPr>
          <w:p w14:paraId="3B68F434"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Key Advantages</w:t>
            </w:r>
          </w:p>
        </w:tc>
        <w:tc>
          <w:tcPr>
            <w:tcW w:w="1440" w:type="dxa"/>
          </w:tcPr>
          <w:p w14:paraId="446D41FC"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Limitations</w:t>
            </w:r>
          </w:p>
        </w:tc>
      </w:tr>
      <w:tr w:rsidR="00B051C8" w:rsidRPr="002B6EF9" w14:paraId="09806019" w14:textId="77777777" w:rsidTr="00340067">
        <w:tc>
          <w:tcPr>
            <w:tcW w:w="1440" w:type="dxa"/>
          </w:tcPr>
          <w:p w14:paraId="64187C8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Lysimeters</w:t>
            </w:r>
          </w:p>
        </w:tc>
        <w:tc>
          <w:tcPr>
            <w:tcW w:w="1440" w:type="dxa"/>
          </w:tcPr>
          <w:p w14:paraId="1A6E8D0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1E24352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Plot-scale</w:t>
            </w:r>
          </w:p>
        </w:tc>
        <w:tc>
          <w:tcPr>
            <w:tcW w:w="1440" w:type="dxa"/>
          </w:tcPr>
          <w:p w14:paraId="6E18188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Soil, water</w:t>
            </w:r>
          </w:p>
        </w:tc>
        <w:tc>
          <w:tcPr>
            <w:tcW w:w="1440" w:type="dxa"/>
          </w:tcPr>
          <w:p w14:paraId="2D72849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Direct measurement</w:t>
            </w:r>
          </w:p>
        </w:tc>
        <w:tc>
          <w:tcPr>
            <w:tcW w:w="1440" w:type="dxa"/>
          </w:tcPr>
          <w:p w14:paraId="1D560EB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Costly, small-scale</w:t>
            </w:r>
          </w:p>
        </w:tc>
      </w:tr>
      <w:tr w:rsidR="00B051C8" w:rsidRPr="002B6EF9" w14:paraId="472AF288" w14:textId="77777777" w:rsidTr="00340067">
        <w:tc>
          <w:tcPr>
            <w:tcW w:w="1440" w:type="dxa"/>
          </w:tcPr>
          <w:p w14:paraId="1CF3671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 Balance</w:t>
            </w:r>
          </w:p>
        </w:tc>
        <w:tc>
          <w:tcPr>
            <w:tcW w:w="1440" w:type="dxa"/>
          </w:tcPr>
          <w:p w14:paraId="40C6A63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Medium</w:t>
            </w:r>
          </w:p>
        </w:tc>
        <w:tc>
          <w:tcPr>
            <w:tcW w:w="1440" w:type="dxa"/>
          </w:tcPr>
          <w:p w14:paraId="1FE2483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Watershed</w:t>
            </w:r>
          </w:p>
        </w:tc>
        <w:tc>
          <w:tcPr>
            <w:tcW w:w="1440" w:type="dxa"/>
          </w:tcPr>
          <w:p w14:paraId="46F867F3"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Climate, soil</w:t>
            </w:r>
          </w:p>
        </w:tc>
        <w:tc>
          <w:tcPr>
            <w:tcW w:w="1440" w:type="dxa"/>
          </w:tcPr>
          <w:p w14:paraId="42B8C18D"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Low cost, regional applicability</w:t>
            </w:r>
          </w:p>
        </w:tc>
        <w:tc>
          <w:tcPr>
            <w:tcW w:w="1440" w:type="dxa"/>
          </w:tcPr>
          <w:p w14:paraId="44E603C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Sensitive to input data errors</w:t>
            </w:r>
          </w:p>
        </w:tc>
      </w:tr>
      <w:tr w:rsidR="00B051C8" w:rsidRPr="002B6EF9" w14:paraId="588C8D2A" w14:textId="77777777" w:rsidTr="00340067">
        <w:tc>
          <w:tcPr>
            <w:tcW w:w="1440" w:type="dxa"/>
          </w:tcPr>
          <w:p w14:paraId="55A72911"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 xml:space="preserve">Groundwater Table </w:t>
            </w:r>
            <w:r w:rsidRPr="002B6EF9">
              <w:rPr>
                <w:rFonts w:ascii="Cambria" w:hAnsi="Cambria" w:cs="Times New Roman"/>
              </w:rPr>
              <w:lastRenderedPageBreak/>
              <w:t>Fluctuation (GTF)</w:t>
            </w:r>
          </w:p>
        </w:tc>
        <w:tc>
          <w:tcPr>
            <w:tcW w:w="1440" w:type="dxa"/>
          </w:tcPr>
          <w:p w14:paraId="08DF4CF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lastRenderedPageBreak/>
              <w:t>Medium</w:t>
            </w:r>
          </w:p>
        </w:tc>
        <w:tc>
          <w:tcPr>
            <w:tcW w:w="1440" w:type="dxa"/>
          </w:tcPr>
          <w:p w14:paraId="799866C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Local/Unconfined</w:t>
            </w:r>
          </w:p>
        </w:tc>
        <w:tc>
          <w:tcPr>
            <w:tcW w:w="1440" w:type="dxa"/>
          </w:tcPr>
          <w:p w14:paraId="66AB282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 levels</w:t>
            </w:r>
          </w:p>
        </w:tc>
        <w:tc>
          <w:tcPr>
            <w:tcW w:w="1440" w:type="dxa"/>
          </w:tcPr>
          <w:p w14:paraId="4F30F80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Simple, field-based</w:t>
            </w:r>
          </w:p>
        </w:tc>
        <w:tc>
          <w:tcPr>
            <w:tcW w:w="1440" w:type="dxa"/>
          </w:tcPr>
          <w:p w14:paraId="24A7E86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Requires specific yield calibration</w:t>
            </w:r>
          </w:p>
        </w:tc>
      </w:tr>
      <w:tr w:rsidR="00B051C8" w:rsidRPr="002B6EF9" w14:paraId="26136D4C" w14:textId="77777777" w:rsidTr="00340067">
        <w:tc>
          <w:tcPr>
            <w:tcW w:w="1440" w:type="dxa"/>
          </w:tcPr>
          <w:p w14:paraId="23106FD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Stable Isotopes</w:t>
            </w:r>
          </w:p>
        </w:tc>
        <w:tc>
          <w:tcPr>
            <w:tcW w:w="1440" w:type="dxa"/>
          </w:tcPr>
          <w:p w14:paraId="489FF81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3BFDEB9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All scales</w:t>
            </w:r>
          </w:p>
        </w:tc>
        <w:tc>
          <w:tcPr>
            <w:tcW w:w="1440" w:type="dxa"/>
          </w:tcPr>
          <w:p w14:paraId="1743DA2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Lab &amp; rainfall</w:t>
            </w:r>
          </w:p>
        </w:tc>
        <w:tc>
          <w:tcPr>
            <w:tcW w:w="1440" w:type="dxa"/>
          </w:tcPr>
          <w:p w14:paraId="2114929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Source differentiation</w:t>
            </w:r>
          </w:p>
        </w:tc>
        <w:tc>
          <w:tcPr>
            <w:tcW w:w="1440" w:type="dxa"/>
          </w:tcPr>
          <w:p w14:paraId="2D475EF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Costly and technically intensive</w:t>
            </w:r>
          </w:p>
        </w:tc>
      </w:tr>
      <w:tr w:rsidR="00B051C8" w:rsidRPr="002B6EF9" w14:paraId="39FFA0E2" w14:textId="77777777" w:rsidTr="00340067">
        <w:tc>
          <w:tcPr>
            <w:tcW w:w="1440" w:type="dxa"/>
          </w:tcPr>
          <w:p w14:paraId="5254B33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Chloride Mass Balance (CMB)</w:t>
            </w:r>
          </w:p>
        </w:tc>
        <w:tc>
          <w:tcPr>
            <w:tcW w:w="1440" w:type="dxa"/>
          </w:tcPr>
          <w:p w14:paraId="166CC83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Medium</w:t>
            </w:r>
          </w:p>
        </w:tc>
        <w:tc>
          <w:tcPr>
            <w:tcW w:w="1440" w:type="dxa"/>
          </w:tcPr>
          <w:p w14:paraId="664A6B8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Arid zones</w:t>
            </w:r>
          </w:p>
        </w:tc>
        <w:tc>
          <w:tcPr>
            <w:tcW w:w="1440" w:type="dxa"/>
          </w:tcPr>
          <w:p w14:paraId="500D048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Rain &amp; groundwater Cl⁻</w:t>
            </w:r>
          </w:p>
        </w:tc>
        <w:tc>
          <w:tcPr>
            <w:tcW w:w="1440" w:type="dxa"/>
          </w:tcPr>
          <w:p w14:paraId="1E74402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Effective in dry areas</w:t>
            </w:r>
          </w:p>
        </w:tc>
        <w:tc>
          <w:tcPr>
            <w:tcW w:w="1440" w:type="dxa"/>
          </w:tcPr>
          <w:p w14:paraId="6CCE1B71"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Sensitive to anthropogenic Cl⁻</w:t>
            </w:r>
          </w:p>
        </w:tc>
      </w:tr>
      <w:tr w:rsidR="00B051C8" w:rsidRPr="002B6EF9" w14:paraId="1FA74656" w14:textId="77777777" w:rsidTr="00340067">
        <w:tc>
          <w:tcPr>
            <w:tcW w:w="1440" w:type="dxa"/>
          </w:tcPr>
          <w:p w14:paraId="1ECBC80F"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Drip Tests (Karst)</w:t>
            </w:r>
          </w:p>
        </w:tc>
        <w:tc>
          <w:tcPr>
            <w:tcW w:w="1440" w:type="dxa"/>
          </w:tcPr>
          <w:p w14:paraId="0AC6A5A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01CD5548"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Point/karst</w:t>
            </w:r>
          </w:p>
        </w:tc>
        <w:tc>
          <w:tcPr>
            <w:tcW w:w="1440" w:type="dxa"/>
          </w:tcPr>
          <w:p w14:paraId="3D4D505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Tracers, sensors</w:t>
            </w:r>
          </w:p>
        </w:tc>
        <w:tc>
          <w:tcPr>
            <w:tcW w:w="1440" w:type="dxa"/>
          </w:tcPr>
          <w:p w14:paraId="5A0F373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Identifies rapid recharge zones</w:t>
            </w:r>
          </w:p>
        </w:tc>
        <w:tc>
          <w:tcPr>
            <w:tcW w:w="1440" w:type="dxa"/>
          </w:tcPr>
          <w:p w14:paraId="14C689F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Localized; safety protocols needed</w:t>
            </w:r>
          </w:p>
        </w:tc>
      </w:tr>
      <w:tr w:rsidR="00B051C8" w:rsidRPr="002B6EF9" w14:paraId="75BCBBC7" w14:textId="77777777" w:rsidTr="00340067">
        <w:tc>
          <w:tcPr>
            <w:tcW w:w="1440" w:type="dxa"/>
          </w:tcPr>
          <w:p w14:paraId="6F420BE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Unsaturated Zone Modelling</w:t>
            </w:r>
          </w:p>
        </w:tc>
        <w:tc>
          <w:tcPr>
            <w:tcW w:w="1440" w:type="dxa"/>
          </w:tcPr>
          <w:p w14:paraId="53CFCC1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65D5CEF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Site to basin</w:t>
            </w:r>
          </w:p>
        </w:tc>
        <w:tc>
          <w:tcPr>
            <w:tcW w:w="1440" w:type="dxa"/>
          </w:tcPr>
          <w:p w14:paraId="5672E66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Soil, climate</w:t>
            </w:r>
          </w:p>
        </w:tc>
        <w:tc>
          <w:tcPr>
            <w:tcW w:w="1440" w:type="dxa"/>
          </w:tcPr>
          <w:p w14:paraId="10FDC82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Predictive under scenarios</w:t>
            </w:r>
          </w:p>
        </w:tc>
        <w:tc>
          <w:tcPr>
            <w:tcW w:w="1440" w:type="dxa"/>
          </w:tcPr>
          <w:p w14:paraId="72F32AC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Data-intensive, needs calibration</w:t>
            </w:r>
          </w:p>
        </w:tc>
      </w:tr>
    </w:tbl>
    <w:p w14:paraId="22AA382C" w14:textId="77777777" w:rsidR="00B051C8" w:rsidRDefault="00B051C8"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p>
    <w:p w14:paraId="36CB35A3" w14:textId="06DE8BEA" w:rsid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Table </w:t>
      </w:r>
      <w:r w:rsidR="00161B56">
        <w:rPr>
          <w:rFonts w:ascii="Times New Roman" w:eastAsia="Times New Roman" w:hAnsi="Times New Roman" w:cs="Times New Roman"/>
          <w:b/>
          <w:bCs/>
          <w:kern w:val="0"/>
          <w14:ligatures w14:val="none"/>
        </w:rPr>
        <w:t>2</w:t>
      </w:r>
      <w:r w:rsidRPr="004E6FAE">
        <w:rPr>
          <w:rFonts w:ascii="Times New Roman" w:eastAsia="Times New Roman" w:hAnsi="Times New Roman" w:cs="Times New Roman"/>
          <w:b/>
          <w:bCs/>
          <w:kern w:val="0"/>
          <w14:ligatures w14:val="none"/>
        </w:rPr>
        <w:t>. Summary of Recharge Estimates from Selected Regions in Cameroon</w:t>
      </w:r>
    </w:p>
    <w:tbl>
      <w:tblPr>
        <w:tblStyle w:val="TableGrid2"/>
        <w:tblW w:w="0" w:type="auto"/>
        <w:tblInd w:w="-113" w:type="dxa"/>
        <w:tblLook w:val="04A0" w:firstRow="1" w:lastRow="0" w:firstColumn="1" w:lastColumn="0" w:noHBand="0" w:noVBand="1"/>
      </w:tblPr>
      <w:tblGrid>
        <w:gridCol w:w="1414"/>
        <w:gridCol w:w="1362"/>
        <w:gridCol w:w="1857"/>
        <w:gridCol w:w="1417"/>
        <w:gridCol w:w="1406"/>
        <w:gridCol w:w="1400"/>
      </w:tblGrid>
      <w:tr w:rsidR="00B051C8" w14:paraId="0EB73BF8" w14:textId="77777777" w:rsidTr="00B051C8">
        <w:tc>
          <w:tcPr>
            <w:tcW w:w="1414" w:type="dxa"/>
          </w:tcPr>
          <w:p w14:paraId="18EEA944" w14:textId="77777777" w:rsidR="00B051C8" w:rsidRPr="00B051C8" w:rsidRDefault="00B051C8" w:rsidP="00340067">
            <w:pPr>
              <w:rPr>
                <w:b/>
                <w:bCs/>
              </w:rPr>
            </w:pPr>
            <w:r w:rsidRPr="00B051C8">
              <w:rPr>
                <w:b/>
                <w:bCs/>
              </w:rPr>
              <w:t>Region</w:t>
            </w:r>
          </w:p>
        </w:tc>
        <w:tc>
          <w:tcPr>
            <w:tcW w:w="1362" w:type="dxa"/>
          </w:tcPr>
          <w:p w14:paraId="16E05731" w14:textId="77777777" w:rsidR="00B051C8" w:rsidRPr="00B051C8" w:rsidRDefault="00B051C8" w:rsidP="00340067">
            <w:pPr>
              <w:rPr>
                <w:b/>
                <w:bCs/>
              </w:rPr>
            </w:pPr>
            <w:r w:rsidRPr="00B051C8">
              <w:rPr>
                <w:b/>
                <w:bCs/>
              </w:rPr>
              <w:t>Mean Annual Rainfall (mm)</w:t>
            </w:r>
          </w:p>
        </w:tc>
        <w:tc>
          <w:tcPr>
            <w:tcW w:w="1857" w:type="dxa"/>
          </w:tcPr>
          <w:p w14:paraId="377DC333" w14:textId="77777777" w:rsidR="00B051C8" w:rsidRPr="00B051C8" w:rsidRDefault="00B051C8" w:rsidP="00340067">
            <w:pPr>
              <w:rPr>
                <w:b/>
                <w:bCs/>
              </w:rPr>
            </w:pPr>
            <w:r w:rsidRPr="00B051C8">
              <w:rPr>
                <w:b/>
                <w:bCs/>
              </w:rPr>
              <w:t>Method Used</w:t>
            </w:r>
          </w:p>
        </w:tc>
        <w:tc>
          <w:tcPr>
            <w:tcW w:w="1417" w:type="dxa"/>
          </w:tcPr>
          <w:p w14:paraId="6EB6518B" w14:textId="77777777" w:rsidR="00B051C8" w:rsidRPr="00B051C8" w:rsidRDefault="00B051C8" w:rsidP="00340067">
            <w:pPr>
              <w:rPr>
                <w:b/>
                <w:bCs/>
              </w:rPr>
            </w:pPr>
            <w:r w:rsidRPr="00B051C8">
              <w:rPr>
                <w:b/>
                <w:bCs/>
              </w:rPr>
              <w:t>Recharge Estimate (mm/year)</w:t>
            </w:r>
          </w:p>
        </w:tc>
        <w:tc>
          <w:tcPr>
            <w:tcW w:w="1406" w:type="dxa"/>
          </w:tcPr>
          <w:p w14:paraId="63632F6A" w14:textId="77777777" w:rsidR="00B051C8" w:rsidRPr="00B051C8" w:rsidRDefault="00B051C8" w:rsidP="00340067">
            <w:pPr>
              <w:rPr>
                <w:b/>
                <w:bCs/>
              </w:rPr>
            </w:pPr>
            <w:r w:rsidRPr="00B051C8">
              <w:rPr>
                <w:b/>
                <w:bCs/>
              </w:rPr>
              <w:t>Recharge Coefficient (%)</w:t>
            </w:r>
          </w:p>
        </w:tc>
        <w:tc>
          <w:tcPr>
            <w:tcW w:w="1400" w:type="dxa"/>
          </w:tcPr>
          <w:p w14:paraId="6F1EE154" w14:textId="77777777" w:rsidR="00B051C8" w:rsidRPr="00B051C8" w:rsidRDefault="00B051C8" w:rsidP="00340067">
            <w:pPr>
              <w:rPr>
                <w:b/>
                <w:bCs/>
              </w:rPr>
            </w:pPr>
            <w:r w:rsidRPr="00B051C8">
              <w:rPr>
                <w:b/>
                <w:bCs/>
              </w:rPr>
              <w:t>Source</w:t>
            </w:r>
          </w:p>
        </w:tc>
      </w:tr>
      <w:tr w:rsidR="00B051C8" w14:paraId="7990332E" w14:textId="77777777" w:rsidTr="00B051C8">
        <w:tc>
          <w:tcPr>
            <w:tcW w:w="1414" w:type="dxa"/>
          </w:tcPr>
          <w:p w14:paraId="268454AA" w14:textId="77777777" w:rsidR="00B051C8" w:rsidRDefault="00B051C8" w:rsidP="00340067">
            <w:r>
              <w:t>Centre Region (Yaoundé)</w:t>
            </w:r>
          </w:p>
        </w:tc>
        <w:tc>
          <w:tcPr>
            <w:tcW w:w="1362" w:type="dxa"/>
          </w:tcPr>
          <w:p w14:paraId="3DB0C0BF" w14:textId="77777777" w:rsidR="00B051C8" w:rsidRDefault="00B051C8" w:rsidP="00340067">
            <w:r>
              <w:t>1,600</w:t>
            </w:r>
          </w:p>
        </w:tc>
        <w:tc>
          <w:tcPr>
            <w:tcW w:w="1857" w:type="dxa"/>
          </w:tcPr>
          <w:p w14:paraId="40DF21B3" w14:textId="77777777" w:rsidR="00B051C8" w:rsidRDefault="00B051C8" w:rsidP="00340067">
            <w:r>
              <w:t>Lysimeter/Model (HYDRUS)</w:t>
            </w:r>
          </w:p>
        </w:tc>
        <w:tc>
          <w:tcPr>
            <w:tcW w:w="1417" w:type="dxa"/>
          </w:tcPr>
          <w:p w14:paraId="4B1CA05A" w14:textId="77777777" w:rsidR="00B051C8" w:rsidRDefault="00B051C8" w:rsidP="00340067">
            <w:r>
              <w:t>145 (forest), 60 (cropland)</w:t>
            </w:r>
          </w:p>
        </w:tc>
        <w:tc>
          <w:tcPr>
            <w:tcW w:w="1406" w:type="dxa"/>
          </w:tcPr>
          <w:p w14:paraId="24406BBF" w14:textId="77777777" w:rsidR="00B051C8" w:rsidRDefault="00B051C8" w:rsidP="00340067">
            <w:r>
              <w:t>9%–15%</w:t>
            </w:r>
          </w:p>
        </w:tc>
        <w:tc>
          <w:tcPr>
            <w:tcW w:w="1400" w:type="dxa"/>
          </w:tcPr>
          <w:p w14:paraId="56724A10" w14:textId="77777777" w:rsidR="00B051C8" w:rsidRDefault="00B051C8" w:rsidP="00340067">
            <w:r>
              <w:t>Fouepe et al. (2022)</w:t>
            </w:r>
          </w:p>
        </w:tc>
      </w:tr>
      <w:tr w:rsidR="00B051C8" w14:paraId="7BF9891C" w14:textId="77777777" w:rsidTr="00B051C8">
        <w:tc>
          <w:tcPr>
            <w:tcW w:w="1414" w:type="dxa"/>
          </w:tcPr>
          <w:p w14:paraId="2C087714" w14:textId="77777777" w:rsidR="00B051C8" w:rsidRDefault="00B051C8" w:rsidP="00340067">
            <w:r>
              <w:t>Far North (Maroua)</w:t>
            </w:r>
          </w:p>
        </w:tc>
        <w:tc>
          <w:tcPr>
            <w:tcW w:w="1362" w:type="dxa"/>
          </w:tcPr>
          <w:p w14:paraId="5BCD0E69" w14:textId="77777777" w:rsidR="00B051C8" w:rsidRDefault="00B051C8" w:rsidP="00340067">
            <w:r>
              <w:t>800</w:t>
            </w:r>
          </w:p>
        </w:tc>
        <w:tc>
          <w:tcPr>
            <w:tcW w:w="1857" w:type="dxa"/>
          </w:tcPr>
          <w:p w14:paraId="64AEAB4F" w14:textId="77777777" w:rsidR="00B051C8" w:rsidRDefault="00B051C8" w:rsidP="00340067">
            <w:r>
              <w:t>GTF / CMB</w:t>
            </w:r>
          </w:p>
        </w:tc>
        <w:tc>
          <w:tcPr>
            <w:tcW w:w="1417" w:type="dxa"/>
          </w:tcPr>
          <w:p w14:paraId="1BEED563" w14:textId="77777777" w:rsidR="00B051C8" w:rsidRDefault="00B051C8" w:rsidP="00340067">
            <w:r>
              <w:t>20–30</w:t>
            </w:r>
          </w:p>
        </w:tc>
        <w:tc>
          <w:tcPr>
            <w:tcW w:w="1406" w:type="dxa"/>
          </w:tcPr>
          <w:p w14:paraId="347CE8B8" w14:textId="77777777" w:rsidR="00B051C8" w:rsidRDefault="00B051C8" w:rsidP="00340067">
            <w:r>
              <w:t>2%–4%</w:t>
            </w:r>
          </w:p>
        </w:tc>
        <w:tc>
          <w:tcPr>
            <w:tcW w:w="1400" w:type="dxa"/>
          </w:tcPr>
          <w:p w14:paraId="36F8A5B3" w14:textId="77777777" w:rsidR="00B051C8" w:rsidRDefault="00B051C8" w:rsidP="00340067">
            <w:r>
              <w:t>Gava et al. (2016)</w:t>
            </w:r>
          </w:p>
        </w:tc>
      </w:tr>
      <w:tr w:rsidR="00B051C8" w14:paraId="1A91E0D4" w14:textId="77777777" w:rsidTr="00B051C8">
        <w:tc>
          <w:tcPr>
            <w:tcW w:w="1414" w:type="dxa"/>
          </w:tcPr>
          <w:p w14:paraId="2F0DE325" w14:textId="77777777" w:rsidR="00B051C8" w:rsidRDefault="00B051C8" w:rsidP="00340067">
            <w:r>
              <w:t>Adamawa Plateau</w:t>
            </w:r>
          </w:p>
        </w:tc>
        <w:tc>
          <w:tcPr>
            <w:tcW w:w="1362" w:type="dxa"/>
          </w:tcPr>
          <w:p w14:paraId="42CFD28A" w14:textId="77777777" w:rsidR="00B051C8" w:rsidRDefault="00B051C8" w:rsidP="00340067">
            <w:r>
              <w:t>1,200</w:t>
            </w:r>
          </w:p>
        </w:tc>
        <w:tc>
          <w:tcPr>
            <w:tcW w:w="1857" w:type="dxa"/>
          </w:tcPr>
          <w:p w14:paraId="39CCD8A4" w14:textId="77777777" w:rsidR="00B051C8" w:rsidRDefault="00B051C8" w:rsidP="00340067">
            <w:r>
              <w:t>Isotopes / Water Balance</w:t>
            </w:r>
          </w:p>
        </w:tc>
        <w:tc>
          <w:tcPr>
            <w:tcW w:w="1417" w:type="dxa"/>
          </w:tcPr>
          <w:p w14:paraId="029FE39F" w14:textId="77777777" w:rsidR="00B051C8" w:rsidRDefault="00B051C8" w:rsidP="00340067">
            <w:r>
              <w:t>90–120</w:t>
            </w:r>
          </w:p>
        </w:tc>
        <w:tc>
          <w:tcPr>
            <w:tcW w:w="1406" w:type="dxa"/>
          </w:tcPr>
          <w:p w14:paraId="4AEC0EA5" w14:textId="77777777" w:rsidR="00B051C8" w:rsidRDefault="00B051C8" w:rsidP="00340067">
            <w:r>
              <w:t>7%–10%</w:t>
            </w:r>
          </w:p>
        </w:tc>
        <w:tc>
          <w:tcPr>
            <w:tcW w:w="1400" w:type="dxa"/>
          </w:tcPr>
          <w:p w14:paraId="5CFABF83" w14:textId="77777777" w:rsidR="00B051C8" w:rsidRDefault="00B051C8" w:rsidP="00340067">
            <w:r>
              <w:t>Tchatcho et al. (2018)</w:t>
            </w:r>
          </w:p>
        </w:tc>
      </w:tr>
      <w:tr w:rsidR="00B051C8" w14:paraId="4280FBF8" w14:textId="77777777" w:rsidTr="00B051C8">
        <w:tc>
          <w:tcPr>
            <w:tcW w:w="1414" w:type="dxa"/>
          </w:tcPr>
          <w:p w14:paraId="696AEF7E" w14:textId="77777777" w:rsidR="00B051C8" w:rsidRDefault="00B051C8" w:rsidP="00340067">
            <w:r>
              <w:t>West Region (Bamenda)</w:t>
            </w:r>
          </w:p>
        </w:tc>
        <w:tc>
          <w:tcPr>
            <w:tcW w:w="1362" w:type="dxa"/>
          </w:tcPr>
          <w:p w14:paraId="4672A3BE" w14:textId="77777777" w:rsidR="00B051C8" w:rsidRDefault="00B051C8" w:rsidP="00340067">
            <w:r>
              <w:t>1,800</w:t>
            </w:r>
          </w:p>
        </w:tc>
        <w:tc>
          <w:tcPr>
            <w:tcW w:w="1857" w:type="dxa"/>
          </w:tcPr>
          <w:p w14:paraId="37008A3D" w14:textId="77777777" w:rsidR="00B051C8" w:rsidRDefault="00B051C8" w:rsidP="00340067">
            <w:r>
              <w:t>Drip Tests in Karst</w:t>
            </w:r>
          </w:p>
        </w:tc>
        <w:tc>
          <w:tcPr>
            <w:tcW w:w="1417" w:type="dxa"/>
          </w:tcPr>
          <w:p w14:paraId="2AC41450" w14:textId="77777777" w:rsidR="00B051C8" w:rsidRDefault="00B051C8" w:rsidP="00340067">
            <w:r>
              <w:t>Qualitative, rapid recharge</w:t>
            </w:r>
          </w:p>
        </w:tc>
        <w:tc>
          <w:tcPr>
            <w:tcW w:w="1406" w:type="dxa"/>
          </w:tcPr>
          <w:p w14:paraId="3F4C05D9" w14:textId="77777777" w:rsidR="00B051C8" w:rsidRDefault="00B051C8" w:rsidP="00340067">
            <w:r>
              <w:t>N/A</w:t>
            </w:r>
          </w:p>
        </w:tc>
        <w:tc>
          <w:tcPr>
            <w:tcW w:w="1400" w:type="dxa"/>
          </w:tcPr>
          <w:p w14:paraId="628925EE" w14:textId="77777777" w:rsidR="00B051C8" w:rsidRDefault="00B051C8" w:rsidP="00340067">
            <w:r>
              <w:t>Local Geological Survey (2021)</w:t>
            </w:r>
          </w:p>
        </w:tc>
      </w:tr>
    </w:tbl>
    <w:p w14:paraId="3AEC5ADC" w14:textId="77777777" w:rsidR="00B051C8" w:rsidRPr="004E6FAE" w:rsidRDefault="00B051C8" w:rsidP="00B051C8">
      <w:pPr>
        <w:spacing w:before="100" w:beforeAutospacing="1" w:after="100" w:afterAutospacing="1" w:line="480" w:lineRule="auto"/>
        <w:ind w:left="720"/>
        <w:jc w:val="both"/>
        <w:rPr>
          <w:rFonts w:ascii="Times New Roman" w:eastAsia="Times New Roman" w:hAnsi="Times New Roman" w:cs="Times New Roman"/>
          <w:kern w:val="0"/>
          <w14:ligatures w14:val="none"/>
        </w:rPr>
      </w:pPr>
    </w:p>
    <w:p w14:paraId="08B5E76A" w14:textId="2827999F"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lastRenderedPageBreak/>
        <w:t>1</w:t>
      </w:r>
      <w:r w:rsidR="00C55BE0">
        <w:rPr>
          <w:rFonts w:ascii="Times New Roman" w:eastAsia="Times New Roman" w:hAnsi="Times New Roman" w:cs="Times New Roman"/>
          <w:b/>
          <w:bCs/>
          <w:kern w:val="0"/>
          <w14:ligatures w14:val="none"/>
        </w:rPr>
        <w:t>1</w:t>
      </w:r>
      <w:r w:rsidRPr="004E6FAE">
        <w:rPr>
          <w:rFonts w:ascii="Times New Roman" w:eastAsia="Times New Roman" w:hAnsi="Times New Roman" w:cs="Times New Roman"/>
          <w:b/>
          <w:bCs/>
          <w:kern w:val="0"/>
          <w14:ligatures w14:val="none"/>
        </w:rPr>
        <w:t xml:space="preserve">. </w:t>
      </w:r>
      <w:r w:rsidR="00CE2E3B" w:rsidRPr="004E6FAE">
        <w:rPr>
          <w:rFonts w:ascii="Times New Roman" w:eastAsia="Times New Roman" w:hAnsi="Times New Roman" w:cs="Times New Roman"/>
          <w:b/>
          <w:bCs/>
          <w:kern w:val="0"/>
          <w14:ligatures w14:val="none"/>
        </w:rPr>
        <w:t>Conclusion</w:t>
      </w:r>
    </w:p>
    <w:p w14:paraId="0607515D" w14:textId="77777777" w:rsidR="003B097F" w:rsidRDefault="004E6FAE" w:rsidP="003B097F">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Groundwater recharge estimation is foundational for sustainable groundwater management in Cameroon. This review has highlighted the strengths and limitations of key methods and contextualized their applications within Cameroonian hydrogeological zones. While lysimeters and isotopes offer precision, their cost limits use. Simpler methods like GTF and water balance are accessible but less accurate without calibration. The integration of multiple techniques tailored to local conditions is essential.</w:t>
      </w:r>
      <w:r w:rsidR="00D12233">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As climate variability and population pressures increase, proactive investment in recharge studies, infrastructure, and training will be crucial for preserving groundwater as a reliable resource. Groundwater policy must be informed by robust recharge estimates to ensure equitable, long-term access for all Cameroonians.</w:t>
      </w:r>
    </w:p>
    <w:p w14:paraId="041C442D" w14:textId="20015356" w:rsidR="001530E7" w:rsidRPr="004E6FAE" w:rsidRDefault="001530E7" w:rsidP="001530E7">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12. Research Gaps </w:t>
      </w:r>
    </w:p>
    <w:p w14:paraId="4B703230" w14:textId="77777777" w:rsidR="001530E7" w:rsidRPr="004E6FAE" w:rsidRDefault="001530E7" w:rsidP="001530E7">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Despite progress in applying recharge estimation methods in Cameroon, several gaps persist:</w:t>
      </w:r>
    </w:p>
    <w:p w14:paraId="2A42377C"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Data Scarcity: Continuous, high-resolution data on rainfall, soil moisture, and groundwater levels are lacking in many areas.</w:t>
      </w:r>
    </w:p>
    <w:p w14:paraId="495754AE"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Limited Multi-Method Approaches</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Most studies apply a single method; integrated methods yield more accurate and reliable results.</w:t>
      </w:r>
    </w:p>
    <w:p w14:paraId="36587FBD"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Urban Recharge Dynamics</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Few studies examine the effect of urbanization on recharge, despite rapid expansion in cities.</w:t>
      </w:r>
    </w:p>
    <w:p w14:paraId="7C29380B"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Climate Change Integration</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Modelling recharge under future climate scenarios remains underexplored.</w:t>
      </w:r>
    </w:p>
    <w:p w14:paraId="5457FBA6" w14:textId="77777777" w:rsidR="001530E7" w:rsidRPr="004E6FAE" w:rsidRDefault="001530E7" w:rsidP="001530E7">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Recommendations</w:t>
      </w:r>
      <w:r w:rsidRPr="004E6FAE">
        <w:rPr>
          <w:rFonts w:ascii="Times New Roman" w:eastAsia="Times New Roman" w:hAnsi="Times New Roman" w:cs="Times New Roman"/>
          <w:kern w:val="0"/>
          <w14:ligatures w14:val="none"/>
        </w:rPr>
        <w:t>:</w:t>
      </w:r>
    </w:p>
    <w:p w14:paraId="4E5E00AC"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Expand groundwater monitoring networks, especially in the North and urban centers.</w:t>
      </w:r>
    </w:p>
    <w:p w14:paraId="074C9982"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Promote interdisciplinary collaboration between hydrologists, geologists, and land-use planners.</w:t>
      </w:r>
    </w:p>
    <w:p w14:paraId="20A9CD98"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Invest in training and laboratory infrastructure for tracer techniques.</w:t>
      </w:r>
    </w:p>
    <w:p w14:paraId="2D4110FE" w14:textId="77777777" w:rsidR="001530E7"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Encourage the use of remote sensing for large-scale assessments and coupling with ground data.</w:t>
      </w:r>
    </w:p>
    <w:p w14:paraId="01250422" w14:textId="77777777" w:rsidR="001530E7" w:rsidRDefault="001530E7" w:rsidP="003B097F">
      <w:pPr>
        <w:spacing w:before="100" w:beforeAutospacing="1" w:after="100" w:afterAutospacing="1" w:line="480" w:lineRule="auto"/>
        <w:jc w:val="both"/>
        <w:rPr>
          <w:rFonts w:ascii="Times New Roman" w:eastAsia="Times New Roman" w:hAnsi="Times New Roman" w:cs="Times New Roman"/>
          <w:kern w:val="0"/>
          <w14:ligatures w14:val="none"/>
        </w:rPr>
      </w:pPr>
    </w:p>
    <w:p w14:paraId="7822A82B" w14:textId="77777777" w:rsidR="003B097F" w:rsidRPr="0073400D" w:rsidRDefault="003B097F" w:rsidP="003B097F">
      <w:pPr>
        <w:spacing w:after="0" w:line="480" w:lineRule="auto"/>
        <w:jc w:val="both"/>
        <w:outlineLvl w:val="2"/>
        <w:rPr>
          <w:rFonts w:ascii="Times New Roman" w:hAnsi="Times New Roman" w:cs="Times New Roman"/>
          <w:b/>
          <w:bCs/>
        </w:rPr>
      </w:pPr>
      <w:bookmarkStart w:id="1" w:name="_Hlk203678984"/>
      <w:r w:rsidRPr="0073400D">
        <w:rPr>
          <w:rFonts w:ascii="Times New Roman" w:hAnsi="Times New Roman" w:cs="Times New Roman"/>
          <w:b/>
          <w:bCs/>
        </w:rPr>
        <w:t>Clinical trial number</w:t>
      </w:r>
      <w:r>
        <w:rPr>
          <w:rFonts w:ascii="Times New Roman" w:hAnsi="Times New Roman" w:cs="Times New Roman"/>
          <w:b/>
          <w:bCs/>
        </w:rPr>
        <w:t xml:space="preserve">: </w:t>
      </w:r>
      <w:r w:rsidRPr="0073400D">
        <w:rPr>
          <w:rFonts w:ascii="Times New Roman" w:hAnsi="Times New Roman" w:cs="Times New Roman"/>
        </w:rPr>
        <w:t>Not applicable</w:t>
      </w:r>
    </w:p>
    <w:p w14:paraId="7F6F5894" w14:textId="77777777" w:rsidR="003B097F" w:rsidRPr="0073400D" w:rsidRDefault="003B097F" w:rsidP="003B097F">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Data availability</w:t>
      </w:r>
      <w:r>
        <w:rPr>
          <w:rFonts w:ascii="Times New Roman" w:hAnsi="Times New Roman" w:cs="Times New Roman"/>
          <w:b/>
          <w:bCs/>
        </w:rPr>
        <w:t xml:space="preserve">: </w:t>
      </w:r>
      <w:r w:rsidRPr="0073400D">
        <w:rPr>
          <w:rFonts w:ascii="Times New Roman" w:hAnsi="Times New Roman" w:cs="Times New Roman"/>
        </w:rPr>
        <w:t xml:space="preserve">Available at any time upon request </w:t>
      </w:r>
    </w:p>
    <w:bookmarkEnd w:id="1"/>
    <w:p w14:paraId="4743CBFF" w14:textId="77777777" w:rsidR="00766AEA" w:rsidRDefault="00766AEA" w:rsidP="007D7F2F">
      <w:pPr>
        <w:jc w:val="both"/>
        <w:outlineLvl w:val="0"/>
        <w:rPr>
          <w:rFonts w:ascii="Arial" w:hAnsi="Arial" w:cs="Arial"/>
          <w:b/>
          <w:bCs/>
        </w:rPr>
      </w:pPr>
    </w:p>
    <w:p w14:paraId="787A15FC" w14:textId="1C280B3C" w:rsidR="007D7F2F" w:rsidRPr="003A29C6" w:rsidRDefault="007D7F2F" w:rsidP="007D7F2F">
      <w:pPr>
        <w:jc w:val="both"/>
        <w:outlineLvl w:val="0"/>
        <w:rPr>
          <w:rFonts w:ascii="Arial" w:hAnsi="Arial" w:cs="Arial"/>
        </w:rPr>
      </w:pPr>
      <w:r w:rsidRPr="003A29C6">
        <w:rPr>
          <w:rFonts w:ascii="Arial" w:hAnsi="Arial" w:cs="Arial"/>
          <w:b/>
          <w:bCs/>
        </w:rPr>
        <w:t>COMPETING INTERESTS DISCLAIMER:</w:t>
      </w:r>
    </w:p>
    <w:p w14:paraId="108097F4" w14:textId="1D823F6D" w:rsidR="003B097F" w:rsidRPr="000F47F3" w:rsidRDefault="007D7F2F" w:rsidP="000F47F3">
      <w:r w:rsidRPr="00A10EDE">
        <w:t>Authors have declared that they have no known competing financial interests OR non-financial interests OR personal relationships that could have appeared to influence the work reported in this paper.</w:t>
      </w:r>
    </w:p>
    <w:p w14:paraId="665E87DF"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Disclaimer (Artificial intelligence)</w:t>
      </w:r>
    </w:p>
    <w:p w14:paraId="538F6C8C"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 xml:space="preserve">Option 1: </w:t>
      </w:r>
    </w:p>
    <w:p w14:paraId="40441E56"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104C9D2A"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 xml:space="preserve">Option 2: </w:t>
      </w:r>
    </w:p>
    <w:p w14:paraId="66361884"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576C00"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Details of the AI usage are given below:</w:t>
      </w:r>
    </w:p>
    <w:p w14:paraId="68D712FD"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1.</w:t>
      </w:r>
    </w:p>
    <w:p w14:paraId="1E006FB2"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lastRenderedPageBreak/>
        <w:t>2.</w:t>
      </w:r>
    </w:p>
    <w:p w14:paraId="74DF0482" w14:textId="1C275302" w:rsidR="00F20389" w:rsidRPr="002206F5" w:rsidRDefault="00F20389" w:rsidP="002206F5">
      <w:pPr>
        <w:spacing w:after="200" w:line="276" w:lineRule="auto"/>
        <w:rPr>
          <w:rFonts w:ascii="Calibri" w:eastAsia="Calibri" w:hAnsi="Calibri" w:cs="Times New Roman"/>
          <w:sz w:val="22"/>
          <w:szCs w:val="22"/>
        </w:rPr>
      </w:pPr>
      <w:r w:rsidRPr="00F20389">
        <w:rPr>
          <w:rFonts w:ascii="Calibri" w:eastAsia="Calibri" w:hAnsi="Calibri" w:cs="Times New Roman"/>
          <w:sz w:val="22"/>
          <w:szCs w:val="22"/>
          <w:highlight w:val="yellow"/>
        </w:rPr>
        <w:t>3.</w:t>
      </w:r>
      <w:r w:rsidRPr="00F20389">
        <w:rPr>
          <w:rFonts w:ascii="Calibri" w:eastAsia="Calibri" w:hAnsi="Calibri" w:cs="Times New Roman"/>
          <w:sz w:val="22"/>
          <w:szCs w:val="22"/>
        </w:rPr>
        <w:t xml:space="preserve"> </w:t>
      </w:r>
    </w:p>
    <w:p w14:paraId="1A5FD46F" w14:textId="59B2CA0E" w:rsidR="004E6FAE" w:rsidRPr="004E6FAE" w:rsidRDefault="00CE2E3B"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References </w:t>
      </w:r>
    </w:p>
    <w:p w14:paraId="6BF88D4D"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Abouelmagd, A., &amp; Ahmed, M. (2024). Groundwater in North Africa: Effects of climatic and anthropogenic pressures on groundwater availability. In The Geology of North Africa (pp. 305-321). Cham: Springer International Publishing.</w:t>
      </w:r>
    </w:p>
    <w:p w14:paraId="3951AEF2"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Agyingi, C. (2023). Hydrogeochemical characterization of ground and surface water in the Eastern part of the Adamawa-Yade Domain, Bertoua-Cameroon. Research Square (Research Square).</w:t>
      </w:r>
    </w:p>
    <w:p w14:paraId="0DB14A04"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Al Khoury, I. (2024). Modélisation spatialisée semi-conceptuelle des flux d'eaux surface-souterrain en milieu karstique.</w:t>
      </w:r>
    </w:p>
    <w:p w14:paraId="65713598"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Amami, R., Ibrahimi, K., Sher, F., Milham, P., Ghazouani, H., Chehaibi, S., ... &amp; Iqbal, H. M. (2021). Impacts of different tillage practices on soil water infiltration for sustainable agriculture. Sustainability, 13(6), 3155.</w:t>
      </w:r>
    </w:p>
    <w:p w14:paraId="4322069F"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Andualem, T. G., Demeke, G. G., Ahmed, I., Dar, M. A., &amp; Yibeltal, M. (2021). Groundwater recharge estimation using empirical methods from rainfall and streamflow records. Journal of Hydrology: Regional Studies, 37, 100917.</w:t>
      </w:r>
    </w:p>
    <w:p w14:paraId="0B64EC03"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Arnaud, L. (2020). Conceptual approaches, methods and models used to assess abstraction limits for unconfined aquifers in France. In Sustainable Groundwater Management: A Comparative Analysis of French and Australian Policies and Implications to Other Countries (pp. 211-227). Cham: Springer International Publishing.</w:t>
      </w:r>
    </w:p>
    <w:p w14:paraId="39BEF84C"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Biasutti, M. (2019). Rainfall trends in the African Sahel: Characteristics, processes, and causes. Wiley Interdisciplinary Reviews: Climate Change, 10(4), e591.</w:t>
      </w:r>
    </w:p>
    <w:p w14:paraId="6E4840D7"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Bircol, G. A. C., de Souza, M. P., Fontes, A. T., Chiarello, A. G., &amp; Ranieri, V. E. L. (2018). Planning by the rules: A fair chance for the environment in a land-use conflict area. Land Use Policy, 76, 103-112.</w:t>
      </w:r>
    </w:p>
    <w:p w14:paraId="64EC7203"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Chen, X. Y., Zhang, K., Chao, L. J., Liu, Z. Y., Du, Y. H., &amp; Xu, Q. (2021). Quantifying natural recharge characteristics of shallow aquifers in groundwater overexploitation zone of North China. Water Science and Engineering, 14(3), 184-192.</w:t>
      </w:r>
    </w:p>
    <w:p w14:paraId="5DDECB4F"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Davamani, V., John, J. E., Poornachandhra, C., Gopalakrishnan, B., Arulmani, S., Parameswari, E., ... &amp; Naidu, R. (2024). A critical review of climate change impacts on groundwater resources: a focus on the current status, future possibilities, and role of simulation models. Atmosphere, 15(1), 122.</w:t>
      </w:r>
    </w:p>
    <w:p w14:paraId="472A76F5"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Edmunds, W. M., &amp; Gaye, C. B. (1994). Estimating the spatial variability of groundwater recharge in the Sahel using chloride. </w:t>
      </w:r>
      <w:r w:rsidRPr="004E6FAE">
        <w:rPr>
          <w:rFonts w:ascii="Times New Roman" w:eastAsia="Times New Roman" w:hAnsi="Times New Roman" w:cs="Times New Roman"/>
          <w:i/>
          <w:iCs/>
          <w:kern w:val="0"/>
          <w14:ligatures w14:val="none"/>
        </w:rPr>
        <w:t>Journal of Hydrology, 156</w:t>
      </w:r>
      <w:r w:rsidRPr="004E6FAE">
        <w:rPr>
          <w:rFonts w:ascii="Times New Roman" w:eastAsia="Times New Roman" w:hAnsi="Times New Roman" w:cs="Times New Roman"/>
          <w:kern w:val="0"/>
          <w14:ligatures w14:val="none"/>
        </w:rPr>
        <w:t>(1–4), 47–59.</w:t>
      </w:r>
    </w:p>
    <w:p w14:paraId="43226600"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Fantong, W. Y., Jokam Nenkam, T. L., Nbendah, P., Kimbi, S. B., Fru, E. C., Kamtchueng, B. T., ... &amp; Kringel, R. (2020). Compositions and mobility of major, δ D, δ 18O, trace, and REEs patterns in water sources at Benue River Basin—Cameroon: implications for recharge mechanisms, geo-environmental controls, and public health. Environmental Geochemistry and Health, 42(9), 2975-3013.</w:t>
      </w:r>
    </w:p>
    <w:p w14:paraId="0E663D5F"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 xml:space="preserve">Fouepe, G., Takounjou, A. F., Kemka, N., &amp; Afouda, A. (2022). Modelling the impact of land use change on groundwater recharge in the Centre Region of Cameroon. </w:t>
      </w:r>
      <w:r w:rsidRPr="004E6FAE">
        <w:rPr>
          <w:rFonts w:ascii="Times New Roman" w:eastAsia="Times New Roman" w:hAnsi="Times New Roman" w:cs="Times New Roman"/>
          <w:i/>
          <w:iCs/>
          <w:kern w:val="0"/>
          <w14:ligatures w14:val="none"/>
        </w:rPr>
        <w:t>Hydrology Research, 53</w:t>
      </w:r>
      <w:r w:rsidRPr="004E6FAE">
        <w:rPr>
          <w:rFonts w:ascii="Times New Roman" w:eastAsia="Times New Roman" w:hAnsi="Times New Roman" w:cs="Times New Roman"/>
          <w:kern w:val="0"/>
          <w14:ligatures w14:val="none"/>
        </w:rPr>
        <w:t>(3), 312–328.</w:t>
      </w:r>
    </w:p>
    <w:p w14:paraId="034D2DE5" w14:textId="77777777" w:rsidR="00C55BE0" w:rsidRPr="004E6FAE"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Franks, A. G. (2022). Dye Tracing and the Effects of Infrastructure in Hidden River Cave, Horse Cave, KY.</w:t>
      </w:r>
    </w:p>
    <w:p w14:paraId="42E66F80"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Gava, S., Tchameni, R., &amp; Nguimeya, G. (2016). Estimating recharge in semi-arid northern Cameroon using water table fluctuations and chloride profiles. </w:t>
      </w:r>
      <w:r w:rsidRPr="004E6FAE">
        <w:rPr>
          <w:rFonts w:ascii="Times New Roman" w:eastAsia="Times New Roman" w:hAnsi="Times New Roman" w:cs="Times New Roman"/>
          <w:i/>
          <w:iCs/>
          <w:kern w:val="0"/>
          <w14:ligatures w14:val="none"/>
        </w:rPr>
        <w:t>Hydrological Sciences Journal, 61</w:t>
      </w:r>
      <w:r w:rsidRPr="004E6FAE">
        <w:rPr>
          <w:rFonts w:ascii="Times New Roman" w:eastAsia="Times New Roman" w:hAnsi="Times New Roman" w:cs="Times New Roman"/>
          <w:kern w:val="0"/>
          <w14:ligatures w14:val="none"/>
        </w:rPr>
        <w:t>(10), 1785–1797.</w:t>
      </w:r>
    </w:p>
    <w:p w14:paraId="1D505C05"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Getaneh, A., Minbiyew, T., &amp; Gashu, Y. (2024). Recharge Estimation of Andassa River Catchment, North-Western Ethiopia. Hydrology, 12(4), 77-84.</w:t>
      </w:r>
    </w:p>
    <w:p w14:paraId="2EE6E01E"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Goni, I. B., Taylor, R. G., Favreau, G., Shamsudduha, M., Nazoumou, Y., &amp; Ngounou Ngatcha, B. (2021). Groundwater recharge from heavy rainfall in the southwestern Lake Chad Basin: evidence from isotopic observations. Hydrological Sciences Journal, 66(8), 1359-1371.</w:t>
      </w:r>
    </w:p>
    <w:p w14:paraId="6A30B07E"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Healy, R. W., &amp; Cook, P. G. (2002). Using groundwater levels to estimate recharge. </w:t>
      </w:r>
      <w:r w:rsidRPr="004E6FAE">
        <w:rPr>
          <w:rFonts w:ascii="Times New Roman" w:eastAsia="Times New Roman" w:hAnsi="Times New Roman" w:cs="Times New Roman"/>
          <w:i/>
          <w:iCs/>
          <w:kern w:val="0"/>
          <w14:ligatures w14:val="none"/>
        </w:rPr>
        <w:t>Hydrogeology Journal, 10</w:t>
      </w:r>
      <w:r w:rsidRPr="004E6FAE">
        <w:rPr>
          <w:rFonts w:ascii="Times New Roman" w:eastAsia="Times New Roman" w:hAnsi="Times New Roman" w:cs="Times New Roman"/>
          <w:kern w:val="0"/>
          <w14:ligatures w14:val="none"/>
        </w:rPr>
        <w:t>(1), 91–109.</w:t>
      </w:r>
    </w:p>
    <w:p w14:paraId="68EFCA8E"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C55BE0">
        <w:rPr>
          <w:rFonts w:ascii="Times New Roman" w:eastAsia="Times New Roman" w:hAnsi="Times New Roman" w:cs="Times New Roman"/>
          <w:kern w:val="0"/>
          <w14:ligatures w14:val="none"/>
        </w:rPr>
        <w:t>Indraja, P., Kumar, H. V. H., Mani , A., Reddy, K. V. S. R., &amp; Rao, C. S. (2023). Estimation of Ground Water Recharge in the Command Area of Krishna Central Delta. International Journal of Environment and Climate Change, 13(12), 1317–1324. https://doi.org/10.9734/ijecc/2023/v13i123798</w:t>
      </w:r>
    </w:p>
    <w:p w14:paraId="523AA24B"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Jin, L., Whitehead, P. G., Bussi, G., Hirpa, F., Taye, M. T., Abebe, Y., &amp; Charles, K. (2021). Natural and anthropogenic sources of salinity in the Awash River and Lake Beseka (Ethiopia): Modelling impacts of climate change and lake-river interactions. Journal of Hydrology: Regional Studies, 36, 100865.</w:t>
      </w:r>
    </w:p>
    <w:p w14:paraId="2E7108FD"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Jobbágy, E. G., &amp; Jackson, R. B. (2004). Groundwater use and salinization with grassland afforestation. </w:t>
      </w:r>
      <w:r w:rsidRPr="004E6FAE">
        <w:rPr>
          <w:rFonts w:ascii="Times New Roman" w:eastAsia="Times New Roman" w:hAnsi="Times New Roman" w:cs="Times New Roman"/>
          <w:i/>
          <w:iCs/>
          <w:kern w:val="0"/>
          <w14:ligatures w14:val="none"/>
        </w:rPr>
        <w:t>Global Change Biology, 10</w:t>
      </w:r>
      <w:r w:rsidRPr="004E6FAE">
        <w:rPr>
          <w:rFonts w:ascii="Times New Roman" w:eastAsia="Times New Roman" w:hAnsi="Times New Roman" w:cs="Times New Roman"/>
          <w:kern w:val="0"/>
          <w14:ligatures w14:val="none"/>
        </w:rPr>
        <w:t>(8), 1299–1312.</w:t>
      </w:r>
    </w:p>
    <w:p w14:paraId="4172A169"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Kadam, A. K., Patil, S. N., Gaikwad, S. K., Wagh, V. M., Patil, B. D., &amp; Patil, N. S. (2023). Demarcation of subsurface water storage potential zone and identification of artificial recharge site in Vel River watershed of western India: integrated geospatial and hydrogeological modeling approach. Modeling Earth Systems and Environment, 9(3), 3263-3278.</w:t>
      </w:r>
    </w:p>
    <w:p w14:paraId="65A70844"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Kuang, X., Liu, J., Scanlon, B. R., Jiao, J. J., Jasechko, S., Lancia, M., ... &amp; Zheng, C. (2024). The changing nature of groundwater in the global water cycle. Science, 383(6686), eadf0630.</w:t>
      </w:r>
    </w:p>
    <w:p w14:paraId="53F511B6"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Kučera, A., Samec, P., Bajer, A., Skene, K. R., Vichta, T., Vranová, V., ... &amp; Datta, R. (2020). Forest soil water in landscape context. In Soil Moisture Importance. IntechOpen.</w:t>
      </w:r>
    </w:p>
    <w:p w14:paraId="7BB55A5D"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LCBC (Lake Chad Basin Commission). (2017). </w:t>
      </w:r>
      <w:r w:rsidRPr="004E6FAE">
        <w:rPr>
          <w:rFonts w:ascii="Times New Roman" w:eastAsia="Times New Roman" w:hAnsi="Times New Roman" w:cs="Times New Roman"/>
          <w:i/>
          <w:iCs/>
          <w:kern w:val="0"/>
          <w14:ligatures w14:val="none"/>
        </w:rPr>
        <w:t>Groundwater resources and recharge in the Lake Chad Basin</w:t>
      </w:r>
      <w:r w:rsidRPr="004E6FAE">
        <w:rPr>
          <w:rFonts w:ascii="Times New Roman" w:eastAsia="Times New Roman" w:hAnsi="Times New Roman" w:cs="Times New Roman"/>
          <w:kern w:val="0"/>
          <w14:ligatures w14:val="none"/>
        </w:rPr>
        <w:t>. Final Technical Report.</w:t>
      </w:r>
    </w:p>
    <w:p w14:paraId="7758AD86"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Lerner, D. N. (2020). Groundwater recharge. In Geochemical processes, weathering and groundwater recharge in catchments (pp. 109-150). CRC Press.</w:t>
      </w:r>
    </w:p>
    <w:p w14:paraId="2005E4BE"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Mba, F. F., Temgoua, E., Djousse Kanouo, B. M., Tontsa, L., Wowinwo, R. T., &amp; Kamhoua, C. N. (2023). Assessment of the sensitivity of water resources in the intertropical zone: a bibliographical study with perspectives. Water Supply, 23(5), 2062-2080.</w:t>
      </w:r>
    </w:p>
    <w:p w14:paraId="1D2518A1"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Minhas, P. S., &amp; Qadir, M. (2024). Genesis, Distribution and Hydrochemical Features of Saline Groundwater. In Irrigation Sustainability with Saline and Alkali Waters: Extent, Impacts and Management Guidelines (pp. 15-67). Singapore: Springer Nature Singapore.</w:t>
      </w:r>
    </w:p>
    <w:p w14:paraId="332E9688"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Ndjama, J., Lienou, G., &amp; Ngounou Ngatcha, B. (2021). Field lysimeter studies for groundwater recharge estimation under forest and cropland in Yaoundé, Cameroon. </w:t>
      </w:r>
      <w:r w:rsidRPr="004E6FAE">
        <w:rPr>
          <w:rFonts w:ascii="Times New Roman" w:eastAsia="Times New Roman" w:hAnsi="Times New Roman" w:cs="Times New Roman"/>
          <w:i/>
          <w:iCs/>
          <w:kern w:val="0"/>
          <w14:ligatures w14:val="none"/>
        </w:rPr>
        <w:t>Cameroon Journal of Earth Sciences, 5</w:t>
      </w:r>
      <w:r w:rsidRPr="004E6FAE">
        <w:rPr>
          <w:rFonts w:ascii="Times New Roman" w:eastAsia="Times New Roman" w:hAnsi="Times New Roman" w:cs="Times New Roman"/>
          <w:kern w:val="0"/>
          <w14:ligatures w14:val="none"/>
        </w:rPr>
        <w:t>(1), 51–65.</w:t>
      </w:r>
    </w:p>
    <w:p w14:paraId="5FC71F64"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Njikeu, O., Feumba, R., &amp; Ngatcha, B. N. (2025). Delineation of Recharge Zones for Sustainable Protection of Groundwater in Bidou I (South Cameroon). In Groundwater Frontiers-Techniques and Challenges. IntechOpen.</w:t>
      </w:r>
    </w:p>
    <w:p w14:paraId="750C1C03"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Nlend, B., Huneau, F., Ngo Boum-Nkot, S., Song, F., Komba, D., Gwodog, B., ... &amp; Fongoh, E. (2023). Review of isotope hydrology investigations on aquifers of Cameroon (Central Africa): What information for the sustainable management of groundwater resources?. Water, 15(23), 4056.</w:t>
      </w:r>
    </w:p>
    <w:p w14:paraId="6C9B9360"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Nlend, B., Huneau, F., Ngo Boum-Nkot, S., Song, F., Komba, D., Gwodog, B., ... &amp; Fongoh, E. (2023). Review of isotope hydrology investigations on aquifers of Cameroon (Central Africa): What information for the sustainable management of groundwater resources?. Water, 15(23), 4056.</w:t>
      </w:r>
    </w:p>
    <w:p w14:paraId="2771C67C"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Nourdi, N. F., Raphael, O., Achab, M., Loudi, Y., Rudant, J. P., Minette, T. E., ... &amp; Romaric, N. (2024). Integrated Assessment of Coastal Vulnerability in the Bonny Bay: A Combination of Traditional Methods (Simple and AHP) and Machine Learning Approach. Estuaries and Coasts, 47(8), 2670-2695.</w:t>
      </w:r>
    </w:p>
    <w:p w14:paraId="52D83938"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Nusrat, A., Gabriel, H. F., Haider, S., Ahmad, S., Shahid, M., &amp; Ahmed Jamal, S. (2020). Application of machine learning techniques to delineate homogeneous climate zones in river basins of Pakistan for hydro-climatic change impact studies. Applied sciences, 10(19), 6878.</w:t>
      </w:r>
    </w:p>
    <w:p w14:paraId="4FB92E26"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Nyairo, R. (2024). Effect of slope on water run-off and soil vulnerability in an unglaciated sub-watershed: a case study of conservation practice siting. Environmental Systems Research, 13(1), 50.</w:t>
      </w:r>
    </w:p>
    <w:p w14:paraId="0E2C4385"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Olabode, O. F., &amp; Comte, J. C. (2024). Water scarcity in the fast‐growing megacity of Lagos, Nigeria and opportunities for managed aquifer recharge. Wiley Interdisciplinary Reviews: Water, 11(5), e1733.</w:t>
      </w:r>
    </w:p>
    <w:p w14:paraId="53270561"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Raouf, A., Njeudjang, K., Youmbi, J. G. T., Lu, X., Yue, J., Okoro, E. C., ... &amp; Abdoul Wahab, A. M. (2025). Factors influencing groundwater development and mitigation strategies in Adamawa region, Cameroon: a critical review. Sustainable Water Resources Management, 11(1), 5.</w:t>
      </w:r>
    </w:p>
    <w:p w14:paraId="1B063FB2"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Rekha, P., Kamalakkannan, M. K., Selvakumar, P., &amp; Bhattacharya, S. (2025). Ground Water Management. In Emerging Trends and Technologies in Water Management and Conservation (pp. 149-174). IGI Global Scientific Publishing.</w:t>
      </w:r>
    </w:p>
    <w:p w14:paraId="59C640E4"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Reth, S., Perez-Priego, O., Coners, H., &amp; Nolz, R. (2021). Lysimeter. In Springer handbook of atmospheric measurements (pp. 1569-1584). Cham: Springer International Publishing.</w:t>
      </w:r>
    </w:p>
    <w:p w14:paraId="25B451A2"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Semar, A., Bachir, H., &amp; Lal, R. (2024). 9 Groundwater's Geochemical. Managing Soil Drought, 9, 255.</w:t>
      </w:r>
    </w:p>
    <w:p w14:paraId="11AC6F6C"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Shadmehri Toosi, A., Batelaan, O., Shanafield, M., &amp; Guan, H. (2025). Land use‐land cover and hydrological modeling: A review. Wiley Interdisciplinary Reviews: Water, 12(2), e70013.</w:t>
      </w:r>
    </w:p>
    <w:p w14:paraId="1F3B4539"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Sharma, S., Bala, N., Sharma, P., Singh, J., Bahel, S., &amp; Katnoria, J. K. (2023). Integrated remedial and management strategies for sustaining mountainous soil. In Understanding Soils of Mountainous Landscapes (pp. 43-57). Elsevier.</w:t>
      </w:r>
    </w:p>
    <w:p w14:paraId="3FDB5E05"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Shen, H. (2024). Estimating groundwater recharge in Jinci karst groundwater system, North China (Doctoral dissertation, Universty of the Western Cape).</w:t>
      </w:r>
    </w:p>
    <w:p w14:paraId="5DB2B623"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Tang, W., Zhao, X., Bi, G., Chen, M., Cheng, S., Liao, M., &amp; Yu, W. (2023). Quantifying seasonal ground deformation in Taiyuan basin, China, by Sentinel-1 InSAR time series analysis. Journal of Hydrology, 622, 129654.</w:t>
      </w:r>
    </w:p>
    <w:p w14:paraId="2C025221" w14:textId="77777777" w:rsidR="00C55BE0"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Tchatcho, F., Tindong, J., &amp; Bopda, A. (2018). Isotope hydrology application in understanding groundwater recharge in the Adamawa Plateau, Cameroon. </w:t>
      </w:r>
      <w:r w:rsidRPr="004E6FAE">
        <w:rPr>
          <w:rFonts w:ascii="Times New Roman" w:eastAsia="Times New Roman" w:hAnsi="Times New Roman" w:cs="Times New Roman"/>
          <w:i/>
          <w:iCs/>
          <w:kern w:val="0"/>
          <w14:ligatures w14:val="none"/>
        </w:rPr>
        <w:t>African Journal of Environmental Science and Technology, 12</w:t>
      </w:r>
      <w:r w:rsidRPr="004E6FAE">
        <w:rPr>
          <w:rFonts w:ascii="Times New Roman" w:eastAsia="Times New Roman" w:hAnsi="Times New Roman" w:cs="Times New Roman"/>
          <w:kern w:val="0"/>
          <w14:ligatures w14:val="none"/>
        </w:rPr>
        <w:t>(6), 197–205.</w:t>
      </w:r>
    </w:p>
    <w:p w14:paraId="701587AA"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Tidjani, A. M., Tovihoudji, P. G., Akponikpe, P. B. I., &amp; Vanclooster, M. (2025). Systematic Synthesis of Knowledge Relating to the Hydrological Functioning of Inland Valleys in Sub-Saharan Africa. Water (20734441), 17(2).</w:t>
      </w:r>
    </w:p>
    <w:p w14:paraId="05027022"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Tsoata, F. T., Sogang, R. K., &amp; Foukou, S. N. M. (2025). Cartographie des zones humides à DSCHANG (Cameroun). Utilisation des images satellitales d’accès gratuit. African Journal on Land Policy and Geospatial Sciences, 8(4).</w:t>
      </w:r>
    </w:p>
    <w:p w14:paraId="49948711"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Ukpai, S. N., Okogbue, C. O., &amp; Oha, I. A. (2020). Investigation of hydrologic influence of geologic lineaments in areas of the Lower Benue Trough, Southeastern Nigeria. Journal of Earth System Science, 129(1), 12.</w:t>
      </w:r>
    </w:p>
    <w:p w14:paraId="620E7249"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Vahab, S., &amp; Sankaran, A. (2025). Multifractal applications in hydro-climatology: a comprehensive review of modern methods. Fractal and Fractional, 9(1), 27.</w:t>
      </w:r>
    </w:p>
    <w:p w14:paraId="5F4355ED"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Wang, L., Lu, P., Feng, S., Hamel, C., Sun, D., Siddique, K. H., &amp; Gan, G. Y. (2024). Strategies to improve soil health by optimizing the plant–soil–microbe–anthropogenic activity nexus. Agriculture, Ecosystems &amp; Environment, 359, 108750.</w:t>
      </w:r>
    </w:p>
    <w:p w14:paraId="35444528"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Wang, S., Foster, A., Lenz, E. A., Kessler, J. D., Stroeve, J. C., Anderson, L. O., ... &amp; Hausfather, Z. (2023). Mechanisms and impacts of Earth system tipping elements. Reviews of Geophysics, 61(1), e2021RG000757.</w:t>
      </w:r>
    </w:p>
    <w:p w14:paraId="171DE421"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Wei, Y., Chen, Y., Cao, X., Xiang, M., Huang, Y., &amp; Li, H. (2024). A critical review of groundwater table fluctuation: Formation, effects on multifields, and contaminant behaviors in a soil and aquifer system. Environmental Science &amp; Technology, 58(5), 2185-2203.</w:t>
      </w:r>
    </w:p>
    <w:p w14:paraId="70C57C3C"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Yanbo, Q., Shilei, W., Yaya, T., Guanghui, J., Tao, Z., &amp; Liang, M. (2023). Territorial spatial planning for regional high-quality development–An analytical framework for the identification, </w:t>
      </w:r>
      <w:r w:rsidRPr="006E7250">
        <w:rPr>
          <w:rFonts w:ascii="Times New Roman" w:eastAsia="Times New Roman" w:hAnsi="Times New Roman" w:cs="Times New Roman"/>
          <w:kern w:val="0"/>
          <w14:ligatures w14:val="none"/>
        </w:rPr>
        <w:lastRenderedPageBreak/>
        <w:t>mediation and transmission of potential land utilization conflicts in the Yellow River Delta. Land Use Policy, 125, 106462.</w:t>
      </w:r>
    </w:p>
    <w:p w14:paraId="633BF71E"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Zeydalinejad, N., Javadi, A. A., &amp; Webber, J. L. (2024). Global perspectives on groundwater infiltration to sewer networks: A threat to urban sustainability. Water research, 262, 122098.</w:t>
      </w:r>
    </w:p>
    <w:p w14:paraId="0E841457"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Zhang, Z., Xu, Y., Zhang, Y., Guo, L., Wang, Z., &amp; Zheng, Q. (2022). Impact of groundwater overexploitation on karst aquifer and delineation of the critical zones: Case study of Jinci spring in Shanxi, China. Carbonates and Evaporites, 37(4), 68.</w:t>
      </w:r>
    </w:p>
    <w:p w14:paraId="7C0D0A4B" w14:textId="77777777" w:rsidR="00C55BE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Zhou, T., Leung, L. R., Leng, G., Voisin, N., Li, H. Y., Craig, A. P., ... &amp; Mao, Y. (2020). Global irrigation characteristics and effects simulated by fully coupled land surface, river, and water management models in E3SM. Journal of Advances in Modeling Earth Systems, 12(10), e2020MS002069.</w:t>
      </w:r>
    </w:p>
    <w:p w14:paraId="4EBCF75B" w14:textId="77777777" w:rsidR="004E6FAE" w:rsidRPr="003D24DC" w:rsidRDefault="004E6FAE" w:rsidP="00D12233">
      <w:pPr>
        <w:spacing w:line="480" w:lineRule="auto"/>
        <w:ind w:hanging="720"/>
        <w:jc w:val="both"/>
        <w:rPr>
          <w:rFonts w:ascii="Times New Roman" w:hAnsi="Times New Roman" w:cs="Times New Roman"/>
        </w:rPr>
      </w:pPr>
    </w:p>
    <w:sectPr w:rsidR="004E6FAE" w:rsidRPr="003D24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BAD3" w14:textId="77777777" w:rsidR="00CC2CF6" w:rsidRDefault="00CC2CF6" w:rsidP="00CE2E3B">
      <w:pPr>
        <w:spacing w:after="0" w:line="240" w:lineRule="auto"/>
      </w:pPr>
      <w:r>
        <w:separator/>
      </w:r>
    </w:p>
  </w:endnote>
  <w:endnote w:type="continuationSeparator" w:id="0">
    <w:p w14:paraId="5C66059C" w14:textId="77777777" w:rsidR="00CC2CF6" w:rsidRDefault="00CC2CF6" w:rsidP="00CE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32A8" w14:textId="77777777" w:rsidR="00766AEA" w:rsidRDefault="00766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76077"/>
      <w:docPartObj>
        <w:docPartGallery w:val="Page Numbers (Bottom of Page)"/>
        <w:docPartUnique/>
      </w:docPartObj>
    </w:sdtPr>
    <w:sdtEndPr>
      <w:rPr>
        <w:noProof/>
      </w:rPr>
    </w:sdtEndPr>
    <w:sdtContent>
      <w:p w14:paraId="330927D4" w14:textId="30ADF5EA" w:rsidR="00CE2E3B" w:rsidRDefault="00CE2E3B">
        <w:pPr>
          <w:pStyle w:val="Footer"/>
          <w:jc w:val="center"/>
        </w:pPr>
        <w:r>
          <w:fldChar w:fldCharType="begin"/>
        </w:r>
        <w:r>
          <w:instrText xml:space="preserve"> PAGE   \* MERGEFORMAT </w:instrText>
        </w:r>
        <w:r>
          <w:fldChar w:fldCharType="separate"/>
        </w:r>
        <w:r w:rsidR="00B94C39">
          <w:rPr>
            <w:noProof/>
          </w:rPr>
          <w:t>1</w:t>
        </w:r>
        <w:r>
          <w:rPr>
            <w:noProof/>
          </w:rPr>
          <w:fldChar w:fldCharType="end"/>
        </w:r>
      </w:p>
    </w:sdtContent>
  </w:sdt>
  <w:p w14:paraId="3D4FBC03" w14:textId="77777777" w:rsidR="00CE2E3B" w:rsidRDefault="00CE2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85FD" w14:textId="77777777" w:rsidR="00766AEA" w:rsidRDefault="0076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35A4" w14:textId="77777777" w:rsidR="00CC2CF6" w:rsidRDefault="00CC2CF6" w:rsidP="00CE2E3B">
      <w:pPr>
        <w:spacing w:after="0" w:line="240" w:lineRule="auto"/>
      </w:pPr>
      <w:r>
        <w:separator/>
      </w:r>
    </w:p>
  </w:footnote>
  <w:footnote w:type="continuationSeparator" w:id="0">
    <w:p w14:paraId="57C84FB6" w14:textId="77777777" w:rsidR="00CC2CF6" w:rsidRDefault="00CC2CF6" w:rsidP="00CE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D366" w14:textId="6DD82FD2" w:rsidR="00766AEA" w:rsidRDefault="00000000">
    <w:pPr>
      <w:pStyle w:val="Header"/>
    </w:pPr>
    <w:r>
      <w:rPr>
        <w:noProof/>
      </w:rPr>
      <w:pict w14:anchorId="5444C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D1F7" w14:textId="0C3B2E2F" w:rsidR="00766AEA" w:rsidRDefault="00000000">
    <w:pPr>
      <w:pStyle w:val="Header"/>
    </w:pPr>
    <w:r>
      <w:rPr>
        <w:noProof/>
      </w:rPr>
      <w:pict w14:anchorId="07C78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2F54" w14:textId="27470887" w:rsidR="00766AEA" w:rsidRDefault="00000000">
    <w:pPr>
      <w:pStyle w:val="Header"/>
    </w:pPr>
    <w:r>
      <w:rPr>
        <w:noProof/>
      </w:rPr>
      <w:pict w14:anchorId="5B60A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D205B"/>
    <w:multiLevelType w:val="multilevel"/>
    <w:tmpl w:val="EAE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011F8"/>
    <w:multiLevelType w:val="multilevel"/>
    <w:tmpl w:val="025CF9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2D6142A"/>
    <w:multiLevelType w:val="multilevel"/>
    <w:tmpl w:val="8F4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37934"/>
    <w:multiLevelType w:val="multilevel"/>
    <w:tmpl w:val="355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360C9"/>
    <w:multiLevelType w:val="multilevel"/>
    <w:tmpl w:val="84F2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F1F2D"/>
    <w:multiLevelType w:val="multilevel"/>
    <w:tmpl w:val="4D7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42177">
    <w:abstractNumId w:val="5"/>
  </w:num>
  <w:num w:numId="2" w16cid:durableId="1636176065">
    <w:abstractNumId w:val="4"/>
  </w:num>
  <w:num w:numId="3" w16cid:durableId="1955136147">
    <w:abstractNumId w:val="0"/>
  </w:num>
  <w:num w:numId="4" w16cid:durableId="205919189">
    <w:abstractNumId w:val="3"/>
  </w:num>
  <w:num w:numId="5" w16cid:durableId="795370296">
    <w:abstractNumId w:val="2"/>
  </w:num>
  <w:num w:numId="6" w16cid:durableId="163277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AE"/>
    <w:rsid w:val="00004488"/>
    <w:rsid w:val="000219C1"/>
    <w:rsid w:val="000273F8"/>
    <w:rsid w:val="000B7416"/>
    <w:rsid w:val="000C6CA7"/>
    <w:rsid w:val="000F47F3"/>
    <w:rsid w:val="001341E2"/>
    <w:rsid w:val="001432C3"/>
    <w:rsid w:val="0014525E"/>
    <w:rsid w:val="001530E7"/>
    <w:rsid w:val="001532A5"/>
    <w:rsid w:val="00161B56"/>
    <w:rsid w:val="00162DD7"/>
    <w:rsid w:val="0016551C"/>
    <w:rsid w:val="00176079"/>
    <w:rsid w:val="00194E53"/>
    <w:rsid w:val="001E2150"/>
    <w:rsid w:val="001E3FE5"/>
    <w:rsid w:val="002206F5"/>
    <w:rsid w:val="002A18AF"/>
    <w:rsid w:val="002E7A06"/>
    <w:rsid w:val="003724B6"/>
    <w:rsid w:val="003B097F"/>
    <w:rsid w:val="003C07C1"/>
    <w:rsid w:val="003D24DC"/>
    <w:rsid w:val="00487046"/>
    <w:rsid w:val="004A38A3"/>
    <w:rsid w:val="004E1627"/>
    <w:rsid w:val="004E6FAE"/>
    <w:rsid w:val="005178FD"/>
    <w:rsid w:val="00540718"/>
    <w:rsid w:val="00560E70"/>
    <w:rsid w:val="0067608C"/>
    <w:rsid w:val="00693C78"/>
    <w:rsid w:val="006D7ABE"/>
    <w:rsid w:val="006E2377"/>
    <w:rsid w:val="006E7250"/>
    <w:rsid w:val="00700B33"/>
    <w:rsid w:val="00766AEA"/>
    <w:rsid w:val="00776F79"/>
    <w:rsid w:val="007D7F2F"/>
    <w:rsid w:val="00805F14"/>
    <w:rsid w:val="008602B4"/>
    <w:rsid w:val="00874E07"/>
    <w:rsid w:val="008D1D21"/>
    <w:rsid w:val="00996CEC"/>
    <w:rsid w:val="009C2AAE"/>
    <w:rsid w:val="00A442E6"/>
    <w:rsid w:val="00A70C03"/>
    <w:rsid w:val="00B051C8"/>
    <w:rsid w:val="00B23E5C"/>
    <w:rsid w:val="00B431AD"/>
    <w:rsid w:val="00B47E6D"/>
    <w:rsid w:val="00B94C39"/>
    <w:rsid w:val="00C140ED"/>
    <w:rsid w:val="00C55BE0"/>
    <w:rsid w:val="00CC2CF6"/>
    <w:rsid w:val="00CE2E3B"/>
    <w:rsid w:val="00D12233"/>
    <w:rsid w:val="00D74454"/>
    <w:rsid w:val="00D802DB"/>
    <w:rsid w:val="00D974BD"/>
    <w:rsid w:val="00DC322C"/>
    <w:rsid w:val="00E61754"/>
    <w:rsid w:val="00E94067"/>
    <w:rsid w:val="00EB1D95"/>
    <w:rsid w:val="00F20389"/>
    <w:rsid w:val="00F5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85020"/>
  <w15:chartTrackingRefBased/>
  <w15:docId w15:val="{FEB286EC-AE18-431B-A6BF-B3F5073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FAE"/>
    <w:rPr>
      <w:rFonts w:eastAsiaTheme="majorEastAsia" w:cstheme="majorBidi"/>
      <w:color w:val="272727" w:themeColor="text1" w:themeTint="D8"/>
    </w:rPr>
  </w:style>
  <w:style w:type="paragraph" w:styleId="Title">
    <w:name w:val="Title"/>
    <w:basedOn w:val="Normal"/>
    <w:next w:val="Normal"/>
    <w:link w:val="TitleChar"/>
    <w:uiPriority w:val="10"/>
    <w:qFormat/>
    <w:rsid w:val="004E6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FAE"/>
    <w:pPr>
      <w:spacing w:before="160"/>
      <w:jc w:val="center"/>
    </w:pPr>
    <w:rPr>
      <w:i/>
      <w:iCs/>
      <w:color w:val="404040" w:themeColor="text1" w:themeTint="BF"/>
    </w:rPr>
  </w:style>
  <w:style w:type="character" w:customStyle="1" w:styleId="QuoteChar">
    <w:name w:val="Quote Char"/>
    <w:basedOn w:val="DefaultParagraphFont"/>
    <w:link w:val="Quote"/>
    <w:uiPriority w:val="29"/>
    <w:rsid w:val="004E6FAE"/>
    <w:rPr>
      <w:i/>
      <w:iCs/>
      <w:color w:val="404040" w:themeColor="text1" w:themeTint="BF"/>
    </w:rPr>
  </w:style>
  <w:style w:type="paragraph" w:styleId="ListParagraph">
    <w:name w:val="List Paragraph"/>
    <w:basedOn w:val="Normal"/>
    <w:uiPriority w:val="34"/>
    <w:qFormat/>
    <w:rsid w:val="004E6FAE"/>
    <w:pPr>
      <w:ind w:left="720"/>
      <w:contextualSpacing/>
    </w:pPr>
  </w:style>
  <w:style w:type="character" w:styleId="IntenseEmphasis">
    <w:name w:val="Intense Emphasis"/>
    <w:basedOn w:val="DefaultParagraphFont"/>
    <w:uiPriority w:val="21"/>
    <w:qFormat/>
    <w:rsid w:val="004E6FAE"/>
    <w:rPr>
      <w:i/>
      <w:iCs/>
      <w:color w:val="2F5496" w:themeColor="accent1" w:themeShade="BF"/>
    </w:rPr>
  </w:style>
  <w:style w:type="paragraph" w:styleId="IntenseQuote">
    <w:name w:val="Intense Quote"/>
    <w:basedOn w:val="Normal"/>
    <w:next w:val="Normal"/>
    <w:link w:val="IntenseQuoteChar"/>
    <w:uiPriority w:val="30"/>
    <w:qFormat/>
    <w:rsid w:val="004E6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FAE"/>
    <w:rPr>
      <w:i/>
      <w:iCs/>
      <w:color w:val="2F5496" w:themeColor="accent1" w:themeShade="BF"/>
    </w:rPr>
  </w:style>
  <w:style w:type="character" w:styleId="IntenseReference">
    <w:name w:val="Intense Reference"/>
    <w:basedOn w:val="DefaultParagraphFont"/>
    <w:uiPriority w:val="32"/>
    <w:qFormat/>
    <w:rsid w:val="004E6FAE"/>
    <w:rPr>
      <w:b/>
      <w:bCs/>
      <w:smallCaps/>
      <w:color w:val="2F5496" w:themeColor="accent1" w:themeShade="BF"/>
      <w:spacing w:val="5"/>
    </w:rPr>
  </w:style>
  <w:style w:type="paragraph" w:styleId="Header">
    <w:name w:val="header"/>
    <w:basedOn w:val="Normal"/>
    <w:link w:val="HeaderChar"/>
    <w:uiPriority w:val="99"/>
    <w:unhideWhenUsed/>
    <w:rsid w:val="00CE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3B"/>
  </w:style>
  <w:style w:type="paragraph" w:styleId="Footer">
    <w:name w:val="footer"/>
    <w:basedOn w:val="Normal"/>
    <w:link w:val="FooterChar"/>
    <w:uiPriority w:val="99"/>
    <w:unhideWhenUsed/>
    <w:rsid w:val="00CE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3B"/>
  </w:style>
  <w:style w:type="table" w:customStyle="1" w:styleId="TableGrid1">
    <w:name w:val="Table Grid1"/>
    <w:basedOn w:val="TableNormal"/>
    <w:next w:val="TableGrid"/>
    <w:uiPriority w:val="59"/>
    <w:rsid w:val="00B051C8"/>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051C8"/>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08399">
      <w:bodyDiv w:val="1"/>
      <w:marLeft w:val="0"/>
      <w:marRight w:val="0"/>
      <w:marTop w:val="0"/>
      <w:marBottom w:val="0"/>
      <w:divBdr>
        <w:top w:val="none" w:sz="0" w:space="0" w:color="auto"/>
        <w:left w:val="none" w:sz="0" w:space="0" w:color="auto"/>
        <w:bottom w:val="none" w:sz="0" w:space="0" w:color="auto"/>
        <w:right w:val="none" w:sz="0" w:space="0" w:color="auto"/>
      </w:divBdr>
      <w:divsChild>
        <w:div w:id="847914920">
          <w:marLeft w:val="0"/>
          <w:marRight w:val="0"/>
          <w:marTop w:val="0"/>
          <w:marBottom w:val="0"/>
          <w:divBdr>
            <w:top w:val="none" w:sz="0" w:space="0" w:color="auto"/>
            <w:left w:val="none" w:sz="0" w:space="0" w:color="auto"/>
            <w:bottom w:val="none" w:sz="0" w:space="0" w:color="auto"/>
            <w:right w:val="none" w:sz="0" w:space="0" w:color="auto"/>
          </w:divBdr>
        </w:div>
        <w:div w:id="1489519945">
          <w:marLeft w:val="0"/>
          <w:marRight w:val="0"/>
          <w:marTop w:val="0"/>
          <w:marBottom w:val="0"/>
          <w:divBdr>
            <w:top w:val="none" w:sz="0" w:space="0" w:color="auto"/>
            <w:left w:val="none" w:sz="0" w:space="0" w:color="auto"/>
            <w:bottom w:val="none" w:sz="0" w:space="0" w:color="auto"/>
            <w:right w:val="none" w:sz="0" w:space="0" w:color="auto"/>
          </w:divBdr>
        </w:div>
        <w:div w:id="333801875">
          <w:marLeft w:val="0"/>
          <w:marRight w:val="0"/>
          <w:marTop w:val="0"/>
          <w:marBottom w:val="0"/>
          <w:divBdr>
            <w:top w:val="none" w:sz="0" w:space="0" w:color="auto"/>
            <w:left w:val="none" w:sz="0" w:space="0" w:color="auto"/>
            <w:bottom w:val="none" w:sz="0" w:space="0" w:color="auto"/>
            <w:right w:val="none" w:sz="0" w:space="0" w:color="auto"/>
          </w:divBdr>
        </w:div>
      </w:divsChild>
    </w:div>
    <w:div w:id="2009484004">
      <w:bodyDiv w:val="1"/>
      <w:marLeft w:val="0"/>
      <w:marRight w:val="0"/>
      <w:marTop w:val="0"/>
      <w:marBottom w:val="0"/>
      <w:divBdr>
        <w:top w:val="none" w:sz="0" w:space="0" w:color="auto"/>
        <w:left w:val="none" w:sz="0" w:space="0" w:color="auto"/>
        <w:bottom w:val="none" w:sz="0" w:space="0" w:color="auto"/>
        <w:right w:val="none" w:sz="0" w:space="0" w:color="auto"/>
      </w:divBdr>
      <w:divsChild>
        <w:div w:id="253783907">
          <w:marLeft w:val="0"/>
          <w:marRight w:val="0"/>
          <w:marTop w:val="0"/>
          <w:marBottom w:val="0"/>
          <w:divBdr>
            <w:top w:val="none" w:sz="0" w:space="0" w:color="auto"/>
            <w:left w:val="none" w:sz="0" w:space="0" w:color="auto"/>
            <w:bottom w:val="none" w:sz="0" w:space="0" w:color="auto"/>
            <w:right w:val="none" w:sz="0" w:space="0" w:color="auto"/>
          </w:divBdr>
          <w:divsChild>
            <w:div w:id="1276405904">
              <w:marLeft w:val="0"/>
              <w:marRight w:val="0"/>
              <w:marTop w:val="0"/>
              <w:marBottom w:val="0"/>
              <w:divBdr>
                <w:top w:val="none" w:sz="0" w:space="0" w:color="auto"/>
                <w:left w:val="none" w:sz="0" w:space="0" w:color="auto"/>
                <w:bottom w:val="none" w:sz="0" w:space="0" w:color="auto"/>
                <w:right w:val="none" w:sz="0" w:space="0" w:color="auto"/>
              </w:divBdr>
            </w:div>
          </w:divsChild>
        </w:div>
        <w:div w:id="945117563">
          <w:marLeft w:val="0"/>
          <w:marRight w:val="0"/>
          <w:marTop w:val="0"/>
          <w:marBottom w:val="0"/>
          <w:divBdr>
            <w:top w:val="none" w:sz="0" w:space="0" w:color="auto"/>
            <w:left w:val="none" w:sz="0" w:space="0" w:color="auto"/>
            <w:bottom w:val="none" w:sz="0" w:space="0" w:color="auto"/>
            <w:right w:val="none" w:sz="0" w:space="0" w:color="auto"/>
          </w:divBdr>
          <w:divsChild>
            <w:div w:id="14052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24</Pages>
  <Words>5468</Words>
  <Characters>31173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Editor GP 005</cp:lastModifiedBy>
  <cp:revision>10</cp:revision>
  <dcterms:created xsi:type="dcterms:W3CDTF">2025-07-19T09:42:00Z</dcterms:created>
  <dcterms:modified xsi:type="dcterms:W3CDTF">2025-07-21T04:57:00Z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50395ebc-74c7-4b88-9898-342f3220654d</vt:lpwstr>
  </property>
</Properties>
</file>