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EDF8" w14:textId="77777777" w:rsidR="00E7696D" w:rsidRPr="00E7696D" w:rsidRDefault="00E7696D" w:rsidP="00E7696D">
      <w:pPr>
        <w:pStyle w:val="Author"/>
        <w:rPr>
          <w:rFonts w:ascii="Arial" w:hAnsi="Arial" w:cs="Arial"/>
          <w:bCs/>
          <w:i/>
          <w:iCs/>
          <w:kern w:val="28"/>
          <w:sz w:val="18"/>
          <w:szCs w:val="18"/>
          <w:u w:val="single"/>
          <w:lang w:val="en-US"/>
        </w:rPr>
      </w:pPr>
      <w:bookmarkStart w:id="0" w:name="_GoBack"/>
      <w:bookmarkEnd w:id="0"/>
      <w:r w:rsidRPr="00E7696D">
        <w:rPr>
          <w:rFonts w:ascii="Arial" w:hAnsi="Arial" w:cs="Arial"/>
          <w:bCs/>
          <w:i/>
          <w:iCs/>
          <w:kern w:val="28"/>
          <w:sz w:val="18"/>
          <w:szCs w:val="18"/>
          <w:u w:val="single"/>
          <w:lang w:val="en-US"/>
        </w:rPr>
        <w:t>Original Research Article</w:t>
      </w:r>
    </w:p>
    <w:p w14:paraId="532FA8AD" w14:textId="1D42E9BC" w:rsidR="00A258C3" w:rsidRPr="00103EF8" w:rsidRDefault="00F81893" w:rsidP="00103EF8">
      <w:pPr>
        <w:pStyle w:val="Author"/>
        <w:spacing w:line="240" w:lineRule="auto"/>
        <w:rPr>
          <w:rFonts w:ascii="Arial" w:hAnsi="Arial" w:cs="Arial"/>
          <w:sz w:val="36"/>
        </w:rPr>
      </w:pPr>
      <w:r>
        <w:rPr>
          <w:rFonts w:ascii="Arial" w:hAnsi="Arial" w:cs="Arial"/>
          <w:bCs/>
          <w:iCs/>
          <w:kern w:val="28"/>
          <w:sz w:val="36"/>
        </w:rPr>
        <w:t xml:space="preserve">Influence of </w:t>
      </w:r>
      <w:r w:rsidRPr="00A04E99">
        <w:rPr>
          <w:rFonts w:ascii="Arial" w:hAnsi="Arial" w:cs="Arial"/>
          <w:bCs/>
          <w:iCs/>
          <w:kern w:val="28"/>
          <w:sz w:val="36"/>
          <w:szCs w:val="36"/>
        </w:rPr>
        <w:t xml:space="preserve">Economic </w:t>
      </w:r>
      <w:r w:rsidR="00A04E99">
        <w:rPr>
          <w:rFonts w:ascii="Arial" w:eastAsia="Microsoft YaHei" w:hAnsi="Arial" w:cs="Arial"/>
          <w:sz w:val="36"/>
          <w:szCs w:val="36"/>
        </w:rPr>
        <w:t>Incentives</w:t>
      </w:r>
      <w:r>
        <w:rPr>
          <w:rFonts w:ascii="Arial" w:hAnsi="Arial" w:cs="Arial"/>
          <w:bCs/>
          <w:iCs/>
          <w:kern w:val="28"/>
          <w:sz w:val="36"/>
        </w:rPr>
        <w:t xml:space="preserve"> on Endau Dryland Forest Conservation Practices</w:t>
      </w:r>
    </w:p>
    <w:p w14:paraId="7379892B" w14:textId="77777777" w:rsidR="00C14186" w:rsidRPr="00103EF8" w:rsidRDefault="00C14186" w:rsidP="00441B6F">
      <w:pPr>
        <w:pStyle w:val="Affiliation"/>
        <w:spacing w:after="0" w:line="240" w:lineRule="auto"/>
        <w:rPr>
          <w:rFonts w:ascii="Arial" w:hAnsi="Arial" w:cs="Arial"/>
          <w:i/>
        </w:rPr>
      </w:pPr>
    </w:p>
    <w:p w14:paraId="117E06D2" w14:textId="77777777" w:rsidR="00B01FCD" w:rsidRPr="00103EF8" w:rsidRDefault="00CB6D5A" w:rsidP="00441B6F">
      <w:pPr>
        <w:pStyle w:val="Copyright"/>
        <w:spacing w:after="0" w:line="240" w:lineRule="auto"/>
        <w:jc w:val="both"/>
        <w:rPr>
          <w:rFonts w:ascii="Arial" w:hAnsi="Arial" w:cs="Arial"/>
        </w:rPr>
        <w:sectPr w:rsidR="00B01FCD" w:rsidRPr="00103EF8" w:rsidSect="006231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03EF8">
        <w:rPr>
          <w:rFonts w:ascii="Arial" w:hAnsi="Arial" w:cs="Arial"/>
          <w:noProof/>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BE0ABF"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103EF8">
        <w:rPr>
          <w:rFonts w:ascii="Arial" w:hAnsi="Arial" w:cs="Arial"/>
        </w:rPr>
        <w:t>.</w:t>
      </w:r>
    </w:p>
    <w:p w14:paraId="4A7114EF" w14:textId="74E0AB8A" w:rsidR="00790ADA" w:rsidRPr="00103EF8" w:rsidRDefault="00B01FCD" w:rsidP="00441B6F">
      <w:pPr>
        <w:pStyle w:val="AbstHead"/>
        <w:spacing w:after="0"/>
        <w:jc w:val="both"/>
        <w:rPr>
          <w:rFonts w:ascii="Arial" w:hAnsi="Arial" w:cs="Arial"/>
        </w:rPr>
      </w:pPr>
      <w:r w:rsidRPr="00103EF8">
        <w:rPr>
          <w:rFonts w:ascii="Arial" w:hAnsi="Arial" w:cs="Arial"/>
        </w:rPr>
        <w:t>ABSTRACT</w:t>
      </w:r>
      <w:r w:rsidR="0066510A" w:rsidRPr="00103EF8">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03EF8" w14:paraId="7415CC80" w14:textId="77777777" w:rsidTr="001E44FE">
        <w:tc>
          <w:tcPr>
            <w:tcW w:w="9576" w:type="dxa"/>
            <w:shd w:val="clear" w:color="auto" w:fill="F2F2F2"/>
          </w:tcPr>
          <w:p w14:paraId="02EDB3C2" w14:textId="481530DD" w:rsidR="00505F06" w:rsidRPr="00103EF8" w:rsidRDefault="00210EB4" w:rsidP="00441B6F">
            <w:pPr>
              <w:pStyle w:val="Body"/>
              <w:spacing w:after="0"/>
              <w:rPr>
                <w:rFonts w:ascii="Arial" w:eastAsia="Calibri" w:hAnsi="Arial" w:cs="Arial"/>
                <w:szCs w:val="22"/>
              </w:rPr>
            </w:pPr>
            <w:r>
              <w:t xml:space="preserve">Forest degradation remains a pressing environmental concern in Kenya, particularly within buffer zones where community livelihoods intersect with conservation efforts. This study investigates how economic benefits derived from forest-related activities influence forest cover change in the Endau Forest. The primary objective was to assess whether perceived and actual economic gains from sustainable practices affect community participation in forest conservation. A descriptive survey design was employed, involving 298 randomly selected households from communities around Endau Forest. Data were collected using structured questionnaires and supplemented by semi-structured interviews with six key informants, including </w:t>
            </w:r>
            <w:r w:rsidR="00413453">
              <w:t>two</w:t>
            </w:r>
            <w:r>
              <w:t xml:space="preserve"> forest conservator</w:t>
            </w:r>
            <w:r w:rsidR="00413453">
              <w:t>s</w:t>
            </w:r>
            <w:r>
              <w:t xml:space="preserve">, </w:t>
            </w:r>
            <w:r w:rsidR="00413453">
              <w:t xml:space="preserve">two </w:t>
            </w:r>
            <w:r>
              <w:t>foresters, local leaders</w:t>
            </w:r>
            <w:r w:rsidR="00413453">
              <w:t>, and a ranger</w:t>
            </w:r>
            <w:r>
              <w:t xml:space="preserve">. Descriptive statistics, correlation, and regression analyses were used to examine the relationship between economic incentives and forest cover dynamics. Results showed that activities such as charcoal production and firewood collection were perceived as major drivers of forest degradation. However, communities also </w:t>
            </w:r>
            <w:r w:rsidR="006D5B16">
              <w:t>recognised</w:t>
            </w:r>
            <w:r>
              <w:t xml:space="preserve"> the potential of sustainable practices, such as ecotourism and farm forestry, to offer viable economic alternatives. A strong positive correlation (</w:t>
            </w:r>
            <w:r w:rsidRPr="00210EB4">
              <w:rPr>
                <w:i/>
                <w:iCs/>
              </w:rPr>
              <w:t>r</w:t>
            </w:r>
            <w:r>
              <w:t xml:space="preserve"> = 0.860, </w:t>
            </w:r>
            <w:r w:rsidRPr="00210EB4">
              <w:rPr>
                <w:i/>
                <w:iCs/>
              </w:rPr>
              <w:t>p</w:t>
            </w:r>
            <w:r>
              <w:t xml:space="preserve"> = 0.001) and a statistically significant regression coefficient (</w:t>
            </w:r>
            <w:r w:rsidRPr="00210EB4">
              <w:rPr>
                <w:i/>
                <w:iCs/>
              </w:rPr>
              <w:t>β</w:t>
            </w:r>
            <w:r>
              <w:t xml:space="preserve"> = 0.210, </w:t>
            </w:r>
            <w:r w:rsidRPr="00210EB4">
              <w:rPr>
                <w:i/>
                <w:iCs/>
              </w:rPr>
              <w:t>p</w:t>
            </w:r>
            <w:r>
              <w:t xml:space="preserve"> = 0.028) indicated that economic incentives positively influence conservation behaviour. The findings highlight the importance of integrating economic development with forest conservation strategies. Policy interventions that promote alternative livelihoods could enhance sustainable forest management in buffer zones.</w:t>
            </w:r>
          </w:p>
        </w:tc>
      </w:tr>
    </w:tbl>
    <w:p w14:paraId="03533F18" w14:textId="77777777" w:rsidR="00636EB2" w:rsidRPr="00103EF8" w:rsidRDefault="00636EB2" w:rsidP="00441B6F">
      <w:pPr>
        <w:pStyle w:val="Body"/>
        <w:spacing w:after="0"/>
        <w:rPr>
          <w:rFonts w:ascii="Arial" w:hAnsi="Arial" w:cs="Arial"/>
          <w:i/>
        </w:rPr>
      </w:pPr>
    </w:p>
    <w:p w14:paraId="2BA83830" w14:textId="251659FB" w:rsidR="00A24E7E" w:rsidRPr="00103EF8" w:rsidRDefault="00A24E7E" w:rsidP="00441B6F">
      <w:pPr>
        <w:pStyle w:val="Body"/>
        <w:spacing w:after="0"/>
        <w:rPr>
          <w:rFonts w:ascii="Arial" w:hAnsi="Arial" w:cs="Arial"/>
          <w:i/>
        </w:rPr>
      </w:pPr>
      <w:r w:rsidRPr="009D107A">
        <w:rPr>
          <w:rFonts w:ascii="Arial" w:hAnsi="Arial" w:cs="Arial"/>
          <w:b/>
          <w:bCs/>
          <w:i/>
        </w:rPr>
        <w:t>Keywords:</w:t>
      </w:r>
      <w:r w:rsidRPr="00103EF8">
        <w:rPr>
          <w:rFonts w:ascii="Arial" w:hAnsi="Arial" w:cs="Arial"/>
          <w:i/>
        </w:rPr>
        <w:t xml:space="preserve"> </w:t>
      </w:r>
      <w:r w:rsidR="00210EB4">
        <w:t xml:space="preserve">Forest conservation, economic benefits, buffer zones, Endau Forest, sustainable livelihoods, deforestation, </w:t>
      </w:r>
      <w:r w:rsidR="00210EB4" w:rsidRPr="00103EF8">
        <w:rPr>
          <w:rFonts w:ascii="Arial" w:hAnsi="Arial" w:cs="Arial"/>
          <w:i/>
        </w:rPr>
        <w:t>Dryland Forest</w:t>
      </w:r>
      <w:r w:rsidR="007F6D92" w:rsidRPr="00103EF8">
        <w:rPr>
          <w:rFonts w:ascii="Arial" w:hAnsi="Arial" w:cs="Arial"/>
          <w:i/>
        </w:rPr>
        <w:t>, Economic</w:t>
      </w:r>
      <w:r w:rsidR="00210EB4">
        <w:rPr>
          <w:rFonts w:ascii="Arial" w:hAnsi="Arial" w:cs="Arial"/>
          <w:i/>
        </w:rPr>
        <w:t xml:space="preserve"> incentives</w:t>
      </w:r>
      <w:r w:rsidR="00294F83">
        <w:rPr>
          <w:rFonts w:ascii="Arial" w:hAnsi="Arial" w:cs="Arial"/>
          <w:i/>
        </w:rPr>
        <w:t>.</w:t>
      </w:r>
      <w:r w:rsidR="0066510A" w:rsidRPr="00103EF8">
        <w:rPr>
          <w:rFonts w:ascii="Arial" w:hAnsi="Arial" w:cs="Arial"/>
          <w:i/>
        </w:rPr>
        <w:t xml:space="preserve"> </w:t>
      </w:r>
    </w:p>
    <w:p w14:paraId="172E9D06" w14:textId="77777777" w:rsidR="00505F06" w:rsidRPr="00103EF8" w:rsidRDefault="00505F06" w:rsidP="00441B6F">
      <w:pPr>
        <w:pStyle w:val="Body"/>
        <w:spacing w:after="0"/>
        <w:rPr>
          <w:rFonts w:ascii="Arial" w:hAnsi="Arial" w:cs="Arial"/>
          <w:i/>
        </w:rPr>
      </w:pPr>
    </w:p>
    <w:p w14:paraId="34BC13CA" w14:textId="19693E7E" w:rsidR="00790ADA" w:rsidRPr="00103EF8" w:rsidRDefault="00902823" w:rsidP="001C180D">
      <w:pPr>
        <w:pStyle w:val="AbstHead"/>
        <w:spacing w:after="0"/>
        <w:jc w:val="both"/>
        <w:rPr>
          <w:rFonts w:ascii="Arial" w:hAnsi="Arial" w:cs="Arial"/>
        </w:rPr>
      </w:pPr>
      <w:r w:rsidRPr="00103EF8">
        <w:rPr>
          <w:rFonts w:ascii="Arial" w:hAnsi="Arial" w:cs="Arial"/>
        </w:rPr>
        <w:t xml:space="preserve">1. </w:t>
      </w:r>
      <w:r w:rsidR="00B01FCD" w:rsidRPr="00103EF8">
        <w:rPr>
          <w:rFonts w:ascii="Arial" w:hAnsi="Arial" w:cs="Arial"/>
        </w:rPr>
        <w:t>INTRODUCTION</w:t>
      </w:r>
      <w:r w:rsidR="007F7B32" w:rsidRPr="00103EF8">
        <w:rPr>
          <w:rFonts w:ascii="Arial" w:hAnsi="Arial" w:cs="Arial"/>
        </w:rPr>
        <w:t xml:space="preserve"> </w:t>
      </w:r>
    </w:p>
    <w:p w14:paraId="3AC06F99" w14:textId="7EE674C3"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w:t>
      </w:r>
      <w:sdt>
        <w:sdtPr>
          <w:rPr>
            <w:rFonts w:eastAsia="Calibri" w:cs="Helvetica"/>
            <w:color w:val="000000" w:themeColor="text1"/>
            <w:szCs w:val="24"/>
          </w:rPr>
          <w:id w:val="1211759888"/>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desertification, and diminishes biodiversity</w:t>
      </w:r>
      <w:sdt>
        <w:sdtPr>
          <w:rPr>
            <w:rFonts w:eastAsia="Calibri" w:cs="Helvetica"/>
            <w:color w:val="000000" w:themeColor="text1"/>
            <w:szCs w:val="24"/>
          </w:rPr>
          <w:id w:val="-77347409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[2]</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According to FAO 2020, all types of forests constitute 31% of the total land 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w:t>
      </w:r>
      <w:sdt>
        <w:sdtPr>
          <w:rPr>
            <w:rFonts w:eastAsia="Calibri" w:cs="Helvetica"/>
            <w:color w:val="000000" w:themeColor="text1"/>
            <w:szCs w:val="24"/>
          </w:rPr>
          <w:id w:val="-671480977"/>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p>
    <w:p w14:paraId="0386193A" w14:textId="77777777" w:rsidR="00F0152C" w:rsidRPr="00C6424E" w:rsidRDefault="00F0152C" w:rsidP="00F0152C">
      <w:pPr>
        <w:jc w:val="both"/>
        <w:rPr>
          <w:rFonts w:eastAsia="Calibri" w:cs="Helvetica"/>
          <w:color w:val="000000" w:themeColor="text1"/>
          <w:szCs w:val="24"/>
        </w:rPr>
      </w:pPr>
    </w:p>
    <w:p w14:paraId="4A8274FA" w14:textId="41D36A8B"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lastRenderedPageBreak/>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w:t>
      </w:r>
      <w:sdt>
        <w:sdtPr>
          <w:rPr>
            <w:rFonts w:eastAsia="Calibri" w:cs="Helvetica"/>
            <w:color w:val="000000" w:themeColor="text1"/>
            <w:szCs w:val="24"/>
          </w:rPr>
          <w:id w:val="-206894593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Forest services such as food, fibre, medicinal, pharmaceutical plants, timber, and biofuel production will be affected if deforestation continues</w:t>
      </w:r>
      <w:sdt>
        <w:sdtPr>
          <w:rPr>
            <w:rFonts w:eastAsia="Calibri" w:cs="Helvetica"/>
            <w:color w:val="000000" w:themeColor="text1"/>
            <w:szCs w:val="24"/>
          </w:rPr>
          <w:id w:val="-84863647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Africa, dryland forests are especially vulnerable due to rapid population growth, poverty, and a heavy reliance on natural resources for livelihoods</w:t>
      </w:r>
      <w:sdt>
        <w:sdtPr>
          <w:rPr>
            <w:rFonts w:eastAsia="Calibri" w:cs="Helvetica"/>
            <w:color w:val="000000" w:themeColor="text1"/>
            <w:szCs w:val="24"/>
          </w:rPr>
          <w:id w:val="-231387664"/>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[4]</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Dryland forests that are found </w:t>
      </w:r>
      <w:r>
        <w:rPr>
          <w:rFonts w:eastAsia="Calibri" w:cs="Helvetica"/>
          <w:color w:val="000000" w:themeColor="text1"/>
          <w:szCs w:val="24"/>
        </w:rPr>
        <w:t xml:space="preserve">in </w:t>
      </w:r>
      <w:r w:rsidRPr="00C6424E">
        <w:rPr>
          <w:rFonts w:eastAsia="Calibri" w:cs="Helvetica"/>
          <w:color w:val="000000" w:themeColor="text1"/>
          <w:szCs w:val="24"/>
        </w:rPr>
        <w:t xml:space="preserve">regions such as </w:t>
      </w:r>
      <w:r>
        <w:rPr>
          <w:rFonts w:eastAsia="Calibri" w:cs="Helvetica"/>
          <w:color w:val="000000" w:themeColor="text1"/>
          <w:szCs w:val="24"/>
        </w:rPr>
        <w:t xml:space="preserve">the </w:t>
      </w:r>
      <w:r w:rsidRPr="00C6424E">
        <w:rPr>
          <w:rFonts w:eastAsia="Calibri" w:cs="Helvetica"/>
          <w:color w:val="000000" w:themeColor="text1"/>
          <w:szCs w:val="24"/>
        </w:rPr>
        <w:t xml:space="preserve">Sahel, </w:t>
      </w:r>
      <w:r>
        <w:rPr>
          <w:rFonts w:eastAsia="Calibri" w:cs="Helvetica"/>
          <w:color w:val="000000" w:themeColor="text1"/>
          <w:szCs w:val="24"/>
        </w:rPr>
        <w:t xml:space="preserve">in </w:t>
      </w:r>
      <w:r w:rsidRPr="00C6424E">
        <w:rPr>
          <w:rFonts w:eastAsia="Calibri" w:cs="Helvetica"/>
          <w:color w:val="000000" w:themeColor="text1"/>
          <w:szCs w:val="24"/>
        </w:rPr>
        <w:t>the Horn of Africa, and Southern Africa, are under immense pressure from agricultural expansion, charcoal production, and unsustainable land-use practices</w:t>
      </w:r>
      <w:sdt>
        <w:sdtPr>
          <w:rPr>
            <w:rFonts w:eastAsia="Calibri" w:cs="Helvetica"/>
            <w:color w:val="000000" w:themeColor="text1"/>
            <w:szCs w:val="24"/>
          </w:rPr>
          <w:id w:val="577481800"/>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[5]</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p>
    <w:p w14:paraId="09CE696C" w14:textId="77777777" w:rsidR="00F0152C" w:rsidRPr="00C6424E" w:rsidRDefault="00F0152C" w:rsidP="00F0152C">
      <w:pPr>
        <w:ind w:right="301"/>
        <w:jc w:val="both"/>
        <w:rPr>
          <w:rFonts w:eastAsia="Calibri" w:cs="Helvetica"/>
          <w:color w:val="000000" w:themeColor="text1"/>
          <w:szCs w:val="24"/>
        </w:rPr>
      </w:pPr>
    </w:p>
    <w:p w14:paraId="4EAF1C77" w14:textId="7773BD3B" w:rsidR="00F0152C" w:rsidRPr="00C6424E" w:rsidRDefault="00F0152C" w:rsidP="00F0152C">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w:t>
      </w:r>
      <w:sdt>
        <w:sdtPr>
          <w:rPr>
            <w:rFonts w:eastAsia="Calibri" w:cs="Helvetica"/>
            <w:color w:val="000000" w:themeColor="text1"/>
            <w:szCs w:val="24"/>
          </w:rPr>
          <w:id w:val="-4552917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These forests are crucial for the ecological balance and the livelihoods of local communities, yet they have experienced notable degradation over the past four decades</w:t>
      </w:r>
      <w:sdt>
        <w:sdtPr>
          <w:rPr>
            <w:rFonts w:eastAsia="Calibri" w:cs="Helvetica"/>
            <w:color w:val="000000" w:themeColor="text1"/>
            <w:szCs w:val="24"/>
          </w:rPr>
          <w:id w:val="202242875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Pr>
              <w:rFonts w:eastAsia="Calibri" w:cs="Helvetica"/>
              <w:noProof/>
              <w:color w:val="000000" w:themeColor="text1"/>
              <w:szCs w:val="24"/>
            </w:rPr>
            <w:t xml:space="preserve"> </w:t>
          </w:r>
          <w:r w:rsidRPr="00F0152C">
            <w:rPr>
              <w:rFonts w:eastAsia="Calibri" w:cs="Helvetica"/>
              <w:noProof/>
              <w:color w:val="000000" w:themeColor="text1"/>
              <w:szCs w:val="24"/>
            </w:rPr>
            <w:t>[6]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However, the literature on forest cover change in East Africa often lacks a comprehensive analysis of the spatial and temporal dynamics specific to dryland forests, which are distinct from other forest types in the region. Moreover, there is limited literature on </w:t>
      </w:r>
      <w:r w:rsidR="00195D8F">
        <w:rPr>
          <w:rFonts w:eastAsia="Calibri" w:cs="Helvetica"/>
          <w:color w:val="000000" w:themeColor="text1"/>
          <w:szCs w:val="24"/>
        </w:rPr>
        <w:t xml:space="preserve">how members of </w:t>
      </w:r>
      <w:r w:rsidRPr="00C6424E">
        <w:rPr>
          <w:rFonts w:eastAsia="Calibri" w:cs="Helvetica"/>
          <w:color w:val="000000" w:themeColor="text1"/>
          <w:szCs w:val="24"/>
        </w:rPr>
        <w:t xml:space="preserve">Participatory Forest Management (PFM), which is used to mitigate forest degradation in </w:t>
      </w:r>
      <w:r w:rsidR="00195D8F">
        <w:rPr>
          <w:rFonts w:eastAsia="Calibri" w:cs="Helvetica"/>
          <w:color w:val="000000" w:themeColor="text1"/>
          <w:szCs w:val="24"/>
        </w:rPr>
        <w:t>dryland forest</w:t>
      </w:r>
      <w:r w:rsidRPr="00C6424E">
        <w:rPr>
          <w:rFonts w:eastAsia="Calibri" w:cs="Helvetica"/>
          <w:color w:val="000000" w:themeColor="text1"/>
          <w:szCs w:val="24"/>
        </w:rPr>
        <w:t xml:space="preserve"> areas, </w:t>
      </w:r>
      <w:r w:rsidR="00195D8F">
        <w:rPr>
          <w:rFonts w:eastAsia="Calibri" w:cs="Helvetica"/>
          <w:color w:val="000000" w:themeColor="text1"/>
          <w:szCs w:val="24"/>
        </w:rPr>
        <w:t>benefits directly</w:t>
      </w:r>
      <w:r w:rsidRPr="00C6424E">
        <w:rPr>
          <w:rFonts w:eastAsia="Calibri" w:cs="Helvetica"/>
          <w:color w:val="000000" w:themeColor="text1"/>
          <w:szCs w:val="24"/>
        </w:rPr>
        <w:t>.</w:t>
      </w:r>
    </w:p>
    <w:p w14:paraId="01BAC389" w14:textId="77777777" w:rsidR="00F0152C" w:rsidRDefault="00F0152C" w:rsidP="00755B6A">
      <w:pPr>
        <w:jc w:val="both"/>
        <w:rPr>
          <w:rFonts w:eastAsia="Calibri"/>
          <w:color w:val="000000" w:themeColor="text1"/>
          <w:szCs w:val="24"/>
        </w:rPr>
      </w:pPr>
    </w:p>
    <w:p w14:paraId="01694A22" w14:textId="1120E4C0" w:rsidR="00755B6A" w:rsidRPr="00103EF8" w:rsidRDefault="00755B6A" w:rsidP="00755B6A">
      <w:pPr>
        <w:jc w:val="both"/>
        <w:rPr>
          <w:rFonts w:eastAsia="Calibri"/>
          <w:color w:val="000000" w:themeColor="text1"/>
          <w:szCs w:val="24"/>
        </w:rPr>
      </w:pPr>
      <w:r w:rsidRPr="00103EF8">
        <w:rPr>
          <w:rFonts w:eastAsia="Calibri"/>
          <w:color w:val="000000" w:themeColor="text1"/>
          <w:szCs w:val="24"/>
        </w:rPr>
        <w:t xml:space="preserve">Economic activities </w:t>
      </w:r>
      <w:r w:rsidR="00195D8F">
        <w:rPr>
          <w:rFonts w:eastAsia="Calibri"/>
          <w:color w:val="000000" w:themeColor="text1"/>
          <w:szCs w:val="24"/>
        </w:rPr>
        <w:t>in forest</w:t>
      </w:r>
      <w:r w:rsidRPr="00103EF8">
        <w:rPr>
          <w:rFonts w:eastAsia="Calibri"/>
          <w:color w:val="000000" w:themeColor="text1"/>
          <w:szCs w:val="24"/>
        </w:rPr>
        <w:t xml:space="preserve"> are widely recognised as major drivers of deforestation and forest degradation, yet the specific impacts of these activities on dryland forests are less understood, particularly on a global scale</w:t>
      </w:r>
      <w:sdt>
        <w:sdtPr>
          <w:rPr>
            <w:rFonts w:eastAsia="Calibri"/>
            <w:color w:val="000000" w:themeColor="text1"/>
            <w:szCs w:val="24"/>
          </w:rPr>
          <w:id w:val="-1505049087"/>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Hea23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[7]</w:t>
          </w:r>
          <w:r w:rsidRPr="00103EF8">
            <w:rPr>
              <w:rFonts w:eastAsia="Calibri"/>
              <w:color w:val="000000" w:themeColor="text1"/>
              <w:szCs w:val="24"/>
            </w:rPr>
            <w:fldChar w:fldCharType="end"/>
          </w:r>
        </w:sdtContent>
      </w:sdt>
      <w:r w:rsidRPr="00103EF8">
        <w:rPr>
          <w:rFonts w:eastAsia="Calibri"/>
          <w:color w:val="000000" w:themeColor="text1"/>
          <w:szCs w:val="24"/>
        </w:rPr>
        <w:t xml:space="preserve">. According to </w:t>
      </w:r>
      <w:r w:rsidRPr="00103EF8">
        <w:rPr>
          <w:rFonts w:eastAsia="Calibri"/>
          <w:color w:val="000000" w:themeColor="text1"/>
          <w:szCs w:val="24"/>
        </w:rPr>
        <w:fldChar w:fldCharType="begin"/>
      </w:r>
      <w:r w:rsidRPr="00103EF8">
        <w:rPr>
          <w:rFonts w:eastAsia="Calibri"/>
          <w:color w:val="000000" w:themeColor="text1"/>
          <w:szCs w:val="24"/>
        </w:rPr>
        <w:instrText xml:space="preserve">CITATION FAO20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[1]</w:t>
      </w:r>
      <w:r w:rsidRPr="00103EF8">
        <w:rPr>
          <w:rFonts w:eastAsia="Calibri"/>
          <w:color w:val="000000" w:themeColor="text1"/>
          <w:szCs w:val="24"/>
        </w:rPr>
        <w:fldChar w:fldCharType="end"/>
      </w:r>
      <w:r w:rsidRPr="00103EF8">
        <w:rPr>
          <w:rFonts w:eastAsia="Calibri"/>
          <w:color w:val="000000" w:themeColor="text1"/>
          <w:szCs w:val="24"/>
        </w:rPr>
        <w:t>, Africa had the highest rate of deforestation per year between 2010 and 2020, at 3.9 million hectares per year. In countries like Sudan, dryland forest cover decreased due to anthropogenic activities</w:t>
      </w:r>
      <w:sdt>
        <w:sdtPr>
          <w:rPr>
            <w:rFonts w:eastAsia="Calibri"/>
            <w:color w:val="000000" w:themeColor="text1"/>
            <w:szCs w:val="24"/>
          </w:rPr>
          <w:id w:val="-308326746"/>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Ema23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[8]</w:t>
          </w:r>
          <w:r w:rsidRPr="00103EF8">
            <w:rPr>
              <w:rFonts w:eastAsia="Calibri"/>
              <w:color w:val="000000" w:themeColor="text1"/>
              <w:szCs w:val="24"/>
            </w:rPr>
            <w:fldChar w:fldCharType="end"/>
          </w:r>
        </w:sdtContent>
      </w:sdt>
      <w:r w:rsidRPr="00103EF8">
        <w:rPr>
          <w:rFonts w:eastAsia="Calibri"/>
          <w:color w:val="000000" w:themeColor="text1"/>
          <w:szCs w:val="24"/>
        </w:rPr>
        <w:t>. While there is substantial literature on the economic drivers of deforestation, such as agricultural expansion and logging, much of this research has focused on humid tropical forests, where the dynamics may differ from those in dryland regions. In Africa, economic factors like the demand for charcoal and agricultural land have been identified as key contributors to forest loss</w:t>
      </w:r>
      <w:sdt>
        <w:sdtPr>
          <w:rPr>
            <w:rFonts w:eastAsia="Calibri"/>
            <w:color w:val="000000" w:themeColor="text1"/>
            <w:szCs w:val="24"/>
          </w:rPr>
          <w:id w:val="647247830"/>
          <w:citation/>
        </w:sdtPr>
        <w:sdtEndPr/>
        <w:sdtContent>
          <w:r w:rsidRPr="00103EF8">
            <w:rPr>
              <w:rFonts w:eastAsia="Calibri"/>
              <w:color w:val="000000" w:themeColor="text1"/>
              <w:szCs w:val="24"/>
            </w:rPr>
            <w:fldChar w:fldCharType="begin"/>
          </w:r>
          <w:r w:rsidRPr="00103EF8">
            <w:rPr>
              <w:rFonts w:eastAsia="Calibri"/>
              <w:color w:val="000000" w:themeColor="text1"/>
              <w:szCs w:val="24"/>
            </w:rPr>
            <w:instrText xml:space="preserve"> CITATION Tan20 \l 1033 </w:instrText>
          </w:r>
          <w:r w:rsidRPr="00103EF8">
            <w:rPr>
              <w:rFonts w:eastAsia="Calibri"/>
              <w:color w:val="000000" w:themeColor="text1"/>
              <w:szCs w:val="24"/>
            </w:rPr>
            <w:fldChar w:fldCharType="separate"/>
          </w:r>
          <w:r w:rsidR="00F0152C">
            <w:rPr>
              <w:rFonts w:eastAsia="Calibri"/>
              <w:noProof/>
              <w:color w:val="000000" w:themeColor="text1"/>
              <w:szCs w:val="24"/>
            </w:rPr>
            <w:t xml:space="preserve"> </w:t>
          </w:r>
          <w:r w:rsidR="00F0152C" w:rsidRPr="00F0152C">
            <w:rPr>
              <w:rFonts w:eastAsia="Calibri"/>
              <w:noProof/>
              <w:color w:val="000000" w:themeColor="text1"/>
              <w:szCs w:val="24"/>
            </w:rPr>
            <w:t>[9]</w:t>
          </w:r>
          <w:r w:rsidRPr="00103EF8">
            <w:rPr>
              <w:rFonts w:eastAsia="Calibri"/>
              <w:color w:val="000000" w:themeColor="text1"/>
              <w:szCs w:val="24"/>
            </w:rPr>
            <w:fldChar w:fldCharType="end"/>
          </w:r>
        </w:sdtContent>
      </w:sdt>
      <w:r w:rsidRPr="00103EF8">
        <w:rPr>
          <w:rFonts w:eastAsia="Calibri"/>
          <w:color w:val="000000" w:themeColor="text1"/>
          <w:szCs w:val="24"/>
        </w:rPr>
        <w:t>, but the nuanced relationships between these factors and forest cover change require further exploration. In East Africa, the interplay between economic drives of deforestation is critical but under-researched. This study aims to fill this gap by examining how economic activities, such as agricultural expansion and charcoal production, have influenced dryland forest cover in the region, offering insights into balancing economic development with sustainable forest management.</w:t>
      </w:r>
    </w:p>
    <w:p w14:paraId="7145D8FA" w14:textId="77777777" w:rsidR="00790ADA" w:rsidRPr="00103EF8" w:rsidRDefault="00790ADA" w:rsidP="00441B6F">
      <w:pPr>
        <w:pStyle w:val="Body"/>
        <w:spacing w:after="0"/>
        <w:rPr>
          <w:rFonts w:ascii="Arial" w:hAnsi="Arial" w:cs="Arial"/>
        </w:rPr>
      </w:pPr>
    </w:p>
    <w:p w14:paraId="22950858" w14:textId="049DD0B3" w:rsidR="00790ADA" w:rsidRPr="00103EF8" w:rsidRDefault="00902823" w:rsidP="00441B6F">
      <w:pPr>
        <w:pStyle w:val="AbstHead"/>
        <w:spacing w:after="0"/>
        <w:jc w:val="both"/>
        <w:rPr>
          <w:rFonts w:ascii="Arial" w:hAnsi="Arial" w:cs="Arial"/>
        </w:rPr>
      </w:pPr>
      <w:r w:rsidRPr="00103EF8">
        <w:rPr>
          <w:rFonts w:ascii="Arial" w:hAnsi="Arial" w:cs="Arial"/>
        </w:rPr>
        <w:t>2. material and method</w:t>
      </w:r>
      <w:r w:rsidR="00000F8F" w:rsidRPr="00103EF8">
        <w:rPr>
          <w:rFonts w:ascii="Arial" w:hAnsi="Arial" w:cs="Arial"/>
        </w:rPr>
        <w:t xml:space="preserve">s </w:t>
      </w:r>
    </w:p>
    <w:p w14:paraId="35A19EA5" w14:textId="77777777" w:rsidR="00947656" w:rsidRPr="00103EF8" w:rsidRDefault="00947656" w:rsidP="00441B6F">
      <w:pPr>
        <w:pStyle w:val="AbstHead"/>
        <w:spacing w:after="0"/>
        <w:jc w:val="both"/>
        <w:rPr>
          <w:rFonts w:ascii="Arial" w:hAnsi="Arial" w:cs="Arial"/>
        </w:rPr>
      </w:pPr>
    </w:p>
    <w:p w14:paraId="23265BE6" w14:textId="20AD34AA" w:rsidR="00947656" w:rsidRPr="00103EF8" w:rsidRDefault="00947656" w:rsidP="00D333E9">
      <w:pPr>
        <w:pStyle w:val="AbstHead"/>
        <w:spacing w:after="0"/>
        <w:jc w:val="both"/>
        <w:rPr>
          <w:rFonts w:eastAsia="Calibri"/>
          <w:b w:val="0"/>
          <w:bCs/>
          <w:caps w:val="0"/>
          <w:color w:val="000000" w:themeColor="text1"/>
          <w:szCs w:val="24"/>
        </w:rPr>
      </w:pPr>
      <w:r w:rsidRPr="00103EF8">
        <w:rPr>
          <w:rFonts w:eastAsia="Calibri"/>
          <w:b w:val="0"/>
          <w:bCs/>
          <w:caps w:val="0"/>
          <w:color w:val="000000" w:themeColor="text1"/>
          <w:szCs w:val="24"/>
        </w:rPr>
        <w:t xml:space="preserve">This research used a descriptive survey design. The research design enabled the researcher to conduct and write coherent research, serving as a master </w:t>
      </w:r>
      <w:r w:rsidR="00D333E9" w:rsidRPr="00103EF8">
        <w:rPr>
          <w:rFonts w:ascii="Times New Roman" w:eastAsia="Calibri" w:hAnsi="Times New Roman"/>
          <w:b w:val="0"/>
          <w:caps w:val="0"/>
          <w:color w:val="000000"/>
          <w:sz w:val="24"/>
          <w:szCs w:val="24"/>
          <w14:ligatures w14:val="standardContextual"/>
        </w:rPr>
        <w:t xml:space="preserve">plan </w:t>
      </w:r>
      <w:sdt>
        <w:sdtPr>
          <w:rPr>
            <w:rFonts w:ascii="Times New Roman" w:eastAsia="Calibri" w:hAnsi="Times New Roman"/>
            <w:b w:val="0"/>
            <w:caps w:val="0"/>
            <w:color w:val="000000"/>
            <w:sz w:val="24"/>
            <w:szCs w:val="24"/>
            <w14:ligatures w14:val="standardContextual"/>
          </w:rPr>
          <w:id w:val="1800110704"/>
          <w:citation/>
        </w:sdtPr>
        <w:sdtEndPr/>
        <w:sdtContent>
          <w:r w:rsidR="00F02C10" w:rsidRPr="00103EF8">
            <w:rPr>
              <w:rFonts w:ascii="Times New Roman" w:eastAsia="Calibri" w:hAnsi="Times New Roman"/>
              <w:b w:val="0"/>
              <w:caps w:val="0"/>
              <w:color w:val="000000"/>
              <w:sz w:val="24"/>
              <w:szCs w:val="24"/>
              <w14:ligatures w14:val="standardContextual"/>
            </w:rPr>
            <w:fldChar w:fldCharType="begin"/>
          </w:r>
          <w:r w:rsidR="00F02C10" w:rsidRPr="00103EF8">
            <w:rPr>
              <w:rFonts w:ascii="Times New Roman" w:eastAsia="Calibri" w:hAnsi="Times New Roman"/>
              <w:b w:val="0"/>
              <w:caps w:val="0"/>
              <w:color w:val="000000"/>
              <w:sz w:val="24"/>
              <w:szCs w:val="24"/>
              <w14:ligatures w14:val="standardContextual"/>
            </w:rPr>
            <w:instrText xml:space="preserve"> CITATION Cre23 \l 1033 </w:instrText>
          </w:r>
          <w:r w:rsidR="00F02C10" w:rsidRPr="00103EF8">
            <w:rPr>
              <w:rFonts w:ascii="Times New Roman" w:eastAsia="Calibri" w:hAnsi="Times New Roman"/>
              <w:b w:val="0"/>
              <w:caps w:val="0"/>
              <w:color w:val="000000"/>
              <w:sz w:val="24"/>
              <w:szCs w:val="24"/>
              <w14:ligatures w14:val="standardContextual"/>
            </w:rPr>
            <w:fldChar w:fldCharType="separate"/>
          </w:r>
          <w:r w:rsidR="00F0152C" w:rsidRPr="00F0152C">
            <w:rPr>
              <w:rFonts w:ascii="Times New Roman" w:eastAsia="Calibri" w:hAnsi="Times New Roman"/>
              <w:noProof/>
              <w:color w:val="000000"/>
              <w:sz w:val="24"/>
              <w:szCs w:val="24"/>
              <w14:ligatures w14:val="standardContextual"/>
            </w:rPr>
            <w:t>[10]</w:t>
          </w:r>
          <w:r w:rsidR="00F02C10" w:rsidRPr="00103EF8">
            <w:rPr>
              <w:rFonts w:ascii="Times New Roman" w:eastAsia="Calibri" w:hAnsi="Times New Roman"/>
              <w:b w:val="0"/>
              <w:caps w:val="0"/>
              <w:color w:val="000000"/>
              <w:sz w:val="24"/>
              <w:szCs w:val="24"/>
              <w14:ligatures w14:val="standardContextual"/>
            </w:rPr>
            <w:fldChar w:fldCharType="end"/>
          </w:r>
        </w:sdtContent>
      </w:sdt>
      <w:r w:rsidRPr="00103EF8">
        <w:rPr>
          <w:rFonts w:eastAsia="Calibri"/>
          <w:b w:val="0"/>
          <w:bCs/>
          <w:color w:val="000000" w:themeColor="text1"/>
          <w:szCs w:val="24"/>
        </w:rPr>
        <w:t xml:space="preserve">. </w:t>
      </w:r>
      <w:r w:rsidRPr="00103EF8">
        <w:rPr>
          <w:rFonts w:eastAsia="Calibri"/>
          <w:b w:val="0"/>
          <w:bCs/>
          <w:caps w:val="0"/>
          <w:color w:val="000000" w:themeColor="text1"/>
          <w:szCs w:val="24"/>
        </w:rPr>
        <w:lastRenderedPageBreak/>
        <w:t xml:space="preserve">The study's research design incorporated a positivist philosophy, employed survey methods for data collection, and adopted a cross-sectional time horizon. </w:t>
      </w:r>
    </w:p>
    <w:p w14:paraId="6CB4CA82" w14:textId="77777777" w:rsidR="00947656" w:rsidRPr="00103EF8" w:rsidRDefault="00947656" w:rsidP="00D333E9">
      <w:pPr>
        <w:pStyle w:val="AbstHead"/>
        <w:spacing w:after="0"/>
        <w:jc w:val="both"/>
        <w:rPr>
          <w:rFonts w:ascii="Arial" w:hAnsi="Arial" w:cs="Arial"/>
          <w:b w:val="0"/>
          <w:bCs/>
        </w:rPr>
      </w:pPr>
    </w:p>
    <w:p w14:paraId="291ED316" w14:textId="7D92435F" w:rsidR="00527D9E" w:rsidRPr="00103EF8" w:rsidRDefault="00527D9E" w:rsidP="00D333E9">
      <w:pPr>
        <w:pStyle w:val="Body"/>
        <w:spacing w:after="0"/>
        <w:rPr>
          <w:rFonts w:ascii="Arial" w:hAnsi="Arial" w:cs="Arial"/>
        </w:rPr>
      </w:pPr>
      <w:r w:rsidRPr="00103EF8">
        <w:rPr>
          <w:rFonts w:eastAsia="Calibri"/>
          <w:noProof/>
          <w:color w:val="000000" w:themeColor="text1"/>
          <w:szCs w:val="24"/>
        </w:rPr>
        <w:drawing>
          <wp:inline distT="0" distB="0" distL="0" distR="0" wp14:anchorId="6F2F7DC2" wp14:editId="44BE2393">
            <wp:extent cx="5211762" cy="1799111"/>
            <wp:effectExtent l="0" t="0" r="8255" b="0"/>
            <wp:docPr id="4521835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9495" cy="1805233"/>
                    </a:xfrm>
                    <a:prstGeom prst="rect">
                      <a:avLst/>
                    </a:prstGeom>
                    <a:noFill/>
                    <a:ln>
                      <a:noFill/>
                    </a:ln>
                  </pic:spPr>
                </pic:pic>
              </a:graphicData>
            </a:graphic>
          </wp:inline>
        </w:drawing>
      </w:r>
    </w:p>
    <w:p w14:paraId="635E6864" w14:textId="2DCC9816" w:rsidR="00527D9E" w:rsidRPr="00103EF8" w:rsidRDefault="00527D9E" w:rsidP="00D333E9">
      <w:pPr>
        <w:pStyle w:val="Caption"/>
        <w:jc w:val="both"/>
        <w:rPr>
          <w:rFonts w:ascii="Arial" w:hAnsi="Arial" w:cs="Arial"/>
          <w:b/>
          <w:bCs/>
        </w:rPr>
      </w:pPr>
      <w:r w:rsidRPr="00103EF8">
        <w:rPr>
          <w:b/>
          <w:bCs/>
        </w:rPr>
        <w:t xml:space="preserve">Figure </w:t>
      </w:r>
      <w:r w:rsidRPr="00103EF8">
        <w:rPr>
          <w:b/>
          <w:bCs/>
        </w:rPr>
        <w:fldChar w:fldCharType="begin"/>
      </w:r>
      <w:r w:rsidRPr="00103EF8">
        <w:rPr>
          <w:b/>
          <w:bCs/>
        </w:rPr>
        <w:instrText xml:space="preserve"> SEQ Figure \* ARABIC </w:instrText>
      </w:r>
      <w:r w:rsidRPr="00103EF8">
        <w:rPr>
          <w:b/>
          <w:bCs/>
        </w:rPr>
        <w:fldChar w:fldCharType="separate"/>
      </w:r>
      <w:r w:rsidR="00F81893">
        <w:rPr>
          <w:b/>
          <w:bCs/>
          <w:noProof/>
        </w:rPr>
        <w:t>1</w:t>
      </w:r>
      <w:r w:rsidRPr="00103EF8">
        <w:rPr>
          <w:b/>
          <w:bCs/>
        </w:rPr>
        <w:fldChar w:fldCharType="end"/>
      </w:r>
      <w:r w:rsidRPr="00103EF8">
        <w:rPr>
          <w:b/>
          <w:bCs/>
        </w:rPr>
        <w:t>: Endau Forest (Study Area)</w:t>
      </w:r>
    </w:p>
    <w:p w14:paraId="2227D1A7" w14:textId="2BD1F269" w:rsidR="00947656" w:rsidRPr="00103EF8" w:rsidRDefault="00947656" w:rsidP="00D333E9">
      <w:pPr>
        <w:jc w:val="both"/>
        <w:rPr>
          <w:color w:val="000000" w:themeColor="text1"/>
        </w:rPr>
      </w:pPr>
      <w:r w:rsidRPr="00103EF8">
        <w:rPr>
          <w:rFonts w:eastAsia="Calibri"/>
          <w:color w:val="000000" w:themeColor="text1"/>
          <w:szCs w:val="24"/>
        </w:rPr>
        <w:t xml:space="preserve">This research was conducted in the </w:t>
      </w:r>
      <w:proofErr w:type="spellStart"/>
      <w:r w:rsidRPr="00103EF8">
        <w:rPr>
          <w:rFonts w:eastAsia="Calibri"/>
          <w:color w:val="000000" w:themeColor="text1"/>
          <w:szCs w:val="24"/>
        </w:rPr>
        <w:t>Mutitu</w:t>
      </w:r>
      <w:proofErr w:type="spellEnd"/>
      <w:r w:rsidRPr="00103EF8">
        <w:rPr>
          <w:rFonts w:eastAsia="Calibri"/>
          <w:color w:val="000000" w:themeColor="text1"/>
          <w:szCs w:val="24"/>
        </w:rPr>
        <w:t xml:space="preserve"> Sub-County in Kitui County. The forest is located on Endau Hill, with several peaks ranging between 814 M and 1400 M above sea level.</w:t>
      </w:r>
      <w:r w:rsidR="00641B59" w:rsidRPr="00103EF8">
        <w:rPr>
          <w:rFonts w:eastAsia="Calibri"/>
          <w:color w:val="000000" w:themeColor="text1"/>
          <w:szCs w:val="24"/>
        </w:rPr>
        <w:t xml:space="preserve"> The sampling frame was derived from households within the buffer zone, which was divided into four administrative sublocations. To ensure fair representation, proportionate sampling was used, distributing the sample size among these sublocations according to their respective population sizes. This approach guaranteed that each sublocation was adequately represented in the study.  </w:t>
      </w:r>
      <w:r w:rsidR="00641B59" w:rsidRPr="00103EF8">
        <w:rPr>
          <w:rFonts w:eastAsia="SimSun"/>
          <w:color w:val="000000" w:themeColor="text1"/>
          <w:szCs w:val="24"/>
        </w:rPr>
        <w:t xml:space="preserve">This paper used a sample size of </w:t>
      </w:r>
      <w:r w:rsidR="007C33E4" w:rsidRPr="00103EF8">
        <w:rPr>
          <w:rFonts w:eastAsia="SimSun"/>
          <w:color w:val="000000" w:themeColor="text1"/>
          <w:szCs w:val="24"/>
        </w:rPr>
        <w:t>298</w:t>
      </w:r>
      <w:r w:rsidR="00FD1128">
        <w:rPr>
          <w:rFonts w:eastAsia="SimSun"/>
          <w:color w:val="000000" w:themeColor="text1"/>
          <w:szCs w:val="24"/>
        </w:rPr>
        <w:t xml:space="preserve">, which was calculated using the </w:t>
      </w:r>
      <w:r w:rsidR="00641B59" w:rsidRPr="00103EF8">
        <w:rPr>
          <w:rFonts w:eastAsia="SimSun"/>
          <w:color w:val="000000" w:themeColor="text1"/>
          <w:szCs w:val="24"/>
        </w:rPr>
        <w:t>Yamane formula. From 2020 household</w:t>
      </w:r>
      <w:r w:rsidR="007C33E4" w:rsidRPr="00103EF8">
        <w:rPr>
          <w:rFonts w:eastAsia="SimSun"/>
          <w:color w:val="000000" w:themeColor="text1"/>
          <w:szCs w:val="24"/>
        </w:rPr>
        <w:t xml:space="preserve">. Proportionate distribution was used for fair representation </w:t>
      </w:r>
      <w:sdt>
        <w:sdtPr>
          <w:rPr>
            <w:rFonts w:eastAsia="SimSun"/>
            <w:color w:val="000000" w:themeColor="text1"/>
            <w:szCs w:val="24"/>
          </w:rPr>
          <w:id w:val="-1795813739"/>
          <w:citation/>
        </w:sdtPr>
        <w:sdtEndPr/>
        <w:sdtContent>
          <w:r w:rsidR="00F02C10" w:rsidRPr="00103EF8">
            <w:rPr>
              <w:rFonts w:eastAsia="SimSun"/>
              <w:color w:val="000000" w:themeColor="text1"/>
              <w:szCs w:val="24"/>
            </w:rPr>
            <w:fldChar w:fldCharType="begin"/>
          </w:r>
          <w:r w:rsidR="00F02C10" w:rsidRPr="00103EF8">
            <w:rPr>
              <w:rFonts w:eastAsia="SimSun"/>
              <w:color w:val="000000" w:themeColor="text1"/>
              <w:szCs w:val="24"/>
            </w:rPr>
            <w:instrText xml:space="preserve"> CITATION Cre23 \l 1033 </w:instrText>
          </w:r>
          <w:r w:rsidR="00F02C10" w:rsidRPr="00103EF8">
            <w:rPr>
              <w:rFonts w:eastAsia="SimSun"/>
              <w:color w:val="000000" w:themeColor="text1"/>
              <w:szCs w:val="24"/>
            </w:rPr>
            <w:fldChar w:fldCharType="separate"/>
          </w:r>
          <w:r w:rsidR="00F0152C" w:rsidRPr="00F0152C">
            <w:rPr>
              <w:rFonts w:eastAsia="SimSun"/>
              <w:noProof/>
              <w:color w:val="000000" w:themeColor="text1"/>
              <w:szCs w:val="24"/>
            </w:rPr>
            <w:t>[10]</w:t>
          </w:r>
          <w:r w:rsidR="00F02C10" w:rsidRPr="00103EF8">
            <w:rPr>
              <w:rFonts w:eastAsia="SimSun"/>
              <w:color w:val="000000" w:themeColor="text1"/>
              <w:szCs w:val="24"/>
            </w:rPr>
            <w:fldChar w:fldCharType="end"/>
          </w:r>
        </w:sdtContent>
      </w:sdt>
      <w:r w:rsidR="00641B59" w:rsidRPr="00103EF8">
        <w:rPr>
          <w:rFonts w:eastAsia="SimSun"/>
          <w:color w:val="000000" w:themeColor="text1"/>
          <w:szCs w:val="24"/>
        </w:rPr>
        <w:t xml:space="preserve">. </w:t>
      </w:r>
      <w:r w:rsidR="0024176A" w:rsidRPr="00103EF8">
        <w:rPr>
          <w:color w:val="000000" w:themeColor="text1"/>
        </w:rPr>
        <w:t xml:space="preserve">The highest number of respondents came from </w:t>
      </w:r>
      <w:proofErr w:type="spellStart"/>
      <w:r w:rsidR="0024176A" w:rsidRPr="00103EF8">
        <w:rPr>
          <w:color w:val="000000" w:themeColor="text1"/>
        </w:rPr>
        <w:t>Ndetani</w:t>
      </w:r>
      <w:proofErr w:type="spellEnd"/>
      <w:r w:rsidR="0024176A" w:rsidRPr="00103EF8">
        <w:rPr>
          <w:color w:val="000000" w:themeColor="text1"/>
        </w:rPr>
        <w:t xml:space="preserve"> 121 (40.6%), reflecting its population size. While some imbalance did exist, all sub-locations were reasonably represented, followed by </w:t>
      </w:r>
      <w:proofErr w:type="spellStart"/>
      <w:r w:rsidR="0024176A" w:rsidRPr="00103EF8">
        <w:rPr>
          <w:color w:val="000000" w:themeColor="text1"/>
        </w:rPr>
        <w:t>Yiuku</w:t>
      </w:r>
      <w:proofErr w:type="spellEnd"/>
      <w:r w:rsidR="0024176A" w:rsidRPr="00103EF8">
        <w:rPr>
          <w:color w:val="000000" w:themeColor="text1"/>
        </w:rPr>
        <w:t xml:space="preserve"> 73 (24.49%), </w:t>
      </w:r>
      <w:proofErr w:type="spellStart"/>
      <w:r w:rsidR="0024176A" w:rsidRPr="00103EF8">
        <w:rPr>
          <w:color w:val="000000" w:themeColor="text1"/>
        </w:rPr>
        <w:t>Katumbi</w:t>
      </w:r>
      <w:proofErr w:type="spellEnd"/>
      <w:r w:rsidR="0024176A" w:rsidRPr="00103EF8">
        <w:rPr>
          <w:color w:val="000000" w:themeColor="text1"/>
        </w:rPr>
        <w:t xml:space="preserve"> 53 (17.78%), and the lowest from Kathua 51 (17.11%), which enhanced the validity of the data and reduced location bias.</w:t>
      </w:r>
    </w:p>
    <w:p w14:paraId="358C2572" w14:textId="77777777" w:rsidR="00F02C10" w:rsidRPr="00103EF8" w:rsidRDefault="00F02C10" w:rsidP="00D333E9">
      <w:pPr>
        <w:jc w:val="both"/>
        <w:rPr>
          <w:rFonts w:eastAsia="Calibri"/>
          <w:color w:val="000000" w:themeColor="text1"/>
          <w:szCs w:val="24"/>
        </w:rPr>
      </w:pPr>
    </w:p>
    <w:p w14:paraId="1B14941E" w14:textId="77777777" w:rsidR="00902823" w:rsidRPr="00103EF8" w:rsidRDefault="00000F8F" w:rsidP="00D333E9">
      <w:pPr>
        <w:pStyle w:val="Head1"/>
        <w:spacing w:after="0"/>
        <w:jc w:val="both"/>
        <w:rPr>
          <w:rFonts w:ascii="Arial" w:hAnsi="Arial" w:cs="Arial"/>
        </w:rPr>
      </w:pPr>
      <w:r w:rsidRPr="00103EF8">
        <w:rPr>
          <w:rFonts w:ascii="Arial" w:hAnsi="Arial" w:cs="Arial"/>
        </w:rPr>
        <w:t>3</w:t>
      </w:r>
      <w:r w:rsidR="00902823" w:rsidRPr="00103EF8">
        <w:rPr>
          <w:rFonts w:ascii="Arial" w:hAnsi="Arial" w:cs="Arial"/>
        </w:rPr>
        <w:t xml:space="preserve">. </w:t>
      </w:r>
      <w:r w:rsidRPr="00103EF8">
        <w:rPr>
          <w:rFonts w:ascii="Arial" w:hAnsi="Arial" w:cs="Arial"/>
        </w:rPr>
        <w:t>results and discussion</w:t>
      </w:r>
    </w:p>
    <w:p w14:paraId="7F830EA6" w14:textId="77777777" w:rsidR="00790ADA" w:rsidRPr="00103EF8" w:rsidRDefault="00790ADA" w:rsidP="00D333E9">
      <w:pPr>
        <w:pStyle w:val="Head1"/>
        <w:spacing w:after="0"/>
        <w:jc w:val="both"/>
        <w:rPr>
          <w:rFonts w:ascii="Arial" w:hAnsi="Arial" w:cs="Arial"/>
        </w:rPr>
      </w:pPr>
    </w:p>
    <w:p w14:paraId="6B34B2ED" w14:textId="675EC6AA" w:rsidR="00F16895" w:rsidRPr="00103EF8" w:rsidRDefault="00F16895" w:rsidP="00D333E9">
      <w:pPr>
        <w:pStyle w:val="Body"/>
        <w:spacing w:after="0"/>
        <w:rPr>
          <w:rFonts w:ascii="Arial" w:hAnsi="Arial" w:cs="Arial"/>
          <w:b/>
          <w:caps/>
          <w:sz w:val="22"/>
        </w:rPr>
      </w:pPr>
      <w:r w:rsidRPr="00103EF8">
        <w:rPr>
          <w:rFonts w:ascii="Arial" w:hAnsi="Arial" w:cs="Arial"/>
          <w:b/>
          <w:caps/>
          <w:sz w:val="22"/>
        </w:rPr>
        <w:t xml:space="preserve">3.1 RESULTS  </w:t>
      </w:r>
    </w:p>
    <w:p w14:paraId="6A0D106E" w14:textId="4629DAC4" w:rsidR="00F16895" w:rsidRPr="00103EF8" w:rsidRDefault="00F16895" w:rsidP="00D333E9">
      <w:pPr>
        <w:pStyle w:val="Body"/>
        <w:spacing w:after="0"/>
        <w:rPr>
          <w:rFonts w:ascii="Arial" w:hAnsi="Arial" w:cs="Arial"/>
          <w:i/>
          <w:iCs/>
        </w:rPr>
      </w:pPr>
      <w:r w:rsidRPr="00103EF8">
        <w:rPr>
          <w:rFonts w:ascii="Arial" w:hAnsi="Arial" w:cs="Arial"/>
          <w:b/>
          <w:i/>
          <w:iCs/>
          <w:u w:val="single"/>
        </w:rPr>
        <w:t xml:space="preserve">3.1.1 </w:t>
      </w:r>
      <w:r w:rsidR="00D503F5">
        <w:rPr>
          <w:rFonts w:ascii="Arial" w:hAnsi="Arial" w:cs="Arial"/>
          <w:b/>
          <w:i/>
          <w:iCs/>
          <w:u w:val="single"/>
        </w:rPr>
        <w:t>Economic Causes of Forest Cover Change</w:t>
      </w:r>
      <w:r w:rsidRPr="00103EF8">
        <w:rPr>
          <w:rFonts w:ascii="Arial" w:hAnsi="Arial" w:cs="Arial"/>
          <w:i/>
          <w:iCs/>
        </w:rPr>
        <w:t xml:space="preserve">  </w:t>
      </w:r>
    </w:p>
    <w:p w14:paraId="693C863B" w14:textId="77777777" w:rsidR="00D503F5" w:rsidRDefault="00D503F5" w:rsidP="00D503F5">
      <w:pPr>
        <w:jc w:val="both"/>
        <w:rPr>
          <w:color w:val="000000" w:themeColor="text1"/>
        </w:rPr>
      </w:pPr>
      <w:r w:rsidRPr="00E93511">
        <w:t>Most of</w:t>
      </w:r>
      <w:r>
        <w:t xml:space="preserve"> the respondents (</w:t>
      </w:r>
      <w:r w:rsidRPr="00E93511">
        <w:t>72.5%</w:t>
      </w:r>
      <w:r>
        <w:t>)</w:t>
      </w:r>
      <w:r w:rsidRPr="00E93511">
        <w:t xml:space="preserve"> agreed</w:t>
      </w:r>
      <w:r>
        <w:rPr>
          <w:color w:val="000000" w:themeColor="text1"/>
        </w:rPr>
        <w:t xml:space="preserve"> that charcoal production was the major contributor to deforestation, </w:t>
      </w:r>
      <w:r w:rsidRPr="0037750B">
        <w:rPr>
          <w:color w:val="000000" w:themeColor="text1"/>
        </w:rPr>
        <w:t>while 13.8% remained neutral and 13.8% disagreed. Firewood collection</w:t>
      </w:r>
      <w:r>
        <w:rPr>
          <w:color w:val="000000" w:themeColor="text1"/>
        </w:rPr>
        <w:t xml:space="preserve"> contributed to</w:t>
      </w:r>
      <w:r w:rsidRPr="0037750B">
        <w:rPr>
          <w:color w:val="000000" w:themeColor="text1"/>
        </w:rPr>
        <w:t xml:space="preserve"> </w:t>
      </w:r>
      <w:r>
        <w:rPr>
          <w:color w:val="000000" w:themeColor="text1"/>
        </w:rPr>
        <w:t xml:space="preserve">the </w:t>
      </w:r>
      <w:r w:rsidRPr="0037750B">
        <w:rPr>
          <w:color w:val="000000" w:themeColor="text1"/>
        </w:rPr>
        <w:t>reduc</w:t>
      </w:r>
      <w:r>
        <w:rPr>
          <w:color w:val="000000" w:themeColor="text1"/>
        </w:rPr>
        <w:t>tion of</w:t>
      </w:r>
      <w:r w:rsidRPr="0037750B">
        <w:rPr>
          <w:color w:val="000000" w:themeColor="text1"/>
        </w:rPr>
        <w:t xml:space="preserve"> forest cover</w:t>
      </w:r>
      <w:r>
        <w:rPr>
          <w:color w:val="000000" w:themeColor="text1"/>
        </w:rPr>
        <w:t>.</w:t>
      </w:r>
      <w:r w:rsidRPr="0037750B">
        <w:rPr>
          <w:color w:val="000000" w:themeColor="text1"/>
        </w:rPr>
        <w:t xml:space="preserve"> A total of 69.8% of respondents agreed, indicating that firewood collection remains a significant contributor to forest degradation. However, 16.1% remain</w:t>
      </w:r>
      <w:r>
        <w:rPr>
          <w:color w:val="000000" w:themeColor="text1"/>
        </w:rPr>
        <w:t>ed neutral, and 14.0% disagreed.</w:t>
      </w:r>
      <w:r w:rsidRPr="0037750B">
        <w:rPr>
          <w:color w:val="000000" w:themeColor="text1"/>
        </w:rPr>
        <w:t xml:space="preserve"> </w:t>
      </w:r>
      <w:r>
        <w:rPr>
          <w:color w:val="000000" w:themeColor="text1"/>
        </w:rPr>
        <w:t>The results indicate that a</w:t>
      </w:r>
      <w:r w:rsidRPr="0037750B">
        <w:rPr>
          <w:color w:val="000000" w:themeColor="text1"/>
        </w:rPr>
        <w:t>gricultural expansion is one of the key drivers of forest cover change in t</w:t>
      </w:r>
      <w:r>
        <w:rPr>
          <w:color w:val="000000" w:themeColor="text1"/>
        </w:rPr>
        <w:t xml:space="preserve">he Endau, especially in the buffer zones. </w:t>
      </w:r>
      <w:r w:rsidRPr="0037750B">
        <w:rPr>
          <w:color w:val="000000" w:themeColor="text1"/>
        </w:rPr>
        <w:t xml:space="preserve">A total of 69.1% of respondents agreed, while 14.4% remained neutral and 16.5% disagreed. </w:t>
      </w:r>
    </w:p>
    <w:p w14:paraId="51F668DD" w14:textId="77777777" w:rsidR="00D503F5" w:rsidRDefault="00D503F5" w:rsidP="00D503F5">
      <w:pPr>
        <w:jc w:val="both"/>
        <w:rPr>
          <w:color w:val="000000" w:themeColor="text1"/>
        </w:rPr>
      </w:pPr>
    </w:p>
    <w:p w14:paraId="7521C18B" w14:textId="77777777" w:rsidR="00D503F5" w:rsidRDefault="00D503F5" w:rsidP="00D503F5">
      <w:pPr>
        <w:jc w:val="both"/>
        <w:rPr>
          <w:color w:val="000000" w:themeColor="text1"/>
        </w:rPr>
      </w:pPr>
      <w:r>
        <w:rPr>
          <w:color w:val="000000" w:themeColor="text1"/>
        </w:rPr>
        <w:t xml:space="preserve">The results noted that the grazing livestock in the forest contributes to the degradation of the forest, with </w:t>
      </w:r>
      <w:r w:rsidRPr="0037750B">
        <w:rPr>
          <w:color w:val="000000" w:themeColor="text1"/>
        </w:rPr>
        <w:t xml:space="preserve">72.5% of respondents agreeing, while 14.8% remained neutral, and 12.7% disagreed. Economic hardships </w:t>
      </w:r>
      <w:r>
        <w:rPr>
          <w:color w:val="000000" w:themeColor="text1"/>
        </w:rPr>
        <w:t>led</w:t>
      </w:r>
      <w:r w:rsidRPr="0037750B">
        <w:rPr>
          <w:color w:val="000000" w:themeColor="text1"/>
        </w:rPr>
        <w:t xml:space="preserve"> many households to rely on forest resources for survival</w:t>
      </w:r>
      <w:r>
        <w:rPr>
          <w:color w:val="000000" w:themeColor="text1"/>
        </w:rPr>
        <w:t xml:space="preserve">. </w:t>
      </w:r>
      <w:r w:rsidRPr="0037750B">
        <w:rPr>
          <w:color w:val="000000" w:themeColor="text1"/>
        </w:rPr>
        <w:t>A total of 68.5% of respondents agreed, while 19.8% were neutral and 11.7% disagreed. The demand for timber and wood products was also identified as a key factor influencing deforestation. A total of 69.8% of respondents agreed, while 18.5% remained neutral and 11.7% disagreed. Market demand for agricultural products encouraged deforestation for farming activities</w:t>
      </w:r>
      <w:r>
        <w:rPr>
          <w:color w:val="000000" w:themeColor="text1"/>
        </w:rPr>
        <w:t xml:space="preserve">. </w:t>
      </w:r>
      <w:r w:rsidRPr="0037750B">
        <w:rPr>
          <w:color w:val="000000" w:themeColor="text1"/>
        </w:rPr>
        <w:t xml:space="preserve">A total of 68.5% of respondents agreed, while 15.4% remained neutral and 16.1% disagreed. </w:t>
      </w:r>
    </w:p>
    <w:p w14:paraId="1ED82EF0" w14:textId="77777777" w:rsidR="00792CF8" w:rsidRPr="00103EF8" w:rsidRDefault="00792CF8" w:rsidP="00D333E9">
      <w:pPr>
        <w:jc w:val="both"/>
        <w:rPr>
          <w:color w:val="000000" w:themeColor="text1"/>
        </w:rPr>
      </w:pPr>
    </w:p>
    <w:p w14:paraId="2BF9E155" w14:textId="0BAD42DD" w:rsidR="00FD1128" w:rsidRPr="00FD1128" w:rsidRDefault="00FD1128" w:rsidP="00D333E9">
      <w:pPr>
        <w:jc w:val="both"/>
        <w:rPr>
          <w:rStyle w:val="SubtleEmphasis"/>
          <w:b/>
          <w:bCs/>
        </w:rPr>
      </w:pPr>
      <w:r w:rsidRPr="00FD1128">
        <w:rPr>
          <w:rStyle w:val="SubtleEmphasis"/>
          <w:b/>
          <w:bCs/>
        </w:rPr>
        <w:t xml:space="preserve">3.1.1 Charcoal burning </w:t>
      </w:r>
    </w:p>
    <w:p w14:paraId="53C17DCB" w14:textId="7FE26998" w:rsidR="00792CF8" w:rsidRPr="00103EF8" w:rsidRDefault="00792CF8" w:rsidP="00D333E9">
      <w:pPr>
        <w:jc w:val="both"/>
      </w:pPr>
      <w:r w:rsidRPr="00103EF8">
        <w:lastRenderedPageBreak/>
        <w:t>M</w:t>
      </w:r>
      <w:r w:rsidR="00D503F5">
        <w:t>ost of the</w:t>
      </w:r>
      <w:r w:rsidRPr="00103EF8">
        <w:t xml:space="preserve"> households in</w:t>
      </w:r>
      <w:r w:rsidR="00D503F5">
        <w:t xml:space="preserve"> Endau</w:t>
      </w:r>
      <w:r w:rsidRPr="00103EF8">
        <w:t xml:space="preserve"> buffer zone communities rely heavily on forest-based activities to supplement their income, particularly during periods of economic stress or environmental hardship. Charcoal production emerged as the most dominant livelihood activity and a major contributor to forest degradation. The availability of county-issued licenses permitting charcoal production for domestic use has created a regulatory loophole. These permits are frequently exploited by commercial traders, leading to large-scale and often unregulated deforestation.  As one community leader explained:</w:t>
      </w:r>
    </w:p>
    <w:p w14:paraId="4103B747" w14:textId="77777777" w:rsidR="00792CF8" w:rsidRPr="00103EF8" w:rsidRDefault="00792CF8" w:rsidP="00D333E9">
      <w:pPr>
        <w:ind w:left="720"/>
        <w:jc w:val="both"/>
        <w:rPr>
          <w:i/>
          <w:iCs/>
        </w:rPr>
      </w:pPr>
      <w:r w:rsidRPr="00103EF8">
        <w:rPr>
          <w:i/>
          <w:iCs/>
        </w:rPr>
        <w:t>“Charcoal production remains a major livelihood, making it difficult to control deforestation. Since the county government gives licenses to produce charcoal for local use, traders take advantage of this situation and do mass production of charcoal.”</w:t>
      </w:r>
    </w:p>
    <w:p w14:paraId="469AF32A" w14:textId="77777777" w:rsidR="00792CF8" w:rsidRPr="00103EF8" w:rsidRDefault="00792CF8" w:rsidP="00D333E9">
      <w:pPr>
        <w:jc w:val="both"/>
      </w:pPr>
      <w:r w:rsidRPr="00103EF8">
        <w:t>A forest officer added:</w:t>
      </w:r>
    </w:p>
    <w:p w14:paraId="416F59F7" w14:textId="77777777" w:rsidR="00792CF8" w:rsidRPr="00103EF8" w:rsidRDefault="00792CF8" w:rsidP="00984030">
      <w:pPr>
        <w:ind w:left="720"/>
        <w:jc w:val="both"/>
        <w:rPr>
          <w:i/>
          <w:iCs/>
        </w:rPr>
      </w:pPr>
      <w:r w:rsidRPr="00103EF8">
        <w:t>“</w:t>
      </w:r>
      <w:r w:rsidRPr="00103EF8">
        <w:rPr>
          <w:i/>
          <w:iCs/>
        </w:rPr>
        <w:t>When there is drought for a long time, the residents have no other economic activities, hence they produce charcoal and graze livestock in the forest.”</w:t>
      </w:r>
    </w:p>
    <w:p w14:paraId="67DB2C0C" w14:textId="77777777" w:rsidR="00792CF8" w:rsidRPr="00103EF8" w:rsidRDefault="00792CF8" w:rsidP="00D333E9">
      <w:pPr>
        <w:jc w:val="both"/>
      </w:pPr>
      <w:r w:rsidRPr="00103EF8">
        <w:t>The profitability of charcoal, especially when combined with limited oversight, incentivises overharvesting and undermines conservation regulations. Similarly, small-scale agriculture is practised in parts of the buffer zone, with trees often cleared to expand farmland. This is especially problematic in areas with insecure land tenure, where forest boundaries are poorly defined or contested.</w:t>
      </w:r>
    </w:p>
    <w:p w14:paraId="5E35C7F6" w14:textId="77777777" w:rsidR="00792CF8" w:rsidRPr="00103EF8" w:rsidRDefault="00792CF8" w:rsidP="00D333E9">
      <w:pPr>
        <w:jc w:val="both"/>
      </w:pPr>
    </w:p>
    <w:p w14:paraId="50450F05" w14:textId="5B8DDDBA" w:rsidR="00792CF8" w:rsidRPr="00FD1128" w:rsidRDefault="00F16895" w:rsidP="00D333E9">
      <w:pPr>
        <w:pStyle w:val="Heading4"/>
        <w:jc w:val="both"/>
        <w:rPr>
          <w:b/>
          <w:color w:val="auto"/>
        </w:rPr>
      </w:pPr>
      <w:r w:rsidRPr="00FD1128">
        <w:rPr>
          <w:rFonts w:ascii="Arial" w:hAnsi="Arial" w:cs="Arial"/>
          <w:b/>
          <w:color w:val="auto"/>
        </w:rPr>
        <w:t>3.1.</w:t>
      </w:r>
      <w:r w:rsidR="00FD1128">
        <w:rPr>
          <w:rFonts w:ascii="Arial" w:hAnsi="Arial" w:cs="Arial"/>
          <w:b/>
          <w:color w:val="auto"/>
        </w:rPr>
        <w:t xml:space="preserve">2 </w:t>
      </w:r>
      <w:r w:rsidR="00792CF8" w:rsidRPr="00FD1128">
        <w:rPr>
          <w:b/>
          <w:color w:val="auto"/>
        </w:rPr>
        <w:t>Illegal Logging and Commercial Interests</w:t>
      </w:r>
    </w:p>
    <w:p w14:paraId="045E06D1" w14:textId="77777777" w:rsidR="00792CF8" w:rsidRPr="00103EF8" w:rsidRDefault="00792CF8" w:rsidP="00D333E9">
      <w:pPr>
        <w:jc w:val="both"/>
      </w:pPr>
      <w:r w:rsidRPr="00103EF8">
        <w:t>Illegal logging, though officially banned, remains widespread in parts of Endau Forest. The practice continues due to its high profitability and protection by influential actors. A conservation officer observed:</w:t>
      </w:r>
    </w:p>
    <w:p w14:paraId="263824CB" w14:textId="77777777" w:rsidR="00792CF8" w:rsidRPr="00103EF8" w:rsidRDefault="00792CF8" w:rsidP="00D333E9">
      <w:pPr>
        <w:ind w:left="720"/>
        <w:jc w:val="both"/>
        <w:rPr>
          <w:i/>
          <w:iCs/>
        </w:rPr>
      </w:pPr>
      <w:r w:rsidRPr="00103EF8">
        <w:t>“</w:t>
      </w:r>
      <w:r w:rsidRPr="00103EF8">
        <w:rPr>
          <w:i/>
          <w:iCs/>
        </w:rPr>
        <w:t>Illegal logging remains lucrative, making it difficult to convince people to stop. Most of the people who participate in illegal logging are either politicians or well-connected people.”</w:t>
      </w:r>
    </w:p>
    <w:p w14:paraId="52E8414F" w14:textId="40CA9F0D" w:rsidR="00792CF8" w:rsidRDefault="00792CF8" w:rsidP="00D333E9">
      <w:pPr>
        <w:jc w:val="both"/>
      </w:pPr>
      <w:r w:rsidRPr="00103EF8">
        <w:t xml:space="preserve">The value of some indigenous trees is very high, incentivising some </w:t>
      </w:r>
      <w:r w:rsidR="00DA7C9D">
        <w:t>business people</w:t>
      </w:r>
      <w:r w:rsidRPr="00103EF8">
        <w:t xml:space="preserve"> to cut down the trees and sell even without a permit, even among those who are aware of the ecological consequences. While forest patrols and enforcement exist, they are often undermined by a lack of sufficient human resources, political interference and budgetary constraints.</w:t>
      </w:r>
    </w:p>
    <w:p w14:paraId="50857680" w14:textId="77777777" w:rsidR="0038291C" w:rsidRPr="00103EF8" w:rsidRDefault="0038291C" w:rsidP="00D333E9">
      <w:pPr>
        <w:jc w:val="both"/>
      </w:pPr>
    </w:p>
    <w:p w14:paraId="331E4B11" w14:textId="77777777" w:rsidR="00792CF8" w:rsidRPr="00103EF8" w:rsidRDefault="00792CF8" w:rsidP="00D333E9">
      <w:pPr>
        <w:jc w:val="both"/>
      </w:pPr>
      <w:r w:rsidRPr="00103EF8">
        <w:t>Other forms of commercial use, such as livestock grazing, further complicate forest management. Despite recommendations from the National Environment Management Authority (NEMA) to limit grazing, allowances are made for residents to pay nominal fees for grazing rights. However, these permissions are often expanded informally. A conservation officer explained:</w:t>
      </w:r>
    </w:p>
    <w:p w14:paraId="2C329D13" w14:textId="77777777" w:rsidR="00792CF8" w:rsidRPr="00103EF8" w:rsidRDefault="00792CF8" w:rsidP="00D333E9">
      <w:pPr>
        <w:ind w:left="720"/>
        <w:jc w:val="both"/>
        <w:rPr>
          <w:i/>
          <w:iCs/>
        </w:rPr>
      </w:pPr>
      <w:r w:rsidRPr="00103EF8">
        <w:rPr>
          <w:i/>
          <w:iCs/>
        </w:rPr>
        <w:t xml:space="preserve">“The residents pay </w:t>
      </w:r>
      <w:proofErr w:type="spellStart"/>
      <w:r w:rsidRPr="00103EF8">
        <w:rPr>
          <w:i/>
          <w:iCs/>
        </w:rPr>
        <w:t>Ksh</w:t>
      </w:r>
      <w:proofErr w:type="spellEnd"/>
      <w:r w:rsidRPr="00103EF8">
        <w:rPr>
          <w:i/>
          <w:iCs/>
        </w:rPr>
        <w:t xml:space="preserve"> 100 per month to graze cows in the forest. Also, those who wish to graze sheep pay </w:t>
      </w:r>
      <w:proofErr w:type="spellStart"/>
      <w:r w:rsidRPr="00103EF8">
        <w:rPr>
          <w:i/>
          <w:iCs/>
        </w:rPr>
        <w:t>Ksh</w:t>
      </w:r>
      <w:proofErr w:type="spellEnd"/>
      <w:r w:rsidRPr="00103EF8">
        <w:rPr>
          <w:i/>
          <w:iCs/>
        </w:rPr>
        <w:t xml:space="preserve"> 40 per month to be allowed.”</w:t>
      </w:r>
    </w:p>
    <w:p w14:paraId="2CC0A9D6" w14:textId="77777777" w:rsidR="00792CF8" w:rsidRDefault="00792CF8" w:rsidP="00D333E9">
      <w:pPr>
        <w:jc w:val="both"/>
      </w:pPr>
      <w:r w:rsidRPr="00103EF8">
        <w:t>While intended to regulate access, these small fees are rarely enforced in practice and often encourage rather than limit unsustainable grazing practices. There are only four KFS rangers to guard the whole forest, hence little reinforcement.</w:t>
      </w:r>
    </w:p>
    <w:p w14:paraId="5D202540" w14:textId="77777777" w:rsidR="002A0E56" w:rsidRPr="00103EF8" w:rsidRDefault="002A0E56" w:rsidP="00D333E9">
      <w:pPr>
        <w:jc w:val="both"/>
      </w:pPr>
    </w:p>
    <w:p w14:paraId="464E741C" w14:textId="77777777" w:rsidR="00792CF8" w:rsidRPr="00103EF8" w:rsidRDefault="00792CF8" w:rsidP="00D333E9">
      <w:pPr>
        <w:jc w:val="both"/>
      </w:pPr>
      <w:r w:rsidRPr="00103EF8">
        <w:t>Further, Payments for Ecosystem Services (PES) were mentioned as a potential motivator for community-level conservation. These financial incentives reward individuals or groups who actively protect forest resources. However, their current scale and outreach remain limited. As noted in the results, while these positive alternatives show promise, they remain insufficient to outweigh the high financial appeal of charcoal production and illegal logging.</w:t>
      </w:r>
    </w:p>
    <w:p w14:paraId="3779717E" w14:textId="77777777" w:rsidR="00792CF8" w:rsidRPr="00103EF8" w:rsidRDefault="00792CF8" w:rsidP="00D333E9">
      <w:pPr>
        <w:jc w:val="both"/>
        <w:rPr>
          <w:color w:val="000000" w:themeColor="text1"/>
        </w:rPr>
      </w:pPr>
    </w:p>
    <w:p w14:paraId="2E10A9F9" w14:textId="7139035A" w:rsidR="00863BD3" w:rsidRDefault="00792CF8" w:rsidP="00DA7C9D">
      <w:pPr>
        <w:jc w:val="both"/>
      </w:pPr>
      <w:r w:rsidRPr="00103EF8">
        <w:t xml:space="preserve">Based on the Pearson correlation analysis between Economic Benefits and Dryland Forest Cover Change, the findings indicate a strong positive relationship, with a correlation coefficient </w:t>
      </w:r>
      <w:r w:rsidRPr="00103EF8">
        <w:lastRenderedPageBreak/>
        <w:t>of 0.860. This relationship is statistically</w:t>
      </w:r>
      <w:r w:rsidR="0038291C">
        <w:t xml:space="preserve"> significant</w:t>
      </w:r>
      <w:r w:rsidRPr="00103EF8">
        <w:t xml:space="preserve"> (</w:t>
      </w:r>
      <w:r w:rsidRPr="00103EF8">
        <w:rPr>
          <w:i/>
          <w:iCs/>
        </w:rPr>
        <w:t>p</w:t>
      </w:r>
      <w:r w:rsidRPr="00103EF8">
        <w:t xml:space="preserve"> = 0.01), implying that the association is highly unlikely to have occurred by chance. </w:t>
      </w:r>
    </w:p>
    <w:p w14:paraId="50D6EAB1" w14:textId="77777777" w:rsidR="00DA7C9D" w:rsidRPr="00103EF8" w:rsidRDefault="00DA7C9D" w:rsidP="00DA7C9D">
      <w:pPr>
        <w:jc w:val="both"/>
        <w:rPr>
          <w:rFonts w:ascii="Arial" w:hAnsi="Arial" w:cs="Arial"/>
        </w:rPr>
      </w:pPr>
    </w:p>
    <w:p w14:paraId="7214F9C6" w14:textId="737F0F75" w:rsidR="00E053D0" w:rsidRPr="00103EF8" w:rsidRDefault="00C30A0F" w:rsidP="00D333E9">
      <w:pPr>
        <w:pStyle w:val="Body"/>
        <w:spacing w:after="0"/>
        <w:rPr>
          <w:rFonts w:ascii="Arial" w:hAnsi="Arial" w:cs="Arial"/>
        </w:rPr>
      </w:pPr>
      <w:r w:rsidRPr="00103EF8">
        <w:rPr>
          <w:rFonts w:ascii="Arial" w:hAnsi="Arial" w:cs="Arial"/>
          <w:b/>
          <w:caps/>
          <w:sz w:val="22"/>
        </w:rPr>
        <w:t>3.</w:t>
      </w:r>
      <w:r w:rsidR="00D333E9" w:rsidRPr="00103EF8">
        <w:rPr>
          <w:rFonts w:ascii="Arial" w:hAnsi="Arial" w:cs="Arial"/>
          <w:b/>
          <w:caps/>
          <w:sz w:val="22"/>
        </w:rPr>
        <w:t>2</w:t>
      </w:r>
      <w:r w:rsidRPr="00103EF8">
        <w:rPr>
          <w:rFonts w:ascii="Arial" w:hAnsi="Arial" w:cs="Arial"/>
          <w:b/>
          <w:caps/>
          <w:sz w:val="22"/>
        </w:rPr>
        <w:t xml:space="preserve"> </w:t>
      </w:r>
      <w:r w:rsidR="00D333E9" w:rsidRPr="00103EF8">
        <w:rPr>
          <w:rFonts w:ascii="Arial" w:hAnsi="Arial" w:cs="Arial"/>
          <w:b/>
          <w:sz w:val="22"/>
        </w:rPr>
        <w:t xml:space="preserve">Discussion </w:t>
      </w:r>
      <w:r w:rsidRPr="00103EF8">
        <w:rPr>
          <w:rFonts w:ascii="Arial" w:hAnsi="Arial" w:cs="Arial"/>
          <w:b/>
          <w:sz w:val="22"/>
        </w:rPr>
        <w:t xml:space="preserve"> </w:t>
      </w:r>
    </w:p>
    <w:p w14:paraId="29BF1239" w14:textId="77777777" w:rsidR="00790ADA" w:rsidRPr="00103EF8" w:rsidRDefault="00790ADA" w:rsidP="00D333E9">
      <w:pPr>
        <w:pStyle w:val="Body"/>
        <w:spacing w:after="0"/>
        <w:rPr>
          <w:rFonts w:ascii="Arial" w:hAnsi="Arial" w:cs="Arial"/>
        </w:rPr>
      </w:pPr>
    </w:p>
    <w:p w14:paraId="1FFAD64E" w14:textId="294D9381" w:rsidR="00D333E9" w:rsidRPr="00103EF8" w:rsidRDefault="00D333E9" w:rsidP="00D333E9">
      <w:pPr>
        <w:jc w:val="both"/>
        <w:rPr>
          <w:color w:val="000000" w:themeColor="text1"/>
        </w:rPr>
      </w:pPr>
      <w:r w:rsidRPr="00103EF8">
        <w:rPr>
          <w:color w:val="000000" w:themeColor="text1"/>
        </w:rPr>
        <w:t xml:space="preserve">Charcoal production remains a critical driver of deforestation in the Endau region. More than two-thirds of respondents reported that residents frequently cut down trees to produce charcoal, especially during periods of drought when alternative income sources are limited. Charcoal serves as a primary source of income for many rural households; however, its production often involves unsustainable harvesting practices that accelerate forest degradation. </w:t>
      </w:r>
      <w:proofErr w:type="spellStart"/>
      <w:r w:rsidRPr="00103EF8">
        <w:rPr>
          <w:color w:val="000000" w:themeColor="text1"/>
        </w:rPr>
        <w:t>Boscow</w:t>
      </w:r>
      <w:proofErr w:type="spellEnd"/>
      <w:r w:rsidRPr="00103EF8">
        <w:rPr>
          <w:color w:val="000000" w:themeColor="text1"/>
        </w:rPr>
        <w:t xml:space="preserve"> </w:t>
      </w:r>
      <w:sdt>
        <w:sdtPr>
          <w:rPr>
            <w:color w:val="000000" w:themeColor="text1"/>
          </w:rPr>
          <w:id w:val="-1179273013"/>
          <w:citation/>
        </w:sdtPr>
        <w:sdtEndPr/>
        <w:sdtContent>
          <w:r w:rsidR="00F02C10" w:rsidRPr="00103EF8">
            <w:rPr>
              <w:color w:val="000000" w:themeColor="text1"/>
            </w:rPr>
            <w:fldChar w:fldCharType="begin"/>
          </w:r>
          <w:r w:rsidR="00F02C10" w:rsidRPr="00103EF8">
            <w:rPr>
              <w:color w:val="000000" w:themeColor="text1"/>
            </w:rPr>
            <w:instrText xml:space="preserve"> CITATION Bos17 \l 1033 </w:instrText>
          </w:r>
          <w:r w:rsidR="00F02C10" w:rsidRPr="00103EF8">
            <w:rPr>
              <w:color w:val="000000" w:themeColor="text1"/>
            </w:rPr>
            <w:fldChar w:fldCharType="separate"/>
          </w:r>
          <w:r w:rsidR="00F0152C" w:rsidRPr="00F0152C">
            <w:rPr>
              <w:noProof/>
              <w:color w:val="000000" w:themeColor="text1"/>
            </w:rPr>
            <w:t>[11]</w:t>
          </w:r>
          <w:r w:rsidR="00F02C10" w:rsidRPr="00103EF8">
            <w:rPr>
              <w:color w:val="000000" w:themeColor="text1"/>
            </w:rPr>
            <w:fldChar w:fldCharType="end"/>
          </w:r>
        </w:sdtContent>
      </w:sdt>
      <w:r w:rsidRPr="00103EF8">
        <w:rPr>
          <w:color w:val="000000" w:themeColor="text1"/>
        </w:rPr>
        <w:t xml:space="preserve"> highlights similar patterns in dryland regions, where charcoal production significantly contributes to forest loss. Introducing alternative energy sources, such as briquettes, along with afforestation programs, could help reduce dependency on charcoal.</w:t>
      </w:r>
    </w:p>
    <w:p w14:paraId="74FC36DD" w14:textId="77777777" w:rsidR="00D333E9" w:rsidRPr="00103EF8" w:rsidRDefault="00D333E9" w:rsidP="00D333E9">
      <w:pPr>
        <w:jc w:val="both"/>
        <w:rPr>
          <w:color w:val="000000" w:themeColor="text1"/>
        </w:rPr>
      </w:pPr>
    </w:p>
    <w:p w14:paraId="0AD1B5E6" w14:textId="20D8C4F2" w:rsidR="00D333E9" w:rsidRPr="00103EF8" w:rsidRDefault="00D333E9" w:rsidP="00D333E9">
      <w:pPr>
        <w:jc w:val="both"/>
        <w:rPr>
          <w:color w:val="000000" w:themeColor="text1"/>
        </w:rPr>
      </w:pPr>
      <w:r w:rsidRPr="00103EF8">
        <w:rPr>
          <w:color w:val="000000" w:themeColor="text1"/>
        </w:rPr>
        <w:t>Firewood collection also contributes to forest cover change, although some respondents perceived its impact as less severe. Selling firewood for income gradually depletes tree cover, particularly in areas where other energy sources are unavailable. Mbuvi</w:t>
      </w:r>
      <w:r w:rsidR="00F02C10" w:rsidRPr="00103EF8">
        <w:rPr>
          <w:color w:val="000000" w:themeColor="text1"/>
        </w:rPr>
        <w:t xml:space="preserve"> </w:t>
      </w:r>
      <w:sdt>
        <w:sdtPr>
          <w:rPr>
            <w:color w:val="000000" w:themeColor="text1"/>
          </w:rPr>
          <w:id w:val="-1186362632"/>
          <w:citation/>
        </w:sdtPr>
        <w:sdtEndPr/>
        <w:sdtContent>
          <w:r w:rsidR="00F02C10" w:rsidRPr="00103EF8">
            <w:rPr>
              <w:color w:val="000000" w:themeColor="text1"/>
            </w:rPr>
            <w:fldChar w:fldCharType="begin"/>
          </w:r>
          <w:r w:rsidR="00F02C10" w:rsidRPr="00103EF8">
            <w:rPr>
              <w:color w:val="000000" w:themeColor="text1"/>
            </w:rPr>
            <w:instrText xml:space="preserve"> CITATION MŨS18 \l 1033 </w:instrText>
          </w:r>
          <w:r w:rsidR="00F02C10" w:rsidRPr="00103EF8">
            <w:rPr>
              <w:color w:val="000000" w:themeColor="text1"/>
            </w:rPr>
            <w:fldChar w:fldCharType="separate"/>
          </w:r>
          <w:r w:rsidR="00F0152C" w:rsidRPr="00F0152C">
            <w:rPr>
              <w:noProof/>
              <w:color w:val="000000" w:themeColor="text1"/>
            </w:rPr>
            <w:t>[12]</w:t>
          </w:r>
          <w:r w:rsidR="00F02C10" w:rsidRPr="00103EF8">
            <w:rPr>
              <w:color w:val="000000" w:themeColor="text1"/>
            </w:rPr>
            <w:fldChar w:fldCharType="end"/>
          </w:r>
        </w:sdtContent>
      </w:sdt>
      <w:r w:rsidRPr="00103EF8">
        <w:rPr>
          <w:color w:val="000000" w:themeColor="text1"/>
        </w:rPr>
        <w:t xml:space="preserve"> notes that firewood remains the main cooking fuel in many rural communities, and without viable alternatives, this reliance is likely to persist. Even limited tree-cutting in dryland forests can have serious long-term ecological consequences, necessitating the development of sustainable energy solutions and community education on forest conservation.</w:t>
      </w:r>
    </w:p>
    <w:p w14:paraId="2A3BE48A" w14:textId="77777777" w:rsidR="00D333E9" w:rsidRPr="00103EF8" w:rsidRDefault="00D333E9" w:rsidP="00D333E9">
      <w:pPr>
        <w:jc w:val="both"/>
        <w:rPr>
          <w:color w:val="000000" w:themeColor="text1"/>
        </w:rPr>
      </w:pPr>
    </w:p>
    <w:p w14:paraId="56BB4D82" w14:textId="623B5E3B" w:rsidR="00D333E9" w:rsidRPr="00103EF8" w:rsidRDefault="00D333E9" w:rsidP="00D333E9">
      <w:pPr>
        <w:jc w:val="both"/>
        <w:rPr>
          <w:color w:val="000000" w:themeColor="text1"/>
        </w:rPr>
      </w:pPr>
      <w:r w:rsidRPr="00103EF8">
        <w:rPr>
          <w:color w:val="000000" w:themeColor="text1"/>
        </w:rPr>
        <w:t xml:space="preserve">Livestock grazing emerged as another significant factor affecting forest ecosystems. Respondents reported grazing their animals in the forest during dry seasons, especially during prolonged droughts. Community members are permitted to graze livestock in forest areas under certain conditions, such as during emergencies or with payment. However, studies by </w:t>
      </w:r>
      <w:proofErr w:type="spellStart"/>
      <w:r w:rsidRPr="00103EF8">
        <w:rPr>
          <w:color w:val="000000" w:themeColor="text1"/>
        </w:rPr>
        <w:t>Gebregergs</w:t>
      </w:r>
      <w:proofErr w:type="spellEnd"/>
      <w:r w:rsidRPr="00103EF8">
        <w:rPr>
          <w:color w:val="000000" w:themeColor="text1"/>
        </w:rPr>
        <w:t xml:space="preserve"> et al. (2019)</w:t>
      </w:r>
      <w:r w:rsidR="00F02C10" w:rsidRPr="00103EF8">
        <w:rPr>
          <w:color w:val="000000" w:themeColor="text1"/>
        </w:rPr>
        <w:t xml:space="preserve"> </w:t>
      </w:r>
      <w:sdt>
        <w:sdtPr>
          <w:rPr>
            <w:color w:val="000000" w:themeColor="text1"/>
          </w:rPr>
          <w:id w:val="689725609"/>
          <w:citation/>
        </w:sdtPr>
        <w:sdtEndPr/>
        <w:sdtContent>
          <w:r w:rsidR="00F02C10" w:rsidRPr="00103EF8">
            <w:rPr>
              <w:color w:val="000000" w:themeColor="text1"/>
            </w:rPr>
            <w:fldChar w:fldCharType="begin"/>
          </w:r>
          <w:r w:rsidR="00F02C10" w:rsidRPr="00103EF8">
            <w:rPr>
              <w:color w:val="000000" w:themeColor="text1"/>
            </w:rPr>
            <w:instrText xml:space="preserve"> CITATION Geb19 \l 1033 </w:instrText>
          </w:r>
          <w:r w:rsidR="00F02C10" w:rsidRPr="00103EF8">
            <w:rPr>
              <w:color w:val="000000" w:themeColor="text1"/>
            </w:rPr>
            <w:fldChar w:fldCharType="separate"/>
          </w:r>
          <w:r w:rsidR="00F0152C" w:rsidRPr="00F0152C">
            <w:rPr>
              <w:noProof/>
              <w:color w:val="000000" w:themeColor="text1"/>
            </w:rPr>
            <w:t>[13]</w:t>
          </w:r>
          <w:r w:rsidR="00F02C10" w:rsidRPr="00103EF8">
            <w:rPr>
              <w:color w:val="000000" w:themeColor="text1"/>
            </w:rPr>
            <w:fldChar w:fldCharType="end"/>
          </w:r>
        </w:sdtContent>
      </w:sdt>
      <w:r w:rsidRPr="00103EF8">
        <w:rPr>
          <w:color w:val="000000" w:themeColor="text1"/>
        </w:rPr>
        <w:t xml:space="preserve"> show that overgrazing leads to soil compaction, hinders forest regeneration, and contributes to deforestation. Implementing controlled grazing systems, such as designated zones and rotational grazing practices, may mitigate these effects and enhance forest sustainability.</w:t>
      </w:r>
    </w:p>
    <w:p w14:paraId="6A996A16" w14:textId="77777777" w:rsidR="00D333E9" w:rsidRPr="00103EF8" w:rsidRDefault="00D333E9" w:rsidP="00D333E9">
      <w:pPr>
        <w:jc w:val="both"/>
        <w:rPr>
          <w:color w:val="000000" w:themeColor="text1"/>
        </w:rPr>
      </w:pPr>
    </w:p>
    <w:p w14:paraId="1A87C37B" w14:textId="75EB4879" w:rsidR="00D333E9" w:rsidRPr="00103EF8" w:rsidRDefault="00D333E9" w:rsidP="00D333E9">
      <w:pPr>
        <w:jc w:val="both"/>
        <w:rPr>
          <w:color w:val="000000" w:themeColor="text1"/>
        </w:rPr>
      </w:pPr>
      <w:r w:rsidRPr="00103EF8">
        <w:rPr>
          <w:color w:val="000000" w:themeColor="text1"/>
        </w:rPr>
        <w:t xml:space="preserve">Agricultural expansion was widely cited as a contributor to forest clearance, driven by high market demand and the pursuit of economic gains. Respondents acknowledged that both commercial and subsistence farming contribute to deforestation, as forested land is often cleared to increase crop production. Sedano et al. (2022) </w:t>
      </w:r>
      <w:sdt>
        <w:sdtPr>
          <w:rPr>
            <w:color w:val="000000" w:themeColor="text1"/>
          </w:rPr>
          <w:id w:val="-936434001"/>
          <w:citation/>
        </w:sdtPr>
        <w:sdtEndPr/>
        <w:sdtContent>
          <w:r w:rsidR="00F02C10" w:rsidRPr="00103EF8">
            <w:rPr>
              <w:color w:val="000000" w:themeColor="text1"/>
            </w:rPr>
            <w:fldChar w:fldCharType="begin"/>
          </w:r>
          <w:r w:rsidR="00F02C10" w:rsidRPr="00103EF8">
            <w:rPr>
              <w:color w:val="000000" w:themeColor="text1"/>
            </w:rPr>
            <w:instrText xml:space="preserve"> CITATION Sed22 \l 1033 </w:instrText>
          </w:r>
          <w:r w:rsidR="00F02C10" w:rsidRPr="00103EF8">
            <w:rPr>
              <w:color w:val="000000" w:themeColor="text1"/>
            </w:rPr>
            <w:fldChar w:fldCharType="separate"/>
          </w:r>
          <w:r w:rsidR="00F0152C" w:rsidRPr="00F0152C">
            <w:rPr>
              <w:noProof/>
              <w:color w:val="000000" w:themeColor="text1"/>
            </w:rPr>
            <w:t>[14]</w:t>
          </w:r>
          <w:r w:rsidR="00F02C10" w:rsidRPr="00103EF8">
            <w:rPr>
              <w:color w:val="000000" w:themeColor="text1"/>
            </w:rPr>
            <w:fldChar w:fldCharType="end"/>
          </w:r>
        </w:sdtContent>
      </w:sdt>
      <w:r w:rsidR="00F02C10" w:rsidRPr="00103EF8">
        <w:rPr>
          <w:color w:val="000000" w:themeColor="text1"/>
        </w:rPr>
        <w:t xml:space="preserve"> </w:t>
      </w:r>
      <w:r w:rsidRPr="00103EF8">
        <w:rPr>
          <w:color w:val="000000" w:themeColor="text1"/>
        </w:rPr>
        <w:t xml:space="preserve">argue that without sustainable land management, farming activities pose a substantial threat to forest ecosystems. These findings concur with </w:t>
      </w:r>
      <w:r w:rsidRPr="00103EF8">
        <w:t xml:space="preserve">Doggart </w:t>
      </w:r>
      <w:r w:rsidRPr="00103EF8">
        <w:rPr>
          <w:i/>
        </w:rPr>
        <w:t>et al</w:t>
      </w:r>
      <w:r w:rsidRPr="00103EF8">
        <w:t>. (2020)</w:t>
      </w:r>
      <w:sdt>
        <w:sdtPr>
          <w:id w:val="-511454569"/>
          <w:citation/>
        </w:sdtPr>
        <w:sdtEndPr/>
        <w:sdtContent>
          <w:r w:rsidR="006C59F0" w:rsidRPr="00103EF8">
            <w:fldChar w:fldCharType="begin"/>
          </w:r>
          <w:r w:rsidR="006C59F0" w:rsidRPr="00103EF8">
            <w:instrText xml:space="preserve"> CITATION Nik20 \l 1033 </w:instrText>
          </w:r>
          <w:r w:rsidR="006C59F0" w:rsidRPr="00103EF8">
            <w:fldChar w:fldCharType="separate"/>
          </w:r>
          <w:r w:rsidR="00F0152C">
            <w:rPr>
              <w:noProof/>
            </w:rPr>
            <w:t xml:space="preserve"> [15]</w:t>
          </w:r>
          <w:r w:rsidR="006C59F0" w:rsidRPr="00103EF8">
            <w:fldChar w:fldCharType="end"/>
          </w:r>
        </w:sdtContent>
      </w:sdt>
      <w:r w:rsidR="00F02C10" w:rsidRPr="00103EF8">
        <w:t xml:space="preserve"> </w:t>
      </w:r>
      <w:r w:rsidRPr="00103EF8">
        <w:t>who found that agriculture is the most dominant economic factor that led to deforestation.</w:t>
      </w:r>
      <w:r w:rsidRPr="00103EF8">
        <w:rPr>
          <w:color w:val="000000" w:themeColor="text1"/>
        </w:rPr>
        <w:t xml:space="preserve"> Promoting conservation farming, offering incentives for agroforestry, and enforcing land-use regulations could help reduce agriculturally driven deforestation and protect forest resources.</w:t>
      </w:r>
    </w:p>
    <w:p w14:paraId="65631854" w14:textId="77777777" w:rsidR="00D333E9" w:rsidRPr="00103EF8" w:rsidRDefault="00D333E9" w:rsidP="00D333E9">
      <w:pPr>
        <w:jc w:val="both"/>
        <w:rPr>
          <w:color w:val="000000" w:themeColor="text1"/>
        </w:rPr>
      </w:pPr>
    </w:p>
    <w:p w14:paraId="25A935C5" w14:textId="7C381A7C" w:rsidR="00D333E9" w:rsidRPr="00103EF8" w:rsidRDefault="00D333E9" w:rsidP="00D333E9">
      <w:pPr>
        <w:jc w:val="both"/>
        <w:rPr>
          <w:color w:val="000000" w:themeColor="text1"/>
        </w:rPr>
      </w:pPr>
      <w:r w:rsidRPr="00103EF8">
        <w:rPr>
          <w:color w:val="000000" w:themeColor="text1"/>
        </w:rPr>
        <w:t xml:space="preserve">Economic vulnerability plays a central role in driving forest degradation. Households facing financial hardship often turn to logging, charcoal production, and firewood collection to meet their basic needs. These unsustainable practices result in the continued loss of forest cover. </w:t>
      </w:r>
      <w:proofErr w:type="spellStart"/>
      <w:r w:rsidRPr="00103EF8">
        <w:rPr>
          <w:color w:val="000000" w:themeColor="text1"/>
        </w:rPr>
        <w:t>Fagariba</w:t>
      </w:r>
      <w:proofErr w:type="spellEnd"/>
      <w:r w:rsidRPr="00103EF8">
        <w:rPr>
          <w:color w:val="000000" w:themeColor="text1"/>
        </w:rPr>
        <w:t xml:space="preserve"> et al. (2018)</w:t>
      </w:r>
      <w:sdt>
        <w:sdtPr>
          <w:rPr>
            <w:color w:val="000000" w:themeColor="text1"/>
          </w:rPr>
          <w:id w:val="1635527884"/>
          <w:citation/>
        </w:sdtPr>
        <w:sdtEndPr/>
        <w:sdtContent>
          <w:r w:rsidR="006C59F0" w:rsidRPr="00103EF8">
            <w:rPr>
              <w:color w:val="000000" w:themeColor="text1"/>
            </w:rPr>
            <w:fldChar w:fldCharType="begin"/>
          </w:r>
          <w:r w:rsidR="006C59F0" w:rsidRPr="00103EF8">
            <w:rPr>
              <w:color w:val="000000" w:themeColor="text1"/>
            </w:rPr>
            <w:instrText xml:space="preserve"> CITATION Fag18 \l 1033 </w:instrText>
          </w:r>
          <w:r w:rsidR="006C59F0"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[16]</w:t>
          </w:r>
          <w:r w:rsidR="006C59F0" w:rsidRPr="00103EF8">
            <w:rPr>
              <w:color w:val="000000" w:themeColor="text1"/>
            </w:rPr>
            <w:fldChar w:fldCharType="end"/>
          </w:r>
        </w:sdtContent>
      </w:sdt>
      <w:r w:rsidRPr="00103EF8">
        <w:rPr>
          <w:color w:val="000000" w:themeColor="text1"/>
        </w:rPr>
        <w:t xml:space="preserve"> identify poverty as a key driver of environmental degradation in forest-dependent communities. Addressing this issue requires the implementation of alternative livelihood programs and the promotion of community-based forest management to balance economic needs with environmental protection.</w:t>
      </w:r>
    </w:p>
    <w:p w14:paraId="67808594" w14:textId="77777777" w:rsidR="00D333E9" w:rsidRPr="00103EF8" w:rsidRDefault="00D333E9" w:rsidP="00D333E9">
      <w:pPr>
        <w:jc w:val="both"/>
        <w:rPr>
          <w:color w:val="000000" w:themeColor="text1"/>
        </w:rPr>
      </w:pPr>
    </w:p>
    <w:p w14:paraId="489175C0" w14:textId="58C0239F" w:rsidR="00D333E9" w:rsidRPr="00103EF8" w:rsidRDefault="00D333E9" w:rsidP="00D333E9">
      <w:pPr>
        <w:jc w:val="both"/>
        <w:rPr>
          <w:color w:val="000000" w:themeColor="text1"/>
        </w:rPr>
      </w:pPr>
      <w:r w:rsidRPr="00103EF8">
        <w:rPr>
          <w:color w:val="000000" w:themeColor="text1"/>
        </w:rPr>
        <w:t>Timber harvesting for construction and commercial use also contributes significantly to forest loss. As the population grows, the demand for forest products increases, consistent with the forest transition theory. Petersen et al. (2021)</w:t>
      </w:r>
      <w:sdt>
        <w:sdtPr>
          <w:rPr>
            <w:color w:val="000000" w:themeColor="text1"/>
          </w:rPr>
          <w:id w:val="-1288277908"/>
          <w:citation/>
        </w:sdtPr>
        <w:sdtEndPr/>
        <w:sdtContent>
          <w:r w:rsidR="006C59F0" w:rsidRPr="00103EF8">
            <w:rPr>
              <w:color w:val="000000" w:themeColor="text1"/>
            </w:rPr>
            <w:fldChar w:fldCharType="begin"/>
          </w:r>
          <w:r w:rsidR="006C59F0" w:rsidRPr="00103EF8">
            <w:rPr>
              <w:color w:val="000000" w:themeColor="text1"/>
            </w:rPr>
            <w:instrText xml:space="preserve"> CITATION Pet21 \l 1033 </w:instrText>
          </w:r>
          <w:r w:rsidR="006C59F0"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[17]</w:t>
          </w:r>
          <w:r w:rsidR="006C59F0" w:rsidRPr="00103EF8">
            <w:rPr>
              <w:color w:val="000000" w:themeColor="text1"/>
            </w:rPr>
            <w:fldChar w:fldCharType="end"/>
          </w:r>
        </w:sdtContent>
      </w:sdt>
      <w:r w:rsidRPr="00103EF8">
        <w:rPr>
          <w:color w:val="000000" w:themeColor="text1"/>
        </w:rPr>
        <w:t xml:space="preserve"> report that unsustainable logging, coupled with weak enforcement of forestry regulations, exacerbates deforestation. Strengthening </w:t>
      </w:r>
      <w:r w:rsidRPr="00103EF8">
        <w:rPr>
          <w:color w:val="000000" w:themeColor="text1"/>
        </w:rPr>
        <w:lastRenderedPageBreak/>
        <w:t>regulatory frameworks and promoting tree-planting initiatives could help mitigate the negative impacts of timber extraction.</w:t>
      </w:r>
    </w:p>
    <w:p w14:paraId="0F5F31AD" w14:textId="77777777" w:rsidR="00D333E9" w:rsidRPr="00103EF8" w:rsidRDefault="00D333E9" w:rsidP="00D333E9">
      <w:pPr>
        <w:jc w:val="both"/>
        <w:rPr>
          <w:color w:val="000000" w:themeColor="text1"/>
        </w:rPr>
      </w:pPr>
    </w:p>
    <w:p w14:paraId="5201750A" w14:textId="742EDA0B" w:rsidR="00D333E9" w:rsidRPr="00103EF8" w:rsidRDefault="00D333E9" w:rsidP="00D333E9">
      <w:pPr>
        <w:jc w:val="both"/>
        <w:rPr>
          <w:color w:val="000000" w:themeColor="text1"/>
        </w:rPr>
      </w:pPr>
      <w:r w:rsidRPr="00103EF8">
        <w:rPr>
          <w:color w:val="000000" w:themeColor="text1"/>
        </w:rPr>
        <w:t xml:space="preserve">The cumulative findings indicate that multiple economic activities, charcoal production, firewood collection, agricultural expansion, livestock grazing, and timber harvesting, are collectively responsible for forest degradation in the region. These pressures are primarily driven by economic necessity, market demand, and limited livelihood alternatives. These results are consistent with </w:t>
      </w:r>
      <w:r w:rsidRPr="00103EF8">
        <w:t xml:space="preserve">Ranjan </w:t>
      </w:r>
      <w:r w:rsidRPr="00103EF8">
        <w:rPr>
          <w:i/>
          <w:iCs/>
        </w:rPr>
        <w:t>et al</w:t>
      </w:r>
      <w:r w:rsidRPr="00103EF8">
        <w:t>. (2025)</w:t>
      </w:r>
      <w:r w:rsidR="006C59F0" w:rsidRPr="00103EF8">
        <w:t xml:space="preserve"> </w:t>
      </w:r>
      <w:sdt>
        <w:sdtPr>
          <w:id w:val="-1035885876"/>
          <w:citation/>
        </w:sdtPr>
        <w:sdtEndPr/>
        <w:sdtContent>
          <w:r w:rsidR="006C59F0" w:rsidRPr="00103EF8">
            <w:fldChar w:fldCharType="begin"/>
          </w:r>
          <w:r w:rsidR="006C59F0" w:rsidRPr="00103EF8">
            <w:instrText xml:space="preserve"> CITATION Gau \l 1033 </w:instrText>
          </w:r>
          <w:r w:rsidR="006C59F0" w:rsidRPr="00103EF8">
            <w:fldChar w:fldCharType="separate"/>
          </w:r>
          <w:r w:rsidR="00F0152C">
            <w:rPr>
              <w:noProof/>
            </w:rPr>
            <w:t>[18]</w:t>
          </w:r>
          <w:r w:rsidR="006C59F0" w:rsidRPr="00103EF8">
            <w:fldChar w:fldCharType="end"/>
          </w:r>
        </w:sdtContent>
      </w:sdt>
      <w:r w:rsidRPr="00103EF8">
        <w:t xml:space="preserve"> </w:t>
      </w:r>
      <w:r w:rsidR="00FD1128">
        <w:t>Who found that forest cover change was caused by economic drivers such as agriculture, grazing, and timber</w:t>
      </w:r>
      <w:r w:rsidRPr="00103EF8">
        <w:t xml:space="preserve"> harvesting</w:t>
      </w:r>
      <w:r w:rsidR="00FD1128">
        <w:t>.</w:t>
      </w:r>
      <w:r w:rsidRPr="00103EF8">
        <w:rPr>
          <w:color w:val="000000" w:themeColor="text1"/>
        </w:rPr>
        <w:t xml:space="preserve"> The high level of agreement among respondents reinforces the urgency of addressing the economic drivers of deforestation through integrated forest conservation strategies.</w:t>
      </w:r>
    </w:p>
    <w:p w14:paraId="1CF3ED82" w14:textId="77777777" w:rsidR="00D333E9" w:rsidRPr="00103EF8" w:rsidRDefault="00D333E9" w:rsidP="00D333E9">
      <w:pPr>
        <w:jc w:val="both"/>
        <w:rPr>
          <w:color w:val="000000" w:themeColor="text1"/>
        </w:rPr>
      </w:pPr>
    </w:p>
    <w:p w14:paraId="54EB44C7" w14:textId="0BF9495B" w:rsidR="00D333E9" w:rsidRPr="00103EF8" w:rsidRDefault="00FD1128" w:rsidP="00D333E9">
      <w:pPr>
        <w:jc w:val="both"/>
        <w:rPr>
          <w:color w:val="000000" w:themeColor="text1"/>
        </w:rPr>
      </w:pPr>
      <w:r>
        <w:rPr>
          <w:color w:val="000000" w:themeColor="text1"/>
        </w:rPr>
        <w:t>The</w:t>
      </w:r>
      <w:r w:rsidR="00D333E9" w:rsidRPr="00103EF8">
        <w:rPr>
          <w:color w:val="000000" w:themeColor="text1"/>
        </w:rPr>
        <w:t xml:space="preserve"> result suggests that as economic benefits derived from forest conservation increase, there is a corresponding positive impact on dryland forest cover. In practical terms, this means that communities that perceive or receive tangible economic incentives, such as income from ecotourism, sustainable logging, agroforestry, or payments for ecosystem services, are more likely to engage in practices that protect and restore forest cover.</w:t>
      </w:r>
    </w:p>
    <w:p w14:paraId="60BA7B1B" w14:textId="77777777" w:rsidR="00D333E9" w:rsidRPr="00103EF8" w:rsidRDefault="00D333E9" w:rsidP="00D333E9">
      <w:pPr>
        <w:jc w:val="both"/>
        <w:rPr>
          <w:color w:val="000000" w:themeColor="text1"/>
        </w:rPr>
      </w:pPr>
    </w:p>
    <w:p w14:paraId="6D119B77" w14:textId="359C83C4" w:rsidR="00D333E9" w:rsidRPr="00103EF8" w:rsidRDefault="00D333E9" w:rsidP="00D333E9">
      <w:pPr>
        <w:jc w:val="both"/>
        <w:rPr>
          <w:color w:val="000000" w:themeColor="text1"/>
        </w:rPr>
      </w:pPr>
      <w:r w:rsidRPr="00103EF8">
        <w:rPr>
          <w:color w:val="000000" w:themeColor="text1"/>
        </w:rPr>
        <w:t xml:space="preserve">These findings align with </w:t>
      </w:r>
      <w:proofErr w:type="spellStart"/>
      <w:r w:rsidRPr="00103EF8">
        <w:rPr>
          <w:rFonts w:eastAsia="Calibri"/>
          <w:color w:val="000000" w:themeColor="text1"/>
          <w:szCs w:val="24"/>
        </w:rPr>
        <w:t>Waisse</w:t>
      </w:r>
      <w:proofErr w:type="spellEnd"/>
      <w:r w:rsidRPr="00103EF8">
        <w:rPr>
          <w:rFonts w:eastAsia="Calibri"/>
          <w:color w:val="000000" w:themeColor="text1"/>
          <w:szCs w:val="24"/>
        </w:rPr>
        <w:t xml:space="preserve"> </w:t>
      </w:r>
      <w:r w:rsidRPr="00103EF8">
        <w:rPr>
          <w:rFonts w:eastAsia="Calibri"/>
          <w:i/>
          <w:color w:val="000000" w:themeColor="text1"/>
          <w:szCs w:val="24"/>
        </w:rPr>
        <w:t>et al</w:t>
      </w:r>
      <w:r w:rsidRPr="00103EF8">
        <w:rPr>
          <w:rFonts w:eastAsia="Calibri"/>
          <w:color w:val="000000" w:themeColor="text1"/>
          <w:szCs w:val="24"/>
        </w:rPr>
        <w:t>. (2023)</w:t>
      </w:r>
      <w:r w:rsidR="006C59F0" w:rsidRPr="00103EF8">
        <w:rPr>
          <w:rFonts w:eastAsia="Calibri"/>
          <w:color w:val="000000" w:themeColor="text1"/>
          <w:szCs w:val="24"/>
        </w:rPr>
        <w:t xml:space="preserve"> </w:t>
      </w:r>
      <w:sdt>
        <w:sdtPr>
          <w:rPr>
            <w:rFonts w:eastAsia="Calibri"/>
            <w:color w:val="000000" w:themeColor="text1"/>
            <w:szCs w:val="24"/>
          </w:rPr>
          <w:id w:val="485295346"/>
          <w:citation/>
        </w:sdtPr>
        <w:sdtEndPr/>
        <w:sdtContent>
          <w:r w:rsidR="006C59F0" w:rsidRPr="00103EF8">
            <w:rPr>
              <w:rFonts w:eastAsia="Calibri"/>
              <w:color w:val="000000" w:themeColor="text1"/>
              <w:szCs w:val="24"/>
            </w:rPr>
            <w:fldChar w:fldCharType="begin"/>
          </w:r>
          <w:r w:rsidR="006C59F0" w:rsidRPr="00103EF8">
            <w:rPr>
              <w:rFonts w:eastAsia="Calibri"/>
              <w:color w:val="000000" w:themeColor="text1"/>
              <w:szCs w:val="24"/>
            </w:rPr>
            <w:instrText xml:space="preserve"> CITATION Mik23 \l 1033 </w:instrText>
          </w:r>
          <w:r w:rsidR="006C59F0" w:rsidRPr="00103EF8">
            <w:rPr>
              <w:rFonts w:eastAsia="Calibri"/>
              <w:color w:val="000000" w:themeColor="text1"/>
              <w:szCs w:val="24"/>
            </w:rPr>
            <w:fldChar w:fldCharType="separate"/>
          </w:r>
          <w:r w:rsidR="00F0152C" w:rsidRPr="00F0152C">
            <w:rPr>
              <w:rFonts w:eastAsia="Calibri"/>
              <w:noProof/>
              <w:color w:val="000000" w:themeColor="text1"/>
              <w:szCs w:val="24"/>
            </w:rPr>
            <w:t>[19]</w:t>
          </w:r>
          <w:r w:rsidR="006C59F0" w:rsidRPr="00103EF8">
            <w:rPr>
              <w:rFonts w:eastAsia="Calibri"/>
              <w:color w:val="000000" w:themeColor="text1"/>
              <w:szCs w:val="24"/>
            </w:rPr>
            <w:fldChar w:fldCharType="end"/>
          </w:r>
        </w:sdtContent>
      </w:sdt>
      <w:r w:rsidRPr="00103EF8">
        <w:rPr>
          <w:color w:val="000000" w:themeColor="text1"/>
        </w:rPr>
        <w:t xml:space="preserve"> </w:t>
      </w:r>
      <w:r w:rsidR="006C59F0" w:rsidRPr="00103EF8">
        <w:rPr>
          <w:color w:val="000000" w:themeColor="text1"/>
        </w:rPr>
        <w:t xml:space="preserve"> </w:t>
      </w:r>
      <w:r w:rsidRPr="00103EF8">
        <w:rPr>
          <w:color w:val="000000" w:themeColor="text1"/>
        </w:rPr>
        <w:t>who posit the importance of integrating livelihood support mechanisms into forest conservation strategies. For instance, economic viability has been shown to play a key role in influencing community attitudes and behaviours towards environmental stewardship. When communities benefit economically from conservation initiatives, they are more motivated to participate in sustainable land management practices.</w:t>
      </w:r>
    </w:p>
    <w:p w14:paraId="57860A35" w14:textId="77777777" w:rsidR="00D333E9" w:rsidRPr="00103EF8" w:rsidRDefault="00D333E9" w:rsidP="00D333E9">
      <w:pPr>
        <w:jc w:val="both"/>
        <w:rPr>
          <w:color w:val="000000" w:themeColor="text1"/>
        </w:rPr>
      </w:pPr>
    </w:p>
    <w:p w14:paraId="4C427556" w14:textId="500C68B4" w:rsidR="00D333E9" w:rsidRPr="00103EF8" w:rsidRDefault="00D333E9" w:rsidP="00D333E9">
      <w:pPr>
        <w:jc w:val="both"/>
        <w:rPr>
          <w:color w:val="000000" w:themeColor="text1"/>
        </w:rPr>
      </w:pPr>
      <w:r w:rsidRPr="00103EF8">
        <w:rPr>
          <w:color w:val="000000" w:themeColor="text1"/>
        </w:rPr>
        <w:t xml:space="preserve">This strong correlation reinforces the need for policy frameworks that link conservation efforts with economic empowerment, particularly in dryland regions where forest-dependent communities face economic hardship. Programs that enhance access to credit, promote value-added forest products, and ensure equitable benefit-sharing can help reduce deforestation pressures and support long-term ecological sustainability. A Pearson correlation coefficient of 0.860, statistically significant at the 0.001 level, indicates a strong positive relationship between economic incentives and forest conservation. This suggests that when communities derive financial benefits from sustainable forest practices, they are more likely to engage in conservation activities. Matta and </w:t>
      </w:r>
      <w:proofErr w:type="spellStart"/>
      <w:r w:rsidRPr="00103EF8">
        <w:rPr>
          <w:color w:val="000000" w:themeColor="text1"/>
        </w:rPr>
        <w:t>Alavalapati</w:t>
      </w:r>
      <w:proofErr w:type="spellEnd"/>
      <w:r w:rsidRPr="00103EF8">
        <w:rPr>
          <w:color w:val="000000" w:themeColor="text1"/>
        </w:rPr>
        <w:t xml:space="preserve"> (2016)</w:t>
      </w:r>
      <w:r w:rsidR="003A7EC8" w:rsidRPr="00103EF8">
        <w:rPr>
          <w:color w:val="000000" w:themeColor="text1"/>
        </w:rPr>
        <w:t xml:space="preserve"> </w:t>
      </w:r>
      <w:sdt>
        <w:sdtPr>
          <w:rPr>
            <w:color w:val="000000" w:themeColor="text1"/>
          </w:rPr>
          <w:id w:val="1933006683"/>
          <w:citation/>
        </w:sdtPr>
        <w:sdtEndPr/>
        <w:sdtContent>
          <w:r w:rsidR="003A7EC8" w:rsidRPr="00103EF8">
            <w:rPr>
              <w:color w:val="000000" w:themeColor="text1"/>
            </w:rPr>
            <w:fldChar w:fldCharType="begin"/>
          </w:r>
          <w:r w:rsidR="003A7EC8" w:rsidRPr="00103EF8">
            <w:rPr>
              <w:color w:val="000000" w:themeColor="text1"/>
            </w:rPr>
            <w:instrText xml:space="preserve"> CITATION Jag16 \l 1033 </w:instrText>
          </w:r>
          <w:r w:rsidR="003A7EC8" w:rsidRPr="00103EF8">
            <w:rPr>
              <w:color w:val="000000" w:themeColor="text1"/>
            </w:rPr>
            <w:fldChar w:fldCharType="separate"/>
          </w:r>
          <w:r w:rsidR="00F0152C" w:rsidRPr="00F0152C">
            <w:rPr>
              <w:noProof/>
              <w:color w:val="000000" w:themeColor="text1"/>
            </w:rPr>
            <w:t>[20]</w:t>
          </w:r>
          <w:r w:rsidR="003A7EC8" w:rsidRPr="00103EF8">
            <w:rPr>
              <w:color w:val="000000" w:themeColor="text1"/>
            </w:rPr>
            <w:fldChar w:fldCharType="end"/>
          </w:r>
        </w:sdtContent>
      </w:sdt>
      <w:r w:rsidRPr="00103EF8">
        <w:rPr>
          <w:color w:val="000000" w:themeColor="text1"/>
        </w:rPr>
        <w:t xml:space="preserve"> support this view, arguing that economic incentives enhance local participation in environmental protection programs. Opportunities such as ecotourism, agroforestry, and sustainable logging not only improve livelihoods but also promote long-term forest health.</w:t>
      </w:r>
    </w:p>
    <w:p w14:paraId="2C9C352B" w14:textId="77777777" w:rsidR="00D333E9" w:rsidRPr="00103EF8" w:rsidRDefault="00D333E9" w:rsidP="00D333E9">
      <w:pPr>
        <w:jc w:val="both"/>
        <w:rPr>
          <w:color w:val="000000" w:themeColor="text1"/>
        </w:rPr>
      </w:pPr>
    </w:p>
    <w:p w14:paraId="7FB06CB0" w14:textId="489C0E41" w:rsidR="00D333E9" w:rsidRPr="00103EF8" w:rsidRDefault="00D333E9" w:rsidP="00D333E9">
      <w:pPr>
        <w:jc w:val="both"/>
        <w:rPr>
          <w:color w:val="000000" w:themeColor="text1"/>
        </w:rPr>
      </w:pPr>
      <w:r w:rsidRPr="00103EF8">
        <w:rPr>
          <w:color w:val="000000" w:themeColor="text1"/>
        </w:rPr>
        <w:t xml:space="preserve">The findings also point to the importance of incorporating livelihood improvement initiatives into conservation strategies. Programs such as payment for ecosystem services (PES), community forestry enterprises, and equitable access to forest resources have been shown to reduce pressure on forests. </w:t>
      </w:r>
      <w:proofErr w:type="spellStart"/>
      <w:r w:rsidRPr="00103EF8">
        <w:rPr>
          <w:color w:val="000000" w:themeColor="text1"/>
        </w:rPr>
        <w:t>Marnelly</w:t>
      </w:r>
      <w:proofErr w:type="spellEnd"/>
      <w:r w:rsidRPr="00103EF8">
        <w:rPr>
          <w:color w:val="000000" w:themeColor="text1"/>
        </w:rPr>
        <w:t xml:space="preserve"> et al. (2023)</w:t>
      </w:r>
      <w:r w:rsidR="003A7EC8" w:rsidRPr="00103EF8">
        <w:rPr>
          <w:color w:val="000000" w:themeColor="text1"/>
        </w:rPr>
        <w:t xml:space="preserve"> </w:t>
      </w:r>
      <w:sdt>
        <w:sdtPr>
          <w:rPr>
            <w:color w:val="000000" w:themeColor="text1"/>
          </w:rPr>
          <w:id w:val="-634409611"/>
          <w:citation/>
        </w:sdtPr>
        <w:sdtEndPr/>
        <w:sdtContent>
          <w:r w:rsidR="003A7EC8" w:rsidRPr="00103EF8">
            <w:rPr>
              <w:color w:val="000000" w:themeColor="text1"/>
            </w:rPr>
            <w:fldChar w:fldCharType="begin"/>
          </w:r>
          <w:r w:rsidR="003A7EC8" w:rsidRPr="00103EF8">
            <w:rPr>
              <w:color w:val="000000" w:themeColor="text1"/>
            </w:rPr>
            <w:instrText xml:space="preserve"> CITATION Eco23 \l 1033 </w:instrText>
          </w:r>
          <w:r w:rsidR="003A7EC8" w:rsidRPr="00103EF8">
            <w:rPr>
              <w:color w:val="000000" w:themeColor="text1"/>
            </w:rPr>
            <w:fldChar w:fldCharType="separate"/>
          </w:r>
          <w:r w:rsidR="00F0152C" w:rsidRPr="00F0152C">
            <w:rPr>
              <w:noProof/>
              <w:color w:val="000000" w:themeColor="text1"/>
            </w:rPr>
            <w:t>[21]</w:t>
          </w:r>
          <w:r w:rsidR="003A7EC8" w:rsidRPr="00103EF8">
            <w:rPr>
              <w:color w:val="000000" w:themeColor="text1"/>
            </w:rPr>
            <w:fldChar w:fldCharType="end"/>
          </w:r>
        </w:sdtContent>
      </w:sdt>
      <w:r w:rsidRPr="00103EF8">
        <w:rPr>
          <w:color w:val="000000" w:themeColor="text1"/>
        </w:rPr>
        <w:t xml:space="preserve"> emphasise that enhancing credit access and promoting sustainable economic activities can shift community dependence away from forest exploitation. </w:t>
      </w:r>
      <w:proofErr w:type="spellStart"/>
      <w:r w:rsidRPr="00103EF8">
        <w:rPr>
          <w:color w:val="000000" w:themeColor="text1"/>
        </w:rPr>
        <w:t>Kiria</w:t>
      </w:r>
      <w:proofErr w:type="spellEnd"/>
      <w:r w:rsidRPr="00103EF8">
        <w:rPr>
          <w:color w:val="000000" w:themeColor="text1"/>
        </w:rPr>
        <w:t xml:space="preserve"> and </w:t>
      </w:r>
      <w:proofErr w:type="spellStart"/>
      <w:r w:rsidRPr="00103EF8">
        <w:rPr>
          <w:color w:val="000000" w:themeColor="text1"/>
        </w:rPr>
        <w:t>Onundo</w:t>
      </w:r>
      <w:proofErr w:type="spellEnd"/>
      <w:r w:rsidRPr="00103EF8">
        <w:rPr>
          <w:color w:val="000000" w:themeColor="text1"/>
        </w:rPr>
        <w:t xml:space="preserve"> (2022)</w:t>
      </w:r>
      <w:sdt>
        <w:sdtPr>
          <w:rPr>
            <w:color w:val="000000" w:themeColor="text1"/>
          </w:rPr>
          <w:id w:val="1592132183"/>
          <w:citation/>
        </w:sdtPr>
        <w:sdtEndPr/>
        <w:sdtContent>
          <w:r w:rsidR="00092CEB" w:rsidRPr="00103EF8">
            <w:rPr>
              <w:color w:val="000000" w:themeColor="text1"/>
            </w:rPr>
            <w:fldChar w:fldCharType="begin"/>
          </w:r>
          <w:r w:rsidR="00092CEB" w:rsidRPr="00103EF8">
            <w:rPr>
              <w:color w:val="000000" w:themeColor="text1"/>
            </w:rPr>
            <w:instrText xml:space="preserve"> CITATION Edw22 \l 1033 </w:instrText>
          </w:r>
          <w:r w:rsidR="00092CEB" w:rsidRPr="00103EF8">
            <w:rPr>
              <w:color w:val="000000" w:themeColor="text1"/>
            </w:rPr>
            <w:fldChar w:fldCharType="separate"/>
          </w:r>
          <w:r w:rsidR="00F0152C">
            <w:rPr>
              <w:noProof/>
              <w:color w:val="000000" w:themeColor="text1"/>
            </w:rPr>
            <w:t xml:space="preserve"> </w:t>
          </w:r>
          <w:r w:rsidR="00F0152C" w:rsidRPr="00F0152C">
            <w:rPr>
              <w:noProof/>
              <w:color w:val="000000" w:themeColor="text1"/>
            </w:rPr>
            <w:t>[22]</w:t>
          </w:r>
          <w:r w:rsidR="00092CEB" w:rsidRPr="00103EF8">
            <w:rPr>
              <w:color w:val="000000" w:themeColor="text1"/>
            </w:rPr>
            <w:fldChar w:fldCharType="end"/>
          </w:r>
        </w:sdtContent>
      </w:sdt>
      <w:r w:rsidR="003A7EC8" w:rsidRPr="00103EF8">
        <w:rPr>
          <w:color w:val="000000" w:themeColor="text1"/>
        </w:rPr>
        <w:t xml:space="preserve"> </w:t>
      </w:r>
      <w:r w:rsidRPr="00103EF8">
        <w:rPr>
          <w:color w:val="000000" w:themeColor="text1"/>
        </w:rPr>
        <w:t xml:space="preserve"> further assert that financial incentives are vital for encouraging responsible forest stewardship. Integrating economic benefits with conservation policies is therefore essential for achieving lasting sustainability in dryland forest ecosystems.</w:t>
      </w:r>
    </w:p>
    <w:p w14:paraId="15AECB65" w14:textId="77777777" w:rsidR="00D333E9" w:rsidRPr="00103EF8" w:rsidRDefault="00D333E9" w:rsidP="00D333E9">
      <w:pPr>
        <w:pStyle w:val="Body"/>
        <w:spacing w:after="0"/>
        <w:rPr>
          <w:rFonts w:ascii="Arial" w:hAnsi="Arial" w:cs="Arial"/>
        </w:rPr>
      </w:pPr>
    </w:p>
    <w:p w14:paraId="222AE0C3" w14:textId="77777777" w:rsidR="00B01FCD" w:rsidRPr="00103EF8" w:rsidRDefault="00000F8F" w:rsidP="00D333E9">
      <w:pPr>
        <w:pStyle w:val="ConcHead"/>
        <w:spacing w:after="0"/>
        <w:jc w:val="both"/>
        <w:rPr>
          <w:rFonts w:ascii="Arial" w:hAnsi="Arial" w:cs="Arial"/>
        </w:rPr>
      </w:pPr>
      <w:r w:rsidRPr="00103EF8">
        <w:rPr>
          <w:rFonts w:ascii="Arial" w:hAnsi="Arial" w:cs="Arial"/>
        </w:rPr>
        <w:t xml:space="preserve">4. </w:t>
      </w:r>
      <w:r w:rsidR="00B01FCD" w:rsidRPr="00103EF8">
        <w:rPr>
          <w:rFonts w:ascii="Arial" w:hAnsi="Arial" w:cs="Arial"/>
        </w:rPr>
        <w:t>Conclusion</w:t>
      </w:r>
    </w:p>
    <w:p w14:paraId="61FD5A53" w14:textId="77777777" w:rsidR="00790ADA" w:rsidRPr="00103EF8" w:rsidRDefault="00790ADA" w:rsidP="00D333E9">
      <w:pPr>
        <w:pStyle w:val="ConcHead"/>
        <w:spacing w:after="0"/>
        <w:jc w:val="both"/>
        <w:rPr>
          <w:rFonts w:ascii="Arial" w:hAnsi="Arial" w:cs="Arial"/>
        </w:rPr>
      </w:pPr>
    </w:p>
    <w:p w14:paraId="38E58C8A" w14:textId="4752286F" w:rsidR="002A0E56" w:rsidRDefault="002A0E56" w:rsidP="00D333E9">
      <w:pPr>
        <w:jc w:val="both"/>
      </w:pPr>
      <w:r w:rsidRPr="00103EF8">
        <w:t>Economic factors also emerged as a critical theme influencing forest cover change. Respondents identified activities such as charcoal production and firewood collection as major contributors to forest degradation. Conversely, they recogni</w:t>
      </w:r>
      <w:r w:rsidR="00DA7C9D">
        <w:t>s</w:t>
      </w:r>
      <w:r w:rsidRPr="00103EF8">
        <w:t xml:space="preserve">ed that forests provide essential </w:t>
      </w:r>
      <w:r w:rsidRPr="00103EF8">
        <w:lastRenderedPageBreak/>
        <w:t>economic benefits, incentivi</w:t>
      </w:r>
      <w:r w:rsidR="00DA7C9D">
        <w:t>s</w:t>
      </w:r>
      <w:r w:rsidRPr="00103EF8">
        <w:t xml:space="preserve">ing communities to engage in sustainable practices. The perceptions indicated that when communities perceive economic advantages connected to forest conservation, they are more likely to support and participate in initiatives that protect forest resources. There were perceptions indicating a significant relationship (correlation </w:t>
      </w:r>
      <w:r w:rsidRPr="00FD1128">
        <w:rPr>
          <w:i/>
          <w:iCs/>
        </w:rPr>
        <w:t xml:space="preserve">r </w:t>
      </w:r>
      <w:r w:rsidRPr="00103EF8">
        <w:t xml:space="preserve">= 0.860, </w:t>
      </w:r>
      <w:r w:rsidRPr="00FD1128">
        <w:rPr>
          <w:i/>
          <w:iCs/>
        </w:rPr>
        <w:t>p</w:t>
      </w:r>
      <w:r w:rsidRPr="00103EF8">
        <w:t xml:space="preserve"> = 0.0001 between economic benefits derived from sustainable practices and forest conservation. The regression result was at </w:t>
      </w:r>
      <w:r w:rsidRPr="00FD1128">
        <w:rPr>
          <w:i/>
          <w:iCs/>
        </w:rPr>
        <w:t>β</w:t>
      </w:r>
      <w:r w:rsidRPr="00103EF8">
        <w:t xml:space="preserve"> = 0.210; </w:t>
      </w:r>
      <w:r w:rsidRPr="00FD1128">
        <w:rPr>
          <w:i/>
          <w:iCs/>
        </w:rPr>
        <w:t>p</w:t>
      </w:r>
      <w:r w:rsidRPr="00103EF8">
        <w:t xml:space="preserve"> = 0.028.  The mean score of 3.92 for the perception that charcoal production contributes to forest degradation reflects the prevailing economic dependencies threatening forests. Respondents strongly recogni</w:t>
      </w:r>
      <w:r w:rsidR="00FD1128">
        <w:t>s</w:t>
      </w:r>
      <w:r w:rsidRPr="00103EF8">
        <w:t xml:space="preserve">ed the potential of alternative economic incentives, such as ecotourism and farm forestry, in mitigating deforestation, </w:t>
      </w:r>
      <w:proofErr w:type="spellStart"/>
      <w:r w:rsidR="00D333E9" w:rsidRPr="00103EF8">
        <w:t>signaling</w:t>
      </w:r>
      <w:proofErr w:type="spellEnd"/>
      <w:r w:rsidRPr="00103EF8">
        <w:t xml:space="preserve"> a need for policies integrating economic viability with conservation efforts.</w:t>
      </w:r>
    </w:p>
    <w:p w14:paraId="2CE5111B" w14:textId="77777777" w:rsidR="00A04E99" w:rsidRDefault="00A04E99" w:rsidP="00D333E9">
      <w:pPr>
        <w:jc w:val="both"/>
      </w:pPr>
    </w:p>
    <w:p w14:paraId="79C054BF" w14:textId="6F82FAAB" w:rsidR="00A04E99" w:rsidRPr="00103EF8" w:rsidRDefault="00A04E99" w:rsidP="00D333E9">
      <w:pPr>
        <w:jc w:val="both"/>
      </w:pPr>
      <w:r>
        <w:t>We suggest that community forests should come up with alternative economic activities that can discourage them from using the forest products to allow it to regenerate</w:t>
      </w:r>
      <w:r w:rsidR="00345F04">
        <w:t xml:space="preserve"> naturally</w:t>
      </w:r>
      <w:r>
        <w:t>.</w:t>
      </w:r>
      <w:r w:rsidR="00345F04">
        <w:t xml:space="preserve"> We also suggest that the introduction of modern technologies that will reduce the use of firewood and charcoal enable the community forest to reduce the over-reliance on forest products.</w:t>
      </w:r>
    </w:p>
    <w:p w14:paraId="767E0EBE" w14:textId="77777777" w:rsidR="00FD1128" w:rsidRPr="00C6424E" w:rsidRDefault="00FD1128" w:rsidP="00FD1128">
      <w:pPr>
        <w:pStyle w:val="ReferHead"/>
        <w:spacing w:after="0"/>
        <w:jc w:val="both"/>
        <w:rPr>
          <w:rFonts w:cs="Helvetica"/>
          <w:b w:val="0"/>
          <w:caps w:val="0"/>
          <w:sz w:val="20"/>
        </w:rPr>
      </w:pPr>
    </w:p>
    <w:p w14:paraId="5D089764" w14:textId="77777777" w:rsidR="00FD1128" w:rsidRPr="00C6424E" w:rsidRDefault="00FD1128" w:rsidP="00FD1128">
      <w:pPr>
        <w:pStyle w:val="ReferHead"/>
        <w:spacing w:after="0"/>
        <w:jc w:val="both"/>
        <w:rPr>
          <w:rFonts w:cs="Helvetica"/>
          <w:bCs/>
        </w:rPr>
      </w:pPr>
      <w:r w:rsidRPr="00C6424E">
        <w:rPr>
          <w:rFonts w:cs="Helvetica"/>
          <w:bCs/>
        </w:rPr>
        <w:t xml:space="preserve">Ethical approval </w:t>
      </w:r>
    </w:p>
    <w:p w14:paraId="07D89654" w14:textId="7A1803C8" w:rsidR="00790ADA" w:rsidRDefault="00FD1128" w:rsidP="00FD2793">
      <w:pPr>
        <w:jc w:val="both"/>
        <w:rPr>
          <w:rFonts w:cs="Helvetica"/>
          <w:lang w:eastAsia="en-GB"/>
        </w:rPr>
      </w:pPr>
      <w:r w:rsidRPr="00B91CBE">
        <w:rPr>
          <w:rFonts w:cs="Helvetica"/>
          <w:lang w:eastAsia="en-GB"/>
        </w:rPr>
        <w:t>This study was approved by the Chuka University Ethics Committee. Informed consent was obtained from all participants.</w:t>
      </w:r>
      <w:r w:rsidR="00A04E99">
        <w:rPr>
          <w:rFonts w:cs="Helvetica"/>
          <w:lang w:eastAsia="en-GB"/>
        </w:rPr>
        <w:t xml:space="preserve"> </w:t>
      </w:r>
      <w:r w:rsidR="00A04E99" w:rsidRPr="00A04E99">
        <w:rPr>
          <w:rFonts w:cs="Helvetica"/>
          <w:lang w:eastAsia="en-GB"/>
        </w:rPr>
        <w:t xml:space="preserve">Author(s) hereby declare that NO generative AI technologies </w:t>
      </w:r>
      <w:r w:rsidR="00A04E99">
        <w:rPr>
          <w:rFonts w:cs="Helvetica"/>
          <w:lang w:eastAsia="en-GB"/>
        </w:rPr>
        <w:t>were used when writing this research paper.</w:t>
      </w:r>
    </w:p>
    <w:p w14:paraId="59145BAD" w14:textId="77777777" w:rsidR="00F318CB" w:rsidRDefault="00F318CB" w:rsidP="00FD2793">
      <w:pPr>
        <w:jc w:val="both"/>
        <w:rPr>
          <w:rFonts w:cs="Helvetica"/>
          <w:lang w:eastAsia="en-GB"/>
        </w:rPr>
      </w:pPr>
    </w:p>
    <w:p w14:paraId="49E73627" w14:textId="77777777" w:rsidR="00F318CB" w:rsidRPr="00C6424E" w:rsidRDefault="00F318CB" w:rsidP="00F318CB">
      <w:pPr>
        <w:pStyle w:val="DefAcrHead"/>
        <w:spacing w:after="0"/>
        <w:jc w:val="both"/>
        <w:rPr>
          <w:rFonts w:cs="Helvetica"/>
        </w:rPr>
      </w:pPr>
      <w:r w:rsidRPr="00C6424E">
        <w:rPr>
          <w:rFonts w:cs="Helvetica"/>
        </w:rPr>
        <w:t>Definitions, Acronyms, Abbreviations</w:t>
      </w:r>
    </w:p>
    <w:p w14:paraId="4615595F" w14:textId="77777777" w:rsidR="00F318CB" w:rsidRPr="00C6424E" w:rsidRDefault="00F318CB" w:rsidP="00F318CB">
      <w:pPr>
        <w:pStyle w:val="Body"/>
        <w:spacing w:after="0"/>
        <w:rPr>
          <w:rFonts w:cs="Helvetica"/>
        </w:rPr>
      </w:pPr>
      <w:r w:rsidRPr="00C6424E">
        <w:rPr>
          <w:rFonts w:cs="Helvetica"/>
          <w:b/>
          <w:bCs/>
        </w:rPr>
        <w:t>CFA</w:t>
      </w:r>
      <w:r w:rsidRPr="00C6424E">
        <w:rPr>
          <w:rFonts w:cs="Helvetica"/>
        </w:rPr>
        <w:t xml:space="preserve"> Community Forest Association</w:t>
      </w:r>
    </w:p>
    <w:p w14:paraId="3C127E3C" w14:textId="77777777" w:rsidR="00F318CB" w:rsidRPr="00C6424E" w:rsidRDefault="00F318CB" w:rsidP="00F318CB">
      <w:pPr>
        <w:pStyle w:val="Body"/>
        <w:spacing w:after="0"/>
        <w:rPr>
          <w:rFonts w:cs="Helvetica"/>
        </w:rPr>
      </w:pPr>
      <w:r w:rsidRPr="00C6424E">
        <w:rPr>
          <w:rFonts w:cs="Helvetica"/>
          <w:b/>
          <w:bCs/>
        </w:rPr>
        <w:t>PFM</w:t>
      </w:r>
      <w:r w:rsidRPr="00C6424E">
        <w:rPr>
          <w:rFonts w:cs="Helvetica"/>
        </w:rPr>
        <w:t xml:space="preserve"> Participatory Forest Management</w:t>
      </w:r>
    </w:p>
    <w:p w14:paraId="2C818CC7" w14:textId="77777777" w:rsidR="00F318CB" w:rsidRPr="00C6424E" w:rsidRDefault="00F318CB" w:rsidP="00F318CB">
      <w:pPr>
        <w:pStyle w:val="Body"/>
        <w:spacing w:after="0"/>
        <w:rPr>
          <w:rFonts w:cs="Helvetica"/>
        </w:rPr>
      </w:pPr>
    </w:p>
    <w:p w14:paraId="010284FD" w14:textId="77777777" w:rsidR="00F318CB" w:rsidRPr="00C6424E" w:rsidRDefault="00F318CB" w:rsidP="00F318CB">
      <w:pPr>
        <w:ind w:left="720" w:hanging="720"/>
        <w:jc w:val="both"/>
        <w:rPr>
          <w:rFonts w:eastAsia="Calibri" w:cs="Helvetica"/>
          <w:color w:val="000000" w:themeColor="text1"/>
          <w:szCs w:val="24"/>
        </w:rPr>
      </w:pPr>
      <w:bookmarkStart w:id="1"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1"/>
    <w:p w14:paraId="58B49774"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23232A2A"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17155737"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28BF972C"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color w:val="000000" w:themeColor="text1"/>
          <w:szCs w:val="24"/>
        </w:rPr>
        <w:t>Dryland Forests:</w:t>
      </w:r>
      <w:bookmarkStart w:id="2" w:name="_Hlk169866387"/>
      <w:r w:rsidRPr="00C6424E">
        <w:rPr>
          <w:rFonts w:eastAsia="Calibri" w:cs="Helvetica"/>
          <w:b/>
          <w:color w:val="000000" w:themeColor="text1"/>
          <w:szCs w:val="24"/>
        </w:rPr>
        <w:t xml:space="preserve"> </w:t>
      </w:r>
      <w:r w:rsidRPr="00C6424E">
        <w:rPr>
          <w:rFonts w:eastAsia="Calibri" w:cs="Helvetica"/>
          <w:bCs/>
          <w:color w:val="000000" w:themeColor="text1"/>
          <w:szCs w:val="24"/>
        </w:rPr>
        <w:t>F</w:t>
      </w:r>
      <w:r w:rsidRPr="00C6424E">
        <w:rPr>
          <w:rFonts w:eastAsia="Calibri" w:cs="Helvetica"/>
          <w:color w:val="000000" w:themeColor="text1"/>
          <w:szCs w:val="24"/>
        </w:rPr>
        <w:t xml:space="preserve">orests found in areas with low precipitation and high evaporation (dryland). These trees should cover more than half a hectare. </w:t>
      </w:r>
    </w:p>
    <w:bookmarkEnd w:id="2"/>
    <w:p w14:paraId="591743AE"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(SFM):</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6C8C5C19" w14:textId="77777777" w:rsidR="00F318CB" w:rsidRPr="00C6424E" w:rsidRDefault="00F318CB" w:rsidP="00F318CB">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Practices (SFP):</w:t>
      </w:r>
      <w:r w:rsidRPr="00C6424E">
        <w:rPr>
          <w:rFonts w:eastAsia="Calibri" w:cs="Helvetica"/>
          <w:color w:val="000000" w:themeColor="text1"/>
          <w:szCs w:val="24"/>
        </w:rPr>
        <w:t xml:space="preserve"> These are specific actions used by individuals or communities to achieve sustainability in forest management. The practices that will enable the farm forest to continue thriving. </w:t>
      </w:r>
    </w:p>
    <w:p w14:paraId="03AC0537" w14:textId="77777777" w:rsidR="00F318CB" w:rsidRPr="00FD1128" w:rsidRDefault="00F318CB" w:rsidP="00FD2793">
      <w:pPr>
        <w:jc w:val="both"/>
        <w:rPr>
          <w:rFonts w:cs="Helvetica"/>
          <w:lang w:eastAsia="en-GB"/>
        </w:rPr>
      </w:pPr>
    </w:p>
    <w:sdt>
      <w:sdtPr>
        <w:rPr>
          <w:rFonts w:ascii="Helvetica" w:hAnsi="Helvetica"/>
          <w:b w:val="0"/>
          <w:kern w:val="0"/>
          <w:sz w:val="20"/>
        </w:rPr>
        <w:id w:val="267674233"/>
        <w:docPartObj>
          <w:docPartGallery w:val="Bibliographies"/>
          <w:docPartUnique/>
        </w:docPartObj>
      </w:sdtPr>
      <w:sdtEndPr/>
      <w:sdtContent>
        <w:p w14:paraId="05F212F1" w14:textId="60326286" w:rsidR="005E5202" w:rsidRPr="00103EF8" w:rsidRDefault="005E5202" w:rsidP="00D333E9">
          <w:pPr>
            <w:pStyle w:val="Heading1"/>
            <w:jc w:val="both"/>
          </w:pPr>
          <w:r w:rsidRPr="00103EF8">
            <w:t>References</w:t>
          </w:r>
        </w:p>
        <w:sdt>
          <w:sdtPr>
            <w:id w:val="-573587230"/>
            <w:bibliography/>
          </w:sdtPr>
          <w:sdtEndPr/>
          <w:sdtContent>
            <w:p w14:paraId="1308D345" w14:textId="77777777" w:rsidR="00294F83" w:rsidRDefault="005E5202" w:rsidP="00F0152C">
              <w:pPr>
                <w:jc w:val="both"/>
                <w:rPr>
                  <w:rFonts w:ascii="Times New Roman" w:hAnsi="Times New Roman"/>
                  <w:noProof/>
                  <w:lang w:val="en-US"/>
                </w:rPr>
              </w:pPr>
              <w:r w:rsidRPr="00103EF8">
                <w:fldChar w:fldCharType="begin"/>
              </w:r>
              <w:r w:rsidRPr="00103EF8">
                <w:instrText xml:space="preserve"> BIBLIOGRAPHY </w:instrText>
              </w:r>
              <w:r w:rsidRPr="00103EF8">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799"/>
              </w:tblGrid>
              <w:tr w:rsidR="00294F83" w14:paraId="36144C2C" w14:textId="77777777">
                <w:trPr>
                  <w:divId w:val="1438258653"/>
                  <w:tblCellSpacing w:w="15" w:type="dxa"/>
                </w:trPr>
                <w:tc>
                  <w:tcPr>
                    <w:tcW w:w="50" w:type="pct"/>
                    <w:hideMark/>
                  </w:tcPr>
                  <w:p w14:paraId="55892B7F" w14:textId="444E831D" w:rsidR="00294F83" w:rsidRDefault="00294F83">
                    <w:pPr>
                      <w:pStyle w:val="Bibliography"/>
                      <w:rPr>
                        <w:noProof/>
                        <w:sz w:val="24"/>
                        <w:szCs w:val="24"/>
                      </w:rPr>
                    </w:pPr>
                    <w:r>
                      <w:rPr>
                        <w:noProof/>
                      </w:rPr>
                      <w:t xml:space="preserve">[1] </w:t>
                    </w:r>
                  </w:p>
                </w:tc>
                <w:tc>
                  <w:tcPr>
                    <w:tcW w:w="0" w:type="auto"/>
                    <w:hideMark/>
                  </w:tcPr>
                  <w:p w14:paraId="0A569163" w14:textId="77777777" w:rsidR="00294F83" w:rsidRDefault="00294F83" w:rsidP="00FD2793">
                    <w:pPr>
                      <w:pStyle w:val="Bibliography"/>
                      <w:jc w:val="both"/>
                      <w:rPr>
                        <w:noProof/>
                      </w:rPr>
                    </w:pPr>
                    <w:r>
                      <w:rPr>
                        <w:noProof/>
                      </w:rPr>
                      <w:t>FAO, “Global Forest Resources Assessment 2020: Main report,” Food and Agriculture Organization of the United Nations, Rome, 2020.</w:t>
                    </w:r>
                  </w:p>
                </w:tc>
              </w:tr>
              <w:tr w:rsidR="00294F83" w14:paraId="16B06E9D" w14:textId="77777777">
                <w:trPr>
                  <w:divId w:val="1438258653"/>
                  <w:tblCellSpacing w:w="15" w:type="dxa"/>
                </w:trPr>
                <w:tc>
                  <w:tcPr>
                    <w:tcW w:w="50" w:type="pct"/>
                    <w:hideMark/>
                  </w:tcPr>
                  <w:p w14:paraId="43BAF938" w14:textId="77777777" w:rsidR="00294F83" w:rsidRDefault="00294F83">
                    <w:pPr>
                      <w:pStyle w:val="Bibliography"/>
                      <w:rPr>
                        <w:noProof/>
                      </w:rPr>
                    </w:pPr>
                    <w:r>
                      <w:rPr>
                        <w:noProof/>
                      </w:rPr>
                      <w:t xml:space="preserve">[2] </w:t>
                    </w:r>
                  </w:p>
                </w:tc>
                <w:tc>
                  <w:tcPr>
                    <w:tcW w:w="0" w:type="auto"/>
                    <w:hideMark/>
                  </w:tcPr>
                  <w:p w14:paraId="76F7ACE3" w14:textId="77777777" w:rsidR="00294F83" w:rsidRDefault="00294F83" w:rsidP="00FD2793">
                    <w:pPr>
                      <w:pStyle w:val="Bibliography"/>
                      <w:jc w:val="both"/>
                      <w:rPr>
                        <w:noProof/>
                      </w:rPr>
                    </w:pPr>
                    <w:r>
                      <w:rPr>
                        <w:noProof/>
                      </w:rPr>
                      <w:t>FAO, “Trees, forests and land use in drylands: the first global assessment-Full report,” FAO Forestry, Rome, 2019.</w:t>
                    </w:r>
                  </w:p>
                </w:tc>
              </w:tr>
              <w:tr w:rsidR="00294F83" w14:paraId="7ECBA9DA" w14:textId="77777777">
                <w:trPr>
                  <w:divId w:val="1438258653"/>
                  <w:tblCellSpacing w:w="15" w:type="dxa"/>
                </w:trPr>
                <w:tc>
                  <w:tcPr>
                    <w:tcW w:w="50" w:type="pct"/>
                    <w:hideMark/>
                  </w:tcPr>
                  <w:p w14:paraId="0990311D" w14:textId="77777777" w:rsidR="00294F83" w:rsidRDefault="00294F83">
                    <w:pPr>
                      <w:pStyle w:val="Bibliography"/>
                      <w:rPr>
                        <w:noProof/>
                      </w:rPr>
                    </w:pPr>
                    <w:r>
                      <w:rPr>
                        <w:noProof/>
                      </w:rPr>
                      <w:t xml:space="preserve">[3] </w:t>
                    </w:r>
                  </w:p>
                </w:tc>
                <w:tc>
                  <w:tcPr>
                    <w:tcW w:w="0" w:type="auto"/>
                    <w:hideMark/>
                  </w:tcPr>
                  <w:p w14:paraId="7BB8E239" w14:textId="77777777" w:rsidR="00294F83" w:rsidRDefault="00294F83" w:rsidP="00FD2793">
                    <w:pPr>
                      <w:pStyle w:val="Bibliography"/>
                      <w:jc w:val="both"/>
                      <w:rPr>
                        <w:noProof/>
                      </w:rPr>
                    </w:pPr>
                    <w:r>
                      <w:rPr>
                        <w:noProof/>
                      </w:rPr>
                      <w:t>U. N. E. Programme, “Climate Change Impacts on Africa’s Economic Growth,” African Development Bank, Nairobi, 2019.</w:t>
                    </w:r>
                  </w:p>
                </w:tc>
              </w:tr>
              <w:tr w:rsidR="00294F83" w14:paraId="08FE734C" w14:textId="77777777">
                <w:trPr>
                  <w:divId w:val="1438258653"/>
                  <w:tblCellSpacing w:w="15" w:type="dxa"/>
                </w:trPr>
                <w:tc>
                  <w:tcPr>
                    <w:tcW w:w="50" w:type="pct"/>
                    <w:hideMark/>
                  </w:tcPr>
                  <w:p w14:paraId="664007DB" w14:textId="77777777" w:rsidR="00294F83" w:rsidRDefault="00294F83">
                    <w:pPr>
                      <w:pStyle w:val="Bibliography"/>
                      <w:rPr>
                        <w:noProof/>
                      </w:rPr>
                    </w:pPr>
                    <w:r>
                      <w:rPr>
                        <w:noProof/>
                      </w:rPr>
                      <w:lastRenderedPageBreak/>
                      <w:t xml:space="preserve">[4] </w:t>
                    </w:r>
                  </w:p>
                </w:tc>
                <w:tc>
                  <w:tcPr>
                    <w:tcW w:w="0" w:type="auto"/>
                    <w:hideMark/>
                  </w:tcPr>
                  <w:p w14:paraId="417A398B" w14:textId="77777777" w:rsidR="00294F83" w:rsidRDefault="00294F83" w:rsidP="00FD2793">
                    <w:pPr>
                      <w:pStyle w:val="Bibliography"/>
                      <w:jc w:val="both"/>
                      <w:rPr>
                        <w:noProof/>
                      </w:rPr>
                    </w:pPr>
                    <w:r>
                      <w:rPr>
                        <w:noProof/>
                      </w:rPr>
                      <w:t xml:space="preserve">J. Mohammed, O.-F. A. Kofi and H. Yusif, “Factors influencing households’ participation in forest management in the northern region of Ghana,” </w:t>
                    </w:r>
                    <w:r>
                      <w:rPr>
                        <w:i/>
                        <w:iCs/>
                        <w:noProof/>
                      </w:rPr>
                      <w:t xml:space="preserve">Independent Journal of Management &amp; Production, </w:t>
                    </w:r>
                    <w:r>
                      <w:rPr>
                        <w:noProof/>
                      </w:rPr>
                      <w:t xml:space="preserve">pp. 1324-1340, 2017. </w:t>
                    </w:r>
                  </w:p>
                </w:tc>
              </w:tr>
              <w:tr w:rsidR="00294F83" w14:paraId="67211778" w14:textId="77777777">
                <w:trPr>
                  <w:divId w:val="1438258653"/>
                  <w:tblCellSpacing w:w="15" w:type="dxa"/>
                </w:trPr>
                <w:tc>
                  <w:tcPr>
                    <w:tcW w:w="50" w:type="pct"/>
                    <w:hideMark/>
                  </w:tcPr>
                  <w:p w14:paraId="2499F05F" w14:textId="77777777" w:rsidR="00294F83" w:rsidRDefault="00294F83">
                    <w:pPr>
                      <w:pStyle w:val="Bibliography"/>
                      <w:rPr>
                        <w:noProof/>
                      </w:rPr>
                    </w:pPr>
                    <w:r>
                      <w:rPr>
                        <w:noProof/>
                      </w:rPr>
                      <w:t xml:space="preserve">[5] </w:t>
                    </w:r>
                  </w:p>
                </w:tc>
                <w:tc>
                  <w:tcPr>
                    <w:tcW w:w="0" w:type="auto"/>
                    <w:hideMark/>
                  </w:tcPr>
                  <w:p w14:paraId="40A7241C" w14:textId="77777777" w:rsidR="00294F83" w:rsidRDefault="00294F83" w:rsidP="00FD2793">
                    <w:pPr>
                      <w:pStyle w:val="Bibliography"/>
                      <w:jc w:val="both"/>
                      <w:rPr>
                        <w:noProof/>
                      </w:rPr>
                    </w:pPr>
                    <w:r>
                      <w:rPr>
                        <w:noProof/>
                      </w:rPr>
                      <w:t xml:space="preserve">R. M. David, N. J. Rosser and D. N. M. Donoghue, “Remote sensing for monitoring tropical dryland forests: a review of current research, knowledge gaps and future directions for Southern Africa,” </w:t>
                    </w:r>
                    <w:r>
                      <w:rPr>
                        <w:i/>
                        <w:iCs/>
                        <w:noProof/>
                      </w:rPr>
                      <w:t xml:space="preserve">Environmental Research Communication, </w:t>
                    </w:r>
                    <w:r>
                      <w:rPr>
                        <w:noProof/>
                      </w:rPr>
                      <w:t xml:space="preserve">p. 4, 2022. </w:t>
                    </w:r>
                  </w:p>
                </w:tc>
              </w:tr>
              <w:tr w:rsidR="00294F83" w14:paraId="49527C9E" w14:textId="77777777">
                <w:trPr>
                  <w:divId w:val="1438258653"/>
                  <w:tblCellSpacing w:w="15" w:type="dxa"/>
                </w:trPr>
                <w:tc>
                  <w:tcPr>
                    <w:tcW w:w="50" w:type="pct"/>
                    <w:hideMark/>
                  </w:tcPr>
                  <w:p w14:paraId="7B8E3380" w14:textId="77777777" w:rsidR="00294F83" w:rsidRDefault="00294F83">
                    <w:pPr>
                      <w:pStyle w:val="Bibliography"/>
                      <w:rPr>
                        <w:noProof/>
                      </w:rPr>
                    </w:pPr>
                    <w:r>
                      <w:rPr>
                        <w:noProof/>
                      </w:rPr>
                      <w:t xml:space="preserve">[6] </w:t>
                    </w:r>
                  </w:p>
                </w:tc>
                <w:tc>
                  <w:tcPr>
                    <w:tcW w:w="0" w:type="auto"/>
                    <w:hideMark/>
                  </w:tcPr>
                  <w:p w14:paraId="195ABEB2" w14:textId="77777777" w:rsidR="00294F83" w:rsidRDefault="00294F83" w:rsidP="00FD2793">
                    <w:pPr>
                      <w:pStyle w:val="Bibliography"/>
                      <w:jc w:val="both"/>
                      <w:rPr>
                        <w:noProof/>
                      </w:rPr>
                    </w:pPr>
                    <w:r>
                      <w:rPr>
                        <w:noProof/>
                      </w:rPr>
                      <w:t xml:space="preserve">W. Mwikali, “Historical Causes of Farmer-Herder Conflict in Kitui East Sub-County, Kenya, 1895-1963,” </w:t>
                    </w:r>
                    <w:r>
                      <w:rPr>
                        <w:i/>
                        <w:iCs/>
                        <w:noProof/>
                      </w:rPr>
                      <w:t xml:space="preserve">International Journal of Humanities Social Sciences and Education, </w:t>
                    </w:r>
                    <w:r>
                      <w:rPr>
                        <w:noProof/>
                      </w:rPr>
                      <w:t xml:space="preserve">pp. 55-64, 2019. </w:t>
                    </w:r>
                  </w:p>
                </w:tc>
              </w:tr>
              <w:tr w:rsidR="00294F83" w14:paraId="61AF5735" w14:textId="77777777">
                <w:trPr>
                  <w:divId w:val="1438258653"/>
                  <w:tblCellSpacing w:w="15" w:type="dxa"/>
                </w:trPr>
                <w:tc>
                  <w:tcPr>
                    <w:tcW w:w="50" w:type="pct"/>
                    <w:hideMark/>
                  </w:tcPr>
                  <w:p w14:paraId="7C839DF3" w14:textId="77777777" w:rsidR="00294F83" w:rsidRDefault="00294F83">
                    <w:pPr>
                      <w:pStyle w:val="Bibliography"/>
                      <w:rPr>
                        <w:noProof/>
                      </w:rPr>
                    </w:pPr>
                    <w:r>
                      <w:rPr>
                        <w:noProof/>
                      </w:rPr>
                      <w:t xml:space="preserve">[7] </w:t>
                    </w:r>
                  </w:p>
                </w:tc>
                <w:tc>
                  <w:tcPr>
                    <w:tcW w:w="0" w:type="auto"/>
                    <w:hideMark/>
                  </w:tcPr>
                  <w:p w14:paraId="604F6A56" w14:textId="77777777" w:rsidR="00294F83" w:rsidRDefault="00294F83" w:rsidP="00FD2793">
                    <w:pPr>
                      <w:pStyle w:val="Bibliography"/>
                      <w:jc w:val="both"/>
                      <w:rPr>
                        <w:noProof/>
                      </w:rPr>
                    </w:pPr>
                    <w:r>
                      <w:rPr>
                        <w:noProof/>
                      </w:rPr>
                      <w:t xml:space="preserve">H. MacDonald, “Envisioning better forest transitions: A review of recent forest transition scholarship,” </w:t>
                    </w:r>
                    <w:r>
                      <w:rPr>
                        <w:i/>
                        <w:iCs/>
                        <w:noProof/>
                      </w:rPr>
                      <w:t xml:space="preserve">Heliyon, </w:t>
                    </w:r>
                    <w:r>
                      <w:rPr>
                        <w:noProof/>
                      </w:rPr>
                      <w:t xml:space="preserve">p. 1, 2023. </w:t>
                    </w:r>
                  </w:p>
                </w:tc>
              </w:tr>
              <w:tr w:rsidR="00294F83" w14:paraId="482DC04D" w14:textId="77777777">
                <w:trPr>
                  <w:divId w:val="1438258653"/>
                  <w:tblCellSpacing w:w="15" w:type="dxa"/>
                </w:trPr>
                <w:tc>
                  <w:tcPr>
                    <w:tcW w:w="50" w:type="pct"/>
                    <w:hideMark/>
                  </w:tcPr>
                  <w:p w14:paraId="1EB170A9" w14:textId="77777777" w:rsidR="00294F83" w:rsidRDefault="00294F83">
                    <w:pPr>
                      <w:pStyle w:val="Bibliography"/>
                      <w:rPr>
                        <w:noProof/>
                      </w:rPr>
                    </w:pPr>
                    <w:r>
                      <w:rPr>
                        <w:noProof/>
                      </w:rPr>
                      <w:t xml:space="preserve">[8] </w:t>
                    </w:r>
                  </w:p>
                </w:tc>
                <w:tc>
                  <w:tcPr>
                    <w:tcW w:w="0" w:type="auto"/>
                    <w:hideMark/>
                  </w:tcPr>
                  <w:p w14:paraId="183BC629" w14:textId="77777777" w:rsidR="00294F83" w:rsidRDefault="00294F83" w:rsidP="00FD2793">
                    <w:pPr>
                      <w:pStyle w:val="Bibliography"/>
                      <w:jc w:val="both"/>
                      <w:rPr>
                        <w:noProof/>
                      </w:rPr>
                    </w:pPr>
                    <w:r>
                      <w:rPr>
                        <w:noProof/>
                      </w:rPr>
                      <w:t xml:space="preserve">E. H. Yasin, C. Kornel and M. Hemida, “Assessment and Mapping of Forest Cover Change in Dryland, Sudan Using Remote Sensing,” </w:t>
                    </w:r>
                    <w:r>
                      <w:rPr>
                        <w:i/>
                        <w:iCs/>
                        <w:noProof/>
                      </w:rPr>
                      <w:t xml:space="preserve">Conservation, Exploitation and Restoration of Mountain Ecosystem, </w:t>
                    </w:r>
                    <w:r>
                      <w:rPr>
                        <w:noProof/>
                      </w:rPr>
                      <w:t xml:space="preserve">pp. 1-16, 2023. </w:t>
                    </w:r>
                  </w:p>
                </w:tc>
              </w:tr>
              <w:tr w:rsidR="00294F83" w14:paraId="6B33F307" w14:textId="77777777">
                <w:trPr>
                  <w:divId w:val="1438258653"/>
                  <w:tblCellSpacing w:w="15" w:type="dxa"/>
                </w:trPr>
                <w:tc>
                  <w:tcPr>
                    <w:tcW w:w="50" w:type="pct"/>
                    <w:hideMark/>
                  </w:tcPr>
                  <w:p w14:paraId="1E3726A9" w14:textId="77777777" w:rsidR="00294F83" w:rsidRDefault="00294F83">
                    <w:pPr>
                      <w:pStyle w:val="Bibliography"/>
                      <w:rPr>
                        <w:noProof/>
                      </w:rPr>
                    </w:pPr>
                    <w:r>
                      <w:rPr>
                        <w:noProof/>
                      </w:rPr>
                      <w:t xml:space="preserve">[9] </w:t>
                    </w:r>
                  </w:p>
                </w:tc>
                <w:tc>
                  <w:tcPr>
                    <w:tcW w:w="0" w:type="auto"/>
                    <w:hideMark/>
                  </w:tcPr>
                  <w:p w14:paraId="44D2EF52" w14:textId="77777777" w:rsidR="00294F83" w:rsidRDefault="00294F83" w:rsidP="00FD2793">
                    <w:pPr>
                      <w:pStyle w:val="Bibliography"/>
                      <w:jc w:val="both"/>
                      <w:rPr>
                        <w:noProof/>
                      </w:rPr>
                    </w:pPr>
                    <w:r>
                      <w:rPr>
                        <w:noProof/>
                      </w:rPr>
                      <w:t xml:space="preserve">T. Hasnat, Climate Change Effects, Adaptation, and Mitigation Techniques in Tropical Dry Forest, Bangladesh: University of Chittagong, 2020. </w:t>
                    </w:r>
                  </w:p>
                </w:tc>
              </w:tr>
              <w:tr w:rsidR="00294F83" w14:paraId="3B488AC1" w14:textId="77777777">
                <w:trPr>
                  <w:divId w:val="1438258653"/>
                  <w:tblCellSpacing w:w="15" w:type="dxa"/>
                </w:trPr>
                <w:tc>
                  <w:tcPr>
                    <w:tcW w:w="50" w:type="pct"/>
                    <w:hideMark/>
                  </w:tcPr>
                  <w:p w14:paraId="42FF565E" w14:textId="77777777" w:rsidR="00294F83" w:rsidRDefault="00294F83">
                    <w:pPr>
                      <w:pStyle w:val="Bibliography"/>
                      <w:rPr>
                        <w:noProof/>
                      </w:rPr>
                    </w:pPr>
                    <w:r>
                      <w:rPr>
                        <w:noProof/>
                      </w:rPr>
                      <w:t xml:space="preserve">[10] </w:t>
                    </w:r>
                  </w:p>
                </w:tc>
                <w:tc>
                  <w:tcPr>
                    <w:tcW w:w="0" w:type="auto"/>
                    <w:hideMark/>
                  </w:tcPr>
                  <w:p w14:paraId="58A133AE" w14:textId="77777777" w:rsidR="00294F83" w:rsidRDefault="00294F83" w:rsidP="00FD2793">
                    <w:pPr>
                      <w:pStyle w:val="Bibliography"/>
                      <w:jc w:val="both"/>
                      <w:rPr>
                        <w:noProof/>
                      </w:rPr>
                    </w:pPr>
                    <w:r>
                      <w:rPr>
                        <w:noProof/>
                      </w:rPr>
                      <w:t xml:space="preserve">J. W. Creswell and D. Creswell, Qualitative, Quantitative, and Mixed Methods Approaches Sixth Edition, London: SAGE, 2023. </w:t>
                    </w:r>
                  </w:p>
                </w:tc>
              </w:tr>
              <w:tr w:rsidR="00294F83" w14:paraId="434B954B" w14:textId="77777777">
                <w:trPr>
                  <w:divId w:val="1438258653"/>
                  <w:tblCellSpacing w:w="15" w:type="dxa"/>
                </w:trPr>
                <w:tc>
                  <w:tcPr>
                    <w:tcW w:w="50" w:type="pct"/>
                    <w:hideMark/>
                  </w:tcPr>
                  <w:p w14:paraId="68FFE135" w14:textId="77777777" w:rsidR="00294F83" w:rsidRDefault="00294F83">
                    <w:pPr>
                      <w:pStyle w:val="Bibliography"/>
                      <w:rPr>
                        <w:noProof/>
                      </w:rPr>
                    </w:pPr>
                    <w:r>
                      <w:rPr>
                        <w:noProof/>
                      </w:rPr>
                      <w:t xml:space="preserve">[11] </w:t>
                    </w:r>
                  </w:p>
                </w:tc>
                <w:tc>
                  <w:tcPr>
                    <w:tcW w:w="0" w:type="auto"/>
                    <w:hideMark/>
                  </w:tcPr>
                  <w:p w14:paraId="3B6F98F4" w14:textId="77777777" w:rsidR="00294F83" w:rsidRDefault="00294F83" w:rsidP="00FD2793">
                    <w:pPr>
                      <w:pStyle w:val="Bibliography"/>
                      <w:jc w:val="both"/>
                      <w:rPr>
                        <w:noProof/>
                      </w:rPr>
                    </w:pPr>
                    <w:r>
                      <w:rPr>
                        <w:noProof/>
                      </w:rPr>
                      <w:t xml:space="preserve">E. M. Boscow Okumu, “Determinants of Successful Collective Management of Forest Resources: Evidence from Kenyan Community Forest,” </w:t>
                    </w:r>
                    <w:r>
                      <w:rPr>
                        <w:i/>
                        <w:iCs/>
                        <w:noProof/>
                      </w:rPr>
                      <w:t xml:space="preserve">Environment for Development, </w:t>
                    </w:r>
                    <w:r>
                      <w:rPr>
                        <w:noProof/>
                      </w:rPr>
                      <w:t xml:space="preserve">2017. </w:t>
                    </w:r>
                  </w:p>
                </w:tc>
              </w:tr>
              <w:tr w:rsidR="00294F83" w14:paraId="28815C51" w14:textId="77777777">
                <w:trPr>
                  <w:divId w:val="1438258653"/>
                  <w:tblCellSpacing w:w="15" w:type="dxa"/>
                </w:trPr>
                <w:tc>
                  <w:tcPr>
                    <w:tcW w:w="50" w:type="pct"/>
                    <w:hideMark/>
                  </w:tcPr>
                  <w:p w14:paraId="45AB311E" w14:textId="77777777" w:rsidR="00294F83" w:rsidRDefault="00294F83">
                    <w:pPr>
                      <w:pStyle w:val="Bibliography"/>
                      <w:rPr>
                        <w:noProof/>
                      </w:rPr>
                    </w:pPr>
                    <w:r>
                      <w:rPr>
                        <w:noProof/>
                      </w:rPr>
                      <w:t xml:space="preserve">[12] </w:t>
                    </w:r>
                  </w:p>
                </w:tc>
                <w:tc>
                  <w:tcPr>
                    <w:tcW w:w="0" w:type="auto"/>
                    <w:hideMark/>
                  </w:tcPr>
                  <w:p w14:paraId="538821B1" w14:textId="77777777" w:rsidR="00294F83" w:rsidRDefault="00294F83" w:rsidP="00FD2793">
                    <w:pPr>
                      <w:pStyle w:val="Bibliography"/>
                      <w:jc w:val="both"/>
                      <w:rPr>
                        <w:noProof/>
                      </w:rPr>
                    </w:pPr>
                    <w:r>
                      <w:rPr>
                        <w:noProof/>
                      </w:rPr>
                      <w:t>M. T. Mbuvi, “Policy Makers’ Perspective on Impacts of Decentralizing Forest Management in Kenya on Forestry Conservation and Community Livelihoods,” Kenyatta University, Nairobi, 2020.</w:t>
                    </w:r>
                  </w:p>
                </w:tc>
              </w:tr>
              <w:tr w:rsidR="00294F83" w14:paraId="01DCBB14" w14:textId="77777777">
                <w:trPr>
                  <w:divId w:val="1438258653"/>
                  <w:tblCellSpacing w:w="15" w:type="dxa"/>
                </w:trPr>
                <w:tc>
                  <w:tcPr>
                    <w:tcW w:w="50" w:type="pct"/>
                    <w:hideMark/>
                  </w:tcPr>
                  <w:p w14:paraId="05BF612D" w14:textId="77777777" w:rsidR="00294F83" w:rsidRDefault="00294F83">
                    <w:pPr>
                      <w:pStyle w:val="Bibliography"/>
                      <w:rPr>
                        <w:noProof/>
                      </w:rPr>
                    </w:pPr>
                    <w:r>
                      <w:rPr>
                        <w:noProof/>
                      </w:rPr>
                      <w:t xml:space="preserve">[13] </w:t>
                    </w:r>
                  </w:p>
                </w:tc>
                <w:tc>
                  <w:tcPr>
                    <w:tcW w:w="0" w:type="auto"/>
                    <w:hideMark/>
                  </w:tcPr>
                  <w:p w14:paraId="19FFB558" w14:textId="77777777" w:rsidR="00294F83" w:rsidRDefault="00294F83" w:rsidP="00FD2793">
                    <w:pPr>
                      <w:pStyle w:val="Bibliography"/>
                      <w:jc w:val="both"/>
                      <w:rPr>
                        <w:noProof/>
                      </w:rPr>
                    </w:pPr>
                    <w:r>
                      <w:rPr>
                        <w:noProof/>
                      </w:rPr>
                      <w:t xml:space="preserve">T. Gebregergs, Z. K. Tessema, N. Solomon and E. Birhane, “Carbon sequestration and soil restoration potential of grazing lands under exclosure management in a semi-arid environment of northern Ethiopia,” </w:t>
                    </w:r>
                    <w:r>
                      <w:rPr>
                        <w:i/>
                        <w:iCs/>
                        <w:noProof/>
                      </w:rPr>
                      <w:t xml:space="preserve">Ecology Evolution, </w:t>
                    </w:r>
                    <w:r>
                      <w:rPr>
                        <w:noProof/>
                      </w:rPr>
                      <w:t xml:space="preserve">p. 6470, 2019. </w:t>
                    </w:r>
                  </w:p>
                </w:tc>
              </w:tr>
              <w:tr w:rsidR="00294F83" w14:paraId="05F2360F" w14:textId="77777777">
                <w:trPr>
                  <w:divId w:val="1438258653"/>
                  <w:tblCellSpacing w:w="15" w:type="dxa"/>
                </w:trPr>
                <w:tc>
                  <w:tcPr>
                    <w:tcW w:w="50" w:type="pct"/>
                    <w:hideMark/>
                  </w:tcPr>
                  <w:p w14:paraId="0C019408" w14:textId="77777777" w:rsidR="00294F83" w:rsidRDefault="00294F83">
                    <w:pPr>
                      <w:pStyle w:val="Bibliography"/>
                      <w:rPr>
                        <w:noProof/>
                      </w:rPr>
                    </w:pPr>
                    <w:r>
                      <w:rPr>
                        <w:noProof/>
                      </w:rPr>
                      <w:t xml:space="preserve">[14] </w:t>
                    </w:r>
                  </w:p>
                </w:tc>
                <w:tc>
                  <w:tcPr>
                    <w:tcW w:w="0" w:type="auto"/>
                    <w:hideMark/>
                  </w:tcPr>
                  <w:p w14:paraId="3398BF5E" w14:textId="77777777" w:rsidR="00294F83" w:rsidRDefault="00294F83" w:rsidP="00FD2793">
                    <w:pPr>
                      <w:pStyle w:val="Bibliography"/>
                      <w:jc w:val="both"/>
                      <w:rPr>
                        <w:noProof/>
                      </w:rPr>
                    </w:pPr>
                    <w:r>
                      <w:rPr>
                        <w:noProof/>
                      </w:rPr>
                      <w:t xml:space="preserve">F. Sedano, A. Mizu-Siampale, L. Duncanson and M. Liang, “Influence of Charcoal Production on Forest Degradation in Zambia: A Remote Sensing Perspective,” </w:t>
                    </w:r>
                    <w:r>
                      <w:rPr>
                        <w:i/>
                        <w:iCs/>
                        <w:noProof/>
                      </w:rPr>
                      <w:t xml:space="preserve">Remote Sense, </w:t>
                    </w:r>
                    <w:r>
                      <w:rPr>
                        <w:noProof/>
                      </w:rPr>
                      <w:t xml:space="preserve">p. 3352, 2022. </w:t>
                    </w:r>
                  </w:p>
                </w:tc>
              </w:tr>
              <w:tr w:rsidR="00294F83" w14:paraId="4B93D772" w14:textId="77777777">
                <w:trPr>
                  <w:divId w:val="1438258653"/>
                  <w:tblCellSpacing w:w="15" w:type="dxa"/>
                </w:trPr>
                <w:tc>
                  <w:tcPr>
                    <w:tcW w:w="50" w:type="pct"/>
                    <w:hideMark/>
                  </w:tcPr>
                  <w:p w14:paraId="38109B87" w14:textId="77777777" w:rsidR="00294F83" w:rsidRDefault="00294F83">
                    <w:pPr>
                      <w:pStyle w:val="Bibliography"/>
                      <w:rPr>
                        <w:noProof/>
                      </w:rPr>
                    </w:pPr>
                    <w:r>
                      <w:rPr>
                        <w:noProof/>
                      </w:rPr>
                      <w:t xml:space="preserve">[15] </w:t>
                    </w:r>
                  </w:p>
                </w:tc>
                <w:tc>
                  <w:tcPr>
                    <w:tcW w:w="0" w:type="auto"/>
                    <w:hideMark/>
                  </w:tcPr>
                  <w:p w14:paraId="702B6378" w14:textId="77777777" w:rsidR="00294F83" w:rsidRDefault="00294F83" w:rsidP="00FD2793">
                    <w:pPr>
                      <w:pStyle w:val="Bibliography"/>
                      <w:jc w:val="both"/>
                      <w:rPr>
                        <w:noProof/>
                      </w:rPr>
                    </w:pPr>
                    <w:r>
                      <w:rPr>
                        <w:noProof/>
                      </w:rPr>
                      <w:t xml:space="preserve">N. Doggart, T. Morgan-Brown, E. Lyimo, B. Mbilinyi, CharlesKMeshack, S. MSallu and D. Spracklen, “Agriculture is the main driver of deforestation in Tanzania,” </w:t>
                    </w:r>
                    <w:r>
                      <w:rPr>
                        <w:i/>
                        <w:iCs/>
                        <w:noProof/>
                      </w:rPr>
                      <w:t xml:space="preserve">Environmental Research Letter, </w:t>
                    </w:r>
                    <w:r>
                      <w:rPr>
                        <w:noProof/>
                      </w:rPr>
                      <w:t xml:space="preserve">p. 1, 2020. </w:t>
                    </w:r>
                  </w:p>
                </w:tc>
              </w:tr>
              <w:tr w:rsidR="00294F83" w14:paraId="3CA2D35C" w14:textId="77777777">
                <w:trPr>
                  <w:divId w:val="1438258653"/>
                  <w:tblCellSpacing w:w="15" w:type="dxa"/>
                </w:trPr>
                <w:tc>
                  <w:tcPr>
                    <w:tcW w:w="50" w:type="pct"/>
                    <w:hideMark/>
                  </w:tcPr>
                  <w:p w14:paraId="01BD1D24" w14:textId="77777777" w:rsidR="00294F83" w:rsidRDefault="00294F83">
                    <w:pPr>
                      <w:pStyle w:val="Bibliography"/>
                      <w:rPr>
                        <w:noProof/>
                      </w:rPr>
                    </w:pPr>
                    <w:r>
                      <w:rPr>
                        <w:noProof/>
                      </w:rPr>
                      <w:t xml:space="preserve">[16] </w:t>
                    </w:r>
                  </w:p>
                </w:tc>
                <w:tc>
                  <w:tcPr>
                    <w:tcW w:w="0" w:type="auto"/>
                    <w:hideMark/>
                  </w:tcPr>
                  <w:p w14:paraId="4F1390B2" w14:textId="77777777" w:rsidR="00294F83" w:rsidRDefault="00294F83" w:rsidP="00FD2793">
                    <w:pPr>
                      <w:pStyle w:val="Bibliography"/>
                      <w:jc w:val="both"/>
                      <w:rPr>
                        <w:noProof/>
                      </w:rPr>
                    </w:pPr>
                    <w:r>
                      <w:rPr>
                        <w:noProof/>
                      </w:rPr>
                      <w:t xml:space="preserve">C. J. Fagariba, S. Song and S. K. G. Soule, “Livelihood Economic Activities Causing Deforestation in Northern Ghana: Evidence of Sissala West District,” </w:t>
                    </w:r>
                    <w:r>
                      <w:rPr>
                        <w:i/>
                        <w:iCs/>
                        <w:noProof/>
                      </w:rPr>
                      <w:t xml:space="preserve">Open Journal of Ecology, </w:t>
                    </w:r>
                    <w:r>
                      <w:rPr>
                        <w:noProof/>
                      </w:rPr>
                      <w:t xml:space="preserve">pp. 57-74, 2018. </w:t>
                    </w:r>
                  </w:p>
                </w:tc>
              </w:tr>
              <w:tr w:rsidR="00294F83" w14:paraId="492F0809" w14:textId="77777777">
                <w:trPr>
                  <w:divId w:val="1438258653"/>
                  <w:tblCellSpacing w:w="15" w:type="dxa"/>
                </w:trPr>
                <w:tc>
                  <w:tcPr>
                    <w:tcW w:w="50" w:type="pct"/>
                    <w:hideMark/>
                  </w:tcPr>
                  <w:p w14:paraId="4D9340F8" w14:textId="77777777" w:rsidR="00294F83" w:rsidRDefault="00294F83">
                    <w:pPr>
                      <w:pStyle w:val="Bibliography"/>
                      <w:rPr>
                        <w:noProof/>
                      </w:rPr>
                    </w:pPr>
                    <w:r>
                      <w:rPr>
                        <w:noProof/>
                      </w:rPr>
                      <w:t xml:space="preserve">[17] </w:t>
                    </w:r>
                  </w:p>
                </w:tc>
                <w:tc>
                  <w:tcPr>
                    <w:tcW w:w="0" w:type="auto"/>
                    <w:hideMark/>
                  </w:tcPr>
                  <w:p w14:paraId="25304E0D" w14:textId="77777777" w:rsidR="00294F83" w:rsidRDefault="00294F83" w:rsidP="00FD2793">
                    <w:pPr>
                      <w:pStyle w:val="Bibliography"/>
                      <w:jc w:val="both"/>
                      <w:rPr>
                        <w:noProof/>
                      </w:rPr>
                    </w:pPr>
                    <w:r>
                      <w:rPr>
                        <w:noProof/>
                      </w:rPr>
                      <w:t xml:space="preserve">M. Petersen, C. Bergmann, P. Roden and M. Nüsse, “Contextualizing land-use and land-cover change with local knowledge: A case study from Pokot Central, Kenya,” </w:t>
                    </w:r>
                    <w:r>
                      <w:rPr>
                        <w:i/>
                        <w:iCs/>
                        <w:noProof/>
                      </w:rPr>
                      <w:t xml:space="preserve">Land Degradation &amp; Development, </w:t>
                    </w:r>
                    <w:r>
                      <w:rPr>
                        <w:noProof/>
                      </w:rPr>
                      <w:t xml:space="preserve">vol. 32, p. 2992–3007, 2021. </w:t>
                    </w:r>
                  </w:p>
                </w:tc>
              </w:tr>
              <w:tr w:rsidR="00294F83" w14:paraId="444280A2" w14:textId="77777777">
                <w:trPr>
                  <w:divId w:val="1438258653"/>
                  <w:tblCellSpacing w:w="15" w:type="dxa"/>
                </w:trPr>
                <w:tc>
                  <w:tcPr>
                    <w:tcW w:w="50" w:type="pct"/>
                    <w:hideMark/>
                  </w:tcPr>
                  <w:p w14:paraId="2C542DC4" w14:textId="77777777" w:rsidR="00294F83" w:rsidRDefault="00294F83">
                    <w:pPr>
                      <w:pStyle w:val="Bibliography"/>
                      <w:rPr>
                        <w:noProof/>
                      </w:rPr>
                    </w:pPr>
                    <w:r>
                      <w:rPr>
                        <w:noProof/>
                      </w:rPr>
                      <w:t xml:space="preserve">[18] </w:t>
                    </w:r>
                  </w:p>
                </w:tc>
                <w:tc>
                  <w:tcPr>
                    <w:tcW w:w="0" w:type="auto"/>
                    <w:hideMark/>
                  </w:tcPr>
                  <w:p w14:paraId="346C92A5" w14:textId="77777777" w:rsidR="00294F83" w:rsidRDefault="00294F83" w:rsidP="00FD2793">
                    <w:pPr>
                      <w:pStyle w:val="Bibliography"/>
                      <w:jc w:val="both"/>
                      <w:rPr>
                        <w:noProof/>
                      </w:rPr>
                    </w:pPr>
                    <w:r>
                      <w:rPr>
                        <w:noProof/>
                      </w:rPr>
                      <w:t xml:space="preserve">A. Ranjan, K. K. Mandal and S. Mallick, “Analyzing the Trend of LULC Change Over Five Decades in Dhanbad District, Jharkhand (India) Using Geospatial Techniques,” </w:t>
                    </w:r>
                    <w:r>
                      <w:rPr>
                        <w:i/>
                        <w:iCs/>
                        <w:noProof/>
                      </w:rPr>
                      <w:t xml:space="preserve">Geospatial Technology for Natural Resource Management, </w:t>
                    </w:r>
                    <w:r>
                      <w:rPr>
                        <w:noProof/>
                      </w:rPr>
                      <w:t xml:space="preserve">p. 33, 2025. </w:t>
                    </w:r>
                  </w:p>
                </w:tc>
              </w:tr>
              <w:tr w:rsidR="00294F83" w14:paraId="1FA0B1A2" w14:textId="77777777">
                <w:trPr>
                  <w:divId w:val="1438258653"/>
                  <w:tblCellSpacing w:w="15" w:type="dxa"/>
                </w:trPr>
                <w:tc>
                  <w:tcPr>
                    <w:tcW w:w="50" w:type="pct"/>
                    <w:hideMark/>
                  </w:tcPr>
                  <w:p w14:paraId="464DA5A3" w14:textId="77777777" w:rsidR="00294F83" w:rsidRDefault="00294F83">
                    <w:pPr>
                      <w:pStyle w:val="Bibliography"/>
                      <w:rPr>
                        <w:noProof/>
                      </w:rPr>
                    </w:pPr>
                    <w:r>
                      <w:rPr>
                        <w:noProof/>
                      </w:rPr>
                      <w:t xml:space="preserve">[19] </w:t>
                    </w:r>
                  </w:p>
                </w:tc>
                <w:tc>
                  <w:tcPr>
                    <w:tcW w:w="0" w:type="auto"/>
                    <w:hideMark/>
                  </w:tcPr>
                  <w:p w14:paraId="2BD82F70" w14:textId="77777777" w:rsidR="00294F83" w:rsidRDefault="00294F83" w:rsidP="00FD2793">
                    <w:pPr>
                      <w:pStyle w:val="Bibliography"/>
                      <w:jc w:val="both"/>
                      <w:rPr>
                        <w:noProof/>
                      </w:rPr>
                    </w:pPr>
                    <w:r>
                      <w:rPr>
                        <w:noProof/>
                      </w:rPr>
                      <w:t>M. Waisse, E. Goldman and S. Carter, “Word Resource Institute,” 29 8 2023. [Online]. Available: http://Research.wri.org.</w:t>
                    </w:r>
                  </w:p>
                </w:tc>
              </w:tr>
              <w:tr w:rsidR="00294F83" w14:paraId="48E6F4C5" w14:textId="77777777">
                <w:trPr>
                  <w:divId w:val="1438258653"/>
                  <w:tblCellSpacing w:w="15" w:type="dxa"/>
                </w:trPr>
                <w:tc>
                  <w:tcPr>
                    <w:tcW w:w="50" w:type="pct"/>
                    <w:hideMark/>
                  </w:tcPr>
                  <w:p w14:paraId="72CB5470" w14:textId="77777777" w:rsidR="00294F83" w:rsidRDefault="00294F83">
                    <w:pPr>
                      <w:pStyle w:val="Bibliography"/>
                      <w:rPr>
                        <w:noProof/>
                      </w:rPr>
                    </w:pPr>
                    <w:r>
                      <w:rPr>
                        <w:noProof/>
                      </w:rPr>
                      <w:t xml:space="preserve">[20] </w:t>
                    </w:r>
                  </w:p>
                </w:tc>
                <w:tc>
                  <w:tcPr>
                    <w:tcW w:w="0" w:type="auto"/>
                    <w:hideMark/>
                  </w:tcPr>
                  <w:p w14:paraId="7D733C8D" w14:textId="77777777" w:rsidR="00294F83" w:rsidRDefault="00294F83" w:rsidP="00FD2793">
                    <w:pPr>
                      <w:pStyle w:val="Bibliography"/>
                      <w:jc w:val="both"/>
                      <w:rPr>
                        <w:noProof/>
                      </w:rPr>
                    </w:pPr>
                    <w:r>
                      <w:rPr>
                        <w:noProof/>
                      </w:rPr>
                      <w:t xml:space="preserve">J. R. Matta and J. R. Alavalapati, “Perceptions of collective action and its success in community based natural resource management: An empirical analysis,” </w:t>
                    </w:r>
                    <w:r>
                      <w:rPr>
                        <w:i/>
                        <w:iCs/>
                        <w:noProof/>
                      </w:rPr>
                      <w:t xml:space="preserve">Forest Policy and Economics, </w:t>
                    </w:r>
                    <w:r>
                      <w:rPr>
                        <w:noProof/>
                      </w:rPr>
                      <w:t xml:space="preserve">2016. </w:t>
                    </w:r>
                  </w:p>
                </w:tc>
              </w:tr>
              <w:tr w:rsidR="00294F83" w14:paraId="2A81247E" w14:textId="77777777">
                <w:trPr>
                  <w:divId w:val="1438258653"/>
                  <w:tblCellSpacing w:w="15" w:type="dxa"/>
                </w:trPr>
                <w:tc>
                  <w:tcPr>
                    <w:tcW w:w="50" w:type="pct"/>
                    <w:hideMark/>
                  </w:tcPr>
                  <w:p w14:paraId="5F48F3AB" w14:textId="77777777" w:rsidR="00294F83" w:rsidRDefault="00294F83">
                    <w:pPr>
                      <w:pStyle w:val="Bibliography"/>
                      <w:rPr>
                        <w:noProof/>
                      </w:rPr>
                    </w:pPr>
                    <w:r>
                      <w:rPr>
                        <w:noProof/>
                      </w:rPr>
                      <w:lastRenderedPageBreak/>
                      <w:t xml:space="preserve">[21] </w:t>
                    </w:r>
                  </w:p>
                </w:tc>
                <w:tc>
                  <w:tcPr>
                    <w:tcW w:w="0" w:type="auto"/>
                    <w:hideMark/>
                  </w:tcPr>
                  <w:p w14:paraId="0CB8D99D" w14:textId="77777777" w:rsidR="00294F83" w:rsidRDefault="00294F83" w:rsidP="00FD2793">
                    <w:pPr>
                      <w:pStyle w:val="Bibliography"/>
                      <w:jc w:val="both"/>
                      <w:rPr>
                        <w:noProof/>
                      </w:rPr>
                    </w:pPr>
                    <w:r>
                      <w:rPr>
                        <w:noProof/>
                      </w:rPr>
                      <w:t xml:space="preserve">R. Marnelly, T. Dahril and Z. Saam, “Ecological and Socio-Economic Factors on the Rate of Participation and Sustainable Forest Management,” </w:t>
                    </w:r>
                    <w:r>
                      <w:rPr>
                        <w:i/>
                        <w:iCs/>
                        <w:noProof/>
                      </w:rPr>
                      <w:t xml:space="preserve">International Journal of Energy Economics and Policy, </w:t>
                    </w:r>
                    <w:r>
                      <w:rPr>
                        <w:noProof/>
                      </w:rPr>
                      <w:t xml:space="preserve">pp. 92-101, 2023. </w:t>
                    </w:r>
                  </w:p>
                </w:tc>
              </w:tr>
              <w:tr w:rsidR="00294F83" w14:paraId="074199F0" w14:textId="77777777">
                <w:trPr>
                  <w:divId w:val="1438258653"/>
                  <w:tblCellSpacing w:w="15" w:type="dxa"/>
                </w:trPr>
                <w:tc>
                  <w:tcPr>
                    <w:tcW w:w="50" w:type="pct"/>
                    <w:hideMark/>
                  </w:tcPr>
                  <w:p w14:paraId="3761C20D" w14:textId="77777777" w:rsidR="00294F83" w:rsidRDefault="00294F83">
                    <w:pPr>
                      <w:pStyle w:val="Bibliography"/>
                      <w:rPr>
                        <w:noProof/>
                      </w:rPr>
                    </w:pPr>
                    <w:r>
                      <w:rPr>
                        <w:noProof/>
                      </w:rPr>
                      <w:t xml:space="preserve">[22] </w:t>
                    </w:r>
                  </w:p>
                </w:tc>
                <w:tc>
                  <w:tcPr>
                    <w:tcW w:w="0" w:type="auto"/>
                    <w:hideMark/>
                  </w:tcPr>
                  <w:p w14:paraId="3C5E431E" w14:textId="77777777" w:rsidR="00294F83" w:rsidRDefault="00294F83" w:rsidP="00FD2793">
                    <w:pPr>
                      <w:pStyle w:val="Bibliography"/>
                      <w:jc w:val="both"/>
                      <w:rPr>
                        <w:noProof/>
                      </w:rPr>
                    </w:pPr>
                    <w:r>
                      <w:rPr>
                        <w:noProof/>
                      </w:rPr>
                      <w:t xml:space="preserve">E. Kiria and K. Onundo, “Sustainable Approaches For Community Involvement In The Conservation And Management Of Dryland Forest And Their Biodiversity, A Case Of Kijege Forest, Tharaka Nithi County, Kenya,” </w:t>
                    </w:r>
                    <w:r>
                      <w:rPr>
                        <w:i/>
                        <w:iCs/>
                        <w:noProof/>
                      </w:rPr>
                      <w:t xml:space="preserve">International Journal of Agriculture, Environment and Bioresearch, </w:t>
                    </w:r>
                    <w:r>
                      <w:rPr>
                        <w:noProof/>
                      </w:rPr>
                      <w:t xml:space="preserve">p. 2, 2022. </w:t>
                    </w:r>
                  </w:p>
                </w:tc>
              </w:tr>
              <w:tr w:rsidR="00294F83" w14:paraId="40C92770" w14:textId="77777777">
                <w:trPr>
                  <w:divId w:val="1438258653"/>
                  <w:tblCellSpacing w:w="15" w:type="dxa"/>
                </w:trPr>
                <w:tc>
                  <w:tcPr>
                    <w:tcW w:w="50" w:type="pct"/>
                    <w:hideMark/>
                  </w:tcPr>
                  <w:p w14:paraId="7ABB3CF6" w14:textId="77777777" w:rsidR="00294F83" w:rsidRDefault="00294F83">
                    <w:pPr>
                      <w:pStyle w:val="Bibliography"/>
                      <w:rPr>
                        <w:noProof/>
                      </w:rPr>
                    </w:pPr>
                    <w:r>
                      <w:rPr>
                        <w:noProof/>
                      </w:rPr>
                      <w:t xml:space="preserve">[23] </w:t>
                    </w:r>
                  </w:p>
                </w:tc>
                <w:tc>
                  <w:tcPr>
                    <w:tcW w:w="0" w:type="auto"/>
                    <w:hideMark/>
                  </w:tcPr>
                  <w:p w14:paraId="7C1EB315" w14:textId="77777777" w:rsidR="00294F83" w:rsidRDefault="00294F83" w:rsidP="00FD2793">
                    <w:pPr>
                      <w:pStyle w:val="Bibliography"/>
                      <w:jc w:val="both"/>
                      <w:rPr>
                        <w:noProof/>
                      </w:rPr>
                    </w:pPr>
                    <w:r>
                      <w:rPr>
                        <w:noProof/>
                      </w:rPr>
                      <w:t xml:space="preserve">R. Cochard, V. H. T. Nguyen, D. T. Ngo and C. A. Kull, “Vietnam’s forest cover changes 2005-2016: veering from transition to (yet more) transaction?,” </w:t>
                    </w:r>
                    <w:r>
                      <w:rPr>
                        <w:i/>
                        <w:iCs/>
                        <w:noProof/>
                      </w:rPr>
                      <w:t xml:space="preserve">World Development, </w:t>
                    </w:r>
                    <w:r>
                      <w:rPr>
                        <w:noProof/>
                      </w:rPr>
                      <w:t xml:space="preserve">pp. 1-38, 2020. </w:t>
                    </w:r>
                  </w:p>
                </w:tc>
              </w:tr>
              <w:tr w:rsidR="00294F83" w14:paraId="35805F34" w14:textId="77777777">
                <w:trPr>
                  <w:divId w:val="1438258653"/>
                  <w:tblCellSpacing w:w="15" w:type="dxa"/>
                </w:trPr>
                <w:tc>
                  <w:tcPr>
                    <w:tcW w:w="50" w:type="pct"/>
                    <w:hideMark/>
                  </w:tcPr>
                  <w:p w14:paraId="7FFAC26F" w14:textId="77777777" w:rsidR="00294F83" w:rsidRDefault="00294F83">
                    <w:pPr>
                      <w:pStyle w:val="Bibliography"/>
                      <w:rPr>
                        <w:noProof/>
                      </w:rPr>
                    </w:pPr>
                    <w:r>
                      <w:rPr>
                        <w:noProof/>
                      </w:rPr>
                      <w:t xml:space="preserve">[24] </w:t>
                    </w:r>
                  </w:p>
                </w:tc>
                <w:tc>
                  <w:tcPr>
                    <w:tcW w:w="0" w:type="auto"/>
                    <w:hideMark/>
                  </w:tcPr>
                  <w:p w14:paraId="520218DB" w14:textId="77777777" w:rsidR="00294F83" w:rsidRDefault="00294F83" w:rsidP="00FD2793">
                    <w:pPr>
                      <w:pStyle w:val="Bibliography"/>
                      <w:jc w:val="both"/>
                      <w:rPr>
                        <w:noProof/>
                      </w:rPr>
                    </w:pPr>
                    <w:r>
                      <w:rPr>
                        <w:noProof/>
                      </w:rPr>
                      <w:t xml:space="preserve">L. Emerton, “Community-Based Incentives For Nature Conservation,” </w:t>
                    </w:r>
                    <w:r>
                      <w:rPr>
                        <w:i/>
                        <w:iCs/>
                        <w:noProof/>
                      </w:rPr>
                      <w:t xml:space="preserve">IUCN-The World Conservation Union, </w:t>
                    </w:r>
                    <w:r>
                      <w:rPr>
                        <w:noProof/>
                      </w:rPr>
                      <w:t xml:space="preserve">2024. </w:t>
                    </w:r>
                  </w:p>
                </w:tc>
              </w:tr>
              <w:tr w:rsidR="00294F83" w14:paraId="2BB7513D" w14:textId="77777777">
                <w:trPr>
                  <w:divId w:val="1438258653"/>
                  <w:tblCellSpacing w:w="15" w:type="dxa"/>
                </w:trPr>
                <w:tc>
                  <w:tcPr>
                    <w:tcW w:w="50" w:type="pct"/>
                    <w:hideMark/>
                  </w:tcPr>
                  <w:p w14:paraId="18D118F9" w14:textId="77777777" w:rsidR="00294F83" w:rsidRDefault="00294F83">
                    <w:pPr>
                      <w:pStyle w:val="Bibliography"/>
                      <w:rPr>
                        <w:noProof/>
                      </w:rPr>
                    </w:pPr>
                    <w:r>
                      <w:rPr>
                        <w:noProof/>
                      </w:rPr>
                      <w:t xml:space="preserve">[25] </w:t>
                    </w:r>
                  </w:p>
                </w:tc>
                <w:tc>
                  <w:tcPr>
                    <w:tcW w:w="0" w:type="auto"/>
                    <w:hideMark/>
                  </w:tcPr>
                  <w:p w14:paraId="28B7BC16" w14:textId="77777777" w:rsidR="00294F83" w:rsidRDefault="00294F83" w:rsidP="00FD2793">
                    <w:pPr>
                      <w:pStyle w:val="Bibliography"/>
                      <w:jc w:val="both"/>
                      <w:rPr>
                        <w:noProof/>
                      </w:rPr>
                    </w:pPr>
                    <w:r>
                      <w:rPr>
                        <w:noProof/>
                      </w:rPr>
                      <w:t xml:space="preserve">J.-P. Leblond, “Revisiting forest transition explanations: The role of “push” factors and adaptation strategies in forest expansion in northern Phetchabun, Thailand,” </w:t>
                    </w:r>
                    <w:r>
                      <w:rPr>
                        <w:i/>
                        <w:iCs/>
                        <w:noProof/>
                      </w:rPr>
                      <w:t xml:space="preserve">Land Use Policy, </w:t>
                    </w:r>
                    <w:r>
                      <w:rPr>
                        <w:noProof/>
                      </w:rPr>
                      <w:t xml:space="preserve">p. 195–214, 2019. </w:t>
                    </w:r>
                  </w:p>
                </w:tc>
              </w:tr>
              <w:tr w:rsidR="00294F83" w14:paraId="3593948F" w14:textId="77777777">
                <w:trPr>
                  <w:divId w:val="1438258653"/>
                  <w:tblCellSpacing w:w="15" w:type="dxa"/>
                </w:trPr>
                <w:tc>
                  <w:tcPr>
                    <w:tcW w:w="50" w:type="pct"/>
                    <w:hideMark/>
                  </w:tcPr>
                  <w:p w14:paraId="32B4624F" w14:textId="77777777" w:rsidR="00294F83" w:rsidRDefault="00294F83">
                    <w:pPr>
                      <w:pStyle w:val="Bibliography"/>
                      <w:rPr>
                        <w:noProof/>
                      </w:rPr>
                    </w:pPr>
                    <w:r>
                      <w:rPr>
                        <w:noProof/>
                      </w:rPr>
                      <w:t xml:space="preserve">[26] </w:t>
                    </w:r>
                  </w:p>
                </w:tc>
                <w:tc>
                  <w:tcPr>
                    <w:tcW w:w="0" w:type="auto"/>
                    <w:hideMark/>
                  </w:tcPr>
                  <w:p w14:paraId="4D2C3FAC" w14:textId="77777777" w:rsidR="00294F83" w:rsidRDefault="00294F83" w:rsidP="00FD2793">
                    <w:pPr>
                      <w:pStyle w:val="Bibliography"/>
                      <w:jc w:val="both"/>
                      <w:rPr>
                        <w:noProof/>
                      </w:rPr>
                    </w:pPr>
                    <w:r>
                      <w:rPr>
                        <w:noProof/>
                      </w:rPr>
                      <w:t xml:space="preserve">A. Worku, E. Auch, J. Pretzsch and H. Kassa, “The significance of dry forest income for livelihood resilience: the case of pastrolist ànd agro-pastrolist in dryland of southern Ethiopia,” </w:t>
                    </w:r>
                    <w:r>
                      <w:rPr>
                        <w:i/>
                        <w:iCs/>
                        <w:noProof/>
                      </w:rPr>
                      <w:t xml:space="preserve">Forest policy and economics, </w:t>
                    </w:r>
                    <w:r>
                      <w:rPr>
                        <w:noProof/>
                      </w:rPr>
                      <w:t xml:space="preserve">vol. 41, pp. 51-59, 2014. </w:t>
                    </w:r>
                  </w:p>
                </w:tc>
              </w:tr>
              <w:tr w:rsidR="00294F83" w14:paraId="38A0B2EF" w14:textId="77777777">
                <w:trPr>
                  <w:divId w:val="1438258653"/>
                  <w:tblCellSpacing w:w="15" w:type="dxa"/>
                </w:trPr>
                <w:tc>
                  <w:tcPr>
                    <w:tcW w:w="50" w:type="pct"/>
                    <w:hideMark/>
                  </w:tcPr>
                  <w:p w14:paraId="79B6FB13" w14:textId="77777777" w:rsidR="00294F83" w:rsidRDefault="00294F83">
                    <w:pPr>
                      <w:pStyle w:val="Bibliography"/>
                      <w:rPr>
                        <w:noProof/>
                      </w:rPr>
                    </w:pPr>
                    <w:r>
                      <w:rPr>
                        <w:noProof/>
                      </w:rPr>
                      <w:t xml:space="preserve">[27] </w:t>
                    </w:r>
                  </w:p>
                </w:tc>
                <w:tc>
                  <w:tcPr>
                    <w:tcW w:w="0" w:type="auto"/>
                    <w:hideMark/>
                  </w:tcPr>
                  <w:p w14:paraId="7BCB12E4" w14:textId="77777777" w:rsidR="00294F83" w:rsidRDefault="00294F83" w:rsidP="00FD2793">
                    <w:pPr>
                      <w:pStyle w:val="Bibliography"/>
                      <w:jc w:val="both"/>
                      <w:rPr>
                        <w:noProof/>
                      </w:rPr>
                    </w:pPr>
                    <w:r>
                      <w:rPr>
                        <w:noProof/>
                      </w:rPr>
                      <w:t xml:space="preserve">N. Solomon, H. Hishe, T. Annang and E. Birhane, “Forest Cover Change, Key Drivers and Community Perception in Wujig Mahgo Waren Forest of Northern Ethiopia,” </w:t>
                    </w:r>
                    <w:r>
                      <w:rPr>
                        <w:i/>
                        <w:iCs/>
                        <w:noProof/>
                      </w:rPr>
                      <w:t xml:space="preserve">Land, </w:t>
                    </w:r>
                    <w:r>
                      <w:rPr>
                        <w:noProof/>
                      </w:rPr>
                      <w:t xml:space="preserve">p. 32, 2018. </w:t>
                    </w:r>
                  </w:p>
                </w:tc>
              </w:tr>
              <w:tr w:rsidR="00294F83" w14:paraId="2644A8F9" w14:textId="77777777">
                <w:trPr>
                  <w:divId w:val="1438258653"/>
                  <w:tblCellSpacing w:w="15" w:type="dxa"/>
                </w:trPr>
                <w:tc>
                  <w:tcPr>
                    <w:tcW w:w="50" w:type="pct"/>
                    <w:hideMark/>
                  </w:tcPr>
                  <w:p w14:paraId="07FD4947" w14:textId="77777777" w:rsidR="00294F83" w:rsidRDefault="00294F83">
                    <w:pPr>
                      <w:pStyle w:val="Bibliography"/>
                      <w:rPr>
                        <w:noProof/>
                      </w:rPr>
                    </w:pPr>
                    <w:r>
                      <w:rPr>
                        <w:noProof/>
                      </w:rPr>
                      <w:t xml:space="preserve">[28] </w:t>
                    </w:r>
                  </w:p>
                </w:tc>
                <w:tc>
                  <w:tcPr>
                    <w:tcW w:w="0" w:type="auto"/>
                    <w:hideMark/>
                  </w:tcPr>
                  <w:p w14:paraId="1AF0E317" w14:textId="77777777" w:rsidR="00294F83" w:rsidRDefault="00294F83" w:rsidP="00FD2793">
                    <w:pPr>
                      <w:pStyle w:val="Bibliography"/>
                      <w:jc w:val="both"/>
                      <w:rPr>
                        <w:noProof/>
                      </w:rPr>
                    </w:pPr>
                    <w:r>
                      <w:rPr>
                        <w:noProof/>
                      </w:rPr>
                      <w:t xml:space="preserve">M.-A. Kalenga, “Community Forestry in CentralAfrica: Still a Fragile Sustainable Forest Management Model,” </w:t>
                    </w:r>
                    <w:r>
                      <w:rPr>
                        <w:i/>
                        <w:iCs/>
                        <w:noProof/>
                      </w:rPr>
                      <w:t xml:space="preserve">Forests, Governance and Development Policy Advisor, </w:t>
                    </w:r>
                    <w:r>
                      <w:rPr>
                        <w:noProof/>
                      </w:rPr>
                      <w:t xml:space="preserve">pp. 180-183, 2021. </w:t>
                    </w:r>
                  </w:p>
                </w:tc>
              </w:tr>
              <w:tr w:rsidR="00294F83" w14:paraId="05E4749D" w14:textId="77777777">
                <w:trPr>
                  <w:divId w:val="1438258653"/>
                  <w:tblCellSpacing w:w="15" w:type="dxa"/>
                </w:trPr>
                <w:tc>
                  <w:tcPr>
                    <w:tcW w:w="50" w:type="pct"/>
                    <w:hideMark/>
                  </w:tcPr>
                  <w:p w14:paraId="3313141A" w14:textId="77777777" w:rsidR="00294F83" w:rsidRDefault="00294F83">
                    <w:pPr>
                      <w:pStyle w:val="Bibliography"/>
                      <w:rPr>
                        <w:noProof/>
                      </w:rPr>
                    </w:pPr>
                    <w:r>
                      <w:rPr>
                        <w:noProof/>
                      </w:rPr>
                      <w:t xml:space="preserve">[29] </w:t>
                    </w:r>
                  </w:p>
                </w:tc>
                <w:tc>
                  <w:tcPr>
                    <w:tcW w:w="0" w:type="auto"/>
                    <w:hideMark/>
                  </w:tcPr>
                  <w:p w14:paraId="7DF6F365" w14:textId="77777777" w:rsidR="00294F83" w:rsidRDefault="00294F83" w:rsidP="00FD2793">
                    <w:pPr>
                      <w:pStyle w:val="Bibliography"/>
                      <w:jc w:val="both"/>
                      <w:rPr>
                        <w:noProof/>
                      </w:rPr>
                    </w:pPr>
                    <w:r>
                      <w:rPr>
                        <w:noProof/>
                      </w:rPr>
                      <w:t xml:space="preserve">B. Melaku, B. Purabi, B. Kees, F. Papa, K. Habtemariam, K. P. Mweru and V. Ingram, “Forests Management and Social Diversity in Africa and Asia,” </w:t>
                    </w:r>
                    <w:r>
                      <w:rPr>
                        <w:i/>
                        <w:iCs/>
                        <w:noProof/>
                      </w:rPr>
                      <w:t xml:space="preserve">Springer International Publishing Switzerland, </w:t>
                    </w:r>
                    <w:r>
                      <w:rPr>
                        <w:noProof/>
                      </w:rPr>
                      <w:t xml:space="preserve">p. 1, 2016. </w:t>
                    </w:r>
                  </w:p>
                </w:tc>
              </w:tr>
              <w:tr w:rsidR="00294F83" w14:paraId="1E4AD5DA" w14:textId="77777777">
                <w:trPr>
                  <w:divId w:val="1438258653"/>
                  <w:tblCellSpacing w:w="15" w:type="dxa"/>
                </w:trPr>
                <w:tc>
                  <w:tcPr>
                    <w:tcW w:w="50" w:type="pct"/>
                    <w:hideMark/>
                  </w:tcPr>
                  <w:p w14:paraId="285A5585" w14:textId="77777777" w:rsidR="00294F83" w:rsidRDefault="00294F83">
                    <w:pPr>
                      <w:pStyle w:val="Bibliography"/>
                      <w:rPr>
                        <w:noProof/>
                      </w:rPr>
                    </w:pPr>
                    <w:r>
                      <w:rPr>
                        <w:noProof/>
                      </w:rPr>
                      <w:t xml:space="preserve">[30] </w:t>
                    </w:r>
                  </w:p>
                </w:tc>
                <w:tc>
                  <w:tcPr>
                    <w:tcW w:w="0" w:type="auto"/>
                    <w:hideMark/>
                  </w:tcPr>
                  <w:p w14:paraId="2C8FA8C8" w14:textId="77777777" w:rsidR="00294F83" w:rsidRDefault="00294F83" w:rsidP="00FD2793">
                    <w:pPr>
                      <w:pStyle w:val="Bibliography"/>
                      <w:jc w:val="both"/>
                      <w:rPr>
                        <w:noProof/>
                      </w:rPr>
                    </w:pPr>
                    <w:r>
                      <w:rPr>
                        <w:noProof/>
                      </w:rPr>
                      <w:t>GoK, “The Forest Conservation and Management Act,,” Kenya Gazette supppliment, Nairobi, 2016.</w:t>
                    </w:r>
                  </w:p>
                </w:tc>
              </w:tr>
              <w:tr w:rsidR="00294F83" w14:paraId="26884B83" w14:textId="77777777">
                <w:trPr>
                  <w:divId w:val="1438258653"/>
                  <w:tblCellSpacing w:w="15" w:type="dxa"/>
                </w:trPr>
                <w:tc>
                  <w:tcPr>
                    <w:tcW w:w="50" w:type="pct"/>
                    <w:hideMark/>
                  </w:tcPr>
                  <w:p w14:paraId="37FAD3D4" w14:textId="77777777" w:rsidR="00294F83" w:rsidRDefault="00294F83">
                    <w:pPr>
                      <w:pStyle w:val="Bibliography"/>
                      <w:rPr>
                        <w:noProof/>
                      </w:rPr>
                    </w:pPr>
                    <w:r>
                      <w:rPr>
                        <w:noProof/>
                      </w:rPr>
                      <w:t xml:space="preserve">[31] </w:t>
                    </w:r>
                  </w:p>
                </w:tc>
                <w:tc>
                  <w:tcPr>
                    <w:tcW w:w="0" w:type="auto"/>
                    <w:hideMark/>
                  </w:tcPr>
                  <w:p w14:paraId="2C9D385E" w14:textId="77777777" w:rsidR="00294F83" w:rsidRDefault="00294F83" w:rsidP="00FD2793">
                    <w:pPr>
                      <w:pStyle w:val="Bibliography"/>
                      <w:jc w:val="both"/>
                      <w:rPr>
                        <w:noProof/>
                      </w:rPr>
                    </w:pPr>
                    <w:r>
                      <w:rPr>
                        <w:noProof/>
                      </w:rPr>
                      <w:t xml:space="preserve">S. Yurdakul and G. Şahin, “Conflict Analysis in Natural Resources: Examination with Forest Management and Land-Use Change Cases,” </w:t>
                    </w:r>
                    <w:r>
                      <w:rPr>
                        <w:i/>
                        <w:iCs/>
                        <w:noProof/>
                      </w:rPr>
                      <w:t xml:space="preserve">St. Kliment Ohridski University Press, </w:t>
                    </w:r>
                    <w:r>
                      <w:rPr>
                        <w:noProof/>
                      </w:rPr>
                      <w:t xml:space="preserve">2021. </w:t>
                    </w:r>
                  </w:p>
                </w:tc>
              </w:tr>
              <w:tr w:rsidR="00294F83" w14:paraId="5B9E0512" w14:textId="77777777">
                <w:trPr>
                  <w:divId w:val="1438258653"/>
                  <w:tblCellSpacing w:w="15" w:type="dxa"/>
                </w:trPr>
                <w:tc>
                  <w:tcPr>
                    <w:tcW w:w="50" w:type="pct"/>
                    <w:hideMark/>
                  </w:tcPr>
                  <w:p w14:paraId="55C5A081" w14:textId="77777777" w:rsidR="00294F83" w:rsidRDefault="00294F83">
                    <w:pPr>
                      <w:pStyle w:val="Bibliography"/>
                      <w:rPr>
                        <w:noProof/>
                      </w:rPr>
                    </w:pPr>
                    <w:r>
                      <w:rPr>
                        <w:noProof/>
                      </w:rPr>
                      <w:t xml:space="preserve">[32] </w:t>
                    </w:r>
                  </w:p>
                </w:tc>
                <w:tc>
                  <w:tcPr>
                    <w:tcW w:w="0" w:type="auto"/>
                    <w:hideMark/>
                  </w:tcPr>
                  <w:p w14:paraId="19AB4C62" w14:textId="77777777" w:rsidR="00294F83" w:rsidRDefault="00294F83" w:rsidP="00FD2793">
                    <w:pPr>
                      <w:pStyle w:val="Bibliography"/>
                      <w:jc w:val="both"/>
                      <w:rPr>
                        <w:noProof/>
                      </w:rPr>
                    </w:pPr>
                    <w:r>
                      <w:rPr>
                        <w:noProof/>
                      </w:rPr>
                      <w:t xml:space="preserve">E. H. Yasin, C. Kornel and M. Hemida, “Assessment and Mapping of Forest Cover Change in Dryland, Sudan Using Remote Sensing,” </w:t>
                    </w:r>
                    <w:r>
                      <w:rPr>
                        <w:i/>
                        <w:iCs/>
                        <w:noProof/>
                      </w:rPr>
                      <w:t xml:space="preserve">Intechopen, </w:t>
                    </w:r>
                    <w:r>
                      <w:rPr>
                        <w:noProof/>
                      </w:rPr>
                      <w:t xml:space="preserve">p. 1, 2023. </w:t>
                    </w:r>
                  </w:p>
                </w:tc>
              </w:tr>
              <w:tr w:rsidR="00294F83" w14:paraId="44DFE736" w14:textId="77777777">
                <w:trPr>
                  <w:divId w:val="1438258653"/>
                  <w:tblCellSpacing w:w="15" w:type="dxa"/>
                </w:trPr>
                <w:tc>
                  <w:tcPr>
                    <w:tcW w:w="50" w:type="pct"/>
                    <w:hideMark/>
                  </w:tcPr>
                  <w:p w14:paraId="58356997" w14:textId="77777777" w:rsidR="00294F83" w:rsidRDefault="00294F83">
                    <w:pPr>
                      <w:pStyle w:val="Bibliography"/>
                      <w:rPr>
                        <w:noProof/>
                      </w:rPr>
                    </w:pPr>
                    <w:r>
                      <w:rPr>
                        <w:noProof/>
                      </w:rPr>
                      <w:t xml:space="preserve">[33] </w:t>
                    </w:r>
                  </w:p>
                </w:tc>
                <w:tc>
                  <w:tcPr>
                    <w:tcW w:w="0" w:type="auto"/>
                    <w:hideMark/>
                  </w:tcPr>
                  <w:p w14:paraId="1420AED5" w14:textId="77777777" w:rsidR="00294F83" w:rsidRDefault="00294F83" w:rsidP="00FD2793">
                    <w:pPr>
                      <w:pStyle w:val="Bibliography"/>
                      <w:jc w:val="both"/>
                      <w:rPr>
                        <w:noProof/>
                      </w:rPr>
                    </w:pPr>
                    <w:r>
                      <w:rPr>
                        <w:noProof/>
                      </w:rPr>
                      <w:t xml:space="preserve">K. Tempa, “Spatiotemporal land use land cover mapping with Sentinel-2 using a semi-automatic random forest classifier and assessment of vegetation change dynamics for Gelephu, Bhutan,” </w:t>
                    </w:r>
                    <w:r>
                      <w:rPr>
                        <w:i/>
                        <w:iCs/>
                        <w:noProof/>
                      </w:rPr>
                      <w:t xml:space="preserve">Annual University, </w:t>
                    </w:r>
                    <w:r>
                      <w:rPr>
                        <w:noProof/>
                      </w:rPr>
                      <w:t xml:space="preserve">2023. </w:t>
                    </w:r>
                  </w:p>
                </w:tc>
              </w:tr>
              <w:tr w:rsidR="00294F83" w14:paraId="69613D8E" w14:textId="77777777">
                <w:trPr>
                  <w:divId w:val="1438258653"/>
                  <w:tblCellSpacing w:w="15" w:type="dxa"/>
                </w:trPr>
                <w:tc>
                  <w:tcPr>
                    <w:tcW w:w="50" w:type="pct"/>
                    <w:hideMark/>
                  </w:tcPr>
                  <w:p w14:paraId="5CB5E78B" w14:textId="77777777" w:rsidR="00294F83" w:rsidRDefault="00294F83">
                    <w:pPr>
                      <w:pStyle w:val="Bibliography"/>
                      <w:rPr>
                        <w:noProof/>
                      </w:rPr>
                    </w:pPr>
                    <w:r>
                      <w:rPr>
                        <w:noProof/>
                      </w:rPr>
                      <w:t xml:space="preserve">[34] </w:t>
                    </w:r>
                  </w:p>
                </w:tc>
                <w:tc>
                  <w:tcPr>
                    <w:tcW w:w="0" w:type="auto"/>
                    <w:hideMark/>
                  </w:tcPr>
                  <w:p w14:paraId="4980B309" w14:textId="77777777" w:rsidR="00294F83" w:rsidRDefault="00294F83" w:rsidP="00FD2793">
                    <w:pPr>
                      <w:pStyle w:val="Bibliography"/>
                      <w:jc w:val="both"/>
                      <w:rPr>
                        <w:noProof/>
                      </w:rPr>
                    </w:pPr>
                    <w:r>
                      <w:rPr>
                        <w:noProof/>
                      </w:rPr>
                      <w:t xml:space="preserve">M. Savari, H. E. Damaneh and H. E. Damaneh, “Factors influencing local people’s participation in sustainable forest management,” </w:t>
                    </w:r>
                    <w:r>
                      <w:rPr>
                        <w:i/>
                        <w:iCs/>
                        <w:noProof/>
                      </w:rPr>
                      <w:t xml:space="preserve">Arabian Journal of Geosciences, </w:t>
                    </w:r>
                    <w:r>
                      <w:rPr>
                        <w:noProof/>
                      </w:rPr>
                      <w:t xml:space="preserve">p. 513, 2020. </w:t>
                    </w:r>
                  </w:p>
                </w:tc>
              </w:tr>
              <w:tr w:rsidR="00294F83" w14:paraId="2743A77A" w14:textId="77777777">
                <w:trPr>
                  <w:divId w:val="1438258653"/>
                  <w:tblCellSpacing w:w="15" w:type="dxa"/>
                </w:trPr>
                <w:tc>
                  <w:tcPr>
                    <w:tcW w:w="50" w:type="pct"/>
                    <w:hideMark/>
                  </w:tcPr>
                  <w:p w14:paraId="52834FE5" w14:textId="77777777" w:rsidR="00294F83" w:rsidRDefault="00294F83">
                    <w:pPr>
                      <w:pStyle w:val="Bibliography"/>
                      <w:rPr>
                        <w:noProof/>
                      </w:rPr>
                    </w:pPr>
                    <w:r>
                      <w:rPr>
                        <w:noProof/>
                      </w:rPr>
                      <w:t xml:space="preserve">[35] </w:t>
                    </w:r>
                  </w:p>
                </w:tc>
                <w:tc>
                  <w:tcPr>
                    <w:tcW w:w="0" w:type="auto"/>
                    <w:hideMark/>
                  </w:tcPr>
                  <w:p w14:paraId="129CDFD5" w14:textId="77777777" w:rsidR="00294F83" w:rsidRDefault="00294F83" w:rsidP="00FD2793">
                    <w:pPr>
                      <w:pStyle w:val="Bibliography"/>
                      <w:jc w:val="both"/>
                      <w:rPr>
                        <w:noProof/>
                      </w:rPr>
                    </w:pPr>
                    <w:r>
                      <w:rPr>
                        <w:noProof/>
                      </w:rPr>
                      <w:t>A. M. O. ·. R. N. Onwonga, O. V. Wasonga and M. J. Kinyanjui, “Spatio</w:t>
                    </w:r>
                    <w:r>
                      <w:rPr>
                        <w:noProof/>
                      </w:rPr>
                      <w:noBreakHyphen/>
                      <w:t xml:space="preserve">temporal patterns of land use and land cover change in Kibwezi West, Eastern Kenya,” </w:t>
                    </w:r>
                    <w:r>
                      <w:rPr>
                        <w:i/>
                        <w:iCs/>
                        <w:noProof/>
                      </w:rPr>
                      <w:t xml:space="preserve">Discover Soil, </w:t>
                    </w:r>
                    <w:r>
                      <w:rPr>
                        <w:noProof/>
                      </w:rPr>
                      <w:t xml:space="preserve">p. 21, 24. </w:t>
                    </w:r>
                  </w:p>
                </w:tc>
              </w:tr>
              <w:tr w:rsidR="00294F83" w14:paraId="13CEFC17" w14:textId="77777777">
                <w:trPr>
                  <w:divId w:val="1438258653"/>
                  <w:tblCellSpacing w:w="15" w:type="dxa"/>
                </w:trPr>
                <w:tc>
                  <w:tcPr>
                    <w:tcW w:w="50" w:type="pct"/>
                    <w:hideMark/>
                  </w:tcPr>
                  <w:p w14:paraId="697CB687" w14:textId="77777777" w:rsidR="00294F83" w:rsidRDefault="00294F83">
                    <w:pPr>
                      <w:pStyle w:val="Bibliography"/>
                      <w:rPr>
                        <w:noProof/>
                      </w:rPr>
                    </w:pPr>
                    <w:r>
                      <w:rPr>
                        <w:noProof/>
                      </w:rPr>
                      <w:t xml:space="preserve">[36] </w:t>
                    </w:r>
                  </w:p>
                </w:tc>
                <w:tc>
                  <w:tcPr>
                    <w:tcW w:w="0" w:type="auto"/>
                    <w:hideMark/>
                  </w:tcPr>
                  <w:p w14:paraId="7073569F" w14:textId="77777777" w:rsidR="00294F83" w:rsidRDefault="00294F83" w:rsidP="00FD2793">
                    <w:pPr>
                      <w:pStyle w:val="Bibliography"/>
                      <w:jc w:val="both"/>
                      <w:rPr>
                        <w:noProof/>
                      </w:rPr>
                    </w:pPr>
                    <w:r>
                      <w:rPr>
                        <w:noProof/>
                      </w:rPr>
                      <w:t>A. M. Omwoyo, R. N. Onwonga, O. V. Wasonga and M. J. Kinyanjui, “Spatio</w:t>
                    </w:r>
                    <w:r>
                      <w:rPr>
                        <w:noProof/>
                      </w:rPr>
                      <w:noBreakHyphen/>
                      <w:t xml:space="preserve">temporal patterns of land use and land cover change,” </w:t>
                    </w:r>
                    <w:r>
                      <w:rPr>
                        <w:i/>
                        <w:iCs/>
                        <w:noProof/>
                      </w:rPr>
                      <w:t xml:space="preserve">Discover Soil, </w:t>
                    </w:r>
                    <w:r>
                      <w:rPr>
                        <w:noProof/>
                      </w:rPr>
                      <w:t xml:space="preserve">p. 22, 2024. </w:t>
                    </w:r>
                  </w:p>
                </w:tc>
              </w:tr>
              <w:tr w:rsidR="00294F83" w14:paraId="0D117C1C" w14:textId="77777777">
                <w:trPr>
                  <w:divId w:val="1438258653"/>
                  <w:tblCellSpacing w:w="15" w:type="dxa"/>
                </w:trPr>
                <w:tc>
                  <w:tcPr>
                    <w:tcW w:w="50" w:type="pct"/>
                    <w:hideMark/>
                  </w:tcPr>
                  <w:p w14:paraId="06A9A83F" w14:textId="77777777" w:rsidR="00294F83" w:rsidRDefault="00294F83">
                    <w:pPr>
                      <w:pStyle w:val="Bibliography"/>
                      <w:rPr>
                        <w:noProof/>
                      </w:rPr>
                    </w:pPr>
                    <w:r>
                      <w:rPr>
                        <w:noProof/>
                      </w:rPr>
                      <w:t xml:space="preserve">[37] </w:t>
                    </w:r>
                  </w:p>
                </w:tc>
                <w:tc>
                  <w:tcPr>
                    <w:tcW w:w="0" w:type="auto"/>
                    <w:hideMark/>
                  </w:tcPr>
                  <w:p w14:paraId="35A81A9B" w14:textId="77777777" w:rsidR="00294F83" w:rsidRDefault="00294F83" w:rsidP="00FD2793">
                    <w:pPr>
                      <w:pStyle w:val="Bibliography"/>
                      <w:jc w:val="both"/>
                      <w:rPr>
                        <w:noProof/>
                      </w:rPr>
                    </w:pPr>
                    <w:r>
                      <w:rPr>
                        <w:noProof/>
                      </w:rPr>
                      <w:t xml:space="preserve">S. C. Okorie, “Nigeria’s drylands and rise of violent conflict in the country,” </w:t>
                    </w:r>
                    <w:r>
                      <w:rPr>
                        <w:i/>
                        <w:iCs/>
                        <w:noProof/>
                      </w:rPr>
                      <w:t xml:space="preserve">Global Land scape Forum Africa, </w:t>
                    </w:r>
                    <w:r>
                      <w:rPr>
                        <w:noProof/>
                      </w:rPr>
                      <w:t xml:space="preserve">p. 1, 2021. </w:t>
                    </w:r>
                  </w:p>
                </w:tc>
              </w:tr>
              <w:tr w:rsidR="00294F83" w14:paraId="67B28F3F" w14:textId="77777777">
                <w:trPr>
                  <w:divId w:val="1438258653"/>
                  <w:tblCellSpacing w:w="15" w:type="dxa"/>
                </w:trPr>
                <w:tc>
                  <w:tcPr>
                    <w:tcW w:w="50" w:type="pct"/>
                    <w:hideMark/>
                  </w:tcPr>
                  <w:p w14:paraId="72D302CE" w14:textId="77777777" w:rsidR="00294F83" w:rsidRDefault="00294F83">
                    <w:pPr>
                      <w:pStyle w:val="Bibliography"/>
                      <w:rPr>
                        <w:noProof/>
                      </w:rPr>
                    </w:pPr>
                    <w:r>
                      <w:rPr>
                        <w:noProof/>
                      </w:rPr>
                      <w:t xml:space="preserve">[38] </w:t>
                    </w:r>
                  </w:p>
                </w:tc>
                <w:tc>
                  <w:tcPr>
                    <w:tcW w:w="0" w:type="auto"/>
                    <w:hideMark/>
                  </w:tcPr>
                  <w:p w14:paraId="241F815D" w14:textId="77777777" w:rsidR="00294F83" w:rsidRDefault="00294F83" w:rsidP="00FD2793">
                    <w:pPr>
                      <w:pStyle w:val="Bibliography"/>
                      <w:jc w:val="both"/>
                      <w:rPr>
                        <w:noProof/>
                      </w:rPr>
                    </w:pPr>
                    <w:r>
                      <w:rPr>
                        <w:noProof/>
                      </w:rPr>
                      <w:t xml:space="preserve">G. W. Ngaruiya and J. Scheffran, “Actors and networks in resource conflict resolution under climate change in rural Kenya,” </w:t>
                    </w:r>
                    <w:r>
                      <w:rPr>
                        <w:i/>
                        <w:iCs/>
                        <w:noProof/>
                      </w:rPr>
                      <w:t xml:space="preserve">Earth System Dynamics, </w:t>
                    </w:r>
                    <w:r>
                      <w:rPr>
                        <w:noProof/>
                      </w:rPr>
                      <w:t xml:space="preserve">pp. 441-452, 2016. </w:t>
                    </w:r>
                  </w:p>
                </w:tc>
              </w:tr>
              <w:tr w:rsidR="00294F83" w14:paraId="3FB5BD76" w14:textId="77777777">
                <w:trPr>
                  <w:divId w:val="1438258653"/>
                  <w:tblCellSpacing w:w="15" w:type="dxa"/>
                </w:trPr>
                <w:tc>
                  <w:tcPr>
                    <w:tcW w:w="50" w:type="pct"/>
                    <w:hideMark/>
                  </w:tcPr>
                  <w:p w14:paraId="482E4225" w14:textId="77777777" w:rsidR="00294F83" w:rsidRDefault="00294F83">
                    <w:pPr>
                      <w:pStyle w:val="Bibliography"/>
                      <w:rPr>
                        <w:noProof/>
                      </w:rPr>
                    </w:pPr>
                    <w:r>
                      <w:rPr>
                        <w:noProof/>
                      </w:rPr>
                      <w:lastRenderedPageBreak/>
                      <w:t xml:space="preserve">[39] </w:t>
                    </w:r>
                  </w:p>
                </w:tc>
                <w:tc>
                  <w:tcPr>
                    <w:tcW w:w="0" w:type="auto"/>
                    <w:hideMark/>
                  </w:tcPr>
                  <w:p w14:paraId="31AC729D" w14:textId="77777777" w:rsidR="00294F83" w:rsidRDefault="00294F83" w:rsidP="00FD2793">
                    <w:pPr>
                      <w:pStyle w:val="Bibliography"/>
                      <w:jc w:val="both"/>
                      <w:rPr>
                        <w:noProof/>
                      </w:rPr>
                    </w:pPr>
                    <w:r>
                      <w:rPr>
                        <w:noProof/>
                      </w:rPr>
                      <w:t xml:space="preserve">M. N. Khan, Y. Ta, A. A. G. M. K. Lodhi and J. Wang, “A regional-level spatiotemporal perspective of land use and land cover change impact on forest aboveground biomass in three gorges reservoir region, China,” </w:t>
                    </w:r>
                    <w:r>
                      <w:rPr>
                        <w:i/>
                        <w:iCs/>
                        <w:noProof/>
                      </w:rPr>
                      <w:t xml:space="preserve">Geocarto International, </w:t>
                    </w:r>
                    <w:r>
                      <w:rPr>
                        <w:noProof/>
                      </w:rPr>
                      <w:t xml:space="preserve">2024. </w:t>
                    </w:r>
                  </w:p>
                </w:tc>
              </w:tr>
              <w:tr w:rsidR="00294F83" w14:paraId="037D1DAF" w14:textId="77777777">
                <w:trPr>
                  <w:divId w:val="1438258653"/>
                  <w:tblCellSpacing w:w="15" w:type="dxa"/>
                </w:trPr>
                <w:tc>
                  <w:tcPr>
                    <w:tcW w:w="50" w:type="pct"/>
                    <w:hideMark/>
                  </w:tcPr>
                  <w:p w14:paraId="3A323C32" w14:textId="77777777" w:rsidR="00294F83" w:rsidRDefault="00294F83">
                    <w:pPr>
                      <w:pStyle w:val="Bibliography"/>
                      <w:rPr>
                        <w:noProof/>
                      </w:rPr>
                    </w:pPr>
                    <w:r>
                      <w:rPr>
                        <w:noProof/>
                      </w:rPr>
                      <w:t xml:space="preserve">[40] </w:t>
                    </w:r>
                  </w:p>
                </w:tc>
                <w:tc>
                  <w:tcPr>
                    <w:tcW w:w="0" w:type="auto"/>
                    <w:hideMark/>
                  </w:tcPr>
                  <w:p w14:paraId="343C2C52" w14:textId="77777777" w:rsidR="00294F83" w:rsidRDefault="00294F83" w:rsidP="00FD2793">
                    <w:pPr>
                      <w:pStyle w:val="Bibliography"/>
                      <w:jc w:val="both"/>
                      <w:rPr>
                        <w:noProof/>
                      </w:rPr>
                    </w:pPr>
                    <w:r>
                      <w:rPr>
                        <w:noProof/>
                      </w:rPr>
                      <w:t xml:space="preserve">J. J. Kegamba, K. K. Sangha, P. Wurm and S. T. Garnett, “Conservation benefit-sharing mechanisms and their effectiveness in the Greater Serengeti Ecosystem: local communities’ perspectives,” </w:t>
                    </w:r>
                    <w:r>
                      <w:rPr>
                        <w:i/>
                        <w:iCs/>
                        <w:noProof/>
                      </w:rPr>
                      <w:t xml:space="preserve">Springer Nature, </w:t>
                    </w:r>
                    <w:r>
                      <w:rPr>
                        <w:noProof/>
                      </w:rPr>
                      <w:t xml:space="preserve">p. 1, 2023. </w:t>
                    </w:r>
                  </w:p>
                </w:tc>
              </w:tr>
              <w:tr w:rsidR="00294F83" w14:paraId="70477C8C" w14:textId="77777777">
                <w:trPr>
                  <w:divId w:val="1438258653"/>
                  <w:tblCellSpacing w:w="15" w:type="dxa"/>
                </w:trPr>
                <w:tc>
                  <w:tcPr>
                    <w:tcW w:w="50" w:type="pct"/>
                    <w:hideMark/>
                  </w:tcPr>
                  <w:p w14:paraId="71E87885" w14:textId="77777777" w:rsidR="00294F83" w:rsidRDefault="00294F83">
                    <w:pPr>
                      <w:pStyle w:val="Bibliography"/>
                      <w:rPr>
                        <w:noProof/>
                      </w:rPr>
                    </w:pPr>
                    <w:r>
                      <w:rPr>
                        <w:noProof/>
                      </w:rPr>
                      <w:t xml:space="preserve">[41] </w:t>
                    </w:r>
                  </w:p>
                </w:tc>
                <w:tc>
                  <w:tcPr>
                    <w:tcW w:w="0" w:type="auto"/>
                    <w:hideMark/>
                  </w:tcPr>
                  <w:p w14:paraId="7E647E20" w14:textId="77777777" w:rsidR="00294F83" w:rsidRDefault="00294F83" w:rsidP="00FD2793">
                    <w:pPr>
                      <w:pStyle w:val="Bibliography"/>
                      <w:jc w:val="both"/>
                      <w:rPr>
                        <w:noProof/>
                      </w:rPr>
                    </w:pPr>
                    <w:r>
                      <w:rPr>
                        <w:noProof/>
                      </w:rPr>
                      <w:t xml:space="preserve">R. N. Karaya, C. A. Onyango and G. M. Ogendi, “A community-GIS supported dryland use and cover change assessment: The case of the Njemps flats in Kenya,” </w:t>
                    </w:r>
                    <w:r>
                      <w:rPr>
                        <w:i/>
                        <w:iCs/>
                        <w:noProof/>
                      </w:rPr>
                      <w:t xml:space="preserve">Cogent Food &amp; Agriculture, </w:t>
                    </w:r>
                    <w:r>
                      <w:rPr>
                        <w:noProof/>
                      </w:rPr>
                      <w:t xml:space="preserve">pp. 1-19, 2021. </w:t>
                    </w:r>
                  </w:p>
                </w:tc>
              </w:tr>
              <w:tr w:rsidR="00294F83" w14:paraId="58DD04EB" w14:textId="77777777">
                <w:trPr>
                  <w:divId w:val="1438258653"/>
                  <w:tblCellSpacing w:w="15" w:type="dxa"/>
                </w:trPr>
                <w:tc>
                  <w:tcPr>
                    <w:tcW w:w="50" w:type="pct"/>
                    <w:hideMark/>
                  </w:tcPr>
                  <w:p w14:paraId="0181E87F" w14:textId="77777777" w:rsidR="00294F83" w:rsidRDefault="00294F83">
                    <w:pPr>
                      <w:pStyle w:val="Bibliography"/>
                      <w:rPr>
                        <w:noProof/>
                      </w:rPr>
                    </w:pPr>
                    <w:r>
                      <w:rPr>
                        <w:noProof/>
                      </w:rPr>
                      <w:t xml:space="preserve">[42] </w:t>
                    </w:r>
                  </w:p>
                </w:tc>
                <w:tc>
                  <w:tcPr>
                    <w:tcW w:w="0" w:type="auto"/>
                    <w:hideMark/>
                  </w:tcPr>
                  <w:p w14:paraId="6FC0F752" w14:textId="77777777" w:rsidR="00294F83" w:rsidRDefault="00294F83" w:rsidP="00FD2793">
                    <w:pPr>
                      <w:pStyle w:val="Bibliography"/>
                      <w:jc w:val="both"/>
                      <w:rPr>
                        <w:noProof/>
                      </w:rPr>
                    </w:pPr>
                    <w:r>
                      <w:rPr>
                        <w:noProof/>
                      </w:rPr>
                      <w:t xml:space="preserve">R. N. Karaya, C. A. Onyango and G. M. Ogendi, “A community-GIS supported dryland use and cover change assessment: The case of the Njemps flats in Kenya,” </w:t>
                    </w:r>
                    <w:r>
                      <w:rPr>
                        <w:i/>
                        <w:iCs/>
                        <w:noProof/>
                      </w:rPr>
                      <w:t xml:space="preserve">Cogent Food &amp; Agriculture, </w:t>
                    </w:r>
                    <w:r>
                      <w:rPr>
                        <w:noProof/>
                      </w:rPr>
                      <w:t xml:space="preserve">p. 1872852, 2021. </w:t>
                    </w:r>
                  </w:p>
                </w:tc>
              </w:tr>
              <w:tr w:rsidR="00294F83" w14:paraId="16CE2786" w14:textId="77777777">
                <w:trPr>
                  <w:divId w:val="1438258653"/>
                  <w:tblCellSpacing w:w="15" w:type="dxa"/>
                </w:trPr>
                <w:tc>
                  <w:tcPr>
                    <w:tcW w:w="50" w:type="pct"/>
                    <w:hideMark/>
                  </w:tcPr>
                  <w:p w14:paraId="3212819D" w14:textId="77777777" w:rsidR="00294F83" w:rsidRDefault="00294F83">
                    <w:pPr>
                      <w:pStyle w:val="Bibliography"/>
                      <w:rPr>
                        <w:noProof/>
                      </w:rPr>
                    </w:pPr>
                    <w:r>
                      <w:rPr>
                        <w:noProof/>
                      </w:rPr>
                      <w:t xml:space="preserve">[43] </w:t>
                    </w:r>
                  </w:p>
                </w:tc>
                <w:tc>
                  <w:tcPr>
                    <w:tcW w:w="0" w:type="auto"/>
                    <w:hideMark/>
                  </w:tcPr>
                  <w:p w14:paraId="0B034080" w14:textId="77777777" w:rsidR="00294F83" w:rsidRDefault="00294F83" w:rsidP="00FD2793">
                    <w:pPr>
                      <w:pStyle w:val="Bibliography"/>
                      <w:jc w:val="both"/>
                      <w:rPr>
                        <w:noProof/>
                      </w:rPr>
                    </w:pPr>
                    <w:r>
                      <w:rPr>
                        <w:noProof/>
                      </w:rPr>
                      <w:t xml:space="preserve">C. E. Kamais and G. P. Mosol, “Recasting Low Intensity Conflicts in Laikipia County, Kenya, through Protracted Social Conflicts Paradigm: Causes, Socioeconomic, Political and Security Implications,” </w:t>
                    </w:r>
                    <w:r>
                      <w:rPr>
                        <w:i/>
                        <w:iCs/>
                        <w:noProof/>
                      </w:rPr>
                      <w:t xml:space="preserve">Open Access Library Journal, </w:t>
                    </w:r>
                    <w:r>
                      <w:rPr>
                        <w:noProof/>
                      </w:rPr>
                      <w:t xml:space="preserve">p. 7, 2022. </w:t>
                    </w:r>
                  </w:p>
                </w:tc>
              </w:tr>
              <w:tr w:rsidR="00294F83" w14:paraId="7FDC648F" w14:textId="77777777">
                <w:trPr>
                  <w:divId w:val="1438258653"/>
                  <w:tblCellSpacing w:w="15" w:type="dxa"/>
                </w:trPr>
                <w:tc>
                  <w:tcPr>
                    <w:tcW w:w="50" w:type="pct"/>
                    <w:hideMark/>
                  </w:tcPr>
                  <w:p w14:paraId="7DCEFBEB" w14:textId="77777777" w:rsidR="00294F83" w:rsidRDefault="00294F83">
                    <w:pPr>
                      <w:pStyle w:val="Bibliography"/>
                      <w:rPr>
                        <w:noProof/>
                      </w:rPr>
                    </w:pPr>
                    <w:r>
                      <w:rPr>
                        <w:noProof/>
                      </w:rPr>
                      <w:t xml:space="preserve">[44] </w:t>
                    </w:r>
                  </w:p>
                </w:tc>
                <w:tc>
                  <w:tcPr>
                    <w:tcW w:w="0" w:type="auto"/>
                    <w:hideMark/>
                  </w:tcPr>
                  <w:p w14:paraId="08A36813" w14:textId="77777777" w:rsidR="00294F83" w:rsidRDefault="00294F83" w:rsidP="00FD2793">
                    <w:pPr>
                      <w:pStyle w:val="Bibliography"/>
                      <w:jc w:val="both"/>
                      <w:rPr>
                        <w:noProof/>
                      </w:rPr>
                    </w:pPr>
                    <w:r>
                      <w:rPr>
                        <w:noProof/>
                      </w:rPr>
                      <w:t xml:space="preserve">S. Jin, X. Liu, J. Yang and J. Yuchao, “Spatial-temporal changes of land use/cover change and habitat quality in Sanjiang plain from 1985 to 2017,” </w:t>
                    </w:r>
                    <w:r>
                      <w:rPr>
                        <w:i/>
                        <w:iCs/>
                        <w:noProof/>
                      </w:rPr>
                      <w:t xml:space="preserve">Frontiers in Environmental Science, </w:t>
                    </w:r>
                    <w:r>
                      <w:rPr>
                        <w:noProof/>
                      </w:rPr>
                      <w:t xml:space="preserve">2022. </w:t>
                    </w:r>
                  </w:p>
                </w:tc>
              </w:tr>
              <w:tr w:rsidR="00294F83" w14:paraId="57C31508" w14:textId="77777777">
                <w:trPr>
                  <w:divId w:val="1438258653"/>
                  <w:tblCellSpacing w:w="15" w:type="dxa"/>
                </w:trPr>
                <w:tc>
                  <w:tcPr>
                    <w:tcW w:w="50" w:type="pct"/>
                    <w:hideMark/>
                  </w:tcPr>
                  <w:p w14:paraId="450AC2FA" w14:textId="77777777" w:rsidR="00294F83" w:rsidRDefault="00294F83">
                    <w:pPr>
                      <w:pStyle w:val="Bibliography"/>
                      <w:rPr>
                        <w:noProof/>
                      </w:rPr>
                    </w:pPr>
                    <w:r>
                      <w:rPr>
                        <w:noProof/>
                      </w:rPr>
                      <w:t xml:space="preserve">[45] </w:t>
                    </w:r>
                  </w:p>
                </w:tc>
                <w:tc>
                  <w:tcPr>
                    <w:tcW w:w="0" w:type="auto"/>
                    <w:hideMark/>
                  </w:tcPr>
                  <w:p w14:paraId="48E6C291" w14:textId="77777777" w:rsidR="00294F83" w:rsidRDefault="00294F83" w:rsidP="00FD2793">
                    <w:pPr>
                      <w:pStyle w:val="Bibliography"/>
                      <w:jc w:val="both"/>
                      <w:rPr>
                        <w:noProof/>
                      </w:rPr>
                    </w:pPr>
                    <w:r>
                      <w:rPr>
                        <w:noProof/>
                      </w:rPr>
                      <w:t xml:space="preserve">A. K. García, “Territorial Conflicts, Agency and the Strategic Appropriation of Interventions in Kenya’s Southern Drylands,” </w:t>
                    </w:r>
                    <w:r>
                      <w:rPr>
                        <w:i/>
                        <w:iCs/>
                        <w:noProof/>
                      </w:rPr>
                      <w:t xml:space="preserve">Sustainability, </w:t>
                    </w:r>
                    <w:r>
                      <w:rPr>
                        <w:noProof/>
                      </w:rPr>
                      <w:t xml:space="preserve">p. 4156, 2018. </w:t>
                    </w:r>
                  </w:p>
                </w:tc>
              </w:tr>
              <w:tr w:rsidR="00294F83" w14:paraId="360EE5D2" w14:textId="77777777">
                <w:trPr>
                  <w:divId w:val="1438258653"/>
                  <w:tblCellSpacing w:w="15" w:type="dxa"/>
                </w:trPr>
                <w:tc>
                  <w:tcPr>
                    <w:tcW w:w="50" w:type="pct"/>
                    <w:hideMark/>
                  </w:tcPr>
                  <w:p w14:paraId="720AC45F" w14:textId="77777777" w:rsidR="00294F83" w:rsidRDefault="00294F83">
                    <w:pPr>
                      <w:pStyle w:val="Bibliography"/>
                      <w:rPr>
                        <w:noProof/>
                      </w:rPr>
                    </w:pPr>
                    <w:r>
                      <w:rPr>
                        <w:noProof/>
                      </w:rPr>
                      <w:t xml:space="preserve">[46] </w:t>
                    </w:r>
                  </w:p>
                </w:tc>
                <w:tc>
                  <w:tcPr>
                    <w:tcW w:w="0" w:type="auto"/>
                    <w:hideMark/>
                  </w:tcPr>
                  <w:p w14:paraId="221C6301" w14:textId="77777777" w:rsidR="00294F83" w:rsidRDefault="00294F83" w:rsidP="00FD2793">
                    <w:pPr>
                      <w:pStyle w:val="Bibliography"/>
                      <w:jc w:val="both"/>
                      <w:rPr>
                        <w:noProof/>
                      </w:rPr>
                    </w:pPr>
                    <w:r>
                      <w:rPr>
                        <w:noProof/>
                      </w:rPr>
                      <w:t xml:space="preserve">S. Y. Erol and G. Şahin, “Conflict Analysis in Natural Resources: Examination with Forest Management and Land-Use Change Cases,” </w:t>
                    </w:r>
                    <w:r>
                      <w:rPr>
                        <w:i/>
                        <w:iCs/>
                        <w:noProof/>
                      </w:rPr>
                      <w:t xml:space="preserve">St. Kliment Ohridski University Press, </w:t>
                    </w:r>
                    <w:r>
                      <w:rPr>
                        <w:noProof/>
                      </w:rPr>
                      <w:t xml:space="preserve">2021. </w:t>
                    </w:r>
                  </w:p>
                </w:tc>
              </w:tr>
              <w:tr w:rsidR="00294F83" w14:paraId="484C00A6" w14:textId="77777777">
                <w:trPr>
                  <w:divId w:val="1438258653"/>
                  <w:tblCellSpacing w:w="15" w:type="dxa"/>
                </w:trPr>
                <w:tc>
                  <w:tcPr>
                    <w:tcW w:w="50" w:type="pct"/>
                    <w:hideMark/>
                  </w:tcPr>
                  <w:p w14:paraId="74937590" w14:textId="77777777" w:rsidR="00294F83" w:rsidRDefault="00294F83">
                    <w:pPr>
                      <w:pStyle w:val="Bibliography"/>
                      <w:rPr>
                        <w:noProof/>
                      </w:rPr>
                    </w:pPr>
                    <w:r>
                      <w:rPr>
                        <w:noProof/>
                      </w:rPr>
                      <w:t xml:space="preserve">[47] </w:t>
                    </w:r>
                  </w:p>
                </w:tc>
                <w:tc>
                  <w:tcPr>
                    <w:tcW w:w="0" w:type="auto"/>
                    <w:hideMark/>
                  </w:tcPr>
                  <w:p w14:paraId="58121211" w14:textId="77777777" w:rsidR="00294F83" w:rsidRDefault="00294F83" w:rsidP="00FD2793">
                    <w:pPr>
                      <w:pStyle w:val="Bibliography"/>
                      <w:jc w:val="both"/>
                      <w:rPr>
                        <w:noProof/>
                      </w:rPr>
                    </w:pPr>
                    <w:r>
                      <w:rPr>
                        <w:noProof/>
                      </w:rPr>
                      <w:t xml:space="preserve">A. Egeru, P. Okello, P. Mukwaya and P. Isubikalu, “The Effect of Land use/cover change on Biomass Stock in Dryland Areas of Eastern Uganda. A case study of Olio Sub-county in Soroti District,” </w:t>
                    </w:r>
                    <w:r>
                      <w:rPr>
                        <w:i/>
                        <w:iCs/>
                        <w:noProof/>
                      </w:rPr>
                      <w:t xml:space="preserve">Journal of Applied Sciences and Environmental Management, </w:t>
                    </w:r>
                    <w:r>
                      <w:rPr>
                        <w:noProof/>
                      </w:rPr>
                      <w:t xml:space="preserve">2011. </w:t>
                    </w:r>
                  </w:p>
                </w:tc>
              </w:tr>
              <w:tr w:rsidR="00294F83" w14:paraId="72A598B1" w14:textId="77777777">
                <w:trPr>
                  <w:divId w:val="1438258653"/>
                  <w:tblCellSpacing w:w="15" w:type="dxa"/>
                </w:trPr>
                <w:tc>
                  <w:tcPr>
                    <w:tcW w:w="50" w:type="pct"/>
                    <w:hideMark/>
                  </w:tcPr>
                  <w:p w14:paraId="26C1BE6B" w14:textId="77777777" w:rsidR="00294F83" w:rsidRDefault="00294F83">
                    <w:pPr>
                      <w:pStyle w:val="Bibliography"/>
                      <w:rPr>
                        <w:noProof/>
                      </w:rPr>
                    </w:pPr>
                    <w:r>
                      <w:rPr>
                        <w:noProof/>
                      </w:rPr>
                      <w:t xml:space="preserve">[48] </w:t>
                    </w:r>
                  </w:p>
                </w:tc>
                <w:tc>
                  <w:tcPr>
                    <w:tcW w:w="0" w:type="auto"/>
                    <w:hideMark/>
                  </w:tcPr>
                  <w:p w14:paraId="71B2C7BD" w14:textId="77777777" w:rsidR="00294F83" w:rsidRDefault="00294F83" w:rsidP="00FD2793">
                    <w:pPr>
                      <w:pStyle w:val="Bibliography"/>
                      <w:jc w:val="both"/>
                      <w:rPr>
                        <w:noProof/>
                      </w:rPr>
                    </w:pPr>
                    <w:r>
                      <w:rPr>
                        <w:noProof/>
                      </w:rPr>
                      <w:t xml:space="preserve">S. Dong, Y. Li, Y. Li1 and S. Li, “Spatiotemporal Patterns and Drivers of Land Use and Land Cover Change in the China-Mongolia-Russia Economic Corridor,” </w:t>
                    </w:r>
                    <w:r>
                      <w:rPr>
                        <w:i/>
                        <w:iCs/>
                        <w:noProof/>
                      </w:rPr>
                      <w:t xml:space="preserve">Environment Studies, </w:t>
                    </w:r>
                    <w:r>
                      <w:rPr>
                        <w:noProof/>
                      </w:rPr>
                      <w:t xml:space="preserve">pp. 2527-2541, 2021. </w:t>
                    </w:r>
                  </w:p>
                </w:tc>
              </w:tr>
              <w:tr w:rsidR="00294F83" w14:paraId="68E30E93" w14:textId="77777777">
                <w:trPr>
                  <w:divId w:val="1438258653"/>
                  <w:tblCellSpacing w:w="15" w:type="dxa"/>
                </w:trPr>
                <w:tc>
                  <w:tcPr>
                    <w:tcW w:w="50" w:type="pct"/>
                    <w:hideMark/>
                  </w:tcPr>
                  <w:p w14:paraId="55DFA208" w14:textId="77777777" w:rsidR="00294F83" w:rsidRDefault="00294F83">
                    <w:pPr>
                      <w:pStyle w:val="Bibliography"/>
                      <w:rPr>
                        <w:noProof/>
                      </w:rPr>
                    </w:pPr>
                    <w:r>
                      <w:rPr>
                        <w:noProof/>
                      </w:rPr>
                      <w:t xml:space="preserve">[49] </w:t>
                    </w:r>
                  </w:p>
                </w:tc>
                <w:tc>
                  <w:tcPr>
                    <w:tcW w:w="0" w:type="auto"/>
                    <w:hideMark/>
                  </w:tcPr>
                  <w:p w14:paraId="7F57DDC0" w14:textId="77777777" w:rsidR="00294F83" w:rsidRDefault="00294F83" w:rsidP="00FD2793">
                    <w:pPr>
                      <w:pStyle w:val="Bibliography"/>
                      <w:jc w:val="both"/>
                      <w:rPr>
                        <w:noProof/>
                      </w:rPr>
                    </w:pPr>
                    <w:r>
                      <w:rPr>
                        <w:noProof/>
                      </w:rPr>
                      <w:t xml:space="preserve">W. Amanuel, M. Tesfaye, A. Worku, G. Seyoum and Z. Mekonnen, “The role of dry land forests for climate change adaptation: the case of Liben Woreda, Southern Oromia, Ethiopia,” </w:t>
                    </w:r>
                    <w:r>
                      <w:rPr>
                        <w:i/>
                        <w:iCs/>
                        <w:noProof/>
                      </w:rPr>
                      <w:t xml:space="preserve">Journal of Ecology and Environment, </w:t>
                    </w:r>
                    <w:r>
                      <w:rPr>
                        <w:noProof/>
                      </w:rPr>
                      <w:t xml:space="preserve">vol. 43, p. 11, 2019. </w:t>
                    </w:r>
                  </w:p>
                </w:tc>
              </w:tr>
              <w:tr w:rsidR="00294F83" w14:paraId="55766922" w14:textId="77777777">
                <w:trPr>
                  <w:divId w:val="1438258653"/>
                  <w:tblCellSpacing w:w="15" w:type="dxa"/>
                </w:trPr>
                <w:tc>
                  <w:tcPr>
                    <w:tcW w:w="50" w:type="pct"/>
                    <w:hideMark/>
                  </w:tcPr>
                  <w:p w14:paraId="69B3191B" w14:textId="77777777" w:rsidR="00294F83" w:rsidRDefault="00294F83">
                    <w:pPr>
                      <w:pStyle w:val="Bibliography"/>
                      <w:rPr>
                        <w:noProof/>
                      </w:rPr>
                    </w:pPr>
                    <w:r>
                      <w:rPr>
                        <w:noProof/>
                      </w:rPr>
                      <w:t xml:space="preserve">[50] </w:t>
                    </w:r>
                  </w:p>
                </w:tc>
                <w:tc>
                  <w:tcPr>
                    <w:tcW w:w="0" w:type="auto"/>
                    <w:hideMark/>
                  </w:tcPr>
                  <w:p w14:paraId="16D71CBE" w14:textId="77777777" w:rsidR="00294F83" w:rsidRDefault="00294F83" w:rsidP="00FD2793">
                    <w:pPr>
                      <w:pStyle w:val="Bibliography"/>
                      <w:jc w:val="both"/>
                      <w:rPr>
                        <w:noProof/>
                      </w:rPr>
                    </w:pPr>
                    <w:r>
                      <w:rPr>
                        <w:noProof/>
                      </w:rPr>
                      <w:t xml:space="preserve">K. Aipasa and S. Suhardiman, “Land use and land cover change in Manokwari, West Papua Province,” </w:t>
                    </w:r>
                    <w:r>
                      <w:rPr>
                        <w:i/>
                        <w:iCs/>
                        <w:noProof/>
                      </w:rPr>
                      <w:t xml:space="preserve">Earth and Environmental Science, </w:t>
                    </w:r>
                    <w:r>
                      <w:rPr>
                        <w:noProof/>
                      </w:rPr>
                      <w:t xml:space="preserve">2023. </w:t>
                    </w:r>
                  </w:p>
                </w:tc>
              </w:tr>
            </w:tbl>
            <w:p w14:paraId="3AAC1B76" w14:textId="77777777" w:rsidR="00294F83" w:rsidRDefault="00294F83">
              <w:pPr>
                <w:divId w:val="1438258653"/>
                <w:rPr>
                  <w:noProof/>
                </w:rPr>
              </w:pPr>
            </w:p>
            <w:p w14:paraId="3C67EFFB" w14:textId="51E688CD" w:rsidR="00B01FCD" w:rsidRPr="00943BC0" w:rsidRDefault="005E5202" w:rsidP="00943BC0">
              <w:pPr>
                <w:jc w:val="both"/>
              </w:pPr>
              <w:r w:rsidRPr="00103EF8">
                <w:rPr>
                  <w:b/>
                  <w:bCs/>
                </w:rPr>
                <w:fldChar w:fldCharType="end"/>
              </w:r>
            </w:p>
          </w:sdtContent>
        </w:sdt>
      </w:sdtContent>
    </w:sdt>
    <w:p w14:paraId="258C5C6D" w14:textId="324CC879" w:rsidR="004D4277" w:rsidRPr="00103EF8" w:rsidRDefault="004D4277" w:rsidP="00D333E9">
      <w:pPr>
        <w:pStyle w:val="Appendix"/>
        <w:spacing w:after="0"/>
        <w:jc w:val="both"/>
        <w:rPr>
          <w:rFonts w:ascii="Arial" w:hAnsi="Arial" w:cs="Arial"/>
          <w:b w:val="0"/>
        </w:rPr>
        <w:sectPr w:rsidR="004D4277" w:rsidRPr="00103EF8" w:rsidSect="0062319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4C29658" w14:textId="77777777" w:rsidR="00B01FCD" w:rsidRPr="00FB3A86" w:rsidRDefault="00B01FCD" w:rsidP="00D333E9">
      <w:pPr>
        <w:pStyle w:val="Appendix"/>
        <w:spacing w:after="0"/>
        <w:jc w:val="both"/>
        <w:rPr>
          <w:rFonts w:ascii="Arial" w:hAnsi="Arial" w:cs="Arial"/>
          <w:b w:val="0"/>
        </w:rPr>
      </w:pPr>
    </w:p>
    <w:sectPr w:rsidR="00B01FCD" w:rsidRPr="00FB3A86" w:rsidSect="006231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D084" w14:textId="77777777" w:rsidR="002624F7" w:rsidRPr="00103EF8" w:rsidRDefault="002624F7" w:rsidP="00C37E61">
      <w:r w:rsidRPr="00103EF8">
        <w:separator/>
      </w:r>
    </w:p>
  </w:endnote>
  <w:endnote w:type="continuationSeparator" w:id="0">
    <w:p w14:paraId="1E705727" w14:textId="77777777" w:rsidR="002624F7" w:rsidRPr="00103EF8" w:rsidRDefault="002624F7" w:rsidP="00C37E61">
      <w:r w:rsidRPr="00103E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0A50" w14:textId="77777777" w:rsidR="00621F9E" w:rsidRDefault="0062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7159" w14:textId="77777777" w:rsidR="00621F9E" w:rsidRDefault="00621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442A" w14:textId="77777777" w:rsidR="009E048A" w:rsidRPr="00103EF8" w:rsidRDefault="009E048A">
    <w:pPr>
      <w:pStyle w:val="Footer"/>
      <w:rPr>
        <w:rFonts w:ascii="Arial" w:hAnsi="Arial" w:cs="Arial"/>
        <w:sz w:val="16"/>
      </w:rPr>
    </w:pPr>
  </w:p>
  <w:p w14:paraId="0A56B4AF" w14:textId="77777777" w:rsidR="009E048A" w:rsidRPr="00103EF8" w:rsidRDefault="009E048A" w:rsidP="009E048A">
    <w:pPr>
      <w:pStyle w:val="Footer"/>
      <w:jc w:val="center"/>
      <w:rPr>
        <w:rFonts w:ascii="Arial" w:hAnsi="Arial" w:cs="Arial"/>
        <w:sz w:val="16"/>
      </w:rPr>
    </w:pPr>
    <w:r w:rsidRPr="00103EF8">
      <w:rPr>
        <w:rFonts w:ascii="Arial" w:hAnsi="Arial" w:cs="Arial"/>
        <w:sz w:val="16"/>
      </w:rPr>
      <w:t>______________________________________________________________________</w:t>
    </w:r>
    <w:r w:rsidR="00BF121F" w:rsidRPr="00103EF8">
      <w:rPr>
        <w:rFonts w:ascii="Arial" w:hAnsi="Arial" w:cs="Arial"/>
        <w:sz w:val="16"/>
      </w:rPr>
      <w:t>______________________</w:t>
    </w:r>
  </w:p>
  <w:p w14:paraId="3B5E649B" w14:textId="77777777" w:rsidR="009E048A" w:rsidRPr="00103EF8" w:rsidRDefault="009E048A">
    <w:pPr>
      <w:pStyle w:val="Footer"/>
      <w:rPr>
        <w:rFonts w:ascii="Arial" w:hAnsi="Arial" w:cs="Arial"/>
        <w:sz w:val="16"/>
      </w:rPr>
    </w:pPr>
  </w:p>
  <w:p w14:paraId="2F466FA4" w14:textId="77777777" w:rsidR="00754C9A" w:rsidRPr="00103EF8" w:rsidRDefault="00754C9A">
    <w:pPr>
      <w:pStyle w:val="Footer"/>
      <w:rPr>
        <w:rFonts w:ascii="Arial" w:hAnsi="Arial" w:cs="Arial"/>
        <w:i/>
        <w:sz w:val="16"/>
      </w:rPr>
    </w:pPr>
    <w:r w:rsidRPr="00103EF8">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BDC6" w14:textId="77777777" w:rsidR="00C37E61" w:rsidRPr="00103EF8"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23F8" w14:textId="77777777" w:rsidR="002624F7" w:rsidRPr="00103EF8" w:rsidRDefault="002624F7" w:rsidP="00C37E61">
      <w:r w:rsidRPr="00103EF8">
        <w:separator/>
      </w:r>
    </w:p>
  </w:footnote>
  <w:footnote w:type="continuationSeparator" w:id="0">
    <w:p w14:paraId="26BC24EC" w14:textId="77777777" w:rsidR="002624F7" w:rsidRPr="00103EF8" w:rsidRDefault="002624F7" w:rsidP="00C37E61">
      <w:r w:rsidRPr="00103E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E482" w14:textId="58015D33" w:rsidR="00621F9E" w:rsidRDefault="002624F7">
    <w:pPr>
      <w:pStyle w:val="Header"/>
    </w:pPr>
    <w:r>
      <w:rPr>
        <w:noProof/>
      </w:rPr>
      <w:pict w14:anchorId="35E2C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AE82" w14:textId="2202EF4E" w:rsidR="00621F9E" w:rsidRDefault="002624F7">
    <w:pPr>
      <w:pStyle w:val="Header"/>
    </w:pPr>
    <w:r>
      <w:rPr>
        <w:noProof/>
      </w:rPr>
      <w:pict w14:anchorId="7E87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47A4" w14:textId="6547157D" w:rsidR="00296529" w:rsidRPr="00103EF8" w:rsidRDefault="002624F7" w:rsidP="00296529">
    <w:pPr>
      <w:ind w:left="2160"/>
      <w:jc w:val="center"/>
      <w:rPr>
        <w:rFonts w:ascii="Times New Roman" w:eastAsia="Calibri" w:hAnsi="Times New Roman"/>
        <w:i/>
        <w:sz w:val="18"/>
        <w:szCs w:val="22"/>
      </w:rPr>
    </w:pPr>
    <w:r>
      <w:rPr>
        <w:noProof/>
      </w:rPr>
      <w:pict w14:anchorId="42021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E246CE" w14:textId="77777777" w:rsidR="00296529" w:rsidRPr="00103EF8" w:rsidRDefault="00754C9A" w:rsidP="00296529">
    <w:pPr>
      <w:ind w:left="4320"/>
      <w:rPr>
        <w:rFonts w:ascii="Times New Roman" w:eastAsia="Calibri" w:hAnsi="Times New Roman"/>
        <w:i/>
        <w:sz w:val="18"/>
        <w:szCs w:val="22"/>
      </w:rPr>
    </w:pPr>
    <w:r w:rsidRPr="00103EF8">
      <w:rPr>
        <w:rFonts w:ascii="Times New Roman" w:eastAsia="Calibri" w:hAnsi="Times New Roman"/>
        <w:i/>
        <w:sz w:val="18"/>
        <w:szCs w:val="22"/>
      </w:rPr>
      <w:t>.</w:t>
    </w:r>
    <w:r w:rsidR="00296529" w:rsidRPr="00103EF8">
      <w:rPr>
        <w:rFonts w:ascii="Times New Roman" w:eastAsia="Calibri" w:hAnsi="Times New Roman"/>
        <w:i/>
        <w:sz w:val="18"/>
        <w:szCs w:val="22"/>
      </w:rPr>
      <w:t xml:space="preserve">     </w:t>
    </w:r>
  </w:p>
  <w:p w14:paraId="15C319B7" w14:textId="77777777" w:rsidR="00296529" w:rsidRPr="00103EF8" w:rsidRDefault="00754C9A" w:rsidP="00296529">
    <w:pPr>
      <w:jc w:val="center"/>
      <w:rPr>
        <w:rFonts w:ascii="Times New Roman" w:eastAsia="Calibri" w:hAnsi="Times New Roman"/>
        <w:i/>
        <w:sz w:val="18"/>
        <w:szCs w:val="22"/>
      </w:rPr>
    </w:pPr>
    <w:r w:rsidRPr="00103EF8">
      <w:rPr>
        <w:rFonts w:ascii="Times New Roman" w:eastAsia="Calibri" w:hAnsi="Times New Roman"/>
        <w:i/>
        <w:sz w:val="18"/>
        <w:szCs w:val="22"/>
      </w:rPr>
      <w:t>.</w:t>
    </w:r>
  </w:p>
  <w:p w14:paraId="78BE42E4" w14:textId="77777777" w:rsidR="00296529" w:rsidRPr="00103EF8" w:rsidRDefault="00296529" w:rsidP="00296529">
    <w:pPr>
      <w:spacing w:after="200"/>
      <w:jc w:val="center"/>
      <w:rPr>
        <w:rFonts w:ascii="Times New Roman" w:eastAsia="Calibri" w:hAnsi="Times New Roman"/>
        <w:b/>
        <w:i/>
        <w:sz w:val="32"/>
        <w:szCs w:val="22"/>
      </w:rPr>
    </w:pPr>
    <w:r w:rsidRPr="00103EF8">
      <w:rPr>
        <w:rFonts w:ascii="Times New Roman" w:eastAsia="Calibri" w:hAnsi="Times New Roman"/>
        <w:b/>
        <w:i/>
        <w:sz w:val="32"/>
        <w:szCs w:val="22"/>
      </w:rPr>
      <w:t xml:space="preserve">              </w:t>
    </w:r>
    <w:r w:rsidR="00754C9A" w:rsidRPr="00103EF8">
      <w:rPr>
        <w:rFonts w:ascii="Times New Roman" w:eastAsia="Calibri" w:hAnsi="Times New Roman"/>
        <w:b/>
        <w:i/>
        <w:sz w:val="32"/>
        <w:szCs w:val="22"/>
      </w:rPr>
      <w:t>.</w:t>
    </w:r>
    <w:r w:rsidRPr="00103EF8">
      <w:rPr>
        <w:rFonts w:ascii="Times New Roman" w:eastAsia="Calibri" w:hAnsi="Times New Roman"/>
        <w:b/>
        <w:i/>
        <w:sz w:val="32"/>
        <w:szCs w:val="22"/>
      </w:rPr>
      <w:t xml:space="preserve"> </w:t>
    </w:r>
  </w:p>
  <w:p w14:paraId="3619149F" w14:textId="77777777" w:rsidR="00296529" w:rsidRPr="00103EF8" w:rsidRDefault="00296529" w:rsidP="00296529">
    <w:pPr>
      <w:jc w:val="center"/>
      <w:rPr>
        <w:rFonts w:ascii="Times New Roman" w:eastAsia="Calibri" w:hAnsi="Times New Roman"/>
        <w:i/>
        <w:sz w:val="18"/>
        <w:szCs w:val="22"/>
      </w:rPr>
    </w:pPr>
    <w:r w:rsidRPr="00103EF8">
      <w:rPr>
        <w:rFonts w:ascii="Times New Roman" w:eastAsia="Calibri" w:hAnsi="Times New Roman"/>
        <w:i/>
        <w:sz w:val="18"/>
        <w:szCs w:val="22"/>
      </w:rPr>
      <w:t xml:space="preserve">                     </w:t>
    </w:r>
  </w:p>
  <w:p w14:paraId="7B38F1E6" w14:textId="77777777" w:rsidR="00296529" w:rsidRPr="00103EF8" w:rsidRDefault="00296529" w:rsidP="00296529">
    <w:pPr>
      <w:tabs>
        <w:tab w:val="left" w:pos="2145"/>
      </w:tabs>
      <w:rPr>
        <w:rFonts w:ascii="Times New Roman" w:eastAsia="Calibri" w:hAnsi="Times New Roman"/>
        <w:i/>
        <w:sz w:val="18"/>
        <w:szCs w:val="22"/>
      </w:rPr>
    </w:pPr>
    <w:r w:rsidRPr="00103EF8">
      <w:rPr>
        <w:rFonts w:ascii="Times New Roman" w:eastAsia="Calibri" w:hAnsi="Times New Roman"/>
        <w:i/>
        <w:sz w:val="18"/>
        <w:szCs w:val="22"/>
      </w:rPr>
      <w:tab/>
    </w:r>
    <w:r w:rsidR="00754C9A" w:rsidRPr="00103EF8">
      <w:rPr>
        <w:rFonts w:ascii="Times New Roman" w:eastAsia="Calibri" w:hAnsi="Times New Roman"/>
        <w:i/>
        <w:sz w:val="18"/>
        <w:szCs w:val="22"/>
      </w:rPr>
      <w:t>.</w:t>
    </w:r>
  </w:p>
  <w:p w14:paraId="52A4F219" w14:textId="77777777" w:rsidR="00296529" w:rsidRPr="00103EF8" w:rsidRDefault="00754C9A">
    <w:pPr>
      <w:pStyle w:val="Header"/>
    </w:pPr>
    <w:r w:rsidRPr="00103EF8">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9679" w14:textId="2C1CF387" w:rsidR="00621F9E" w:rsidRDefault="002624F7">
    <w:pPr>
      <w:pStyle w:val="Header"/>
    </w:pPr>
    <w:r>
      <w:rPr>
        <w:noProof/>
      </w:rPr>
      <w:pict w14:anchorId="291F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13AB" w14:textId="54E900FD" w:rsidR="00621F9E" w:rsidRDefault="002624F7">
    <w:pPr>
      <w:pStyle w:val="Header"/>
    </w:pPr>
    <w:r>
      <w:rPr>
        <w:noProof/>
      </w:rPr>
      <w:pict w14:anchorId="5EAAA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6255" w14:textId="2A05F0BC" w:rsidR="00621F9E" w:rsidRDefault="002624F7">
    <w:pPr>
      <w:pStyle w:val="Header"/>
    </w:pPr>
    <w:r>
      <w:rPr>
        <w:noProof/>
      </w:rPr>
      <w:pict w14:anchorId="1F7D6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56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NDM1MjU1NLIwMLFU0lEKTi0uzszPAykwrAUA2G9KpywAAAA="/>
  </w:docVars>
  <w:rsids>
    <w:rsidRoot w:val="00AA6219"/>
    <w:rsid w:val="00000F8F"/>
    <w:rsid w:val="00030174"/>
    <w:rsid w:val="0004579C"/>
    <w:rsid w:val="00047AD5"/>
    <w:rsid w:val="00052CE4"/>
    <w:rsid w:val="00077173"/>
    <w:rsid w:val="00092CEB"/>
    <w:rsid w:val="000A3AE2"/>
    <w:rsid w:val="000A47FA"/>
    <w:rsid w:val="000A65D3"/>
    <w:rsid w:val="000B1E33"/>
    <w:rsid w:val="000D689F"/>
    <w:rsid w:val="000E7B7B"/>
    <w:rsid w:val="000E7D62"/>
    <w:rsid w:val="00103357"/>
    <w:rsid w:val="00103EF8"/>
    <w:rsid w:val="00123C9F"/>
    <w:rsid w:val="00126190"/>
    <w:rsid w:val="00130F17"/>
    <w:rsid w:val="001320BF"/>
    <w:rsid w:val="00163BC4"/>
    <w:rsid w:val="00191062"/>
    <w:rsid w:val="00191B63"/>
    <w:rsid w:val="00192B72"/>
    <w:rsid w:val="00195D8F"/>
    <w:rsid w:val="001A29D8"/>
    <w:rsid w:val="001A5CAA"/>
    <w:rsid w:val="001B0427"/>
    <w:rsid w:val="001C180D"/>
    <w:rsid w:val="001D3A51"/>
    <w:rsid w:val="001E10D2"/>
    <w:rsid w:val="001E25B4"/>
    <w:rsid w:val="001E44FE"/>
    <w:rsid w:val="00200595"/>
    <w:rsid w:val="00204835"/>
    <w:rsid w:val="00210EB4"/>
    <w:rsid w:val="002139EA"/>
    <w:rsid w:val="00231920"/>
    <w:rsid w:val="0023195C"/>
    <w:rsid w:val="0024176A"/>
    <w:rsid w:val="0024282C"/>
    <w:rsid w:val="002460DC"/>
    <w:rsid w:val="00250985"/>
    <w:rsid w:val="002556F6"/>
    <w:rsid w:val="00256DDB"/>
    <w:rsid w:val="002573A4"/>
    <w:rsid w:val="002624F7"/>
    <w:rsid w:val="00283105"/>
    <w:rsid w:val="00284C4C"/>
    <w:rsid w:val="00287E68"/>
    <w:rsid w:val="00294F83"/>
    <w:rsid w:val="00296529"/>
    <w:rsid w:val="002A0E56"/>
    <w:rsid w:val="002B27FB"/>
    <w:rsid w:val="002B685A"/>
    <w:rsid w:val="002C0F78"/>
    <w:rsid w:val="002C57D2"/>
    <w:rsid w:val="002E0D56"/>
    <w:rsid w:val="00315186"/>
    <w:rsid w:val="0033343E"/>
    <w:rsid w:val="00345F04"/>
    <w:rsid w:val="003512C2"/>
    <w:rsid w:val="00371FB6"/>
    <w:rsid w:val="003763C1"/>
    <w:rsid w:val="00376BBE"/>
    <w:rsid w:val="0038291C"/>
    <w:rsid w:val="0039224F"/>
    <w:rsid w:val="003A43A4"/>
    <w:rsid w:val="003A7E18"/>
    <w:rsid w:val="003A7EC8"/>
    <w:rsid w:val="003C4C86"/>
    <w:rsid w:val="003C6258"/>
    <w:rsid w:val="003E2904"/>
    <w:rsid w:val="003E6CFB"/>
    <w:rsid w:val="00401927"/>
    <w:rsid w:val="0041027F"/>
    <w:rsid w:val="00412475"/>
    <w:rsid w:val="00413453"/>
    <w:rsid w:val="00423789"/>
    <w:rsid w:val="00440F43"/>
    <w:rsid w:val="00441B6F"/>
    <w:rsid w:val="00446221"/>
    <w:rsid w:val="00450E62"/>
    <w:rsid w:val="004539DB"/>
    <w:rsid w:val="00471A80"/>
    <w:rsid w:val="0048162C"/>
    <w:rsid w:val="004820C0"/>
    <w:rsid w:val="004B6F9F"/>
    <w:rsid w:val="004D305E"/>
    <w:rsid w:val="004D4277"/>
    <w:rsid w:val="00502516"/>
    <w:rsid w:val="00505F06"/>
    <w:rsid w:val="00506828"/>
    <w:rsid w:val="00527D9E"/>
    <w:rsid w:val="0053056E"/>
    <w:rsid w:val="00554FDA"/>
    <w:rsid w:val="005931D5"/>
    <w:rsid w:val="005C784C"/>
    <w:rsid w:val="005D17F6"/>
    <w:rsid w:val="005E5202"/>
    <w:rsid w:val="005E5539"/>
    <w:rsid w:val="005F5D6B"/>
    <w:rsid w:val="00602BF5"/>
    <w:rsid w:val="00617FDD"/>
    <w:rsid w:val="00621F9E"/>
    <w:rsid w:val="0062319C"/>
    <w:rsid w:val="006307B1"/>
    <w:rsid w:val="00633614"/>
    <w:rsid w:val="00633F68"/>
    <w:rsid w:val="00636EB2"/>
    <w:rsid w:val="006375B8"/>
    <w:rsid w:val="00641B59"/>
    <w:rsid w:val="0066510A"/>
    <w:rsid w:val="00667E32"/>
    <w:rsid w:val="00673F9F"/>
    <w:rsid w:val="00686953"/>
    <w:rsid w:val="00687DEA"/>
    <w:rsid w:val="00687E67"/>
    <w:rsid w:val="006967F7"/>
    <w:rsid w:val="006A250C"/>
    <w:rsid w:val="006B21D3"/>
    <w:rsid w:val="006B57D0"/>
    <w:rsid w:val="006C1A46"/>
    <w:rsid w:val="006C59F0"/>
    <w:rsid w:val="006D30FF"/>
    <w:rsid w:val="006D5B16"/>
    <w:rsid w:val="006D6940"/>
    <w:rsid w:val="006F11EC"/>
    <w:rsid w:val="0070082C"/>
    <w:rsid w:val="007369E6"/>
    <w:rsid w:val="00746E59"/>
    <w:rsid w:val="00754C9A"/>
    <w:rsid w:val="0075599A"/>
    <w:rsid w:val="00755B6A"/>
    <w:rsid w:val="007579E6"/>
    <w:rsid w:val="00761D52"/>
    <w:rsid w:val="0076406F"/>
    <w:rsid w:val="0077427D"/>
    <w:rsid w:val="0077749E"/>
    <w:rsid w:val="00790ADA"/>
    <w:rsid w:val="00792CF8"/>
    <w:rsid w:val="007C33E4"/>
    <w:rsid w:val="007D2288"/>
    <w:rsid w:val="007E088F"/>
    <w:rsid w:val="007F6D92"/>
    <w:rsid w:val="007F7B32"/>
    <w:rsid w:val="0080098B"/>
    <w:rsid w:val="00804BC2"/>
    <w:rsid w:val="0081431A"/>
    <w:rsid w:val="0083216F"/>
    <w:rsid w:val="00860000"/>
    <w:rsid w:val="00863BD3"/>
    <w:rsid w:val="008641ED"/>
    <w:rsid w:val="00866D66"/>
    <w:rsid w:val="008671C6"/>
    <w:rsid w:val="00875803"/>
    <w:rsid w:val="008B459E"/>
    <w:rsid w:val="008D00ED"/>
    <w:rsid w:val="008E13AE"/>
    <w:rsid w:val="008E1506"/>
    <w:rsid w:val="008E710C"/>
    <w:rsid w:val="008F69D6"/>
    <w:rsid w:val="00902823"/>
    <w:rsid w:val="00915CA6"/>
    <w:rsid w:val="009227CF"/>
    <w:rsid w:val="00927834"/>
    <w:rsid w:val="00943BC0"/>
    <w:rsid w:val="00947656"/>
    <w:rsid w:val="009500A6"/>
    <w:rsid w:val="00957C18"/>
    <w:rsid w:val="009659BA"/>
    <w:rsid w:val="00983040"/>
    <w:rsid w:val="00984030"/>
    <w:rsid w:val="009B3FB9"/>
    <w:rsid w:val="009C114A"/>
    <w:rsid w:val="009C2465"/>
    <w:rsid w:val="009C6F08"/>
    <w:rsid w:val="009D107A"/>
    <w:rsid w:val="009D35A0"/>
    <w:rsid w:val="009D7EB7"/>
    <w:rsid w:val="009E048A"/>
    <w:rsid w:val="009E08E9"/>
    <w:rsid w:val="009E3DB9"/>
    <w:rsid w:val="009E6E35"/>
    <w:rsid w:val="009F0EDA"/>
    <w:rsid w:val="00A03B96"/>
    <w:rsid w:val="00A04E99"/>
    <w:rsid w:val="00A05B19"/>
    <w:rsid w:val="00A1134E"/>
    <w:rsid w:val="00A21940"/>
    <w:rsid w:val="00A24E7E"/>
    <w:rsid w:val="00A258C3"/>
    <w:rsid w:val="00A31485"/>
    <w:rsid w:val="00A347C0"/>
    <w:rsid w:val="00A51431"/>
    <w:rsid w:val="00A539AD"/>
    <w:rsid w:val="00A6073B"/>
    <w:rsid w:val="00A90AF3"/>
    <w:rsid w:val="00A94063"/>
    <w:rsid w:val="00AA54D2"/>
    <w:rsid w:val="00AA6219"/>
    <w:rsid w:val="00AA74E0"/>
    <w:rsid w:val="00AB703F"/>
    <w:rsid w:val="00AC6BB8"/>
    <w:rsid w:val="00AE008F"/>
    <w:rsid w:val="00AF3540"/>
    <w:rsid w:val="00B01FCD"/>
    <w:rsid w:val="00B1776C"/>
    <w:rsid w:val="00B47981"/>
    <w:rsid w:val="00B52583"/>
    <w:rsid w:val="00B52896"/>
    <w:rsid w:val="00B95236"/>
    <w:rsid w:val="00B96BD9"/>
    <w:rsid w:val="00BA1B01"/>
    <w:rsid w:val="00BA2641"/>
    <w:rsid w:val="00BB37AA"/>
    <w:rsid w:val="00BC53A0"/>
    <w:rsid w:val="00BE62AD"/>
    <w:rsid w:val="00BF121F"/>
    <w:rsid w:val="00BF1F80"/>
    <w:rsid w:val="00C14186"/>
    <w:rsid w:val="00C144D5"/>
    <w:rsid w:val="00C166EF"/>
    <w:rsid w:val="00C170F2"/>
    <w:rsid w:val="00C17EB0"/>
    <w:rsid w:val="00C27F5F"/>
    <w:rsid w:val="00C30A0F"/>
    <w:rsid w:val="00C375FA"/>
    <w:rsid w:val="00C37E61"/>
    <w:rsid w:val="00C70F1B"/>
    <w:rsid w:val="00C71A47"/>
    <w:rsid w:val="00C7464C"/>
    <w:rsid w:val="00C85588"/>
    <w:rsid w:val="00C931EF"/>
    <w:rsid w:val="00CB6D5A"/>
    <w:rsid w:val="00CC16AD"/>
    <w:rsid w:val="00CD4C4A"/>
    <w:rsid w:val="00CD6755"/>
    <w:rsid w:val="00CD6856"/>
    <w:rsid w:val="00CE0089"/>
    <w:rsid w:val="00CE2814"/>
    <w:rsid w:val="00CE793C"/>
    <w:rsid w:val="00CF193C"/>
    <w:rsid w:val="00D173F1"/>
    <w:rsid w:val="00D20E6A"/>
    <w:rsid w:val="00D333E9"/>
    <w:rsid w:val="00D503F5"/>
    <w:rsid w:val="00D66A2B"/>
    <w:rsid w:val="00D74CB0"/>
    <w:rsid w:val="00D8295D"/>
    <w:rsid w:val="00DA1841"/>
    <w:rsid w:val="00DA7C9D"/>
    <w:rsid w:val="00DB2A12"/>
    <w:rsid w:val="00DC1BCA"/>
    <w:rsid w:val="00DC2A65"/>
    <w:rsid w:val="00DE15F0"/>
    <w:rsid w:val="00DE5663"/>
    <w:rsid w:val="00DE78AA"/>
    <w:rsid w:val="00E053D0"/>
    <w:rsid w:val="00E15994"/>
    <w:rsid w:val="00E1752C"/>
    <w:rsid w:val="00E3114E"/>
    <w:rsid w:val="00E31A70"/>
    <w:rsid w:val="00E35B02"/>
    <w:rsid w:val="00E66496"/>
    <w:rsid w:val="00E66B35"/>
    <w:rsid w:val="00E66E10"/>
    <w:rsid w:val="00E7696D"/>
    <w:rsid w:val="00E769F6"/>
    <w:rsid w:val="00E8407C"/>
    <w:rsid w:val="00E84F3C"/>
    <w:rsid w:val="00EA012C"/>
    <w:rsid w:val="00EA6981"/>
    <w:rsid w:val="00EB70C9"/>
    <w:rsid w:val="00EC6A55"/>
    <w:rsid w:val="00ED0288"/>
    <w:rsid w:val="00EE52CB"/>
    <w:rsid w:val="00EF581D"/>
    <w:rsid w:val="00EF7FD8"/>
    <w:rsid w:val="00F0152C"/>
    <w:rsid w:val="00F02C10"/>
    <w:rsid w:val="00F06F59"/>
    <w:rsid w:val="00F16895"/>
    <w:rsid w:val="00F17988"/>
    <w:rsid w:val="00F318CB"/>
    <w:rsid w:val="00F469F0"/>
    <w:rsid w:val="00F53273"/>
    <w:rsid w:val="00F755E4"/>
    <w:rsid w:val="00F77D02"/>
    <w:rsid w:val="00F81893"/>
    <w:rsid w:val="00F86E68"/>
    <w:rsid w:val="00FB3A86"/>
    <w:rsid w:val="00FD1128"/>
    <w:rsid w:val="00FD279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FED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C18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792C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C180D"/>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527D9E"/>
    <w:pPr>
      <w:spacing w:after="200"/>
    </w:pPr>
    <w:rPr>
      <w:i/>
      <w:iCs/>
      <w:color w:val="1F497D" w:themeColor="text2"/>
      <w:sz w:val="18"/>
      <w:szCs w:val="18"/>
    </w:rPr>
  </w:style>
  <w:style w:type="character" w:customStyle="1" w:styleId="Heading4Char">
    <w:name w:val="Heading 4 Char"/>
    <w:basedOn w:val="DefaultParagraphFont"/>
    <w:link w:val="Heading4"/>
    <w:semiHidden/>
    <w:rsid w:val="00792CF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5E5202"/>
    <w:rPr>
      <w:rFonts w:ascii="Arial" w:hAnsi="Arial"/>
      <w:b/>
      <w:kern w:val="28"/>
      <w:sz w:val="28"/>
    </w:rPr>
  </w:style>
  <w:style w:type="paragraph" w:styleId="Bibliography">
    <w:name w:val="Bibliography"/>
    <w:basedOn w:val="Normal"/>
    <w:next w:val="Normal"/>
    <w:uiPriority w:val="37"/>
    <w:unhideWhenUsed/>
    <w:rsid w:val="005E5202"/>
  </w:style>
  <w:style w:type="character" w:styleId="SubtleEmphasis">
    <w:name w:val="Subtle Emphasis"/>
    <w:basedOn w:val="DefaultParagraphFont"/>
    <w:uiPriority w:val="19"/>
    <w:qFormat/>
    <w:rsid w:val="00FD112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768731">
      <w:bodyDiv w:val="1"/>
      <w:marLeft w:val="0"/>
      <w:marRight w:val="0"/>
      <w:marTop w:val="0"/>
      <w:marBottom w:val="0"/>
      <w:divBdr>
        <w:top w:val="none" w:sz="0" w:space="0" w:color="auto"/>
        <w:left w:val="none" w:sz="0" w:space="0" w:color="auto"/>
        <w:bottom w:val="none" w:sz="0" w:space="0" w:color="auto"/>
        <w:right w:val="none" w:sz="0" w:space="0" w:color="auto"/>
      </w:divBdr>
    </w:div>
    <w:div w:id="14305190">
      <w:bodyDiv w:val="1"/>
      <w:marLeft w:val="0"/>
      <w:marRight w:val="0"/>
      <w:marTop w:val="0"/>
      <w:marBottom w:val="0"/>
      <w:divBdr>
        <w:top w:val="none" w:sz="0" w:space="0" w:color="auto"/>
        <w:left w:val="none" w:sz="0" w:space="0" w:color="auto"/>
        <w:bottom w:val="none" w:sz="0" w:space="0" w:color="auto"/>
        <w:right w:val="none" w:sz="0" w:space="0" w:color="auto"/>
      </w:divBdr>
    </w:div>
    <w:div w:id="60564522">
      <w:bodyDiv w:val="1"/>
      <w:marLeft w:val="0"/>
      <w:marRight w:val="0"/>
      <w:marTop w:val="0"/>
      <w:marBottom w:val="0"/>
      <w:divBdr>
        <w:top w:val="none" w:sz="0" w:space="0" w:color="auto"/>
        <w:left w:val="none" w:sz="0" w:space="0" w:color="auto"/>
        <w:bottom w:val="none" w:sz="0" w:space="0" w:color="auto"/>
        <w:right w:val="none" w:sz="0" w:space="0" w:color="auto"/>
      </w:divBdr>
    </w:div>
    <w:div w:id="93986289">
      <w:bodyDiv w:val="1"/>
      <w:marLeft w:val="0"/>
      <w:marRight w:val="0"/>
      <w:marTop w:val="0"/>
      <w:marBottom w:val="0"/>
      <w:divBdr>
        <w:top w:val="none" w:sz="0" w:space="0" w:color="auto"/>
        <w:left w:val="none" w:sz="0" w:space="0" w:color="auto"/>
        <w:bottom w:val="none" w:sz="0" w:space="0" w:color="auto"/>
        <w:right w:val="none" w:sz="0" w:space="0" w:color="auto"/>
      </w:divBdr>
    </w:div>
    <w:div w:id="103038577">
      <w:bodyDiv w:val="1"/>
      <w:marLeft w:val="0"/>
      <w:marRight w:val="0"/>
      <w:marTop w:val="0"/>
      <w:marBottom w:val="0"/>
      <w:divBdr>
        <w:top w:val="none" w:sz="0" w:space="0" w:color="auto"/>
        <w:left w:val="none" w:sz="0" w:space="0" w:color="auto"/>
        <w:bottom w:val="none" w:sz="0" w:space="0" w:color="auto"/>
        <w:right w:val="none" w:sz="0" w:space="0" w:color="auto"/>
      </w:divBdr>
    </w:div>
    <w:div w:id="113528346">
      <w:bodyDiv w:val="1"/>
      <w:marLeft w:val="0"/>
      <w:marRight w:val="0"/>
      <w:marTop w:val="0"/>
      <w:marBottom w:val="0"/>
      <w:divBdr>
        <w:top w:val="none" w:sz="0" w:space="0" w:color="auto"/>
        <w:left w:val="none" w:sz="0" w:space="0" w:color="auto"/>
        <w:bottom w:val="none" w:sz="0" w:space="0" w:color="auto"/>
        <w:right w:val="none" w:sz="0" w:space="0" w:color="auto"/>
      </w:divBdr>
    </w:div>
    <w:div w:id="130558925">
      <w:bodyDiv w:val="1"/>
      <w:marLeft w:val="0"/>
      <w:marRight w:val="0"/>
      <w:marTop w:val="0"/>
      <w:marBottom w:val="0"/>
      <w:divBdr>
        <w:top w:val="none" w:sz="0" w:space="0" w:color="auto"/>
        <w:left w:val="none" w:sz="0" w:space="0" w:color="auto"/>
        <w:bottom w:val="none" w:sz="0" w:space="0" w:color="auto"/>
        <w:right w:val="none" w:sz="0" w:space="0" w:color="auto"/>
      </w:divBdr>
    </w:div>
    <w:div w:id="146752736">
      <w:bodyDiv w:val="1"/>
      <w:marLeft w:val="0"/>
      <w:marRight w:val="0"/>
      <w:marTop w:val="0"/>
      <w:marBottom w:val="0"/>
      <w:divBdr>
        <w:top w:val="none" w:sz="0" w:space="0" w:color="auto"/>
        <w:left w:val="none" w:sz="0" w:space="0" w:color="auto"/>
        <w:bottom w:val="none" w:sz="0" w:space="0" w:color="auto"/>
        <w:right w:val="none" w:sz="0" w:space="0" w:color="auto"/>
      </w:divBdr>
    </w:div>
    <w:div w:id="146945542">
      <w:bodyDiv w:val="1"/>
      <w:marLeft w:val="0"/>
      <w:marRight w:val="0"/>
      <w:marTop w:val="0"/>
      <w:marBottom w:val="0"/>
      <w:divBdr>
        <w:top w:val="none" w:sz="0" w:space="0" w:color="auto"/>
        <w:left w:val="none" w:sz="0" w:space="0" w:color="auto"/>
        <w:bottom w:val="none" w:sz="0" w:space="0" w:color="auto"/>
        <w:right w:val="none" w:sz="0" w:space="0" w:color="auto"/>
      </w:divBdr>
    </w:div>
    <w:div w:id="1557306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286349">
      <w:bodyDiv w:val="1"/>
      <w:marLeft w:val="0"/>
      <w:marRight w:val="0"/>
      <w:marTop w:val="0"/>
      <w:marBottom w:val="0"/>
      <w:divBdr>
        <w:top w:val="none" w:sz="0" w:space="0" w:color="auto"/>
        <w:left w:val="none" w:sz="0" w:space="0" w:color="auto"/>
        <w:bottom w:val="none" w:sz="0" w:space="0" w:color="auto"/>
        <w:right w:val="none" w:sz="0" w:space="0" w:color="auto"/>
      </w:divBdr>
    </w:div>
    <w:div w:id="185103983">
      <w:bodyDiv w:val="1"/>
      <w:marLeft w:val="0"/>
      <w:marRight w:val="0"/>
      <w:marTop w:val="0"/>
      <w:marBottom w:val="0"/>
      <w:divBdr>
        <w:top w:val="none" w:sz="0" w:space="0" w:color="auto"/>
        <w:left w:val="none" w:sz="0" w:space="0" w:color="auto"/>
        <w:bottom w:val="none" w:sz="0" w:space="0" w:color="auto"/>
        <w:right w:val="none" w:sz="0" w:space="0" w:color="auto"/>
      </w:divBdr>
    </w:div>
    <w:div w:id="186716834">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8760634">
      <w:bodyDiv w:val="1"/>
      <w:marLeft w:val="0"/>
      <w:marRight w:val="0"/>
      <w:marTop w:val="0"/>
      <w:marBottom w:val="0"/>
      <w:divBdr>
        <w:top w:val="none" w:sz="0" w:space="0" w:color="auto"/>
        <w:left w:val="none" w:sz="0" w:space="0" w:color="auto"/>
        <w:bottom w:val="none" w:sz="0" w:space="0" w:color="auto"/>
        <w:right w:val="none" w:sz="0" w:space="0" w:color="auto"/>
      </w:divBdr>
    </w:div>
    <w:div w:id="2373244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771282">
      <w:bodyDiv w:val="1"/>
      <w:marLeft w:val="0"/>
      <w:marRight w:val="0"/>
      <w:marTop w:val="0"/>
      <w:marBottom w:val="0"/>
      <w:divBdr>
        <w:top w:val="none" w:sz="0" w:space="0" w:color="auto"/>
        <w:left w:val="none" w:sz="0" w:space="0" w:color="auto"/>
        <w:bottom w:val="none" w:sz="0" w:space="0" w:color="auto"/>
        <w:right w:val="none" w:sz="0" w:space="0" w:color="auto"/>
      </w:divBdr>
    </w:div>
    <w:div w:id="254288862">
      <w:bodyDiv w:val="1"/>
      <w:marLeft w:val="0"/>
      <w:marRight w:val="0"/>
      <w:marTop w:val="0"/>
      <w:marBottom w:val="0"/>
      <w:divBdr>
        <w:top w:val="none" w:sz="0" w:space="0" w:color="auto"/>
        <w:left w:val="none" w:sz="0" w:space="0" w:color="auto"/>
        <w:bottom w:val="none" w:sz="0" w:space="0" w:color="auto"/>
        <w:right w:val="none" w:sz="0" w:space="0" w:color="auto"/>
      </w:divBdr>
    </w:div>
    <w:div w:id="256452192">
      <w:bodyDiv w:val="1"/>
      <w:marLeft w:val="0"/>
      <w:marRight w:val="0"/>
      <w:marTop w:val="0"/>
      <w:marBottom w:val="0"/>
      <w:divBdr>
        <w:top w:val="none" w:sz="0" w:space="0" w:color="auto"/>
        <w:left w:val="none" w:sz="0" w:space="0" w:color="auto"/>
        <w:bottom w:val="none" w:sz="0" w:space="0" w:color="auto"/>
        <w:right w:val="none" w:sz="0" w:space="0" w:color="auto"/>
      </w:divBdr>
    </w:div>
    <w:div w:id="261569172">
      <w:bodyDiv w:val="1"/>
      <w:marLeft w:val="0"/>
      <w:marRight w:val="0"/>
      <w:marTop w:val="0"/>
      <w:marBottom w:val="0"/>
      <w:divBdr>
        <w:top w:val="none" w:sz="0" w:space="0" w:color="auto"/>
        <w:left w:val="none" w:sz="0" w:space="0" w:color="auto"/>
        <w:bottom w:val="none" w:sz="0" w:space="0" w:color="auto"/>
        <w:right w:val="none" w:sz="0" w:space="0" w:color="auto"/>
      </w:divBdr>
    </w:div>
    <w:div w:id="286544866">
      <w:bodyDiv w:val="1"/>
      <w:marLeft w:val="0"/>
      <w:marRight w:val="0"/>
      <w:marTop w:val="0"/>
      <w:marBottom w:val="0"/>
      <w:divBdr>
        <w:top w:val="none" w:sz="0" w:space="0" w:color="auto"/>
        <w:left w:val="none" w:sz="0" w:space="0" w:color="auto"/>
        <w:bottom w:val="none" w:sz="0" w:space="0" w:color="auto"/>
        <w:right w:val="none" w:sz="0" w:space="0" w:color="auto"/>
      </w:divBdr>
    </w:div>
    <w:div w:id="288752609">
      <w:bodyDiv w:val="1"/>
      <w:marLeft w:val="0"/>
      <w:marRight w:val="0"/>
      <w:marTop w:val="0"/>
      <w:marBottom w:val="0"/>
      <w:divBdr>
        <w:top w:val="none" w:sz="0" w:space="0" w:color="auto"/>
        <w:left w:val="none" w:sz="0" w:space="0" w:color="auto"/>
        <w:bottom w:val="none" w:sz="0" w:space="0" w:color="auto"/>
        <w:right w:val="none" w:sz="0" w:space="0" w:color="auto"/>
      </w:divBdr>
    </w:div>
    <w:div w:id="343938172">
      <w:bodyDiv w:val="1"/>
      <w:marLeft w:val="0"/>
      <w:marRight w:val="0"/>
      <w:marTop w:val="0"/>
      <w:marBottom w:val="0"/>
      <w:divBdr>
        <w:top w:val="none" w:sz="0" w:space="0" w:color="auto"/>
        <w:left w:val="none" w:sz="0" w:space="0" w:color="auto"/>
        <w:bottom w:val="none" w:sz="0" w:space="0" w:color="auto"/>
        <w:right w:val="none" w:sz="0" w:space="0" w:color="auto"/>
      </w:divBdr>
    </w:div>
    <w:div w:id="361832020">
      <w:bodyDiv w:val="1"/>
      <w:marLeft w:val="0"/>
      <w:marRight w:val="0"/>
      <w:marTop w:val="0"/>
      <w:marBottom w:val="0"/>
      <w:divBdr>
        <w:top w:val="none" w:sz="0" w:space="0" w:color="auto"/>
        <w:left w:val="none" w:sz="0" w:space="0" w:color="auto"/>
        <w:bottom w:val="none" w:sz="0" w:space="0" w:color="auto"/>
        <w:right w:val="none" w:sz="0" w:space="0" w:color="auto"/>
      </w:divBdr>
    </w:div>
    <w:div w:id="380521902">
      <w:bodyDiv w:val="1"/>
      <w:marLeft w:val="0"/>
      <w:marRight w:val="0"/>
      <w:marTop w:val="0"/>
      <w:marBottom w:val="0"/>
      <w:divBdr>
        <w:top w:val="none" w:sz="0" w:space="0" w:color="auto"/>
        <w:left w:val="none" w:sz="0" w:space="0" w:color="auto"/>
        <w:bottom w:val="none" w:sz="0" w:space="0" w:color="auto"/>
        <w:right w:val="none" w:sz="0" w:space="0" w:color="auto"/>
      </w:divBdr>
    </w:div>
    <w:div w:id="394623016">
      <w:bodyDiv w:val="1"/>
      <w:marLeft w:val="0"/>
      <w:marRight w:val="0"/>
      <w:marTop w:val="0"/>
      <w:marBottom w:val="0"/>
      <w:divBdr>
        <w:top w:val="none" w:sz="0" w:space="0" w:color="auto"/>
        <w:left w:val="none" w:sz="0" w:space="0" w:color="auto"/>
        <w:bottom w:val="none" w:sz="0" w:space="0" w:color="auto"/>
        <w:right w:val="none" w:sz="0" w:space="0" w:color="auto"/>
      </w:divBdr>
    </w:div>
    <w:div w:id="402487503">
      <w:bodyDiv w:val="1"/>
      <w:marLeft w:val="0"/>
      <w:marRight w:val="0"/>
      <w:marTop w:val="0"/>
      <w:marBottom w:val="0"/>
      <w:divBdr>
        <w:top w:val="none" w:sz="0" w:space="0" w:color="auto"/>
        <w:left w:val="none" w:sz="0" w:space="0" w:color="auto"/>
        <w:bottom w:val="none" w:sz="0" w:space="0" w:color="auto"/>
        <w:right w:val="none" w:sz="0" w:space="0" w:color="auto"/>
      </w:divBdr>
    </w:div>
    <w:div w:id="409499800">
      <w:bodyDiv w:val="1"/>
      <w:marLeft w:val="0"/>
      <w:marRight w:val="0"/>
      <w:marTop w:val="0"/>
      <w:marBottom w:val="0"/>
      <w:divBdr>
        <w:top w:val="none" w:sz="0" w:space="0" w:color="auto"/>
        <w:left w:val="none" w:sz="0" w:space="0" w:color="auto"/>
        <w:bottom w:val="none" w:sz="0" w:space="0" w:color="auto"/>
        <w:right w:val="none" w:sz="0" w:space="0" w:color="auto"/>
      </w:divBdr>
    </w:div>
    <w:div w:id="412506710">
      <w:bodyDiv w:val="1"/>
      <w:marLeft w:val="0"/>
      <w:marRight w:val="0"/>
      <w:marTop w:val="0"/>
      <w:marBottom w:val="0"/>
      <w:divBdr>
        <w:top w:val="none" w:sz="0" w:space="0" w:color="auto"/>
        <w:left w:val="none" w:sz="0" w:space="0" w:color="auto"/>
        <w:bottom w:val="none" w:sz="0" w:space="0" w:color="auto"/>
        <w:right w:val="none" w:sz="0" w:space="0" w:color="auto"/>
      </w:divBdr>
    </w:div>
    <w:div w:id="427889771">
      <w:bodyDiv w:val="1"/>
      <w:marLeft w:val="0"/>
      <w:marRight w:val="0"/>
      <w:marTop w:val="0"/>
      <w:marBottom w:val="0"/>
      <w:divBdr>
        <w:top w:val="none" w:sz="0" w:space="0" w:color="auto"/>
        <w:left w:val="none" w:sz="0" w:space="0" w:color="auto"/>
        <w:bottom w:val="none" w:sz="0" w:space="0" w:color="auto"/>
        <w:right w:val="none" w:sz="0" w:space="0" w:color="auto"/>
      </w:divBdr>
    </w:div>
    <w:div w:id="436101197">
      <w:bodyDiv w:val="1"/>
      <w:marLeft w:val="0"/>
      <w:marRight w:val="0"/>
      <w:marTop w:val="0"/>
      <w:marBottom w:val="0"/>
      <w:divBdr>
        <w:top w:val="none" w:sz="0" w:space="0" w:color="auto"/>
        <w:left w:val="none" w:sz="0" w:space="0" w:color="auto"/>
        <w:bottom w:val="none" w:sz="0" w:space="0" w:color="auto"/>
        <w:right w:val="none" w:sz="0" w:space="0" w:color="auto"/>
      </w:divBdr>
    </w:div>
    <w:div w:id="439880146">
      <w:bodyDiv w:val="1"/>
      <w:marLeft w:val="0"/>
      <w:marRight w:val="0"/>
      <w:marTop w:val="0"/>
      <w:marBottom w:val="0"/>
      <w:divBdr>
        <w:top w:val="none" w:sz="0" w:space="0" w:color="auto"/>
        <w:left w:val="none" w:sz="0" w:space="0" w:color="auto"/>
        <w:bottom w:val="none" w:sz="0" w:space="0" w:color="auto"/>
        <w:right w:val="none" w:sz="0" w:space="0" w:color="auto"/>
      </w:divBdr>
    </w:div>
    <w:div w:id="455562654">
      <w:bodyDiv w:val="1"/>
      <w:marLeft w:val="0"/>
      <w:marRight w:val="0"/>
      <w:marTop w:val="0"/>
      <w:marBottom w:val="0"/>
      <w:divBdr>
        <w:top w:val="none" w:sz="0" w:space="0" w:color="auto"/>
        <w:left w:val="none" w:sz="0" w:space="0" w:color="auto"/>
        <w:bottom w:val="none" w:sz="0" w:space="0" w:color="auto"/>
        <w:right w:val="none" w:sz="0" w:space="0" w:color="auto"/>
      </w:divBdr>
    </w:div>
    <w:div w:id="479538539">
      <w:bodyDiv w:val="1"/>
      <w:marLeft w:val="0"/>
      <w:marRight w:val="0"/>
      <w:marTop w:val="0"/>
      <w:marBottom w:val="0"/>
      <w:divBdr>
        <w:top w:val="none" w:sz="0" w:space="0" w:color="auto"/>
        <w:left w:val="none" w:sz="0" w:space="0" w:color="auto"/>
        <w:bottom w:val="none" w:sz="0" w:space="0" w:color="auto"/>
        <w:right w:val="none" w:sz="0" w:space="0" w:color="auto"/>
      </w:divBdr>
    </w:div>
    <w:div w:id="532232982">
      <w:bodyDiv w:val="1"/>
      <w:marLeft w:val="0"/>
      <w:marRight w:val="0"/>
      <w:marTop w:val="0"/>
      <w:marBottom w:val="0"/>
      <w:divBdr>
        <w:top w:val="none" w:sz="0" w:space="0" w:color="auto"/>
        <w:left w:val="none" w:sz="0" w:space="0" w:color="auto"/>
        <w:bottom w:val="none" w:sz="0" w:space="0" w:color="auto"/>
        <w:right w:val="none" w:sz="0" w:space="0" w:color="auto"/>
      </w:divBdr>
    </w:div>
    <w:div w:id="536704657">
      <w:bodyDiv w:val="1"/>
      <w:marLeft w:val="0"/>
      <w:marRight w:val="0"/>
      <w:marTop w:val="0"/>
      <w:marBottom w:val="0"/>
      <w:divBdr>
        <w:top w:val="none" w:sz="0" w:space="0" w:color="auto"/>
        <w:left w:val="none" w:sz="0" w:space="0" w:color="auto"/>
        <w:bottom w:val="none" w:sz="0" w:space="0" w:color="auto"/>
        <w:right w:val="none" w:sz="0" w:space="0" w:color="auto"/>
      </w:divBdr>
    </w:div>
    <w:div w:id="541140005">
      <w:bodyDiv w:val="1"/>
      <w:marLeft w:val="0"/>
      <w:marRight w:val="0"/>
      <w:marTop w:val="0"/>
      <w:marBottom w:val="0"/>
      <w:divBdr>
        <w:top w:val="none" w:sz="0" w:space="0" w:color="auto"/>
        <w:left w:val="none" w:sz="0" w:space="0" w:color="auto"/>
        <w:bottom w:val="none" w:sz="0" w:space="0" w:color="auto"/>
        <w:right w:val="none" w:sz="0" w:space="0" w:color="auto"/>
      </w:divBdr>
    </w:div>
    <w:div w:id="554387637">
      <w:bodyDiv w:val="1"/>
      <w:marLeft w:val="0"/>
      <w:marRight w:val="0"/>
      <w:marTop w:val="0"/>
      <w:marBottom w:val="0"/>
      <w:divBdr>
        <w:top w:val="none" w:sz="0" w:space="0" w:color="auto"/>
        <w:left w:val="none" w:sz="0" w:space="0" w:color="auto"/>
        <w:bottom w:val="none" w:sz="0" w:space="0" w:color="auto"/>
        <w:right w:val="none" w:sz="0" w:space="0" w:color="auto"/>
      </w:divBdr>
    </w:div>
    <w:div w:id="563688295">
      <w:bodyDiv w:val="1"/>
      <w:marLeft w:val="0"/>
      <w:marRight w:val="0"/>
      <w:marTop w:val="0"/>
      <w:marBottom w:val="0"/>
      <w:divBdr>
        <w:top w:val="none" w:sz="0" w:space="0" w:color="auto"/>
        <w:left w:val="none" w:sz="0" w:space="0" w:color="auto"/>
        <w:bottom w:val="none" w:sz="0" w:space="0" w:color="auto"/>
        <w:right w:val="none" w:sz="0" w:space="0" w:color="auto"/>
      </w:divBdr>
    </w:div>
    <w:div w:id="5877333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319979">
      <w:bodyDiv w:val="1"/>
      <w:marLeft w:val="0"/>
      <w:marRight w:val="0"/>
      <w:marTop w:val="0"/>
      <w:marBottom w:val="0"/>
      <w:divBdr>
        <w:top w:val="none" w:sz="0" w:space="0" w:color="auto"/>
        <w:left w:val="none" w:sz="0" w:space="0" w:color="auto"/>
        <w:bottom w:val="none" w:sz="0" w:space="0" w:color="auto"/>
        <w:right w:val="none" w:sz="0" w:space="0" w:color="auto"/>
      </w:divBdr>
    </w:div>
    <w:div w:id="709846639">
      <w:bodyDiv w:val="1"/>
      <w:marLeft w:val="0"/>
      <w:marRight w:val="0"/>
      <w:marTop w:val="0"/>
      <w:marBottom w:val="0"/>
      <w:divBdr>
        <w:top w:val="none" w:sz="0" w:space="0" w:color="auto"/>
        <w:left w:val="none" w:sz="0" w:space="0" w:color="auto"/>
        <w:bottom w:val="none" w:sz="0" w:space="0" w:color="auto"/>
        <w:right w:val="none" w:sz="0" w:space="0" w:color="auto"/>
      </w:divBdr>
    </w:div>
    <w:div w:id="716050393">
      <w:bodyDiv w:val="1"/>
      <w:marLeft w:val="0"/>
      <w:marRight w:val="0"/>
      <w:marTop w:val="0"/>
      <w:marBottom w:val="0"/>
      <w:divBdr>
        <w:top w:val="none" w:sz="0" w:space="0" w:color="auto"/>
        <w:left w:val="none" w:sz="0" w:space="0" w:color="auto"/>
        <w:bottom w:val="none" w:sz="0" w:space="0" w:color="auto"/>
        <w:right w:val="none" w:sz="0" w:space="0" w:color="auto"/>
      </w:divBdr>
    </w:div>
    <w:div w:id="770777807">
      <w:bodyDiv w:val="1"/>
      <w:marLeft w:val="0"/>
      <w:marRight w:val="0"/>
      <w:marTop w:val="0"/>
      <w:marBottom w:val="0"/>
      <w:divBdr>
        <w:top w:val="none" w:sz="0" w:space="0" w:color="auto"/>
        <w:left w:val="none" w:sz="0" w:space="0" w:color="auto"/>
        <w:bottom w:val="none" w:sz="0" w:space="0" w:color="auto"/>
        <w:right w:val="none" w:sz="0" w:space="0" w:color="auto"/>
      </w:divBdr>
    </w:div>
    <w:div w:id="776560520">
      <w:bodyDiv w:val="1"/>
      <w:marLeft w:val="0"/>
      <w:marRight w:val="0"/>
      <w:marTop w:val="0"/>
      <w:marBottom w:val="0"/>
      <w:divBdr>
        <w:top w:val="none" w:sz="0" w:space="0" w:color="auto"/>
        <w:left w:val="none" w:sz="0" w:space="0" w:color="auto"/>
        <w:bottom w:val="none" w:sz="0" w:space="0" w:color="auto"/>
        <w:right w:val="none" w:sz="0" w:space="0" w:color="auto"/>
      </w:divBdr>
    </w:div>
    <w:div w:id="794981356">
      <w:bodyDiv w:val="1"/>
      <w:marLeft w:val="0"/>
      <w:marRight w:val="0"/>
      <w:marTop w:val="0"/>
      <w:marBottom w:val="0"/>
      <w:divBdr>
        <w:top w:val="none" w:sz="0" w:space="0" w:color="auto"/>
        <w:left w:val="none" w:sz="0" w:space="0" w:color="auto"/>
        <w:bottom w:val="none" w:sz="0" w:space="0" w:color="auto"/>
        <w:right w:val="none" w:sz="0" w:space="0" w:color="auto"/>
      </w:divBdr>
    </w:div>
    <w:div w:id="797068188">
      <w:bodyDiv w:val="1"/>
      <w:marLeft w:val="0"/>
      <w:marRight w:val="0"/>
      <w:marTop w:val="0"/>
      <w:marBottom w:val="0"/>
      <w:divBdr>
        <w:top w:val="none" w:sz="0" w:space="0" w:color="auto"/>
        <w:left w:val="none" w:sz="0" w:space="0" w:color="auto"/>
        <w:bottom w:val="none" w:sz="0" w:space="0" w:color="auto"/>
        <w:right w:val="none" w:sz="0" w:space="0" w:color="auto"/>
      </w:divBdr>
    </w:div>
    <w:div w:id="798183428">
      <w:bodyDiv w:val="1"/>
      <w:marLeft w:val="0"/>
      <w:marRight w:val="0"/>
      <w:marTop w:val="0"/>
      <w:marBottom w:val="0"/>
      <w:divBdr>
        <w:top w:val="none" w:sz="0" w:space="0" w:color="auto"/>
        <w:left w:val="none" w:sz="0" w:space="0" w:color="auto"/>
        <w:bottom w:val="none" w:sz="0" w:space="0" w:color="auto"/>
        <w:right w:val="none" w:sz="0" w:space="0" w:color="auto"/>
      </w:divBdr>
    </w:div>
    <w:div w:id="801730996">
      <w:bodyDiv w:val="1"/>
      <w:marLeft w:val="0"/>
      <w:marRight w:val="0"/>
      <w:marTop w:val="0"/>
      <w:marBottom w:val="0"/>
      <w:divBdr>
        <w:top w:val="none" w:sz="0" w:space="0" w:color="auto"/>
        <w:left w:val="none" w:sz="0" w:space="0" w:color="auto"/>
        <w:bottom w:val="none" w:sz="0" w:space="0" w:color="auto"/>
        <w:right w:val="none" w:sz="0" w:space="0" w:color="auto"/>
      </w:divBdr>
    </w:div>
    <w:div w:id="805775557">
      <w:bodyDiv w:val="1"/>
      <w:marLeft w:val="0"/>
      <w:marRight w:val="0"/>
      <w:marTop w:val="0"/>
      <w:marBottom w:val="0"/>
      <w:divBdr>
        <w:top w:val="none" w:sz="0" w:space="0" w:color="auto"/>
        <w:left w:val="none" w:sz="0" w:space="0" w:color="auto"/>
        <w:bottom w:val="none" w:sz="0" w:space="0" w:color="auto"/>
        <w:right w:val="none" w:sz="0" w:space="0" w:color="auto"/>
      </w:divBdr>
    </w:div>
    <w:div w:id="811411317">
      <w:bodyDiv w:val="1"/>
      <w:marLeft w:val="0"/>
      <w:marRight w:val="0"/>
      <w:marTop w:val="0"/>
      <w:marBottom w:val="0"/>
      <w:divBdr>
        <w:top w:val="none" w:sz="0" w:space="0" w:color="auto"/>
        <w:left w:val="none" w:sz="0" w:space="0" w:color="auto"/>
        <w:bottom w:val="none" w:sz="0" w:space="0" w:color="auto"/>
        <w:right w:val="none" w:sz="0" w:space="0" w:color="auto"/>
      </w:divBdr>
    </w:div>
    <w:div w:id="812139782">
      <w:bodyDiv w:val="1"/>
      <w:marLeft w:val="0"/>
      <w:marRight w:val="0"/>
      <w:marTop w:val="0"/>
      <w:marBottom w:val="0"/>
      <w:divBdr>
        <w:top w:val="none" w:sz="0" w:space="0" w:color="auto"/>
        <w:left w:val="none" w:sz="0" w:space="0" w:color="auto"/>
        <w:bottom w:val="none" w:sz="0" w:space="0" w:color="auto"/>
        <w:right w:val="none" w:sz="0" w:space="0" w:color="auto"/>
      </w:divBdr>
    </w:div>
    <w:div w:id="855198117">
      <w:bodyDiv w:val="1"/>
      <w:marLeft w:val="0"/>
      <w:marRight w:val="0"/>
      <w:marTop w:val="0"/>
      <w:marBottom w:val="0"/>
      <w:divBdr>
        <w:top w:val="none" w:sz="0" w:space="0" w:color="auto"/>
        <w:left w:val="none" w:sz="0" w:space="0" w:color="auto"/>
        <w:bottom w:val="none" w:sz="0" w:space="0" w:color="auto"/>
        <w:right w:val="none" w:sz="0" w:space="0" w:color="auto"/>
      </w:divBdr>
    </w:div>
    <w:div w:id="906646995">
      <w:bodyDiv w:val="1"/>
      <w:marLeft w:val="0"/>
      <w:marRight w:val="0"/>
      <w:marTop w:val="0"/>
      <w:marBottom w:val="0"/>
      <w:divBdr>
        <w:top w:val="none" w:sz="0" w:space="0" w:color="auto"/>
        <w:left w:val="none" w:sz="0" w:space="0" w:color="auto"/>
        <w:bottom w:val="none" w:sz="0" w:space="0" w:color="auto"/>
        <w:right w:val="none" w:sz="0" w:space="0" w:color="auto"/>
      </w:divBdr>
    </w:div>
    <w:div w:id="914433237">
      <w:bodyDiv w:val="1"/>
      <w:marLeft w:val="0"/>
      <w:marRight w:val="0"/>
      <w:marTop w:val="0"/>
      <w:marBottom w:val="0"/>
      <w:divBdr>
        <w:top w:val="none" w:sz="0" w:space="0" w:color="auto"/>
        <w:left w:val="none" w:sz="0" w:space="0" w:color="auto"/>
        <w:bottom w:val="none" w:sz="0" w:space="0" w:color="auto"/>
        <w:right w:val="none" w:sz="0" w:space="0" w:color="auto"/>
      </w:divBdr>
    </w:div>
    <w:div w:id="921834075">
      <w:bodyDiv w:val="1"/>
      <w:marLeft w:val="0"/>
      <w:marRight w:val="0"/>
      <w:marTop w:val="0"/>
      <w:marBottom w:val="0"/>
      <w:divBdr>
        <w:top w:val="none" w:sz="0" w:space="0" w:color="auto"/>
        <w:left w:val="none" w:sz="0" w:space="0" w:color="auto"/>
        <w:bottom w:val="none" w:sz="0" w:space="0" w:color="auto"/>
        <w:right w:val="none" w:sz="0" w:space="0" w:color="auto"/>
      </w:divBdr>
    </w:div>
    <w:div w:id="927495206">
      <w:bodyDiv w:val="1"/>
      <w:marLeft w:val="0"/>
      <w:marRight w:val="0"/>
      <w:marTop w:val="0"/>
      <w:marBottom w:val="0"/>
      <w:divBdr>
        <w:top w:val="none" w:sz="0" w:space="0" w:color="auto"/>
        <w:left w:val="none" w:sz="0" w:space="0" w:color="auto"/>
        <w:bottom w:val="none" w:sz="0" w:space="0" w:color="auto"/>
        <w:right w:val="none" w:sz="0" w:space="0" w:color="auto"/>
      </w:divBdr>
    </w:div>
    <w:div w:id="9776113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454401">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553777">
      <w:bodyDiv w:val="1"/>
      <w:marLeft w:val="0"/>
      <w:marRight w:val="0"/>
      <w:marTop w:val="0"/>
      <w:marBottom w:val="0"/>
      <w:divBdr>
        <w:top w:val="none" w:sz="0" w:space="0" w:color="auto"/>
        <w:left w:val="none" w:sz="0" w:space="0" w:color="auto"/>
        <w:bottom w:val="none" w:sz="0" w:space="0" w:color="auto"/>
        <w:right w:val="none" w:sz="0" w:space="0" w:color="auto"/>
      </w:divBdr>
    </w:div>
    <w:div w:id="1039162849">
      <w:bodyDiv w:val="1"/>
      <w:marLeft w:val="0"/>
      <w:marRight w:val="0"/>
      <w:marTop w:val="0"/>
      <w:marBottom w:val="0"/>
      <w:divBdr>
        <w:top w:val="none" w:sz="0" w:space="0" w:color="auto"/>
        <w:left w:val="none" w:sz="0" w:space="0" w:color="auto"/>
        <w:bottom w:val="none" w:sz="0" w:space="0" w:color="auto"/>
        <w:right w:val="none" w:sz="0" w:space="0" w:color="auto"/>
      </w:divBdr>
    </w:div>
    <w:div w:id="1042024231">
      <w:bodyDiv w:val="1"/>
      <w:marLeft w:val="0"/>
      <w:marRight w:val="0"/>
      <w:marTop w:val="0"/>
      <w:marBottom w:val="0"/>
      <w:divBdr>
        <w:top w:val="none" w:sz="0" w:space="0" w:color="auto"/>
        <w:left w:val="none" w:sz="0" w:space="0" w:color="auto"/>
        <w:bottom w:val="none" w:sz="0" w:space="0" w:color="auto"/>
        <w:right w:val="none" w:sz="0" w:space="0" w:color="auto"/>
      </w:divBdr>
    </w:div>
    <w:div w:id="1046952418">
      <w:bodyDiv w:val="1"/>
      <w:marLeft w:val="0"/>
      <w:marRight w:val="0"/>
      <w:marTop w:val="0"/>
      <w:marBottom w:val="0"/>
      <w:divBdr>
        <w:top w:val="none" w:sz="0" w:space="0" w:color="auto"/>
        <w:left w:val="none" w:sz="0" w:space="0" w:color="auto"/>
        <w:bottom w:val="none" w:sz="0" w:space="0" w:color="auto"/>
        <w:right w:val="none" w:sz="0" w:space="0" w:color="auto"/>
      </w:divBdr>
    </w:div>
    <w:div w:id="10605169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466760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709486">
      <w:bodyDiv w:val="1"/>
      <w:marLeft w:val="0"/>
      <w:marRight w:val="0"/>
      <w:marTop w:val="0"/>
      <w:marBottom w:val="0"/>
      <w:divBdr>
        <w:top w:val="none" w:sz="0" w:space="0" w:color="auto"/>
        <w:left w:val="none" w:sz="0" w:space="0" w:color="auto"/>
        <w:bottom w:val="none" w:sz="0" w:space="0" w:color="auto"/>
        <w:right w:val="none" w:sz="0" w:space="0" w:color="auto"/>
      </w:divBdr>
    </w:div>
    <w:div w:id="1119837861">
      <w:bodyDiv w:val="1"/>
      <w:marLeft w:val="0"/>
      <w:marRight w:val="0"/>
      <w:marTop w:val="0"/>
      <w:marBottom w:val="0"/>
      <w:divBdr>
        <w:top w:val="none" w:sz="0" w:space="0" w:color="auto"/>
        <w:left w:val="none" w:sz="0" w:space="0" w:color="auto"/>
        <w:bottom w:val="none" w:sz="0" w:space="0" w:color="auto"/>
        <w:right w:val="none" w:sz="0" w:space="0" w:color="auto"/>
      </w:divBdr>
    </w:div>
    <w:div w:id="1137796020">
      <w:bodyDiv w:val="1"/>
      <w:marLeft w:val="0"/>
      <w:marRight w:val="0"/>
      <w:marTop w:val="0"/>
      <w:marBottom w:val="0"/>
      <w:divBdr>
        <w:top w:val="none" w:sz="0" w:space="0" w:color="auto"/>
        <w:left w:val="none" w:sz="0" w:space="0" w:color="auto"/>
        <w:bottom w:val="none" w:sz="0" w:space="0" w:color="auto"/>
        <w:right w:val="none" w:sz="0" w:space="0" w:color="auto"/>
      </w:divBdr>
    </w:div>
    <w:div w:id="1140726097">
      <w:bodyDiv w:val="1"/>
      <w:marLeft w:val="0"/>
      <w:marRight w:val="0"/>
      <w:marTop w:val="0"/>
      <w:marBottom w:val="0"/>
      <w:divBdr>
        <w:top w:val="none" w:sz="0" w:space="0" w:color="auto"/>
        <w:left w:val="none" w:sz="0" w:space="0" w:color="auto"/>
        <w:bottom w:val="none" w:sz="0" w:space="0" w:color="auto"/>
        <w:right w:val="none" w:sz="0" w:space="0" w:color="auto"/>
      </w:divBdr>
    </w:div>
    <w:div w:id="1152404077">
      <w:bodyDiv w:val="1"/>
      <w:marLeft w:val="0"/>
      <w:marRight w:val="0"/>
      <w:marTop w:val="0"/>
      <w:marBottom w:val="0"/>
      <w:divBdr>
        <w:top w:val="none" w:sz="0" w:space="0" w:color="auto"/>
        <w:left w:val="none" w:sz="0" w:space="0" w:color="auto"/>
        <w:bottom w:val="none" w:sz="0" w:space="0" w:color="auto"/>
        <w:right w:val="none" w:sz="0" w:space="0" w:color="auto"/>
      </w:divBdr>
    </w:div>
    <w:div w:id="1165123041">
      <w:bodyDiv w:val="1"/>
      <w:marLeft w:val="0"/>
      <w:marRight w:val="0"/>
      <w:marTop w:val="0"/>
      <w:marBottom w:val="0"/>
      <w:divBdr>
        <w:top w:val="none" w:sz="0" w:space="0" w:color="auto"/>
        <w:left w:val="none" w:sz="0" w:space="0" w:color="auto"/>
        <w:bottom w:val="none" w:sz="0" w:space="0" w:color="auto"/>
        <w:right w:val="none" w:sz="0" w:space="0" w:color="auto"/>
      </w:divBdr>
    </w:div>
    <w:div w:id="1177378039">
      <w:bodyDiv w:val="1"/>
      <w:marLeft w:val="0"/>
      <w:marRight w:val="0"/>
      <w:marTop w:val="0"/>
      <w:marBottom w:val="0"/>
      <w:divBdr>
        <w:top w:val="none" w:sz="0" w:space="0" w:color="auto"/>
        <w:left w:val="none" w:sz="0" w:space="0" w:color="auto"/>
        <w:bottom w:val="none" w:sz="0" w:space="0" w:color="auto"/>
        <w:right w:val="none" w:sz="0" w:space="0" w:color="auto"/>
      </w:divBdr>
    </w:div>
    <w:div w:id="1178616096">
      <w:bodyDiv w:val="1"/>
      <w:marLeft w:val="0"/>
      <w:marRight w:val="0"/>
      <w:marTop w:val="0"/>
      <w:marBottom w:val="0"/>
      <w:divBdr>
        <w:top w:val="none" w:sz="0" w:space="0" w:color="auto"/>
        <w:left w:val="none" w:sz="0" w:space="0" w:color="auto"/>
        <w:bottom w:val="none" w:sz="0" w:space="0" w:color="auto"/>
        <w:right w:val="none" w:sz="0" w:space="0" w:color="auto"/>
      </w:divBdr>
    </w:div>
    <w:div w:id="1185024109">
      <w:bodyDiv w:val="1"/>
      <w:marLeft w:val="0"/>
      <w:marRight w:val="0"/>
      <w:marTop w:val="0"/>
      <w:marBottom w:val="0"/>
      <w:divBdr>
        <w:top w:val="none" w:sz="0" w:space="0" w:color="auto"/>
        <w:left w:val="none" w:sz="0" w:space="0" w:color="auto"/>
        <w:bottom w:val="none" w:sz="0" w:space="0" w:color="auto"/>
        <w:right w:val="none" w:sz="0" w:space="0" w:color="auto"/>
      </w:divBdr>
    </w:div>
    <w:div w:id="1210145813">
      <w:bodyDiv w:val="1"/>
      <w:marLeft w:val="0"/>
      <w:marRight w:val="0"/>
      <w:marTop w:val="0"/>
      <w:marBottom w:val="0"/>
      <w:divBdr>
        <w:top w:val="none" w:sz="0" w:space="0" w:color="auto"/>
        <w:left w:val="none" w:sz="0" w:space="0" w:color="auto"/>
        <w:bottom w:val="none" w:sz="0" w:space="0" w:color="auto"/>
        <w:right w:val="none" w:sz="0" w:space="0" w:color="auto"/>
      </w:divBdr>
    </w:div>
    <w:div w:id="1230577886">
      <w:bodyDiv w:val="1"/>
      <w:marLeft w:val="0"/>
      <w:marRight w:val="0"/>
      <w:marTop w:val="0"/>
      <w:marBottom w:val="0"/>
      <w:divBdr>
        <w:top w:val="none" w:sz="0" w:space="0" w:color="auto"/>
        <w:left w:val="none" w:sz="0" w:space="0" w:color="auto"/>
        <w:bottom w:val="none" w:sz="0" w:space="0" w:color="auto"/>
        <w:right w:val="none" w:sz="0" w:space="0" w:color="auto"/>
      </w:divBdr>
    </w:div>
    <w:div w:id="1251965038">
      <w:bodyDiv w:val="1"/>
      <w:marLeft w:val="0"/>
      <w:marRight w:val="0"/>
      <w:marTop w:val="0"/>
      <w:marBottom w:val="0"/>
      <w:divBdr>
        <w:top w:val="none" w:sz="0" w:space="0" w:color="auto"/>
        <w:left w:val="none" w:sz="0" w:space="0" w:color="auto"/>
        <w:bottom w:val="none" w:sz="0" w:space="0" w:color="auto"/>
        <w:right w:val="none" w:sz="0" w:space="0" w:color="auto"/>
      </w:divBdr>
    </w:div>
    <w:div w:id="1277256982">
      <w:bodyDiv w:val="1"/>
      <w:marLeft w:val="0"/>
      <w:marRight w:val="0"/>
      <w:marTop w:val="0"/>
      <w:marBottom w:val="0"/>
      <w:divBdr>
        <w:top w:val="none" w:sz="0" w:space="0" w:color="auto"/>
        <w:left w:val="none" w:sz="0" w:space="0" w:color="auto"/>
        <w:bottom w:val="none" w:sz="0" w:space="0" w:color="auto"/>
        <w:right w:val="none" w:sz="0" w:space="0" w:color="auto"/>
      </w:divBdr>
    </w:div>
    <w:div w:id="1287152684">
      <w:bodyDiv w:val="1"/>
      <w:marLeft w:val="0"/>
      <w:marRight w:val="0"/>
      <w:marTop w:val="0"/>
      <w:marBottom w:val="0"/>
      <w:divBdr>
        <w:top w:val="none" w:sz="0" w:space="0" w:color="auto"/>
        <w:left w:val="none" w:sz="0" w:space="0" w:color="auto"/>
        <w:bottom w:val="none" w:sz="0" w:space="0" w:color="auto"/>
        <w:right w:val="none" w:sz="0" w:space="0" w:color="auto"/>
      </w:divBdr>
    </w:div>
    <w:div w:id="1287279570">
      <w:bodyDiv w:val="1"/>
      <w:marLeft w:val="0"/>
      <w:marRight w:val="0"/>
      <w:marTop w:val="0"/>
      <w:marBottom w:val="0"/>
      <w:divBdr>
        <w:top w:val="none" w:sz="0" w:space="0" w:color="auto"/>
        <w:left w:val="none" w:sz="0" w:space="0" w:color="auto"/>
        <w:bottom w:val="none" w:sz="0" w:space="0" w:color="auto"/>
        <w:right w:val="none" w:sz="0" w:space="0" w:color="auto"/>
      </w:divBdr>
    </w:div>
    <w:div w:id="1305503353">
      <w:bodyDiv w:val="1"/>
      <w:marLeft w:val="0"/>
      <w:marRight w:val="0"/>
      <w:marTop w:val="0"/>
      <w:marBottom w:val="0"/>
      <w:divBdr>
        <w:top w:val="none" w:sz="0" w:space="0" w:color="auto"/>
        <w:left w:val="none" w:sz="0" w:space="0" w:color="auto"/>
        <w:bottom w:val="none" w:sz="0" w:space="0" w:color="auto"/>
        <w:right w:val="none" w:sz="0" w:space="0" w:color="auto"/>
      </w:divBdr>
    </w:div>
    <w:div w:id="1305544846">
      <w:bodyDiv w:val="1"/>
      <w:marLeft w:val="0"/>
      <w:marRight w:val="0"/>
      <w:marTop w:val="0"/>
      <w:marBottom w:val="0"/>
      <w:divBdr>
        <w:top w:val="none" w:sz="0" w:space="0" w:color="auto"/>
        <w:left w:val="none" w:sz="0" w:space="0" w:color="auto"/>
        <w:bottom w:val="none" w:sz="0" w:space="0" w:color="auto"/>
        <w:right w:val="none" w:sz="0" w:space="0" w:color="auto"/>
      </w:divBdr>
    </w:div>
    <w:div w:id="1314095025">
      <w:bodyDiv w:val="1"/>
      <w:marLeft w:val="0"/>
      <w:marRight w:val="0"/>
      <w:marTop w:val="0"/>
      <w:marBottom w:val="0"/>
      <w:divBdr>
        <w:top w:val="none" w:sz="0" w:space="0" w:color="auto"/>
        <w:left w:val="none" w:sz="0" w:space="0" w:color="auto"/>
        <w:bottom w:val="none" w:sz="0" w:space="0" w:color="auto"/>
        <w:right w:val="none" w:sz="0" w:space="0" w:color="auto"/>
      </w:divBdr>
    </w:div>
    <w:div w:id="1330448267">
      <w:bodyDiv w:val="1"/>
      <w:marLeft w:val="0"/>
      <w:marRight w:val="0"/>
      <w:marTop w:val="0"/>
      <w:marBottom w:val="0"/>
      <w:divBdr>
        <w:top w:val="none" w:sz="0" w:space="0" w:color="auto"/>
        <w:left w:val="none" w:sz="0" w:space="0" w:color="auto"/>
        <w:bottom w:val="none" w:sz="0" w:space="0" w:color="auto"/>
        <w:right w:val="none" w:sz="0" w:space="0" w:color="auto"/>
      </w:divBdr>
    </w:div>
    <w:div w:id="1330714888">
      <w:bodyDiv w:val="1"/>
      <w:marLeft w:val="0"/>
      <w:marRight w:val="0"/>
      <w:marTop w:val="0"/>
      <w:marBottom w:val="0"/>
      <w:divBdr>
        <w:top w:val="none" w:sz="0" w:space="0" w:color="auto"/>
        <w:left w:val="none" w:sz="0" w:space="0" w:color="auto"/>
        <w:bottom w:val="none" w:sz="0" w:space="0" w:color="auto"/>
        <w:right w:val="none" w:sz="0" w:space="0" w:color="auto"/>
      </w:divBdr>
    </w:div>
    <w:div w:id="1334987539">
      <w:bodyDiv w:val="1"/>
      <w:marLeft w:val="0"/>
      <w:marRight w:val="0"/>
      <w:marTop w:val="0"/>
      <w:marBottom w:val="0"/>
      <w:divBdr>
        <w:top w:val="none" w:sz="0" w:space="0" w:color="auto"/>
        <w:left w:val="none" w:sz="0" w:space="0" w:color="auto"/>
        <w:bottom w:val="none" w:sz="0" w:space="0" w:color="auto"/>
        <w:right w:val="none" w:sz="0" w:space="0" w:color="auto"/>
      </w:divBdr>
    </w:div>
    <w:div w:id="1353529729">
      <w:bodyDiv w:val="1"/>
      <w:marLeft w:val="0"/>
      <w:marRight w:val="0"/>
      <w:marTop w:val="0"/>
      <w:marBottom w:val="0"/>
      <w:divBdr>
        <w:top w:val="none" w:sz="0" w:space="0" w:color="auto"/>
        <w:left w:val="none" w:sz="0" w:space="0" w:color="auto"/>
        <w:bottom w:val="none" w:sz="0" w:space="0" w:color="auto"/>
        <w:right w:val="none" w:sz="0" w:space="0" w:color="auto"/>
      </w:divBdr>
    </w:div>
    <w:div w:id="1362129805">
      <w:bodyDiv w:val="1"/>
      <w:marLeft w:val="0"/>
      <w:marRight w:val="0"/>
      <w:marTop w:val="0"/>
      <w:marBottom w:val="0"/>
      <w:divBdr>
        <w:top w:val="none" w:sz="0" w:space="0" w:color="auto"/>
        <w:left w:val="none" w:sz="0" w:space="0" w:color="auto"/>
        <w:bottom w:val="none" w:sz="0" w:space="0" w:color="auto"/>
        <w:right w:val="none" w:sz="0" w:space="0" w:color="auto"/>
      </w:divBdr>
    </w:div>
    <w:div w:id="1408918903">
      <w:bodyDiv w:val="1"/>
      <w:marLeft w:val="0"/>
      <w:marRight w:val="0"/>
      <w:marTop w:val="0"/>
      <w:marBottom w:val="0"/>
      <w:divBdr>
        <w:top w:val="none" w:sz="0" w:space="0" w:color="auto"/>
        <w:left w:val="none" w:sz="0" w:space="0" w:color="auto"/>
        <w:bottom w:val="none" w:sz="0" w:space="0" w:color="auto"/>
        <w:right w:val="none" w:sz="0" w:space="0" w:color="auto"/>
      </w:divBdr>
    </w:div>
    <w:div w:id="1438258653">
      <w:bodyDiv w:val="1"/>
      <w:marLeft w:val="0"/>
      <w:marRight w:val="0"/>
      <w:marTop w:val="0"/>
      <w:marBottom w:val="0"/>
      <w:divBdr>
        <w:top w:val="none" w:sz="0" w:space="0" w:color="auto"/>
        <w:left w:val="none" w:sz="0" w:space="0" w:color="auto"/>
        <w:bottom w:val="none" w:sz="0" w:space="0" w:color="auto"/>
        <w:right w:val="none" w:sz="0" w:space="0" w:color="auto"/>
      </w:divBdr>
    </w:div>
    <w:div w:id="1449544814">
      <w:bodyDiv w:val="1"/>
      <w:marLeft w:val="0"/>
      <w:marRight w:val="0"/>
      <w:marTop w:val="0"/>
      <w:marBottom w:val="0"/>
      <w:divBdr>
        <w:top w:val="none" w:sz="0" w:space="0" w:color="auto"/>
        <w:left w:val="none" w:sz="0" w:space="0" w:color="auto"/>
        <w:bottom w:val="none" w:sz="0" w:space="0" w:color="auto"/>
        <w:right w:val="none" w:sz="0" w:space="0" w:color="auto"/>
      </w:divBdr>
    </w:div>
    <w:div w:id="1514882230">
      <w:bodyDiv w:val="1"/>
      <w:marLeft w:val="0"/>
      <w:marRight w:val="0"/>
      <w:marTop w:val="0"/>
      <w:marBottom w:val="0"/>
      <w:divBdr>
        <w:top w:val="none" w:sz="0" w:space="0" w:color="auto"/>
        <w:left w:val="none" w:sz="0" w:space="0" w:color="auto"/>
        <w:bottom w:val="none" w:sz="0" w:space="0" w:color="auto"/>
        <w:right w:val="none" w:sz="0" w:space="0" w:color="auto"/>
      </w:divBdr>
    </w:div>
    <w:div w:id="1529758985">
      <w:bodyDiv w:val="1"/>
      <w:marLeft w:val="0"/>
      <w:marRight w:val="0"/>
      <w:marTop w:val="0"/>
      <w:marBottom w:val="0"/>
      <w:divBdr>
        <w:top w:val="none" w:sz="0" w:space="0" w:color="auto"/>
        <w:left w:val="none" w:sz="0" w:space="0" w:color="auto"/>
        <w:bottom w:val="none" w:sz="0" w:space="0" w:color="auto"/>
        <w:right w:val="none" w:sz="0" w:space="0" w:color="auto"/>
      </w:divBdr>
    </w:div>
    <w:div w:id="1531188883">
      <w:bodyDiv w:val="1"/>
      <w:marLeft w:val="0"/>
      <w:marRight w:val="0"/>
      <w:marTop w:val="0"/>
      <w:marBottom w:val="0"/>
      <w:divBdr>
        <w:top w:val="none" w:sz="0" w:space="0" w:color="auto"/>
        <w:left w:val="none" w:sz="0" w:space="0" w:color="auto"/>
        <w:bottom w:val="none" w:sz="0" w:space="0" w:color="auto"/>
        <w:right w:val="none" w:sz="0" w:space="0" w:color="auto"/>
      </w:divBdr>
    </w:div>
    <w:div w:id="1570771781">
      <w:bodyDiv w:val="1"/>
      <w:marLeft w:val="0"/>
      <w:marRight w:val="0"/>
      <w:marTop w:val="0"/>
      <w:marBottom w:val="0"/>
      <w:divBdr>
        <w:top w:val="none" w:sz="0" w:space="0" w:color="auto"/>
        <w:left w:val="none" w:sz="0" w:space="0" w:color="auto"/>
        <w:bottom w:val="none" w:sz="0" w:space="0" w:color="auto"/>
        <w:right w:val="none" w:sz="0" w:space="0" w:color="auto"/>
      </w:divBdr>
    </w:div>
    <w:div w:id="1595936270">
      <w:bodyDiv w:val="1"/>
      <w:marLeft w:val="0"/>
      <w:marRight w:val="0"/>
      <w:marTop w:val="0"/>
      <w:marBottom w:val="0"/>
      <w:divBdr>
        <w:top w:val="none" w:sz="0" w:space="0" w:color="auto"/>
        <w:left w:val="none" w:sz="0" w:space="0" w:color="auto"/>
        <w:bottom w:val="none" w:sz="0" w:space="0" w:color="auto"/>
        <w:right w:val="none" w:sz="0" w:space="0" w:color="auto"/>
      </w:divBdr>
    </w:div>
    <w:div w:id="1646618483">
      <w:bodyDiv w:val="1"/>
      <w:marLeft w:val="0"/>
      <w:marRight w:val="0"/>
      <w:marTop w:val="0"/>
      <w:marBottom w:val="0"/>
      <w:divBdr>
        <w:top w:val="none" w:sz="0" w:space="0" w:color="auto"/>
        <w:left w:val="none" w:sz="0" w:space="0" w:color="auto"/>
        <w:bottom w:val="none" w:sz="0" w:space="0" w:color="auto"/>
        <w:right w:val="none" w:sz="0" w:space="0" w:color="auto"/>
      </w:divBdr>
    </w:div>
    <w:div w:id="1647587722">
      <w:bodyDiv w:val="1"/>
      <w:marLeft w:val="0"/>
      <w:marRight w:val="0"/>
      <w:marTop w:val="0"/>
      <w:marBottom w:val="0"/>
      <w:divBdr>
        <w:top w:val="none" w:sz="0" w:space="0" w:color="auto"/>
        <w:left w:val="none" w:sz="0" w:space="0" w:color="auto"/>
        <w:bottom w:val="none" w:sz="0" w:space="0" w:color="auto"/>
        <w:right w:val="none" w:sz="0" w:space="0" w:color="auto"/>
      </w:divBdr>
    </w:div>
    <w:div w:id="1662351113">
      <w:bodyDiv w:val="1"/>
      <w:marLeft w:val="0"/>
      <w:marRight w:val="0"/>
      <w:marTop w:val="0"/>
      <w:marBottom w:val="0"/>
      <w:divBdr>
        <w:top w:val="none" w:sz="0" w:space="0" w:color="auto"/>
        <w:left w:val="none" w:sz="0" w:space="0" w:color="auto"/>
        <w:bottom w:val="none" w:sz="0" w:space="0" w:color="auto"/>
        <w:right w:val="none" w:sz="0" w:space="0" w:color="auto"/>
      </w:divBdr>
    </w:div>
    <w:div w:id="1667243783">
      <w:bodyDiv w:val="1"/>
      <w:marLeft w:val="0"/>
      <w:marRight w:val="0"/>
      <w:marTop w:val="0"/>
      <w:marBottom w:val="0"/>
      <w:divBdr>
        <w:top w:val="none" w:sz="0" w:space="0" w:color="auto"/>
        <w:left w:val="none" w:sz="0" w:space="0" w:color="auto"/>
        <w:bottom w:val="none" w:sz="0" w:space="0" w:color="auto"/>
        <w:right w:val="none" w:sz="0" w:space="0" w:color="auto"/>
      </w:divBdr>
    </w:div>
    <w:div w:id="1691445615">
      <w:bodyDiv w:val="1"/>
      <w:marLeft w:val="0"/>
      <w:marRight w:val="0"/>
      <w:marTop w:val="0"/>
      <w:marBottom w:val="0"/>
      <w:divBdr>
        <w:top w:val="none" w:sz="0" w:space="0" w:color="auto"/>
        <w:left w:val="none" w:sz="0" w:space="0" w:color="auto"/>
        <w:bottom w:val="none" w:sz="0" w:space="0" w:color="auto"/>
        <w:right w:val="none" w:sz="0" w:space="0" w:color="auto"/>
      </w:divBdr>
    </w:div>
    <w:div w:id="1713656151">
      <w:bodyDiv w:val="1"/>
      <w:marLeft w:val="0"/>
      <w:marRight w:val="0"/>
      <w:marTop w:val="0"/>
      <w:marBottom w:val="0"/>
      <w:divBdr>
        <w:top w:val="none" w:sz="0" w:space="0" w:color="auto"/>
        <w:left w:val="none" w:sz="0" w:space="0" w:color="auto"/>
        <w:bottom w:val="none" w:sz="0" w:space="0" w:color="auto"/>
        <w:right w:val="none" w:sz="0" w:space="0" w:color="auto"/>
      </w:divBdr>
    </w:div>
    <w:div w:id="1734543381">
      <w:bodyDiv w:val="1"/>
      <w:marLeft w:val="0"/>
      <w:marRight w:val="0"/>
      <w:marTop w:val="0"/>
      <w:marBottom w:val="0"/>
      <w:divBdr>
        <w:top w:val="none" w:sz="0" w:space="0" w:color="auto"/>
        <w:left w:val="none" w:sz="0" w:space="0" w:color="auto"/>
        <w:bottom w:val="none" w:sz="0" w:space="0" w:color="auto"/>
        <w:right w:val="none" w:sz="0" w:space="0" w:color="auto"/>
      </w:divBdr>
    </w:div>
    <w:div w:id="174032019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314179">
      <w:bodyDiv w:val="1"/>
      <w:marLeft w:val="0"/>
      <w:marRight w:val="0"/>
      <w:marTop w:val="0"/>
      <w:marBottom w:val="0"/>
      <w:divBdr>
        <w:top w:val="none" w:sz="0" w:space="0" w:color="auto"/>
        <w:left w:val="none" w:sz="0" w:space="0" w:color="auto"/>
        <w:bottom w:val="none" w:sz="0" w:space="0" w:color="auto"/>
        <w:right w:val="none" w:sz="0" w:space="0" w:color="auto"/>
      </w:divBdr>
    </w:div>
    <w:div w:id="1767729564">
      <w:bodyDiv w:val="1"/>
      <w:marLeft w:val="0"/>
      <w:marRight w:val="0"/>
      <w:marTop w:val="0"/>
      <w:marBottom w:val="0"/>
      <w:divBdr>
        <w:top w:val="none" w:sz="0" w:space="0" w:color="auto"/>
        <w:left w:val="none" w:sz="0" w:space="0" w:color="auto"/>
        <w:bottom w:val="none" w:sz="0" w:space="0" w:color="auto"/>
        <w:right w:val="none" w:sz="0" w:space="0" w:color="auto"/>
      </w:divBdr>
    </w:div>
    <w:div w:id="1772163777">
      <w:bodyDiv w:val="1"/>
      <w:marLeft w:val="0"/>
      <w:marRight w:val="0"/>
      <w:marTop w:val="0"/>
      <w:marBottom w:val="0"/>
      <w:divBdr>
        <w:top w:val="none" w:sz="0" w:space="0" w:color="auto"/>
        <w:left w:val="none" w:sz="0" w:space="0" w:color="auto"/>
        <w:bottom w:val="none" w:sz="0" w:space="0" w:color="auto"/>
        <w:right w:val="none" w:sz="0" w:space="0" w:color="auto"/>
      </w:divBdr>
    </w:div>
    <w:div w:id="1789859252">
      <w:bodyDiv w:val="1"/>
      <w:marLeft w:val="0"/>
      <w:marRight w:val="0"/>
      <w:marTop w:val="0"/>
      <w:marBottom w:val="0"/>
      <w:divBdr>
        <w:top w:val="none" w:sz="0" w:space="0" w:color="auto"/>
        <w:left w:val="none" w:sz="0" w:space="0" w:color="auto"/>
        <w:bottom w:val="none" w:sz="0" w:space="0" w:color="auto"/>
        <w:right w:val="none" w:sz="0" w:space="0" w:color="auto"/>
      </w:divBdr>
    </w:div>
    <w:div w:id="1824927764">
      <w:bodyDiv w:val="1"/>
      <w:marLeft w:val="0"/>
      <w:marRight w:val="0"/>
      <w:marTop w:val="0"/>
      <w:marBottom w:val="0"/>
      <w:divBdr>
        <w:top w:val="none" w:sz="0" w:space="0" w:color="auto"/>
        <w:left w:val="none" w:sz="0" w:space="0" w:color="auto"/>
        <w:bottom w:val="none" w:sz="0" w:space="0" w:color="auto"/>
        <w:right w:val="none" w:sz="0" w:space="0" w:color="auto"/>
      </w:divBdr>
    </w:div>
    <w:div w:id="1837960085">
      <w:bodyDiv w:val="1"/>
      <w:marLeft w:val="0"/>
      <w:marRight w:val="0"/>
      <w:marTop w:val="0"/>
      <w:marBottom w:val="0"/>
      <w:divBdr>
        <w:top w:val="none" w:sz="0" w:space="0" w:color="auto"/>
        <w:left w:val="none" w:sz="0" w:space="0" w:color="auto"/>
        <w:bottom w:val="none" w:sz="0" w:space="0" w:color="auto"/>
        <w:right w:val="none" w:sz="0" w:space="0" w:color="auto"/>
      </w:divBdr>
    </w:div>
    <w:div w:id="1850023238">
      <w:bodyDiv w:val="1"/>
      <w:marLeft w:val="0"/>
      <w:marRight w:val="0"/>
      <w:marTop w:val="0"/>
      <w:marBottom w:val="0"/>
      <w:divBdr>
        <w:top w:val="none" w:sz="0" w:space="0" w:color="auto"/>
        <w:left w:val="none" w:sz="0" w:space="0" w:color="auto"/>
        <w:bottom w:val="none" w:sz="0" w:space="0" w:color="auto"/>
        <w:right w:val="none" w:sz="0" w:space="0" w:color="auto"/>
      </w:divBdr>
    </w:div>
    <w:div w:id="1852527116">
      <w:bodyDiv w:val="1"/>
      <w:marLeft w:val="0"/>
      <w:marRight w:val="0"/>
      <w:marTop w:val="0"/>
      <w:marBottom w:val="0"/>
      <w:divBdr>
        <w:top w:val="none" w:sz="0" w:space="0" w:color="auto"/>
        <w:left w:val="none" w:sz="0" w:space="0" w:color="auto"/>
        <w:bottom w:val="none" w:sz="0" w:space="0" w:color="auto"/>
        <w:right w:val="none" w:sz="0" w:space="0" w:color="auto"/>
      </w:divBdr>
    </w:div>
    <w:div w:id="1853454409">
      <w:bodyDiv w:val="1"/>
      <w:marLeft w:val="0"/>
      <w:marRight w:val="0"/>
      <w:marTop w:val="0"/>
      <w:marBottom w:val="0"/>
      <w:divBdr>
        <w:top w:val="none" w:sz="0" w:space="0" w:color="auto"/>
        <w:left w:val="none" w:sz="0" w:space="0" w:color="auto"/>
        <w:bottom w:val="none" w:sz="0" w:space="0" w:color="auto"/>
        <w:right w:val="none" w:sz="0" w:space="0" w:color="auto"/>
      </w:divBdr>
    </w:div>
    <w:div w:id="1859615785">
      <w:bodyDiv w:val="1"/>
      <w:marLeft w:val="0"/>
      <w:marRight w:val="0"/>
      <w:marTop w:val="0"/>
      <w:marBottom w:val="0"/>
      <w:divBdr>
        <w:top w:val="none" w:sz="0" w:space="0" w:color="auto"/>
        <w:left w:val="none" w:sz="0" w:space="0" w:color="auto"/>
        <w:bottom w:val="none" w:sz="0" w:space="0" w:color="auto"/>
        <w:right w:val="none" w:sz="0" w:space="0" w:color="auto"/>
      </w:divBdr>
    </w:div>
    <w:div w:id="1864050100">
      <w:bodyDiv w:val="1"/>
      <w:marLeft w:val="0"/>
      <w:marRight w:val="0"/>
      <w:marTop w:val="0"/>
      <w:marBottom w:val="0"/>
      <w:divBdr>
        <w:top w:val="none" w:sz="0" w:space="0" w:color="auto"/>
        <w:left w:val="none" w:sz="0" w:space="0" w:color="auto"/>
        <w:bottom w:val="none" w:sz="0" w:space="0" w:color="auto"/>
        <w:right w:val="none" w:sz="0" w:space="0" w:color="auto"/>
      </w:divBdr>
    </w:div>
    <w:div w:id="1891767738">
      <w:bodyDiv w:val="1"/>
      <w:marLeft w:val="0"/>
      <w:marRight w:val="0"/>
      <w:marTop w:val="0"/>
      <w:marBottom w:val="0"/>
      <w:divBdr>
        <w:top w:val="none" w:sz="0" w:space="0" w:color="auto"/>
        <w:left w:val="none" w:sz="0" w:space="0" w:color="auto"/>
        <w:bottom w:val="none" w:sz="0" w:space="0" w:color="auto"/>
        <w:right w:val="none" w:sz="0" w:space="0" w:color="auto"/>
      </w:divBdr>
    </w:div>
    <w:div w:id="1898009617">
      <w:bodyDiv w:val="1"/>
      <w:marLeft w:val="0"/>
      <w:marRight w:val="0"/>
      <w:marTop w:val="0"/>
      <w:marBottom w:val="0"/>
      <w:divBdr>
        <w:top w:val="none" w:sz="0" w:space="0" w:color="auto"/>
        <w:left w:val="none" w:sz="0" w:space="0" w:color="auto"/>
        <w:bottom w:val="none" w:sz="0" w:space="0" w:color="auto"/>
        <w:right w:val="none" w:sz="0" w:space="0" w:color="auto"/>
      </w:divBdr>
    </w:div>
    <w:div w:id="1921715664">
      <w:bodyDiv w:val="1"/>
      <w:marLeft w:val="0"/>
      <w:marRight w:val="0"/>
      <w:marTop w:val="0"/>
      <w:marBottom w:val="0"/>
      <w:divBdr>
        <w:top w:val="none" w:sz="0" w:space="0" w:color="auto"/>
        <w:left w:val="none" w:sz="0" w:space="0" w:color="auto"/>
        <w:bottom w:val="none" w:sz="0" w:space="0" w:color="auto"/>
        <w:right w:val="none" w:sz="0" w:space="0" w:color="auto"/>
      </w:divBdr>
    </w:div>
    <w:div w:id="1925257373">
      <w:bodyDiv w:val="1"/>
      <w:marLeft w:val="0"/>
      <w:marRight w:val="0"/>
      <w:marTop w:val="0"/>
      <w:marBottom w:val="0"/>
      <w:divBdr>
        <w:top w:val="none" w:sz="0" w:space="0" w:color="auto"/>
        <w:left w:val="none" w:sz="0" w:space="0" w:color="auto"/>
        <w:bottom w:val="none" w:sz="0" w:space="0" w:color="auto"/>
        <w:right w:val="none" w:sz="0" w:space="0" w:color="auto"/>
      </w:divBdr>
    </w:div>
    <w:div w:id="1933198055">
      <w:bodyDiv w:val="1"/>
      <w:marLeft w:val="0"/>
      <w:marRight w:val="0"/>
      <w:marTop w:val="0"/>
      <w:marBottom w:val="0"/>
      <w:divBdr>
        <w:top w:val="none" w:sz="0" w:space="0" w:color="auto"/>
        <w:left w:val="none" w:sz="0" w:space="0" w:color="auto"/>
        <w:bottom w:val="none" w:sz="0" w:space="0" w:color="auto"/>
        <w:right w:val="none" w:sz="0" w:space="0" w:color="auto"/>
      </w:divBdr>
    </w:div>
    <w:div w:id="1945068771">
      <w:bodyDiv w:val="1"/>
      <w:marLeft w:val="0"/>
      <w:marRight w:val="0"/>
      <w:marTop w:val="0"/>
      <w:marBottom w:val="0"/>
      <w:divBdr>
        <w:top w:val="none" w:sz="0" w:space="0" w:color="auto"/>
        <w:left w:val="none" w:sz="0" w:space="0" w:color="auto"/>
        <w:bottom w:val="none" w:sz="0" w:space="0" w:color="auto"/>
        <w:right w:val="none" w:sz="0" w:space="0" w:color="auto"/>
      </w:divBdr>
    </w:div>
    <w:div w:id="1945381435">
      <w:bodyDiv w:val="1"/>
      <w:marLeft w:val="0"/>
      <w:marRight w:val="0"/>
      <w:marTop w:val="0"/>
      <w:marBottom w:val="0"/>
      <w:divBdr>
        <w:top w:val="none" w:sz="0" w:space="0" w:color="auto"/>
        <w:left w:val="none" w:sz="0" w:space="0" w:color="auto"/>
        <w:bottom w:val="none" w:sz="0" w:space="0" w:color="auto"/>
        <w:right w:val="none" w:sz="0" w:space="0" w:color="auto"/>
      </w:divBdr>
    </w:div>
    <w:div w:id="1958292962">
      <w:bodyDiv w:val="1"/>
      <w:marLeft w:val="0"/>
      <w:marRight w:val="0"/>
      <w:marTop w:val="0"/>
      <w:marBottom w:val="0"/>
      <w:divBdr>
        <w:top w:val="none" w:sz="0" w:space="0" w:color="auto"/>
        <w:left w:val="none" w:sz="0" w:space="0" w:color="auto"/>
        <w:bottom w:val="none" w:sz="0" w:space="0" w:color="auto"/>
        <w:right w:val="none" w:sz="0" w:space="0" w:color="auto"/>
      </w:divBdr>
    </w:div>
    <w:div w:id="1959675354">
      <w:bodyDiv w:val="1"/>
      <w:marLeft w:val="0"/>
      <w:marRight w:val="0"/>
      <w:marTop w:val="0"/>
      <w:marBottom w:val="0"/>
      <w:divBdr>
        <w:top w:val="none" w:sz="0" w:space="0" w:color="auto"/>
        <w:left w:val="none" w:sz="0" w:space="0" w:color="auto"/>
        <w:bottom w:val="none" w:sz="0" w:space="0" w:color="auto"/>
        <w:right w:val="none" w:sz="0" w:space="0" w:color="auto"/>
      </w:divBdr>
    </w:div>
    <w:div w:id="1963221909">
      <w:bodyDiv w:val="1"/>
      <w:marLeft w:val="0"/>
      <w:marRight w:val="0"/>
      <w:marTop w:val="0"/>
      <w:marBottom w:val="0"/>
      <w:divBdr>
        <w:top w:val="none" w:sz="0" w:space="0" w:color="auto"/>
        <w:left w:val="none" w:sz="0" w:space="0" w:color="auto"/>
        <w:bottom w:val="none" w:sz="0" w:space="0" w:color="auto"/>
        <w:right w:val="none" w:sz="0" w:space="0" w:color="auto"/>
      </w:divBdr>
    </w:div>
    <w:div w:id="1967855437">
      <w:bodyDiv w:val="1"/>
      <w:marLeft w:val="0"/>
      <w:marRight w:val="0"/>
      <w:marTop w:val="0"/>
      <w:marBottom w:val="0"/>
      <w:divBdr>
        <w:top w:val="none" w:sz="0" w:space="0" w:color="auto"/>
        <w:left w:val="none" w:sz="0" w:space="0" w:color="auto"/>
        <w:bottom w:val="none" w:sz="0" w:space="0" w:color="auto"/>
        <w:right w:val="none" w:sz="0" w:space="0" w:color="auto"/>
      </w:divBdr>
    </w:div>
    <w:div w:id="19711268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2154930">
      <w:bodyDiv w:val="1"/>
      <w:marLeft w:val="0"/>
      <w:marRight w:val="0"/>
      <w:marTop w:val="0"/>
      <w:marBottom w:val="0"/>
      <w:divBdr>
        <w:top w:val="none" w:sz="0" w:space="0" w:color="auto"/>
        <w:left w:val="none" w:sz="0" w:space="0" w:color="auto"/>
        <w:bottom w:val="none" w:sz="0" w:space="0" w:color="auto"/>
        <w:right w:val="none" w:sz="0" w:space="0" w:color="auto"/>
      </w:divBdr>
    </w:div>
    <w:div w:id="2022009620">
      <w:bodyDiv w:val="1"/>
      <w:marLeft w:val="0"/>
      <w:marRight w:val="0"/>
      <w:marTop w:val="0"/>
      <w:marBottom w:val="0"/>
      <w:divBdr>
        <w:top w:val="none" w:sz="0" w:space="0" w:color="auto"/>
        <w:left w:val="none" w:sz="0" w:space="0" w:color="auto"/>
        <w:bottom w:val="none" w:sz="0" w:space="0" w:color="auto"/>
        <w:right w:val="none" w:sz="0" w:space="0" w:color="auto"/>
      </w:divBdr>
    </w:div>
    <w:div w:id="2044594473">
      <w:bodyDiv w:val="1"/>
      <w:marLeft w:val="0"/>
      <w:marRight w:val="0"/>
      <w:marTop w:val="0"/>
      <w:marBottom w:val="0"/>
      <w:divBdr>
        <w:top w:val="none" w:sz="0" w:space="0" w:color="auto"/>
        <w:left w:val="none" w:sz="0" w:space="0" w:color="auto"/>
        <w:bottom w:val="none" w:sz="0" w:space="0" w:color="auto"/>
        <w:right w:val="none" w:sz="0" w:space="0" w:color="auto"/>
      </w:divBdr>
    </w:div>
    <w:div w:id="2044941618">
      <w:bodyDiv w:val="1"/>
      <w:marLeft w:val="0"/>
      <w:marRight w:val="0"/>
      <w:marTop w:val="0"/>
      <w:marBottom w:val="0"/>
      <w:divBdr>
        <w:top w:val="none" w:sz="0" w:space="0" w:color="auto"/>
        <w:left w:val="none" w:sz="0" w:space="0" w:color="auto"/>
        <w:bottom w:val="none" w:sz="0" w:space="0" w:color="auto"/>
        <w:right w:val="none" w:sz="0" w:space="0" w:color="auto"/>
      </w:divBdr>
    </w:div>
    <w:div w:id="2056661504">
      <w:bodyDiv w:val="1"/>
      <w:marLeft w:val="0"/>
      <w:marRight w:val="0"/>
      <w:marTop w:val="0"/>
      <w:marBottom w:val="0"/>
      <w:divBdr>
        <w:top w:val="none" w:sz="0" w:space="0" w:color="auto"/>
        <w:left w:val="none" w:sz="0" w:space="0" w:color="auto"/>
        <w:bottom w:val="none" w:sz="0" w:space="0" w:color="auto"/>
        <w:right w:val="none" w:sz="0" w:space="0" w:color="auto"/>
      </w:divBdr>
    </w:div>
    <w:div w:id="2073193040">
      <w:bodyDiv w:val="1"/>
      <w:marLeft w:val="0"/>
      <w:marRight w:val="0"/>
      <w:marTop w:val="0"/>
      <w:marBottom w:val="0"/>
      <w:divBdr>
        <w:top w:val="none" w:sz="0" w:space="0" w:color="auto"/>
        <w:left w:val="none" w:sz="0" w:space="0" w:color="auto"/>
        <w:bottom w:val="none" w:sz="0" w:space="0" w:color="auto"/>
        <w:right w:val="none" w:sz="0" w:space="0" w:color="auto"/>
      </w:divBdr>
    </w:div>
    <w:div w:id="2076274629">
      <w:bodyDiv w:val="1"/>
      <w:marLeft w:val="0"/>
      <w:marRight w:val="0"/>
      <w:marTop w:val="0"/>
      <w:marBottom w:val="0"/>
      <w:divBdr>
        <w:top w:val="none" w:sz="0" w:space="0" w:color="auto"/>
        <w:left w:val="none" w:sz="0" w:space="0" w:color="auto"/>
        <w:bottom w:val="none" w:sz="0" w:space="0" w:color="auto"/>
        <w:right w:val="none" w:sz="0" w:space="0" w:color="auto"/>
      </w:divBdr>
    </w:div>
    <w:div w:id="2113239530">
      <w:bodyDiv w:val="1"/>
      <w:marLeft w:val="0"/>
      <w:marRight w:val="0"/>
      <w:marTop w:val="0"/>
      <w:marBottom w:val="0"/>
      <w:divBdr>
        <w:top w:val="none" w:sz="0" w:space="0" w:color="auto"/>
        <w:left w:val="none" w:sz="0" w:space="0" w:color="auto"/>
        <w:bottom w:val="none" w:sz="0" w:space="0" w:color="auto"/>
        <w:right w:val="none" w:sz="0" w:space="0" w:color="auto"/>
      </w:divBdr>
    </w:div>
    <w:div w:id="21358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Coc20</b:Tag>
    <b:SourceType>JournalArticle</b:SourceType>
    <b:Guid>{29128676-8371-409F-BDB4-128B9E46B58E}</b:Guid>
    <b:Author>
      <b:Author>
        <b:NameList>
          <b:Person>
            <b:Last>Cochard</b:Last>
            <b:First>Roland</b:First>
          </b:Person>
          <b:Person>
            <b:Last>Nguyen</b:Last>
            <b:First>Van</b:First>
            <b:Middle>Hai Thi</b:Middle>
          </b:Person>
          <b:Person>
            <b:Last>Ngo</b:Last>
            <b:First>Dung</b:First>
            <b:Middle>Tri</b:Middle>
          </b:Person>
          <b:Person>
            <b:Last>Kull</b:Last>
            <b:First>Christian</b:First>
            <b:Middle>A.</b:Middle>
          </b:Person>
        </b:NameList>
      </b:Author>
    </b:Author>
    <b:Title>Vietnam’s forest cover changes 2005-2016: veering from transition to (yet more) transaction?</b:Title>
    <b:JournalName>World Development</b:JournalName>
    <b:Year>2020</b:Year>
    <b:Pages>1-38</b:Pages>
    <b:DOI>https://dx.doi.org/10.1016/j.worlddev.2020.105051</b:DOI>
    <b:RefOrder>23</b:RefOrder>
  </b:Source>
  <b:Source>
    <b:Tag>Eme24</b:Tag>
    <b:SourceType>JournalArticle</b:SourceType>
    <b:Guid>{78CA1848-75EA-485C-BFB1-AD71E45DFA0B}</b:Guid>
    <b:Author>
      <b:Author>
        <b:NameList>
          <b:Person>
            <b:Last>Emerton</b:Last>
            <b:First>Lucy</b:First>
          </b:Person>
        </b:NameList>
      </b:Author>
    </b:Author>
    <b:Title>Community-Based Incentives For Nature Conservation</b:Title>
    <b:JournalName>IUCN-The World Conservation Union</b:JournalName>
    <b:Year>2024</b:Year>
    <b:RefOrder>24</b:RefOrder>
  </b:Source>
  <b:Source>
    <b:Tag>Eco23</b:Tag>
    <b:SourceType>JournalArticle</b:SourceType>
    <b:Guid>{2DBDD6CF-4027-4CD5-87F2-3F8AF3C2798D}</b:Guid>
    <b:Title>Ecological and Socio-Economic Factors on the Rate of Participation and Sustainable Forest Management</b:Title>
    <b:JournalName>International Journal of Energy Economics and Policy</b:JournalName>
    <b:Year>2023</b:Year>
    <b:Pages>92-101</b:Pages>
    <b:Author>
      <b:Author>
        <b:NameList>
          <b:Person>
            <b:Last>Marnelly</b:Last>
            <b:First>Romi</b:First>
          </b:Person>
          <b:Person>
            <b:Last>Dahril</b:Last>
            <b:First>Tengku</b:First>
          </b:Person>
          <b:Person>
            <b:Last>Saam</b:Last>
            <b:First>Zulfan</b:First>
          </b:Person>
        </b:NameList>
      </b:Author>
    </b:Author>
    <b:RefOrder>21</b:RefOrder>
  </b:Source>
  <b:Source>
    <b:Tag>Jea19</b:Tag>
    <b:SourceType>JournalArticle</b:SourceType>
    <b:Guid>{45DD49AC-34E0-4634-949D-D5D1528E9648}</b:Guid>
    <b:Author>
      <b:Author>
        <b:NameList>
          <b:Person>
            <b:Last>Leblond</b:Last>
            <b:First>Jean-Philippe</b:First>
          </b:Person>
        </b:NameList>
      </b:Author>
    </b:Author>
    <b:Title>Revisiting forest transition explanations: The role of “push” factors and adaptation strategies in forest expansion in northern Phetchabun, Thailand</b:Title>
    <b:JournalName>Land Use Policy</b:JournalName>
    <b:Year>2019</b:Year>
    <b:Pages>195–214</b:Pages>
    <b:RefOrder>25</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26</b:RefOrder>
  </b:Source>
  <b:Source>
    <b:Tag>Neg18</b:Tag>
    <b:SourceType>JournalArticle</b:SourceType>
    <b:Guid>{0D21D4A7-3A94-476E-BA98-F0D69B6A42B9}</b:Guid>
    <b:Author>
      <b:Author>
        <b:NameList>
          <b:Person>
            <b:Last>Solomon</b:Last>
            <b:First>Negasi</b:First>
          </b:Person>
          <b:Person>
            <b:Last>Hishe</b:Last>
            <b:First>Hadgu</b:First>
          </b:Person>
          <b:Person>
            <b:Last>Annang</b:Last>
            <b:First>Ted</b:First>
          </b:Person>
          <b:Person>
            <b:Last>Birhane</b:Last>
            <b:First>Emiru</b:First>
          </b:Person>
        </b:NameList>
      </b:Author>
    </b:Author>
    <b:Title>Forest Cover Change, Key Drivers and Community Perception in Wujig Mahgo Waren Forest of Northern Ethiopia</b:Title>
    <b:JournalName>Land</b:JournalName>
    <b:Year>2018</b:Year>
    <b:Pages>32</b:Pages>
    <b:RefOrder>27</b:RefOrder>
  </b:Source>
  <b:Source>
    <b:Tag>Ema23</b:Tag>
    <b:SourceType>JournalArticle</b:SourceType>
    <b:Guid>{D033B4AD-A374-4002-8D43-6E5250B4C446}</b:Guid>
    <b:Title>Assessment and Mapping of Forest Cover Change in Dryland, Sudan Using Remote Sensing</b:Title>
    <b:Year>2023</b:Year>
    <b:Author>
      <b:Author>
        <b:NameList>
          <b:Person>
            <b:Last>Yasin</b:Last>
            <b:First>Emad</b:First>
            <b:Middle>H.E.</b:Middle>
          </b:Person>
          <b:Person>
            <b:Last>Kornel</b:Last>
            <b:First>Czimber</b:First>
          </b:Person>
          <b:Person>
            <b:Last>Hemida</b:Last>
            <b:First>Mohamed</b:First>
          </b:Person>
        </b:NameList>
      </b:Author>
    </b:Author>
    <b:JournalName>Conservation, Exploitation and Restoration of Mountain Ecosystem</b:JournalName>
    <b:Pages>1-16</b:Pages>
    <b:RefOrder>8</b:RefOrder>
  </b:Source>
  <b:Source>
    <b:Tag>Sed22</b:Tag>
    <b:SourceType>JournalArticle</b:SourceType>
    <b:Guid>{800DD604-A696-4874-AB41-849D67BFDBA7}</b:Guid>
    <b:Author>
      <b:Author>
        <b:NameList>
          <b:Person>
            <b:Last>Sedano</b:Last>
            <b:First>Fernando</b:First>
          </b:Person>
          <b:Person>
            <b:Last>Mizu-Siampale</b:Last>
            <b:First>Abel</b:First>
          </b:Person>
          <b:Person>
            <b:Last>Duncanson</b:Last>
            <b:First>Laura</b:First>
          </b:Person>
          <b:Person>
            <b:Last>Liang</b:Last>
            <b:First>Mengyu</b:First>
          </b:Person>
        </b:NameList>
      </b:Author>
    </b:Author>
    <b:Title>Influence of Charcoal Production on Forest Degradation in Zambia: A Remote Sensing Perspective</b:Title>
    <b:JournalName>Remote Sense</b:JournalName>
    <b:Year>2022</b:Year>
    <b:Pages>3352</b:Pages>
    <b:DOI>https://doi.org/10.3390/rs14143352</b:DOI>
    <b:RefOrder>14</b:RefOrder>
  </b:Source>
  <b:Source>
    <b:Tag>Pet21</b:Tag>
    <b:SourceType>JournalArticle</b:SourceType>
    <b:Guid>{6D5B11DA-A85D-4F37-A6AA-150BDE185AF0}</b:Guid>
    <b:Author>
      <b:Author>
        <b:NameList>
          <b:Person>
            <b:Last>Petersen</b:Last>
            <b:First>Maike</b:First>
          </b:Person>
          <b:Person>
            <b:Last>Bergmann</b:Last>
            <b:First>Christoph</b:First>
          </b:Person>
          <b:Person>
            <b:Last>Roden</b:Last>
            <b:First>Paul</b:First>
          </b:Person>
          <b:Person>
            <b:Last>Nüsse</b:Last>
            <b:First>Marcus</b:First>
          </b:Person>
        </b:NameList>
      </b:Author>
    </b:Author>
    <b:Title>Contextualizing land-use and land-cover change with local knowledge: A case study from Pokot Central, Kenya</b:Title>
    <b:JournalName>Land Degradation &amp; Development</b:JournalName>
    <b:Year>2021</b:Year>
    <b:Pages>2992–3007</b:Pages>
    <b:Volume>32</b:Volume>
    <b:DOI>https://doi.org/10.1002/ldr.3961</b:DOI>
    <b:RefOrder>17</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12</b:RefOrder>
  </b:Source>
  <b:Source>
    <b:Tag>Las19</b:Tag>
    <b:SourceType>JournalArticle</b:SourceType>
    <b:Guid>{C5EEFC32-EF7D-4E06-9892-21501DC0FA07}</b:Guid>
    <b:Author>
      <b:Author>
        <b:NameList>
          <b:Person>
            <b:Last>Kalenga</b:Last>
            <b:First>Marie-Ange</b:First>
          </b:Person>
        </b:NameList>
      </b:Author>
    </b:Author>
    <b:Title>Community Forestry in CentralAfrica: Still a Fragile Sustainable Forest Management Model</b:Title>
    <b:JournalName>Forests, Governance and Development Policy Advisor</b:JournalName>
    <b:Year>2021</b:Year>
    <b:Pages>180-183</b:Pages>
    <b:RefOrder>28</b:RefOrder>
  </b:Source>
  <b:Source>
    <b:Tag>Mel16</b:Tag>
    <b:SourceType>JournalArticle</b:SourceType>
    <b:Guid>{EF59903F-62D0-41E4-AF64-5707CBC960D5}</b:Guid>
    <b:Author>
      <b:Author>
        <b:NameList>
          <b:Person>
            <b:Last>Melaku</b:Last>
            <b:First>Bekele</b:First>
          </b:Person>
          <b:Person>
            <b:Last>Purabi</b:Last>
            <b:First>Bose</b:First>
          </b:Person>
          <b:Person>
            <b:Last>Kees</b:Last>
            <b:First>Burger</b:First>
          </b:Person>
          <b:Person>
            <b:Last>Papa</b:Last>
            <b:First>Fay</b:First>
          </b:Person>
          <b:Person>
            <b:Last>Habtemariam</b:Last>
            <b:First>Kassa</b:First>
          </b:Person>
          <b:Person>
            <b:Last>Mweru</b:Last>
            <b:First>Kariuki</b:First>
            <b:Middle>Peris</b:Middle>
          </b:Person>
          <b:Person>
            <b:Last>Ingram</b:Last>
            <b:First>Verina</b:First>
          </b:Person>
        </b:NameList>
      </b:Author>
    </b:Author>
    <b:Title>Forests Management and Social Diversity in Africa and Asia</b:Title>
    <b:JournalName>Springer International Publishing Switzerland</b:JournalName>
    <b:Year>2016</b:Year>
    <b:Pages>1</b:Pages>
    <b:RefOrder>29</b:RefOrder>
  </b:Source>
  <b:Source>
    <b:Tag>GOK16</b:Tag>
    <b:SourceType>Report</b:SourceType>
    <b:Guid>{80C87E0A-80BD-4161-AB6E-2085218803A7}</b:Guid>
    <b:Title>The Forest Conservation and Management Act,</b:Title>
    <b:Year>2016</b:Year>
    <b:Author>
      <b:Author>
        <b:Corporate>GoK</b:Corporate>
      </b:Author>
    </b:Author>
    <b:Publisher>Kenya Gazette supppliment</b:Publisher>
    <b:City>Nairobi</b:City>
    <b:RefOrder>30</b:RefOrder>
  </b:Source>
  <b:Source>
    <b:Tag>Hea23</b:Tag>
    <b:SourceType>JournalArticle</b:SourceType>
    <b:Guid>{C70684F9-55CE-4874-BA36-5AACEC112C4C}</b:Guid>
    <b:Author>
      <b:Author>
        <b:NameList>
          <b:Person>
            <b:Last>MacDonald</b:Last>
            <b:First>Heather</b:First>
          </b:Person>
        </b:NameList>
      </b:Author>
    </b:Author>
    <b:Title>Envisioning better forest transitions: A review of recent forest transition scholarship </b:Title>
    <b:JournalName>Heliyon</b:JournalName>
    <b:Year>2023</b:Year>
    <b:Pages>1</b:Pages>
    <b:RefOrder>7</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1</b:RefOrder>
  </b:Source>
  <b:Source>
    <b:Tag>Tan20</b:Tag>
    <b:SourceType>Book</b:SourceType>
    <b:Guid>{5183E142-E8BA-4769-B106-A960A36F09C0}</b:Guid>
    <b:Title>Climate Change Effects, Adaptation, and Mitigation Techniques in Tropical Dry Forest</b:Title>
    <b:Year>2020</b:Year>
    <b:Publisher>University of Chittagong</b:Publisher>
    <b:City>Bangladesh</b:City>
    <b:Author>
      <b:Author>
        <b:NameList>
          <b:Person>
            <b:Last>Hasnat</b:Last>
            <b:First>Tanjina</b:First>
          </b:Person>
        </b:NameList>
      </b:Author>
    </b:Author>
    <b:RefOrder>9</b:RefOrder>
  </b:Source>
  <b:Source>
    <b:Tag>Cre23</b:Tag>
    <b:SourceType>Book</b:SourceType>
    <b:Guid>{62F8B2B4-0B3D-449A-9A63-486748E69B44}</b:Guid>
    <b:Author>
      <b:Author>
        <b:NameList>
          <b:Person>
            <b:Last>Creswell</b:Last>
            <b:First>John</b:First>
            <b:Middle>W.</b:Middle>
          </b:Person>
          <b:Person>
            <b:Last>Creswell</b:Last>
            <b:First>David</b:First>
          </b:Person>
        </b:NameList>
      </b:Author>
    </b:Author>
    <b:Title>Qualitative, Quantitative, and Mixed Methods Approaches Sixth Edition</b:Title>
    <b:Year>2023</b:Year>
    <b:Publisher>SAGE</b:Publisher>
    <b:City>London</b:City>
    <b:RefOrder>10</b:RefOrder>
  </b:Source>
  <b:Source>
    <b:Tag>Seç</b:Tag>
    <b:SourceType>JournalArticle</b:SourceType>
    <b:Guid>{98B41DE2-5B0B-4E4B-BEE1-52925875C9E9}</b:Guid>
    <b:Author>
      <b:Author>
        <b:NameList>
          <b:Person>
            <b:Last>Yurdakul</b:Last>
            <b:First>Seçil</b:First>
          </b:Person>
          <b:Person>
            <b:Last>Şahin</b:Last>
            <b:First>Gizem</b:First>
          </b:Person>
        </b:NameList>
      </b:Author>
    </b:Author>
    <b:Title>Conflict Analysis in Natural Resources: Examination with Forest Management and Land-Use Change Cases</b:Title>
    <b:JournalName>St. Kliment Ohridski University Press</b:JournalName>
    <b:Year>2021</b:Year>
    <b:RefOrder>31</b:RefOrder>
  </b:Source>
  <b:Source>
    <b:Tag>Yas</b:Tag>
    <b:SourceType>JournalArticle</b:SourceType>
    <b:Guid>{5FCE75ED-A68D-4A57-B49F-C5798759B934}</b:Guid>
    <b:Author>
      <b:Author>
        <b:NameList>
          <b:Person>
            <b:Last>Yasin</b:Last>
            <b:First>Emad</b:First>
            <b:Middle>H.E.</b:Middle>
          </b:Person>
          <b:Person>
            <b:Last>Kornel</b:Last>
            <b:First>Czimber</b:First>
          </b:Person>
          <b:Person>
            <b:Last>Hemida</b:Last>
            <b:First>Mohamed</b:First>
          </b:Person>
        </b:NameList>
      </b:Author>
    </b:Author>
    <b:Title>Assessment and Mapping of Forest Cover Change in Dryland, Sudan Using Remote Sensing</b:Title>
    <b:DOI>DOI: http://dx.doi.org/10.5772/intechopen.113862</b:DOI>
    <b:JournalName>Intechopen</b:JournalName>
    <b:Year>2023</b:Year>
    <b:Pages>1</b:Pages>
    <b:RefOrder>32</b:RefOrder>
  </b:Source>
  <b:Source>
    <b:Tag>Kar23</b:Tag>
    <b:SourceType>JournalArticle</b:SourceType>
    <b:Guid>{4D81093F-D0E7-49A9-806D-354234F2F316}</b:Guid>
    <b:Author>
      <b:Author>
        <b:NameList>
          <b:Person>
            <b:Last>Tempa</b:Last>
            <b:First>Karma</b:First>
          </b:Person>
        </b:NameList>
      </b:Author>
    </b:Author>
    <b:Title>Spatiotemporal land use land cover mapping with Sentinel-2 using a semi-automatic random forest classifier and assessment of vegetation change dynamics for Gelephu, Bhutan</b:Title>
    <b:JournalName>Annual University</b:JournalName>
    <b:Year>2023</b:Year>
    <b:RefOrder>33</b:RefOrder>
  </b:Source>
  <b:Source>
    <b:Tag>Sav20</b:Tag>
    <b:SourceType>JournalArticle</b:SourceType>
    <b:Guid>{A6F8B865-FFD4-4B2D-A416-AEEF035DC590}</b:Guid>
    <b:Author>
      <b:Author>
        <b:NameList>
          <b:Person>
            <b:Last>Savari</b:Last>
            <b:First>Moslem</b:First>
          </b:Person>
          <b:Person>
            <b:Last>Damaneh</b:Last>
            <b:First>Hamed</b:First>
            <b:Middle>Eskandari</b:Middle>
          </b:Person>
          <b:Person>
            <b:Last>Damaneh</b:Last>
            <b:First>Hadi</b:First>
            <b:Middle>Eskandari</b:Middle>
          </b:Person>
        </b:NameList>
      </b:Author>
    </b:Author>
    <b:Title>Factors influencing local people’s participation in sustainable forest management</b:Title>
    <b:JournalName>Arabian Journal of Geosciences</b:JournalName>
    <b:Year>2020</b:Year>
    <b:Pages>513</b:Pages>
    <b:DOI>https://doi.org/10.1007/s12517-020-05519-z</b:DOI>
    <b:RefOrder>34</b:RefOrder>
  </b:Source>
  <b:Source>
    <b:Tag>Gau</b:Tag>
    <b:SourceType>JournalArticle</b:SourceType>
    <b:Guid>{6FCF7FF4-B770-4617-A696-8B9273ED4709}</b:Guid>
    <b:Author>
      <b:Author>
        <b:NameList>
          <b:Person>
            <b:Last>Ranjan</b:Last>
            <b:First>Avinash</b:First>
          </b:Person>
          <b:Person>
            <b:Last>Mandal</b:Last>
            <b:First>Kajal</b:First>
            <b:Middle>Kumar</b:Middle>
          </b:Person>
          <b:Person>
            <b:Last>Mallick</b:Last>
            <b:First>Sambit</b:First>
          </b:Person>
        </b:NameList>
      </b:Author>
    </b:Author>
    <b:Title>Analyzing the Trend of LULC Change Over Five Decades in Dhanbad District, Jharkhand (India) Using Geospatial Techniques</b:Title>
    <b:JournalName>Geospatial Technology for Natural Resource Management</b:JournalName>
    <b:Year>2025</b:Year>
    <b:Pages>33</b:Pages>
    <b:DOI> https://doi.org/10.1002/9781394167494.ch15</b:DOI>
    <b:RefOrder>18</b:RefOrder>
  </b:Source>
  <b:Source>
    <b:Tag>Onw24</b:Tag>
    <b:SourceType>JournalArticle</b:SourceType>
    <b:Guid>{1A857261-174B-4BE8-9053-9581CE83929F}</b:Guid>
    <b:Author>
      <b:Author>
        <b:NameList>
          <b:Person>
            <b:Last>Onwonga</b:Last>
            <b:First>Anne</b:First>
            <b:Middle>Monyenye Omwoyo1 · Richard Ndemo</b:Middle>
          </b:Person>
          <b:Person>
            <b:Last>Wasonga</b:Last>
            <b:First>Oliver</b:First>
            <b:Middle>Vivian</b:Middle>
          </b:Person>
          <b:Person>
            <b:Last>Kinyanjui</b:Last>
            <b:First>Mwangi</b:First>
            <b:Middle>James</b:Middle>
          </b:Person>
        </b:NameList>
      </b:Author>
    </b:Author>
    <b:Title>Spatio‑temporal patterns of land use and land cover change in Kibwezi West, Eastern Kenya</b:Title>
    <b:JournalName>Discover Soil</b:JournalName>
    <b:Year>24</b:Year>
    <b:Pages>21</b:Pages>
    <b:DOI>https://doi.org/10.1007/s44378-024-00021-4</b:DOI>
    <b:RefOrder>35</b:RefOrder>
  </b:Source>
  <b:Source>
    <b:Tag>Omw24</b:Tag>
    <b:SourceType>JournalArticle</b:SourceType>
    <b:Guid>{52343985-A914-4379-87C9-9139ACFFFA2A}</b:Guid>
    <b:Author>
      <b:Author>
        <b:NameList>
          <b:Person>
            <b:Last>Omwoyo</b:Last>
            <b:First>Anne</b:First>
            <b:Middle>Monyenye</b:Middle>
          </b:Person>
          <b:Person>
            <b:Last>Onwonga</b:Last>
            <b:First>Richard</b:First>
            <b:Middle>Ndemo</b:Middle>
          </b:Person>
          <b:Person>
            <b:Last>Wasonga</b:Last>
            <b:First>Oliver</b:First>
            <b:Middle>Vivian</b:Middle>
          </b:Person>
          <b:Person>
            <b:Last>Kinyanjui</b:Last>
            <b:First>Mwangi</b:First>
            <b:Middle>James</b:Middle>
          </b:Person>
        </b:NameList>
      </b:Author>
    </b:Author>
    <b:Title>Spatio‑temporal patterns of land use and land cover change</b:Title>
    <b:JournalName>Discover Soil</b:JournalName>
    <b:Year>2024</b:Year>
    <b:Pages>22</b:Pages>
    <b:DOI>https://doi.org/10.1007/s44378-024-00021-4</b:DOI>
    <b:RefOrder>36</b:RefOrder>
  </b:Source>
  <b:Source>
    <b:Tag>Sam21</b:Tag>
    <b:SourceType>JournalArticle</b:SourceType>
    <b:Guid>{021FC291-AE63-48AA-ABBF-647DC354224B}</b:Guid>
    <b:Author>
      <b:Author>
        <b:NameList>
          <b:Person>
            <b:Last>Okorie</b:Last>
            <b:First>Samuel</b:First>
            <b:Middle>Chijioke</b:Middle>
          </b:Person>
        </b:NameList>
      </b:Author>
    </b:Author>
    <b:Title>Nigeria’s drylands and rise of violent conflict in the country</b:Title>
    <b:JournalName>Global Land scape Forum Africa</b:JournalName>
    <b:Year>2021</b:Year>
    <b:Pages>1</b:Pages>
    <b:RefOrder>37</b:RefOrder>
  </b:Source>
  <b:Source>
    <b:Tag>Nga16</b:Tag>
    <b:SourceType>JournalArticle</b:SourceType>
    <b:Guid>{00220975-2FCF-47EB-AA66-47A72621A527}</b:Guid>
    <b:Author>
      <b:Author>
        <b:NameList>
          <b:Person>
            <b:Last>Ngaruiya</b:Last>
            <b:First>Grace</b:First>
            <b:Middle>W.</b:Middle>
          </b:Person>
          <b:Person>
            <b:Last>Scheffran</b:Last>
            <b:First>Jürgen</b:First>
          </b:Person>
        </b:NameList>
      </b:Author>
    </b:Author>
    <b:Title>Actors and networks in resource conflict resolution under climate change in rural Kenya</b:Title>
    <b:JournalName>Earth System Dynamics</b:JournalName>
    <b:Year>2016</b:Year>
    <b:Pages>441-452</b:Pages>
    <b:DOI>https://doi.org/10.5194/esd-7-441-2016</b:DOI>
    <b:RefOrder>38</b:RefOrder>
  </b:Source>
  <b:Source>
    <b:Tag>Jag16</b:Tag>
    <b:SourceType>JournalArticle</b:SourceType>
    <b:Guid>{FD940E2E-6DBE-416F-8E86-04A56514E14B}</b:Guid>
    <b:Author>
      <b:Author>
        <b:NameList>
          <b:Person>
            <b:Last>Matta</b:Last>
            <b:First>Jagannadha</b:First>
            <b:Middle>R.</b:Middle>
          </b:Person>
          <b:Person>
            <b:Last>Alavalapati</b:Last>
            <b:First>Janaki</b:First>
            <b:Middle>R.R.</b:Middle>
          </b:Person>
        </b:NameList>
      </b:Author>
    </b:Author>
    <b:Title>Perceptions of collective action and its success in community based natural resource management: An empirical analysis</b:Title>
    <b:JournalName>Forest Policy and Economics</b:JournalName>
    <b:Year>2016</b:Year>
    <b:RefOrder>20</b:RefOrder>
  </b:Source>
  <b:Source>
    <b:Tag>Kha24</b:Tag>
    <b:SourceType>JournalArticle</b:SourceType>
    <b:Guid>{B436164E-3C91-4E91-BCAF-FBAE799C0CB0}</b:Guid>
    <b:Author>
      <b:Author>
        <b:NameList>
          <b:Person>
            <b:Last>Khan</b:Last>
            <b:First>Muhammad</b:First>
            <b:Middle>Nouman</b:Middle>
          </b:Person>
          <b:Person>
            <b:Last>Ta</b:Last>
            <b:First>Yumin</b:First>
          </b:Person>
          <b:Person>
            <b:First>Ahmad</b:First>
            <b:Middle>Ali Gul</b:Middle>
          </b:Person>
          <b:Person>
            <b:Last>Lodhi</b:Last>
            <b:First>Muhammad</b:First>
            <b:Middle>Kamran</b:Middle>
          </b:Person>
          <b:Person>
            <b:Last>Wang</b:Last>
            <b:First>Jiale</b:First>
          </b:Person>
        </b:NameList>
      </b:Author>
    </b:Author>
    <b:Title>A regional-level spatiotemporal perspective of land use and land cover change impact on forest aboveground biomass in three gorges reservoir region, China</b:Title>
    <b:JournalName>Geocarto International</b:JournalName>
    <b:Year>2024</b:Year>
    <b:DOI>DOI: 10.1080/10106049.2024.2397468</b:DOI>
    <b:RefOrder>39</b:RefOrder>
  </b:Source>
  <b:Source>
    <b:Tag>Keg23</b:Tag>
    <b:SourceType>JournalArticle</b:SourceType>
    <b:Guid>{51FA8E1B-78DD-40F2-8280-2E3CFEF997D9}</b:Guid>
    <b:Author>
      <b:Author>
        <b:NameList>
          <b:Person>
            <b:Last>Kegamba</b:Last>
            <b:First>Juma</b:First>
            <b:Middle>J</b:Middle>
          </b:Person>
          <b:Person>
            <b:Last>Sangha</b:Last>
            <b:First>Kamaljit</b:First>
            <b:Middle>K</b:Middle>
          </b:Person>
          <b:Person>
            <b:Last>Wurm</b:Last>
            <b:First>Penelope</b:First>
          </b:Person>
          <b:Person>
            <b:Last>Garnett</b:Last>
            <b:First>Stephen</b:First>
            <b:Middle>T</b:Middle>
          </b:Person>
        </b:NameList>
      </b:Author>
    </b:Author>
    <b:Title>Conservation benefit-sharing mechanisms and their effectiveness in the Greater Serengeti Ecosystem: local communities’ perspectives</b:Title>
    <b:JournalName>Springer Nature</b:JournalName>
    <b:Year>2023</b:Year>
    <b:Pages>1</b:Pages>
    <b:DOI>doi: 10.1007/s10531-023-02583-1</b:DOI>
    <b:RefOrder>40</b:RefOrder>
  </b:Source>
  <b:Source>
    <b:Tag>Kar211</b:Tag>
    <b:SourceType>JournalArticle</b:SourceType>
    <b:Guid>{BC194DA9-3FC4-436A-882A-BE6C9AE53BE8}</b:Guid>
    <b:Author>
      <b:Author>
        <b:NameList>
          <b:Person>
            <b:Last>Karaya</b:Last>
            <b:First>Rebecca</b:First>
            <b:Middle>N.</b:Middle>
          </b:Person>
          <b:Person>
            <b:Last>Onyango</b:Last>
            <b:First>Christopher</b:First>
            <b:Middle>A.</b:Middle>
          </b:Person>
          <b:Person>
            <b:Last>Ogendi</b:Last>
            <b:First>George</b:First>
            <b:Middle>M.</b:Middle>
          </b:Person>
        </b:NameList>
      </b:Author>
    </b:Author>
    <b:Title>A community-GIS supported dryland use and cover change assessment: The case of the Njemps flats in Kenya</b:Title>
    <b:JournalName>Cogent Food &amp; Agriculture</b:JournalName>
    <b:Year>2021</b:Year>
    <b:Pages>1-19</b:Pages>
    <b:DOI>https://doi.org/10.1080/23311932.2021.1872852</b:DOI>
    <b:RefOrder>41</b:RefOrder>
  </b:Source>
  <b:Source>
    <b:Tag>Kar21</b:Tag>
    <b:SourceType>JournalArticle</b:SourceType>
    <b:Guid>{9A93D1F4-A9A4-4488-B486-E73F5A4F428F}</b:Guid>
    <b:Author>
      <b:Author>
        <b:NameList>
          <b:Person>
            <b:Last>Karaya</b:Last>
            <b:First>Rebecca</b:First>
            <b:Middle>N.</b:Middle>
          </b:Person>
          <b:Person>
            <b:Last>Onyango</b:Last>
            <b:First>Christopher</b:First>
            <b:Middle>A.</b:Middle>
          </b:Person>
          <b:Person>
            <b:Last>Ogendi</b:Last>
            <b:First>George</b:First>
            <b:Middle>M.</b:Middle>
          </b:Person>
        </b:NameList>
      </b:Author>
    </b:Author>
    <b:Title>A community-GIS supported dryland use and cover change assessment: The case of the Njemps flats in Kenya</b:Title>
    <b:JournalName>Cogent Food &amp; Agriculture</b:JournalName>
    <b:Year>2021</b:Year>
    <b:Pages>1872852</b:Pages>
    <b:DOI>https://doi.org/10.1080/23311932.2021.1872852</b:DOI>
    <b:RefOrder>42</b:RefOrder>
  </b:Source>
  <b:Source>
    <b:Tag>Cos22</b:Tag>
    <b:SourceType>JournalArticle</b:SourceType>
    <b:Guid>{4935D90A-A855-45AD-ADC7-5C6431E30A90}</b:Guid>
    <b:Author>
      <b:Author>
        <b:NameList>
          <b:Person>
            <b:Last>Kamais</b:Last>
            <b:First>Cosmas</b:First>
            <b:Middle>Ekwom</b:Middle>
          </b:Person>
          <b:Person>
            <b:Last>Mosol</b:Last>
            <b:First>Geoffrey</b:First>
            <b:Middle>Pkite</b:Middle>
          </b:Person>
        </b:NameList>
      </b:Author>
    </b:Author>
    <b:Title>Recasting Low Intensity Conflicts in Laikipia County, Kenya, through Protracted Social Conflicts Paradigm: Causes, Socioeconomic, Political and Security Implications</b:Title>
    <b:JournalName> Open Access Library Journal</b:JournalName>
    <b:Year>2022</b:Year>
    <b:Pages>7</b:Pages>
    <b:RefOrder>43</b:RefOrder>
  </b:Source>
  <b:Source>
    <b:Tag>Jin22</b:Tag>
    <b:SourceType>JournalArticle</b:SourceType>
    <b:Guid>{E59C5CAB-F06D-4EEF-9655-6A5E3963FD60}</b:Guid>
    <b:Author>
      <b:Author>
        <b:NameList>
          <b:Person>
            <b:Last>Jin</b:Last>
            <b:First>Shanhe</b:First>
          </b:Person>
          <b:Person>
            <b:Last>Liu</b:Last>
            <b:First>Xin</b:First>
          </b:Person>
          <b:Person>
            <b:Last>Yang</b:Last>
            <b:First>Jiajia</b:First>
          </b:Person>
          <b:Person>
            <b:Last>Yuchao</b:Last>
            <b:First>Junchao</b:First>
          </b:Person>
        </b:NameList>
      </b:Author>
    </b:Author>
    <b:Title>Spatial-temporal changes of land use/cover change and habitat quality in Sanjiang plain from 1985 to 2017</b:Title>
    <b:JournalName>Frontiers in Environmental Science</b:JournalName>
    <b:Year>2022</b:Year>
    <b:DOI>10.3389/fenvs.2022.1032584</b:DOI>
    <b:RefOrder>44</b:RefOrder>
  </b:Source>
  <b:Source>
    <b:Tag>Geb19</b:Tag>
    <b:SourceType>JournalArticle</b:SourceType>
    <b:Guid>{7285C7BE-0A73-4BAE-957C-3EF1D2C6B33B}</b:Guid>
    <b:Author>
      <b:Author>
        <b:NameList>
          <b:Person>
            <b:Last>Gebregergs</b:Last>
            <b:First>Tsegay</b:First>
          </b:Person>
          <b:Person>
            <b:Last>Tessema</b:Last>
            <b:First>Zewdu</b:First>
            <b:Middle>K.</b:Middle>
          </b:Person>
          <b:Person>
            <b:Last>Solomon</b:Last>
            <b:First>Negasi</b:First>
          </b:Person>
          <b:Person>
            <b:Last>Birhane</b:Last>
            <b:First>Emiru</b:First>
          </b:Person>
        </b:NameList>
      </b:Author>
    </b:Author>
    <b:Title>Carbon sequestration and soil restoration potential of grazing lands under exclosure management in a semi-arid environment of northern Ethiopia</b:Title>
    <b:JournalName>Ecology Evolution</b:JournalName>
    <b:Year>2019</b:Year>
    <b:Pages>6470</b:Pages>
    <b:DOI>DOI: 10.1002/ece3.5223</b:DOI>
    <b:RefOrder>13</b:RefOrder>
  </b:Source>
  <b:Source>
    <b:Tag>Gar18</b:Tag>
    <b:SourceType>JournalArticle</b:SourceType>
    <b:Guid>{756C3CED-48EB-4C73-B4FD-2EC475A51F2E}</b:Guid>
    <b:Author>
      <b:Author>
        <b:NameList>
          <b:Person>
            <b:Last>García</b:Last>
            <b:First>Angela</b:First>
            <b:Middle>Kronenburg</b:Middle>
          </b:Person>
        </b:NameList>
      </b:Author>
    </b:Author>
    <b:Title>Territorial Conflicts, Agency and the Strategic Appropriation of Interventions in Kenya’s Southern Drylands</b:Title>
    <b:JournalName>Sustainability</b:JournalName>
    <b:Year>2018</b:Year>
    <b:Pages>4156</b:Pages>
    <b:DOI>doi:10.3390/su10114156</b:DOI>
    <b:RefOrder>45</b:RefOrder>
  </b:Source>
  <b:Source>
    <b:Tag>Fag18</b:Tag>
    <b:SourceType>JournalArticle</b:SourceType>
    <b:Guid>{9261E201-0B31-4613-988F-D8FAF8163F6C}</b:Guid>
    <b:Author>
      <b:Author>
        <b:NameList>
          <b:Person>
            <b:Last>Fagariba</b:Last>
            <b:First>Clifford</b:First>
            <b:Middle>James</b:Middle>
          </b:Person>
          <b:Person>
            <b:Last>Song</b:Last>
            <b:First>Shaoxian</b:First>
          </b:Person>
          <b:Person>
            <b:Last>Soule</b:Last>
            <b:First>Serge</b:First>
            <b:Middle>K. G.</b:Middle>
          </b:Person>
        </b:NameList>
      </b:Author>
    </b:Author>
    <b:Title>Livelihood Economic Activities Causing Deforestation in Northern Ghana: Evidence of Sissala West District</b:Title>
    <b:JournalName>Open Journal of Ecology</b:JournalName>
    <b:Year>2018</b:Year>
    <b:Pages>57-74</b:Pages>
    <b:DOI>https://doi.org/10.4236/oje.2018.81005</b:DOI>
    <b:RefOrder>16</b:RefOrder>
  </b:Source>
  <b:Source>
    <b:Tag>ww21</b:Tag>
    <b:SourceType>JournalArticle</b:SourceType>
    <b:Guid>{E637AD9B-A569-4900-BD19-58217C71B92F}</b:Guid>
    <b:Author>
      <b:Author>
        <b:NameList>
          <b:Person>
            <b:Last>Erol</b:Last>
            <b:First>Seçil</b:First>
            <b:Middle>Yurdakul</b:Middle>
          </b:Person>
          <b:Person>
            <b:Last>Şahin</b:Last>
            <b:First>Gizem</b:First>
          </b:Person>
        </b:NameList>
      </b:Author>
    </b:Author>
    <b:Title>Conflict Analysis in Natural Resources: Examination with Forest Management and Land-Use Change Cases</b:Title>
    <b:JournalName>St. Kliment Ohridski University Press</b:JournalName>
    <b:Year>2021</b:Year>
    <b:RefOrder>46</b:RefOrder>
  </b:Source>
  <b:Source>
    <b:Tag>Ege11</b:Tag>
    <b:SourceType>JournalArticle</b:SourceType>
    <b:Guid>{7D3F80F4-088C-47CE-86CB-2E56D5A30343}</b:Guid>
    <b:Author>
      <b:Author>
        <b:NameList>
          <b:Person>
            <b:Last>Egeru</b:Last>
            <b:First>Anthony</b:First>
          </b:Person>
          <b:Person>
            <b:Last>Okello</b:Last>
            <b:First>Patrick</b:First>
          </b:Person>
          <b:Person>
            <b:Last>Mukwaya</b:Last>
            <b:First>Paul</b:First>
          </b:Person>
          <b:Person>
            <b:Last>Isubikalu</b:Last>
            <b:First>Prossy</b:First>
          </b:Person>
        </b:NameList>
      </b:Author>
    </b:Author>
    <b:Title>The Effect of Land use/cover change on Biomass Stock in Dryland Areas of Eastern Uganda. A case study of Olio Sub-county in Soroti District</b:Title>
    <b:JournalName>Journal of Applied Sciences and Environmental Management</b:JournalName>
    <b:Year>2011</b:Year>
    <b:DOI>DOI: 10.4314/jasem.v14i4.63280</b:DOI>
    <b:RefOrder>47</b:RefOrder>
  </b:Source>
  <b:Source>
    <b:Tag>Don21</b:Tag>
    <b:SourceType>JournalArticle</b:SourceType>
    <b:Guid>{BF1BA715-5544-45D9-99B7-DCE56B95E8D1}</b:Guid>
    <b:Author>
      <b:Author>
        <b:NameList>
          <b:Person>
            <b:Last>Dong</b:Last>
            <b:First>Suocheng</b:First>
          </b:Person>
          <b:Person>
            <b:Last>Li</b:Last>
            <b:First>Yijia</b:First>
          </b:Person>
          <b:Person>
            <b:Last>Li1</b:Last>
            <b:First>Yu</b:First>
          </b:Person>
          <b:Person>
            <b:Last>Li</b:Last>
            <b:First>Shifeng</b:First>
          </b:Person>
        </b:NameList>
      </b:Author>
    </b:Author>
    <b:Title>Spatiotemporal Patterns and Drivers of Land Use and Land Cover Change in the China-Mongolia-Russia Economic Corridor</b:Title>
    <b:Year>2021</b:Year>
    <b:JournalName>Environment Studies</b:JournalName>
    <b:Pages>2527-2541</b:Pages>
    <b:RefOrder>48</b:RefOrder>
  </b:Source>
  <b:Source>
    <b:Tag>Bos17</b:Tag>
    <b:SourceType>JournalArticle</b:SourceType>
    <b:Guid>{152D9531-403B-44E9-8ABA-14F271958B57}</b:Guid>
    <b:Author>
      <b:Author>
        <b:NameList>
          <b:Person>
            <b:Last>Boscow Okumu</b:Last>
            <b:First>Edwin</b:First>
            <b:Middle>Muchapondwa</b:Middle>
          </b:Person>
        </b:NameList>
      </b:Author>
    </b:Author>
    <b:Title>Determinants of Successful Collective Management of Forest Resources: Evidence from Kenyan Community Forest</b:Title>
    <b:JournalName>Environment for Development</b:JournalName>
    <b:Year>2017</b:Year>
    <b:RefOrder>11</b:RefOrder>
  </b:Source>
  <b:Source>
    <b:Tag>Ama19</b:Tag>
    <b:SourceType>JournalArticle</b:SourceType>
    <b:Guid>{DF950810-DC4F-4275-9658-3FD39838C530}</b:Guid>
    <b:Author>
      <b:Author>
        <b:NameList>
          <b:Person>
            <b:Last>Amanuel</b:Last>
            <b:First>Wondimagegn</b:First>
          </b:Person>
          <b:Person>
            <b:Last>Tesfaye</b:Last>
            <b:First>Musse</b:First>
          </b:Person>
          <b:Person>
            <b:Last>Worku</b:Last>
            <b:First>Adefires</b:First>
          </b:Person>
          <b:Person>
            <b:Last>Seyoum</b:Last>
            <b:First>Gezahegne</b:First>
          </b:Person>
          <b:Person>
            <b:Last>Mekonnen</b:Last>
            <b:First>Zenebe</b:First>
          </b:Person>
        </b:NameList>
      </b:Author>
    </b:Author>
    <b:Title>The role of dry land forests for climate change adaptation: the case of Liben Woreda, Southern Oromia, Ethiopia</b:Title>
    <b:JournalName>Journal of Ecology and Environment</b:JournalName>
    <b:Year>2019</b:Year>
    <b:Pages>11</b:Pages>
    <b:Volume>43</b:Volume>
    <b:DOI>https://doi.org/10.1186/s41610-019-0109-4</b:DOI>
    <b:RefOrder>49</b:RefOrder>
  </b:Source>
  <b:Source>
    <b:Tag>Lan23</b:Tag>
    <b:SourceType>JournalArticle</b:SourceType>
    <b:Guid>{E3556926-BDB8-40B5-B6A1-B703DD39C564}</b:Guid>
    <b:Title>Land use and land cover change in Manokwari, West Papua Province</b:Title>
    <b:JournalName>Earth and Environmental Science</b:JournalName>
    <b:Year>2023</b:Year>
    <b:DOI>doi:10.1088/1755-1315/1192/1/012045</b:DOI>
    <b:Author>
      <b:Author>
        <b:NameList>
          <b:Person>
            <b:Last>Aipasa</b:Last>
            <b:First>Kesaulija</b:First>
          </b:Person>
          <b:Person>
            <b:Last>Suhardiman</b:Last>
            <b:First>Sumaryono</b:First>
          </b:Person>
        </b:NameList>
      </b:Author>
    </b:Author>
    <b:RefOrder>50</b:RefOrder>
  </b:Source>
  <b:Source>
    <b:Tag>Nik20</b:Tag>
    <b:SourceType>JournalArticle</b:SourceType>
    <b:Guid>{29882DA4-8F0F-4F60-8526-66104D2332D3}</b:Guid>
    <b:Author>
      <b:Author>
        <b:NameList>
          <b:Person>
            <b:Last>Doggart</b:Last>
            <b:First>Nike</b:First>
          </b:Person>
          <b:Person>
            <b:Last>Morgan-Brown</b:Last>
            <b:First>Theron</b:First>
          </b:Person>
          <b:Person>
            <b:Last>Lyimo</b:Last>
            <b:First>Emmanuel</b:First>
          </b:Person>
          <b:Person>
            <b:Last>Mbilinyi</b:Last>
            <b:First>Boniface</b:First>
          </b:Person>
          <b:Person>
            <b:Last>CharlesKMeshack</b:Last>
          </b:Person>
          <b:Person>
            <b:Last>MSallu</b:Last>
            <b:First>Susannah</b:First>
          </b:Person>
          <b:Person>
            <b:Last>Spracklen</b:Last>
            <b:First>Dominick</b:First>
          </b:Person>
        </b:NameList>
      </b:Author>
    </b:Author>
    <b:Title>Agriculture is the main driver of deforestation in Tanzania</b:Title>
    <b:JournalName>Environmental Research Letter</b:JournalName>
    <b:Year>2020</b:Year>
    <b:Pages>1</b:Pages>
    <b:DOI>https://doi.org/10.1088/1748-9326/ab6b35</b:DOI>
    <b:RefOrder>15</b:RefOrder>
  </b:Source>
  <b:Source>
    <b:Tag>Mik23</b:Tag>
    <b:SourceType>InternetSite</b:SourceType>
    <b:Guid>{64064267-2EC7-48E1-9F37-9C93E573BC89}</b:Guid>
    <b:Author>
      <b:Author>
        <b:NameList>
          <b:Person>
            <b:Last>Waisse</b:Last>
            <b:First>Mikaela</b:First>
          </b:Person>
          <b:Person>
            <b:Last>Goldman</b:Last>
            <b:First>Elizabeth</b:First>
          </b:Person>
          <b:Person>
            <b:Last>Carter</b:Last>
            <b:First>Sarah</b:First>
          </b:Person>
        </b:NameList>
      </b:Author>
    </b:Author>
    <b:Title>Word Resource Institute</b:Title>
    <b:InternetSiteTitle>Research.wri.org</b:InternetSiteTitle>
    <b:Year>2023</b:Year>
    <b:Month>8</b:Month>
    <b:Day>29</b:Day>
    <b:URL>http://Research.wri.org</b:URL>
    <b:RefOrder>19</b:RefOrder>
  </b:Source>
  <b:Source>
    <b:Tag>Edw22</b:Tag>
    <b:SourceType>JournalArticle</b:SourceType>
    <b:Guid>{F1F9CD88-47AA-46F8-8EE0-209DC5E923B9}</b:Guid>
    <b:Title>Sustainable Approaches For Community Involvement In The Conservation And Management Of Dryland Forest And Their Biodiversity, A Case Of Kijege Forest, Tharaka Nithi County, Kenya</b:Title>
    <b:Year>2022</b:Year>
    <b:Author>
      <b:Author>
        <b:NameList>
          <b:Person>
            <b:Last>Kiria</b:Last>
            <b:First>Edwin</b:First>
          </b:Person>
          <b:Person>
            <b:Last>Onundo</b:Last>
            <b:First>Keith</b:First>
          </b:Person>
        </b:NameList>
      </b:Author>
    </b:Author>
    <b:JournalName>International Journal of Agriculture, Environment and Bioresearch</b:JournalName>
    <b:Pages>2</b:Pages>
    <b:RefOrder>22</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2</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3</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4</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5</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6</b:RefOrder>
  </b:Source>
</b:Sources>
</file>

<file path=customXml/itemProps1.xml><?xml version="1.0" encoding="utf-8"?>
<ds:datastoreItem xmlns:ds="http://schemas.openxmlformats.org/officeDocument/2006/customXml" ds:itemID="{14425184-87AF-4891-8A10-D013EBAC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224</TotalTime>
  <Pages>10</Pages>
  <Words>5141</Words>
  <Characters>29305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34378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30</cp:revision>
  <cp:lastPrinted>1999-07-06T11:00:00Z</cp:lastPrinted>
  <dcterms:created xsi:type="dcterms:W3CDTF">2025-07-10T17:37:00Z</dcterms:created>
  <dcterms:modified xsi:type="dcterms:W3CDTF">2025-07-17T09:04:00Z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0c6c1984-332e-4219-aa54-3ca5ab83f7bb</vt:lpwstr>
  </property>
</Properties>
</file>