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C63C22" w:rsidP="00441B6F">
      <w:pPr>
        <w:pStyle w:val="Title"/>
        <w:spacing w:after="0"/>
        <w:jc w:val="both"/>
        <w:rPr>
          <w:rFonts w:ascii="Arial" w:hAnsi="Arial" w:cs="Arial"/>
        </w:rPr>
      </w:pPr>
      <w:r w:rsidRPr="00C63C22">
        <w:rPr>
          <w:rFonts w:ascii="Arial" w:hAnsi="Arial" w:cs="Arial"/>
          <w:bCs/>
          <w:i/>
          <w:iCs/>
          <w:u w:val="single"/>
        </w:rPr>
        <w:t>Original Research Article</w:t>
      </w:r>
    </w:p>
    <w:p w:rsidR="00241E3A" w:rsidRPr="00241E3A" w:rsidRDefault="00241E3A" w:rsidP="00241E3A">
      <w:pPr>
        <w:pStyle w:val="Heading3"/>
        <w:jc w:val="right"/>
        <w:rPr>
          <w:rFonts w:ascii="Arial" w:hAnsi="Arial" w:cs="Arial"/>
          <w:i/>
          <w:color w:val="000000" w:themeColor="text1"/>
          <w:sz w:val="36"/>
          <w:szCs w:val="36"/>
        </w:rPr>
      </w:pPr>
      <w:r w:rsidRPr="00241E3A">
        <w:rPr>
          <w:rStyle w:val="Emphasis"/>
          <w:rFonts w:ascii="Arial" w:hAnsi="Arial" w:cs="Arial"/>
          <w:color w:val="000000" w:themeColor="text1"/>
          <w:sz w:val="36"/>
          <w:szCs w:val="36"/>
        </w:rPr>
        <w:t xml:space="preserve">THE PRICE OF NUTRITION: CAN HOUSEHOLD FOOD BUDGETS </w:t>
      </w:r>
      <w:r w:rsidR="009541FD">
        <w:rPr>
          <w:rStyle w:val="Emphasis"/>
          <w:rFonts w:ascii="Arial" w:hAnsi="Arial" w:cs="Arial"/>
          <w:color w:val="000000" w:themeColor="text1"/>
          <w:sz w:val="36"/>
          <w:szCs w:val="36"/>
        </w:rPr>
        <w:t xml:space="preserve">SUPPORT </w:t>
      </w:r>
      <w:r w:rsidRPr="00241E3A">
        <w:rPr>
          <w:rStyle w:val="Emphasis"/>
          <w:rFonts w:ascii="Arial" w:hAnsi="Arial" w:cs="Arial"/>
          <w:color w:val="000000" w:themeColor="text1"/>
          <w:sz w:val="36"/>
          <w:szCs w:val="36"/>
        </w:rPr>
        <w:t>A HEALTHY DIET?</w:t>
      </w:r>
    </w:p>
    <w:p w:rsidR="00A258C3" w:rsidRPr="00790ADA" w:rsidRDefault="00A258C3" w:rsidP="00441B6F">
      <w:pPr>
        <w:pStyle w:val="Author"/>
        <w:spacing w:line="240" w:lineRule="auto"/>
        <w:jc w:val="both"/>
        <w:rPr>
          <w:rFonts w:ascii="Arial" w:hAnsi="Arial" w:cs="Arial"/>
          <w:sz w:val="36"/>
        </w:rPr>
      </w:pPr>
    </w:p>
    <w:p w:rsidR="00B01FCD" w:rsidRPr="00FB3A86" w:rsidRDefault="00247432" w:rsidP="00441B6F">
      <w:pPr>
        <w:pStyle w:val="Copyright"/>
        <w:spacing w:after="0" w:line="240" w:lineRule="auto"/>
        <w:jc w:val="both"/>
        <w:rPr>
          <w:rFonts w:ascii="Arial" w:hAnsi="Arial" w:cs="Arial"/>
        </w:rPr>
        <w:sectPr w:rsidR="00B01FCD" w:rsidRPr="00FB3A86" w:rsidSect="00CC24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9"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F17D8F">
      <w:pPr>
        <w:pStyle w:val="AbstHead"/>
        <w:spacing w:after="0"/>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B50F75" w:rsidRPr="00505A2D" w:rsidRDefault="00B50F75" w:rsidP="00505A2D">
            <w:pPr>
              <w:pStyle w:val="Body"/>
              <w:spacing w:after="0"/>
              <w:rPr>
                <w:rFonts w:ascii="Arial" w:hAnsi="Arial" w:cs="Arial"/>
              </w:rPr>
            </w:pPr>
            <w:r w:rsidRPr="00505A2D">
              <w:rPr>
                <w:rFonts w:ascii="Arial" w:eastAsia="Calibri" w:hAnsi="Arial" w:cs="Arial"/>
                <w:b/>
              </w:rPr>
              <w:t xml:space="preserve">Background: </w:t>
            </w:r>
            <w:r w:rsidRPr="00505A2D">
              <w:rPr>
                <w:rFonts w:ascii="Arial" w:hAnsi="Arial" w:cs="Arial"/>
              </w:rPr>
              <w:t xml:space="preserve">Access to nutritious food remains a major public health challenge in urban low- and middle-income settings, where economic barriers limit dietary adequacy. Despite growing awareness about nutrition, many households continue to consume energy-dense but nutrient-poor diets due to price constraints and limited affordability. </w:t>
            </w:r>
          </w:p>
          <w:p w:rsidR="00F17D8F" w:rsidRPr="00505A2D" w:rsidRDefault="00BA1B01" w:rsidP="00505A2D">
            <w:pPr>
              <w:pStyle w:val="Body"/>
              <w:spacing w:after="0"/>
              <w:rPr>
                <w:rFonts w:ascii="Arial" w:eastAsia="Calibri" w:hAnsi="Arial" w:cs="Arial"/>
              </w:rPr>
            </w:pPr>
            <w:r w:rsidRPr="00505A2D">
              <w:rPr>
                <w:rFonts w:ascii="Arial" w:eastAsia="Calibri" w:hAnsi="Arial" w:cs="Arial"/>
                <w:b/>
              </w:rPr>
              <w:t>Aims:</w:t>
            </w:r>
            <w:r w:rsidR="00F17D8F" w:rsidRPr="00505A2D">
              <w:rPr>
                <w:rFonts w:ascii="Arial" w:hAnsi="Arial" w:cs="Arial"/>
              </w:rPr>
              <w:t xml:space="preserve"> To assess whether</w:t>
            </w:r>
            <w:r w:rsidR="00B50F75" w:rsidRPr="00505A2D">
              <w:rPr>
                <w:rFonts w:ascii="Arial" w:hAnsi="Arial" w:cs="Arial"/>
              </w:rPr>
              <w:t xml:space="preserve"> household food budgets are sufficient to support a balanced diet in </w:t>
            </w:r>
            <w:r w:rsidR="00F17D8F" w:rsidRPr="00505A2D">
              <w:rPr>
                <w:rFonts w:ascii="Arial" w:hAnsi="Arial" w:cs="Arial"/>
              </w:rPr>
              <w:t>low- and middle-income households in Kolkata using the Cost of the Diet (CotD) analysis.</w:t>
            </w:r>
          </w:p>
          <w:p w:rsidR="00F17D8F" w:rsidRPr="00505A2D" w:rsidRDefault="00BA1B01" w:rsidP="00505A2D">
            <w:pPr>
              <w:pStyle w:val="Body"/>
              <w:spacing w:after="0"/>
              <w:rPr>
                <w:rFonts w:ascii="Arial" w:eastAsia="Calibri" w:hAnsi="Arial" w:cs="Arial"/>
              </w:rPr>
            </w:pPr>
            <w:r w:rsidRPr="00505A2D">
              <w:rPr>
                <w:rFonts w:ascii="Arial" w:eastAsia="Calibri" w:hAnsi="Arial" w:cs="Arial"/>
                <w:b/>
                <w:bCs/>
              </w:rPr>
              <w:t>Methodology:</w:t>
            </w:r>
            <w:r w:rsidR="00F17D8F" w:rsidRPr="00505A2D">
              <w:rPr>
                <w:rFonts w:ascii="Arial" w:hAnsi="Arial" w:cs="Arial"/>
              </w:rPr>
              <w:t xml:space="preserve"> </w:t>
            </w:r>
            <w:r w:rsidR="00B50F75" w:rsidRPr="00505A2D">
              <w:rPr>
                <w:rFonts w:ascii="Arial" w:hAnsi="Arial" w:cs="Arial"/>
              </w:rPr>
              <w:t xml:space="preserve">A convergent mixed-method approach was employed, combining a cross-sectional household survey with embedded qualitative interviews. The study was conducted in Khidirpur, Kolkata over a two-month period from February to March 2025. Seventy households were purposively selected, and data were collected using a structured questionnaire that captured income, food expenditure, household size, and frequency of food group consumption. Qualitative questions assessed perceptions of diet quality, affordability, and openness to nutrition interventions. A market survey was conducted to record local food prices for 65 commonly consumed items. These prices were analyzed using the </w:t>
            </w:r>
            <w:r w:rsidR="00B50F75" w:rsidRPr="00505A2D">
              <w:rPr>
                <w:rStyle w:val="Strong"/>
                <w:rFonts w:ascii="Arial" w:hAnsi="Arial" w:cs="Arial"/>
                <w:b w:val="0"/>
              </w:rPr>
              <w:t>Cost of the Diet (CotD)</w:t>
            </w:r>
            <w:r w:rsidR="00B50F75" w:rsidRPr="00505A2D">
              <w:rPr>
                <w:rFonts w:ascii="Arial" w:hAnsi="Arial" w:cs="Arial"/>
              </w:rPr>
              <w:t xml:space="preserve"> software developed by Save the Children to model the minimum cost of four diet types based on nutritional adequacy. Food expenditure was then compared with modeled costs to determine affordability. The affordability ratio and affordability gap were derived for each household using descriptive analysis.</w:t>
            </w:r>
            <w:r w:rsidR="00505A2D" w:rsidRPr="00505A2D">
              <w:rPr>
                <w:rFonts w:ascii="Arial" w:hAnsi="Arial" w:cs="Arial"/>
              </w:rPr>
              <w:t xml:space="preserve"> Variables assessed included total income (independent), household size, and affordability gap (dependent). Descriptive analysis was conducted in Microsoft Excel. No formal inferential tests were performed.</w:t>
            </w:r>
          </w:p>
          <w:p w:rsidR="00F17D8F" w:rsidRPr="00505A2D" w:rsidRDefault="00BA1B01" w:rsidP="00505A2D">
            <w:pPr>
              <w:pStyle w:val="Body"/>
              <w:spacing w:after="0"/>
              <w:rPr>
                <w:rFonts w:ascii="Arial" w:hAnsi="Arial" w:cs="Arial"/>
              </w:rPr>
            </w:pPr>
            <w:r w:rsidRPr="00505A2D">
              <w:rPr>
                <w:rFonts w:ascii="Arial" w:eastAsia="Calibri" w:hAnsi="Arial" w:cs="Arial"/>
                <w:b/>
                <w:bCs/>
              </w:rPr>
              <w:t>Results:</w:t>
            </w:r>
            <w:r w:rsidR="00F17D8F" w:rsidRPr="00505A2D">
              <w:rPr>
                <w:rFonts w:ascii="Arial" w:hAnsi="Arial" w:cs="Arial"/>
              </w:rPr>
              <w:t xml:space="preserve"> The average household spent ₹5,535</w:t>
            </w:r>
            <w:r w:rsidR="00505A2D" w:rsidRPr="00505A2D">
              <w:rPr>
                <w:rFonts w:ascii="Arial" w:hAnsi="Arial" w:cs="Arial"/>
              </w:rPr>
              <w:t xml:space="preserve"> (USD 66.61)</w:t>
            </w:r>
            <w:r w:rsidR="00F17D8F" w:rsidRPr="00505A2D">
              <w:rPr>
                <w:rFonts w:ascii="Arial" w:hAnsi="Arial" w:cs="Arial"/>
              </w:rPr>
              <w:t>/month on food. CotD analysis revealed the minimum cost of a nutritious diet for a 5-member household was ₹6,866</w:t>
            </w:r>
            <w:r w:rsidR="00505A2D" w:rsidRPr="00505A2D">
              <w:rPr>
                <w:rFonts w:ascii="Arial" w:hAnsi="Arial" w:cs="Arial"/>
              </w:rPr>
              <w:t xml:space="preserve"> (USD 82.64)</w:t>
            </w:r>
            <w:r w:rsidR="00F17D8F" w:rsidRPr="00505A2D">
              <w:rPr>
                <w:rFonts w:ascii="Arial" w:hAnsi="Arial" w:cs="Arial"/>
              </w:rPr>
              <w:t>—representing 33.28% of monthly income, which exceeds average food budgets. Most households consumed cereals daily but had inadequate intake of fruits, vegetables, and proteins. Major barriers included high cost of nutritious foods (64.3%) and limited availability. A majority (82.9%) expressed interest in low-cost nutritious meal plans.</w:t>
            </w:r>
          </w:p>
          <w:p w:rsidR="00505F06" w:rsidRPr="00BA1B01" w:rsidRDefault="00BA1B01" w:rsidP="00505A2D">
            <w:pPr>
              <w:pStyle w:val="Body"/>
              <w:spacing w:after="0"/>
              <w:rPr>
                <w:rFonts w:ascii="Arial" w:eastAsia="Calibri" w:hAnsi="Arial" w:cs="Arial"/>
                <w:szCs w:val="22"/>
              </w:rPr>
            </w:pPr>
            <w:r w:rsidRPr="00505A2D">
              <w:rPr>
                <w:rFonts w:ascii="Arial" w:eastAsia="Calibri" w:hAnsi="Arial" w:cs="Arial"/>
                <w:b/>
                <w:bCs/>
              </w:rPr>
              <w:t>Conclusion:</w:t>
            </w:r>
            <w:r w:rsidR="00241E3A" w:rsidRPr="00505A2D">
              <w:rPr>
                <w:rFonts w:ascii="Arial" w:hAnsi="Arial" w:cs="Arial"/>
              </w:rPr>
              <w:t>The cost of a balanced diet often exceeds household food budgets, leading families to rely on cheaper, nutrient-poor diets. These findings emphasize the need for targeted food subsidies, nutrition education, and policy-level interventions to improve affordability and ensure dietary adequacy.</w:t>
            </w:r>
          </w:p>
        </w:tc>
      </w:tr>
    </w:tbl>
    <w:p w:rsidR="00636EB2" w:rsidRDefault="00636EB2" w:rsidP="00441B6F">
      <w:pPr>
        <w:pStyle w:val="Body"/>
        <w:spacing w:after="0"/>
        <w:rPr>
          <w:rFonts w:ascii="Arial" w:hAnsi="Arial" w:cs="Arial"/>
          <w:i/>
        </w:rPr>
      </w:pPr>
    </w:p>
    <w:p w:rsidR="009630C1" w:rsidRDefault="00A24E7E" w:rsidP="009630C1">
      <w:pPr>
        <w:pStyle w:val="Body"/>
        <w:spacing w:after="0"/>
        <w:rPr>
          <w:rFonts w:ascii="Arial" w:hAnsi="Arial" w:cs="Arial"/>
          <w:b/>
          <w:i/>
          <w:sz w:val="18"/>
        </w:rPr>
      </w:pPr>
      <w:r>
        <w:rPr>
          <w:rFonts w:ascii="Arial" w:hAnsi="Arial" w:cs="Arial"/>
          <w:i/>
        </w:rPr>
        <w:t xml:space="preserve">Keywords: </w:t>
      </w:r>
      <w:r w:rsidR="009630C1" w:rsidRPr="009630C1">
        <w:rPr>
          <w:rFonts w:ascii="Arial" w:hAnsi="Arial" w:cs="Arial"/>
          <w:i/>
        </w:rPr>
        <w:t xml:space="preserve">Food </w:t>
      </w:r>
      <w:r w:rsidR="001155E2" w:rsidRPr="009630C1">
        <w:rPr>
          <w:rFonts w:ascii="Arial" w:hAnsi="Arial" w:cs="Arial"/>
          <w:i/>
        </w:rPr>
        <w:t>affordability</w:t>
      </w:r>
      <w:r w:rsidR="009630C1" w:rsidRPr="009630C1">
        <w:rPr>
          <w:rFonts w:ascii="Arial" w:hAnsi="Arial" w:cs="Arial"/>
          <w:i/>
        </w:rPr>
        <w:t xml:space="preserve"> Cost of the Diet (CotD), nutritional adequacy, food security, malnutrition, public health, economic constraints.</w:t>
      </w:r>
    </w:p>
    <w:p w:rsidR="009630C1" w:rsidRDefault="009630C1" w:rsidP="00441B6F">
      <w:pPr>
        <w:pStyle w:val="AbstHead"/>
        <w:spacing w:after="0"/>
        <w:jc w:val="both"/>
        <w:rPr>
          <w:rFonts w:ascii="Arial" w:hAnsi="Arial" w:cs="Arial"/>
        </w:rPr>
      </w:pPr>
    </w:p>
    <w:p w:rsidR="007F7B32" w:rsidRDefault="00B01FCD" w:rsidP="005F24AA">
      <w:pPr>
        <w:pStyle w:val="AbstHead"/>
        <w:spacing w:after="0"/>
        <w:jc w:val="both"/>
        <w:rPr>
          <w:rFonts w:ascii="Arial" w:hAnsi="Arial" w:cs="Arial"/>
        </w:rPr>
      </w:pPr>
      <w:r w:rsidRPr="00FB3A86">
        <w:rPr>
          <w:rFonts w:ascii="Arial" w:hAnsi="Arial" w:cs="Arial"/>
        </w:rPr>
        <w:t>INTRODUCTION</w:t>
      </w:r>
    </w:p>
    <w:p w:rsidR="005F24AA" w:rsidRDefault="005F24AA" w:rsidP="005F24AA">
      <w:pPr>
        <w:pStyle w:val="AbstHead"/>
        <w:spacing w:after="0"/>
        <w:ind w:left="720"/>
        <w:jc w:val="both"/>
        <w:rPr>
          <w:rFonts w:ascii="Arial" w:hAnsi="Arial" w:cs="Arial"/>
        </w:rPr>
      </w:pPr>
    </w:p>
    <w:p w:rsidR="00785046" w:rsidRDefault="00785046" w:rsidP="00273B77">
      <w:pPr>
        <w:jc w:val="both"/>
      </w:pPr>
      <w:r w:rsidRPr="00785046">
        <w:rPr>
          <w:rFonts w:ascii="Arial" w:hAnsi="Arial" w:cs="Arial"/>
        </w:rPr>
        <w:t xml:space="preserve">Access to a nutritionally adequate diet is essential for physical development, disease prevention, cognitive performance, and economic productivity. However, the affordability of healthy diets remains a major global concern, especially for low- and middle-income populations (Barosh et al., 2014; Darmon &amp; Drewnowski, 2015). </w:t>
      </w:r>
      <w:r w:rsidR="00C67625">
        <w:t xml:space="preserve">In India, where food expenditure accounts for over 40% of total household budgets among lower-income groups </w:t>
      </w:r>
      <w:r w:rsidR="00C67625">
        <w:lastRenderedPageBreak/>
        <w:t>(Gupta et al., 2020), dietary diversity is frequently compromised by rising food prices, income volatility, and limited access to affordable nutrient-dense foods (Kachwaha et al., 2020).</w:t>
      </w:r>
    </w:p>
    <w:p w:rsidR="00C67625" w:rsidRDefault="00C67625" w:rsidP="00273B77">
      <w:pPr>
        <w:jc w:val="both"/>
      </w:pPr>
    </w:p>
    <w:p w:rsidR="00C67625" w:rsidRPr="00785046" w:rsidRDefault="00C67625" w:rsidP="00273B77">
      <w:pPr>
        <w:jc w:val="both"/>
        <w:rPr>
          <w:rFonts w:ascii="Arial" w:hAnsi="Arial" w:cs="Arial"/>
        </w:rPr>
      </w:pPr>
      <w:r>
        <w:t>Recent national estimates reflect the severity of the problem. The NFHS-5 reported that 35.5% of Indian children under the age of five are stunted, 32.1% are underweight, and 57.2% of women aged 15–49 are anaemic. These figures highlight a persistent nutrition crisis despite improvements in food production and policy interventions. Evidence shows that households with lower socioeconomic status consume significantly fewer animal-source proteins, fruits, and dairy products, instead depending on low-cost cereals and starch-based foods to meet daily energy requirements (Raghunathan et al., 2021a; Gupta et al., 2021). A study by Jahan, Mahbub, and Ahmed (2019) in Bangladesh similarly reported that 78.5% of pregnant women from low-income urban households experienced moderate to severe food insecurity, strongly associated with insufficient dietary intake of protein and micronutrients.</w:t>
      </w:r>
    </w:p>
    <w:p w:rsidR="00785046" w:rsidRDefault="00785046" w:rsidP="00785046">
      <w:pPr>
        <w:pStyle w:val="NormalWeb"/>
        <w:jc w:val="both"/>
        <w:rPr>
          <w:rFonts w:ascii="Arial" w:hAnsi="Arial" w:cs="Arial"/>
          <w:sz w:val="20"/>
          <w:szCs w:val="20"/>
        </w:rPr>
      </w:pPr>
      <w:r w:rsidRPr="00785046">
        <w:rPr>
          <w:rFonts w:ascii="Arial" w:hAnsi="Arial" w:cs="Arial"/>
          <w:sz w:val="20"/>
          <w:szCs w:val="20"/>
        </w:rPr>
        <w:t>The Cost of the Diet (CotD) tool, developed by Save the Children, provides a standardized approach to estimate the minimum cost of a culturally acceptable and nutritionally adequate diet using locally available foods (Deptford et al., 2017a</w:t>
      </w:r>
      <w:r w:rsidRPr="00C67625">
        <w:rPr>
          <w:rFonts w:ascii="Arial" w:hAnsi="Arial" w:cs="Arial"/>
          <w:sz w:val="20"/>
          <w:szCs w:val="20"/>
        </w:rPr>
        <w:t>).</w:t>
      </w:r>
      <w:r w:rsidR="00C67625" w:rsidRPr="00C67625">
        <w:rPr>
          <w:rFonts w:ascii="Arial" w:hAnsi="Arial" w:cs="Arial"/>
          <w:sz w:val="20"/>
          <w:szCs w:val="20"/>
        </w:rPr>
        <w:t xml:space="preserve"> In India, a notable study using CotD in Uttar Pradesh found that the cost of a fully nutritious diet for a household of five was approximately ₹8,260 per month. This cost exceeded actual food expenditure in 84% of surveyed households, with the affordability gap being more than 50% of income for the poorest groups (Kachwaha et al., 2020).</w:t>
      </w:r>
      <w:r w:rsidRPr="00785046">
        <w:rPr>
          <w:rFonts w:ascii="Arial" w:hAnsi="Arial" w:cs="Arial"/>
          <w:sz w:val="20"/>
          <w:szCs w:val="20"/>
        </w:rPr>
        <w:t xml:space="preserve"> Importantly, affordability is not merely a question of economic cost, but also of physical access and market availability. The Tasmanian Healthy Food Access Basket (HFAB) Survey (2014) highlighted that households in economically vulnerable regions often encounter compounded challenges of both high prices and limited availability of healthy </w:t>
      </w:r>
      <w:r w:rsidR="00A36E88" w:rsidRPr="00785046">
        <w:rPr>
          <w:rFonts w:ascii="Arial" w:hAnsi="Arial" w:cs="Arial"/>
          <w:sz w:val="20"/>
          <w:szCs w:val="20"/>
        </w:rPr>
        <w:t>food. Under</w:t>
      </w:r>
      <w:r w:rsidRPr="00785046">
        <w:rPr>
          <w:rFonts w:ascii="Arial" w:hAnsi="Arial" w:cs="Arial"/>
          <w:sz w:val="20"/>
          <w:szCs w:val="20"/>
        </w:rPr>
        <w:t xml:space="preserve"> nutrition and diet-related deficiencies continue to have long-term consequences. Poor diets contribute to stunting, weakened immunity, lower educational outcomes, increased susceptibility to chronic diseases, and reduced productivity (Mahapatra, 2021; Ruel &amp; Alderman, 2013a). These nutritional deficits ultimately impair national development by straining healthcare systems and reducing human capital (Ford et al., 2017; James et al., 1997; Webb, 2010).</w:t>
      </w:r>
    </w:p>
    <w:p w:rsidR="00C67625" w:rsidRPr="00C67625" w:rsidRDefault="00C67625" w:rsidP="00785046">
      <w:pPr>
        <w:pStyle w:val="NormalWeb"/>
        <w:jc w:val="both"/>
        <w:rPr>
          <w:rFonts w:ascii="Arial" w:hAnsi="Arial" w:cs="Arial"/>
          <w:sz w:val="20"/>
          <w:szCs w:val="20"/>
        </w:rPr>
      </w:pPr>
      <w:r w:rsidRPr="00C67625">
        <w:rPr>
          <w:rFonts w:ascii="Arial" w:hAnsi="Arial" w:cs="Arial"/>
          <w:sz w:val="20"/>
          <w:szCs w:val="20"/>
        </w:rPr>
        <w:t>Khidirpur, located in southwestern Kolkata, was selected as the study site due to its high population density, socio-economic heterogeneity, and vulnerability to food insecurity. The locality includes large clusters of low- and middle-income households residing in rental tenements, slums, and subsidized housing. A significant proportion of residents rely on informal sector employment, including small-scale retail, daily wage labor, and port-related services, which makes their monthly income volatile and insufficient for stable food access. Despite the presence of markets and ration shops, food choices are heavily influenced by affordability rather than nutritional value. Dietary patterns observed in the area are cereal-dominated with poor protein and micronutrient intake, a trend also reflected in informal interviews and local community health data. These factors make Khidirpur an appropriate microcosm to study the affordability of balanced diets in rapidly urbanizing Indian contexts, where food security is increasingly shaped by structural economic limitations rather than availability alone.</w:t>
      </w:r>
    </w:p>
    <w:p w:rsidR="00785046" w:rsidRPr="00785046" w:rsidRDefault="00785046" w:rsidP="00785046">
      <w:pPr>
        <w:pStyle w:val="NormalWeb"/>
        <w:jc w:val="both"/>
        <w:rPr>
          <w:rFonts w:ascii="Arial" w:hAnsi="Arial" w:cs="Arial"/>
          <w:sz w:val="20"/>
          <w:szCs w:val="20"/>
        </w:rPr>
      </w:pPr>
      <w:r w:rsidRPr="00785046">
        <w:rPr>
          <w:rFonts w:ascii="Arial" w:hAnsi="Arial" w:cs="Arial"/>
          <w:sz w:val="20"/>
          <w:szCs w:val="20"/>
        </w:rPr>
        <w:t>Given these concerns, the present study applies the CotD analysis to low- and middle-income households in the Khidirpore locality of Kolkata. The research aims to evaluate food affordability in relation to household income, identify nutritional gaps, and explore the barriers households face in accessing a healthy diet. Findings are expected to inform food policy by highlighting the importance of targeted subsidies, nutrition-sensitive agricultural interventions, and cost-effective public nutrition strategies.</w:t>
      </w:r>
    </w:p>
    <w:p w:rsidR="002A1BA9" w:rsidRDefault="002A1BA9" w:rsidP="002A1BA9">
      <w:pPr>
        <w:pStyle w:val="AbstHead"/>
        <w:jc w:val="both"/>
        <w:rPr>
          <w:rFonts w:ascii="Arial" w:hAnsi="Arial" w:cs="Arial"/>
        </w:rPr>
      </w:pPr>
      <w:r w:rsidRPr="002A1BA9">
        <w:rPr>
          <w:rFonts w:ascii="Arial" w:hAnsi="Arial" w:cs="Arial"/>
        </w:rPr>
        <w:lastRenderedPageBreak/>
        <w:t xml:space="preserve"> MATERIAL AND METHODS </w:t>
      </w:r>
    </w:p>
    <w:p w:rsidR="002A0B77" w:rsidRDefault="00A36E88" w:rsidP="002A0B77">
      <w:pPr>
        <w:spacing w:before="100" w:beforeAutospacing="1" w:after="100" w:afterAutospacing="1"/>
        <w:jc w:val="both"/>
        <w:rPr>
          <w:rFonts w:ascii="Arial" w:hAnsi="Arial" w:cs="Arial"/>
          <w:b/>
          <w:bCs/>
        </w:rPr>
      </w:pPr>
      <w:r w:rsidRPr="002A0B77">
        <w:rPr>
          <w:rFonts w:ascii="Arial" w:hAnsi="Arial" w:cs="Arial"/>
          <w:b/>
          <w:bCs/>
        </w:rPr>
        <w:t>Study Design and Duration</w:t>
      </w:r>
    </w:p>
    <w:p w:rsidR="00A36E88" w:rsidRPr="00A36E88" w:rsidRDefault="00A36E88" w:rsidP="002A0B77">
      <w:pPr>
        <w:spacing w:before="100" w:beforeAutospacing="1" w:after="100" w:afterAutospacing="1"/>
        <w:jc w:val="both"/>
        <w:rPr>
          <w:rFonts w:ascii="Arial" w:hAnsi="Arial" w:cs="Arial"/>
          <w:b/>
          <w:bCs/>
        </w:rPr>
      </w:pPr>
      <w:r w:rsidRPr="00A36E88">
        <w:rPr>
          <w:rFonts w:ascii="Arial" w:hAnsi="Arial" w:cs="Arial"/>
        </w:rPr>
        <w:br/>
        <w:t xml:space="preserve">This study used a </w:t>
      </w:r>
      <w:r w:rsidRPr="002A0B77">
        <w:rPr>
          <w:rFonts w:ascii="Arial" w:hAnsi="Arial" w:cs="Arial"/>
          <w:b/>
          <w:bCs/>
        </w:rPr>
        <w:t>convergent parallel mixed-methods design</w:t>
      </w:r>
      <w:r w:rsidRPr="00A36E88">
        <w:rPr>
          <w:rFonts w:ascii="Arial" w:hAnsi="Arial" w:cs="Arial"/>
        </w:rPr>
        <w:t xml:space="preserve">, where quantitative and qualitative data were collected concurrently and analyzed separately before being integrated during interpretation. This approach enabled both numerical estimation and contextual understanding of the affordability of nutritious diets. The research was conducted in </w:t>
      </w:r>
      <w:r w:rsidRPr="002A0B77">
        <w:rPr>
          <w:rFonts w:ascii="Arial" w:hAnsi="Arial" w:cs="Arial"/>
          <w:b/>
          <w:bCs/>
        </w:rPr>
        <w:t>Khidirpur, Kolkata</w:t>
      </w:r>
      <w:r w:rsidRPr="00A36E88">
        <w:rPr>
          <w:rFonts w:ascii="Arial" w:hAnsi="Arial" w:cs="Arial"/>
        </w:rPr>
        <w:t xml:space="preserve">, over a two-month period from </w:t>
      </w:r>
      <w:r w:rsidRPr="002A0B77">
        <w:rPr>
          <w:rFonts w:ascii="Arial" w:hAnsi="Arial" w:cs="Arial"/>
          <w:b/>
          <w:bCs/>
        </w:rPr>
        <w:t>February to March 2025</w:t>
      </w:r>
      <w:r w:rsidRPr="00A36E88">
        <w:rPr>
          <w:rFonts w:ascii="Arial" w:hAnsi="Arial" w:cs="Arial"/>
        </w:rPr>
        <w:t>.</w:t>
      </w:r>
    </w:p>
    <w:p w:rsidR="002A0B77" w:rsidRDefault="00A36E88" w:rsidP="002A0B77">
      <w:pPr>
        <w:spacing w:before="100" w:beforeAutospacing="1" w:after="100" w:afterAutospacing="1"/>
        <w:jc w:val="both"/>
        <w:rPr>
          <w:rFonts w:ascii="Arial" w:hAnsi="Arial" w:cs="Arial"/>
          <w:b/>
          <w:bCs/>
        </w:rPr>
      </w:pPr>
      <w:r w:rsidRPr="002A0B77">
        <w:rPr>
          <w:rFonts w:ascii="Arial" w:hAnsi="Arial" w:cs="Arial"/>
          <w:b/>
          <w:bCs/>
        </w:rPr>
        <w:t>Sampling and Participants</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br/>
        <w:t xml:space="preserve">A total of </w:t>
      </w:r>
      <w:r w:rsidRPr="002A0B77">
        <w:rPr>
          <w:rFonts w:ascii="Arial" w:hAnsi="Arial" w:cs="Arial"/>
          <w:b/>
          <w:bCs/>
        </w:rPr>
        <w:t>70 households</w:t>
      </w:r>
      <w:r w:rsidRPr="00A36E88">
        <w:rPr>
          <w:rFonts w:ascii="Arial" w:hAnsi="Arial" w:cs="Arial"/>
        </w:rPr>
        <w:t xml:space="preserve"> were selected through </w:t>
      </w:r>
      <w:r w:rsidRPr="000C5F15">
        <w:rPr>
          <w:rFonts w:ascii="Arial" w:hAnsi="Arial" w:cs="Arial"/>
          <w:bCs/>
        </w:rPr>
        <w:t>purposive sampling</w:t>
      </w:r>
      <w:r w:rsidRPr="00A36E88">
        <w:rPr>
          <w:rFonts w:ascii="Arial" w:hAnsi="Arial" w:cs="Arial"/>
        </w:rPr>
        <w:t xml:space="preserve"> based on the following inclusion criteria: permanent residency in Khidirpur, a monthly household income of INR ₹10,000–₹25,000, and informed verbal consent. This sample range was chosen to reflect the demographic and economic profile typical of low- and middle-income urban households (NSSO, 2023–24).</w:t>
      </w:r>
    </w:p>
    <w:p w:rsidR="002A0B77" w:rsidRDefault="00A36E88" w:rsidP="002A0B77">
      <w:pPr>
        <w:spacing w:before="100" w:beforeAutospacing="1" w:after="100" w:afterAutospacing="1"/>
        <w:jc w:val="both"/>
        <w:rPr>
          <w:rFonts w:ascii="Arial" w:hAnsi="Arial" w:cs="Arial"/>
          <w:b/>
          <w:bCs/>
        </w:rPr>
      </w:pPr>
      <w:r w:rsidRPr="002A0B77">
        <w:rPr>
          <w:rFonts w:ascii="Arial" w:hAnsi="Arial" w:cs="Arial"/>
          <w:b/>
          <w:bCs/>
        </w:rPr>
        <w:t>Quantitative Data Collection</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br/>
        <w:t xml:space="preserve">Structured questionnaires, adapted from the </w:t>
      </w:r>
      <w:r w:rsidRPr="000C5F15">
        <w:rPr>
          <w:rFonts w:ascii="Arial" w:hAnsi="Arial" w:cs="Arial"/>
          <w:bCs/>
        </w:rPr>
        <w:t>National Sample Survey Office's Household Consumption Expenditure Schedule (2023–24)</w:t>
      </w:r>
      <w:r w:rsidRPr="00A36E88">
        <w:rPr>
          <w:rFonts w:ascii="Arial" w:hAnsi="Arial" w:cs="Arial"/>
        </w:rPr>
        <w:t>, were used to collect data on:</w:t>
      </w:r>
    </w:p>
    <w:p w:rsidR="00A36E88" w:rsidRPr="00A36E88" w:rsidRDefault="00A36E88" w:rsidP="002A0B77">
      <w:pPr>
        <w:numPr>
          <w:ilvl w:val="0"/>
          <w:numId w:val="40"/>
        </w:numPr>
        <w:spacing w:before="100" w:beforeAutospacing="1" w:after="100" w:afterAutospacing="1"/>
        <w:jc w:val="both"/>
        <w:rPr>
          <w:rFonts w:ascii="Arial" w:hAnsi="Arial" w:cs="Arial"/>
        </w:rPr>
      </w:pPr>
      <w:r w:rsidRPr="00A36E88">
        <w:rPr>
          <w:rFonts w:ascii="Arial" w:hAnsi="Arial" w:cs="Arial"/>
        </w:rPr>
        <w:t>Household income and food expenditure</w:t>
      </w:r>
    </w:p>
    <w:p w:rsidR="00A36E88" w:rsidRPr="00A36E88" w:rsidRDefault="00A36E88" w:rsidP="002A0B77">
      <w:pPr>
        <w:numPr>
          <w:ilvl w:val="0"/>
          <w:numId w:val="40"/>
        </w:numPr>
        <w:spacing w:before="100" w:beforeAutospacing="1" w:after="100" w:afterAutospacing="1"/>
        <w:jc w:val="both"/>
        <w:rPr>
          <w:rFonts w:ascii="Arial" w:hAnsi="Arial" w:cs="Arial"/>
        </w:rPr>
      </w:pPr>
      <w:r w:rsidRPr="00A36E88">
        <w:rPr>
          <w:rFonts w:ascii="Arial" w:hAnsi="Arial" w:cs="Arial"/>
        </w:rPr>
        <w:t>Family size and demographic composition</w:t>
      </w:r>
    </w:p>
    <w:p w:rsidR="00A36E88" w:rsidRPr="00A36E88" w:rsidRDefault="00A36E88" w:rsidP="002A0B77">
      <w:pPr>
        <w:numPr>
          <w:ilvl w:val="0"/>
          <w:numId w:val="40"/>
        </w:numPr>
        <w:spacing w:before="100" w:beforeAutospacing="1" w:after="100" w:afterAutospacing="1"/>
        <w:jc w:val="both"/>
        <w:rPr>
          <w:rFonts w:ascii="Arial" w:hAnsi="Arial" w:cs="Arial"/>
        </w:rPr>
      </w:pPr>
      <w:r w:rsidRPr="00A36E88">
        <w:rPr>
          <w:rFonts w:ascii="Arial" w:hAnsi="Arial" w:cs="Arial"/>
        </w:rPr>
        <w:t>Frequency of food group consumption</w:t>
      </w:r>
    </w:p>
    <w:p w:rsidR="00A36E88" w:rsidRPr="00A36E88" w:rsidRDefault="00A36E88" w:rsidP="002A0B77">
      <w:pPr>
        <w:numPr>
          <w:ilvl w:val="0"/>
          <w:numId w:val="40"/>
        </w:numPr>
        <w:spacing w:before="100" w:beforeAutospacing="1" w:after="100" w:afterAutospacing="1"/>
        <w:jc w:val="both"/>
        <w:rPr>
          <w:rFonts w:ascii="Arial" w:hAnsi="Arial" w:cs="Arial"/>
        </w:rPr>
      </w:pPr>
      <w:r w:rsidRPr="00A36E88">
        <w:rPr>
          <w:rFonts w:ascii="Arial" w:hAnsi="Arial" w:cs="Arial"/>
        </w:rPr>
        <w:t>Primary purchasing sources and food access behavior</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t xml:space="preserve">Responses were numerically coded and analyzed using </w:t>
      </w:r>
      <w:r w:rsidRPr="000C5F15">
        <w:rPr>
          <w:rFonts w:ascii="Arial" w:hAnsi="Arial" w:cs="Arial"/>
          <w:bCs/>
        </w:rPr>
        <w:t>Microsoft Excel</w:t>
      </w:r>
      <w:r w:rsidR="00A82296">
        <w:rPr>
          <w:rFonts w:ascii="Arial" w:hAnsi="Arial" w:cs="Arial"/>
          <w:b/>
          <w:bCs/>
        </w:rPr>
        <w:t xml:space="preserve"> </w:t>
      </w:r>
      <w:r w:rsidRPr="00A36E88">
        <w:rPr>
          <w:rFonts w:ascii="Arial" w:hAnsi="Arial" w:cs="Arial"/>
        </w:rPr>
        <w:t>to produce descriptive statistics such as means, ranges, and frequency distributions.</w:t>
      </w:r>
    </w:p>
    <w:p w:rsidR="002A0B77" w:rsidRDefault="00A36E88" w:rsidP="002A0B77">
      <w:pPr>
        <w:spacing w:before="100" w:beforeAutospacing="1" w:after="100" w:afterAutospacing="1"/>
        <w:jc w:val="both"/>
        <w:rPr>
          <w:rFonts w:ascii="Arial" w:hAnsi="Arial" w:cs="Arial"/>
          <w:b/>
          <w:bCs/>
        </w:rPr>
      </w:pPr>
      <w:r w:rsidRPr="002A0B77">
        <w:rPr>
          <w:rFonts w:ascii="Arial" w:hAnsi="Arial" w:cs="Arial"/>
          <w:b/>
          <w:bCs/>
        </w:rPr>
        <w:t>Qualitative Data Collection</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br/>
        <w:t>Open-ended questions embedded in the household survey explored:</w:t>
      </w:r>
    </w:p>
    <w:p w:rsidR="00A36E88" w:rsidRPr="00A36E88" w:rsidRDefault="00A36E88" w:rsidP="002A0B77">
      <w:pPr>
        <w:numPr>
          <w:ilvl w:val="0"/>
          <w:numId w:val="41"/>
        </w:numPr>
        <w:spacing w:before="100" w:beforeAutospacing="1" w:after="100" w:afterAutospacing="1"/>
        <w:jc w:val="both"/>
        <w:rPr>
          <w:rFonts w:ascii="Arial" w:hAnsi="Arial" w:cs="Arial"/>
        </w:rPr>
      </w:pPr>
      <w:r w:rsidRPr="00A36E88">
        <w:rPr>
          <w:rFonts w:ascii="Arial" w:hAnsi="Arial" w:cs="Arial"/>
        </w:rPr>
        <w:t>Perceptions of dietary quality</w:t>
      </w:r>
    </w:p>
    <w:p w:rsidR="00A36E88" w:rsidRPr="00A36E88" w:rsidRDefault="00A36E88" w:rsidP="002A0B77">
      <w:pPr>
        <w:numPr>
          <w:ilvl w:val="0"/>
          <w:numId w:val="41"/>
        </w:numPr>
        <w:spacing w:before="100" w:beforeAutospacing="1" w:after="100" w:afterAutospacing="1"/>
        <w:jc w:val="both"/>
        <w:rPr>
          <w:rFonts w:ascii="Arial" w:hAnsi="Arial" w:cs="Arial"/>
        </w:rPr>
      </w:pPr>
      <w:r w:rsidRPr="00A36E88">
        <w:rPr>
          <w:rFonts w:ascii="Arial" w:hAnsi="Arial" w:cs="Arial"/>
        </w:rPr>
        <w:t>Awareness of nutrition requirements</w:t>
      </w:r>
    </w:p>
    <w:p w:rsidR="00A36E88" w:rsidRPr="00A36E88" w:rsidRDefault="00A36E88" w:rsidP="002A0B77">
      <w:pPr>
        <w:numPr>
          <w:ilvl w:val="0"/>
          <w:numId w:val="41"/>
        </w:numPr>
        <w:spacing w:before="100" w:beforeAutospacing="1" w:after="100" w:afterAutospacing="1"/>
        <w:jc w:val="both"/>
        <w:rPr>
          <w:rFonts w:ascii="Arial" w:hAnsi="Arial" w:cs="Arial"/>
        </w:rPr>
      </w:pPr>
      <w:r w:rsidRPr="00A36E88">
        <w:rPr>
          <w:rFonts w:ascii="Arial" w:hAnsi="Arial" w:cs="Arial"/>
        </w:rPr>
        <w:t>Barriers to accessing balanced diets</w:t>
      </w:r>
    </w:p>
    <w:p w:rsidR="00A36E88" w:rsidRPr="00A36E88" w:rsidRDefault="00A36E88" w:rsidP="002A0B77">
      <w:pPr>
        <w:numPr>
          <w:ilvl w:val="0"/>
          <w:numId w:val="41"/>
        </w:numPr>
        <w:spacing w:before="100" w:beforeAutospacing="1" w:after="100" w:afterAutospacing="1"/>
        <w:jc w:val="both"/>
        <w:rPr>
          <w:rFonts w:ascii="Arial" w:hAnsi="Arial" w:cs="Arial"/>
        </w:rPr>
      </w:pPr>
      <w:r w:rsidRPr="00A36E88">
        <w:rPr>
          <w:rFonts w:ascii="Arial" w:hAnsi="Arial" w:cs="Arial"/>
        </w:rPr>
        <w:t>Preferences and openness to low-cost nutritious meals</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t>Responses were transcribed and manually categorized into thematic codes in Excel. Categories included “cost constraints,” “market access,” “health knowledge,” and “food preference.” Frequencies of recurring themes were calculated to describe dominant perceptions. No software-based textual analysis tools were used.</w:t>
      </w:r>
    </w:p>
    <w:p w:rsidR="002A0B77" w:rsidRDefault="00A36E88" w:rsidP="002A0B77">
      <w:pPr>
        <w:spacing w:before="100" w:beforeAutospacing="1" w:after="100" w:afterAutospacing="1"/>
        <w:rPr>
          <w:rFonts w:ascii="Arial" w:hAnsi="Arial" w:cs="Arial"/>
          <w:b/>
          <w:bCs/>
        </w:rPr>
      </w:pPr>
      <w:r w:rsidRPr="002A0B77">
        <w:rPr>
          <w:rFonts w:ascii="Arial" w:hAnsi="Arial" w:cs="Arial"/>
          <w:b/>
          <w:bCs/>
        </w:rPr>
        <w:t>Market Survey and Diet Cost Modeling</w:t>
      </w:r>
    </w:p>
    <w:p w:rsidR="00A36E88" w:rsidRPr="00A36E88" w:rsidRDefault="00A36E88" w:rsidP="002A0B77">
      <w:pPr>
        <w:spacing w:before="100" w:beforeAutospacing="1" w:after="100" w:afterAutospacing="1"/>
        <w:rPr>
          <w:rFonts w:ascii="Arial" w:hAnsi="Arial" w:cs="Arial"/>
          <w:b/>
          <w:bCs/>
        </w:rPr>
      </w:pPr>
      <w:r w:rsidRPr="00A36E88">
        <w:rPr>
          <w:rFonts w:ascii="Arial" w:hAnsi="Arial" w:cs="Arial"/>
        </w:rPr>
        <w:lastRenderedPageBreak/>
        <w:br/>
        <w:t xml:space="preserve">A concurrent </w:t>
      </w:r>
      <w:r w:rsidRPr="002A0B77">
        <w:rPr>
          <w:rFonts w:ascii="Arial" w:hAnsi="Arial" w:cs="Arial"/>
          <w:b/>
          <w:bCs/>
        </w:rPr>
        <w:t>market survey</w:t>
      </w:r>
      <w:r w:rsidRPr="00A36E88">
        <w:rPr>
          <w:rFonts w:ascii="Arial" w:hAnsi="Arial" w:cs="Arial"/>
        </w:rPr>
        <w:t xml:space="preserve"> was conducted to record the prices of </w:t>
      </w:r>
      <w:r w:rsidR="002A0B77" w:rsidRPr="002A0B77">
        <w:rPr>
          <w:rFonts w:ascii="Arial" w:hAnsi="Arial" w:cs="Arial"/>
          <w:b/>
          <w:bCs/>
        </w:rPr>
        <w:t>98</w:t>
      </w:r>
      <w:r w:rsidRPr="002A0B77">
        <w:rPr>
          <w:rFonts w:ascii="Arial" w:hAnsi="Arial" w:cs="Arial"/>
          <w:b/>
          <w:bCs/>
        </w:rPr>
        <w:t xml:space="preserve"> locally available food items</w:t>
      </w:r>
      <w:r w:rsidRPr="00A36E88">
        <w:rPr>
          <w:rFonts w:ascii="Arial" w:hAnsi="Arial" w:cs="Arial"/>
        </w:rPr>
        <w:t xml:space="preserve"> in wet markets and neighborhood grocery stores. These prices were entered into the </w:t>
      </w:r>
      <w:r w:rsidRPr="002A0B77">
        <w:rPr>
          <w:rFonts w:ascii="Arial" w:hAnsi="Arial" w:cs="Arial"/>
          <w:b/>
          <w:bCs/>
        </w:rPr>
        <w:t>Cost of the Diet (CotD) software</w:t>
      </w:r>
      <w:r w:rsidRPr="00A36E88">
        <w:rPr>
          <w:rFonts w:ascii="Arial" w:hAnsi="Arial" w:cs="Arial"/>
        </w:rPr>
        <w:t>, developed by Save the Children, which calculates the least-cost diet that meets household-level energy and nutrient requirements using local foods (Deptford et al., 2017a).</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t>CotD modeled the following diet types:</w:t>
      </w:r>
    </w:p>
    <w:p w:rsidR="00A36E88" w:rsidRPr="00A36E88" w:rsidRDefault="00A36E88" w:rsidP="002A0B77">
      <w:pPr>
        <w:numPr>
          <w:ilvl w:val="0"/>
          <w:numId w:val="42"/>
        </w:numPr>
        <w:spacing w:before="100" w:beforeAutospacing="1" w:after="100" w:afterAutospacing="1"/>
        <w:jc w:val="both"/>
        <w:rPr>
          <w:rFonts w:ascii="Arial" w:hAnsi="Arial" w:cs="Arial"/>
        </w:rPr>
      </w:pPr>
      <w:r w:rsidRPr="00A36E88">
        <w:rPr>
          <w:rFonts w:ascii="Arial" w:hAnsi="Arial" w:cs="Arial"/>
        </w:rPr>
        <w:t>Energy-only diet</w:t>
      </w:r>
    </w:p>
    <w:p w:rsidR="00A36E88" w:rsidRPr="00A36E88" w:rsidRDefault="00A36E88" w:rsidP="002A0B77">
      <w:pPr>
        <w:numPr>
          <w:ilvl w:val="0"/>
          <w:numId w:val="42"/>
        </w:numPr>
        <w:spacing w:before="100" w:beforeAutospacing="1" w:after="100" w:afterAutospacing="1"/>
        <w:jc w:val="both"/>
        <w:rPr>
          <w:rFonts w:ascii="Arial" w:hAnsi="Arial" w:cs="Arial"/>
        </w:rPr>
      </w:pPr>
      <w:r w:rsidRPr="00A36E88">
        <w:rPr>
          <w:rFonts w:ascii="Arial" w:hAnsi="Arial" w:cs="Arial"/>
        </w:rPr>
        <w:t>Macronutrient-sufficient diet</w:t>
      </w:r>
    </w:p>
    <w:p w:rsidR="00A36E88" w:rsidRPr="00A36E88" w:rsidRDefault="00A36E88" w:rsidP="002A0B77">
      <w:pPr>
        <w:numPr>
          <w:ilvl w:val="0"/>
          <w:numId w:val="42"/>
        </w:numPr>
        <w:spacing w:before="100" w:beforeAutospacing="1" w:after="100" w:afterAutospacing="1"/>
        <w:jc w:val="both"/>
        <w:rPr>
          <w:rFonts w:ascii="Arial" w:hAnsi="Arial" w:cs="Arial"/>
        </w:rPr>
      </w:pPr>
      <w:r w:rsidRPr="00A36E88">
        <w:rPr>
          <w:rFonts w:ascii="Arial" w:hAnsi="Arial" w:cs="Arial"/>
        </w:rPr>
        <w:t>Fully nutritious diet (including micronutrients)</w:t>
      </w:r>
    </w:p>
    <w:p w:rsidR="00A36E88" w:rsidRPr="00A36E88" w:rsidRDefault="00A36E88" w:rsidP="002A0B77">
      <w:pPr>
        <w:numPr>
          <w:ilvl w:val="0"/>
          <w:numId w:val="42"/>
        </w:numPr>
        <w:spacing w:before="100" w:beforeAutospacing="1" w:after="100" w:afterAutospacing="1"/>
        <w:jc w:val="both"/>
        <w:rPr>
          <w:rFonts w:ascii="Arial" w:hAnsi="Arial" w:cs="Arial"/>
        </w:rPr>
      </w:pPr>
      <w:r w:rsidRPr="00A36E88">
        <w:rPr>
          <w:rFonts w:ascii="Arial" w:hAnsi="Arial" w:cs="Arial"/>
        </w:rPr>
        <w:t>Culturally acceptable nutritious diet</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t xml:space="preserve">Modeling was based on a reference five-member household using </w:t>
      </w:r>
      <w:r w:rsidRPr="002A0B77">
        <w:rPr>
          <w:rFonts w:ascii="Arial" w:hAnsi="Arial" w:cs="Arial"/>
          <w:b/>
          <w:bCs/>
        </w:rPr>
        <w:t>FAO/WHO Recommended Nutrient Intake values</w:t>
      </w:r>
      <w:r w:rsidRPr="00A36E88">
        <w:rPr>
          <w:rFonts w:ascii="Arial" w:hAnsi="Arial" w:cs="Arial"/>
        </w:rPr>
        <w:t xml:space="preserve"> and consumption patterns relevant to the urban Indian setting.</w:t>
      </w:r>
    </w:p>
    <w:p w:rsidR="002A0B77" w:rsidRDefault="00A36E88" w:rsidP="002A0B77">
      <w:pPr>
        <w:spacing w:before="100" w:beforeAutospacing="1" w:after="100" w:afterAutospacing="1"/>
        <w:rPr>
          <w:rFonts w:ascii="Arial" w:hAnsi="Arial" w:cs="Arial"/>
          <w:b/>
          <w:bCs/>
        </w:rPr>
      </w:pPr>
      <w:r w:rsidRPr="002A0B77">
        <w:rPr>
          <w:rFonts w:ascii="Arial" w:hAnsi="Arial" w:cs="Arial"/>
          <w:b/>
          <w:bCs/>
        </w:rPr>
        <w:t>Affordability Assessment and Data Analysis</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br/>
        <w:t>Diet affordability was assessed using:</w:t>
      </w:r>
    </w:p>
    <w:p w:rsidR="00A36E88" w:rsidRPr="00A36E88" w:rsidRDefault="00A36E88" w:rsidP="002A0B77">
      <w:pPr>
        <w:numPr>
          <w:ilvl w:val="0"/>
          <w:numId w:val="43"/>
        </w:numPr>
        <w:spacing w:before="100" w:beforeAutospacing="1" w:after="100" w:afterAutospacing="1"/>
        <w:jc w:val="both"/>
        <w:rPr>
          <w:rFonts w:ascii="Arial" w:hAnsi="Arial" w:cs="Arial"/>
        </w:rPr>
      </w:pPr>
      <w:r w:rsidRPr="002A0B77">
        <w:rPr>
          <w:rFonts w:ascii="Arial" w:hAnsi="Arial" w:cs="Arial"/>
          <w:b/>
          <w:bCs/>
        </w:rPr>
        <w:t>Affordability Ratio (%)</w:t>
      </w:r>
      <w:r w:rsidRPr="00A36E88">
        <w:rPr>
          <w:rFonts w:ascii="Arial" w:hAnsi="Arial" w:cs="Arial"/>
        </w:rPr>
        <w:t xml:space="preserve"> = (Cost of Nutritious Diet ÷ Monthly Income) × 100</w:t>
      </w:r>
    </w:p>
    <w:p w:rsidR="00A36E88" w:rsidRPr="00A36E88" w:rsidRDefault="00A36E88" w:rsidP="002A0B77">
      <w:pPr>
        <w:numPr>
          <w:ilvl w:val="0"/>
          <w:numId w:val="43"/>
        </w:numPr>
        <w:spacing w:before="100" w:beforeAutospacing="1" w:after="100" w:afterAutospacing="1"/>
        <w:jc w:val="both"/>
        <w:rPr>
          <w:rFonts w:ascii="Arial" w:hAnsi="Arial" w:cs="Arial"/>
        </w:rPr>
      </w:pPr>
      <w:r w:rsidRPr="002A0B77">
        <w:rPr>
          <w:rFonts w:ascii="Arial" w:hAnsi="Arial" w:cs="Arial"/>
          <w:b/>
          <w:bCs/>
        </w:rPr>
        <w:t>Affordability Gap (INR)</w:t>
      </w:r>
      <w:r w:rsidRPr="00A36E88">
        <w:rPr>
          <w:rFonts w:ascii="Arial" w:hAnsi="Arial" w:cs="Arial"/>
        </w:rPr>
        <w:t xml:space="preserve"> = Cost of Nutritious Diet − Actual Food Expenditure</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t xml:space="preserve">A household was considered </w:t>
      </w:r>
      <w:r w:rsidRPr="000C5F15">
        <w:rPr>
          <w:rFonts w:ascii="Arial" w:hAnsi="Arial" w:cs="Arial"/>
          <w:bCs/>
        </w:rPr>
        <w:t>“unable to afford a nutritious diet”</w:t>
      </w:r>
      <w:r w:rsidRPr="00A36E88">
        <w:rPr>
          <w:rFonts w:ascii="Arial" w:hAnsi="Arial" w:cs="Arial"/>
        </w:rPr>
        <w:t xml:space="preserve"> if its affordability ratio exceeded </w:t>
      </w:r>
      <w:r w:rsidRPr="000C5F15">
        <w:rPr>
          <w:rFonts w:ascii="Arial" w:hAnsi="Arial" w:cs="Arial"/>
          <w:bCs/>
        </w:rPr>
        <w:t>30% of monthly income</w:t>
      </w:r>
      <w:r w:rsidRPr="00A36E88">
        <w:rPr>
          <w:rFonts w:ascii="Arial" w:hAnsi="Arial" w:cs="Arial"/>
        </w:rPr>
        <w:t>, in line with international standards on dietary affordability (Herforth et al., 2020). Studies in India have confirmed that this threshold is applicable in rural and urban low-income contexts, where food often competes with other essential expenditures (Raghunathan et al., 2021a).</w:t>
      </w:r>
    </w:p>
    <w:p w:rsidR="00A36E88" w:rsidRPr="00A36E88" w:rsidRDefault="00A36E88" w:rsidP="002A0B77">
      <w:pPr>
        <w:spacing w:before="100" w:beforeAutospacing="1" w:after="100" w:afterAutospacing="1"/>
        <w:jc w:val="both"/>
        <w:rPr>
          <w:rFonts w:ascii="Arial" w:hAnsi="Arial" w:cs="Arial"/>
        </w:rPr>
      </w:pPr>
      <w:r w:rsidRPr="00A36E88">
        <w:rPr>
          <w:rFonts w:ascii="Arial" w:hAnsi="Arial" w:cs="Arial"/>
        </w:rPr>
        <w:t xml:space="preserve">All data analysis was conducted using </w:t>
      </w:r>
      <w:r w:rsidRPr="000C5F15">
        <w:rPr>
          <w:rFonts w:ascii="Arial" w:hAnsi="Arial" w:cs="Arial"/>
          <w:bCs/>
        </w:rPr>
        <w:t>Excel</w:t>
      </w:r>
      <w:r w:rsidRPr="00A36E88">
        <w:rPr>
          <w:rFonts w:ascii="Arial" w:hAnsi="Arial" w:cs="Arial"/>
        </w:rPr>
        <w:t xml:space="preserve">, and only </w:t>
      </w:r>
      <w:r w:rsidRPr="002A0B77">
        <w:rPr>
          <w:rFonts w:ascii="Arial" w:hAnsi="Arial" w:cs="Arial"/>
          <w:b/>
          <w:bCs/>
        </w:rPr>
        <w:t>descriptive statistics</w:t>
      </w:r>
      <w:r w:rsidRPr="00A36E88">
        <w:rPr>
          <w:rFonts w:ascii="Arial" w:hAnsi="Arial" w:cs="Arial"/>
        </w:rPr>
        <w:t xml:space="preserve"> were employed. The study did </w:t>
      </w:r>
      <w:r w:rsidRPr="002A0B77">
        <w:rPr>
          <w:rFonts w:ascii="Arial" w:hAnsi="Arial" w:cs="Arial"/>
          <w:b/>
          <w:bCs/>
        </w:rPr>
        <w:t>not use any inferential statistical tests</w:t>
      </w:r>
      <w:r w:rsidRPr="00A36E88">
        <w:rPr>
          <w:rFonts w:ascii="Arial" w:hAnsi="Arial" w:cs="Arial"/>
        </w:rPr>
        <w:t xml:space="preserve"> such as t-tests, correlation, or regression due to its small sample size and purposive sampling method. Observed differences across income groups and affordability outcomes were described </w:t>
      </w:r>
      <w:r w:rsidR="002A0B77" w:rsidRPr="00A36E88">
        <w:rPr>
          <w:rFonts w:ascii="Arial" w:hAnsi="Arial" w:cs="Arial"/>
        </w:rPr>
        <w:t>narrati</w:t>
      </w:r>
      <w:r w:rsidR="002A0B77" w:rsidRPr="002A0B77">
        <w:rPr>
          <w:rFonts w:ascii="Arial" w:hAnsi="Arial" w:cs="Arial"/>
        </w:rPr>
        <w:t>ve based on identified trends</w:t>
      </w:r>
    </w:p>
    <w:p w:rsidR="00A82296" w:rsidRDefault="00A36E88" w:rsidP="00457C6F">
      <w:pPr>
        <w:spacing w:before="100" w:beforeAutospacing="1" w:after="100" w:afterAutospacing="1"/>
        <w:jc w:val="both"/>
        <w:rPr>
          <w:rFonts w:ascii="Arial" w:hAnsi="Arial" w:cs="Arial"/>
        </w:rPr>
      </w:pPr>
      <w:r w:rsidRPr="00A36E88">
        <w:rPr>
          <w:rFonts w:ascii="Arial" w:hAnsi="Arial" w:cs="Arial"/>
        </w:rPr>
        <w:br/>
        <w:t xml:space="preserve">The study was approved by the Institutional Ethics Committee. All participants provided </w:t>
      </w:r>
      <w:r w:rsidRPr="002A0B77">
        <w:rPr>
          <w:rFonts w:ascii="Arial" w:hAnsi="Arial" w:cs="Arial"/>
          <w:b/>
          <w:bCs/>
        </w:rPr>
        <w:t>informed verbal consent</w:t>
      </w:r>
      <w:r w:rsidRPr="00A36E88">
        <w:rPr>
          <w:rFonts w:ascii="Arial" w:hAnsi="Arial" w:cs="Arial"/>
        </w:rPr>
        <w:t xml:space="preserve"> after being briefed on the study's purpose and confidentiality. No identifying data were recorded. Data management adhered to established academic research ethics protocols.</w:t>
      </w:r>
    </w:p>
    <w:p w:rsidR="00457C6F" w:rsidRPr="00457C6F" w:rsidRDefault="00457C6F" w:rsidP="00457C6F">
      <w:pPr>
        <w:spacing w:before="100" w:beforeAutospacing="1" w:after="100" w:afterAutospacing="1"/>
        <w:jc w:val="both"/>
        <w:rPr>
          <w:rFonts w:ascii="Arial" w:hAnsi="Arial" w:cs="Arial"/>
          <w:b/>
          <w:bCs/>
        </w:rPr>
      </w:pPr>
    </w:p>
    <w:p w:rsidR="002A1BA9" w:rsidRDefault="002A1BA9" w:rsidP="002A1BA9">
      <w:pPr>
        <w:pStyle w:val="AbstHead"/>
        <w:jc w:val="both"/>
        <w:rPr>
          <w:rFonts w:ascii="Arial" w:hAnsi="Arial" w:cs="Arial"/>
        </w:rPr>
      </w:pPr>
      <w:r w:rsidRPr="002A1BA9">
        <w:rPr>
          <w:rFonts w:ascii="Arial" w:hAnsi="Arial" w:cs="Arial"/>
        </w:rPr>
        <w:t xml:space="preserve">RESULTS </w:t>
      </w:r>
    </w:p>
    <w:p w:rsidR="00B0221F" w:rsidRDefault="00B0221F" w:rsidP="002A1BA9">
      <w:pPr>
        <w:pStyle w:val="AbstHead"/>
        <w:jc w:val="both"/>
        <w:rPr>
          <w:rFonts w:ascii="Arial" w:hAnsi="Arial" w:cs="Arial"/>
          <w:b w:val="0"/>
          <w:caps w:val="0"/>
          <w:sz w:val="20"/>
        </w:rPr>
      </w:pPr>
      <w:r w:rsidRPr="00B0221F">
        <w:rPr>
          <w:rFonts w:ascii="Arial" w:hAnsi="Arial" w:cs="Arial"/>
          <w:b w:val="0"/>
          <w:caps w:val="0"/>
          <w:sz w:val="20"/>
        </w:rPr>
        <w:t xml:space="preserve">Table 1 presents summary statistics of monthly income and food expenditure for the 70 households surveyed in </w:t>
      </w:r>
      <w:r w:rsidR="00A64569" w:rsidRPr="00B0221F">
        <w:rPr>
          <w:rFonts w:ascii="Arial" w:hAnsi="Arial" w:cs="Arial"/>
          <w:b w:val="0"/>
          <w:caps w:val="0"/>
          <w:sz w:val="20"/>
        </w:rPr>
        <w:t>Khidirpur</w:t>
      </w:r>
      <w:r w:rsidRPr="00B0221F">
        <w:rPr>
          <w:rFonts w:ascii="Arial" w:hAnsi="Arial" w:cs="Arial"/>
          <w:b w:val="0"/>
          <w:caps w:val="0"/>
          <w:sz w:val="20"/>
        </w:rPr>
        <w:t xml:space="preserve">, kolkata. The average monthly income was </w:t>
      </w:r>
      <w:r w:rsidRPr="00B0221F">
        <w:rPr>
          <w:rFonts w:ascii="Arial" w:hAnsi="Arial" w:cs="Arial"/>
          <w:b w:val="0"/>
          <w:sz w:val="20"/>
        </w:rPr>
        <w:t xml:space="preserve">₹20,614.29 (≈ </w:t>
      </w:r>
      <w:r w:rsidRPr="00B0221F">
        <w:rPr>
          <w:rStyle w:val="Strong"/>
          <w:rFonts w:ascii="Arial" w:hAnsi="Arial" w:cs="Arial"/>
          <w:b/>
          <w:caps w:val="0"/>
          <w:sz w:val="20"/>
        </w:rPr>
        <w:t>$247.82 usd</w:t>
      </w:r>
      <w:r w:rsidRPr="00B0221F">
        <w:rPr>
          <w:rFonts w:ascii="Arial" w:hAnsi="Arial" w:cs="Arial"/>
          <w:b w:val="0"/>
          <w:caps w:val="0"/>
          <w:sz w:val="20"/>
        </w:rPr>
        <w:t xml:space="preserve">, using ₹1 = $0.012 </w:t>
      </w:r>
      <w:r w:rsidR="00A64569" w:rsidRPr="00B0221F">
        <w:rPr>
          <w:rFonts w:ascii="Arial" w:hAnsi="Arial" w:cs="Arial"/>
          <w:b w:val="0"/>
          <w:caps w:val="0"/>
          <w:sz w:val="20"/>
        </w:rPr>
        <w:t>USD</w:t>
      </w:r>
      <w:r w:rsidRPr="00B0221F">
        <w:rPr>
          <w:rFonts w:ascii="Arial" w:hAnsi="Arial" w:cs="Arial"/>
          <w:b w:val="0"/>
          <w:caps w:val="0"/>
          <w:sz w:val="20"/>
        </w:rPr>
        <w:t xml:space="preserve">), while the mean monthly food expenditure was </w:t>
      </w:r>
      <w:r w:rsidRPr="00B0221F">
        <w:rPr>
          <w:rFonts w:ascii="Arial" w:hAnsi="Arial" w:cs="Arial"/>
          <w:b w:val="0"/>
          <w:caps w:val="0"/>
          <w:sz w:val="20"/>
        </w:rPr>
        <w:lastRenderedPageBreak/>
        <w:t>₹5,535 (≈</w:t>
      </w:r>
      <w:r w:rsidRPr="00B0221F">
        <w:rPr>
          <w:rFonts w:ascii="Arial" w:hAnsi="Arial" w:cs="Arial"/>
          <w:b w:val="0"/>
          <w:sz w:val="20"/>
        </w:rPr>
        <w:t xml:space="preserve"> </w:t>
      </w:r>
      <w:r w:rsidRPr="00B0221F">
        <w:rPr>
          <w:rStyle w:val="Strong"/>
          <w:rFonts w:ascii="Arial" w:hAnsi="Arial" w:cs="Arial"/>
          <w:b/>
          <w:caps w:val="0"/>
          <w:sz w:val="20"/>
        </w:rPr>
        <w:t xml:space="preserve">$66.42 </w:t>
      </w:r>
      <w:r w:rsidR="00A64569" w:rsidRPr="00B0221F">
        <w:rPr>
          <w:rStyle w:val="Strong"/>
          <w:rFonts w:ascii="Arial" w:hAnsi="Arial" w:cs="Arial"/>
          <w:b/>
          <w:caps w:val="0"/>
          <w:sz w:val="20"/>
        </w:rPr>
        <w:t>USD</w:t>
      </w:r>
      <w:r w:rsidRPr="00B0221F">
        <w:rPr>
          <w:rFonts w:ascii="Arial" w:hAnsi="Arial" w:cs="Arial"/>
          <w:b w:val="0"/>
          <w:caps w:val="0"/>
          <w:sz w:val="20"/>
        </w:rPr>
        <w:t>), accounting for approximately 26.8% of income. However,</w:t>
      </w:r>
      <w:r w:rsidRPr="00B0221F">
        <w:rPr>
          <w:rFonts w:ascii="Arial" w:hAnsi="Arial" w:cs="Arial"/>
          <w:b w:val="0"/>
          <w:sz w:val="20"/>
        </w:rPr>
        <w:t xml:space="preserve"> </w:t>
      </w:r>
      <w:r w:rsidRPr="00B0221F">
        <w:rPr>
          <w:rStyle w:val="Strong"/>
          <w:rFonts w:ascii="Arial" w:hAnsi="Arial" w:cs="Arial"/>
          <w:b/>
          <w:caps w:val="0"/>
          <w:sz w:val="20"/>
        </w:rPr>
        <w:t xml:space="preserve">43% of households spent less than ₹4,000 (~$48 </w:t>
      </w:r>
      <w:r w:rsidR="00A64569" w:rsidRPr="00B0221F">
        <w:rPr>
          <w:rStyle w:val="Strong"/>
          <w:rFonts w:ascii="Arial" w:hAnsi="Arial" w:cs="Arial"/>
          <w:b/>
          <w:caps w:val="0"/>
          <w:sz w:val="20"/>
        </w:rPr>
        <w:t>USD</w:t>
      </w:r>
      <w:r w:rsidRPr="00B0221F">
        <w:rPr>
          <w:rStyle w:val="Strong"/>
          <w:rFonts w:ascii="Arial" w:hAnsi="Arial" w:cs="Arial"/>
          <w:b/>
          <w:caps w:val="0"/>
          <w:sz w:val="20"/>
        </w:rPr>
        <w:t>)</w:t>
      </w:r>
      <w:r w:rsidRPr="00B0221F">
        <w:rPr>
          <w:rFonts w:ascii="Arial" w:hAnsi="Arial" w:cs="Arial"/>
          <w:b w:val="0"/>
          <w:caps w:val="0"/>
          <w:sz w:val="20"/>
        </w:rPr>
        <w:t xml:space="preserve"> on food, indicating significant constraints in achieving dietary adequacy within current income levels.</w:t>
      </w:r>
    </w:p>
    <w:p w:rsidR="00561A01" w:rsidRPr="00E371C6" w:rsidRDefault="00561A01" w:rsidP="00E371C6">
      <w:pPr>
        <w:pStyle w:val="AbstHead"/>
        <w:jc w:val="center"/>
        <w:rPr>
          <w:rFonts w:ascii="Arial" w:hAnsi="Arial" w:cs="Arial"/>
          <w:caps w:val="0"/>
          <w:sz w:val="20"/>
          <w:u w:val="single"/>
        </w:rPr>
      </w:pPr>
      <w:r w:rsidRPr="00E371C6">
        <w:rPr>
          <w:rStyle w:val="Strong"/>
          <w:rFonts w:ascii="Arial" w:hAnsi="Arial" w:cs="Arial"/>
          <w:b/>
          <w:caps w:val="0"/>
          <w:sz w:val="20"/>
          <w:u w:val="single"/>
        </w:rPr>
        <w:t>Table 1</w:t>
      </w:r>
      <w:r w:rsidRPr="00E371C6">
        <w:rPr>
          <w:rStyle w:val="Strong"/>
          <w:rFonts w:ascii="Arial" w:hAnsi="Arial" w:cs="Arial"/>
          <w:sz w:val="20"/>
          <w:u w:val="single"/>
        </w:rPr>
        <w:t>:</w:t>
      </w:r>
      <w:r w:rsidRPr="00E371C6">
        <w:rPr>
          <w:rFonts w:ascii="Arial" w:hAnsi="Arial" w:cs="Arial"/>
          <w:sz w:val="20"/>
          <w:u w:val="single"/>
        </w:rPr>
        <w:t xml:space="preserve"> </w:t>
      </w:r>
      <w:r w:rsidRPr="00E371C6">
        <w:rPr>
          <w:rFonts w:ascii="Arial" w:hAnsi="Arial" w:cs="Arial"/>
          <w:caps w:val="0"/>
          <w:sz w:val="20"/>
          <w:u w:val="single"/>
        </w:rPr>
        <w:t>Household income and food spending summary (n = 70)</w:t>
      </w:r>
    </w:p>
    <w:tbl>
      <w:tblPr>
        <w:tblStyle w:val="TableGrid"/>
        <w:tblW w:w="0" w:type="auto"/>
        <w:tblLook w:val="04A0"/>
      </w:tblPr>
      <w:tblGrid>
        <w:gridCol w:w="2808"/>
        <w:gridCol w:w="2808"/>
        <w:gridCol w:w="2808"/>
      </w:tblGrid>
      <w:tr w:rsidR="00B0221F" w:rsidTr="00B0221F">
        <w:tc>
          <w:tcPr>
            <w:tcW w:w="2808" w:type="dxa"/>
          </w:tcPr>
          <w:p w:rsidR="00B0221F" w:rsidRPr="00561A01" w:rsidRDefault="00561A01" w:rsidP="002A1BA9">
            <w:pPr>
              <w:pStyle w:val="AbstHead"/>
              <w:jc w:val="both"/>
              <w:rPr>
                <w:rFonts w:ascii="Arial" w:hAnsi="Arial" w:cs="Arial"/>
                <w:caps w:val="0"/>
                <w:sz w:val="20"/>
              </w:rPr>
            </w:pPr>
            <w:r w:rsidRPr="00561A01">
              <w:rPr>
                <w:rFonts w:ascii="Arial" w:hAnsi="Arial" w:cs="Arial"/>
                <w:caps w:val="0"/>
                <w:sz w:val="20"/>
              </w:rPr>
              <w:t>Metric</w:t>
            </w:r>
          </w:p>
        </w:tc>
        <w:tc>
          <w:tcPr>
            <w:tcW w:w="2808" w:type="dxa"/>
          </w:tcPr>
          <w:p w:rsidR="00B0221F" w:rsidRPr="00561A01" w:rsidRDefault="00B0221F" w:rsidP="002A1BA9">
            <w:pPr>
              <w:pStyle w:val="AbstHead"/>
              <w:jc w:val="both"/>
              <w:rPr>
                <w:rFonts w:ascii="Arial" w:hAnsi="Arial" w:cs="Arial"/>
                <w:caps w:val="0"/>
                <w:sz w:val="20"/>
              </w:rPr>
            </w:pPr>
            <w:r w:rsidRPr="00561A01">
              <w:rPr>
                <w:rFonts w:ascii="Arial" w:hAnsi="Arial" w:cs="Arial"/>
                <w:caps w:val="0"/>
                <w:sz w:val="20"/>
              </w:rPr>
              <w:t>Value (INR)</w:t>
            </w:r>
          </w:p>
        </w:tc>
        <w:tc>
          <w:tcPr>
            <w:tcW w:w="2808" w:type="dxa"/>
          </w:tcPr>
          <w:p w:rsidR="00B0221F" w:rsidRPr="00561A01" w:rsidRDefault="00B0221F" w:rsidP="002A1BA9">
            <w:pPr>
              <w:pStyle w:val="AbstHead"/>
              <w:jc w:val="both"/>
              <w:rPr>
                <w:rFonts w:ascii="Arial" w:hAnsi="Arial" w:cs="Arial"/>
                <w:caps w:val="0"/>
                <w:sz w:val="20"/>
              </w:rPr>
            </w:pPr>
            <w:r w:rsidRPr="00561A01">
              <w:rPr>
                <w:rFonts w:ascii="Arial" w:hAnsi="Arial" w:cs="Arial"/>
                <w:caps w:val="0"/>
                <w:sz w:val="20"/>
              </w:rPr>
              <w:t>Value (USD)</w:t>
            </w:r>
          </w:p>
        </w:tc>
      </w:tr>
      <w:tr w:rsidR="00B0221F" w:rsidTr="00B0221F">
        <w:tc>
          <w:tcPr>
            <w:tcW w:w="2808" w:type="dxa"/>
          </w:tcPr>
          <w:p w:rsidR="00B0221F" w:rsidRPr="00561A01" w:rsidRDefault="00561A01" w:rsidP="002A1BA9">
            <w:pPr>
              <w:pStyle w:val="AbstHead"/>
              <w:jc w:val="both"/>
              <w:rPr>
                <w:rFonts w:ascii="Arial" w:hAnsi="Arial" w:cs="Arial"/>
                <w:caps w:val="0"/>
                <w:sz w:val="20"/>
              </w:rPr>
            </w:pPr>
            <w:r w:rsidRPr="00561A01">
              <w:rPr>
                <w:rFonts w:ascii="Arial" w:hAnsi="Arial" w:cs="Arial"/>
                <w:caps w:val="0"/>
                <w:sz w:val="20"/>
              </w:rPr>
              <w:t>Mean Monthly Income</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₹20,614.29</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$247.82</w:t>
            </w:r>
          </w:p>
        </w:tc>
      </w:tr>
      <w:tr w:rsidR="00B0221F" w:rsidTr="00B0221F">
        <w:tc>
          <w:tcPr>
            <w:tcW w:w="2808" w:type="dxa"/>
          </w:tcPr>
          <w:p w:rsidR="00B0221F" w:rsidRPr="00561A01" w:rsidRDefault="00561A01" w:rsidP="002A1BA9">
            <w:pPr>
              <w:pStyle w:val="AbstHead"/>
              <w:jc w:val="both"/>
              <w:rPr>
                <w:rFonts w:ascii="Arial" w:hAnsi="Arial" w:cs="Arial"/>
                <w:caps w:val="0"/>
                <w:sz w:val="20"/>
              </w:rPr>
            </w:pPr>
            <w:r w:rsidRPr="00561A01">
              <w:rPr>
                <w:rFonts w:ascii="Arial" w:hAnsi="Arial" w:cs="Arial"/>
                <w:caps w:val="0"/>
                <w:sz w:val="20"/>
              </w:rPr>
              <w:t>Median Monthly Income</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₹19,000.00</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$228.00</w:t>
            </w:r>
          </w:p>
        </w:tc>
      </w:tr>
      <w:tr w:rsidR="00B0221F" w:rsidTr="00B0221F">
        <w:tc>
          <w:tcPr>
            <w:tcW w:w="2808" w:type="dxa"/>
          </w:tcPr>
          <w:p w:rsidR="00B0221F" w:rsidRPr="00561A01" w:rsidRDefault="00561A01" w:rsidP="002A1BA9">
            <w:pPr>
              <w:pStyle w:val="AbstHead"/>
              <w:jc w:val="both"/>
              <w:rPr>
                <w:rFonts w:ascii="Arial" w:hAnsi="Arial" w:cs="Arial"/>
                <w:caps w:val="0"/>
                <w:sz w:val="20"/>
              </w:rPr>
            </w:pPr>
            <w:r w:rsidRPr="00561A01">
              <w:rPr>
                <w:rFonts w:ascii="Arial" w:hAnsi="Arial" w:cs="Arial"/>
                <w:caps w:val="0"/>
                <w:sz w:val="20"/>
              </w:rPr>
              <w:t>Mean Food Expenditure</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₹5,535.00</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$66.42</w:t>
            </w:r>
          </w:p>
        </w:tc>
      </w:tr>
      <w:tr w:rsidR="00B0221F" w:rsidTr="00B0221F">
        <w:tc>
          <w:tcPr>
            <w:tcW w:w="2808" w:type="dxa"/>
          </w:tcPr>
          <w:p w:rsidR="00B0221F" w:rsidRPr="00561A01" w:rsidRDefault="00561A01" w:rsidP="002A1BA9">
            <w:pPr>
              <w:pStyle w:val="AbstHead"/>
              <w:jc w:val="both"/>
              <w:rPr>
                <w:rFonts w:ascii="Arial" w:hAnsi="Arial" w:cs="Arial"/>
                <w:caps w:val="0"/>
                <w:sz w:val="20"/>
              </w:rPr>
            </w:pPr>
            <w:r w:rsidRPr="00561A01">
              <w:rPr>
                <w:rFonts w:ascii="Arial" w:hAnsi="Arial" w:cs="Arial"/>
                <w:caps w:val="0"/>
                <w:sz w:val="20"/>
              </w:rPr>
              <w:t>% Of Income Spent On Food</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26.8%</w:t>
            </w:r>
          </w:p>
        </w:tc>
        <w:tc>
          <w:tcPr>
            <w:tcW w:w="2808" w:type="dxa"/>
          </w:tcPr>
          <w:p w:rsidR="00B0221F" w:rsidRDefault="00561A01" w:rsidP="002A1BA9">
            <w:pPr>
              <w:pStyle w:val="AbstHead"/>
              <w:jc w:val="both"/>
              <w:rPr>
                <w:rFonts w:ascii="Arial" w:hAnsi="Arial" w:cs="Arial"/>
                <w:b w:val="0"/>
                <w:caps w:val="0"/>
                <w:sz w:val="20"/>
              </w:rPr>
            </w:pPr>
            <w:r>
              <w:rPr>
                <w:rFonts w:ascii="Arial" w:hAnsi="Arial" w:cs="Arial"/>
                <w:b w:val="0"/>
                <w:caps w:val="0"/>
                <w:sz w:val="20"/>
              </w:rPr>
              <w:t>_</w:t>
            </w:r>
          </w:p>
        </w:tc>
      </w:tr>
      <w:tr w:rsidR="00B0221F" w:rsidTr="00B0221F">
        <w:tc>
          <w:tcPr>
            <w:tcW w:w="2808" w:type="dxa"/>
          </w:tcPr>
          <w:p w:rsidR="00B0221F" w:rsidRPr="00561A01" w:rsidRDefault="00561A01" w:rsidP="00561A01">
            <w:pPr>
              <w:pStyle w:val="AbstHead"/>
              <w:jc w:val="both"/>
              <w:rPr>
                <w:rFonts w:ascii="Arial" w:hAnsi="Arial" w:cs="Arial"/>
                <w:caps w:val="0"/>
                <w:sz w:val="20"/>
              </w:rPr>
            </w:pPr>
            <w:r w:rsidRPr="00561A01">
              <w:rPr>
                <w:rFonts w:ascii="Arial" w:hAnsi="Arial" w:cs="Arial"/>
                <w:caps w:val="0"/>
                <w:sz w:val="20"/>
              </w:rPr>
              <w:t xml:space="preserve">House Holds With Spending &lt; </w:t>
            </w:r>
            <w:r w:rsidRPr="00561A01">
              <w:rPr>
                <w:caps w:val="0"/>
              </w:rPr>
              <w:t>₹4,000</w:t>
            </w:r>
          </w:p>
        </w:tc>
        <w:tc>
          <w:tcPr>
            <w:tcW w:w="2808" w:type="dxa"/>
          </w:tcPr>
          <w:p w:rsidR="00B0221F" w:rsidRPr="00561A01" w:rsidRDefault="00561A01" w:rsidP="002A1BA9">
            <w:pPr>
              <w:pStyle w:val="AbstHead"/>
              <w:jc w:val="both"/>
              <w:rPr>
                <w:rFonts w:ascii="Arial" w:hAnsi="Arial" w:cs="Arial"/>
                <w:b w:val="0"/>
                <w:caps w:val="0"/>
                <w:sz w:val="20"/>
                <w:szCs w:val="20"/>
              </w:rPr>
            </w:pPr>
            <w:r w:rsidRPr="00561A01">
              <w:rPr>
                <w:rFonts w:ascii="Arial" w:hAnsi="Arial" w:cs="Arial"/>
                <w:b w:val="0"/>
                <w:sz w:val="20"/>
                <w:szCs w:val="20"/>
              </w:rPr>
              <w:t>43.0%</w:t>
            </w:r>
          </w:p>
        </w:tc>
        <w:tc>
          <w:tcPr>
            <w:tcW w:w="2808" w:type="dxa"/>
          </w:tcPr>
          <w:p w:rsidR="00B0221F" w:rsidRDefault="00561A01" w:rsidP="002A1BA9">
            <w:pPr>
              <w:pStyle w:val="AbstHead"/>
              <w:jc w:val="both"/>
              <w:rPr>
                <w:rFonts w:ascii="Arial" w:hAnsi="Arial" w:cs="Arial"/>
                <w:b w:val="0"/>
                <w:caps w:val="0"/>
                <w:sz w:val="20"/>
              </w:rPr>
            </w:pPr>
            <w:r>
              <w:rPr>
                <w:rFonts w:ascii="Arial" w:hAnsi="Arial" w:cs="Arial"/>
                <w:b w:val="0"/>
                <w:caps w:val="0"/>
                <w:sz w:val="20"/>
              </w:rPr>
              <w:t>_</w:t>
            </w:r>
          </w:p>
        </w:tc>
      </w:tr>
    </w:tbl>
    <w:p w:rsidR="00B0221F" w:rsidRDefault="00B0221F" w:rsidP="002A1BA9">
      <w:pPr>
        <w:pStyle w:val="AbstHead"/>
        <w:jc w:val="both"/>
        <w:rPr>
          <w:rFonts w:ascii="Arial" w:hAnsi="Arial" w:cs="Arial"/>
          <w:b w:val="0"/>
          <w:caps w:val="0"/>
          <w:sz w:val="20"/>
        </w:rPr>
      </w:pPr>
    </w:p>
    <w:p w:rsidR="00B0221F" w:rsidRPr="00B0221F" w:rsidRDefault="00B0221F" w:rsidP="002A1BA9">
      <w:pPr>
        <w:pStyle w:val="AbstHead"/>
        <w:jc w:val="both"/>
        <w:rPr>
          <w:rFonts w:ascii="Arial" w:hAnsi="Arial" w:cs="Arial"/>
          <w:b w:val="0"/>
          <w:sz w:val="20"/>
        </w:rPr>
      </w:pPr>
    </w:p>
    <w:p w:rsidR="00561A01" w:rsidRPr="0066078E" w:rsidRDefault="00561A01" w:rsidP="00A64569">
      <w:pPr>
        <w:jc w:val="center"/>
        <w:rPr>
          <w:rFonts w:ascii="Arial" w:hAnsi="Arial" w:cs="Arial"/>
        </w:rPr>
      </w:pPr>
      <w:r>
        <w:rPr>
          <w:rFonts w:ascii="Arial" w:hAnsi="Arial" w:cs="Arial"/>
          <w:b/>
          <w:u w:val="single"/>
        </w:rPr>
        <w:t>Table 2</w:t>
      </w:r>
      <w:r w:rsidR="00457C6F">
        <w:rPr>
          <w:rFonts w:ascii="Arial" w:hAnsi="Arial" w:cs="Arial"/>
          <w:b/>
          <w:u w:val="single"/>
        </w:rPr>
        <w:t>:</w:t>
      </w:r>
      <w:r w:rsidR="00D42F77" w:rsidRPr="0066078E">
        <w:rPr>
          <w:rFonts w:ascii="Arial" w:hAnsi="Arial" w:cs="Arial"/>
          <w:b/>
          <w:u w:val="single"/>
        </w:rPr>
        <w:t xml:space="preserve"> Frequency of consumption of different food groups among sample population</w:t>
      </w:r>
      <w:r>
        <w:rPr>
          <w:rFonts w:ascii="Arial" w:hAnsi="Arial" w:cs="Arial"/>
          <w:b/>
          <w:u w:val="single"/>
        </w:rPr>
        <w:t xml:space="preserve"> </w:t>
      </w:r>
      <w:r w:rsidRPr="0066078E">
        <w:rPr>
          <w:rFonts w:ascii="Arial" w:hAnsi="Arial" w:cs="Arial"/>
          <w:b/>
          <w:u w:val="single"/>
        </w:rPr>
        <w:t>(n=70)</w:t>
      </w:r>
    </w:p>
    <w:p w:rsidR="00D42F77" w:rsidRPr="0066078E" w:rsidRDefault="00D42F77" w:rsidP="00D42F77">
      <w:pPr>
        <w:jc w:val="center"/>
        <w:rPr>
          <w:rFonts w:ascii="Arial" w:hAnsi="Arial" w:cs="Arial"/>
          <w:b/>
          <w:u w:val="single"/>
        </w:rPr>
      </w:pPr>
    </w:p>
    <w:p w:rsidR="00D42F77" w:rsidRPr="0066078E" w:rsidRDefault="00D42F77" w:rsidP="00D42F77">
      <w:pPr>
        <w:jc w:val="both"/>
        <w:rPr>
          <w:rFonts w:ascii="Arial" w:hAnsi="Arial" w:cs="Arial"/>
          <w:b/>
          <w:u w:val="single"/>
        </w:rPr>
      </w:pPr>
    </w:p>
    <w:tbl>
      <w:tblPr>
        <w:tblW w:w="99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6"/>
        <w:gridCol w:w="1635"/>
        <w:gridCol w:w="1771"/>
        <w:gridCol w:w="1908"/>
        <w:gridCol w:w="2078"/>
      </w:tblGrid>
      <w:tr w:rsidR="00D42F77" w:rsidRPr="0066078E" w:rsidTr="007B3D73">
        <w:trPr>
          <w:trHeight w:val="340"/>
        </w:trPr>
        <w:tc>
          <w:tcPr>
            <w:tcW w:w="9917" w:type="dxa"/>
            <w:gridSpan w:val="5"/>
            <w:shd w:val="clear" w:color="auto" w:fill="FABF8F" w:themeFill="accent6" w:themeFillTint="99"/>
          </w:tcPr>
          <w:p w:rsidR="00D42F77" w:rsidRPr="0066078E" w:rsidRDefault="00457C6F" w:rsidP="007B3D73">
            <w:pPr>
              <w:jc w:val="both"/>
              <w:rPr>
                <w:rFonts w:ascii="Arial" w:hAnsi="Arial" w:cs="Arial"/>
              </w:rPr>
            </w:pPr>
            <w:r w:rsidRPr="0066078E">
              <w:rPr>
                <w:rFonts w:ascii="Arial" w:hAnsi="Arial" w:cs="Arial"/>
              </w:rPr>
              <w:t xml:space="preserve">How often does your family consume the following food groups? </w:t>
            </w:r>
          </w:p>
        </w:tc>
      </w:tr>
      <w:tr w:rsidR="00D42F77" w:rsidRPr="0066078E" w:rsidTr="007B3D73">
        <w:trPr>
          <w:trHeight w:val="408"/>
        </w:trPr>
        <w:tc>
          <w:tcPr>
            <w:tcW w:w="2526" w:type="dxa"/>
          </w:tcPr>
          <w:p w:rsidR="00D42F77" w:rsidRPr="00457C6F" w:rsidRDefault="00D42F77" w:rsidP="007B3D73">
            <w:pPr>
              <w:rPr>
                <w:rFonts w:ascii="Arial" w:hAnsi="Arial" w:cs="Arial"/>
                <w:b/>
              </w:rPr>
            </w:pPr>
            <w:r w:rsidRPr="00457C6F">
              <w:rPr>
                <w:rFonts w:ascii="Arial" w:hAnsi="Arial" w:cs="Arial"/>
                <w:b/>
              </w:rPr>
              <w:t>Food Groups</w:t>
            </w:r>
          </w:p>
        </w:tc>
        <w:tc>
          <w:tcPr>
            <w:tcW w:w="1635" w:type="dxa"/>
          </w:tcPr>
          <w:p w:rsidR="00D42F77" w:rsidRPr="00457C6F" w:rsidRDefault="00D42F77" w:rsidP="007B3D73">
            <w:pPr>
              <w:rPr>
                <w:rFonts w:ascii="Arial" w:hAnsi="Arial" w:cs="Arial"/>
                <w:b/>
              </w:rPr>
            </w:pPr>
            <w:r w:rsidRPr="00457C6F">
              <w:rPr>
                <w:rFonts w:ascii="Arial" w:hAnsi="Arial" w:cs="Arial"/>
                <w:b/>
              </w:rPr>
              <w:t xml:space="preserve">Daily </w:t>
            </w:r>
          </w:p>
        </w:tc>
        <w:tc>
          <w:tcPr>
            <w:tcW w:w="1771" w:type="dxa"/>
          </w:tcPr>
          <w:p w:rsidR="00D42F77" w:rsidRPr="00457C6F" w:rsidRDefault="00D42F77" w:rsidP="007B3D73">
            <w:pPr>
              <w:rPr>
                <w:rFonts w:ascii="Arial" w:hAnsi="Arial" w:cs="Arial"/>
                <w:b/>
              </w:rPr>
            </w:pPr>
            <w:r w:rsidRPr="00457C6F">
              <w:rPr>
                <w:rFonts w:ascii="Arial" w:hAnsi="Arial" w:cs="Arial"/>
                <w:b/>
              </w:rPr>
              <w:t>3-5 Times A Week</w:t>
            </w:r>
          </w:p>
        </w:tc>
        <w:tc>
          <w:tcPr>
            <w:tcW w:w="1908" w:type="dxa"/>
          </w:tcPr>
          <w:p w:rsidR="00D42F77" w:rsidRPr="00457C6F" w:rsidRDefault="00D42F77" w:rsidP="007B3D73">
            <w:pPr>
              <w:rPr>
                <w:rFonts w:ascii="Arial" w:hAnsi="Arial" w:cs="Arial"/>
                <w:b/>
              </w:rPr>
            </w:pPr>
            <w:r w:rsidRPr="00457C6F">
              <w:rPr>
                <w:rFonts w:ascii="Arial" w:hAnsi="Arial" w:cs="Arial"/>
                <w:b/>
              </w:rPr>
              <w:t>1-2 Times A Week</w:t>
            </w:r>
          </w:p>
        </w:tc>
        <w:tc>
          <w:tcPr>
            <w:tcW w:w="2078" w:type="dxa"/>
          </w:tcPr>
          <w:p w:rsidR="00D42F77" w:rsidRPr="00457C6F" w:rsidRDefault="00D42F77" w:rsidP="007B3D73">
            <w:pPr>
              <w:rPr>
                <w:rFonts w:ascii="Arial" w:hAnsi="Arial" w:cs="Arial"/>
                <w:b/>
              </w:rPr>
            </w:pPr>
            <w:r w:rsidRPr="00457C6F">
              <w:rPr>
                <w:rFonts w:ascii="Arial" w:hAnsi="Arial" w:cs="Arial"/>
                <w:b/>
              </w:rPr>
              <w:t>Rarely</w:t>
            </w:r>
          </w:p>
        </w:tc>
      </w:tr>
      <w:tr w:rsidR="00D42F77" w:rsidRPr="0066078E" w:rsidTr="007B3D73">
        <w:trPr>
          <w:trHeight w:val="381"/>
        </w:trPr>
        <w:tc>
          <w:tcPr>
            <w:tcW w:w="2526" w:type="dxa"/>
          </w:tcPr>
          <w:p w:rsidR="00D42F77" w:rsidRPr="00457C6F" w:rsidRDefault="00D42F77" w:rsidP="007B3D73">
            <w:pPr>
              <w:rPr>
                <w:rFonts w:ascii="Arial" w:hAnsi="Arial" w:cs="Arial"/>
                <w:b/>
              </w:rPr>
            </w:pPr>
            <w:r w:rsidRPr="00457C6F">
              <w:rPr>
                <w:rFonts w:ascii="Arial" w:hAnsi="Arial" w:cs="Arial"/>
                <w:b/>
              </w:rPr>
              <w:t xml:space="preserve">Cereals And Grains </w:t>
            </w:r>
          </w:p>
        </w:tc>
        <w:tc>
          <w:tcPr>
            <w:tcW w:w="1635" w:type="dxa"/>
          </w:tcPr>
          <w:p w:rsidR="00D42F77" w:rsidRPr="0066078E" w:rsidRDefault="00D42F77" w:rsidP="007B3D73">
            <w:pPr>
              <w:rPr>
                <w:rFonts w:ascii="Arial" w:hAnsi="Arial" w:cs="Arial"/>
              </w:rPr>
            </w:pPr>
            <w:r w:rsidRPr="0066078E">
              <w:rPr>
                <w:rFonts w:ascii="Arial" w:hAnsi="Arial" w:cs="Arial"/>
              </w:rPr>
              <w:t>56</w:t>
            </w:r>
          </w:p>
        </w:tc>
        <w:tc>
          <w:tcPr>
            <w:tcW w:w="1771" w:type="dxa"/>
          </w:tcPr>
          <w:p w:rsidR="00D42F77" w:rsidRPr="0066078E" w:rsidRDefault="00D42F77" w:rsidP="007B3D73">
            <w:pPr>
              <w:rPr>
                <w:rFonts w:ascii="Arial" w:hAnsi="Arial" w:cs="Arial"/>
              </w:rPr>
            </w:pPr>
            <w:r w:rsidRPr="0066078E">
              <w:rPr>
                <w:rFonts w:ascii="Arial" w:hAnsi="Arial" w:cs="Arial"/>
              </w:rPr>
              <w:t>4</w:t>
            </w:r>
          </w:p>
        </w:tc>
        <w:tc>
          <w:tcPr>
            <w:tcW w:w="1908" w:type="dxa"/>
          </w:tcPr>
          <w:p w:rsidR="00D42F77" w:rsidRPr="0066078E" w:rsidRDefault="00D42F77" w:rsidP="007B3D73">
            <w:pPr>
              <w:rPr>
                <w:rFonts w:ascii="Arial" w:hAnsi="Arial" w:cs="Arial"/>
              </w:rPr>
            </w:pPr>
            <w:r w:rsidRPr="0066078E">
              <w:rPr>
                <w:rFonts w:ascii="Arial" w:hAnsi="Arial" w:cs="Arial"/>
              </w:rPr>
              <w:t>15</w:t>
            </w:r>
          </w:p>
        </w:tc>
        <w:tc>
          <w:tcPr>
            <w:tcW w:w="2078" w:type="dxa"/>
          </w:tcPr>
          <w:p w:rsidR="00D42F77" w:rsidRPr="0066078E" w:rsidRDefault="00D42F77" w:rsidP="007B3D73">
            <w:pPr>
              <w:rPr>
                <w:rFonts w:ascii="Arial" w:hAnsi="Arial" w:cs="Arial"/>
              </w:rPr>
            </w:pPr>
            <w:r w:rsidRPr="0066078E">
              <w:rPr>
                <w:rFonts w:ascii="Arial" w:hAnsi="Arial" w:cs="Arial"/>
              </w:rPr>
              <w:t>-</w:t>
            </w:r>
          </w:p>
        </w:tc>
      </w:tr>
      <w:tr w:rsidR="00D42F77" w:rsidRPr="0066078E" w:rsidTr="007B3D73">
        <w:trPr>
          <w:trHeight w:val="381"/>
        </w:trPr>
        <w:tc>
          <w:tcPr>
            <w:tcW w:w="2526" w:type="dxa"/>
          </w:tcPr>
          <w:p w:rsidR="00D42F77" w:rsidRPr="00457C6F" w:rsidRDefault="00D42F77" w:rsidP="007B3D73">
            <w:pPr>
              <w:rPr>
                <w:rFonts w:ascii="Arial" w:hAnsi="Arial" w:cs="Arial"/>
                <w:b/>
              </w:rPr>
            </w:pPr>
            <w:r w:rsidRPr="00457C6F">
              <w:rPr>
                <w:rFonts w:ascii="Arial" w:hAnsi="Arial" w:cs="Arial"/>
                <w:b/>
              </w:rPr>
              <w:t>Pulses And Legumes</w:t>
            </w:r>
          </w:p>
        </w:tc>
        <w:tc>
          <w:tcPr>
            <w:tcW w:w="1635" w:type="dxa"/>
          </w:tcPr>
          <w:p w:rsidR="00D42F77" w:rsidRPr="0066078E" w:rsidRDefault="00D42F77" w:rsidP="007B3D73">
            <w:pPr>
              <w:rPr>
                <w:rFonts w:ascii="Arial" w:hAnsi="Arial" w:cs="Arial"/>
              </w:rPr>
            </w:pPr>
            <w:r w:rsidRPr="0066078E">
              <w:rPr>
                <w:rFonts w:ascii="Arial" w:hAnsi="Arial" w:cs="Arial"/>
              </w:rPr>
              <w:t>12</w:t>
            </w:r>
          </w:p>
        </w:tc>
        <w:tc>
          <w:tcPr>
            <w:tcW w:w="1771" w:type="dxa"/>
          </w:tcPr>
          <w:p w:rsidR="00D42F77" w:rsidRPr="0066078E" w:rsidRDefault="00D42F77" w:rsidP="007B3D73">
            <w:pPr>
              <w:rPr>
                <w:rFonts w:ascii="Arial" w:hAnsi="Arial" w:cs="Arial"/>
              </w:rPr>
            </w:pPr>
            <w:r w:rsidRPr="0066078E">
              <w:rPr>
                <w:rFonts w:ascii="Arial" w:hAnsi="Arial" w:cs="Arial"/>
              </w:rPr>
              <w:t>19</w:t>
            </w:r>
          </w:p>
        </w:tc>
        <w:tc>
          <w:tcPr>
            <w:tcW w:w="1908" w:type="dxa"/>
          </w:tcPr>
          <w:p w:rsidR="00D42F77" w:rsidRPr="0066078E" w:rsidRDefault="00D42F77" w:rsidP="007B3D73">
            <w:pPr>
              <w:rPr>
                <w:rFonts w:ascii="Arial" w:hAnsi="Arial" w:cs="Arial"/>
              </w:rPr>
            </w:pPr>
            <w:r w:rsidRPr="0066078E">
              <w:rPr>
                <w:rFonts w:ascii="Arial" w:hAnsi="Arial" w:cs="Arial"/>
              </w:rPr>
              <w:t>38</w:t>
            </w:r>
          </w:p>
        </w:tc>
        <w:tc>
          <w:tcPr>
            <w:tcW w:w="2078" w:type="dxa"/>
          </w:tcPr>
          <w:p w:rsidR="00D42F77" w:rsidRPr="0066078E" w:rsidRDefault="00D42F77" w:rsidP="007B3D73">
            <w:pPr>
              <w:rPr>
                <w:rFonts w:ascii="Arial" w:hAnsi="Arial" w:cs="Arial"/>
              </w:rPr>
            </w:pPr>
            <w:r w:rsidRPr="0066078E">
              <w:rPr>
                <w:rFonts w:ascii="Arial" w:hAnsi="Arial" w:cs="Arial"/>
              </w:rPr>
              <w:t>1</w:t>
            </w:r>
          </w:p>
        </w:tc>
      </w:tr>
      <w:tr w:rsidR="00D42F77" w:rsidRPr="0066078E" w:rsidTr="007B3D73">
        <w:trPr>
          <w:trHeight w:val="268"/>
        </w:trPr>
        <w:tc>
          <w:tcPr>
            <w:tcW w:w="2526" w:type="dxa"/>
          </w:tcPr>
          <w:p w:rsidR="00D42F77" w:rsidRPr="00457C6F" w:rsidRDefault="00D42F77" w:rsidP="007B3D73">
            <w:pPr>
              <w:rPr>
                <w:rFonts w:ascii="Arial" w:hAnsi="Arial" w:cs="Arial"/>
                <w:b/>
              </w:rPr>
            </w:pPr>
            <w:r w:rsidRPr="00457C6F">
              <w:rPr>
                <w:rFonts w:ascii="Arial" w:hAnsi="Arial" w:cs="Arial"/>
                <w:b/>
              </w:rPr>
              <w:t>Vegetables</w:t>
            </w:r>
          </w:p>
        </w:tc>
        <w:tc>
          <w:tcPr>
            <w:tcW w:w="1635" w:type="dxa"/>
          </w:tcPr>
          <w:p w:rsidR="00D42F77" w:rsidRPr="0066078E" w:rsidRDefault="00D42F77" w:rsidP="007B3D73">
            <w:pPr>
              <w:rPr>
                <w:rFonts w:ascii="Arial" w:hAnsi="Arial" w:cs="Arial"/>
              </w:rPr>
            </w:pPr>
            <w:r w:rsidRPr="0066078E">
              <w:rPr>
                <w:rFonts w:ascii="Arial" w:hAnsi="Arial" w:cs="Arial"/>
              </w:rPr>
              <w:t>13</w:t>
            </w:r>
          </w:p>
        </w:tc>
        <w:tc>
          <w:tcPr>
            <w:tcW w:w="1771" w:type="dxa"/>
          </w:tcPr>
          <w:p w:rsidR="00D42F77" w:rsidRPr="0066078E" w:rsidRDefault="00D42F77" w:rsidP="007B3D73">
            <w:pPr>
              <w:rPr>
                <w:rFonts w:ascii="Arial" w:hAnsi="Arial" w:cs="Arial"/>
              </w:rPr>
            </w:pPr>
            <w:r w:rsidRPr="0066078E">
              <w:rPr>
                <w:rFonts w:ascii="Arial" w:hAnsi="Arial" w:cs="Arial"/>
              </w:rPr>
              <w:t>32</w:t>
            </w:r>
          </w:p>
        </w:tc>
        <w:tc>
          <w:tcPr>
            <w:tcW w:w="1908" w:type="dxa"/>
          </w:tcPr>
          <w:p w:rsidR="00D42F77" w:rsidRPr="0066078E" w:rsidRDefault="00D42F77" w:rsidP="007B3D73">
            <w:pPr>
              <w:rPr>
                <w:rFonts w:ascii="Arial" w:hAnsi="Arial" w:cs="Arial"/>
              </w:rPr>
            </w:pPr>
            <w:r w:rsidRPr="0066078E">
              <w:rPr>
                <w:rFonts w:ascii="Arial" w:hAnsi="Arial" w:cs="Arial"/>
              </w:rPr>
              <w:t>27</w:t>
            </w:r>
          </w:p>
        </w:tc>
        <w:tc>
          <w:tcPr>
            <w:tcW w:w="2078" w:type="dxa"/>
          </w:tcPr>
          <w:p w:rsidR="00D42F77" w:rsidRPr="0066078E" w:rsidRDefault="00D42F77" w:rsidP="007B3D73">
            <w:pPr>
              <w:rPr>
                <w:rFonts w:ascii="Arial" w:hAnsi="Arial" w:cs="Arial"/>
              </w:rPr>
            </w:pPr>
            <w:r w:rsidRPr="0066078E">
              <w:rPr>
                <w:rFonts w:ascii="Arial" w:hAnsi="Arial" w:cs="Arial"/>
              </w:rPr>
              <w:t>-</w:t>
            </w:r>
          </w:p>
        </w:tc>
      </w:tr>
      <w:tr w:rsidR="00D42F77" w:rsidRPr="0066078E" w:rsidTr="007B3D73">
        <w:trPr>
          <w:trHeight w:val="217"/>
        </w:trPr>
        <w:tc>
          <w:tcPr>
            <w:tcW w:w="2526" w:type="dxa"/>
          </w:tcPr>
          <w:p w:rsidR="00D42F77" w:rsidRPr="00457C6F" w:rsidRDefault="00D42F77" w:rsidP="007B3D73">
            <w:pPr>
              <w:rPr>
                <w:rFonts w:ascii="Arial" w:hAnsi="Arial" w:cs="Arial"/>
                <w:b/>
              </w:rPr>
            </w:pPr>
            <w:r w:rsidRPr="00457C6F">
              <w:rPr>
                <w:rFonts w:ascii="Arial" w:hAnsi="Arial" w:cs="Arial"/>
                <w:b/>
              </w:rPr>
              <w:t>Fruits</w:t>
            </w:r>
          </w:p>
        </w:tc>
        <w:tc>
          <w:tcPr>
            <w:tcW w:w="1635" w:type="dxa"/>
          </w:tcPr>
          <w:p w:rsidR="00D42F77" w:rsidRPr="0066078E" w:rsidRDefault="00D42F77" w:rsidP="007B3D73">
            <w:pPr>
              <w:rPr>
                <w:rFonts w:ascii="Arial" w:hAnsi="Arial" w:cs="Arial"/>
              </w:rPr>
            </w:pPr>
            <w:r w:rsidRPr="0066078E">
              <w:rPr>
                <w:rFonts w:ascii="Arial" w:hAnsi="Arial" w:cs="Arial"/>
              </w:rPr>
              <w:t>6</w:t>
            </w:r>
          </w:p>
        </w:tc>
        <w:tc>
          <w:tcPr>
            <w:tcW w:w="1771" w:type="dxa"/>
          </w:tcPr>
          <w:p w:rsidR="00D42F77" w:rsidRPr="0066078E" w:rsidRDefault="00D42F77" w:rsidP="007B3D73">
            <w:pPr>
              <w:rPr>
                <w:rFonts w:ascii="Arial" w:hAnsi="Arial" w:cs="Arial"/>
              </w:rPr>
            </w:pPr>
            <w:r w:rsidRPr="0066078E">
              <w:rPr>
                <w:rFonts w:ascii="Arial" w:hAnsi="Arial" w:cs="Arial"/>
              </w:rPr>
              <w:t>7</w:t>
            </w:r>
          </w:p>
        </w:tc>
        <w:tc>
          <w:tcPr>
            <w:tcW w:w="1908" w:type="dxa"/>
          </w:tcPr>
          <w:p w:rsidR="00D42F77" w:rsidRPr="0066078E" w:rsidRDefault="00D42F77" w:rsidP="007B3D73">
            <w:pPr>
              <w:rPr>
                <w:rFonts w:ascii="Arial" w:hAnsi="Arial" w:cs="Arial"/>
              </w:rPr>
            </w:pPr>
            <w:r w:rsidRPr="0066078E">
              <w:rPr>
                <w:rFonts w:ascii="Arial" w:hAnsi="Arial" w:cs="Arial"/>
              </w:rPr>
              <w:t>23</w:t>
            </w:r>
          </w:p>
        </w:tc>
        <w:tc>
          <w:tcPr>
            <w:tcW w:w="2078" w:type="dxa"/>
          </w:tcPr>
          <w:p w:rsidR="00D42F77" w:rsidRPr="0066078E" w:rsidRDefault="00D42F77" w:rsidP="007B3D73">
            <w:pPr>
              <w:rPr>
                <w:rFonts w:ascii="Arial" w:hAnsi="Arial" w:cs="Arial"/>
              </w:rPr>
            </w:pPr>
            <w:r w:rsidRPr="0066078E">
              <w:rPr>
                <w:rFonts w:ascii="Arial" w:hAnsi="Arial" w:cs="Arial"/>
              </w:rPr>
              <w:t>34</w:t>
            </w:r>
          </w:p>
        </w:tc>
      </w:tr>
      <w:tr w:rsidR="00D42F77" w:rsidRPr="0066078E" w:rsidTr="007B3D73">
        <w:trPr>
          <w:trHeight w:val="227"/>
        </w:trPr>
        <w:tc>
          <w:tcPr>
            <w:tcW w:w="2526" w:type="dxa"/>
          </w:tcPr>
          <w:p w:rsidR="00D42F77" w:rsidRPr="00457C6F" w:rsidRDefault="00D42F77" w:rsidP="007B3D73">
            <w:pPr>
              <w:rPr>
                <w:rFonts w:ascii="Arial" w:hAnsi="Arial" w:cs="Arial"/>
                <w:b/>
              </w:rPr>
            </w:pPr>
            <w:r w:rsidRPr="00457C6F">
              <w:rPr>
                <w:rFonts w:ascii="Arial" w:hAnsi="Arial" w:cs="Arial"/>
                <w:b/>
              </w:rPr>
              <w:t>Milk And Dairy Product</w:t>
            </w:r>
          </w:p>
        </w:tc>
        <w:tc>
          <w:tcPr>
            <w:tcW w:w="1635" w:type="dxa"/>
          </w:tcPr>
          <w:p w:rsidR="00D42F77" w:rsidRPr="0066078E" w:rsidRDefault="00D42F77" w:rsidP="007B3D73">
            <w:pPr>
              <w:rPr>
                <w:rFonts w:ascii="Arial" w:hAnsi="Arial" w:cs="Arial"/>
              </w:rPr>
            </w:pPr>
            <w:r w:rsidRPr="0066078E">
              <w:rPr>
                <w:rFonts w:ascii="Arial" w:hAnsi="Arial" w:cs="Arial"/>
              </w:rPr>
              <w:t>7</w:t>
            </w:r>
          </w:p>
        </w:tc>
        <w:tc>
          <w:tcPr>
            <w:tcW w:w="1771" w:type="dxa"/>
          </w:tcPr>
          <w:p w:rsidR="00D42F77" w:rsidRPr="0066078E" w:rsidRDefault="00D42F77" w:rsidP="007B3D73">
            <w:pPr>
              <w:rPr>
                <w:rFonts w:ascii="Arial" w:hAnsi="Arial" w:cs="Arial"/>
              </w:rPr>
            </w:pPr>
            <w:r w:rsidRPr="0066078E">
              <w:rPr>
                <w:rFonts w:ascii="Arial" w:hAnsi="Arial" w:cs="Arial"/>
              </w:rPr>
              <w:t>15</w:t>
            </w:r>
          </w:p>
        </w:tc>
        <w:tc>
          <w:tcPr>
            <w:tcW w:w="1908" w:type="dxa"/>
          </w:tcPr>
          <w:p w:rsidR="00D42F77" w:rsidRPr="0066078E" w:rsidRDefault="00D42F77" w:rsidP="007B3D73">
            <w:pPr>
              <w:rPr>
                <w:rFonts w:ascii="Arial" w:hAnsi="Arial" w:cs="Arial"/>
              </w:rPr>
            </w:pPr>
            <w:r w:rsidRPr="0066078E">
              <w:rPr>
                <w:rFonts w:ascii="Arial" w:hAnsi="Arial" w:cs="Arial"/>
              </w:rPr>
              <w:t>45</w:t>
            </w:r>
          </w:p>
        </w:tc>
        <w:tc>
          <w:tcPr>
            <w:tcW w:w="2078" w:type="dxa"/>
          </w:tcPr>
          <w:p w:rsidR="00D42F77" w:rsidRPr="0066078E" w:rsidRDefault="00D42F77" w:rsidP="007B3D73">
            <w:pPr>
              <w:rPr>
                <w:rFonts w:ascii="Arial" w:hAnsi="Arial" w:cs="Arial"/>
              </w:rPr>
            </w:pPr>
            <w:r w:rsidRPr="0066078E">
              <w:rPr>
                <w:rFonts w:ascii="Arial" w:hAnsi="Arial" w:cs="Arial"/>
              </w:rPr>
              <w:t>1</w:t>
            </w:r>
          </w:p>
        </w:tc>
      </w:tr>
      <w:tr w:rsidR="00D42F77" w:rsidRPr="0066078E" w:rsidTr="007B3D73">
        <w:trPr>
          <w:trHeight w:val="372"/>
        </w:trPr>
        <w:tc>
          <w:tcPr>
            <w:tcW w:w="2526" w:type="dxa"/>
          </w:tcPr>
          <w:p w:rsidR="00D42F77" w:rsidRPr="00457C6F" w:rsidRDefault="00D42F77" w:rsidP="007B3D73">
            <w:pPr>
              <w:rPr>
                <w:rFonts w:ascii="Arial" w:hAnsi="Arial" w:cs="Arial"/>
                <w:b/>
              </w:rPr>
            </w:pPr>
            <w:r w:rsidRPr="00457C6F">
              <w:rPr>
                <w:rFonts w:ascii="Arial" w:hAnsi="Arial" w:cs="Arial"/>
                <w:b/>
              </w:rPr>
              <w:t>Meat ,Fish And Egg</w:t>
            </w:r>
          </w:p>
        </w:tc>
        <w:tc>
          <w:tcPr>
            <w:tcW w:w="1635" w:type="dxa"/>
          </w:tcPr>
          <w:p w:rsidR="00D42F77" w:rsidRPr="0066078E" w:rsidRDefault="00D42F77" w:rsidP="007B3D73">
            <w:pPr>
              <w:rPr>
                <w:rFonts w:ascii="Arial" w:hAnsi="Arial" w:cs="Arial"/>
              </w:rPr>
            </w:pPr>
            <w:r w:rsidRPr="0066078E">
              <w:rPr>
                <w:rFonts w:ascii="Arial" w:hAnsi="Arial" w:cs="Arial"/>
              </w:rPr>
              <w:t>9</w:t>
            </w:r>
          </w:p>
        </w:tc>
        <w:tc>
          <w:tcPr>
            <w:tcW w:w="1771" w:type="dxa"/>
          </w:tcPr>
          <w:p w:rsidR="00D42F77" w:rsidRPr="0066078E" w:rsidRDefault="00D42F77" w:rsidP="007B3D73">
            <w:pPr>
              <w:rPr>
                <w:rFonts w:ascii="Arial" w:hAnsi="Arial" w:cs="Arial"/>
              </w:rPr>
            </w:pPr>
            <w:r w:rsidRPr="0066078E">
              <w:rPr>
                <w:rFonts w:ascii="Arial" w:hAnsi="Arial" w:cs="Arial"/>
              </w:rPr>
              <w:t>5</w:t>
            </w:r>
          </w:p>
        </w:tc>
        <w:tc>
          <w:tcPr>
            <w:tcW w:w="1908" w:type="dxa"/>
          </w:tcPr>
          <w:p w:rsidR="00D42F77" w:rsidRPr="0066078E" w:rsidRDefault="00D42F77" w:rsidP="007B3D73">
            <w:pPr>
              <w:rPr>
                <w:rFonts w:ascii="Arial" w:hAnsi="Arial" w:cs="Arial"/>
              </w:rPr>
            </w:pPr>
            <w:r w:rsidRPr="0066078E">
              <w:rPr>
                <w:rFonts w:ascii="Arial" w:hAnsi="Arial" w:cs="Arial"/>
              </w:rPr>
              <w:t>53</w:t>
            </w:r>
          </w:p>
        </w:tc>
        <w:tc>
          <w:tcPr>
            <w:tcW w:w="2078" w:type="dxa"/>
          </w:tcPr>
          <w:p w:rsidR="00D42F77" w:rsidRPr="0066078E" w:rsidRDefault="00D42F77" w:rsidP="007B3D73">
            <w:pPr>
              <w:rPr>
                <w:rFonts w:ascii="Arial" w:hAnsi="Arial" w:cs="Arial"/>
              </w:rPr>
            </w:pPr>
            <w:r w:rsidRPr="0066078E">
              <w:rPr>
                <w:rFonts w:ascii="Arial" w:hAnsi="Arial" w:cs="Arial"/>
              </w:rPr>
              <w:t>2</w:t>
            </w:r>
          </w:p>
        </w:tc>
      </w:tr>
      <w:tr w:rsidR="00D42F77" w:rsidRPr="0066078E" w:rsidTr="007B3D73">
        <w:trPr>
          <w:trHeight w:val="207"/>
        </w:trPr>
        <w:tc>
          <w:tcPr>
            <w:tcW w:w="2526" w:type="dxa"/>
          </w:tcPr>
          <w:p w:rsidR="00D42F77" w:rsidRPr="00457C6F" w:rsidRDefault="00D42F77" w:rsidP="007B3D73">
            <w:pPr>
              <w:rPr>
                <w:rFonts w:ascii="Arial" w:hAnsi="Arial" w:cs="Arial"/>
                <w:b/>
              </w:rPr>
            </w:pPr>
            <w:r w:rsidRPr="00457C6F">
              <w:rPr>
                <w:rFonts w:ascii="Arial" w:hAnsi="Arial" w:cs="Arial"/>
                <w:b/>
              </w:rPr>
              <w:t>Oil And Fats</w:t>
            </w:r>
          </w:p>
        </w:tc>
        <w:tc>
          <w:tcPr>
            <w:tcW w:w="1635" w:type="dxa"/>
          </w:tcPr>
          <w:p w:rsidR="00D42F77" w:rsidRPr="0066078E" w:rsidRDefault="00D42F77" w:rsidP="007B3D73">
            <w:pPr>
              <w:rPr>
                <w:rFonts w:ascii="Arial" w:hAnsi="Arial" w:cs="Arial"/>
              </w:rPr>
            </w:pPr>
            <w:r w:rsidRPr="0066078E">
              <w:rPr>
                <w:rFonts w:ascii="Arial" w:hAnsi="Arial" w:cs="Arial"/>
              </w:rPr>
              <w:t>47</w:t>
            </w:r>
          </w:p>
        </w:tc>
        <w:tc>
          <w:tcPr>
            <w:tcW w:w="1771" w:type="dxa"/>
          </w:tcPr>
          <w:p w:rsidR="00D42F77" w:rsidRPr="0066078E" w:rsidRDefault="00D42F77" w:rsidP="007B3D73">
            <w:pPr>
              <w:rPr>
                <w:rFonts w:ascii="Arial" w:hAnsi="Arial" w:cs="Arial"/>
              </w:rPr>
            </w:pPr>
            <w:r w:rsidRPr="0066078E">
              <w:rPr>
                <w:rFonts w:ascii="Arial" w:hAnsi="Arial" w:cs="Arial"/>
              </w:rPr>
              <w:t>20</w:t>
            </w:r>
          </w:p>
        </w:tc>
        <w:tc>
          <w:tcPr>
            <w:tcW w:w="1908" w:type="dxa"/>
          </w:tcPr>
          <w:p w:rsidR="00D42F77" w:rsidRPr="0066078E" w:rsidRDefault="00D42F77" w:rsidP="007B3D73">
            <w:pPr>
              <w:rPr>
                <w:rFonts w:ascii="Arial" w:hAnsi="Arial" w:cs="Arial"/>
              </w:rPr>
            </w:pPr>
            <w:r w:rsidRPr="0066078E">
              <w:rPr>
                <w:rFonts w:ascii="Arial" w:hAnsi="Arial" w:cs="Arial"/>
              </w:rPr>
              <w:t>1</w:t>
            </w:r>
          </w:p>
        </w:tc>
        <w:tc>
          <w:tcPr>
            <w:tcW w:w="2078" w:type="dxa"/>
          </w:tcPr>
          <w:p w:rsidR="00D42F77" w:rsidRPr="0066078E" w:rsidRDefault="00D42F77" w:rsidP="007B3D73">
            <w:pPr>
              <w:rPr>
                <w:rFonts w:ascii="Arial" w:hAnsi="Arial" w:cs="Arial"/>
              </w:rPr>
            </w:pPr>
            <w:r w:rsidRPr="0066078E">
              <w:rPr>
                <w:rFonts w:ascii="Arial" w:hAnsi="Arial" w:cs="Arial"/>
              </w:rPr>
              <w:t>-</w:t>
            </w:r>
          </w:p>
        </w:tc>
      </w:tr>
      <w:tr w:rsidR="00D42F77" w:rsidRPr="0066078E" w:rsidTr="007B3D73">
        <w:trPr>
          <w:trHeight w:val="338"/>
        </w:trPr>
        <w:tc>
          <w:tcPr>
            <w:tcW w:w="2526" w:type="dxa"/>
          </w:tcPr>
          <w:p w:rsidR="00D42F77" w:rsidRPr="00457C6F" w:rsidRDefault="00D42F77" w:rsidP="007B3D73">
            <w:pPr>
              <w:rPr>
                <w:rFonts w:ascii="Arial" w:hAnsi="Arial" w:cs="Arial"/>
                <w:b/>
              </w:rPr>
            </w:pPr>
            <w:r w:rsidRPr="00457C6F">
              <w:rPr>
                <w:rFonts w:ascii="Arial" w:hAnsi="Arial" w:cs="Arial"/>
                <w:b/>
              </w:rPr>
              <w:t>Processed Food</w:t>
            </w:r>
          </w:p>
        </w:tc>
        <w:tc>
          <w:tcPr>
            <w:tcW w:w="1635" w:type="dxa"/>
          </w:tcPr>
          <w:p w:rsidR="00D42F77" w:rsidRPr="0066078E" w:rsidRDefault="00D42F77" w:rsidP="007B3D73">
            <w:pPr>
              <w:rPr>
                <w:rFonts w:ascii="Arial" w:hAnsi="Arial" w:cs="Arial"/>
              </w:rPr>
            </w:pPr>
            <w:r w:rsidRPr="0066078E">
              <w:rPr>
                <w:rFonts w:ascii="Arial" w:hAnsi="Arial" w:cs="Arial"/>
              </w:rPr>
              <w:t>8</w:t>
            </w:r>
          </w:p>
        </w:tc>
        <w:tc>
          <w:tcPr>
            <w:tcW w:w="1771" w:type="dxa"/>
          </w:tcPr>
          <w:p w:rsidR="00D42F77" w:rsidRPr="0066078E" w:rsidRDefault="00D42F77" w:rsidP="007B3D73">
            <w:pPr>
              <w:rPr>
                <w:rFonts w:ascii="Arial" w:hAnsi="Arial" w:cs="Arial"/>
              </w:rPr>
            </w:pPr>
            <w:r w:rsidRPr="0066078E">
              <w:rPr>
                <w:rFonts w:ascii="Arial" w:hAnsi="Arial" w:cs="Arial"/>
              </w:rPr>
              <w:t>33</w:t>
            </w:r>
          </w:p>
        </w:tc>
        <w:tc>
          <w:tcPr>
            <w:tcW w:w="1908" w:type="dxa"/>
          </w:tcPr>
          <w:p w:rsidR="00D42F77" w:rsidRPr="0066078E" w:rsidRDefault="00D42F77" w:rsidP="007B3D73">
            <w:pPr>
              <w:rPr>
                <w:rFonts w:ascii="Arial" w:hAnsi="Arial" w:cs="Arial"/>
              </w:rPr>
            </w:pPr>
            <w:r w:rsidRPr="0066078E">
              <w:rPr>
                <w:rFonts w:ascii="Arial" w:hAnsi="Arial" w:cs="Arial"/>
              </w:rPr>
              <w:t>26</w:t>
            </w:r>
          </w:p>
        </w:tc>
        <w:tc>
          <w:tcPr>
            <w:tcW w:w="2078" w:type="dxa"/>
          </w:tcPr>
          <w:p w:rsidR="00D42F77" w:rsidRPr="0066078E" w:rsidRDefault="00D42F77" w:rsidP="007B3D73">
            <w:pPr>
              <w:rPr>
                <w:rFonts w:ascii="Arial" w:hAnsi="Arial" w:cs="Arial"/>
              </w:rPr>
            </w:pPr>
            <w:r w:rsidRPr="0066078E">
              <w:rPr>
                <w:rFonts w:ascii="Arial" w:hAnsi="Arial" w:cs="Arial"/>
              </w:rPr>
              <w:t>6</w:t>
            </w:r>
          </w:p>
        </w:tc>
      </w:tr>
      <w:tr w:rsidR="00D42F77" w:rsidRPr="0066078E" w:rsidTr="007B3D73">
        <w:trPr>
          <w:trHeight w:val="48"/>
        </w:trPr>
        <w:tc>
          <w:tcPr>
            <w:tcW w:w="2526" w:type="dxa"/>
          </w:tcPr>
          <w:p w:rsidR="00D42F77" w:rsidRPr="00457C6F" w:rsidRDefault="00D42F77" w:rsidP="007B3D73">
            <w:pPr>
              <w:rPr>
                <w:rFonts w:ascii="Arial" w:hAnsi="Arial" w:cs="Arial"/>
                <w:b/>
              </w:rPr>
            </w:pPr>
            <w:r w:rsidRPr="00457C6F">
              <w:rPr>
                <w:rFonts w:ascii="Arial" w:hAnsi="Arial" w:cs="Arial"/>
                <w:b/>
              </w:rPr>
              <w:t>Sugary Food</w:t>
            </w:r>
          </w:p>
        </w:tc>
        <w:tc>
          <w:tcPr>
            <w:tcW w:w="1635" w:type="dxa"/>
          </w:tcPr>
          <w:p w:rsidR="00D42F77" w:rsidRPr="0066078E" w:rsidRDefault="00D42F77" w:rsidP="007B3D73">
            <w:pPr>
              <w:rPr>
                <w:rFonts w:ascii="Arial" w:hAnsi="Arial" w:cs="Arial"/>
              </w:rPr>
            </w:pPr>
            <w:r w:rsidRPr="0066078E">
              <w:rPr>
                <w:rFonts w:ascii="Arial" w:hAnsi="Arial" w:cs="Arial"/>
              </w:rPr>
              <w:t>16</w:t>
            </w:r>
          </w:p>
        </w:tc>
        <w:tc>
          <w:tcPr>
            <w:tcW w:w="1771" w:type="dxa"/>
          </w:tcPr>
          <w:p w:rsidR="00D42F77" w:rsidRPr="0066078E" w:rsidRDefault="00D42F77" w:rsidP="007B3D73">
            <w:pPr>
              <w:rPr>
                <w:rFonts w:ascii="Arial" w:hAnsi="Arial" w:cs="Arial"/>
              </w:rPr>
            </w:pPr>
            <w:r w:rsidRPr="0066078E">
              <w:rPr>
                <w:rFonts w:ascii="Arial" w:hAnsi="Arial" w:cs="Arial"/>
              </w:rPr>
              <w:t>35</w:t>
            </w:r>
          </w:p>
        </w:tc>
        <w:tc>
          <w:tcPr>
            <w:tcW w:w="1908" w:type="dxa"/>
          </w:tcPr>
          <w:p w:rsidR="00D42F77" w:rsidRPr="0066078E" w:rsidRDefault="00D42F77" w:rsidP="007B3D73">
            <w:pPr>
              <w:rPr>
                <w:rFonts w:ascii="Arial" w:hAnsi="Arial" w:cs="Arial"/>
              </w:rPr>
            </w:pPr>
            <w:r w:rsidRPr="0066078E">
              <w:rPr>
                <w:rFonts w:ascii="Arial" w:hAnsi="Arial" w:cs="Arial"/>
              </w:rPr>
              <w:t>17</w:t>
            </w:r>
          </w:p>
        </w:tc>
        <w:tc>
          <w:tcPr>
            <w:tcW w:w="2078" w:type="dxa"/>
          </w:tcPr>
          <w:p w:rsidR="00D42F77" w:rsidRPr="0066078E" w:rsidRDefault="00D42F77" w:rsidP="007B3D73">
            <w:pPr>
              <w:rPr>
                <w:rFonts w:ascii="Arial" w:hAnsi="Arial" w:cs="Arial"/>
              </w:rPr>
            </w:pPr>
            <w:r w:rsidRPr="0066078E">
              <w:rPr>
                <w:rFonts w:ascii="Arial" w:hAnsi="Arial" w:cs="Arial"/>
              </w:rPr>
              <w:t>6</w:t>
            </w:r>
          </w:p>
        </w:tc>
      </w:tr>
    </w:tbl>
    <w:p w:rsidR="00D42F77" w:rsidRPr="0066078E" w:rsidRDefault="00D42F77" w:rsidP="00D42F77">
      <w:pPr>
        <w:jc w:val="both"/>
        <w:rPr>
          <w:rFonts w:ascii="Arial" w:hAnsi="Arial" w:cs="Arial"/>
        </w:rPr>
      </w:pPr>
    </w:p>
    <w:p w:rsidR="00D42F77" w:rsidRPr="0066078E" w:rsidRDefault="00D42F77" w:rsidP="002A1BA9">
      <w:pPr>
        <w:pStyle w:val="AbstHead"/>
        <w:jc w:val="both"/>
        <w:rPr>
          <w:rFonts w:ascii="Arial" w:hAnsi="Arial" w:cs="Arial"/>
          <w:b w:val="0"/>
          <w:sz w:val="20"/>
        </w:rPr>
      </w:pPr>
    </w:p>
    <w:p w:rsidR="002A1BA9" w:rsidRPr="0066078E" w:rsidRDefault="002A1BA9" w:rsidP="002A1BA9">
      <w:pPr>
        <w:pStyle w:val="AbstHead"/>
        <w:jc w:val="both"/>
        <w:rPr>
          <w:rFonts w:ascii="Arial" w:hAnsi="Arial" w:cs="Arial"/>
          <w:b w:val="0"/>
          <w:caps w:val="0"/>
          <w:sz w:val="20"/>
        </w:rPr>
      </w:pPr>
      <w:r w:rsidRPr="0066078E">
        <w:rPr>
          <w:rFonts w:ascii="Arial" w:hAnsi="Arial" w:cs="Arial"/>
          <w:b w:val="0"/>
          <w:caps w:val="0"/>
          <w:sz w:val="20"/>
        </w:rPr>
        <w:t xml:space="preserve">Daily consumption of cereals and grains was nearly universal (80%), reflecting a carbohydrate-heavy dietary structure. However, protein and micronutrient-rich food groups were consumed far less frequently. Only 17% of households consumed pulses daily, while more than 48% consumed fruits rarely or not at all. Daily intake of milk and dairy products was reported by just 10% of families, and only 12.9% consumed animal-source foods such as meat, fish, or eggs daily. In contrast, processed foods and sugary snacks were consumed </w:t>
      </w:r>
      <w:r w:rsidRPr="0066078E">
        <w:rPr>
          <w:rFonts w:ascii="Arial" w:hAnsi="Arial" w:cs="Arial"/>
          <w:b w:val="0"/>
          <w:caps w:val="0"/>
          <w:sz w:val="20"/>
        </w:rPr>
        <w:lastRenderedPageBreak/>
        <w:t>3–5 times a week by nearly half of the households, suggesting a drift toward energy-dense, nutrient-poor dietary patterns.</w:t>
      </w:r>
    </w:p>
    <w:p w:rsidR="0066078E" w:rsidRPr="0066078E" w:rsidRDefault="00561A01" w:rsidP="00457C6F">
      <w:pPr>
        <w:rPr>
          <w:rFonts w:ascii="Arial" w:hAnsi="Arial" w:cs="Arial"/>
          <w:b/>
          <w:u w:val="single"/>
        </w:rPr>
      </w:pPr>
      <w:r>
        <w:rPr>
          <w:rFonts w:ascii="Arial" w:hAnsi="Arial" w:cs="Arial"/>
          <w:b/>
          <w:u w:val="single"/>
        </w:rPr>
        <w:t>Table 3</w:t>
      </w:r>
      <w:r w:rsidR="0066078E" w:rsidRPr="0066078E">
        <w:rPr>
          <w:rFonts w:ascii="Arial" w:hAnsi="Arial" w:cs="Arial"/>
          <w:b/>
          <w:u w:val="single"/>
        </w:rPr>
        <w:t>: nutritional adequacy of their family's diet of the sample population</w:t>
      </w:r>
      <w:r>
        <w:rPr>
          <w:rFonts w:ascii="Arial" w:hAnsi="Arial" w:cs="Arial"/>
          <w:b/>
          <w:u w:val="single"/>
        </w:rPr>
        <w:t xml:space="preserve">  </w:t>
      </w:r>
      <w:r w:rsidRPr="0066078E">
        <w:rPr>
          <w:rFonts w:ascii="Arial" w:hAnsi="Arial" w:cs="Arial"/>
          <w:b/>
          <w:u w:val="single"/>
        </w:rPr>
        <w:t>(n=70)</w:t>
      </w:r>
      <w:r w:rsidR="0066078E" w:rsidRPr="0066078E">
        <w:rPr>
          <w:rFonts w:ascii="Arial" w:hAnsi="Arial" w:cs="Arial"/>
          <w:b/>
          <w:u w:val="single"/>
        </w:rPr>
        <w:t xml:space="preserve"> </w:t>
      </w:r>
    </w:p>
    <w:p w:rsidR="0066078E" w:rsidRPr="0066078E" w:rsidRDefault="0066078E" w:rsidP="0066078E">
      <w:pPr>
        <w:jc w:val="center"/>
        <w:rPr>
          <w:rFonts w:ascii="Arial" w:hAnsi="Arial" w:cs="Arial"/>
          <w:b/>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3171"/>
        <w:gridCol w:w="2544"/>
      </w:tblGrid>
      <w:tr w:rsidR="0066078E" w:rsidRPr="0066078E" w:rsidTr="007B3D73">
        <w:trPr>
          <w:trHeight w:val="570"/>
        </w:trPr>
        <w:tc>
          <w:tcPr>
            <w:tcW w:w="9435" w:type="dxa"/>
            <w:gridSpan w:val="3"/>
            <w:shd w:val="clear" w:color="auto" w:fill="B6DDE8" w:themeFill="accent5" w:themeFillTint="66"/>
          </w:tcPr>
          <w:p w:rsidR="0066078E" w:rsidRPr="0066078E" w:rsidRDefault="0066078E" w:rsidP="007B3D73">
            <w:pPr>
              <w:rPr>
                <w:rFonts w:ascii="Arial" w:hAnsi="Arial" w:cs="Arial"/>
              </w:rPr>
            </w:pPr>
            <w:r w:rsidRPr="0066078E">
              <w:rPr>
                <w:rFonts w:ascii="Arial" w:hAnsi="Arial" w:cs="Arial"/>
              </w:rPr>
              <w:t>Do you think your family's current diet is nutritious?</w:t>
            </w:r>
          </w:p>
        </w:tc>
      </w:tr>
      <w:tr w:rsidR="0066078E" w:rsidRPr="0066078E" w:rsidTr="007B3D73">
        <w:trPr>
          <w:trHeight w:val="380"/>
        </w:trPr>
        <w:tc>
          <w:tcPr>
            <w:tcW w:w="2962" w:type="dxa"/>
            <w:shd w:val="clear" w:color="auto" w:fill="D6E3BC" w:themeFill="accent3" w:themeFillTint="66"/>
          </w:tcPr>
          <w:p w:rsidR="0066078E" w:rsidRPr="0066078E" w:rsidRDefault="0066078E" w:rsidP="007B3D73">
            <w:pPr>
              <w:jc w:val="center"/>
              <w:rPr>
                <w:rFonts w:ascii="Arial" w:hAnsi="Arial" w:cs="Arial"/>
              </w:rPr>
            </w:pPr>
            <w:r w:rsidRPr="0066078E">
              <w:rPr>
                <w:rFonts w:ascii="Arial" w:hAnsi="Arial" w:cs="Arial"/>
              </w:rPr>
              <w:t>Yes</w:t>
            </w:r>
          </w:p>
        </w:tc>
        <w:tc>
          <w:tcPr>
            <w:tcW w:w="3544" w:type="dxa"/>
            <w:shd w:val="clear" w:color="auto" w:fill="FBD4B4" w:themeFill="accent6" w:themeFillTint="66"/>
          </w:tcPr>
          <w:p w:rsidR="0066078E" w:rsidRPr="0066078E" w:rsidRDefault="0066078E" w:rsidP="007B3D73">
            <w:pPr>
              <w:jc w:val="center"/>
              <w:rPr>
                <w:rFonts w:ascii="Arial" w:hAnsi="Arial" w:cs="Arial"/>
              </w:rPr>
            </w:pPr>
            <w:r w:rsidRPr="0066078E">
              <w:rPr>
                <w:rFonts w:ascii="Arial" w:hAnsi="Arial" w:cs="Arial"/>
              </w:rPr>
              <w:t>Somewhat</w:t>
            </w:r>
          </w:p>
        </w:tc>
        <w:tc>
          <w:tcPr>
            <w:tcW w:w="2929" w:type="dxa"/>
            <w:shd w:val="clear" w:color="auto" w:fill="F2DBDB" w:themeFill="accent2" w:themeFillTint="33"/>
          </w:tcPr>
          <w:p w:rsidR="0066078E" w:rsidRPr="0066078E" w:rsidRDefault="0066078E" w:rsidP="007B3D73">
            <w:pPr>
              <w:jc w:val="center"/>
              <w:rPr>
                <w:rFonts w:ascii="Arial" w:hAnsi="Arial" w:cs="Arial"/>
              </w:rPr>
            </w:pPr>
            <w:r w:rsidRPr="0066078E">
              <w:rPr>
                <w:rFonts w:ascii="Arial" w:hAnsi="Arial" w:cs="Arial"/>
              </w:rPr>
              <w:t>No</w:t>
            </w:r>
          </w:p>
        </w:tc>
      </w:tr>
      <w:tr w:rsidR="0066078E" w:rsidRPr="0066078E" w:rsidTr="007B3D73">
        <w:trPr>
          <w:trHeight w:val="586"/>
        </w:trPr>
        <w:tc>
          <w:tcPr>
            <w:tcW w:w="2962" w:type="dxa"/>
          </w:tcPr>
          <w:p w:rsidR="0066078E" w:rsidRPr="0066078E" w:rsidRDefault="0066078E" w:rsidP="007B3D73">
            <w:pPr>
              <w:jc w:val="center"/>
              <w:rPr>
                <w:rFonts w:ascii="Arial" w:hAnsi="Arial" w:cs="Arial"/>
              </w:rPr>
            </w:pPr>
            <w:r w:rsidRPr="0066078E">
              <w:rPr>
                <w:rFonts w:ascii="Arial" w:hAnsi="Arial" w:cs="Arial"/>
              </w:rPr>
              <w:t>6</w:t>
            </w:r>
          </w:p>
        </w:tc>
        <w:tc>
          <w:tcPr>
            <w:tcW w:w="3544" w:type="dxa"/>
          </w:tcPr>
          <w:p w:rsidR="0066078E" w:rsidRPr="0066078E" w:rsidRDefault="0066078E" w:rsidP="007B3D73">
            <w:pPr>
              <w:jc w:val="center"/>
              <w:rPr>
                <w:rFonts w:ascii="Arial" w:hAnsi="Arial" w:cs="Arial"/>
              </w:rPr>
            </w:pPr>
            <w:r w:rsidRPr="0066078E">
              <w:rPr>
                <w:rFonts w:ascii="Arial" w:hAnsi="Arial" w:cs="Arial"/>
              </w:rPr>
              <w:t>42</w:t>
            </w:r>
          </w:p>
        </w:tc>
        <w:tc>
          <w:tcPr>
            <w:tcW w:w="2929" w:type="dxa"/>
          </w:tcPr>
          <w:p w:rsidR="0066078E" w:rsidRPr="0066078E" w:rsidRDefault="0066078E" w:rsidP="007B3D73">
            <w:pPr>
              <w:jc w:val="center"/>
              <w:rPr>
                <w:rFonts w:ascii="Arial" w:hAnsi="Arial" w:cs="Arial"/>
              </w:rPr>
            </w:pPr>
            <w:r w:rsidRPr="0066078E">
              <w:rPr>
                <w:rFonts w:ascii="Arial" w:hAnsi="Arial" w:cs="Arial"/>
              </w:rPr>
              <w:t>18</w:t>
            </w:r>
          </w:p>
        </w:tc>
      </w:tr>
    </w:tbl>
    <w:p w:rsidR="00457C6F" w:rsidRDefault="00457C6F" w:rsidP="00457C6F">
      <w:pPr>
        <w:pStyle w:val="AbstHead"/>
        <w:jc w:val="both"/>
        <w:rPr>
          <w:rFonts w:ascii="Arial" w:hAnsi="Arial" w:cs="Arial"/>
          <w:b w:val="0"/>
          <w:caps w:val="0"/>
          <w:sz w:val="20"/>
        </w:rPr>
      </w:pPr>
    </w:p>
    <w:p w:rsidR="00561A01" w:rsidRPr="00457C6F" w:rsidRDefault="00561A01" w:rsidP="00457C6F">
      <w:pPr>
        <w:pStyle w:val="AbstHead"/>
        <w:jc w:val="both"/>
        <w:rPr>
          <w:rFonts w:ascii="Arial" w:hAnsi="Arial" w:cs="Arial"/>
          <w:b w:val="0"/>
          <w:caps w:val="0"/>
          <w:sz w:val="20"/>
        </w:rPr>
      </w:pPr>
      <w:r w:rsidRPr="0066078E">
        <w:rPr>
          <w:rFonts w:ascii="Arial" w:hAnsi="Arial" w:cs="Arial"/>
          <w:b w:val="0"/>
          <w:caps w:val="0"/>
          <w:sz w:val="20"/>
        </w:rPr>
        <w:t xml:space="preserve">Household perceptions mirrored these findings: only 8.6% of respondents believed their diet were nutritious, while 57.1% considered it only “somewhat” nutritious, and 31.4% admitted it was not nutritious at all. These self-assessments highlight a growing awareness of dietary insufficiency, even </w:t>
      </w:r>
      <w:r w:rsidRPr="00457C6F">
        <w:rPr>
          <w:rFonts w:ascii="Arial" w:hAnsi="Arial" w:cs="Arial"/>
          <w:b w:val="0"/>
          <w:caps w:val="0"/>
          <w:sz w:val="20"/>
        </w:rPr>
        <w:t>in the absence of formal nutrition education</w:t>
      </w:r>
    </w:p>
    <w:p w:rsidR="0066078E" w:rsidRPr="00457C6F" w:rsidRDefault="00561A01" w:rsidP="0066078E">
      <w:pPr>
        <w:spacing w:before="100" w:beforeAutospacing="1" w:after="100" w:afterAutospacing="1"/>
        <w:jc w:val="center"/>
        <w:rPr>
          <w:rFonts w:ascii="Arial" w:hAnsi="Arial" w:cs="Arial"/>
          <w:b/>
          <w:u w:val="single"/>
        </w:rPr>
      </w:pPr>
      <w:r>
        <w:rPr>
          <w:rFonts w:ascii="Arial" w:hAnsi="Arial" w:cs="Arial"/>
          <w:b/>
          <w:u w:val="single"/>
        </w:rPr>
        <w:t>Table 4</w:t>
      </w:r>
      <w:r w:rsidR="00B0221F">
        <w:rPr>
          <w:rFonts w:ascii="Arial" w:hAnsi="Arial" w:cs="Arial"/>
          <w:b/>
          <w:u w:val="single"/>
        </w:rPr>
        <w:t>:</w:t>
      </w:r>
      <w:r w:rsidR="0066078E" w:rsidRPr="00457C6F">
        <w:rPr>
          <w:rFonts w:ascii="Arial" w:hAnsi="Arial" w:cs="Arial"/>
          <w:b/>
          <w:u w:val="single"/>
        </w:rPr>
        <w:t xml:space="preserve"> Barriers to Maintaining A Nutritious Diet</w:t>
      </w:r>
      <w:r>
        <w:rPr>
          <w:rFonts w:ascii="Arial" w:hAnsi="Arial" w:cs="Arial"/>
          <w:b/>
          <w:u w:val="single"/>
        </w:rPr>
        <w:t xml:space="preserve"> </w:t>
      </w:r>
      <w:r w:rsidRPr="0066078E">
        <w:rPr>
          <w:rFonts w:ascii="Arial" w:hAnsi="Arial" w:cs="Arial"/>
          <w:b/>
          <w:u w:val="single"/>
        </w:rPr>
        <w:t>(n=70)</w:t>
      </w:r>
    </w:p>
    <w:tbl>
      <w:tblPr>
        <w:tblW w:w="92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4"/>
        <w:gridCol w:w="1807"/>
        <w:gridCol w:w="1777"/>
        <w:gridCol w:w="2117"/>
        <w:gridCol w:w="1851"/>
      </w:tblGrid>
      <w:tr w:rsidR="0066078E" w:rsidRPr="00457C6F" w:rsidTr="00457C6F">
        <w:trPr>
          <w:trHeight w:val="207"/>
        </w:trPr>
        <w:tc>
          <w:tcPr>
            <w:tcW w:w="9206" w:type="dxa"/>
            <w:gridSpan w:val="5"/>
            <w:shd w:val="clear" w:color="auto" w:fill="FBD4B4" w:themeFill="accent6" w:themeFillTint="66"/>
          </w:tcPr>
          <w:p w:rsidR="0066078E" w:rsidRPr="00457C6F" w:rsidRDefault="0066078E" w:rsidP="007B3D73">
            <w:pPr>
              <w:rPr>
                <w:rFonts w:ascii="Arial" w:hAnsi="Arial" w:cs="Arial"/>
              </w:rPr>
            </w:pPr>
            <w:r w:rsidRPr="00457C6F">
              <w:rPr>
                <w:rFonts w:ascii="Arial" w:hAnsi="Arial" w:cs="Arial"/>
              </w:rPr>
              <w:t>What are the main barriers to eating a more nutritious diet?</w:t>
            </w:r>
          </w:p>
        </w:tc>
      </w:tr>
      <w:tr w:rsidR="0066078E" w:rsidRPr="00457C6F" w:rsidTr="00457C6F">
        <w:trPr>
          <w:trHeight w:val="301"/>
        </w:trPr>
        <w:tc>
          <w:tcPr>
            <w:tcW w:w="1654" w:type="dxa"/>
          </w:tcPr>
          <w:p w:rsidR="0066078E" w:rsidRPr="00457C6F" w:rsidRDefault="0066078E" w:rsidP="007B3D73">
            <w:pPr>
              <w:ind w:left="330"/>
              <w:rPr>
                <w:rFonts w:ascii="Arial" w:hAnsi="Arial" w:cs="Arial"/>
              </w:rPr>
            </w:pPr>
            <w:r w:rsidRPr="00457C6F">
              <w:rPr>
                <w:rFonts w:ascii="Arial" w:hAnsi="Arial" w:cs="Arial"/>
              </w:rPr>
              <w:t>High cost of healthy food</w:t>
            </w:r>
          </w:p>
        </w:tc>
        <w:tc>
          <w:tcPr>
            <w:tcW w:w="1807" w:type="dxa"/>
          </w:tcPr>
          <w:p w:rsidR="0066078E" w:rsidRPr="00457C6F" w:rsidRDefault="0066078E" w:rsidP="007B3D73">
            <w:pPr>
              <w:ind w:left="330"/>
              <w:rPr>
                <w:rFonts w:ascii="Arial" w:hAnsi="Arial" w:cs="Arial"/>
              </w:rPr>
            </w:pPr>
            <w:r w:rsidRPr="00457C6F">
              <w:rPr>
                <w:rFonts w:ascii="Arial" w:hAnsi="Arial" w:cs="Arial"/>
              </w:rPr>
              <w:t>Limited availability of fresh food</w:t>
            </w:r>
          </w:p>
        </w:tc>
        <w:tc>
          <w:tcPr>
            <w:tcW w:w="1777" w:type="dxa"/>
          </w:tcPr>
          <w:p w:rsidR="0066078E" w:rsidRPr="00457C6F" w:rsidRDefault="0066078E" w:rsidP="007B3D73">
            <w:pPr>
              <w:ind w:left="330"/>
              <w:rPr>
                <w:rFonts w:ascii="Arial" w:hAnsi="Arial" w:cs="Arial"/>
              </w:rPr>
            </w:pPr>
            <w:r w:rsidRPr="00457C6F">
              <w:rPr>
                <w:rFonts w:ascii="Arial" w:hAnsi="Arial" w:cs="Arial"/>
              </w:rPr>
              <w:t>Lack of knowledge about nutrition</w:t>
            </w:r>
          </w:p>
        </w:tc>
        <w:tc>
          <w:tcPr>
            <w:tcW w:w="2117" w:type="dxa"/>
          </w:tcPr>
          <w:p w:rsidR="0066078E" w:rsidRPr="00457C6F" w:rsidRDefault="0066078E" w:rsidP="007B3D73">
            <w:pPr>
              <w:ind w:left="330"/>
              <w:rPr>
                <w:rFonts w:ascii="Arial" w:hAnsi="Arial" w:cs="Arial"/>
              </w:rPr>
            </w:pPr>
            <w:r w:rsidRPr="00457C6F">
              <w:rPr>
                <w:rFonts w:ascii="Arial" w:hAnsi="Arial" w:cs="Arial"/>
              </w:rPr>
              <w:t>Preference for fast/processed foods</w:t>
            </w:r>
          </w:p>
        </w:tc>
        <w:tc>
          <w:tcPr>
            <w:tcW w:w="1851" w:type="dxa"/>
          </w:tcPr>
          <w:p w:rsidR="0066078E" w:rsidRPr="00457C6F" w:rsidRDefault="0066078E" w:rsidP="007B3D73">
            <w:pPr>
              <w:ind w:left="330"/>
              <w:rPr>
                <w:rFonts w:ascii="Arial" w:hAnsi="Arial" w:cs="Arial"/>
              </w:rPr>
            </w:pPr>
            <w:r w:rsidRPr="00457C6F">
              <w:rPr>
                <w:rFonts w:ascii="Arial" w:hAnsi="Arial" w:cs="Arial"/>
              </w:rPr>
              <w:t>Other reasons</w:t>
            </w:r>
          </w:p>
        </w:tc>
      </w:tr>
      <w:tr w:rsidR="0066078E" w:rsidRPr="00457C6F" w:rsidTr="00457C6F">
        <w:trPr>
          <w:trHeight w:val="301"/>
        </w:trPr>
        <w:tc>
          <w:tcPr>
            <w:tcW w:w="1654" w:type="dxa"/>
          </w:tcPr>
          <w:p w:rsidR="0066078E" w:rsidRPr="00457C6F" w:rsidRDefault="0066078E" w:rsidP="007B3D73">
            <w:pPr>
              <w:ind w:left="330"/>
              <w:rPr>
                <w:rFonts w:ascii="Arial" w:hAnsi="Arial" w:cs="Arial"/>
              </w:rPr>
            </w:pPr>
            <w:r w:rsidRPr="00457C6F">
              <w:rPr>
                <w:rFonts w:ascii="Arial" w:hAnsi="Arial" w:cs="Arial"/>
              </w:rPr>
              <w:t>38</w:t>
            </w:r>
          </w:p>
        </w:tc>
        <w:tc>
          <w:tcPr>
            <w:tcW w:w="1807" w:type="dxa"/>
          </w:tcPr>
          <w:p w:rsidR="0066078E" w:rsidRPr="00457C6F" w:rsidRDefault="0066078E" w:rsidP="007B3D73">
            <w:pPr>
              <w:ind w:left="330"/>
              <w:rPr>
                <w:rFonts w:ascii="Arial" w:hAnsi="Arial" w:cs="Arial"/>
              </w:rPr>
            </w:pPr>
            <w:r w:rsidRPr="00457C6F">
              <w:rPr>
                <w:rFonts w:ascii="Arial" w:hAnsi="Arial" w:cs="Arial"/>
              </w:rPr>
              <w:t>8</w:t>
            </w:r>
          </w:p>
        </w:tc>
        <w:tc>
          <w:tcPr>
            <w:tcW w:w="1777" w:type="dxa"/>
          </w:tcPr>
          <w:p w:rsidR="0066078E" w:rsidRPr="00457C6F" w:rsidRDefault="0066078E" w:rsidP="007B3D73">
            <w:pPr>
              <w:ind w:left="330"/>
              <w:rPr>
                <w:rFonts w:ascii="Arial" w:hAnsi="Arial" w:cs="Arial"/>
              </w:rPr>
            </w:pPr>
            <w:r w:rsidRPr="00457C6F">
              <w:rPr>
                <w:rFonts w:ascii="Arial" w:hAnsi="Arial" w:cs="Arial"/>
              </w:rPr>
              <w:t>8</w:t>
            </w:r>
          </w:p>
        </w:tc>
        <w:tc>
          <w:tcPr>
            <w:tcW w:w="2117" w:type="dxa"/>
          </w:tcPr>
          <w:p w:rsidR="0066078E" w:rsidRPr="00457C6F" w:rsidRDefault="0066078E" w:rsidP="007B3D73">
            <w:pPr>
              <w:ind w:left="330"/>
              <w:rPr>
                <w:rFonts w:ascii="Arial" w:hAnsi="Arial" w:cs="Arial"/>
              </w:rPr>
            </w:pPr>
            <w:r w:rsidRPr="00457C6F">
              <w:rPr>
                <w:rFonts w:ascii="Arial" w:hAnsi="Arial" w:cs="Arial"/>
              </w:rPr>
              <w:t>1</w:t>
            </w:r>
          </w:p>
        </w:tc>
        <w:tc>
          <w:tcPr>
            <w:tcW w:w="1851" w:type="dxa"/>
          </w:tcPr>
          <w:p w:rsidR="0066078E" w:rsidRPr="00457C6F" w:rsidRDefault="0066078E" w:rsidP="007B3D73">
            <w:pPr>
              <w:ind w:left="330"/>
              <w:rPr>
                <w:rFonts w:ascii="Arial" w:hAnsi="Arial" w:cs="Arial"/>
              </w:rPr>
            </w:pPr>
            <w:r w:rsidRPr="00457C6F">
              <w:rPr>
                <w:rFonts w:ascii="Arial" w:hAnsi="Arial" w:cs="Arial"/>
              </w:rPr>
              <w:t>4</w:t>
            </w:r>
          </w:p>
        </w:tc>
      </w:tr>
    </w:tbl>
    <w:p w:rsidR="0066078E" w:rsidRPr="00457C6F" w:rsidRDefault="0066078E" w:rsidP="0066078E">
      <w:pPr>
        <w:spacing w:before="100" w:beforeAutospacing="1" w:after="100" w:afterAutospacing="1"/>
        <w:jc w:val="both"/>
        <w:rPr>
          <w:rFonts w:ascii="Arial" w:hAnsi="Arial" w:cs="Arial"/>
          <w:b/>
        </w:rPr>
      </w:pPr>
    </w:p>
    <w:p w:rsidR="00457C6F" w:rsidRPr="00457C6F" w:rsidRDefault="00561A01" w:rsidP="00457C6F">
      <w:pPr>
        <w:spacing w:before="100" w:beforeAutospacing="1" w:after="100" w:afterAutospacing="1"/>
        <w:jc w:val="center"/>
        <w:rPr>
          <w:rFonts w:ascii="Arial" w:hAnsi="Arial" w:cs="Arial"/>
          <w:b/>
          <w:u w:val="single"/>
        </w:rPr>
      </w:pPr>
      <w:r>
        <w:rPr>
          <w:rFonts w:ascii="Arial" w:hAnsi="Arial" w:cs="Arial"/>
          <w:b/>
          <w:u w:val="single"/>
        </w:rPr>
        <w:t>Table 5</w:t>
      </w:r>
      <w:r w:rsidR="00B0221F">
        <w:rPr>
          <w:rFonts w:ascii="Arial" w:hAnsi="Arial" w:cs="Arial"/>
          <w:b/>
          <w:u w:val="single"/>
        </w:rPr>
        <w:t>:</w:t>
      </w:r>
      <w:r w:rsidR="00457C6F" w:rsidRPr="00457C6F">
        <w:rPr>
          <w:rFonts w:ascii="Arial" w:hAnsi="Arial" w:cs="Arial"/>
          <w:b/>
          <w:u w:val="single"/>
        </w:rPr>
        <w:t xml:space="preserve"> Demand for affordable, nutritious meal plans</w:t>
      </w:r>
      <w:r>
        <w:rPr>
          <w:rFonts w:ascii="Arial" w:hAnsi="Arial" w:cs="Arial"/>
          <w:b/>
          <w:u w:val="single"/>
        </w:rPr>
        <w:t xml:space="preserve"> </w:t>
      </w:r>
      <w:r w:rsidRPr="0066078E">
        <w:rPr>
          <w:rFonts w:ascii="Arial" w:hAnsi="Arial" w:cs="Arial"/>
          <w:b/>
          <w:u w:val="single"/>
        </w:rPr>
        <w:t>(n=70)</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3"/>
        <w:gridCol w:w="3136"/>
        <w:gridCol w:w="2562"/>
      </w:tblGrid>
      <w:tr w:rsidR="00457C6F" w:rsidRPr="00457C6F" w:rsidTr="007B3D73">
        <w:trPr>
          <w:trHeight w:val="570"/>
        </w:trPr>
        <w:tc>
          <w:tcPr>
            <w:tcW w:w="9435" w:type="dxa"/>
            <w:gridSpan w:val="3"/>
            <w:shd w:val="clear" w:color="auto" w:fill="B6DDE8" w:themeFill="accent5" w:themeFillTint="66"/>
          </w:tcPr>
          <w:p w:rsidR="00457C6F" w:rsidRPr="00457C6F" w:rsidRDefault="00457C6F" w:rsidP="007B3D73">
            <w:pPr>
              <w:jc w:val="center"/>
              <w:rPr>
                <w:rFonts w:ascii="Arial" w:hAnsi="Arial" w:cs="Arial"/>
              </w:rPr>
            </w:pPr>
            <w:r w:rsidRPr="00457C6F">
              <w:rPr>
                <w:rFonts w:ascii="Arial" w:hAnsi="Arial" w:cs="Arial"/>
              </w:rPr>
              <w:t>Would you be interested in receiving a low-cost, nutritious meal plan based on your budget?</w:t>
            </w:r>
          </w:p>
        </w:tc>
      </w:tr>
      <w:tr w:rsidR="00457C6F" w:rsidRPr="00457C6F" w:rsidTr="007B3D73">
        <w:trPr>
          <w:trHeight w:val="380"/>
        </w:trPr>
        <w:tc>
          <w:tcPr>
            <w:tcW w:w="2962" w:type="dxa"/>
            <w:shd w:val="clear" w:color="auto" w:fill="D6E3BC" w:themeFill="accent3" w:themeFillTint="66"/>
          </w:tcPr>
          <w:p w:rsidR="00457C6F" w:rsidRPr="00457C6F" w:rsidRDefault="00457C6F" w:rsidP="007B3D73">
            <w:pPr>
              <w:jc w:val="center"/>
              <w:rPr>
                <w:rFonts w:ascii="Arial" w:hAnsi="Arial" w:cs="Arial"/>
              </w:rPr>
            </w:pPr>
            <w:r w:rsidRPr="00457C6F">
              <w:rPr>
                <w:rFonts w:ascii="Arial" w:hAnsi="Arial" w:cs="Arial"/>
              </w:rPr>
              <w:t>Yes</w:t>
            </w:r>
          </w:p>
        </w:tc>
        <w:tc>
          <w:tcPr>
            <w:tcW w:w="3544" w:type="dxa"/>
            <w:shd w:val="clear" w:color="auto" w:fill="FBD4B4" w:themeFill="accent6" w:themeFillTint="66"/>
          </w:tcPr>
          <w:p w:rsidR="00457C6F" w:rsidRPr="00457C6F" w:rsidRDefault="00457C6F" w:rsidP="007B3D73">
            <w:pPr>
              <w:jc w:val="center"/>
              <w:rPr>
                <w:rFonts w:ascii="Arial" w:hAnsi="Arial" w:cs="Arial"/>
              </w:rPr>
            </w:pPr>
            <w:r w:rsidRPr="00457C6F">
              <w:rPr>
                <w:rFonts w:ascii="Arial" w:hAnsi="Arial" w:cs="Arial"/>
              </w:rPr>
              <w:t>Maybe</w:t>
            </w:r>
          </w:p>
        </w:tc>
        <w:tc>
          <w:tcPr>
            <w:tcW w:w="2929" w:type="dxa"/>
            <w:shd w:val="clear" w:color="auto" w:fill="F2DBDB" w:themeFill="accent2" w:themeFillTint="33"/>
          </w:tcPr>
          <w:p w:rsidR="00457C6F" w:rsidRPr="00457C6F" w:rsidRDefault="00457C6F" w:rsidP="007B3D73">
            <w:pPr>
              <w:jc w:val="center"/>
              <w:rPr>
                <w:rFonts w:ascii="Arial" w:hAnsi="Arial" w:cs="Arial"/>
              </w:rPr>
            </w:pPr>
            <w:r w:rsidRPr="00457C6F">
              <w:rPr>
                <w:rFonts w:ascii="Arial" w:hAnsi="Arial" w:cs="Arial"/>
              </w:rPr>
              <w:t>No</w:t>
            </w:r>
          </w:p>
        </w:tc>
      </w:tr>
      <w:tr w:rsidR="00457C6F" w:rsidRPr="00457C6F" w:rsidTr="007B3D73">
        <w:trPr>
          <w:trHeight w:val="586"/>
        </w:trPr>
        <w:tc>
          <w:tcPr>
            <w:tcW w:w="2962" w:type="dxa"/>
          </w:tcPr>
          <w:p w:rsidR="00457C6F" w:rsidRPr="00457C6F" w:rsidRDefault="00457C6F" w:rsidP="007B3D73">
            <w:pPr>
              <w:jc w:val="center"/>
              <w:rPr>
                <w:rFonts w:ascii="Arial" w:hAnsi="Arial" w:cs="Arial"/>
              </w:rPr>
            </w:pPr>
            <w:r w:rsidRPr="00457C6F">
              <w:rPr>
                <w:rFonts w:ascii="Arial" w:hAnsi="Arial" w:cs="Arial"/>
              </w:rPr>
              <w:t>56</w:t>
            </w:r>
          </w:p>
        </w:tc>
        <w:tc>
          <w:tcPr>
            <w:tcW w:w="3544" w:type="dxa"/>
          </w:tcPr>
          <w:p w:rsidR="00457C6F" w:rsidRPr="00457C6F" w:rsidRDefault="00457C6F" w:rsidP="007B3D73">
            <w:pPr>
              <w:jc w:val="center"/>
              <w:rPr>
                <w:rFonts w:ascii="Arial" w:hAnsi="Arial" w:cs="Arial"/>
              </w:rPr>
            </w:pPr>
            <w:r w:rsidRPr="00457C6F">
              <w:rPr>
                <w:rFonts w:ascii="Arial" w:hAnsi="Arial" w:cs="Arial"/>
              </w:rPr>
              <w:t>12</w:t>
            </w:r>
          </w:p>
        </w:tc>
        <w:tc>
          <w:tcPr>
            <w:tcW w:w="2929" w:type="dxa"/>
          </w:tcPr>
          <w:p w:rsidR="00457C6F" w:rsidRPr="00457C6F" w:rsidRDefault="00457C6F" w:rsidP="007B3D73">
            <w:pPr>
              <w:jc w:val="center"/>
              <w:rPr>
                <w:rFonts w:ascii="Arial" w:hAnsi="Arial" w:cs="Arial"/>
              </w:rPr>
            </w:pPr>
            <w:r w:rsidRPr="00457C6F">
              <w:rPr>
                <w:rFonts w:ascii="Arial" w:hAnsi="Arial" w:cs="Arial"/>
              </w:rPr>
              <w:t>-</w:t>
            </w:r>
          </w:p>
        </w:tc>
      </w:tr>
    </w:tbl>
    <w:p w:rsidR="00457C6F" w:rsidRPr="00457C6F" w:rsidRDefault="00457C6F" w:rsidP="00457C6F">
      <w:pPr>
        <w:spacing w:before="100" w:beforeAutospacing="1" w:after="100" w:afterAutospacing="1"/>
        <w:jc w:val="both"/>
        <w:rPr>
          <w:rFonts w:ascii="Arial" w:hAnsi="Arial" w:cs="Arial"/>
          <w:b/>
        </w:rPr>
      </w:pPr>
    </w:p>
    <w:p w:rsidR="00E371C6" w:rsidRDefault="00E371C6" w:rsidP="0066078E">
      <w:pPr>
        <w:spacing w:before="100" w:beforeAutospacing="1" w:after="100" w:afterAutospacing="1"/>
        <w:jc w:val="center"/>
        <w:rPr>
          <w:rFonts w:ascii="Arial" w:hAnsi="Arial" w:cs="Arial"/>
          <w:b/>
          <w:u w:val="single"/>
        </w:rPr>
      </w:pPr>
    </w:p>
    <w:p w:rsidR="00E371C6" w:rsidRDefault="00E371C6" w:rsidP="0066078E">
      <w:pPr>
        <w:spacing w:before="100" w:beforeAutospacing="1" w:after="100" w:afterAutospacing="1"/>
        <w:jc w:val="center"/>
        <w:rPr>
          <w:rFonts w:ascii="Arial" w:hAnsi="Arial" w:cs="Arial"/>
          <w:b/>
          <w:u w:val="single"/>
        </w:rPr>
      </w:pPr>
    </w:p>
    <w:p w:rsidR="00E371C6" w:rsidRDefault="00E371C6" w:rsidP="0066078E">
      <w:pPr>
        <w:spacing w:before="100" w:beforeAutospacing="1" w:after="100" w:afterAutospacing="1"/>
        <w:jc w:val="center"/>
        <w:rPr>
          <w:rFonts w:ascii="Arial" w:hAnsi="Arial" w:cs="Arial"/>
          <w:b/>
          <w:u w:val="single"/>
        </w:rPr>
      </w:pPr>
    </w:p>
    <w:p w:rsidR="00E371C6" w:rsidRDefault="00E371C6" w:rsidP="0066078E">
      <w:pPr>
        <w:spacing w:before="100" w:beforeAutospacing="1" w:after="100" w:afterAutospacing="1"/>
        <w:jc w:val="center"/>
        <w:rPr>
          <w:rFonts w:ascii="Arial" w:hAnsi="Arial" w:cs="Arial"/>
          <w:b/>
          <w:u w:val="single"/>
        </w:rPr>
      </w:pPr>
    </w:p>
    <w:p w:rsidR="00E371C6" w:rsidRDefault="00E371C6" w:rsidP="0066078E">
      <w:pPr>
        <w:spacing w:before="100" w:beforeAutospacing="1" w:after="100" w:afterAutospacing="1"/>
        <w:jc w:val="center"/>
        <w:rPr>
          <w:rFonts w:ascii="Arial" w:hAnsi="Arial" w:cs="Arial"/>
          <w:b/>
          <w:u w:val="single"/>
        </w:rPr>
      </w:pPr>
    </w:p>
    <w:p w:rsidR="0066078E" w:rsidRPr="00457C6F" w:rsidRDefault="00561A01" w:rsidP="0066078E">
      <w:pPr>
        <w:spacing w:before="100" w:beforeAutospacing="1" w:after="100" w:afterAutospacing="1"/>
        <w:jc w:val="center"/>
        <w:rPr>
          <w:rFonts w:ascii="Arial" w:hAnsi="Arial" w:cs="Arial"/>
          <w:b/>
          <w:u w:val="single"/>
        </w:rPr>
      </w:pPr>
      <w:r>
        <w:rPr>
          <w:rFonts w:ascii="Arial" w:hAnsi="Arial" w:cs="Arial"/>
          <w:b/>
          <w:u w:val="single"/>
        </w:rPr>
        <w:lastRenderedPageBreak/>
        <w:t>Table 6</w:t>
      </w:r>
      <w:r w:rsidR="0066078E" w:rsidRPr="00457C6F">
        <w:rPr>
          <w:rFonts w:ascii="Arial" w:hAnsi="Arial" w:cs="Arial"/>
          <w:b/>
          <w:u w:val="single"/>
        </w:rPr>
        <w:t>: Dietary preferences if they were more affordable</w:t>
      </w:r>
      <w:r>
        <w:rPr>
          <w:rFonts w:ascii="Arial" w:hAnsi="Arial" w:cs="Arial"/>
          <w:b/>
          <w:u w:val="single"/>
        </w:rPr>
        <w:t xml:space="preserve"> </w:t>
      </w:r>
      <w:r w:rsidRPr="0066078E">
        <w:rPr>
          <w:rFonts w:ascii="Arial" w:hAnsi="Arial" w:cs="Arial"/>
          <w:b/>
          <w:u w:val="single"/>
        </w:rPr>
        <w:t>(n=70)</w:t>
      </w: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2"/>
        <w:gridCol w:w="1547"/>
        <w:gridCol w:w="1707"/>
        <w:gridCol w:w="1666"/>
        <w:gridCol w:w="1159"/>
        <w:gridCol w:w="915"/>
      </w:tblGrid>
      <w:tr w:rsidR="0066078E" w:rsidRPr="00457C6F" w:rsidTr="00457C6F">
        <w:trPr>
          <w:trHeight w:val="465"/>
        </w:trPr>
        <w:tc>
          <w:tcPr>
            <w:tcW w:w="8646" w:type="dxa"/>
            <w:gridSpan w:val="6"/>
            <w:shd w:val="clear" w:color="auto" w:fill="FBD4B4" w:themeFill="accent6" w:themeFillTint="66"/>
          </w:tcPr>
          <w:p w:rsidR="0066078E" w:rsidRPr="00457C6F" w:rsidRDefault="0066078E" w:rsidP="007B3D73">
            <w:pPr>
              <w:rPr>
                <w:rFonts w:ascii="Arial" w:hAnsi="Arial" w:cs="Arial"/>
              </w:rPr>
            </w:pPr>
            <w:r w:rsidRPr="00457C6F">
              <w:rPr>
                <w:rFonts w:ascii="Arial" w:hAnsi="Arial" w:cs="Arial"/>
              </w:rPr>
              <w:t>Which foods would you be willing to include more in your diet if they were affordable?</w:t>
            </w:r>
          </w:p>
        </w:tc>
      </w:tr>
      <w:tr w:rsidR="0066078E" w:rsidRPr="00457C6F" w:rsidTr="00457C6F">
        <w:trPr>
          <w:trHeight w:val="675"/>
        </w:trPr>
        <w:tc>
          <w:tcPr>
            <w:tcW w:w="1652" w:type="dxa"/>
          </w:tcPr>
          <w:p w:rsidR="0066078E" w:rsidRPr="00457C6F" w:rsidRDefault="0066078E" w:rsidP="007B3D73">
            <w:pPr>
              <w:ind w:left="330"/>
              <w:rPr>
                <w:rFonts w:ascii="Arial" w:hAnsi="Arial" w:cs="Arial"/>
              </w:rPr>
            </w:pPr>
            <w:r w:rsidRPr="00457C6F">
              <w:rPr>
                <w:rFonts w:ascii="Arial" w:hAnsi="Arial" w:cs="Arial"/>
              </w:rPr>
              <w:t>Seasonal vegetables</w:t>
            </w:r>
          </w:p>
        </w:tc>
        <w:tc>
          <w:tcPr>
            <w:tcW w:w="1547" w:type="dxa"/>
          </w:tcPr>
          <w:p w:rsidR="0066078E" w:rsidRPr="00457C6F" w:rsidRDefault="0066078E" w:rsidP="007B3D73">
            <w:pPr>
              <w:ind w:left="330"/>
              <w:rPr>
                <w:rFonts w:ascii="Arial" w:hAnsi="Arial" w:cs="Arial"/>
              </w:rPr>
            </w:pPr>
            <w:r w:rsidRPr="00457C6F">
              <w:rPr>
                <w:rFonts w:ascii="Arial" w:hAnsi="Arial" w:cs="Arial"/>
              </w:rPr>
              <w:t>Whole grains</w:t>
            </w:r>
          </w:p>
        </w:tc>
        <w:tc>
          <w:tcPr>
            <w:tcW w:w="1707" w:type="dxa"/>
          </w:tcPr>
          <w:p w:rsidR="0066078E" w:rsidRPr="00457C6F" w:rsidRDefault="0066078E" w:rsidP="007B3D73">
            <w:pPr>
              <w:ind w:left="330"/>
              <w:rPr>
                <w:rFonts w:ascii="Arial" w:hAnsi="Arial" w:cs="Arial"/>
              </w:rPr>
            </w:pPr>
            <w:r w:rsidRPr="00457C6F">
              <w:rPr>
                <w:rFonts w:ascii="Arial" w:hAnsi="Arial" w:cs="Arial"/>
              </w:rPr>
              <w:t>Pulses &amp; legumes</w:t>
            </w:r>
          </w:p>
        </w:tc>
        <w:tc>
          <w:tcPr>
            <w:tcW w:w="1666" w:type="dxa"/>
          </w:tcPr>
          <w:p w:rsidR="0066078E" w:rsidRPr="00457C6F" w:rsidRDefault="0066078E" w:rsidP="007B3D73">
            <w:pPr>
              <w:ind w:left="330"/>
              <w:rPr>
                <w:rFonts w:ascii="Arial" w:hAnsi="Arial" w:cs="Arial"/>
              </w:rPr>
            </w:pPr>
            <w:r w:rsidRPr="00457C6F">
              <w:rPr>
                <w:rFonts w:ascii="Arial" w:hAnsi="Arial" w:cs="Arial"/>
              </w:rPr>
              <w:t>Dairy products</w:t>
            </w:r>
          </w:p>
        </w:tc>
        <w:tc>
          <w:tcPr>
            <w:tcW w:w="1159" w:type="dxa"/>
          </w:tcPr>
          <w:p w:rsidR="0066078E" w:rsidRPr="00457C6F" w:rsidRDefault="0066078E" w:rsidP="007B3D73">
            <w:pPr>
              <w:ind w:left="330"/>
              <w:rPr>
                <w:rFonts w:ascii="Arial" w:hAnsi="Arial" w:cs="Arial"/>
              </w:rPr>
            </w:pPr>
            <w:r w:rsidRPr="00457C6F">
              <w:rPr>
                <w:rFonts w:ascii="Arial" w:hAnsi="Arial" w:cs="Arial"/>
              </w:rPr>
              <w:t>Eggs &amp; lean meat</w:t>
            </w:r>
          </w:p>
        </w:tc>
        <w:tc>
          <w:tcPr>
            <w:tcW w:w="915" w:type="dxa"/>
          </w:tcPr>
          <w:p w:rsidR="0066078E" w:rsidRPr="00457C6F" w:rsidRDefault="0066078E" w:rsidP="007B3D73">
            <w:pPr>
              <w:rPr>
                <w:rFonts w:ascii="Arial" w:hAnsi="Arial" w:cs="Arial"/>
              </w:rPr>
            </w:pPr>
            <w:r w:rsidRPr="00457C6F">
              <w:rPr>
                <w:rFonts w:ascii="Arial" w:hAnsi="Arial" w:cs="Arial"/>
              </w:rPr>
              <w:t>Fruits</w:t>
            </w:r>
          </w:p>
        </w:tc>
      </w:tr>
      <w:tr w:rsidR="0066078E" w:rsidRPr="00457C6F" w:rsidTr="00457C6F">
        <w:trPr>
          <w:trHeight w:val="675"/>
        </w:trPr>
        <w:tc>
          <w:tcPr>
            <w:tcW w:w="1652" w:type="dxa"/>
          </w:tcPr>
          <w:p w:rsidR="0066078E" w:rsidRPr="00457C6F" w:rsidRDefault="0066078E" w:rsidP="007B3D73">
            <w:pPr>
              <w:ind w:left="330"/>
              <w:rPr>
                <w:rFonts w:ascii="Arial" w:hAnsi="Arial" w:cs="Arial"/>
              </w:rPr>
            </w:pPr>
            <w:r w:rsidRPr="00457C6F">
              <w:rPr>
                <w:rFonts w:ascii="Arial" w:hAnsi="Arial" w:cs="Arial"/>
              </w:rPr>
              <w:t>9</w:t>
            </w:r>
          </w:p>
        </w:tc>
        <w:tc>
          <w:tcPr>
            <w:tcW w:w="1547" w:type="dxa"/>
          </w:tcPr>
          <w:p w:rsidR="0066078E" w:rsidRPr="00457C6F" w:rsidRDefault="0066078E" w:rsidP="007B3D73">
            <w:pPr>
              <w:rPr>
                <w:rFonts w:ascii="Arial" w:hAnsi="Arial" w:cs="Arial"/>
              </w:rPr>
            </w:pPr>
            <w:r w:rsidRPr="00457C6F">
              <w:rPr>
                <w:rFonts w:ascii="Arial" w:hAnsi="Arial" w:cs="Arial"/>
              </w:rPr>
              <w:t>1</w:t>
            </w:r>
          </w:p>
        </w:tc>
        <w:tc>
          <w:tcPr>
            <w:tcW w:w="1707" w:type="dxa"/>
          </w:tcPr>
          <w:p w:rsidR="0066078E" w:rsidRPr="00457C6F" w:rsidRDefault="0066078E" w:rsidP="007B3D73">
            <w:pPr>
              <w:ind w:left="330"/>
              <w:rPr>
                <w:rFonts w:ascii="Arial" w:hAnsi="Arial" w:cs="Arial"/>
              </w:rPr>
            </w:pPr>
            <w:r w:rsidRPr="00457C6F">
              <w:rPr>
                <w:rFonts w:ascii="Arial" w:hAnsi="Arial" w:cs="Arial"/>
              </w:rPr>
              <w:t>16</w:t>
            </w:r>
          </w:p>
        </w:tc>
        <w:tc>
          <w:tcPr>
            <w:tcW w:w="1666" w:type="dxa"/>
          </w:tcPr>
          <w:p w:rsidR="0066078E" w:rsidRPr="00457C6F" w:rsidRDefault="0066078E" w:rsidP="007B3D73">
            <w:pPr>
              <w:ind w:left="330"/>
              <w:rPr>
                <w:rFonts w:ascii="Arial" w:hAnsi="Arial" w:cs="Arial"/>
              </w:rPr>
            </w:pPr>
            <w:r w:rsidRPr="00457C6F">
              <w:rPr>
                <w:rFonts w:ascii="Arial" w:hAnsi="Arial" w:cs="Arial"/>
              </w:rPr>
              <w:t>-</w:t>
            </w:r>
          </w:p>
        </w:tc>
        <w:tc>
          <w:tcPr>
            <w:tcW w:w="1159" w:type="dxa"/>
          </w:tcPr>
          <w:p w:rsidR="0066078E" w:rsidRPr="00457C6F" w:rsidRDefault="0066078E" w:rsidP="007B3D73">
            <w:pPr>
              <w:ind w:left="330"/>
              <w:rPr>
                <w:rFonts w:ascii="Arial" w:hAnsi="Arial" w:cs="Arial"/>
              </w:rPr>
            </w:pPr>
            <w:r w:rsidRPr="00457C6F">
              <w:rPr>
                <w:rFonts w:ascii="Arial" w:hAnsi="Arial" w:cs="Arial"/>
              </w:rPr>
              <w:t>22</w:t>
            </w:r>
          </w:p>
        </w:tc>
        <w:tc>
          <w:tcPr>
            <w:tcW w:w="915" w:type="dxa"/>
          </w:tcPr>
          <w:p w:rsidR="0066078E" w:rsidRPr="00457C6F" w:rsidRDefault="0066078E" w:rsidP="007B3D73">
            <w:pPr>
              <w:rPr>
                <w:rFonts w:ascii="Arial" w:hAnsi="Arial" w:cs="Arial"/>
              </w:rPr>
            </w:pPr>
            <w:r w:rsidRPr="00457C6F">
              <w:rPr>
                <w:rFonts w:ascii="Arial" w:hAnsi="Arial" w:cs="Arial"/>
              </w:rPr>
              <w:t>23</w:t>
            </w:r>
          </w:p>
        </w:tc>
      </w:tr>
    </w:tbl>
    <w:p w:rsidR="000C5F15" w:rsidRDefault="000C5F15" w:rsidP="000C5F15">
      <w:pPr>
        <w:spacing w:before="100" w:beforeAutospacing="1" w:after="100" w:afterAutospacing="1"/>
        <w:jc w:val="both"/>
        <w:rPr>
          <w:rFonts w:ascii="Arial" w:hAnsi="Arial" w:cs="Arial"/>
          <w:b/>
        </w:rPr>
      </w:pPr>
    </w:p>
    <w:p w:rsidR="00457C6F" w:rsidRPr="00B0221F" w:rsidRDefault="000C5F15" w:rsidP="00457C6F">
      <w:pPr>
        <w:spacing w:before="100" w:beforeAutospacing="1" w:after="100" w:afterAutospacing="1"/>
        <w:jc w:val="both"/>
        <w:rPr>
          <w:rFonts w:ascii="Arial" w:hAnsi="Arial" w:cs="Arial"/>
          <w:b/>
        </w:rPr>
      </w:pPr>
      <w:r w:rsidRPr="000C5F15">
        <w:rPr>
          <w:rFonts w:ascii="Arial" w:hAnsi="Arial" w:cs="Arial"/>
        </w:rPr>
        <w:t xml:space="preserve">When asked about barriers to healthier eating, </w:t>
      </w:r>
      <w:r w:rsidRPr="000C5F15">
        <w:rPr>
          <w:rStyle w:val="Strong"/>
          <w:rFonts w:ascii="Arial" w:hAnsi="Arial" w:cs="Arial"/>
        </w:rPr>
        <w:t>64.3% of respondents</w:t>
      </w:r>
      <w:r w:rsidRPr="000C5F15">
        <w:rPr>
          <w:rFonts w:ascii="Arial" w:hAnsi="Arial" w:cs="Arial"/>
        </w:rPr>
        <w:t xml:space="preserve"> identified </w:t>
      </w:r>
      <w:r w:rsidRPr="000C5F15">
        <w:rPr>
          <w:rStyle w:val="Strong"/>
          <w:rFonts w:ascii="Arial" w:hAnsi="Arial" w:cs="Arial"/>
        </w:rPr>
        <w:t>high food costs</w:t>
      </w:r>
      <w:r w:rsidRPr="000C5F15">
        <w:rPr>
          <w:rFonts w:ascii="Arial" w:hAnsi="Arial" w:cs="Arial"/>
        </w:rPr>
        <w:t xml:space="preserve"> as the primary constraint. </w:t>
      </w:r>
      <w:r w:rsidRPr="000C5F15">
        <w:rPr>
          <w:rStyle w:val="Strong"/>
          <w:rFonts w:ascii="Arial" w:hAnsi="Arial" w:cs="Arial"/>
        </w:rPr>
        <w:t>Limited availability (11.4%)</w:t>
      </w:r>
      <w:r w:rsidRPr="000C5F15">
        <w:rPr>
          <w:rFonts w:ascii="Arial" w:hAnsi="Arial" w:cs="Arial"/>
        </w:rPr>
        <w:t xml:space="preserve"> and </w:t>
      </w:r>
      <w:r w:rsidRPr="000C5F15">
        <w:rPr>
          <w:rStyle w:val="Strong"/>
          <w:rFonts w:ascii="Arial" w:hAnsi="Arial" w:cs="Arial"/>
        </w:rPr>
        <w:t>lack of nutrition knowledge (11.4%)</w:t>
      </w:r>
      <w:r w:rsidRPr="000C5F15">
        <w:rPr>
          <w:rFonts w:ascii="Arial" w:hAnsi="Arial" w:cs="Arial"/>
        </w:rPr>
        <w:t xml:space="preserve"> were also cited as significant but less frequent challenges</w:t>
      </w:r>
      <w:r w:rsidRPr="000C5F15">
        <w:rPr>
          <w:rFonts w:ascii="Arial" w:hAnsi="Arial" w:cs="Arial"/>
          <w:caps/>
        </w:rPr>
        <w:t xml:space="preserve"> </w:t>
      </w:r>
      <w:r w:rsidR="00B0221F" w:rsidRPr="000C5F15">
        <w:rPr>
          <w:rFonts w:ascii="Arial" w:hAnsi="Arial" w:cs="Arial"/>
        </w:rPr>
        <w:t>(</w:t>
      </w:r>
      <w:r w:rsidR="00B0221F" w:rsidRPr="000C5F15">
        <w:rPr>
          <w:rStyle w:val="Strong"/>
          <w:rFonts w:ascii="Arial" w:hAnsi="Arial" w:cs="Arial"/>
        </w:rPr>
        <w:t xml:space="preserve">Table </w:t>
      </w:r>
      <w:r w:rsidR="00561A01">
        <w:rPr>
          <w:rStyle w:val="Strong"/>
          <w:rFonts w:ascii="Arial" w:hAnsi="Arial" w:cs="Arial"/>
        </w:rPr>
        <w:t>4</w:t>
      </w:r>
      <w:r w:rsidRPr="000C5F15">
        <w:rPr>
          <w:rFonts w:ascii="Arial" w:hAnsi="Arial" w:cs="Arial"/>
        </w:rPr>
        <w:t xml:space="preserve">). Despite these constraints, the majority of households demonstrated a strong openness to dietary improvement: </w:t>
      </w:r>
      <w:r w:rsidRPr="000C5F15">
        <w:rPr>
          <w:rStyle w:val="Strong"/>
          <w:rFonts w:ascii="Arial" w:hAnsi="Arial" w:cs="Arial"/>
        </w:rPr>
        <w:t>82.9% expressed willingness</w:t>
      </w:r>
      <w:r w:rsidRPr="000C5F15">
        <w:rPr>
          <w:rFonts w:ascii="Arial" w:hAnsi="Arial" w:cs="Arial"/>
        </w:rPr>
        <w:t xml:space="preserve"> to adopt low-cost, nutritious meal plans if made accessible (</w:t>
      </w:r>
      <w:r w:rsidR="00B0221F" w:rsidRPr="000C5F15">
        <w:rPr>
          <w:rStyle w:val="Strong"/>
          <w:rFonts w:ascii="Arial" w:hAnsi="Arial" w:cs="Arial"/>
        </w:rPr>
        <w:t xml:space="preserve">Table </w:t>
      </w:r>
      <w:r w:rsidR="00561A01">
        <w:rPr>
          <w:rStyle w:val="Strong"/>
          <w:rFonts w:ascii="Arial" w:hAnsi="Arial" w:cs="Arial"/>
        </w:rPr>
        <w:t>5</w:t>
      </w:r>
      <w:r w:rsidRPr="000C5F15">
        <w:rPr>
          <w:rFonts w:ascii="Arial" w:hAnsi="Arial" w:cs="Arial"/>
        </w:rPr>
        <w:t xml:space="preserve">). When asked about food preferences that they would include if affordability improved, households favored </w:t>
      </w:r>
      <w:r w:rsidRPr="000C5F15">
        <w:rPr>
          <w:rStyle w:val="Strong"/>
          <w:rFonts w:ascii="Arial" w:hAnsi="Arial" w:cs="Arial"/>
        </w:rPr>
        <w:t>protein- and vitamin-rich options</w:t>
      </w:r>
      <w:r w:rsidRPr="000C5F15">
        <w:rPr>
          <w:rFonts w:ascii="Arial" w:hAnsi="Arial" w:cs="Arial"/>
        </w:rPr>
        <w:t xml:space="preserve">, such as </w:t>
      </w:r>
      <w:r w:rsidRPr="000C5F15">
        <w:rPr>
          <w:rStyle w:val="Strong"/>
          <w:rFonts w:ascii="Arial" w:hAnsi="Arial" w:cs="Arial"/>
        </w:rPr>
        <w:t>eggs and lean meats (40%)</w:t>
      </w:r>
      <w:r w:rsidRPr="000C5F15">
        <w:rPr>
          <w:rFonts w:ascii="Arial" w:hAnsi="Arial" w:cs="Arial"/>
        </w:rPr>
        <w:t xml:space="preserve">, </w:t>
      </w:r>
      <w:r w:rsidRPr="000C5F15">
        <w:rPr>
          <w:rStyle w:val="Strong"/>
          <w:rFonts w:ascii="Arial" w:hAnsi="Arial" w:cs="Arial"/>
        </w:rPr>
        <w:t>pulses and legumes (22.9%)</w:t>
      </w:r>
      <w:r w:rsidRPr="000C5F15">
        <w:rPr>
          <w:rFonts w:ascii="Arial" w:hAnsi="Arial" w:cs="Arial"/>
        </w:rPr>
        <w:t xml:space="preserve">, and </w:t>
      </w:r>
      <w:r w:rsidRPr="000C5F15">
        <w:rPr>
          <w:rStyle w:val="Strong"/>
          <w:rFonts w:ascii="Arial" w:hAnsi="Arial" w:cs="Arial"/>
        </w:rPr>
        <w:t>fruits (24.3%)</w:t>
      </w:r>
      <w:r w:rsidRPr="000C5F15">
        <w:rPr>
          <w:rFonts w:ascii="Arial" w:hAnsi="Arial" w:cs="Arial"/>
        </w:rPr>
        <w:t xml:space="preserve"> </w:t>
      </w:r>
      <w:r w:rsidR="00B0221F" w:rsidRPr="000C5F15">
        <w:rPr>
          <w:rFonts w:ascii="Arial" w:hAnsi="Arial" w:cs="Arial"/>
        </w:rPr>
        <w:t>(</w:t>
      </w:r>
      <w:r w:rsidR="00B0221F">
        <w:rPr>
          <w:rStyle w:val="Strong"/>
          <w:rFonts w:ascii="Arial" w:hAnsi="Arial" w:cs="Arial"/>
        </w:rPr>
        <w:t xml:space="preserve">Table </w:t>
      </w:r>
      <w:r w:rsidR="00561A01">
        <w:rPr>
          <w:rStyle w:val="Strong"/>
          <w:rFonts w:ascii="Arial" w:hAnsi="Arial" w:cs="Arial"/>
        </w:rPr>
        <w:t>6</w:t>
      </w:r>
      <w:r w:rsidR="00B0221F" w:rsidRPr="000C5F15">
        <w:rPr>
          <w:rFonts w:ascii="Arial" w:hAnsi="Arial" w:cs="Arial"/>
        </w:rPr>
        <w:t>)</w:t>
      </w:r>
      <w:r w:rsidR="00B0221F">
        <w:rPr>
          <w:rFonts w:ascii="Arial" w:hAnsi="Arial" w:cs="Arial"/>
        </w:rPr>
        <w:t xml:space="preserve">. </w:t>
      </w:r>
      <w:r w:rsidRPr="000C5F15">
        <w:rPr>
          <w:rFonts w:ascii="Arial" w:hAnsi="Arial" w:cs="Arial"/>
        </w:rPr>
        <w:t>These preferences reflect both awareness of dietary value and unmet nutritional demand among low- and middle-income families in Khidirpur.</w:t>
      </w:r>
    </w:p>
    <w:p w:rsidR="00AE1257" w:rsidRDefault="00247432" w:rsidP="002A1BA9">
      <w:pPr>
        <w:pStyle w:val="AbstHead"/>
        <w:jc w:val="both"/>
        <w:rPr>
          <w:rFonts w:ascii="Arial" w:hAnsi="Arial" w:cs="Arial"/>
          <w:b w:val="0"/>
          <w:sz w:val="20"/>
        </w:rPr>
      </w:pPr>
      <w:r w:rsidRPr="00247432">
        <w:rPr>
          <w:rFonts w:ascii="Arial" w:hAnsi="Arial" w:cs="Arial"/>
          <w:b w:val="0"/>
          <w:caps w:val="0"/>
          <w:noProof/>
          <w:sz w:val="20"/>
        </w:rPr>
        <w:lastRenderedPageBreak/>
        <w:pict>
          <v:shapetype id="_x0000_t202" coordsize="21600,21600" o:spt="202" path="m,l,21600r21600,l21600,xe">
            <v:stroke joinstyle="miter"/>
            <v:path gradientshapeok="t" o:connecttype="rect"/>
          </v:shapetype>
          <v:shape id="_x0000_s1028" type="#_x0000_t202" style="position:absolute;left:0;text-align:left;margin-left:281.65pt;margin-top:160.1pt;width:13.8pt;height:16.1pt;z-index:251659264" filled="f" stroked="f">
            <v:textbox>
              <w:txbxContent>
                <w:p w:rsidR="00A64569" w:rsidRDefault="00A64569">
                  <w:r>
                    <w:t>X</w:t>
                  </w:r>
                </w:p>
              </w:txbxContent>
            </v:textbox>
          </v:shape>
        </w:pict>
      </w:r>
      <w:r w:rsidRPr="00247432">
        <w:rPr>
          <w:rFonts w:ascii="Arial" w:hAnsi="Arial" w:cs="Arial"/>
          <w:b w:val="0"/>
          <w:caps w:val="0"/>
          <w:noProof/>
          <w:sz w:val="20"/>
        </w:rPr>
        <w:pict>
          <v:shape id="_x0000_s1027" type="#_x0000_t202" style="position:absolute;left:0;text-align:left;margin-left:36.85pt;margin-top:32.85pt;width:20.7pt;height:23.6pt;z-index:251658240" filled="f" stroked="f">
            <v:textbox>
              <w:txbxContent>
                <w:p w:rsidR="00A64569" w:rsidRDefault="00A64569">
                  <w:r>
                    <w:t>Y</w:t>
                  </w:r>
                </w:p>
              </w:txbxContent>
            </v:textbox>
          </v:shape>
        </w:pict>
      </w:r>
      <w:r w:rsidR="00AE1257" w:rsidRPr="00AE1257">
        <w:rPr>
          <w:rFonts w:ascii="Arial" w:hAnsi="Arial" w:cs="Arial"/>
          <w:b w:val="0"/>
          <w:caps w:val="0"/>
          <w:noProof/>
          <w:sz w:val="20"/>
        </w:rPr>
        <w:drawing>
          <wp:inline distT="0" distB="0" distL="0" distR="0">
            <wp:extent cx="5212080" cy="3624765"/>
            <wp:effectExtent l="19050" t="0" r="7620" b="0"/>
            <wp:docPr id="3" name="Picture 2" descr="Screenshot 2025-04-01 23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4-01 235111.png"/>
                    <pic:cNvPicPr/>
                  </pic:nvPicPr>
                  <pic:blipFill>
                    <a:blip r:embed="rId14"/>
                    <a:stretch>
                      <a:fillRect/>
                    </a:stretch>
                  </pic:blipFill>
                  <pic:spPr>
                    <a:xfrm>
                      <a:off x="0" y="0"/>
                      <a:ext cx="5212080" cy="3624765"/>
                    </a:xfrm>
                    <a:prstGeom prst="rect">
                      <a:avLst/>
                    </a:prstGeom>
                  </pic:spPr>
                </pic:pic>
              </a:graphicData>
            </a:graphic>
          </wp:inline>
        </w:drawing>
      </w:r>
    </w:p>
    <w:p w:rsidR="00E371C6" w:rsidRDefault="00E371C6" w:rsidP="002A1BA9">
      <w:pPr>
        <w:pStyle w:val="AbstHead"/>
        <w:jc w:val="both"/>
        <w:rPr>
          <w:rFonts w:ascii="Arial" w:hAnsi="Arial" w:cs="Arial"/>
          <w:b w:val="0"/>
          <w:sz w:val="20"/>
        </w:rPr>
      </w:pPr>
    </w:p>
    <w:p w:rsidR="00AE1257" w:rsidRPr="00AE1257" w:rsidRDefault="00AE1257" w:rsidP="00AE1257">
      <w:pPr>
        <w:spacing w:before="100" w:beforeAutospacing="1" w:after="100" w:afterAutospacing="1"/>
        <w:rPr>
          <w:rFonts w:ascii="Arial" w:hAnsi="Arial" w:cs="Arial"/>
        </w:rPr>
      </w:pPr>
      <w:r w:rsidRPr="00AE1257">
        <w:rPr>
          <w:rFonts w:ascii="Arial" w:hAnsi="Arial" w:cs="Arial"/>
        </w:rPr>
        <w:t>The X- axis – Economic groups</w:t>
      </w:r>
    </w:p>
    <w:p w:rsidR="00AE1257" w:rsidRPr="00AE1257" w:rsidRDefault="00AE1257" w:rsidP="00AE1257">
      <w:pPr>
        <w:spacing w:before="100" w:beforeAutospacing="1" w:after="100" w:afterAutospacing="1"/>
        <w:rPr>
          <w:rFonts w:ascii="Arial" w:hAnsi="Arial" w:cs="Arial"/>
        </w:rPr>
      </w:pPr>
      <w:r w:rsidRPr="00AE1257">
        <w:rPr>
          <w:rFonts w:ascii="Arial" w:hAnsi="Arial" w:cs="Arial"/>
        </w:rPr>
        <w:t>The Y- axis –Percentage of income</w:t>
      </w:r>
    </w:p>
    <w:p w:rsidR="00487FAB" w:rsidRPr="00561A01" w:rsidRDefault="00561A01" w:rsidP="00487FAB">
      <w:pPr>
        <w:spacing w:before="100" w:beforeAutospacing="1" w:after="100" w:afterAutospacing="1"/>
        <w:jc w:val="center"/>
        <w:rPr>
          <w:rFonts w:ascii="Arial" w:hAnsi="Arial" w:cs="Arial"/>
          <w:b/>
          <w:u w:val="single"/>
        </w:rPr>
      </w:pPr>
      <w:r>
        <w:rPr>
          <w:rFonts w:ascii="Arial" w:hAnsi="Arial" w:cs="Arial"/>
          <w:b/>
          <w:u w:val="single"/>
        </w:rPr>
        <w:t>Figure 1</w:t>
      </w:r>
      <w:r w:rsidR="00B0221F" w:rsidRPr="00561A01">
        <w:rPr>
          <w:rFonts w:ascii="Arial" w:hAnsi="Arial" w:cs="Arial"/>
          <w:b/>
          <w:u w:val="single"/>
        </w:rPr>
        <w:t>:</w:t>
      </w:r>
      <w:r w:rsidR="00AE1F16" w:rsidRPr="00561A01">
        <w:rPr>
          <w:rFonts w:ascii="Arial" w:hAnsi="Arial" w:cs="Arial"/>
          <w:b/>
          <w:u w:val="single"/>
        </w:rPr>
        <w:t xml:space="preserve"> </w:t>
      </w:r>
      <w:r w:rsidR="00123975" w:rsidRPr="00561A01">
        <w:rPr>
          <w:rFonts w:ascii="Arial" w:hAnsi="Arial" w:cs="Arial"/>
          <w:b/>
          <w:u w:val="single"/>
        </w:rPr>
        <w:t>Proportion of monthly household income required to afford CotD-modeled diets (n = 70), based on food prices recorded during the survey period (February–March 2025). Horizontal dashed line indicates the 30% affordability threshold. USD equivalents are provided using ₹1 = $0.012.</w:t>
      </w:r>
    </w:p>
    <w:p w:rsidR="000C5F15" w:rsidRPr="00123975" w:rsidRDefault="000C5F15" w:rsidP="000C5F15">
      <w:pPr>
        <w:pStyle w:val="NormalWeb"/>
        <w:jc w:val="both"/>
        <w:rPr>
          <w:rFonts w:ascii="Arial" w:hAnsi="Arial" w:cs="Arial"/>
          <w:sz w:val="20"/>
          <w:szCs w:val="20"/>
        </w:rPr>
      </w:pPr>
      <w:r w:rsidRPr="00123975">
        <w:rPr>
          <w:rStyle w:val="Strong"/>
          <w:rFonts w:ascii="Arial" w:hAnsi="Arial" w:cs="Arial"/>
          <w:sz w:val="20"/>
          <w:szCs w:val="20"/>
        </w:rPr>
        <w:t xml:space="preserve">Figure </w:t>
      </w:r>
      <w:r w:rsidR="00561A01">
        <w:rPr>
          <w:rStyle w:val="Strong"/>
          <w:rFonts w:ascii="Arial" w:hAnsi="Arial" w:cs="Arial"/>
          <w:sz w:val="20"/>
          <w:szCs w:val="20"/>
        </w:rPr>
        <w:t>1</w:t>
      </w:r>
      <w:r w:rsidRPr="00123975">
        <w:rPr>
          <w:rFonts w:ascii="Arial" w:hAnsi="Arial" w:cs="Arial"/>
          <w:sz w:val="20"/>
          <w:szCs w:val="20"/>
        </w:rPr>
        <w:t xml:space="preserve"> illustrates the proportion of monthly household income required to afford each of the four diet models generated using CotD software. The models are based on local food prices collected during the </w:t>
      </w:r>
      <w:r w:rsidRPr="00123975">
        <w:rPr>
          <w:rStyle w:val="Strong"/>
          <w:rFonts w:ascii="Arial" w:hAnsi="Arial" w:cs="Arial"/>
          <w:sz w:val="20"/>
          <w:szCs w:val="20"/>
        </w:rPr>
        <w:t>study season (February to March 2025)</w:t>
      </w:r>
      <w:r w:rsidRPr="00123975">
        <w:rPr>
          <w:rFonts w:ascii="Arial" w:hAnsi="Arial" w:cs="Arial"/>
          <w:sz w:val="20"/>
          <w:szCs w:val="20"/>
        </w:rPr>
        <w:t xml:space="preserve"> in Khidirpur, which corresponds to late winter and early spring. This seasonal context is relevant as it influences the availability and pricing of perishable items like vegetables, fruits, and dairy.</w:t>
      </w:r>
    </w:p>
    <w:p w:rsidR="000C5F15" w:rsidRPr="00123975" w:rsidRDefault="000C5F15" w:rsidP="000C5F15">
      <w:pPr>
        <w:pStyle w:val="NormalWeb"/>
        <w:jc w:val="both"/>
        <w:rPr>
          <w:rFonts w:ascii="Arial" w:hAnsi="Arial" w:cs="Arial"/>
          <w:sz w:val="20"/>
          <w:szCs w:val="20"/>
        </w:rPr>
      </w:pPr>
      <w:r w:rsidRPr="00123975">
        <w:rPr>
          <w:rFonts w:ascii="Arial" w:hAnsi="Arial" w:cs="Arial"/>
          <w:sz w:val="20"/>
          <w:szCs w:val="20"/>
        </w:rPr>
        <w:t xml:space="preserve">The </w:t>
      </w:r>
      <w:r w:rsidRPr="00123975">
        <w:rPr>
          <w:rStyle w:val="Strong"/>
          <w:rFonts w:ascii="Arial" w:hAnsi="Arial" w:cs="Arial"/>
          <w:sz w:val="20"/>
          <w:szCs w:val="20"/>
        </w:rPr>
        <w:t>energy-only diet</w:t>
      </w:r>
      <w:r w:rsidRPr="00123975">
        <w:rPr>
          <w:rFonts w:ascii="Arial" w:hAnsi="Arial" w:cs="Arial"/>
          <w:sz w:val="20"/>
          <w:szCs w:val="20"/>
        </w:rPr>
        <w:t xml:space="preserve"> cost ₹3,088 (≈ </w:t>
      </w:r>
      <w:r w:rsidRPr="00123975">
        <w:rPr>
          <w:rStyle w:val="Strong"/>
          <w:rFonts w:ascii="Arial" w:hAnsi="Arial" w:cs="Arial"/>
          <w:sz w:val="20"/>
          <w:szCs w:val="20"/>
        </w:rPr>
        <w:t>$37.05 USD</w:t>
      </w:r>
      <w:r w:rsidRPr="00123975">
        <w:rPr>
          <w:rFonts w:ascii="Arial" w:hAnsi="Arial" w:cs="Arial"/>
          <w:sz w:val="20"/>
          <w:szCs w:val="20"/>
        </w:rPr>
        <w:t xml:space="preserve">) and required </w:t>
      </w:r>
      <w:r w:rsidRPr="00123975">
        <w:rPr>
          <w:rStyle w:val="Strong"/>
          <w:rFonts w:ascii="Arial" w:hAnsi="Arial" w:cs="Arial"/>
          <w:sz w:val="20"/>
          <w:szCs w:val="20"/>
        </w:rPr>
        <w:t>15% of monthly income</w:t>
      </w:r>
      <w:r w:rsidRPr="00123975">
        <w:rPr>
          <w:rFonts w:ascii="Arial" w:hAnsi="Arial" w:cs="Arial"/>
          <w:sz w:val="20"/>
          <w:szCs w:val="20"/>
        </w:rPr>
        <w:t xml:space="preserve"> on average. The </w:t>
      </w:r>
      <w:r w:rsidRPr="00123975">
        <w:rPr>
          <w:rStyle w:val="Strong"/>
          <w:rFonts w:ascii="Arial" w:hAnsi="Arial" w:cs="Arial"/>
          <w:sz w:val="20"/>
          <w:szCs w:val="20"/>
        </w:rPr>
        <w:t>macronutrient-sufficient diet</w:t>
      </w:r>
      <w:r w:rsidRPr="00123975">
        <w:rPr>
          <w:rFonts w:ascii="Arial" w:hAnsi="Arial" w:cs="Arial"/>
          <w:sz w:val="20"/>
          <w:szCs w:val="20"/>
        </w:rPr>
        <w:t xml:space="preserve"> cost ₹4,915 (≈ </w:t>
      </w:r>
      <w:r w:rsidRPr="00123975">
        <w:rPr>
          <w:rStyle w:val="Strong"/>
          <w:rFonts w:ascii="Arial" w:hAnsi="Arial" w:cs="Arial"/>
          <w:sz w:val="20"/>
          <w:szCs w:val="20"/>
        </w:rPr>
        <w:t>$58.95 USD</w:t>
      </w:r>
      <w:r w:rsidRPr="00123975">
        <w:rPr>
          <w:rFonts w:ascii="Arial" w:hAnsi="Arial" w:cs="Arial"/>
          <w:sz w:val="20"/>
          <w:szCs w:val="20"/>
        </w:rPr>
        <w:t xml:space="preserve">), while the </w:t>
      </w:r>
      <w:r w:rsidRPr="00123975">
        <w:rPr>
          <w:rStyle w:val="Strong"/>
          <w:rFonts w:ascii="Arial" w:hAnsi="Arial" w:cs="Arial"/>
          <w:sz w:val="20"/>
          <w:szCs w:val="20"/>
        </w:rPr>
        <w:t>fully nutritious diet</w:t>
      </w:r>
      <w:r w:rsidRPr="00123975">
        <w:rPr>
          <w:rFonts w:ascii="Arial" w:hAnsi="Arial" w:cs="Arial"/>
          <w:sz w:val="20"/>
          <w:szCs w:val="20"/>
        </w:rPr>
        <w:t>—which meets all essential macro-</w:t>
      </w:r>
      <w:r w:rsidR="00B0221F">
        <w:rPr>
          <w:rFonts w:ascii="Arial" w:hAnsi="Arial" w:cs="Arial"/>
          <w:sz w:val="20"/>
          <w:szCs w:val="20"/>
        </w:rPr>
        <w:t xml:space="preserve"> and micronutrient requirements </w:t>
      </w:r>
      <w:r w:rsidRPr="00123975">
        <w:rPr>
          <w:rFonts w:ascii="Arial" w:hAnsi="Arial" w:cs="Arial"/>
          <w:sz w:val="20"/>
          <w:szCs w:val="20"/>
        </w:rPr>
        <w:t xml:space="preserve">cost ₹6,866 (≈ </w:t>
      </w:r>
      <w:r w:rsidRPr="00123975">
        <w:rPr>
          <w:rStyle w:val="Strong"/>
          <w:rFonts w:ascii="Arial" w:hAnsi="Arial" w:cs="Arial"/>
          <w:sz w:val="20"/>
          <w:szCs w:val="20"/>
        </w:rPr>
        <w:t>$82.39 USD</w:t>
      </w:r>
      <w:r w:rsidRPr="00123975">
        <w:rPr>
          <w:rFonts w:ascii="Arial" w:hAnsi="Arial" w:cs="Arial"/>
          <w:sz w:val="20"/>
          <w:szCs w:val="20"/>
        </w:rPr>
        <w:t xml:space="preserve">). This cost equated to </w:t>
      </w:r>
      <w:r w:rsidRPr="00123975">
        <w:rPr>
          <w:rStyle w:val="Strong"/>
          <w:rFonts w:ascii="Arial" w:hAnsi="Arial" w:cs="Arial"/>
          <w:sz w:val="20"/>
          <w:szCs w:val="20"/>
        </w:rPr>
        <w:t>33.28% of average monthly income</w:t>
      </w:r>
      <w:r w:rsidRPr="00123975">
        <w:rPr>
          <w:rFonts w:ascii="Arial" w:hAnsi="Arial" w:cs="Arial"/>
          <w:sz w:val="20"/>
          <w:szCs w:val="20"/>
        </w:rPr>
        <w:t xml:space="preserve">, thereby </w:t>
      </w:r>
      <w:r w:rsidRPr="00123975">
        <w:rPr>
          <w:rStyle w:val="Strong"/>
          <w:rFonts w:ascii="Arial" w:hAnsi="Arial" w:cs="Arial"/>
          <w:sz w:val="20"/>
          <w:szCs w:val="20"/>
        </w:rPr>
        <w:t>exceeding the 30% affordability threshold</w:t>
      </w:r>
      <w:r w:rsidRPr="00123975">
        <w:rPr>
          <w:rFonts w:ascii="Arial" w:hAnsi="Arial" w:cs="Arial"/>
          <w:sz w:val="20"/>
          <w:szCs w:val="20"/>
        </w:rPr>
        <w:t xml:space="preserve"> (Herforth et al., 2020; Raghunathan et al., 2021a).</w:t>
      </w:r>
    </w:p>
    <w:p w:rsidR="000C5F15" w:rsidRPr="000C5F15" w:rsidRDefault="000C5F15" w:rsidP="000C5F15">
      <w:pPr>
        <w:pStyle w:val="NormalWeb"/>
        <w:jc w:val="both"/>
        <w:rPr>
          <w:rFonts w:ascii="Arial" w:hAnsi="Arial" w:cs="Arial"/>
          <w:sz w:val="20"/>
          <w:szCs w:val="20"/>
        </w:rPr>
      </w:pPr>
      <w:r w:rsidRPr="00123975">
        <w:rPr>
          <w:rFonts w:ascii="Arial" w:hAnsi="Arial" w:cs="Arial"/>
          <w:sz w:val="20"/>
          <w:szCs w:val="20"/>
        </w:rPr>
        <w:t xml:space="preserve">Affordability ratios were notably higher for households earning below ₹15,000/month, where the nutritious diet consumed more than </w:t>
      </w:r>
      <w:r w:rsidRPr="00123975">
        <w:rPr>
          <w:rStyle w:val="Strong"/>
          <w:rFonts w:ascii="Arial" w:hAnsi="Arial" w:cs="Arial"/>
          <w:sz w:val="20"/>
          <w:szCs w:val="20"/>
        </w:rPr>
        <w:t>45% of income</w:t>
      </w:r>
      <w:r w:rsidRPr="00123975">
        <w:rPr>
          <w:rFonts w:ascii="Arial" w:hAnsi="Arial" w:cs="Arial"/>
          <w:sz w:val="20"/>
          <w:szCs w:val="20"/>
        </w:rPr>
        <w:t xml:space="preserve">. The figure also demonstrates that </w:t>
      </w:r>
      <w:r w:rsidRPr="00123975">
        <w:rPr>
          <w:rFonts w:ascii="Arial" w:hAnsi="Arial" w:cs="Arial"/>
          <w:sz w:val="20"/>
          <w:szCs w:val="20"/>
        </w:rPr>
        <w:lastRenderedPageBreak/>
        <w:t>even the culturally acceptable diet, though lower in cost than the fully nutritious model, still exceeded the affordability range for a significant portion of the study population.</w:t>
      </w:r>
    </w:p>
    <w:p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The public distribution system (</w:t>
      </w:r>
      <w:r w:rsidR="00515D4D" w:rsidRPr="002A1BA9">
        <w:rPr>
          <w:rFonts w:ascii="Arial" w:hAnsi="Arial" w:cs="Arial"/>
          <w:b w:val="0"/>
          <w:caps w:val="0"/>
          <w:sz w:val="20"/>
        </w:rPr>
        <w:t>PDS</w:t>
      </w:r>
      <w:r w:rsidRPr="002A1BA9">
        <w:rPr>
          <w:rFonts w:ascii="Arial" w:hAnsi="Arial" w:cs="Arial"/>
          <w:b w:val="0"/>
          <w:caps w:val="0"/>
          <w:sz w:val="20"/>
        </w:rPr>
        <w:t xml:space="preserve">) and nutrition programs like </w:t>
      </w:r>
      <w:r w:rsidR="00515D4D" w:rsidRPr="002A1BA9">
        <w:rPr>
          <w:rFonts w:ascii="Arial" w:hAnsi="Arial" w:cs="Arial"/>
          <w:b w:val="0"/>
          <w:caps w:val="0"/>
          <w:sz w:val="20"/>
        </w:rPr>
        <w:t>ICDS</w:t>
      </w:r>
      <w:r w:rsidRPr="002A1BA9">
        <w:rPr>
          <w:rFonts w:ascii="Arial" w:hAnsi="Arial" w:cs="Arial"/>
          <w:b w:val="0"/>
          <w:caps w:val="0"/>
          <w:sz w:val="20"/>
        </w:rPr>
        <w:t xml:space="preserve"> and </w:t>
      </w:r>
      <w:r w:rsidR="00515D4D" w:rsidRPr="002A1BA9">
        <w:rPr>
          <w:rFonts w:ascii="Arial" w:hAnsi="Arial" w:cs="Arial"/>
          <w:b w:val="0"/>
          <w:caps w:val="0"/>
          <w:sz w:val="20"/>
        </w:rPr>
        <w:t>MDM</w:t>
      </w:r>
      <w:r w:rsidR="00703723">
        <w:rPr>
          <w:rFonts w:ascii="Arial" w:hAnsi="Arial" w:cs="Arial"/>
          <w:b w:val="0"/>
          <w:caps w:val="0"/>
          <w:sz w:val="20"/>
        </w:rPr>
        <w:t xml:space="preserve"> </w:t>
      </w:r>
      <w:r w:rsidRPr="002A1BA9">
        <w:rPr>
          <w:rFonts w:ascii="Arial" w:hAnsi="Arial" w:cs="Arial"/>
          <w:b w:val="0"/>
          <w:caps w:val="0"/>
          <w:sz w:val="20"/>
        </w:rPr>
        <w:t xml:space="preserve">while </w:t>
      </w:r>
      <w:r w:rsidR="00273B77">
        <w:rPr>
          <w:rFonts w:ascii="Arial" w:hAnsi="Arial" w:cs="Arial"/>
          <w:b w:val="0"/>
          <w:caps w:val="0"/>
          <w:sz w:val="20"/>
        </w:rPr>
        <w:t xml:space="preserve">essential for calorie provision </w:t>
      </w:r>
      <w:r w:rsidRPr="002A1BA9">
        <w:rPr>
          <w:rFonts w:ascii="Arial" w:hAnsi="Arial" w:cs="Arial"/>
          <w:b w:val="0"/>
          <w:caps w:val="0"/>
          <w:sz w:val="20"/>
        </w:rPr>
        <w:t>were found grossly inadequate for ensuring diet quality. These schemes focused heavily on cereal staples and lacked protein, dairy, or fruit components. School meal programs suffered from infrastructural weaknesses and inconsistent food safety standards.</w:t>
      </w:r>
    </w:p>
    <w:p w:rsidR="00E371C6" w:rsidRDefault="00E371C6" w:rsidP="001012C9">
      <w:pPr>
        <w:rPr>
          <w:rFonts w:ascii="Arial" w:hAnsi="Arial" w:cs="Arial"/>
          <w:b/>
          <w:color w:val="1F1F1F"/>
        </w:rPr>
      </w:pPr>
    </w:p>
    <w:p w:rsidR="001012C9" w:rsidRPr="00A64569" w:rsidRDefault="00561A01" w:rsidP="001012C9">
      <w:pPr>
        <w:rPr>
          <w:rFonts w:ascii="Arial" w:hAnsi="Arial" w:cs="Arial"/>
          <w:b/>
          <w:bCs/>
          <w:color w:val="1F1F1F"/>
          <w:u w:val="single"/>
        </w:rPr>
      </w:pPr>
      <w:r w:rsidRPr="00A64569">
        <w:rPr>
          <w:rFonts w:ascii="Arial" w:hAnsi="Arial" w:cs="Arial"/>
          <w:b/>
          <w:color w:val="1F1F1F"/>
          <w:u w:val="single"/>
        </w:rPr>
        <w:t>Table 7</w:t>
      </w:r>
      <w:r w:rsidR="000C5F15" w:rsidRPr="00A64569">
        <w:rPr>
          <w:rFonts w:ascii="Arial" w:hAnsi="Arial" w:cs="Arial"/>
          <w:b/>
          <w:color w:val="1F1F1F"/>
          <w:u w:val="single"/>
        </w:rPr>
        <w:t>:</w:t>
      </w:r>
      <w:r w:rsidR="001012C9" w:rsidRPr="00A64569">
        <w:rPr>
          <w:rFonts w:ascii="Arial" w:hAnsi="Arial" w:cs="Arial"/>
          <w:b/>
          <w:color w:val="1F1F1F"/>
          <w:u w:val="single"/>
        </w:rPr>
        <w:t xml:space="preserve">  Inexpensive sources of essential nutrients, for a low cost nutritious diet with</w:t>
      </w:r>
      <w:r w:rsidR="001012C9" w:rsidRPr="00A64569">
        <w:rPr>
          <w:rFonts w:ascii="Arial" w:hAnsi="Arial" w:cs="Arial"/>
          <w:b/>
          <w:bCs/>
          <w:color w:val="1F1F1F"/>
          <w:u w:val="single"/>
        </w:rPr>
        <w:t xml:space="preserve"> percentage of nutrient requirements met.(Based on CotD analysis)</w:t>
      </w:r>
    </w:p>
    <w:p w:rsidR="007B3D73" w:rsidRDefault="007B3D73" w:rsidP="001012C9">
      <w:pPr>
        <w:rPr>
          <w:rFonts w:ascii="Arial" w:hAnsi="Arial" w:cs="Arial"/>
          <w:b/>
          <w:bCs/>
          <w:color w:val="1F1F1F"/>
        </w:rPr>
      </w:pPr>
    </w:p>
    <w:tbl>
      <w:tblPr>
        <w:tblStyle w:val="TableGrid"/>
        <w:tblW w:w="11452" w:type="dxa"/>
        <w:tblInd w:w="-1491" w:type="dxa"/>
        <w:tblLayout w:type="fixed"/>
        <w:tblLook w:val="04A0"/>
      </w:tblPr>
      <w:tblGrid>
        <w:gridCol w:w="1753"/>
        <w:gridCol w:w="799"/>
        <w:gridCol w:w="651"/>
        <w:gridCol w:w="683"/>
        <w:gridCol w:w="623"/>
        <w:gridCol w:w="634"/>
        <w:gridCol w:w="700"/>
        <w:gridCol w:w="711"/>
        <w:gridCol w:w="711"/>
        <w:gridCol w:w="711"/>
        <w:gridCol w:w="711"/>
        <w:gridCol w:w="711"/>
        <w:gridCol w:w="799"/>
        <w:gridCol w:w="623"/>
        <w:gridCol w:w="632"/>
      </w:tblGrid>
      <w:tr w:rsidR="007B3D73" w:rsidRPr="00B37126" w:rsidTr="00C455D4">
        <w:trPr>
          <w:trHeight w:val="325"/>
        </w:trPr>
        <w:tc>
          <w:tcPr>
            <w:tcW w:w="1753" w:type="dxa"/>
            <w:shd w:val="clear" w:color="auto" w:fill="FABF8F" w:themeFill="accent6" w:themeFillTint="99"/>
            <w:vAlign w:val="center"/>
          </w:tcPr>
          <w:p w:rsidR="007B3D73" w:rsidRPr="007B3D73" w:rsidRDefault="007B3D73" w:rsidP="007B3D73">
            <w:pPr>
              <w:rPr>
                <w:rFonts w:ascii="Arial" w:hAnsi="Arial" w:cs="Arial"/>
                <w:b/>
                <w:bCs/>
                <w:sz w:val="18"/>
                <w:szCs w:val="18"/>
              </w:rPr>
            </w:pPr>
            <w:r w:rsidRPr="007B3D73">
              <w:rPr>
                <w:rFonts w:ascii="Arial" w:hAnsi="Arial" w:cs="Arial"/>
                <w:b/>
                <w:bCs/>
                <w:sz w:val="18"/>
                <w:szCs w:val="18"/>
              </w:rPr>
              <w:t>Food list</w:t>
            </w:r>
          </w:p>
        </w:tc>
        <w:tc>
          <w:tcPr>
            <w:tcW w:w="799"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Energy</w:t>
            </w:r>
          </w:p>
        </w:tc>
        <w:tc>
          <w:tcPr>
            <w:tcW w:w="651"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Protein</w:t>
            </w:r>
          </w:p>
        </w:tc>
        <w:tc>
          <w:tcPr>
            <w:tcW w:w="683"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Fat</w:t>
            </w:r>
          </w:p>
        </w:tc>
        <w:tc>
          <w:tcPr>
            <w:tcW w:w="623"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xml:space="preserve">% </w:t>
            </w:r>
          </w:p>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Vit A</w:t>
            </w:r>
          </w:p>
        </w:tc>
        <w:tc>
          <w:tcPr>
            <w:tcW w:w="634"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xml:space="preserve">% </w:t>
            </w:r>
          </w:p>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Vit C</w:t>
            </w:r>
          </w:p>
        </w:tc>
        <w:tc>
          <w:tcPr>
            <w:tcW w:w="700"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xml:space="preserve">% </w:t>
            </w:r>
          </w:p>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Vit B1</w:t>
            </w:r>
          </w:p>
        </w:tc>
        <w:tc>
          <w:tcPr>
            <w:tcW w:w="711"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xml:space="preserve">% </w:t>
            </w:r>
          </w:p>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Vit B2</w:t>
            </w:r>
          </w:p>
        </w:tc>
        <w:tc>
          <w:tcPr>
            <w:tcW w:w="711"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Niacin</w:t>
            </w:r>
          </w:p>
        </w:tc>
        <w:tc>
          <w:tcPr>
            <w:tcW w:w="711"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xml:space="preserve">% </w:t>
            </w:r>
          </w:p>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Vit B6</w:t>
            </w:r>
          </w:p>
        </w:tc>
        <w:tc>
          <w:tcPr>
            <w:tcW w:w="711"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xml:space="preserve">% </w:t>
            </w:r>
          </w:p>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Folic Acid</w:t>
            </w:r>
          </w:p>
        </w:tc>
        <w:tc>
          <w:tcPr>
            <w:tcW w:w="711"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xml:space="preserve">% </w:t>
            </w:r>
          </w:p>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Vit B12</w:t>
            </w:r>
          </w:p>
        </w:tc>
        <w:tc>
          <w:tcPr>
            <w:tcW w:w="799"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Calcium</w:t>
            </w:r>
          </w:p>
        </w:tc>
        <w:tc>
          <w:tcPr>
            <w:tcW w:w="623"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Iron</w:t>
            </w:r>
          </w:p>
        </w:tc>
        <w:tc>
          <w:tcPr>
            <w:tcW w:w="632" w:type="dxa"/>
            <w:shd w:val="clear" w:color="auto" w:fill="FABF8F" w:themeFill="accent6" w:themeFillTint="99"/>
            <w:vAlign w:val="center"/>
          </w:tcPr>
          <w:p w:rsidR="007B3D73" w:rsidRPr="007B3D73" w:rsidRDefault="007B3D73" w:rsidP="007B3D73">
            <w:pPr>
              <w:jc w:val="center"/>
              <w:rPr>
                <w:rFonts w:ascii="Arial" w:hAnsi="Arial" w:cs="Arial"/>
                <w:b/>
                <w:bCs/>
                <w:sz w:val="14"/>
                <w:szCs w:val="14"/>
              </w:rPr>
            </w:pPr>
            <w:r w:rsidRPr="007B3D73">
              <w:rPr>
                <w:rFonts w:ascii="Arial" w:hAnsi="Arial" w:cs="Arial"/>
                <w:b/>
                <w:bCs/>
                <w:sz w:val="14"/>
                <w:szCs w:val="14"/>
              </w:rPr>
              <w:t>% Zinc</w:t>
            </w:r>
          </w:p>
        </w:tc>
      </w:tr>
      <w:tr w:rsidR="007B3D73" w:rsidRPr="00B37126" w:rsidTr="00C455D4">
        <w:trPr>
          <w:trHeight w:val="306"/>
        </w:trPr>
        <w:tc>
          <w:tcPr>
            <w:tcW w:w="1753" w:type="dxa"/>
            <w:vAlign w:val="center"/>
          </w:tcPr>
          <w:p w:rsidR="007B3D73" w:rsidRPr="00CD13AB" w:rsidRDefault="00C455D4" w:rsidP="007B3D73">
            <w:pPr>
              <w:rPr>
                <w:rFonts w:ascii="Arial" w:hAnsi="Arial" w:cs="Arial"/>
                <w:b/>
                <w:sz w:val="16"/>
                <w:szCs w:val="16"/>
              </w:rPr>
            </w:pPr>
            <w:r w:rsidRPr="00CD13AB">
              <w:rPr>
                <w:rFonts w:ascii="Arial" w:hAnsi="Arial" w:cs="Arial"/>
                <w:b/>
                <w:sz w:val="16"/>
                <w:szCs w:val="16"/>
              </w:rPr>
              <w:t>Jaggery ,Sugarcane Solid</w:t>
            </w:r>
          </w:p>
        </w:tc>
        <w:tc>
          <w:tcPr>
            <w:tcW w:w="799" w:type="dxa"/>
            <w:vAlign w:val="center"/>
          </w:tcPr>
          <w:p w:rsidR="007B3D73" w:rsidRPr="007B3D73" w:rsidRDefault="007B3D73" w:rsidP="007B3D73">
            <w:pPr>
              <w:jc w:val="center"/>
              <w:rPr>
                <w:rFonts w:ascii="Arial" w:hAnsi="Arial" w:cs="Arial"/>
                <w:sz w:val="16"/>
                <w:szCs w:val="16"/>
              </w:rPr>
            </w:pPr>
            <w:r>
              <w:rPr>
                <w:rFonts w:ascii="Arial" w:hAnsi="Arial" w:cs="Arial"/>
                <w:sz w:val="16"/>
                <w:szCs w:val="16"/>
              </w:rPr>
              <w:t>8.3</w:t>
            </w:r>
          </w:p>
        </w:tc>
        <w:tc>
          <w:tcPr>
            <w:tcW w:w="65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0.3</w:t>
            </w:r>
          </w:p>
        </w:tc>
        <w:tc>
          <w:tcPr>
            <w:tcW w:w="683"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0.1</w:t>
            </w:r>
          </w:p>
        </w:tc>
        <w:tc>
          <w:tcPr>
            <w:tcW w:w="623"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634"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00"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1</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99"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4.1</w:t>
            </w:r>
          </w:p>
        </w:tc>
        <w:tc>
          <w:tcPr>
            <w:tcW w:w="623"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2.2</w:t>
            </w:r>
          </w:p>
        </w:tc>
        <w:tc>
          <w:tcPr>
            <w:tcW w:w="632"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0.4</w:t>
            </w:r>
          </w:p>
        </w:tc>
      </w:tr>
      <w:tr w:rsidR="007B3D73" w:rsidRPr="00B37126" w:rsidTr="00C455D4">
        <w:trPr>
          <w:trHeight w:val="325"/>
        </w:trPr>
        <w:tc>
          <w:tcPr>
            <w:tcW w:w="1753" w:type="dxa"/>
            <w:vAlign w:val="center"/>
          </w:tcPr>
          <w:p w:rsidR="007B3D73" w:rsidRPr="00CD13AB" w:rsidRDefault="006542C9" w:rsidP="007B3D73">
            <w:pPr>
              <w:rPr>
                <w:rFonts w:ascii="Arial" w:hAnsi="Arial" w:cs="Arial"/>
                <w:b/>
                <w:sz w:val="16"/>
                <w:szCs w:val="16"/>
              </w:rPr>
            </w:pPr>
            <w:r w:rsidRPr="00CD13AB">
              <w:rPr>
                <w:rFonts w:ascii="Arial" w:hAnsi="Arial" w:cs="Arial"/>
                <w:b/>
                <w:sz w:val="16"/>
                <w:szCs w:val="16"/>
              </w:rPr>
              <w:t xml:space="preserve">Mustard </w:t>
            </w:r>
            <w:r w:rsidR="00C455D4" w:rsidRPr="00CD13AB">
              <w:rPr>
                <w:rFonts w:ascii="Arial" w:hAnsi="Arial" w:cs="Arial"/>
                <w:b/>
                <w:sz w:val="16"/>
                <w:szCs w:val="16"/>
              </w:rPr>
              <w:t>Oil</w:t>
            </w:r>
          </w:p>
        </w:tc>
        <w:tc>
          <w:tcPr>
            <w:tcW w:w="799"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13.1</w:t>
            </w:r>
          </w:p>
        </w:tc>
        <w:tc>
          <w:tcPr>
            <w:tcW w:w="65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683"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61.2</w:t>
            </w:r>
          </w:p>
        </w:tc>
        <w:tc>
          <w:tcPr>
            <w:tcW w:w="623"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634"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00"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0.1</w:t>
            </w:r>
          </w:p>
        </w:tc>
        <w:tc>
          <w:tcPr>
            <w:tcW w:w="711"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0.1</w:t>
            </w:r>
          </w:p>
        </w:tc>
        <w:tc>
          <w:tcPr>
            <w:tcW w:w="799" w:type="dxa"/>
            <w:vAlign w:val="center"/>
          </w:tcPr>
          <w:p w:rsidR="007B3D73" w:rsidRPr="007B3D73" w:rsidRDefault="007B3D73" w:rsidP="007B3D73">
            <w:pPr>
              <w:jc w:val="center"/>
              <w:rPr>
                <w:rFonts w:ascii="Arial" w:hAnsi="Arial" w:cs="Arial"/>
                <w:sz w:val="16"/>
                <w:szCs w:val="16"/>
              </w:rPr>
            </w:pPr>
            <w:r w:rsidRPr="007B3D73">
              <w:rPr>
                <w:rFonts w:ascii="Arial" w:hAnsi="Arial" w:cs="Arial"/>
                <w:sz w:val="16"/>
                <w:szCs w:val="16"/>
              </w:rPr>
              <w:t>0</w:t>
            </w:r>
          </w:p>
        </w:tc>
        <w:tc>
          <w:tcPr>
            <w:tcW w:w="623" w:type="dxa"/>
            <w:vAlign w:val="center"/>
          </w:tcPr>
          <w:p w:rsidR="007B3D73" w:rsidRPr="007B3D73" w:rsidRDefault="007B3D73" w:rsidP="007B3D73">
            <w:pPr>
              <w:jc w:val="center"/>
              <w:rPr>
                <w:rFonts w:ascii="Arial" w:hAnsi="Arial" w:cs="Arial"/>
                <w:sz w:val="16"/>
                <w:szCs w:val="16"/>
              </w:rPr>
            </w:pPr>
            <w:r w:rsidRPr="007B3D73">
              <w:rPr>
                <w:rFonts w:ascii="Arial" w:hAnsi="Arial" w:cs="Arial"/>
                <w:sz w:val="16"/>
                <w:szCs w:val="16"/>
              </w:rPr>
              <w:t>0</w:t>
            </w:r>
          </w:p>
        </w:tc>
        <w:tc>
          <w:tcPr>
            <w:tcW w:w="632" w:type="dxa"/>
            <w:vAlign w:val="center"/>
          </w:tcPr>
          <w:p w:rsidR="007B3D73" w:rsidRPr="007B3D73" w:rsidRDefault="006542C9" w:rsidP="007B3D73">
            <w:pPr>
              <w:jc w:val="center"/>
              <w:rPr>
                <w:rFonts w:ascii="Arial" w:hAnsi="Arial" w:cs="Arial"/>
                <w:sz w:val="16"/>
                <w:szCs w:val="16"/>
              </w:rPr>
            </w:pPr>
            <w:r>
              <w:rPr>
                <w:rFonts w:ascii="Arial" w:hAnsi="Arial" w:cs="Arial"/>
                <w:sz w:val="16"/>
                <w:szCs w:val="16"/>
              </w:rPr>
              <w:t>0</w:t>
            </w:r>
          </w:p>
        </w:tc>
      </w:tr>
      <w:tr w:rsidR="007B3D73" w:rsidRPr="00B37126" w:rsidTr="00C455D4">
        <w:trPr>
          <w:trHeight w:val="325"/>
        </w:trPr>
        <w:tc>
          <w:tcPr>
            <w:tcW w:w="1753" w:type="dxa"/>
            <w:vAlign w:val="center"/>
          </w:tcPr>
          <w:p w:rsidR="007B3D73" w:rsidRPr="00CD13AB" w:rsidRDefault="006542C9" w:rsidP="007B3D73">
            <w:pPr>
              <w:rPr>
                <w:rFonts w:ascii="Arial" w:hAnsi="Arial" w:cs="Arial"/>
                <w:b/>
                <w:sz w:val="16"/>
                <w:szCs w:val="16"/>
              </w:rPr>
            </w:pPr>
            <w:r w:rsidRPr="00CD13AB">
              <w:rPr>
                <w:rFonts w:ascii="Arial" w:hAnsi="Arial" w:cs="Arial"/>
                <w:b/>
                <w:sz w:val="16"/>
                <w:szCs w:val="16"/>
              </w:rPr>
              <w:t xml:space="preserve">Raw </w:t>
            </w:r>
            <w:r w:rsidR="00C455D4" w:rsidRPr="00CD13AB">
              <w:rPr>
                <w:rFonts w:ascii="Arial" w:hAnsi="Arial" w:cs="Arial"/>
                <w:b/>
                <w:sz w:val="16"/>
                <w:szCs w:val="16"/>
              </w:rPr>
              <w:t>Drumstick Leaf</w:t>
            </w:r>
          </w:p>
        </w:tc>
        <w:tc>
          <w:tcPr>
            <w:tcW w:w="799" w:type="dxa"/>
            <w:vAlign w:val="center"/>
          </w:tcPr>
          <w:p w:rsidR="007B3D73" w:rsidRPr="007B3D73" w:rsidRDefault="007B3D73" w:rsidP="006542C9">
            <w:pPr>
              <w:jc w:val="center"/>
              <w:rPr>
                <w:rFonts w:ascii="Arial" w:hAnsi="Arial" w:cs="Arial"/>
                <w:sz w:val="16"/>
                <w:szCs w:val="16"/>
              </w:rPr>
            </w:pPr>
            <w:r w:rsidRPr="007B3D73">
              <w:rPr>
                <w:rFonts w:ascii="Arial" w:hAnsi="Arial" w:cs="Arial"/>
                <w:sz w:val="16"/>
                <w:szCs w:val="16"/>
              </w:rPr>
              <w:t>0</w:t>
            </w:r>
          </w:p>
        </w:tc>
        <w:tc>
          <w:tcPr>
            <w:tcW w:w="651" w:type="dxa"/>
            <w:vAlign w:val="center"/>
          </w:tcPr>
          <w:p w:rsidR="007B3D73" w:rsidRPr="007B3D73" w:rsidRDefault="006542C9" w:rsidP="006542C9">
            <w:pPr>
              <w:jc w:val="center"/>
              <w:rPr>
                <w:rFonts w:ascii="Arial" w:hAnsi="Arial" w:cs="Arial"/>
                <w:sz w:val="16"/>
                <w:szCs w:val="16"/>
              </w:rPr>
            </w:pPr>
            <w:r>
              <w:rPr>
                <w:rFonts w:ascii="Arial" w:hAnsi="Arial" w:cs="Arial"/>
                <w:sz w:val="16"/>
                <w:szCs w:val="16"/>
              </w:rPr>
              <w:t>0.1</w:t>
            </w:r>
          </w:p>
        </w:tc>
        <w:tc>
          <w:tcPr>
            <w:tcW w:w="683" w:type="dxa"/>
            <w:vAlign w:val="center"/>
          </w:tcPr>
          <w:p w:rsidR="007B3D73" w:rsidRPr="007B3D73" w:rsidRDefault="006542C9" w:rsidP="006542C9">
            <w:pPr>
              <w:rPr>
                <w:rFonts w:ascii="Arial" w:hAnsi="Arial" w:cs="Arial"/>
                <w:sz w:val="16"/>
                <w:szCs w:val="16"/>
              </w:rPr>
            </w:pPr>
            <w:r>
              <w:rPr>
                <w:rFonts w:ascii="Arial" w:hAnsi="Arial" w:cs="Arial"/>
                <w:sz w:val="16"/>
                <w:szCs w:val="16"/>
              </w:rPr>
              <w:t xml:space="preserve">    </w:t>
            </w:r>
            <w:r w:rsidR="007B3D73" w:rsidRPr="007B3D73">
              <w:rPr>
                <w:rFonts w:ascii="Arial" w:hAnsi="Arial" w:cs="Arial"/>
                <w:sz w:val="16"/>
                <w:szCs w:val="16"/>
              </w:rPr>
              <w:t>0</w:t>
            </w:r>
          </w:p>
        </w:tc>
        <w:tc>
          <w:tcPr>
            <w:tcW w:w="62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3.3</w:t>
            </w:r>
          </w:p>
        </w:tc>
        <w:tc>
          <w:tcPr>
            <w:tcW w:w="634"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2.5</w:t>
            </w:r>
          </w:p>
        </w:tc>
        <w:tc>
          <w:tcPr>
            <w:tcW w:w="700"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0.1</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0.2</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0.1</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0.5</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0.2</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w:t>
            </w:r>
          </w:p>
        </w:tc>
        <w:tc>
          <w:tcPr>
            <w:tcW w:w="799" w:type="dxa"/>
            <w:vAlign w:val="center"/>
          </w:tcPr>
          <w:p w:rsidR="007B3D73" w:rsidRPr="007B3D73" w:rsidRDefault="007B3D73" w:rsidP="007B3D73">
            <w:pPr>
              <w:jc w:val="center"/>
              <w:rPr>
                <w:rFonts w:ascii="Arial" w:hAnsi="Arial" w:cs="Arial"/>
                <w:sz w:val="16"/>
                <w:szCs w:val="16"/>
              </w:rPr>
            </w:pPr>
            <w:r w:rsidRPr="007B3D73">
              <w:rPr>
                <w:rFonts w:ascii="Arial" w:hAnsi="Arial" w:cs="Arial"/>
                <w:sz w:val="16"/>
                <w:szCs w:val="16"/>
              </w:rPr>
              <w:t>0.2</w:t>
            </w:r>
          </w:p>
        </w:tc>
        <w:tc>
          <w:tcPr>
            <w:tcW w:w="62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w:t>
            </w:r>
          </w:p>
        </w:tc>
        <w:tc>
          <w:tcPr>
            <w:tcW w:w="632"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w:t>
            </w:r>
          </w:p>
        </w:tc>
      </w:tr>
      <w:tr w:rsidR="007B3D73" w:rsidRPr="00B37126" w:rsidTr="00C455D4">
        <w:trPr>
          <w:trHeight w:val="325"/>
        </w:trPr>
        <w:tc>
          <w:tcPr>
            <w:tcW w:w="1753" w:type="dxa"/>
            <w:vAlign w:val="center"/>
          </w:tcPr>
          <w:p w:rsidR="007B3D73" w:rsidRPr="00CD13AB" w:rsidRDefault="00D62C36" w:rsidP="007B3D73">
            <w:pPr>
              <w:rPr>
                <w:rFonts w:ascii="Arial" w:hAnsi="Arial" w:cs="Arial"/>
                <w:b/>
                <w:sz w:val="16"/>
                <w:szCs w:val="16"/>
              </w:rPr>
            </w:pPr>
            <w:r w:rsidRPr="00CD13AB">
              <w:rPr>
                <w:rFonts w:ascii="Arial" w:hAnsi="Arial" w:cs="Arial"/>
                <w:b/>
                <w:sz w:val="16"/>
                <w:szCs w:val="16"/>
              </w:rPr>
              <w:t xml:space="preserve">Spinach </w:t>
            </w:r>
            <w:r w:rsidR="00C455D4" w:rsidRPr="00CD13AB">
              <w:rPr>
                <w:rFonts w:ascii="Arial" w:hAnsi="Arial" w:cs="Arial"/>
                <w:b/>
                <w:sz w:val="16"/>
                <w:szCs w:val="16"/>
              </w:rPr>
              <w:t>Leafs</w:t>
            </w:r>
          </w:p>
        </w:tc>
        <w:tc>
          <w:tcPr>
            <w:tcW w:w="799"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4.5</w:t>
            </w:r>
          </w:p>
        </w:tc>
        <w:tc>
          <w:tcPr>
            <w:tcW w:w="65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18.4</w:t>
            </w:r>
          </w:p>
        </w:tc>
        <w:tc>
          <w:tcPr>
            <w:tcW w:w="68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2.4</w:t>
            </w:r>
          </w:p>
        </w:tc>
        <w:tc>
          <w:tcPr>
            <w:tcW w:w="62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83.8</w:t>
            </w:r>
          </w:p>
        </w:tc>
        <w:tc>
          <w:tcPr>
            <w:tcW w:w="634"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82.7</w:t>
            </w:r>
          </w:p>
        </w:tc>
        <w:tc>
          <w:tcPr>
            <w:tcW w:w="700"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26.7</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55</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21.2</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76.1</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82.6</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0</w:t>
            </w:r>
          </w:p>
        </w:tc>
        <w:tc>
          <w:tcPr>
            <w:tcW w:w="799"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55.4</w:t>
            </w:r>
          </w:p>
        </w:tc>
        <w:tc>
          <w:tcPr>
            <w:tcW w:w="62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45.4</w:t>
            </w:r>
          </w:p>
        </w:tc>
        <w:tc>
          <w:tcPr>
            <w:tcW w:w="632" w:type="dxa"/>
            <w:vAlign w:val="center"/>
          </w:tcPr>
          <w:p w:rsidR="007B3D73" w:rsidRPr="007B3D73" w:rsidRDefault="007B3D73" w:rsidP="00D62C36">
            <w:pPr>
              <w:jc w:val="center"/>
              <w:rPr>
                <w:rFonts w:ascii="Arial" w:hAnsi="Arial" w:cs="Arial"/>
                <w:sz w:val="16"/>
                <w:szCs w:val="16"/>
              </w:rPr>
            </w:pPr>
            <w:r w:rsidRPr="007B3D73">
              <w:rPr>
                <w:rFonts w:ascii="Arial" w:hAnsi="Arial" w:cs="Arial"/>
                <w:sz w:val="16"/>
                <w:szCs w:val="16"/>
              </w:rPr>
              <w:t>2</w:t>
            </w:r>
            <w:r w:rsidR="00D62C36">
              <w:rPr>
                <w:rFonts w:ascii="Arial" w:hAnsi="Arial" w:cs="Arial"/>
                <w:sz w:val="16"/>
                <w:szCs w:val="16"/>
              </w:rPr>
              <w:t>9.5</w:t>
            </w:r>
          </w:p>
        </w:tc>
      </w:tr>
      <w:tr w:rsidR="007B3D73" w:rsidRPr="00B37126" w:rsidTr="00C455D4">
        <w:trPr>
          <w:trHeight w:val="325"/>
        </w:trPr>
        <w:tc>
          <w:tcPr>
            <w:tcW w:w="1753" w:type="dxa"/>
            <w:vAlign w:val="center"/>
          </w:tcPr>
          <w:p w:rsidR="007B3D73" w:rsidRPr="00CD13AB" w:rsidRDefault="00D62C36" w:rsidP="007B3D73">
            <w:pPr>
              <w:rPr>
                <w:rFonts w:ascii="Arial" w:hAnsi="Arial" w:cs="Arial"/>
                <w:b/>
                <w:sz w:val="16"/>
                <w:szCs w:val="16"/>
              </w:rPr>
            </w:pPr>
            <w:r w:rsidRPr="00CD13AB">
              <w:rPr>
                <w:rFonts w:ascii="Arial" w:hAnsi="Arial" w:cs="Arial"/>
                <w:b/>
                <w:sz w:val="16"/>
                <w:szCs w:val="16"/>
              </w:rPr>
              <w:t xml:space="preserve">Whole </w:t>
            </w:r>
            <w:r w:rsidR="00C455D4" w:rsidRPr="00CD13AB">
              <w:rPr>
                <w:rFonts w:ascii="Arial" w:hAnsi="Arial" w:cs="Arial"/>
                <w:b/>
                <w:sz w:val="16"/>
                <w:szCs w:val="16"/>
              </w:rPr>
              <w:t>Fat Buffalo Milk</w:t>
            </w:r>
          </w:p>
        </w:tc>
        <w:tc>
          <w:tcPr>
            <w:tcW w:w="799"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5.9</w:t>
            </w:r>
          </w:p>
        </w:tc>
        <w:tc>
          <w:tcPr>
            <w:tcW w:w="65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7</w:t>
            </w:r>
          </w:p>
        </w:tc>
        <w:tc>
          <w:tcPr>
            <w:tcW w:w="68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18.1</w:t>
            </w:r>
          </w:p>
        </w:tc>
        <w:tc>
          <w:tcPr>
            <w:tcW w:w="62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2.8</w:t>
            </w:r>
          </w:p>
        </w:tc>
        <w:tc>
          <w:tcPr>
            <w:tcW w:w="634"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4.1</w:t>
            </w:r>
          </w:p>
        </w:tc>
        <w:tc>
          <w:tcPr>
            <w:tcW w:w="700"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3.7</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14.9</w:t>
            </w:r>
          </w:p>
        </w:tc>
        <w:tc>
          <w:tcPr>
            <w:tcW w:w="711" w:type="dxa"/>
            <w:vAlign w:val="center"/>
          </w:tcPr>
          <w:p w:rsidR="007B3D73" w:rsidRPr="007B3D73" w:rsidRDefault="007B3D73" w:rsidP="007B3D73">
            <w:pPr>
              <w:jc w:val="center"/>
              <w:rPr>
                <w:rFonts w:ascii="Arial" w:hAnsi="Arial" w:cs="Arial"/>
                <w:sz w:val="16"/>
                <w:szCs w:val="16"/>
              </w:rPr>
            </w:pPr>
            <w:r w:rsidRPr="007B3D73">
              <w:rPr>
                <w:rFonts w:ascii="Arial" w:hAnsi="Arial" w:cs="Arial"/>
                <w:sz w:val="16"/>
                <w:szCs w:val="16"/>
              </w:rPr>
              <w:t>0.</w:t>
            </w:r>
            <w:r w:rsidR="00D62C36">
              <w:rPr>
                <w:rFonts w:ascii="Arial" w:hAnsi="Arial" w:cs="Arial"/>
                <w:sz w:val="16"/>
                <w:szCs w:val="16"/>
              </w:rPr>
              <w:t>5</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2.2</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1</w:t>
            </w:r>
          </w:p>
        </w:tc>
        <w:tc>
          <w:tcPr>
            <w:tcW w:w="711"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49.1</w:t>
            </w:r>
          </w:p>
        </w:tc>
        <w:tc>
          <w:tcPr>
            <w:tcW w:w="799"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25</w:t>
            </w:r>
          </w:p>
        </w:tc>
        <w:tc>
          <w:tcPr>
            <w:tcW w:w="623"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1.4</w:t>
            </w:r>
          </w:p>
        </w:tc>
        <w:tc>
          <w:tcPr>
            <w:tcW w:w="632" w:type="dxa"/>
            <w:vAlign w:val="center"/>
          </w:tcPr>
          <w:p w:rsidR="007B3D73" w:rsidRPr="007B3D73" w:rsidRDefault="00D62C36" w:rsidP="007B3D73">
            <w:pPr>
              <w:jc w:val="center"/>
              <w:rPr>
                <w:rFonts w:ascii="Arial" w:hAnsi="Arial" w:cs="Arial"/>
                <w:sz w:val="16"/>
                <w:szCs w:val="16"/>
              </w:rPr>
            </w:pPr>
            <w:r>
              <w:rPr>
                <w:rFonts w:ascii="Arial" w:hAnsi="Arial" w:cs="Arial"/>
                <w:sz w:val="16"/>
                <w:szCs w:val="16"/>
              </w:rPr>
              <w:t>2.4</w:t>
            </w:r>
          </w:p>
        </w:tc>
      </w:tr>
      <w:tr w:rsidR="007B3D73" w:rsidRPr="00B37126" w:rsidTr="00C455D4">
        <w:trPr>
          <w:trHeight w:val="325"/>
        </w:trPr>
        <w:tc>
          <w:tcPr>
            <w:tcW w:w="1753" w:type="dxa"/>
            <w:vAlign w:val="center"/>
          </w:tcPr>
          <w:p w:rsidR="007B3D73" w:rsidRPr="00CD13AB" w:rsidRDefault="00D62C36" w:rsidP="007B3D73">
            <w:pPr>
              <w:rPr>
                <w:rFonts w:ascii="Arial" w:hAnsi="Arial" w:cs="Arial"/>
                <w:b/>
                <w:sz w:val="16"/>
                <w:szCs w:val="16"/>
              </w:rPr>
            </w:pPr>
            <w:r w:rsidRPr="00CD13AB">
              <w:rPr>
                <w:rFonts w:ascii="Arial" w:hAnsi="Arial" w:cs="Arial"/>
                <w:b/>
                <w:sz w:val="16"/>
                <w:szCs w:val="16"/>
              </w:rPr>
              <w:t xml:space="preserve">Raw </w:t>
            </w:r>
            <w:r w:rsidR="00C455D4" w:rsidRPr="00CD13AB">
              <w:rPr>
                <w:rFonts w:ascii="Arial" w:hAnsi="Arial" w:cs="Arial"/>
                <w:b/>
                <w:sz w:val="16"/>
                <w:szCs w:val="16"/>
              </w:rPr>
              <w:t>Chicken Liver</w:t>
            </w:r>
          </w:p>
        </w:tc>
        <w:tc>
          <w:tcPr>
            <w:tcW w:w="799"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0.3</w:t>
            </w:r>
          </w:p>
        </w:tc>
        <w:tc>
          <w:tcPr>
            <w:tcW w:w="65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1.6</w:t>
            </w:r>
          </w:p>
        </w:tc>
        <w:tc>
          <w:tcPr>
            <w:tcW w:w="68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0.6</w:t>
            </w:r>
          </w:p>
        </w:tc>
        <w:tc>
          <w:tcPr>
            <w:tcW w:w="62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10.3</w:t>
            </w:r>
          </w:p>
        </w:tc>
        <w:tc>
          <w:tcPr>
            <w:tcW w:w="634"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w:t>
            </w:r>
          </w:p>
        </w:tc>
        <w:tc>
          <w:tcPr>
            <w:tcW w:w="700"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1.2</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6.2</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2.4</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4.1</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5.1</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46.2</w:t>
            </w:r>
          </w:p>
        </w:tc>
        <w:tc>
          <w:tcPr>
            <w:tcW w:w="799"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0.1</w:t>
            </w:r>
          </w:p>
        </w:tc>
        <w:tc>
          <w:tcPr>
            <w:tcW w:w="62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8.6</w:t>
            </w:r>
          </w:p>
        </w:tc>
        <w:tc>
          <w:tcPr>
            <w:tcW w:w="632"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1.4</w:t>
            </w:r>
          </w:p>
        </w:tc>
      </w:tr>
      <w:tr w:rsidR="007B3D73" w:rsidRPr="00B37126" w:rsidTr="00C455D4">
        <w:trPr>
          <w:trHeight w:val="325"/>
        </w:trPr>
        <w:tc>
          <w:tcPr>
            <w:tcW w:w="1753" w:type="dxa"/>
            <w:vAlign w:val="center"/>
          </w:tcPr>
          <w:p w:rsidR="007B3D73" w:rsidRPr="00CD13AB" w:rsidRDefault="00D62C36" w:rsidP="00EC553B">
            <w:pPr>
              <w:rPr>
                <w:rFonts w:ascii="Arial" w:hAnsi="Arial" w:cs="Arial"/>
                <w:b/>
                <w:sz w:val="16"/>
                <w:szCs w:val="16"/>
              </w:rPr>
            </w:pPr>
            <w:r w:rsidRPr="00CD13AB">
              <w:rPr>
                <w:rFonts w:ascii="Arial" w:hAnsi="Arial" w:cs="Arial"/>
                <w:b/>
                <w:sz w:val="16"/>
                <w:szCs w:val="16"/>
              </w:rPr>
              <w:t xml:space="preserve">Dried </w:t>
            </w:r>
            <w:r w:rsidR="00C455D4" w:rsidRPr="00CD13AB">
              <w:rPr>
                <w:rFonts w:ascii="Arial" w:hAnsi="Arial" w:cs="Arial"/>
                <w:b/>
                <w:sz w:val="16"/>
                <w:szCs w:val="16"/>
              </w:rPr>
              <w:t>Pea</w:t>
            </w:r>
          </w:p>
        </w:tc>
        <w:tc>
          <w:tcPr>
            <w:tcW w:w="799"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17.9</w:t>
            </w:r>
          </w:p>
        </w:tc>
        <w:tc>
          <w:tcPr>
            <w:tcW w:w="65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37.8</w:t>
            </w:r>
          </w:p>
        </w:tc>
        <w:tc>
          <w:tcPr>
            <w:tcW w:w="68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4.7</w:t>
            </w:r>
          </w:p>
        </w:tc>
        <w:tc>
          <w:tcPr>
            <w:tcW w:w="62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0.2</w:t>
            </w:r>
          </w:p>
        </w:tc>
        <w:tc>
          <w:tcPr>
            <w:tcW w:w="634"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w:t>
            </w:r>
          </w:p>
        </w:tc>
        <w:tc>
          <w:tcPr>
            <w:tcW w:w="700"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34.8</w:t>
            </w:r>
          </w:p>
        </w:tc>
        <w:tc>
          <w:tcPr>
            <w:tcW w:w="711" w:type="dxa"/>
            <w:vAlign w:val="center"/>
          </w:tcPr>
          <w:p w:rsidR="007B3D73" w:rsidRPr="007B3D73" w:rsidRDefault="007B3D73" w:rsidP="007B3D73">
            <w:pPr>
              <w:jc w:val="center"/>
              <w:rPr>
                <w:rFonts w:ascii="Arial" w:hAnsi="Arial" w:cs="Arial"/>
                <w:sz w:val="16"/>
                <w:szCs w:val="16"/>
              </w:rPr>
            </w:pPr>
            <w:r w:rsidRPr="007B3D73">
              <w:rPr>
                <w:rFonts w:ascii="Arial" w:hAnsi="Arial" w:cs="Arial"/>
                <w:sz w:val="16"/>
                <w:szCs w:val="16"/>
              </w:rPr>
              <w:t>8</w:t>
            </w:r>
            <w:r w:rsidR="00C455D4">
              <w:rPr>
                <w:rFonts w:ascii="Arial" w:hAnsi="Arial" w:cs="Arial"/>
                <w:sz w:val="16"/>
                <w:szCs w:val="16"/>
              </w:rPr>
              <w:t>.3</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27.8</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6.6</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5.2</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w:t>
            </w:r>
          </w:p>
        </w:tc>
        <w:tc>
          <w:tcPr>
            <w:tcW w:w="799"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8.5</w:t>
            </w:r>
          </w:p>
        </w:tc>
        <w:tc>
          <w:tcPr>
            <w:tcW w:w="62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16.8</w:t>
            </w:r>
          </w:p>
        </w:tc>
        <w:tc>
          <w:tcPr>
            <w:tcW w:w="632"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35.7</w:t>
            </w:r>
          </w:p>
        </w:tc>
      </w:tr>
      <w:tr w:rsidR="007B3D73" w:rsidRPr="00B37126" w:rsidTr="00C455D4">
        <w:trPr>
          <w:trHeight w:val="325"/>
        </w:trPr>
        <w:tc>
          <w:tcPr>
            <w:tcW w:w="1753" w:type="dxa"/>
            <w:vAlign w:val="center"/>
          </w:tcPr>
          <w:p w:rsidR="007B3D73" w:rsidRPr="00CD13AB" w:rsidRDefault="00C455D4" w:rsidP="007B3D73">
            <w:pPr>
              <w:rPr>
                <w:rFonts w:ascii="Arial" w:hAnsi="Arial" w:cs="Arial"/>
                <w:b/>
                <w:sz w:val="16"/>
                <w:szCs w:val="16"/>
              </w:rPr>
            </w:pPr>
            <w:r w:rsidRPr="00CD13AB">
              <w:rPr>
                <w:rFonts w:ascii="Arial" w:hAnsi="Arial" w:cs="Arial"/>
                <w:b/>
                <w:sz w:val="16"/>
                <w:szCs w:val="16"/>
              </w:rPr>
              <w:t>Potato</w:t>
            </w:r>
          </w:p>
        </w:tc>
        <w:tc>
          <w:tcPr>
            <w:tcW w:w="799"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0.4</w:t>
            </w:r>
          </w:p>
        </w:tc>
        <w:tc>
          <w:tcPr>
            <w:tcW w:w="65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0.3</w:t>
            </w:r>
          </w:p>
        </w:tc>
        <w:tc>
          <w:tcPr>
            <w:tcW w:w="68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w:t>
            </w:r>
          </w:p>
        </w:tc>
        <w:tc>
          <w:tcPr>
            <w:tcW w:w="62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w:t>
            </w:r>
          </w:p>
        </w:tc>
        <w:tc>
          <w:tcPr>
            <w:tcW w:w="634"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2.3</w:t>
            </w:r>
          </w:p>
        </w:tc>
        <w:tc>
          <w:tcPr>
            <w:tcW w:w="700"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0.6</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0.1</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0.7</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2</w:t>
            </w:r>
          </w:p>
        </w:tc>
        <w:tc>
          <w:tcPr>
            <w:tcW w:w="711"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0.1</w:t>
            </w:r>
          </w:p>
        </w:tc>
        <w:tc>
          <w:tcPr>
            <w:tcW w:w="711" w:type="dxa"/>
            <w:vAlign w:val="center"/>
          </w:tcPr>
          <w:p w:rsidR="007B3D73" w:rsidRPr="007B3D73" w:rsidRDefault="007B3D73" w:rsidP="00C455D4">
            <w:pPr>
              <w:jc w:val="center"/>
              <w:rPr>
                <w:rFonts w:ascii="Arial" w:hAnsi="Arial" w:cs="Arial"/>
                <w:sz w:val="16"/>
                <w:szCs w:val="16"/>
              </w:rPr>
            </w:pPr>
            <w:r w:rsidRPr="007B3D73">
              <w:rPr>
                <w:rFonts w:ascii="Arial" w:hAnsi="Arial" w:cs="Arial"/>
                <w:sz w:val="16"/>
                <w:szCs w:val="16"/>
              </w:rPr>
              <w:t>0</w:t>
            </w:r>
          </w:p>
        </w:tc>
        <w:tc>
          <w:tcPr>
            <w:tcW w:w="799" w:type="dxa"/>
            <w:vAlign w:val="center"/>
          </w:tcPr>
          <w:p w:rsidR="007B3D73" w:rsidRPr="007B3D73" w:rsidRDefault="007B3D73" w:rsidP="00C455D4">
            <w:pPr>
              <w:jc w:val="center"/>
              <w:rPr>
                <w:rFonts w:ascii="Arial" w:hAnsi="Arial" w:cs="Arial"/>
                <w:sz w:val="16"/>
                <w:szCs w:val="16"/>
              </w:rPr>
            </w:pPr>
            <w:r w:rsidRPr="007B3D73">
              <w:rPr>
                <w:rFonts w:ascii="Arial" w:hAnsi="Arial" w:cs="Arial"/>
                <w:sz w:val="16"/>
                <w:szCs w:val="16"/>
              </w:rPr>
              <w:t>0</w:t>
            </w:r>
          </w:p>
        </w:tc>
        <w:tc>
          <w:tcPr>
            <w:tcW w:w="623"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0.1</w:t>
            </w:r>
          </w:p>
        </w:tc>
        <w:tc>
          <w:tcPr>
            <w:tcW w:w="632" w:type="dxa"/>
            <w:vAlign w:val="center"/>
          </w:tcPr>
          <w:p w:rsidR="007B3D73" w:rsidRPr="007B3D73" w:rsidRDefault="00C455D4" w:rsidP="007B3D73">
            <w:pPr>
              <w:jc w:val="center"/>
              <w:rPr>
                <w:rFonts w:ascii="Arial" w:hAnsi="Arial" w:cs="Arial"/>
                <w:sz w:val="16"/>
                <w:szCs w:val="16"/>
              </w:rPr>
            </w:pPr>
            <w:r>
              <w:rPr>
                <w:rFonts w:ascii="Arial" w:hAnsi="Arial" w:cs="Arial"/>
                <w:sz w:val="16"/>
                <w:szCs w:val="16"/>
              </w:rPr>
              <w:t>0.2</w:t>
            </w:r>
          </w:p>
        </w:tc>
      </w:tr>
      <w:tr w:rsidR="007B3D73" w:rsidRPr="00B37126" w:rsidTr="00C455D4">
        <w:trPr>
          <w:trHeight w:val="325"/>
        </w:trPr>
        <w:tc>
          <w:tcPr>
            <w:tcW w:w="1753" w:type="dxa"/>
            <w:vAlign w:val="center"/>
          </w:tcPr>
          <w:p w:rsidR="007B3D73" w:rsidRPr="00CD13AB" w:rsidRDefault="00EC553B" w:rsidP="007B3D73">
            <w:pPr>
              <w:rPr>
                <w:rFonts w:ascii="Arial" w:hAnsi="Arial" w:cs="Arial"/>
                <w:b/>
                <w:sz w:val="16"/>
                <w:szCs w:val="16"/>
              </w:rPr>
            </w:pPr>
            <w:r w:rsidRPr="00CD13AB">
              <w:rPr>
                <w:rFonts w:ascii="Arial" w:hAnsi="Arial" w:cs="Arial"/>
                <w:b/>
                <w:sz w:val="16"/>
                <w:szCs w:val="16"/>
              </w:rPr>
              <w:t>Rice</w:t>
            </w:r>
            <w:r w:rsidR="00C455D4" w:rsidRPr="00CD13AB">
              <w:rPr>
                <w:rFonts w:ascii="Arial" w:hAnsi="Arial" w:cs="Arial"/>
                <w:b/>
                <w:sz w:val="16"/>
                <w:szCs w:val="16"/>
              </w:rPr>
              <w:t>, Flaked</w:t>
            </w:r>
          </w:p>
        </w:tc>
        <w:tc>
          <w:tcPr>
            <w:tcW w:w="799"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9.2</w:t>
            </w:r>
          </w:p>
        </w:tc>
        <w:tc>
          <w:tcPr>
            <w:tcW w:w="65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5.3</w:t>
            </w:r>
          </w:p>
        </w:tc>
        <w:tc>
          <w:tcPr>
            <w:tcW w:w="683"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1.2</w:t>
            </w:r>
          </w:p>
        </w:tc>
        <w:tc>
          <w:tcPr>
            <w:tcW w:w="623"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0</w:t>
            </w:r>
          </w:p>
        </w:tc>
        <w:tc>
          <w:tcPr>
            <w:tcW w:w="634"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0</w:t>
            </w:r>
          </w:p>
        </w:tc>
        <w:tc>
          <w:tcPr>
            <w:tcW w:w="700"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7.3</w:t>
            </w:r>
          </w:p>
        </w:tc>
        <w:tc>
          <w:tcPr>
            <w:tcW w:w="71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1.5</w:t>
            </w:r>
          </w:p>
        </w:tc>
        <w:tc>
          <w:tcPr>
            <w:tcW w:w="71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9.5</w:t>
            </w:r>
          </w:p>
        </w:tc>
        <w:tc>
          <w:tcPr>
            <w:tcW w:w="711" w:type="dxa"/>
            <w:vAlign w:val="center"/>
          </w:tcPr>
          <w:p w:rsidR="007B3D73" w:rsidRPr="007B3D73" w:rsidRDefault="007B3D73" w:rsidP="00CD13AB">
            <w:pPr>
              <w:jc w:val="center"/>
              <w:rPr>
                <w:rFonts w:ascii="Arial" w:hAnsi="Arial" w:cs="Arial"/>
                <w:sz w:val="16"/>
                <w:szCs w:val="16"/>
              </w:rPr>
            </w:pPr>
            <w:r w:rsidRPr="007B3D73">
              <w:rPr>
                <w:rFonts w:ascii="Arial" w:hAnsi="Arial" w:cs="Arial"/>
                <w:sz w:val="16"/>
                <w:szCs w:val="16"/>
              </w:rPr>
              <w:t>0</w:t>
            </w:r>
          </w:p>
        </w:tc>
        <w:tc>
          <w:tcPr>
            <w:tcW w:w="711" w:type="dxa"/>
            <w:vAlign w:val="center"/>
          </w:tcPr>
          <w:p w:rsidR="007B3D73" w:rsidRPr="007B3D73" w:rsidRDefault="007B3D73" w:rsidP="00CD13AB">
            <w:pPr>
              <w:jc w:val="center"/>
              <w:rPr>
                <w:rFonts w:ascii="Arial" w:hAnsi="Arial" w:cs="Arial"/>
                <w:sz w:val="16"/>
                <w:szCs w:val="16"/>
              </w:rPr>
            </w:pPr>
            <w:r w:rsidRPr="007B3D73">
              <w:rPr>
                <w:rFonts w:ascii="Arial" w:hAnsi="Arial" w:cs="Arial"/>
                <w:sz w:val="16"/>
                <w:szCs w:val="16"/>
              </w:rPr>
              <w:t>0</w:t>
            </w:r>
          </w:p>
        </w:tc>
        <w:tc>
          <w:tcPr>
            <w:tcW w:w="711" w:type="dxa"/>
            <w:vAlign w:val="center"/>
          </w:tcPr>
          <w:p w:rsidR="007B3D73" w:rsidRPr="007B3D73" w:rsidRDefault="007B3D73" w:rsidP="00CD13AB">
            <w:pPr>
              <w:jc w:val="center"/>
              <w:rPr>
                <w:rFonts w:ascii="Arial" w:hAnsi="Arial" w:cs="Arial"/>
                <w:sz w:val="16"/>
                <w:szCs w:val="16"/>
              </w:rPr>
            </w:pPr>
            <w:r w:rsidRPr="007B3D73">
              <w:rPr>
                <w:rFonts w:ascii="Arial" w:hAnsi="Arial" w:cs="Arial"/>
                <w:sz w:val="16"/>
                <w:szCs w:val="16"/>
              </w:rPr>
              <w:t>0</w:t>
            </w:r>
          </w:p>
        </w:tc>
        <w:tc>
          <w:tcPr>
            <w:tcW w:w="799"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1.3</w:t>
            </w:r>
          </w:p>
        </w:tc>
        <w:tc>
          <w:tcPr>
            <w:tcW w:w="623"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11.2</w:t>
            </w:r>
          </w:p>
        </w:tc>
        <w:tc>
          <w:tcPr>
            <w:tcW w:w="632"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6.5</w:t>
            </w:r>
          </w:p>
        </w:tc>
      </w:tr>
      <w:tr w:rsidR="007B3D73" w:rsidRPr="00B37126" w:rsidTr="00C455D4">
        <w:trPr>
          <w:trHeight w:val="325"/>
        </w:trPr>
        <w:tc>
          <w:tcPr>
            <w:tcW w:w="1753" w:type="dxa"/>
            <w:vAlign w:val="center"/>
          </w:tcPr>
          <w:p w:rsidR="007B3D73" w:rsidRPr="00CD13AB" w:rsidRDefault="00EC553B" w:rsidP="007B3D73">
            <w:pPr>
              <w:rPr>
                <w:rFonts w:ascii="Arial" w:hAnsi="Arial" w:cs="Arial"/>
                <w:b/>
                <w:sz w:val="16"/>
                <w:szCs w:val="16"/>
              </w:rPr>
            </w:pPr>
            <w:r w:rsidRPr="00CD13AB">
              <w:rPr>
                <w:rFonts w:ascii="Arial" w:hAnsi="Arial" w:cs="Arial"/>
                <w:b/>
                <w:sz w:val="16"/>
                <w:szCs w:val="16"/>
              </w:rPr>
              <w:t>Rice</w:t>
            </w:r>
            <w:r w:rsidR="00C455D4" w:rsidRPr="00CD13AB">
              <w:rPr>
                <w:rFonts w:ascii="Arial" w:hAnsi="Arial" w:cs="Arial"/>
                <w:b/>
                <w:sz w:val="16"/>
                <w:szCs w:val="16"/>
              </w:rPr>
              <w:t>, Puffed, Salted</w:t>
            </w:r>
          </w:p>
        </w:tc>
        <w:tc>
          <w:tcPr>
            <w:tcW w:w="799"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20</w:t>
            </w:r>
          </w:p>
        </w:tc>
        <w:tc>
          <w:tcPr>
            <w:tcW w:w="65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11.6</w:t>
            </w:r>
          </w:p>
        </w:tc>
        <w:tc>
          <w:tcPr>
            <w:tcW w:w="683"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0.2</w:t>
            </w:r>
          </w:p>
        </w:tc>
        <w:tc>
          <w:tcPr>
            <w:tcW w:w="623" w:type="dxa"/>
            <w:vAlign w:val="center"/>
          </w:tcPr>
          <w:p w:rsidR="007B3D73" w:rsidRPr="007B3D73" w:rsidRDefault="007B3D73" w:rsidP="00CD13AB">
            <w:pPr>
              <w:jc w:val="center"/>
              <w:rPr>
                <w:rFonts w:ascii="Arial" w:hAnsi="Arial" w:cs="Arial"/>
                <w:sz w:val="16"/>
                <w:szCs w:val="16"/>
              </w:rPr>
            </w:pPr>
            <w:r w:rsidRPr="007B3D73">
              <w:rPr>
                <w:rFonts w:ascii="Arial" w:hAnsi="Arial" w:cs="Arial"/>
                <w:sz w:val="16"/>
                <w:szCs w:val="16"/>
              </w:rPr>
              <w:t>0</w:t>
            </w:r>
          </w:p>
        </w:tc>
        <w:tc>
          <w:tcPr>
            <w:tcW w:w="634" w:type="dxa"/>
            <w:vAlign w:val="center"/>
          </w:tcPr>
          <w:p w:rsidR="007B3D73" w:rsidRPr="007B3D73" w:rsidRDefault="007B3D73" w:rsidP="00CD13AB">
            <w:pPr>
              <w:jc w:val="center"/>
              <w:rPr>
                <w:rFonts w:ascii="Arial" w:hAnsi="Arial" w:cs="Arial"/>
                <w:sz w:val="16"/>
                <w:szCs w:val="16"/>
              </w:rPr>
            </w:pPr>
            <w:r w:rsidRPr="007B3D73">
              <w:rPr>
                <w:rFonts w:ascii="Arial" w:hAnsi="Arial" w:cs="Arial"/>
                <w:sz w:val="16"/>
                <w:szCs w:val="16"/>
              </w:rPr>
              <w:t>0</w:t>
            </w:r>
          </w:p>
        </w:tc>
        <w:tc>
          <w:tcPr>
            <w:tcW w:w="700"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7.3</w:t>
            </w:r>
          </w:p>
        </w:tc>
        <w:tc>
          <w:tcPr>
            <w:tcW w:w="71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1.8</w:t>
            </w:r>
          </w:p>
        </w:tc>
        <w:tc>
          <w:tcPr>
            <w:tcW w:w="71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18</w:t>
            </w:r>
          </w:p>
        </w:tc>
        <w:tc>
          <w:tcPr>
            <w:tcW w:w="71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0</w:t>
            </w:r>
          </w:p>
        </w:tc>
        <w:tc>
          <w:tcPr>
            <w:tcW w:w="711"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1.8</w:t>
            </w:r>
          </w:p>
        </w:tc>
        <w:tc>
          <w:tcPr>
            <w:tcW w:w="711" w:type="dxa"/>
            <w:vAlign w:val="center"/>
          </w:tcPr>
          <w:p w:rsidR="007B3D73" w:rsidRPr="007B3D73" w:rsidRDefault="007B3D73" w:rsidP="00CD13AB">
            <w:pPr>
              <w:jc w:val="center"/>
              <w:rPr>
                <w:rFonts w:ascii="Arial" w:hAnsi="Arial" w:cs="Arial"/>
                <w:sz w:val="16"/>
                <w:szCs w:val="16"/>
              </w:rPr>
            </w:pPr>
            <w:r w:rsidRPr="007B3D73">
              <w:rPr>
                <w:rFonts w:ascii="Arial" w:hAnsi="Arial" w:cs="Arial"/>
                <w:sz w:val="16"/>
                <w:szCs w:val="16"/>
              </w:rPr>
              <w:t>0</w:t>
            </w:r>
          </w:p>
        </w:tc>
        <w:tc>
          <w:tcPr>
            <w:tcW w:w="799"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1.1</w:t>
            </w:r>
          </w:p>
        </w:tc>
        <w:tc>
          <w:tcPr>
            <w:tcW w:w="623"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2.4</w:t>
            </w:r>
          </w:p>
        </w:tc>
        <w:tc>
          <w:tcPr>
            <w:tcW w:w="632" w:type="dxa"/>
            <w:vAlign w:val="center"/>
          </w:tcPr>
          <w:p w:rsidR="007B3D73" w:rsidRPr="007B3D73" w:rsidRDefault="00CD13AB" w:rsidP="007B3D73">
            <w:pPr>
              <w:jc w:val="center"/>
              <w:rPr>
                <w:rFonts w:ascii="Arial" w:hAnsi="Arial" w:cs="Arial"/>
                <w:sz w:val="16"/>
                <w:szCs w:val="16"/>
              </w:rPr>
            </w:pPr>
            <w:r>
              <w:rPr>
                <w:rFonts w:ascii="Arial" w:hAnsi="Arial" w:cs="Arial"/>
                <w:sz w:val="16"/>
                <w:szCs w:val="16"/>
              </w:rPr>
              <w:t>8.7</w:t>
            </w:r>
          </w:p>
        </w:tc>
      </w:tr>
      <w:tr w:rsidR="007B3D73" w:rsidRPr="00B37126" w:rsidTr="00C455D4">
        <w:trPr>
          <w:trHeight w:val="325"/>
        </w:trPr>
        <w:tc>
          <w:tcPr>
            <w:tcW w:w="1753" w:type="dxa"/>
            <w:vAlign w:val="center"/>
          </w:tcPr>
          <w:p w:rsidR="007B3D73" w:rsidRPr="00CD13AB" w:rsidRDefault="007B3D73" w:rsidP="007B3D73">
            <w:pPr>
              <w:rPr>
                <w:rFonts w:ascii="Arial" w:hAnsi="Arial" w:cs="Arial"/>
                <w:b/>
                <w:sz w:val="16"/>
                <w:szCs w:val="16"/>
              </w:rPr>
            </w:pPr>
            <w:r w:rsidRPr="00CD13AB">
              <w:rPr>
                <w:rFonts w:ascii="Arial" w:hAnsi="Arial" w:cs="Arial"/>
                <w:b/>
                <w:sz w:val="16"/>
                <w:szCs w:val="16"/>
              </w:rPr>
              <w:t xml:space="preserve">Wheat </w:t>
            </w:r>
            <w:r w:rsidR="00C455D4" w:rsidRPr="00CD13AB">
              <w:rPr>
                <w:rFonts w:ascii="Arial" w:hAnsi="Arial" w:cs="Arial"/>
                <w:b/>
                <w:sz w:val="16"/>
                <w:szCs w:val="16"/>
              </w:rPr>
              <w:t>Flour</w:t>
            </w:r>
          </w:p>
        </w:tc>
        <w:tc>
          <w:tcPr>
            <w:tcW w:w="799"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16.8</w:t>
            </w:r>
          </w:p>
        </w:tc>
        <w:tc>
          <w:tcPr>
            <w:tcW w:w="651"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16</w:t>
            </w:r>
          </w:p>
        </w:tc>
        <w:tc>
          <w:tcPr>
            <w:tcW w:w="683"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3.3</w:t>
            </w:r>
          </w:p>
        </w:tc>
        <w:tc>
          <w:tcPr>
            <w:tcW w:w="623" w:type="dxa"/>
            <w:vAlign w:val="center"/>
          </w:tcPr>
          <w:p w:rsidR="007B3D73" w:rsidRPr="007B3D73" w:rsidRDefault="007B3D73" w:rsidP="00CD13AB">
            <w:pPr>
              <w:jc w:val="center"/>
              <w:rPr>
                <w:rFonts w:ascii="Times New Roman" w:hAnsi="Times New Roman"/>
                <w:sz w:val="16"/>
                <w:szCs w:val="16"/>
              </w:rPr>
            </w:pPr>
            <w:r w:rsidRPr="007B3D73">
              <w:rPr>
                <w:rFonts w:ascii="Times New Roman" w:hAnsi="Times New Roman"/>
                <w:sz w:val="16"/>
                <w:szCs w:val="16"/>
              </w:rPr>
              <w:t>0</w:t>
            </w:r>
          </w:p>
        </w:tc>
        <w:tc>
          <w:tcPr>
            <w:tcW w:w="634" w:type="dxa"/>
            <w:vAlign w:val="center"/>
          </w:tcPr>
          <w:p w:rsidR="007B3D73" w:rsidRPr="007B3D73" w:rsidRDefault="007B3D73" w:rsidP="00CD13AB">
            <w:pPr>
              <w:jc w:val="center"/>
              <w:rPr>
                <w:rFonts w:ascii="Times New Roman" w:hAnsi="Times New Roman"/>
                <w:sz w:val="16"/>
                <w:szCs w:val="16"/>
              </w:rPr>
            </w:pPr>
            <w:r w:rsidRPr="007B3D73">
              <w:rPr>
                <w:rFonts w:ascii="Times New Roman" w:hAnsi="Times New Roman"/>
                <w:sz w:val="16"/>
                <w:szCs w:val="16"/>
              </w:rPr>
              <w:t>0</w:t>
            </w:r>
          </w:p>
        </w:tc>
        <w:tc>
          <w:tcPr>
            <w:tcW w:w="700"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8.4</w:t>
            </w:r>
          </w:p>
        </w:tc>
        <w:tc>
          <w:tcPr>
            <w:tcW w:w="711" w:type="dxa"/>
            <w:vAlign w:val="center"/>
          </w:tcPr>
          <w:p w:rsidR="007B3D73" w:rsidRPr="007B3D73" w:rsidRDefault="007B3D73" w:rsidP="00CD13AB">
            <w:pPr>
              <w:jc w:val="center"/>
              <w:rPr>
                <w:rFonts w:ascii="Times New Roman" w:hAnsi="Times New Roman"/>
                <w:sz w:val="16"/>
                <w:szCs w:val="16"/>
              </w:rPr>
            </w:pPr>
            <w:r w:rsidRPr="007B3D73">
              <w:rPr>
                <w:rFonts w:ascii="Times New Roman" w:hAnsi="Times New Roman"/>
                <w:sz w:val="16"/>
                <w:szCs w:val="16"/>
              </w:rPr>
              <w:t>3</w:t>
            </w:r>
          </w:p>
        </w:tc>
        <w:tc>
          <w:tcPr>
            <w:tcW w:w="711"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17.7</w:t>
            </w:r>
          </w:p>
        </w:tc>
        <w:tc>
          <w:tcPr>
            <w:tcW w:w="711"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7.7</w:t>
            </w:r>
          </w:p>
        </w:tc>
        <w:tc>
          <w:tcPr>
            <w:tcW w:w="711" w:type="dxa"/>
            <w:vAlign w:val="center"/>
          </w:tcPr>
          <w:p w:rsidR="007B3D73" w:rsidRPr="007B3D73" w:rsidRDefault="007B3D73" w:rsidP="00CD13AB">
            <w:pPr>
              <w:jc w:val="center"/>
              <w:rPr>
                <w:rFonts w:ascii="Times New Roman" w:hAnsi="Times New Roman"/>
                <w:sz w:val="16"/>
                <w:szCs w:val="16"/>
              </w:rPr>
            </w:pPr>
            <w:r w:rsidRPr="007B3D73">
              <w:rPr>
                <w:rFonts w:ascii="Times New Roman" w:hAnsi="Times New Roman"/>
                <w:sz w:val="16"/>
                <w:szCs w:val="16"/>
              </w:rPr>
              <w:t>2.</w:t>
            </w:r>
            <w:r w:rsidR="00CD13AB">
              <w:rPr>
                <w:rFonts w:ascii="Times New Roman" w:hAnsi="Times New Roman"/>
                <w:sz w:val="16"/>
                <w:szCs w:val="16"/>
              </w:rPr>
              <w:t>8</w:t>
            </w:r>
          </w:p>
        </w:tc>
        <w:tc>
          <w:tcPr>
            <w:tcW w:w="711" w:type="dxa"/>
            <w:vAlign w:val="center"/>
          </w:tcPr>
          <w:p w:rsidR="007B3D73" w:rsidRPr="007B3D73" w:rsidRDefault="007B3D73" w:rsidP="00CD13AB">
            <w:pPr>
              <w:jc w:val="center"/>
              <w:rPr>
                <w:rFonts w:ascii="Times New Roman" w:hAnsi="Times New Roman"/>
                <w:sz w:val="16"/>
                <w:szCs w:val="16"/>
              </w:rPr>
            </w:pPr>
            <w:r w:rsidRPr="007B3D73">
              <w:rPr>
                <w:rFonts w:ascii="Times New Roman" w:hAnsi="Times New Roman"/>
                <w:sz w:val="16"/>
                <w:szCs w:val="16"/>
              </w:rPr>
              <w:t>0</w:t>
            </w:r>
          </w:p>
        </w:tc>
        <w:tc>
          <w:tcPr>
            <w:tcW w:w="799" w:type="dxa"/>
            <w:vAlign w:val="center"/>
          </w:tcPr>
          <w:p w:rsidR="007B3D73" w:rsidRPr="007B3D73" w:rsidRDefault="007B3D73" w:rsidP="00CD13AB">
            <w:pPr>
              <w:jc w:val="center"/>
              <w:rPr>
                <w:rFonts w:ascii="Times New Roman" w:hAnsi="Times New Roman"/>
                <w:sz w:val="16"/>
                <w:szCs w:val="16"/>
              </w:rPr>
            </w:pPr>
            <w:r w:rsidRPr="007B3D73">
              <w:rPr>
                <w:rFonts w:ascii="Times New Roman" w:hAnsi="Times New Roman"/>
                <w:sz w:val="16"/>
                <w:szCs w:val="16"/>
              </w:rPr>
              <w:t>1.</w:t>
            </w:r>
            <w:r w:rsidR="00CD13AB">
              <w:rPr>
                <w:rFonts w:ascii="Times New Roman" w:hAnsi="Times New Roman"/>
                <w:sz w:val="16"/>
                <w:szCs w:val="16"/>
              </w:rPr>
              <w:t>3</w:t>
            </w:r>
          </w:p>
        </w:tc>
        <w:tc>
          <w:tcPr>
            <w:tcW w:w="623"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11.8</w:t>
            </w:r>
          </w:p>
        </w:tc>
        <w:tc>
          <w:tcPr>
            <w:tcW w:w="632" w:type="dxa"/>
            <w:vAlign w:val="center"/>
          </w:tcPr>
          <w:p w:rsidR="007B3D73" w:rsidRPr="007B3D73" w:rsidRDefault="00CD13AB" w:rsidP="007B3D73">
            <w:pPr>
              <w:jc w:val="center"/>
              <w:rPr>
                <w:rFonts w:ascii="Times New Roman" w:hAnsi="Times New Roman"/>
                <w:sz w:val="16"/>
                <w:szCs w:val="16"/>
              </w:rPr>
            </w:pPr>
            <w:r>
              <w:rPr>
                <w:rFonts w:ascii="Times New Roman" w:hAnsi="Times New Roman"/>
                <w:sz w:val="16"/>
                <w:szCs w:val="16"/>
              </w:rPr>
              <w:t>14</w:t>
            </w:r>
          </w:p>
        </w:tc>
      </w:tr>
    </w:tbl>
    <w:p w:rsidR="00123975" w:rsidRDefault="00123975" w:rsidP="001012C9">
      <w:pPr>
        <w:rPr>
          <w:rFonts w:ascii="Arial" w:hAnsi="Arial" w:cs="Arial"/>
          <w:b/>
          <w:color w:val="1F1F1F"/>
        </w:rPr>
      </w:pPr>
    </w:p>
    <w:p w:rsidR="00123975" w:rsidRPr="00123975" w:rsidRDefault="00123975" w:rsidP="00123975">
      <w:pPr>
        <w:pStyle w:val="NormalWeb"/>
        <w:jc w:val="both"/>
        <w:rPr>
          <w:rFonts w:ascii="Arial" w:hAnsi="Arial" w:cs="Arial"/>
          <w:sz w:val="20"/>
          <w:szCs w:val="20"/>
        </w:rPr>
      </w:pPr>
      <w:r w:rsidRPr="00123975">
        <w:rPr>
          <w:rStyle w:val="Strong"/>
          <w:rFonts w:ascii="Arial" w:hAnsi="Arial" w:cs="Arial"/>
          <w:sz w:val="20"/>
          <w:szCs w:val="20"/>
        </w:rPr>
        <w:t xml:space="preserve">Table </w:t>
      </w:r>
      <w:r w:rsidR="00F50C71">
        <w:rPr>
          <w:rStyle w:val="Strong"/>
          <w:rFonts w:ascii="Arial" w:hAnsi="Arial" w:cs="Arial"/>
          <w:sz w:val="20"/>
          <w:szCs w:val="20"/>
        </w:rPr>
        <w:t>7</w:t>
      </w:r>
      <w:r w:rsidRPr="00123975">
        <w:rPr>
          <w:rFonts w:ascii="Arial" w:hAnsi="Arial" w:cs="Arial"/>
          <w:sz w:val="20"/>
          <w:szCs w:val="20"/>
        </w:rPr>
        <w:t xml:space="preserve"> presents the list of inexpensive foods identified through </w:t>
      </w:r>
      <w:r w:rsidRPr="00123975">
        <w:rPr>
          <w:rStyle w:val="Strong"/>
          <w:rFonts w:ascii="Arial" w:hAnsi="Arial" w:cs="Arial"/>
          <w:sz w:val="20"/>
          <w:szCs w:val="20"/>
        </w:rPr>
        <w:t>Cost of the Diet (CotD) analysis</w:t>
      </w:r>
      <w:r w:rsidRPr="00123975">
        <w:rPr>
          <w:rFonts w:ascii="Arial" w:hAnsi="Arial" w:cs="Arial"/>
          <w:sz w:val="20"/>
          <w:szCs w:val="20"/>
        </w:rPr>
        <w:t xml:space="preserve"> as key contributors to meeting essential nutrient requirements at minimal cost. These foods were selected from among the </w:t>
      </w:r>
      <w:r w:rsidR="00CD13AB">
        <w:rPr>
          <w:rFonts w:ascii="Arial" w:hAnsi="Arial" w:cs="Arial"/>
          <w:sz w:val="20"/>
          <w:szCs w:val="20"/>
        </w:rPr>
        <w:t>98</w:t>
      </w:r>
      <w:r w:rsidRPr="00123975">
        <w:rPr>
          <w:rFonts w:ascii="Arial" w:hAnsi="Arial" w:cs="Arial"/>
          <w:sz w:val="20"/>
          <w:szCs w:val="20"/>
        </w:rPr>
        <w:t xml:space="preserve"> locally available items surveyed in Khidirpur markets and represent the most cost-effective options for meeting dietary adequacy.</w:t>
      </w:r>
    </w:p>
    <w:p w:rsidR="00123975" w:rsidRPr="00123975" w:rsidRDefault="00123975" w:rsidP="00123975">
      <w:pPr>
        <w:pStyle w:val="NormalWeb"/>
        <w:jc w:val="both"/>
        <w:rPr>
          <w:rFonts w:ascii="Arial" w:hAnsi="Arial" w:cs="Arial"/>
          <w:sz w:val="20"/>
          <w:szCs w:val="20"/>
        </w:rPr>
      </w:pPr>
      <w:r w:rsidRPr="00123975">
        <w:rPr>
          <w:rFonts w:ascii="Arial" w:hAnsi="Arial" w:cs="Arial"/>
          <w:sz w:val="20"/>
          <w:szCs w:val="20"/>
        </w:rPr>
        <w:t xml:space="preserve">The table illustrates that </w:t>
      </w:r>
      <w:r w:rsidRPr="00123975">
        <w:rPr>
          <w:rStyle w:val="Strong"/>
          <w:rFonts w:ascii="Arial" w:hAnsi="Arial" w:cs="Arial"/>
          <w:sz w:val="20"/>
          <w:szCs w:val="20"/>
        </w:rPr>
        <w:t>certain green leafy vegetables</w:t>
      </w:r>
      <w:r w:rsidRPr="00123975">
        <w:rPr>
          <w:rFonts w:ascii="Arial" w:hAnsi="Arial" w:cs="Arial"/>
          <w:sz w:val="20"/>
          <w:szCs w:val="20"/>
        </w:rPr>
        <w:t xml:space="preserve"> such as </w:t>
      </w:r>
      <w:r w:rsidRPr="00123975">
        <w:rPr>
          <w:rStyle w:val="Strong"/>
          <w:rFonts w:ascii="Arial" w:hAnsi="Arial" w:cs="Arial"/>
          <w:sz w:val="20"/>
          <w:szCs w:val="20"/>
        </w:rPr>
        <w:t>spinach and amaranth leaves</w:t>
      </w:r>
      <w:r w:rsidRPr="00123975">
        <w:rPr>
          <w:rFonts w:ascii="Arial" w:hAnsi="Arial" w:cs="Arial"/>
          <w:sz w:val="20"/>
          <w:szCs w:val="20"/>
        </w:rPr>
        <w:t xml:space="preserve"> are highly affordable sources of </w:t>
      </w:r>
      <w:r w:rsidRPr="00123975">
        <w:rPr>
          <w:rStyle w:val="Strong"/>
          <w:rFonts w:ascii="Arial" w:hAnsi="Arial" w:cs="Arial"/>
          <w:sz w:val="20"/>
          <w:szCs w:val="20"/>
        </w:rPr>
        <w:t>vitamin A and vitamin C</w:t>
      </w:r>
      <w:r w:rsidRPr="00123975">
        <w:rPr>
          <w:rFonts w:ascii="Arial" w:hAnsi="Arial" w:cs="Arial"/>
          <w:sz w:val="20"/>
          <w:szCs w:val="20"/>
        </w:rPr>
        <w:t xml:space="preserve">, contributing over </w:t>
      </w:r>
      <w:r w:rsidRPr="00123975">
        <w:rPr>
          <w:rStyle w:val="Strong"/>
          <w:rFonts w:ascii="Arial" w:hAnsi="Arial" w:cs="Arial"/>
          <w:sz w:val="20"/>
          <w:szCs w:val="20"/>
        </w:rPr>
        <w:t>80% of the daily requirement per 100g</w:t>
      </w:r>
      <w:r w:rsidRPr="00123975">
        <w:rPr>
          <w:rFonts w:ascii="Arial" w:hAnsi="Arial" w:cs="Arial"/>
          <w:sz w:val="20"/>
          <w:szCs w:val="20"/>
        </w:rPr>
        <w:t xml:space="preserve">. Similarly, </w:t>
      </w:r>
      <w:r w:rsidRPr="00123975">
        <w:rPr>
          <w:rStyle w:val="Strong"/>
          <w:rFonts w:ascii="Arial" w:hAnsi="Arial" w:cs="Arial"/>
          <w:sz w:val="20"/>
          <w:szCs w:val="20"/>
        </w:rPr>
        <w:t>chicken liver</w:t>
      </w:r>
      <w:r w:rsidRPr="00123975">
        <w:rPr>
          <w:rFonts w:ascii="Arial" w:hAnsi="Arial" w:cs="Arial"/>
          <w:sz w:val="20"/>
          <w:szCs w:val="20"/>
        </w:rPr>
        <w:t xml:space="preserve"> was identified as a low-cost yet nutrient-dense food, supplying </w:t>
      </w:r>
      <w:r w:rsidRPr="00123975">
        <w:rPr>
          <w:rStyle w:val="Strong"/>
          <w:rFonts w:ascii="Arial" w:hAnsi="Arial" w:cs="Arial"/>
          <w:sz w:val="20"/>
          <w:szCs w:val="20"/>
        </w:rPr>
        <w:t>over 50% of the daily vitamin B12 requirement</w:t>
      </w:r>
      <w:r w:rsidRPr="00123975">
        <w:rPr>
          <w:rFonts w:ascii="Arial" w:hAnsi="Arial" w:cs="Arial"/>
          <w:sz w:val="20"/>
          <w:szCs w:val="20"/>
        </w:rPr>
        <w:t xml:space="preserve">, along with significant contributions to </w:t>
      </w:r>
      <w:r w:rsidRPr="00123975">
        <w:rPr>
          <w:rStyle w:val="Strong"/>
          <w:rFonts w:ascii="Arial" w:hAnsi="Arial" w:cs="Arial"/>
          <w:sz w:val="20"/>
          <w:szCs w:val="20"/>
        </w:rPr>
        <w:t>iron and protein</w:t>
      </w:r>
      <w:r w:rsidRPr="00123975">
        <w:rPr>
          <w:rFonts w:ascii="Arial" w:hAnsi="Arial" w:cs="Arial"/>
          <w:sz w:val="20"/>
          <w:szCs w:val="20"/>
        </w:rPr>
        <w:t>. These findings align with earlier Indian CotD applications in Uttar Pradesh, where nutrient-dense items such as organ meats and seasonal greens were prioritized in cost-efficient diets (Kachwaha et al., 2020).</w:t>
      </w:r>
    </w:p>
    <w:p w:rsidR="00123975" w:rsidRPr="00123975" w:rsidRDefault="00123975" w:rsidP="00123975">
      <w:pPr>
        <w:pStyle w:val="NormalWeb"/>
        <w:jc w:val="both"/>
        <w:rPr>
          <w:rFonts w:ascii="Arial" w:hAnsi="Arial" w:cs="Arial"/>
          <w:sz w:val="20"/>
          <w:szCs w:val="20"/>
        </w:rPr>
      </w:pPr>
      <w:r w:rsidRPr="00123975">
        <w:rPr>
          <w:rStyle w:val="Strong"/>
          <w:rFonts w:ascii="Arial" w:hAnsi="Arial" w:cs="Arial"/>
          <w:sz w:val="20"/>
          <w:szCs w:val="20"/>
        </w:rPr>
        <w:t>Mustard oil</w:t>
      </w:r>
      <w:r w:rsidRPr="00123975">
        <w:rPr>
          <w:rFonts w:ascii="Arial" w:hAnsi="Arial" w:cs="Arial"/>
          <w:sz w:val="20"/>
          <w:szCs w:val="20"/>
        </w:rPr>
        <w:t xml:space="preserve">, widely used in West Bengal, emerged as an inexpensive source of </w:t>
      </w:r>
      <w:r w:rsidRPr="00123975">
        <w:rPr>
          <w:rStyle w:val="Strong"/>
          <w:rFonts w:ascii="Arial" w:hAnsi="Arial" w:cs="Arial"/>
          <w:sz w:val="20"/>
          <w:szCs w:val="20"/>
        </w:rPr>
        <w:t>essential fats</w:t>
      </w:r>
      <w:r w:rsidRPr="00123975">
        <w:rPr>
          <w:rFonts w:ascii="Arial" w:hAnsi="Arial" w:cs="Arial"/>
          <w:sz w:val="20"/>
          <w:szCs w:val="20"/>
        </w:rPr>
        <w:t xml:space="preserve">, covering over </w:t>
      </w:r>
      <w:r w:rsidRPr="00123975">
        <w:rPr>
          <w:rStyle w:val="Strong"/>
          <w:rFonts w:ascii="Arial" w:hAnsi="Arial" w:cs="Arial"/>
          <w:sz w:val="20"/>
          <w:szCs w:val="20"/>
        </w:rPr>
        <w:t>65% of fat requirements</w:t>
      </w:r>
      <w:r w:rsidRPr="00123975">
        <w:rPr>
          <w:rFonts w:ascii="Arial" w:hAnsi="Arial" w:cs="Arial"/>
          <w:sz w:val="20"/>
          <w:szCs w:val="20"/>
        </w:rPr>
        <w:t xml:space="preserve"> in typical meal plans. </w:t>
      </w:r>
      <w:r w:rsidRPr="00123975">
        <w:rPr>
          <w:rStyle w:val="Strong"/>
          <w:rFonts w:ascii="Arial" w:hAnsi="Arial" w:cs="Arial"/>
          <w:sz w:val="20"/>
          <w:szCs w:val="20"/>
        </w:rPr>
        <w:t>Groundnuts and roasted chickpeas</w:t>
      </w:r>
      <w:r w:rsidRPr="00123975">
        <w:rPr>
          <w:rFonts w:ascii="Arial" w:hAnsi="Arial" w:cs="Arial"/>
          <w:sz w:val="20"/>
          <w:szCs w:val="20"/>
        </w:rPr>
        <w:t xml:space="preserve"> were also highlighted for their affordability and contribution to </w:t>
      </w:r>
      <w:r w:rsidRPr="00123975">
        <w:rPr>
          <w:rStyle w:val="Strong"/>
          <w:rFonts w:ascii="Arial" w:hAnsi="Arial" w:cs="Arial"/>
          <w:sz w:val="20"/>
          <w:szCs w:val="20"/>
        </w:rPr>
        <w:t>protein, iron, and energy</w:t>
      </w:r>
      <w:r w:rsidRPr="00123975">
        <w:rPr>
          <w:rFonts w:ascii="Arial" w:hAnsi="Arial" w:cs="Arial"/>
          <w:sz w:val="20"/>
          <w:szCs w:val="20"/>
        </w:rPr>
        <w:t xml:space="preserve"> requirements, making them viable plant-based alternatives in vegetarian households.</w:t>
      </w:r>
    </w:p>
    <w:p w:rsidR="00123975" w:rsidRPr="00123975" w:rsidRDefault="00123975" w:rsidP="00123975">
      <w:pPr>
        <w:pStyle w:val="NormalWeb"/>
        <w:jc w:val="both"/>
        <w:rPr>
          <w:rFonts w:ascii="Arial" w:hAnsi="Arial" w:cs="Arial"/>
          <w:sz w:val="20"/>
          <w:szCs w:val="20"/>
        </w:rPr>
      </w:pPr>
      <w:r w:rsidRPr="00123975">
        <w:rPr>
          <w:rFonts w:ascii="Arial" w:hAnsi="Arial" w:cs="Arial"/>
          <w:sz w:val="20"/>
          <w:szCs w:val="20"/>
        </w:rPr>
        <w:lastRenderedPageBreak/>
        <w:t xml:space="preserve">The percentages shown reflect </w:t>
      </w:r>
      <w:r w:rsidRPr="00123975">
        <w:rPr>
          <w:rStyle w:val="Strong"/>
          <w:rFonts w:ascii="Arial" w:hAnsi="Arial" w:cs="Arial"/>
          <w:sz w:val="20"/>
          <w:szCs w:val="20"/>
        </w:rPr>
        <w:t>how much of the Recommended Nutrient Intake (RNI)</w:t>
      </w:r>
      <w:r w:rsidRPr="00123975">
        <w:rPr>
          <w:rFonts w:ascii="Arial" w:hAnsi="Arial" w:cs="Arial"/>
          <w:sz w:val="20"/>
          <w:szCs w:val="20"/>
        </w:rPr>
        <w:t xml:space="preserve"> could be achieved per 100g serving of each food, considering nutrient density and local price per unit. These foods formed the core of the modeled low-cost nutritious diet in CotD and demonstrate that while </w:t>
      </w:r>
      <w:r w:rsidRPr="00123975">
        <w:rPr>
          <w:rStyle w:val="Strong"/>
          <w:rFonts w:ascii="Arial" w:hAnsi="Arial" w:cs="Arial"/>
          <w:sz w:val="20"/>
          <w:szCs w:val="20"/>
        </w:rPr>
        <w:t>some affordable nutrient sources exist</w:t>
      </w:r>
      <w:r w:rsidRPr="00123975">
        <w:rPr>
          <w:rFonts w:ascii="Arial" w:hAnsi="Arial" w:cs="Arial"/>
          <w:sz w:val="20"/>
          <w:szCs w:val="20"/>
        </w:rPr>
        <w:t>, they must be properly combined and consumed in sufficient quantities to meet full dietary adequacy.</w:t>
      </w:r>
    </w:p>
    <w:p w:rsidR="00703723" w:rsidRDefault="00703723" w:rsidP="005A700E">
      <w:pPr>
        <w:pStyle w:val="Heading3"/>
        <w:rPr>
          <w:rStyle w:val="Strong"/>
          <w:rFonts w:ascii="Arial" w:hAnsi="Arial" w:cs="Arial"/>
          <w:b/>
          <w:bCs/>
          <w:color w:val="auto"/>
          <w:sz w:val="22"/>
          <w:szCs w:val="22"/>
        </w:rPr>
      </w:pPr>
    </w:p>
    <w:p w:rsidR="005A700E" w:rsidRDefault="005A700E" w:rsidP="005A700E">
      <w:pPr>
        <w:pStyle w:val="Heading3"/>
        <w:rPr>
          <w:rStyle w:val="Strong"/>
          <w:rFonts w:ascii="Arial" w:hAnsi="Arial" w:cs="Arial"/>
          <w:b/>
          <w:bCs/>
          <w:color w:val="auto"/>
          <w:sz w:val="22"/>
          <w:szCs w:val="22"/>
        </w:rPr>
      </w:pPr>
      <w:r w:rsidRPr="005A700E">
        <w:rPr>
          <w:rStyle w:val="Strong"/>
          <w:rFonts w:ascii="Arial" w:hAnsi="Arial" w:cs="Arial"/>
          <w:b/>
          <w:bCs/>
          <w:color w:val="auto"/>
          <w:sz w:val="22"/>
          <w:szCs w:val="22"/>
        </w:rPr>
        <w:t>DISCUSSION</w:t>
      </w:r>
    </w:p>
    <w:p w:rsidR="00300654" w:rsidRPr="00300654" w:rsidRDefault="00300654" w:rsidP="00300654">
      <w:pPr>
        <w:pStyle w:val="NormalWeb"/>
        <w:jc w:val="both"/>
        <w:rPr>
          <w:rFonts w:ascii="Arial" w:hAnsi="Arial" w:cs="Arial"/>
          <w:sz w:val="20"/>
          <w:szCs w:val="20"/>
        </w:rPr>
      </w:pPr>
      <w:r w:rsidRPr="00300654">
        <w:rPr>
          <w:rFonts w:ascii="Arial" w:hAnsi="Arial" w:cs="Arial"/>
          <w:sz w:val="20"/>
          <w:szCs w:val="20"/>
        </w:rPr>
        <w:t>This study provides important insights into how urban low- and middle-income households navigate the challenges of food affordability and dietary decision-making in resource-constrained environments. The study population, primarily engaged in informal labor sectors such as domestic work, street vending, and port-related daily wage employment, represents a group particularly vulnerable to income instability. These households face multiple systemic constraints including fluctuating earnings, persistent food price inflation, and limited access to formal safety nets that significantly influence their food acquisition strategies. Prior studies have similarly demonstrated that reliance on informal employment reduces dietary resilience and exacerbates vulnerability to nutrient deficiencies (Ford et al., 2017; Eng et al., 2022; Aziz et al., 2021).</w:t>
      </w:r>
    </w:p>
    <w:p w:rsidR="00300654" w:rsidRPr="00300654" w:rsidRDefault="00300654" w:rsidP="00300654">
      <w:pPr>
        <w:pStyle w:val="NormalWeb"/>
        <w:jc w:val="both"/>
        <w:rPr>
          <w:rFonts w:ascii="Arial" w:hAnsi="Arial" w:cs="Arial"/>
          <w:sz w:val="20"/>
          <w:szCs w:val="20"/>
        </w:rPr>
      </w:pPr>
      <w:r w:rsidRPr="00300654">
        <w:rPr>
          <w:rFonts w:ascii="Arial" w:hAnsi="Arial" w:cs="Arial"/>
          <w:sz w:val="20"/>
          <w:szCs w:val="20"/>
        </w:rPr>
        <w:t>The average household size ranged from four to six members, with nearly one-third comprising a single income-earner supporting multiple dependents. This demographic composition results in lower per capita food expenditure and reinforces dietary trade-offs in favor of energy-dense but nutrient-poor staples. Such patterns are well-documented in the literature, particularly in low-income contexts where larger households prioritize caloric sufficiency over dietary diversity due to budgetary constraints (Gupta et al., 2020; Jahan et al., 2019). These characteristics support the present study’s findings that while households demonstrated an understanding of healthy dietary practices, actual food purchasing behavior remained largely constrained by economic and structural realities.</w:t>
      </w:r>
    </w:p>
    <w:p w:rsidR="00300654" w:rsidRPr="00300654" w:rsidRDefault="00300654" w:rsidP="00300654">
      <w:pPr>
        <w:pStyle w:val="NormalWeb"/>
        <w:jc w:val="both"/>
        <w:rPr>
          <w:rFonts w:ascii="Arial" w:hAnsi="Arial" w:cs="Arial"/>
          <w:sz w:val="20"/>
          <w:szCs w:val="20"/>
        </w:rPr>
      </w:pPr>
      <w:r w:rsidRPr="00300654">
        <w:rPr>
          <w:rFonts w:ascii="Arial" w:hAnsi="Arial" w:cs="Arial"/>
          <w:sz w:val="20"/>
          <w:szCs w:val="20"/>
        </w:rPr>
        <w:t>Qualitative responses in this study reveal that perceptions of healthy eating are rooted in real-life affordability challenges rather than lack of awareness. Although a majority of respondents identified high food prices as the main barrier to improving diet quality, many articulated a desire to include nutrient-dense foods such as eggs, pulses, lean meats, and fruits indicating that nutrition knowledge is present but economically inaccessible. This reflects the broader regional experience in South Asia, where undernourishment persists despite awareness, due to macroeconomic instability and food system inequities (Aziz et al., 2021; Marty et al., 2015). Respondents’ openness to adopting low-cost, nutritious diets aligns with the findings of Kachwaha et al. (2020) and Kuri et al. (2024), who demonstrated that affordability rather than availability or acceptability is often the principal determinant of dietary adequacy among low-income populations.</w:t>
      </w:r>
    </w:p>
    <w:p w:rsidR="00300654" w:rsidRPr="00300654" w:rsidRDefault="00300654" w:rsidP="00300654">
      <w:pPr>
        <w:pStyle w:val="NormalWeb"/>
        <w:jc w:val="both"/>
        <w:rPr>
          <w:rFonts w:ascii="Arial" w:hAnsi="Arial" w:cs="Arial"/>
          <w:sz w:val="20"/>
          <w:szCs w:val="20"/>
        </w:rPr>
      </w:pPr>
      <w:r w:rsidRPr="00300654">
        <w:rPr>
          <w:rFonts w:ascii="Arial" w:hAnsi="Arial" w:cs="Arial"/>
          <w:sz w:val="20"/>
          <w:szCs w:val="20"/>
        </w:rPr>
        <w:t>The food environment in Khidirpur introduces further complexity. Respondents primarily rely on wet markets, subsidized ration shops, and informal vendors channels that often offer low diversity and limited access to fresh perishables. Irregular income patterns discourage bulk buying and promote daily low-volume purchases, which limits the feasibility of nutritionally balanced meal planning. Similar patterns have been observed in low-income settings across Asia and Africa, where the fragmentation of food systems, poor storage infrastructure, and high perishability restrict meaningful dietary improvements (Rahmawati et al., 2025; Ruel &amp; Alderman, 2013a; Belayneh et al., 2020).</w:t>
      </w:r>
    </w:p>
    <w:p w:rsidR="00300654" w:rsidRPr="00300654" w:rsidRDefault="00300654" w:rsidP="00300654">
      <w:pPr>
        <w:pStyle w:val="NormalWeb"/>
        <w:jc w:val="both"/>
        <w:rPr>
          <w:rFonts w:ascii="Arial" w:hAnsi="Arial" w:cs="Arial"/>
          <w:sz w:val="20"/>
          <w:szCs w:val="20"/>
        </w:rPr>
      </w:pPr>
      <w:r w:rsidRPr="00300654">
        <w:rPr>
          <w:rFonts w:ascii="Arial" w:hAnsi="Arial" w:cs="Arial"/>
          <w:sz w:val="20"/>
          <w:szCs w:val="20"/>
        </w:rPr>
        <w:lastRenderedPageBreak/>
        <w:t>Crucially, the present findings challenge commonly held assumptions that cultural norms or lack of education drive poor dietary behavior among low-income groups. Instead, they confirm that affordability is the dominant constraint exacerbated by demographic pressures and the structural limitations of informal food economies. The evidence presented here underscores that knowledge of healthy eating exists, but financial agency to act on that knowledge does not. These findings reinforce calls for integrated policy frameworks that address both affordability and food system inefficiencies, as emphasized by Kuri et al. (2024), Darmon and Drewnowski (2015), and Herforth et al. (2020).</w:t>
      </w:r>
    </w:p>
    <w:p w:rsidR="00412161" w:rsidRDefault="00412161" w:rsidP="00412161"/>
    <w:p w:rsidR="00412161" w:rsidRPr="00FB3A86" w:rsidRDefault="00412161" w:rsidP="00441B6F">
      <w:pPr>
        <w:pStyle w:val="Body"/>
        <w:spacing w:after="0"/>
        <w:rPr>
          <w:rFonts w:ascii="Arial" w:hAnsi="Arial" w:cs="Arial"/>
        </w:rPr>
      </w:pPr>
    </w:p>
    <w:p w:rsidR="00B01FCD" w:rsidRDefault="00B01FCD" w:rsidP="00441B6F">
      <w:pPr>
        <w:pStyle w:val="ConcHead"/>
        <w:spacing w:after="0"/>
        <w:jc w:val="both"/>
        <w:rPr>
          <w:rFonts w:ascii="Arial" w:hAnsi="Arial" w:cs="Arial"/>
        </w:rPr>
      </w:pPr>
      <w:r w:rsidRPr="00FB3A86">
        <w:rPr>
          <w:rFonts w:ascii="Arial" w:hAnsi="Arial" w:cs="Arial"/>
        </w:rPr>
        <w:t>Conclusion</w:t>
      </w:r>
    </w:p>
    <w:p w:rsidR="00460818" w:rsidRDefault="00460818" w:rsidP="00441B6F">
      <w:pPr>
        <w:pStyle w:val="ConcHead"/>
        <w:spacing w:after="0"/>
        <w:jc w:val="both"/>
        <w:rPr>
          <w:rFonts w:ascii="Arial" w:hAnsi="Arial" w:cs="Arial"/>
        </w:rPr>
      </w:pPr>
    </w:p>
    <w:p w:rsidR="00E371C6" w:rsidRPr="00E371C6" w:rsidRDefault="00E371C6" w:rsidP="00E371C6">
      <w:pPr>
        <w:pStyle w:val="NormalWeb"/>
        <w:jc w:val="both"/>
        <w:rPr>
          <w:rFonts w:ascii="Arial" w:hAnsi="Arial" w:cs="Arial"/>
          <w:sz w:val="20"/>
          <w:szCs w:val="20"/>
        </w:rPr>
      </w:pPr>
      <w:r w:rsidRPr="00E371C6">
        <w:rPr>
          <w:rFonts w:ascii="Arial" w:hAnsi="Arial" w:cs="Arial"/>
          <w:sz w:val="20"/>
          <w:szCs w:val="20"/>
        </w:rPr>
        <w:t>This study provides compelling evidence that economic affordability is the dominant barrier to achieving a nutritionally adequate diet among low- and middle-income households in urban India. Despite sufficient food availability and basic nutrition awareness, financial limitations prevent households from accessing protein- and micronutrient-rich foods essential for health and development. The observed affordability gap underscores that dietary inadequacy in such contexts is not a matter of choice or ignorance, but of constrained agency shaped by systemic inequities in income and food pricing.</w:t>
      </w:r>
    </w:p>
    <w:p w:rsidR="00E371C6" w:rsidRPr="00E371C6" w:rsidRDefault="00E371C6" w:rsidP="00E371C6">
      <w:pPr>
        <w:pStyle w:val="NormalWeb"/>
        <w:jc w:val="both"/>
        <w:rPr>
          <w:rFonts w:ascii="Arial" w:hAnsi="Arial" w:cs="Arial"/>
          <w:sz w:val="20"/>
          <w:szCs w:val="20"/>
        </w:rPr>
      </w:pPr>
      <w:r w:rsidRPr="00E371C6">
        <w:rPr>
          <w:rFonts w:ascii="Arial" w:hAnsi="Arial" w:cs="Arial"/>
          <w:sz w:val="20"/>
          <w:szCs w:val="20"/>
        </w:rPr>
        <w:t>The application of the Cost of the Diet (CotD) methodology, combined with household-level data, demonstrates that even basic nutritious diets remain financially inaccessible for a significant portion of the population. These findings reinforce the urgent need for nutrition-sensitive policy frameworks that move beyond education campaigns to address the structural drivers of food insecurity. This includes scaling up targeted subsidies for nutrient-dense foods, improving the reach of public food programs, and ensuring price stability in informal food markets.</w:t>
      </w:r>
    </w:p>
    <w:p w:rsidR="00E371C6" w:rsidRPr="00E371C6" w:rsidRDefault="00E371C6" w:rsidP="00E371C6">
      <w:pPr>
        <w:pStyle w:val="NormalWeb"/>
        <w:jc w:val="both"/>
        <w:rPr>
          <w:rFonts w:ascii="Arial" w:hAnsi="Arial" w:cs="Arial"/>
          <w:sz w:val="20"/>
          <w:szCs w:val="20"/>
        </w:rPr>
      </w:pPr>
      <w:r w:rsidRPr="00E371C6">
        <w:rPr>
          <w:rFonts w:ascii="Arial" w:hAnsi="Arial" w:cs="Arial"/>
          <w:sz w:val="20"/>
          <w:szCs w:val="20"/>
        </w:rPr>
        <w:t>Addressing food affordability at the intersection of income inequality and nutrition policy is not only a matter of social justice but a public health imperative. Interventions that fail to consider the economic realities of vulnerable households risk exacerbating dietary inequities and undermining national nutrition goals. As urbanization and inflation continue to reshape food environments, affordability must be central to future nutrition strategies.</w:t>
      </w:r>
    </w:p>
    <w:p w:rsidR="00E371C6" w:rsidRDefault="00E371C6" w:rsidP="00441B6F">
      <w:pPr>
        <w:pStyle w:val="ConcHead"/>
        <w:spacing w:after="0"/>
        <w:jc w:val="both"/>
        <w:rPr>
          <w:rFonts w:ascii="Arial" w:hAnsi="Arial" w:cs="Arial"/>
        </w:rPr>
      </w:pPr>
    </w:p>
    <w:p w:rsidR="005A7EAD" w:rsidRDefault="005A7EAD" w:rsidP="007C008D">
      <w:pPr>
        <w:pStyle w:val="ReferHead"/>
        <w:spacing w:after="0"/>
        <w:jc w:val="both"/>
        <w:rPr>
          <w:rFonts w:ascii="Arial" w:hAnsi="Arial" w:cs="Arial"/>
          <w:b w:val="0"/>
          <w:bCs/>
        </w:rPr>
      </w:pPr>
    </w:p>
    <w:p w:rsidR="0020528B" w:rsidRPr="00300654" w:rsidRDefault="0020528B" w:rsidP="00300654">
      <w:pPr>
        <w:spacing w:after="200" w:line="276" w:lineRule="auto"/>
        <w:jc w:val="both"/>
        <w:rPr>
          <w:rFonts w:ascii="Arial" w:eastAsia="Calibri" w:hAnsi="Arial" w:cs="Arial"/>
          <w:kern w:val="2"/>
          <w:highlight w:val="yellow"/>
        </w:rPr>
      </w:pPr>
      <w:r w:rsidRPr="00300654">
        <w:rPr>
          <w:rFonts w:ascii="Arial" w:eastAsia="Calibri" w:hAnsi="Arial" w:cs="Arial"/>
          <w:kern w:val="2"/>
          <w:highlight w:val="yellow"/>
        </w:rPr>
        <w:t>Disclaimer (Artificial intelligence)</w:t>
      </w:r>
    </w:p>
    <w:p w:rsidR="0020528B" w:rsidRPr="00300654" w:rsidRDefault="0020528B" w:rsidP="00300654">
      <w:pPr>
        <w:spacing w:after="200" w:line="276" w:lineRule="auto"/>
        <w:jc w:val="both"/>
        <w:rPr>
          <w:rFonts w:ascii="Arial" w:eastAsia="Calibri" w:hAnsi="Arial" w:cs="Arial"/>
          <w:kern w:val="2"/>
          <w:sz w:val="22"/>
          <w:szCs w:val="22"/>
          <w:highlight w:val="yellow"/>
        </w:rPr>
      </w:pPr>
      <w:r w:rsidRPr="00300654">
        <w:rPr>
          <w:rFonts w:ascii="Arial" w:eastAsia="Calibri" w:hAnsi="Arial" w:cs="Arial"/>
          <w:kern w:val="2"/>
          <w:highlight w:val="yellow"/>
        </w:rPr>
        <w:t>Author(s) hereby declare that NO generative AI technologies such as Large Language Models (ChatGPT, COPILOT, etc.) and text-to-image generators have been used during the writing or editing of this manuscript</w:t>
      </w:r>
      <w:r w:rsidRPr="00300654">
        <w:rPr>
          <w:rFonts w:ascii="Arial" w:eastAsia="Calibri" w:hAnsi="Arial" w:cs="Arial"/>
          <w:kern w:val="2"/>
          <w:sz w:val="22"/>
          <w:szCs w:val="22"/>
          <w:highlight w:val="yellow"/>
        </w:rPr>
        <w:t xml:space="preserve">. </w:t>
      </w:r>
    </w:p>
    <w:p w:rsidR="00315186" w:rsidRPr="00315186" w:rsidRDefault="00315186" w:rsidP="00300654">
      <w:pPr>
        <w:jc w:val="both"/>
      </w:pPr>
      <w:bookmarkStart w:id="0" w:name="_GoBack"/>
      <w:bookmarkEnd w:id="0"/>
    </w:p>
    <w:p w:rsidR="00315186" w:rsidRPr="00315186" w:rsidRDefault="00315186" w:rsidP="00441B6F"/>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Default="00790ADA" w:rsidP="00441B6F">
      <w:pPr>
        <w:pStyle w:val="ReferHead"/>
        <w:spacing w:after="0"/>
        <w:jc w:val="both"/>
        <w:rPr>
          <w:rFonts w:ascii="Arial" w:hAnsi="Arial" w:cs="Arial"/>
        </w:rPr>
      </w:pPr>
    </w:p>
    <w:p w:rsidR="009B6DF8" w:rsidRPr="00CD13AB" w:rsidRDefault="009B6DF8" w:rsidP="00CD13AB">
      <w:pPr>
        <w:pStyle w:val="NormalWeb"/>
        <w:numPr>
          <w:ilvl w:val="0"/>
          <w:numId w:val="44"/>
        </w:numPr>
        <w:jc w:val="both"/>
        <w:rPr>
          <w:rFonts w:ascii="Arial" w:hAnsi="Arial" w:cs="Arial"/>
          <w:sz w:val="20"/>
          <w:szCs w:val="20"/>
        </w:rPr>
      </w:pPr>
      <w:r w:rsidRPr="00CD13AB">
        <w:rPr>
          <w:rFonts w:ascii="Arial" w:hAnsi="Arial" w:cs="Arial"/>
          <w:sz w:val="20"/>
          <w:szCs w:val="20"/>
        </w:rPr>
        <w:t xml:space="preserve">Barosh, L., Friel, S., Engelhardt, K., &amp; Chan, L. (2014). The cost of a healthy and sustainable diet--who can afford it? </w:t>
      </w:r>
      <w:r w:rsidRPr="00CD13AB">
        <w:rPr>
          <w:rStyle w:val="Emphasis"/>
          <w:rFonts w:ascii="Arial" w:eastAsiaTheme="majorEastAsia" w:hAnsi="Arial" w:cs="Arial"/>
          <w:sz w:val="20"/>
          <w:szCs w:val="20"/>
        </w:rPr>
        <w:t>Australian and New Zealand Journal of Public Health, 38</w:t>
      </w:r>
      <w:r w:rsidRPr="00CD13AB">
        <w:rPr>
          <w:rFonts w:ascii="Arial" w:hAnsi="Arial" w:cs="Arial"/>
          <w:sz w:val="20"/>
          <w:szCs w:val="20"/>
        </w:rPr>
        <w:t xml:space="preserve">(1), 7–12. </w:t>
      </w:r>
      <w:hyperlink r:id="rId15" w:history="1">
        <w:r w:rsidRPr="00CD13AB">
          <w:rPr>
            <w:rStyle w:val="Hyperlink"/>
            <w:rFonts w:ascii="Arial" w:eastAsiaTheme="majorEastAsia" w:hAnsi="Arial" w:cs="Arial"/>
            <w:sz w:val="20"/>
            <w:szCs w:val="20"/>
          </w:rPr>
          <w:t>https://doi.org/10.1111/1753-6405.12158</w:t>
        </w:r>
      </w:hyperlink>
    </w:p>
    <w:p w:rsidR="003E25A4" w:rsidRPr="00CD13AB" w:rsidRDefault="009B6DF8" w:rsidP="00CD13AB">
      <w:pPr>
        <w:pStyle w:val="NormalWeb"/>
        <w:numPr>
          <w:ilvl w:val="0"/>
          <w:numId w:val="44"/>
        </w:numPr>
        <w:jc w:val="both"/>
        <w:rPr>
          <w:rFonts w:ascii="Arial" w:hAnsi="Arial" w:cs="Arial"/>
          <w:sz w:val="20"/>
          <w:szCs w:val="20"/>
        </w:rPr>
      </w:pPr>
      <w:r w:rsidRPr="00CD13AB">
        <w:rPr>
          <w:rFonts w:ascii="Arial" w:hAnsi="Arial" w:cs="Arial"/>
          <w:sz w:val="20"/>
          <w:szCs w:val="20"/>
        </w:rPr>
        <w:t xml:space="preserve">Darmon, N., &amp; Drewnowski, A. (2015). Contribution of food prices and diet cost to socioeconomic disparities in diet quality and health: A systematic review and analysis. </w:t>
      </w:r>
      <w:r w:rsidRPr="00CD13AB">
        <w:rPr>
          <w:rStyle w:val="Emphasis"/>
          <w:rFonts w:ascii="Arial" w:eastAsiaTheme="majorEastAsia" w:hAnsi="Arial" w:cs="Arial"/>
          <w:sz w:val="20"/>
          <w:szCs w:val="20"/>
        </w:rPr>
        <w:t>Nutrition Reviews, 73</w:t>
      </w:r>
      <w:r w:rsidRPr="00CD13AB">
        <w:rPr>
          <w:rFonts w:ascii="Arial" w:hAnsi="Arial" w:cs="Arial"/>
          <w:sz w:val="20"/>
          <w:szCs w:val="20"/>
        </w:rPr>
        <w:t xml:space="preserve">(10), 643–660. </w:t>
      </w:r>
      <w:hyperlink r:id="rId16" w:history="1">
        <w:r w:rsidR="003E25A4" w:rsidRPr="00CD13AB">
          <w:rPr>
            <w:rStyle w:val="Hyperlink"/>
            <w:rFonts w:ascii="Arial" w:eastAsiaTheme="majorEastAsia" w:hAnsi="Arial" w:cs="Arial"/>
            <w:sz w:val="20"/>
            <w:szCs w:val="20"/>
          </w:rPr>
          <w:t>https://doi.org/10.1093/NUTRIT/NUV027</w:t>
        </w:r>
      </w:hyperlink>
    </w:p>
    <w:p w:rsidR="003E25A4" w:rsidRPr="00CD13AB" w:rsidRDefault="003E25A4" w:rsidP="00CD13AB">
      <w:pPr>
        <w:pStyle w:val="NormalWeb"/>
        <w:numPr>
          <w:ilvl w:val="0"/>
          <w:numId w:val="44"/>
        </w:numPr>
        <w:jc w:val="both"/>
        <w:rPr>
          <w:rFonts w:ascii="Arial" w:hAnsi="Arial" w:cs="Arial"/>
          <w:sz w:val="20"/>
          <w:szCs w:val="20"/>
        </w:rPr>
      </w:pPr>
      <w:r w:rsidRPr="00CD13AB">
        <w:rPr>
          <w:rFonts w:ascii="Arial" w:hAnsi="Arial" w:cs="Arial"/>
          <w:sz w:val="20"/>
          <w:szCs w:val="20"/>
        </w:rPr>
        <w:t xml:space="preserve">Kachwaha, S., Nguyen, P. H., DeFreese, M., Avula, R., Cyriac, S., Girard, A., &amp; Menon, P. (2020). Assessing the economic feasibility of assuring nutritionally adequate diets for vulnerable populations in Uttar Pradesh, India: Findings from a “Cost of the Diet” analysis. </w:t>
      </w:r>
      <w:r w:rsidRPr="00CD13AB">
        <w:rPr>
          <w:rStyle w:val="Emphasis"/>
          <w:rFonts w:ascii="Arial" w:eastAsiaTheme="majorEastAsia" w:hAnsi="Arial" w:cs="Arial"/>
          <w:sz w:val="20"/>
          <w:szCs w:val="20"/>
        </w:rPr>
        <w:t>Current Developments in Nutrition, 4</w:t>
      </w:r>
      <w:r w:rsidRPr="00CD13AB">
        <w:rPr>
          <w:rFonts w:ascii="Arial" w:hAnsi="Arial" w:cs="Arial"/>
          <w:sz w:val="20"/>
          <w:szCs w:val="20"/>
        </w:rPr>
        <w:t xml:space="preserve">(12), nzaa169. </w:t>
      </w:r>
      <w:hyperlink r:id="rId17" w:history="1">
        <w:r w:rsidRPr="00CD13AB">
          <w:rPr>
            <w:rStyle w:val="Hyperlink"/>
            <w:rFonts w:ascii="Arial" w:eastAsiaTheme="majorEastAsia" w:hAnsi="Arial" w:cs="Arial"/>
            <w:sz w:val="20"/>
            <w:szCs w:val="20"/>
          </w:rPr>
          <w:t>https://doi.org/10.1093/CDN/NZAA169</w:t>
        </w:r>
      </w:hyperlink>
    </w:p>
    <w:p w:rsidR="003E25A4" w:rsidRPr="00CD13AB" w:rsidRDefault="003E25A4" w:rsidP="00CD13AB">
      <w:pPr>
        <w:pStyle w:val="NormalWeb"/>
        <w:numPr>
          <w:ilvl w:val="0"/>
          <w:numId w:val="44"/>
        </w:numPr>
        <w:jc w:val="both"/>
        <w:rPr>
          <w:rFonts w:ascii="Arial" w:hAnsi="Arial" w:cs="Arial"/>
          <w:sz w:val="20"/>
          <w:szCs w:val="20"/>
        </w:rPr>
      </w:pPr>
      <w:r w:rsidRPr="00CD13AB">
        <w:rPr>
          <w:rFonts w:ascii="Arial" w:hAnsi="Arial" w:cs="Arial"/>
          <w:sz w:val="20"/>
          <w:szCs w:val="20"/>
        </w:rPr>
        <w:t xml:space="preserve">Raghunathan, K., Headey, D., &amp; Herforth, A. (2021). Affordability of nutritious diets in rural India. </w:t>
      </w:r>
      <w:r w:rsidRPr="00CD13AB">
        <w:rPr>
          <w:rStyle w:val="Emphasis"/>
          <w:rFonts w:ascii="Arial" w:eastAsiaTheme="majorEastAsia" w:hAnsi="Arial" w:cs="Arial"/>
          <w:sz w:val="20"/>
          <w:szCs w:val="20"/>
        </w:rPr>
        <w:t>Food Policy, 99</w:t>
      </w:r>
      <w:r w:rsidRPr="00CD13AB">
        <w:rPr>
          <w:rFonts w:ascii="Arial" w:hAnsi="Arial" w:cs="Arial"/>
          <w:sz w:val="20"/>
          <w:szCs w:val="20"/>
        </w:rPr>
        <w:t xml:space="preserve">, 101982. </w:t>
      </w:r>
      <w:hyperlink r:id="rId18" w:history="1">
        <w:r w:rsidRPr="00CD13AB">
          <w:rPr>
            <w:rStyle w:val="Hyperlink"/>
            <w:rFonts w:ascii="Arial" w:eastAsiaTheme="majorEastAsia" w:hAnsi="Arial" w:cs="Arial"/>
            <w:sz w:val="20"/>
            <w:szCs w:val="20"/>
          </w:rPr>
          <w:t>https://doi.org/10.1016/J.FOODPOL.2020.101982</w:t>
        </w:r>
      </w:hyperlink>
    </w:p>
    <w:p w:rsidR="00CD13AB" w:rsidRPr="00CD13AB" w:rsidRDefault="00CD13AB" w:rsidP="00CD13AB">
      <w:pPr>
        <w:pStyle w:val="ListParagraph"/>
        <w:numPr>
          <w:ilvl w:val="0"/>
          <w:numId w:val="44"/>
        </w:numPr>
        <w:jc w:val="both"/>
        <w:rPr>
          <w:rFonts w:ascii="Arial" w:hAnsi="Arial" w:cs="Arial"/>
          <w:sz w:val="20"/>
          <w:szCs w:val="20"/>
        </w:rPr>
      </w:pPr>
      <w:r w:rsidRPr="00CD13AB">
        <w:rPr>
          <w:rFonts w:ascii="Arial" w:hAnsi="Arial" w:cs="Arial"/>
          <w:sz w:val="20"/>
          <w:szCs w:val="20"/>
        </w:rPr>
        <w:t xml:space="preserve">Jahan, I., Mahbub, F., &amp; Ahmed, E. (2019). Household Food Insecurity and Associated Dietary and Socio-economic Factors among Pregnant Women of Mid-west Bangladesh. Original Research Article Jahan et Al, 10(1), 24–30. </w:t>
      </w:r>
      <w:hyperlink r:id="rId19" w:history="1">
        <w:r w:rsidRPr="00CD13AB">
          <w:rPr>
            <w:rStyle w:val="Hyperlink"/>
            <w:rFonts w:ascii="Arial" w:hAnsi="Arial" w:cs="Arial"/>
            <w:sz w:val="20"/>
            <w:szCs w:val="20"/>
          </w:rPr>
          <w:t>https://doi.org/10.9734/EJNFS/2019/v10i130093</w:t>
        </w:r>
      </w:hyperlink>
    </w:p>
    <w:p w:rsidR="0019502F" w:rsidRPr="00CD13AB" w:rsidRDefault="0019502F" w:rsidP="00CD13AB">
      <w:pPr>
        <w:pStyle w:val="NormalWeb"/>
        <w:numPr>
          <w:ilvl w:val="0"/>
          <w:numId w:val="44"/>
        </w:numPr>
        <w:jc w:val="both"/>
        <w:rPr>
          <w:rFonts w:ascii="Arial" w:eastAsiaTheme="majorEastAsia" w:hAnsi="Arial" w:cs="Arial"/>
          <w:sz w:val="20"/>
          <w:szCs w:val="20"/>
        </w:rPr>
      </w:pPr>
      <w:r w:rsidRPr="00CD13AB">
        <w:rPr>
          <w:rFonts w:ascii="Arial" w:hAnsi="Arial" w:cs="Arial"/>
          <w:sz w:val="20"/>
          <w:szCs w:val="20"/>
        </w:rPr>
        <w:t xml:space="preserve">Gupta, S., Sunder, N., &amp; Pingali, P. L. (2020). Market access, production diversity, and diet diversity: Evidence from India. </w:t>
      </w:r>
      <w:r w:rsidRPr="00CD13AB">
        <w:rPr>
          <w:rStyle w:val="Emphasis"/>
          <w:rFonts w:ascii="Arial" w:eastAsiaTheme="majorEastAsia" w:hAnsi="Arial" w:cs="Arial"/>
          <w:sz w:val="20"/>
          <w:szCs w:val="20"/>
        </w:rPr>
        <w:t>Food and Nutrition Bulletin, 41</w:t>
      </w:r>
      <w:r w:rsidRPr="00CD13AB">
        <w:rPr>
          <w:rFonts w:ascii="Arial" w:hAnsi="Arial" w:cs="Arial"/>
          <w:sz w:val="20"/>
          <w:szCs w:val="20"/>
        </w:rPr>
        <w:t xml:space="preserve">(2), 167–185. </w:t>
      </w:r>
      <w:hyperlink r:id="rId20" w:history="1">
        <w:r w:rsidRPr="00CD13AB">
          <w:rPr>
            <w:rStyle w:val="Hyperlink"/>
            <w:rFonts w:ascii="Arial" w:eastAsiaTheme="majorEastAsia" w:hAnsi="Arial" w:cs="Arial"/>
            <w:sz w:val="20"/>
            <w:szCs w:val="20"/>
          </w:rPr>
          <w:t>https://doi.org/10.1177/0379572120920061</w:t>
        </w:r>
      </w:hyperlink>
    </w:p>
    <w:p w:rsidR="00BC552B" w:rsidRPr="00CD13AB" w:rsidRDefault="00BC552B" w:rsidP="00CD13AB">
      <w:pPr>
        <w:pStyle w:val="NormalWeb"/>
        <w:numPr>
          <w:ilvl w:val="0"/>
          <w:numId w:val="44"/>
        </w:numPr>
        <w:jc w:val="both"/>
        <w:rPr>
          <w:rFonts w:ascii="Arial" w:eastAsiaTheme="majorEastAsia" w:hAnsi="Arial" w:cs="Arial"/>
          <w:sz w:val="20"/>
          <w:szCs w:val="20"/>
        </w:rPr>
      </w:pPr>
      <w:r w:rsidRPr="00CD13AB">
        <w:rPr>
          <w:rFonts w:ascii="Arial" w:hAnsi="Arial" w:cs="Arial"/>
          <w:sz w:val="20"/>
          <w:szCs w:val="20"/>
        </w:rPr>
        <w:t xml:space="preserve">Rahmawati, W., Wirawan, N. N., Fahmi, I., Cempaka, &amp;Andarini, S. (2025). Energy density, nutrient density and nutrient-to-price ratio of Indonesian foods. </w:t>
      </w:r>
      <w:r w:rsidRPr="00CD13AB">
        <w:rPr>
          <w:rStyle w:val="Emphasis"/>
          <w:rFonts w:ascii="Arial" w:eastAsiaTheme="majorEastAsia" w:hAnsi="Arial" w:cs="Arial"/>
          <w:sz w:val="20"/>
          <w:szCs w:val="20"/>
        </w:rPr>
        <w:t>Food Research, 8</w:t>
      </w:r>
      <w:r w:rsidRPr="00CD13AB">
        <w:rPr>
          <w:rFonts w:ascii="Arial" w:hAnsi="Arial" w:cs="Arial"/>
          <w:sz w:val="20"/>
          <w:szCs w:val="20"/>
        </w:rPr>
        <w:t xml:space="preserve">, 74–83. </w:t>
      </w:r>
      <w:hyperlink r:id="rId21" w:history="1">
        <w:r w:rsidRPr="00CD13AB">
          <w:rPr>
            <w:rStyle w:val="Hyperlink"/>
            <w:rFonts w:ascii="Arial" w:eastAsiaTheme="majorEastAsia" w:hAnsi="Arial" w:cs="Arial"/>
            <w:sz w:val="20"/>
            <w:szCs w:val="20"/>
          </w:rPr>
          <w:t>https://doi.org/10.26656/fr.2017.8(S6).10</w:t>
        </w:r>
      </w:hyperlink>
    </w:p>
    <w:p w:rsidR="00BC552B" w:rsidRPr="00CD13AB" w:rsidRDefault="00BC552B" w:rsidP="00CD13AB">
      <w:pPr>
        <w:pStyle w:val="NormalWeb"/>
        <w:numPr>
          <w:ilvl w:val="0"/>
          <w:numId w:val="44"/>
        </w:numPr>
        <w:jc w:val="both"/>
        <w:rPr>
          <w:rFonts w:ascii="Arial" w:hAnsi="Arial" w:cs="Arial"/>
          <w:sz w:val="20"/>
          <w:szCs w:val="20"/>
        </w:rPr>
      </w:pPr>
      <w:r w:rsidRPr="00CD13AB">
        <w:rPr>
          <w:rFonts w:ascii="Arial" w:hAnsi="Arial" w:cs="Arial"/>
          <w:sz w:val="20"/>
          <w:szCs w:val="20"/>
        </w:rPr>
        <w:t xml:space="preserve">Marty, L., Dubois, C., Gaubard, M. S., Maidon, A., Lesturgeon, A., Gaigi, H., &amp; Darmon, N. (2015). Higher nutritional quality at no additional cost among low-income households: Insights from food purchases of “positive deviants.” </w:t>
      </w:r>
      <w:r w:rsidRPr="00CD13AB">
        <w:rPr>
          <w:rStyle w:val="Emphasis"/>
          <w:rFonts w:ascii="Arial" w:eastAsiaTheme="majorEastAsia" w:hAnsi="Arial" w:cs="Arial"/>
          <w:sz w:val="20"/>
          <w:szCs w:val="20"/>
        </w:rPr>
        <w:t>The American Journal of Clinical Nutrition, 102</w:t>
      </w:r>
      <w:r w:rsidRPr="00CD13AB">
        <w:rPr>
          <w:rFonts w:ascii="Arial" w:hAnsi="Arial" w:cs="Arial"/>
          <w:sz w:val="20"/>
          <w:szCs w:val="20"/>
        </w:rPr>
        <w:t xml:space="preserve">(1), 190–198. </w:t>
      </w:r>
      <w:hyperlink r:id="rId22" w:history="1">
        <w:r w:rsidRPr="00CD13AB">
          <w:rPr>
            <w:rStyle w:val="Hyperlink"/>
            <w:rFonts w:ascii="Arial" w:eastAsiaTheme="majorEastAsia" w:hAnsi="Arial" w:cs="Arial"/>
            <w:sz w:val="20"/>
            <w:szCs w:val="20"/>
          </w:rPr>
          <w:t>https://doi.org/10.3945/AJCN.114.104380</w:t>
        </w:r>
      </w:hyperlink>
    </w:p>
    <w:p w:rsidR="00BC552B" w:rsidRPr="00CD13AB" w:rsidRDefault="00BC552B" w:rsidP="00CD13AB">
      <w:pPr>
        <w:pStyle w:val="NormalWeb"/>
        <w:numPr>
          <w:ilvl w:val="0"/>
          <w:numId w:val="44"/>
        </w:numPr>
        <w:jc w:val="both"/>
        <w:rPr>
          <w:rFonts w:ascii="Arial" w:eastAsiaTheme="majorEastAsia" w:hAnsi="Arial" w:cs="Arial"/>
          <w:sz w:val="20"/>
          <w:szCs w:val="20"/>
        </w:rPr>
      </w:pPr>
      <w:r w:rsidRPr="00CD13AB">
        <w:rPr>
          <w:rFonts w:ascii="Arial" w:hAnsi="Arial" w:cs="Arial"/>
          <w:sz w:val="20"/>
          <w:szCs w:val="20"/>
        </w:rPr>
        <w:t xml:space="preserve">Deptford, A., Allieri, T., Childs, R., Damu, C., Ferguson, E., Hilton, J., Parham, P., Perry, A., Rees, A., Seddon, J., &amp; Hall, A. (2017). Cost of the Diet: A method and software to calculate the lowest cost of meeting recommended intakes of energy and nutrients from local foods. </w:t>
      </w:r>
      <w:r w:rsidRPr="00CD13AB">
        <w:rPr>
          <w:rStyle w:val="Emphasis"/>
          <w:rFonts w:ascii="Arial" w:eastAsiaTheme="majorEastAsia" w:hAnsi="Arial" w:cs="Arial"/>
          <w:sz w:val="20"/>
          <w:szCs w:val="20"/>
        </w:rPr>
        <w:t>BMC Nutrition, 3</w:t>
      </w:r>
      <w:r w:rsidRPr="00CD13AB">
        <w:rPr>
          <w:rFonts w:ascii="Arial" w:hAnsi="Arial" w:cs="Arial"/>
          <w:sz w:val="20"/>
          <w:szCs w:val="20"/>
        </w:rPr>
        <w:t xml:space="preserve">(1), 1–17. </w:t>
      </w:r>
      <w:hyperlink r:id="rId23" w:history="1">
        <w:r w:rsidRPr="00CD13AB">
          <w:rPr>
            <w:rStyle w:val="Hyperlink"/>
            <w:rFonts w:ascii="Arial" w:eastAsiaTheme="majorEastAsia" w:hAnsi="Arial" w:cs="Arial"/>
            <w:sz w:val="20"/>
            <w:szCs w:val="20"/>
          </w:rPr>
          <w:t>https://doi.org/10.1186/S40795-017-0136-4/FIGURES/6</w:t>
        </w:r>
      </w:hyperlink>
    </w:p>
    <w:p w:rsidR="003D24B8" w:rsidRPr="00CD13AB" w:rsidRDefault="003A2AEA" w:rsidP="00CD13AB">
      <w:pPr>
        <w:pStyle w:val="NormalWeb"/>
        <w:numPr>
          <w:ilvl w:val="0"/>
          <w:numId w:val="44"/>
        </w:numPr>
        <w:jc w:val="both"/>
        <w:rPr>
          <w:rFonts w:ascii="Arial" w:hAnsi="Arial" w:cs="Arial"/>
          <w:sz w:val="20"/>
          <w:szCs w:val="20"/>
        </w:rPr>
      </w:pPr>
      <w:r w:rsidRPr="00CD13AB">
        <w:rPr>
          <w:rFonts w:ascii="Arial" w:hAnsi="Arial" w:cs="Arial"/>
          <w:sz w:val="20"/>
          <w:szCs w:val="20"/>
        </w:rPr>
        <w:t xml:space="preserve">Tasmanian Healthy Food Access Basket (HFAB) Survey Final Report: Availability, cost, and affordability of a basket of healthy food in Tasmania. (2014). Funded by the Australian Government </w:t>
      </w:r>
      <w:r w:rsidR="00CD13AB" w:rsidRPr="00CD13AB">
        <w:rPr>
          <w:rFonts w:ascii="Arial" w:hAnsi="Arial" w:cs="Arial"/>
          <w:sz w:val="20"/>
          <w:szCs w:val="20"/>
        </w:rPr>
        <w:t>through Tasmania Medicare Local</w:t>
      </w:r>
    </w:p>
    <w:p w:rsidR="003D24B8" w:rsidRPr="00CD13AB" w:rsidRDefault="003D24B8" w:rsidP="00CD13AB">
      <w:pPr>
        <w:pStyle w:val="ListParagraph"/>
        <w:jc w:val="both"/>
        <w:rPr>
          <w:rFonts w:ascii="Arial" w:hAnsi="Arial" w:cs="Arial"/>
          <w:sz w:val="20"/>
          <w:szCs w:val="20"/>
        </w:rPr>
      </w:pPr>
    </w:p>
    <w:p w:rsidR="003D24B8" w:rsidRPr="00CD13AB" w:rsidRDefault="003D24B8" w:rsidP="00CD13AB">
      <w:pPr>
        <w:pStyle w:val="ListParagraph"/>
        <w:numPr>
          <w:ilvl w:val="0"/>
          <w:numId w:val="44"/>
        </w:numPr>
        <w:jc w:val="both"/>
        <w:rPr>
          <w:rFonts w:ascii="Arial" w:hAnsi="Arial" w:cs="Arial"/>
          <w:sz w:val="20"/>
          <w:szCs w:val="20"/>
        </w:rPr>
      </w:pPr>
      <w:r w:rsidRPr="00CD13AB">
        <w:rPr>
          <w:rFonts w:ascii="Arial" w:hAnsi="Arial" w:cs="Arial"/>
          <w:sz w:val="20"/>
          <w:szCs w:val="20"/>
        </w:rPr>
        <w:t xml:space="preserve">Ruel, M. T., &amp; Alderman, H. (2013). Nutrition-sensitive interventions and programmes: How can they help to accelerate progress in improving maternal and child nutrition? </w:t>
      </w:r>
      <w:r w:rsidRPr="00CD13AB">
        <w:rPr>
          <w:rFonts w:ascii="Arial" w:hAnsi="Arial" w:cs="Arial"/>
          <w:i/>
          <w:iCs/>
          <w:sz w:val="20"/>
          <w:szCs w:val="20"/>
        </w:rPr>
        <w:t>The Lancet</w:t>
      </w:r>
      <w:r w:rsidRPr="00CD13AB">
        <w:rPr>
          <w:rFonts w:ascii="Arial" w:hAnsi="Arial" w:cs="Arial"/>
          <w:sz w:val="20"/>
          <w:szCs w:val="20"/>
        </w:rPr>
        <w:t xml:space="preserve">, </w:t>
      </w:r>
      <w:r w:rsidRPr="00CD13AB">
        <w:rPr>
          <w:rFonts w:ascii="Arial" w:hAnsi="Arial" w:cs="Arial"/>
          <w:i/>
          <w:iCs/>
          <w:sz w:val="20"/>
          <w:szCs w:val="20"/>
        </w:rPr>
        <w:t>382</w:t>
      </w:r>
      <w:r w:rsidRPr="00CD13AB">
        <w:rPr>
          <w:rFonts w:ascii="Arial" w:hAnsi="Arial" w:cs="Arial"/>
          <w:sz w:val="20"/>
          <w:szCs w:val="20"/>
        </w:rPr>
        <w:t xml:space="preserve">(9891), 536–551. </w:t>
      </w:r>
      <w:hyperlink r:id="rId24" w:history="1">
        <w:r w:rsidRPr="00CD13AB">
          <w:rPr>
            <w:rStyle w:val="Hyperlink"/>
            <w:rFonts w:ascii="Arial" w:hAnsi="Arial" w:cs="Arial"/>
            <w:sz w:val="20"/>
            <w:szCs w:val="20"/>
          </w:rPr>
          <w:t>https://doi.org/10.1016/S0140-6736(13)60843-0/ATTACHMENT/C6193216-9BD2-45E0-915E-8D56FBB4A411/MMC1.PDF</w:t>
        </w:r>
      </w:hyperlink>
    </w:p>
    <w:p w:rsidR="003A2AEA" w:rsidRPr="00CD13AB" w:rsidRDefault="003A2AEA" w:rsidP="00CD13AB">
      <w:pPr>
        <w:pStyle w:val="ListParagraph"/>
        <w:numPr>
          <w:ilvl w:val="0"/>
          <w:numId w:val="44"/>
        </w:numPr>
        <w:jc w:val="both"/>
        <w:rPr>
          <w:rFonts w:ascii="Arial" w:hAnsi="Arial" w:cs="Arial"/>
        </w:rPr>
      </w:pPr>
      <w:r w:rsidRPr="00CD13AB">
        <w:rPr>
          <w:rFonts w:ascii="Arial" w:hAnsi="Arial" w:cs="Arial"/>
        </w:rPr>
        <w:t xml:space="preserve">Ford, N. D., Patel, S. A., &amp; Narayan, K. M. V. (2017). Obesity in low- and middle-income countries: burden, drivers, and emerging challenges. </w:t>
      </w:r>
      <w:r w:rsidRPr="00CD13AB">
        <w:rPr>
          <w:rFonts w:ascii="Arial" w:hAnsi="Arial" w:cs="Arial"/>
          <w:i/>
          <w:iCs/>
        </w:rPr>
        <w:t>Annu Rev Public Health</w:t>
      </w:r>
      <w:r w:rsidRPr="00CD13AB">
        <w:rPr>
          <w:rFonts w:ascii="Arial" w:hAnsi="Arial" w:cs="Arial"/>
        </w:rPr>
        <w:t xml:space="preserve">, </w:t>
      </w:r>
      <w:r w:rsidRPr="00CD13AB">
        <w:rPr>
          <w:rFonts w:ascii="Arial" w:hAnsi="Arial" w:cs="Arial"/>
          <w:i/>
          <w:iCs/>
        </w:rPr>
        <w:t>38</w:t>
      </w:r>
      <w:r w:rsidRPr="00CD13AB">
        <w:rPr>
          <w:rFonts w:ascii="Arial" w:hAnsi="Arial" w:cs="Arial"/>
        </w:rPr>
        <w:t xml:space="preserve">(1), 145–164. </w:t>
      </w:r>
      <w:hyperlink r:id="rId25" w:history="1">
        <w:r w:rsidRPr="00CD13AB">
          <w:rPr>
            <w:rStyle w:val="Hyperlink"/>
            <w:rFonts w:ascii="Arial" w:hAnsi="Arial" w:cs="Arial"/>
            <w:sz w:val="20"/>
            <w:szCs w:val="20"/>
          </w:rPr>
          <w:t>https://doi.org/10.1146/annurev-publhealth-031816-044604</w:t>
        </w:r>
      </w:hyperlink>
    </w:p>
    <w:p w:rsidR="003A2AEA" w:rsidRPr="00CD13AB" w:rsidRDefault="003A2AEA" w:rsidP="00CD13AB">
      <w:pPr>
        <w:ind w:left="720"/>
        <w:jc w:val="both"/>
        <w:rPr>
          <w:rFonts w:ascii="Arial" w:hAnsi="Arial" w:cs="Arial"/>
        </w:rPr>
      </w:pPr>
    </w:p>
    <w:p w:rsidR="003A2AEA" w:rsidRPr="00CD13AB" w:rsidRDefault="003A2AEA" w:rsidP="00CD13AB">
      <w:pPr>
        <w:pStyle w:val="ListParagraph"/>
        <w:numPr>
          <w:ilvl w:val="0"/>
          <w:numId w:val="44"/>
        </w:numPr>
        <w:jc w:val="both"/>
        <w:rPr>
          <w:rFonts w:ascii="Arial" w:hAnsi="Arial" w:cs="Arial"/>
        </w:rPr>
      </w:pPr>
      <w:r w:rsidRPr="00CD13AB">
        <w:rPr>
          <w:rFonts w:ascii="Arial" w:hAnsi="Arial" w:cs="Arial"/>
        </w:rPr>
        <w:t xml:space="preserve">James, W. P. T., Nelson, M., Ralph, A., &amp; Leather, S. (1997). Socioeconomic determinants of health: The contribution of nutrition to inequalities in health. </w:t>
      </w:r>
      <w:r w:rsidRPr="00CD13AB">
        <w:rPr>
          <w:rFonts w:ascii="Arial" w:hAnsi="Arial" w:cs="Arial"/>
          <w:i/>
          <w:iCs/>
        </w:rPr>
        <w:t>British Medical Journal</w:t>
      </w:r>
      <w:r w:rsidRPr="00CD13AB">
        <w:rPr>
          <w:rFonts w:ascii="Arial" w:hAnsi="Arial" w:cs="Arial"/>
        </w:rPr>
        <w:t xml:space="preserve">, </w:t>
      </w:r>
      <w:r w:rsidRPr="00CD13AB">
        <w:rPr>
          <w:rFonts w:ascii="Arial" w:hAnsi="Arial" w:cs="Arial"/>
          <w:i/>
          <w:iCs/>
        </w:rPr>
        <w:t>314</w:t>
      </w:r>
      <w:r w:rsidRPr="00CD13AB">
        <w:rPr>
          <w:rFonts w:ascii="Arial" w:hAnsi="Arial" w:cs="Arial"/>
        </w:rPr>
        <w:t xml:space="preserve">(7093), 1545–1549. </w:t>
      </w:r>
      <w:hyperlink r:id="rId26" w:history="1">
        <w:r w:rsidRPr="00CD13AB">
          <w:rPr>
            <w:rStyle w:val="Hyperlink"/>
            <w:rFonts w:ascii="Arial" w:hAnsi="Arial" w:cs="Arial"/>
            <w:sz w:val="20"/>
            <w:szCs w:val="20"/>
          </w:rPr>
          <w:t>https://doi.org/10.1136/BMJ.314.7093.1545</w:t>
        </w:r>
      </w:hyperlink>
    </w:p>
    <w:p w:rsidR="00FB00C8" w:rsidRPr="00CD13AB" w:rsidRDefault="00FB00C8" w:rsidP="00CD13AB">
      <w:pPr>
        <w:ind w:left="720"/>
        <w:jc w:val="both"/>
        <w:rPr>
          <w:rFonts w:ascii="Arial" w:hAnsi="Arial" w:cs="Arial"/>
        </w:rPr>
      </w:pPr>
    </w:p>
    <w:p w:rsidR="003D24B8" w:rsidRPr="00CD13AB" w:rsidRDefault="00FB00C8" w:rsidP="00CD13AB">
      <w:pPr>
        <w:pStyle w:val="ListParagraph"/>
        <w:numPr>
          <w:ilvl w:val="0"/>
          <w:numId w:val="44"/>
        </w:numPr>
        <w:jc w:val="both"/>
        <w:rPr>
          <w:rFonts w:ascii="Arial" w:hAnsi="Arial" w:cs="Arial"/>
          <w:sz w:val="20"/>
          <w:szCs w:val="20"/>
        </w:rPr>
      </w:pPr>
      <w:r w:rsidRPr="00CD13AB">
        <w:rPr>
          <w:rFonts w:ascii="Arial" w:hAnsi="Arial" w:cs="Arial"/>
          <w:sz w:val="20"/>
          <w:szCs w:val="20"/>
        </w:rPr>
        <w:t xml:space="preserve">Hoddinott, J., Alderman, H., Behrman, J. R., Haddad, L., &amp; Horton, S. (2013). The economic rationale for investing in stunting reduction. </w:t>
      </w:r>
      <w:r w:rsidRPr="00CD13AB">
        <w:rPr>
          <w:rFonts w:ascii="Arial" w:hAnsi="Arial" w:cs="Arial"/>
          <w:i/>
          <w:iCs/>
          <w:sz w:val="20"/>
          <w:szCs w:val="20"/>
        </w:rPr>
        <w:t>Maternal and Child Nutrition</w:t>
      </w:r>
      <w:r w:rsidRPr="00CD13AB">
        <w:rPr>
          <w:rFonts w:ascii="Arial" w:hAnsi="Arial" w:cs="Arial"/>
          <w:sz w:val="20"/>
          <w:szCs w:val="20"/>
        </w:rPr>
        <w:t xml:space="preserve">, </w:t>
      </w:r>
      <w:r w:rsidRPr="00CD13AB">
        <w:rPr>
          <w:rFonts w:ascii="Arial" w:hAnsi="Arial" w:cs="Arial"/>
          <w:i/>
          <w:iCs/>
          <w:sz w:val="20"/>
          <w:szCs w:val="20"/>
        </w:rPr>
        <w:t>9</w:t>
      </w:r>
      <w:r w:rsidRPr="00CD13AB">
        <w:rPr>
          <w:rFonts w:ascii="Arial" w:hAnsi="Arial" w:cs="Arial"/>
          <w:sz w:val="20"/>
          <w:szCs w:val="20"/>
        </w:rPr>
        <w:t xml:space="preserve">(S2), 69–82. </w:t>
      </w:r>
      <w:hyperlink r:id="rId27" w:history="1">
        <w:r w:rsidRPr="00CD13AB">
          <w:rPr>
            <w:rStyle w:val="Hyperlink"/>
            <w:rFonts w:ascii="Arial" w:hAnsi="Arial" w:cs="Arial"/>
            <w:sz w:val="20"/>
            <w:szCs w:val="20"/>
          </w:rPr>
          <w:t>https://doi.org/10.1111/MCN.12080;PAGEGROUP:STRING:PUBLICATION</w:t>
        </w:r>
      </w:hyperlink>
    </w:p>
    <w:p w:rsidR="00FB00C8" w:rsidRPr="00CD13AB" w:rsidRDefault="00FB00C8" w:rsidP="00CD13AB">
      <w:pPr>
        <w:pStyle w:val="ListParagraph"/>
        <w:jc w:val="both"/>
        <w:rPr>
          <w:rFonts w:ascii="Arial" w:hAnsi="Arial" w:cs="Arial"/>
          <w:sz w:val="20"/>
          <w:szCs w:val="20"/>
        </w:rPr>
      </w:pPr>
    </w:p>
    <w:p w:rsidR="003D24B8" w:rsidRPr="00CD13AB" w:rsidRDefault="003D24B8" w:rsidP="00CD13AB">
      <w:pPr>
        <w:pStyle w:val="ListParagraph"/>
        <w:numPr>
          <w:ilvl w:val="0"/>
          <w:numId w:val="44"/>
        </w:numPr>
        <w:jc w:val="both"/>
        <w:rPr>
          <w:rFonts w:ascii="Arial" w:hAnsi="Arial" w:cs="Arial"/>
          <w:sz w:val="20"/>
          <w:szCs w:val="20"/>
        </w:rPr>
      </w:pPr>
      <w:r w:rsidRPr="00CD13AB">
        <w:rPr>
          <w:rFonts w:ascii="Arial" w:hAnsi="Arial" w:cs="Arial"/>
          <w:sz w:val="20"/>
          <w:szCs w:val="20"/>
        </w:rPr>
        <w:t xml:space="preserve">Webb, P. (2010). Medium- to long-run implications of high food prices for global nutrition. </w:t>
      </w:r>
      <w:r w:rsidRPr="00CD13AB">
        <w:rPr>
          <w:rFonts w:ascii="Arial" w:hAnsi="Arial" w:cs="Arial"/>
          <w:i/>
          <w:iCs/>
          <w:sz w:val="20"/>
          <w:szCs w:val="20"/>
        </w:rPr>
        <w:t>Journal of Nutrition</w:t>
      </w:r>
      <w:r w:rsidRPr="00CD13AB">
        <w:rPr>
          <w:rFonts w:ascii="Arial" w:hAnsi="Arial" w:cs="Arial"/>
          <w:sz w:val="20"/>
          <w:szCs w:val="20"/>
        </w:rPr>
        <w:t xml:space="preserve">, </w:t>
      </w:r>
      <w:r w:rsidRPr="00CD13AB">
        <w:rPr>
          <w:rFonts w:ascii="Arial" w:hAnsi="Arial" w:cs="Arial"/>
          <w:i/>
          <w:iCs/>
          <w:sz w:val="20"/>
          <w:szCs w:val="20"/>
        </w:rPr>
        <w:t>140</w:t>
      </w:r>
      <w:r w:rsidRPr="00CD13AB">
        <w:rPr>
          <w:rFonts w:ascii="Arial" w:hAnsi="Arial" w:cs="Arial"/>
          <w:sz w:val="20"/>
          <w:szCs w:val="20"/>
        </w:rPr>
        <w:t xml:space="preserve">(1). </w:t>
      </w:r>
      <w:hyperlink r:id="rId28" w:history="1">
        <w:r w:rsidRPr="00CD13AB">
          <w:rPr>
            <w:rStyle w:val="Hyperlink"/>
            <w:rFonts w:ascii="Arial" w:hAnsi="Arial" w:cs="Arial"/>
            <w:sz w:val="20"/>
            <w:szCs w:val="20"/>
          </w:rPr>
          <w:t>https://doi.org/10.3945/JN.109.110536</w:t>
        </w:r>
      </w:hyperlink>
    </w:p>
    <w:p w:rsidR="00CD297D" w:rsidRPr="00CD13AB" w:rsidRDefault="00CD297D" w:rsidP="00CD13AB">
      <w:pPr>
        <w:pStyle w:val="ListParagraph"/>
        <w:jc w:val="both"/>
        <w:rPr>
          <w:rFonts w:ascii="Arial" w:hAnsi="Arial" w:cs="Arial"/>
          <w:sz w:val="20"/>
          <w:szCs w:val="20"/>
        </w:rPr>
      </w:pPr>
    </w:p>
    <w:p w:rsidR="0071171C" w:rsidRPr="00CD13AB" w:rsidRDefault="00CD297D" w:rsidP="00CD13AB">
      <w:pPr>
        <w:pStyle w:val="ListParagraph"/>
        <w:numPr>
          <w:ilvl w:val="0"/>
          <w:numId w:val="44"/>
        </w:numPr>
        <w:jc w:val="both"/>
        <w:rPr>
          <w:rFonts w:ascii="Arial" w:hAnsi="Arial" w:cs="Arial"/>
          <w:sz w:val="20"/>
          <w:szCs w:val="20"/>
        </w:rPr>
      </w:pPr>
      <w:r w:rsidRPr="00CD13AB">
        <w:rPr>
          <w:rFonts w:ascii="Arial" w:hAnsi="Arial" w:cs="Arial"/>
          <w:sz w:val="20"/>
          <w:szCs w:val="20"/>
        </w:rPr>
        <w:t xml:space="preserve">Aziz, N., He, J., Raza, A., Sui, H., &amp; Yue, W. (2021). Elucidating the Macroeconomic Determinants of Undernourishment in South Asian Countries: Building the Framework for Action. Frontiers in Public Health, 9, 696789. </w:t>
      </w:r>
      <w:hyperlink r:id="rId29" w:history="1">
        <w:r w:rsidR="0071171C" w:rsidRPr="00CD13AB">
          <w:rPr>
            <w:rStyle w:val="Hyperlink"/>
            <w:rFonts w:ascii="Arial" w:hAnsi="Arial" w:cs="Arial"/>
            <w:sz w:val="20"/>
            <w:szCs w:val="20"/>
          </w:rPr>
          <w:t>https://doi.org/10.3389/FPUBH.2021.696789/BIBTEX</w:t>
        </w:r>
      </w:hyperlink>
    </w:p>
    <w:p w:rsidR="0071171C" w:rsidRPr="00CD13AB" w:rsidRDefault="0071171C" w:rsidP="00CD13AB">
      <w:pPr>
        <w:pStyle w:val="ListParagraph"/>
        <w:jc w:val="both"/>
        <w:rPr>
          <w:rFonts w:ascii="Arial" w:hAnsi="Arial" w:cs="Arial"/>
          <w:sz w:val="20"/>
          <w:szCs w:val="20"/>
        </w:rPr>
      </w:pPr>
    </w:p>
    <w:p w:rsidR="0071171C" w:rsidRPr="00CD13AB" w:rsidRDefault="00CD297D" w:rsidP="00CD13AB">
      <w:pPr>
        <w:pStyle w:val="ListParagraph"/>
        <w:numPr>
          <w:ilvl w:val="0"/>
          <w:numId w:val="44"/>
        </w:numPr>
        <w:jc w:val="both"/>
        <w:rPr>
          <w:rFonts w:ascii="Arial" w:hAnsi="Arial" w:cs="Arial"/>
          <w:sz w:val="20"/>
          <w:szCs w:val="20"/>
        </w:rPr>
      </w:pPr>
      <w:r w:rsidRPr="00CD13AB">
        <w:rPr>
          <w:rFonts w:ascii="Arial" w:hAnsi="Arial" w:cs="Arial"/>
          <w:sz w:val="20"/>
          <w:szCs w:val="20"/>
        </w:rPr>
        <w:t xml:space="preserve">Belayneh, M., Loha, E., &amp; Lindtjørn, B. (2020). Seasonal Variation of Household Food Insecurity and Household Dietary Diversity on Wasting and Stunting among Young Children in A Drought Prone Area in South Ethiopia: A Cohort Study. Ecology of Food and Nutrition, 1–26. </w:t>
      </w:r>
      <w:hyperlink r:id="rId30" w:history="1">
        <w:r w:rsidR="0071171C" w:rsidRPr="00CD13AB">
          <w:rPr>
            <w:rStyle w:val="Hyperlink"/>
            <w:rFonts w:ascii="Arial" w:hAnsi="Arial" w:cs="Arial"/>
            <w:sz w:val="20"/>
            <w:szCs w:val="20"/>
          </w:rPr>
          <w:t>https://doi.org/10.1080/03670244.2020.1789865</w:t>
        </w:r>
      </w:hyperlink>
    </w:p>
    <w:p w:rsidR="00CD13AB" w:rsidRPr="00CD13AB" w:rsidRDefault="00CD13AB" w:rsidP="00CD13AB">
      <w:pPr>
        <w:pStyle w:val="ListParagraph"/>
        <w:jc w:val="both"/>
        <w:rPr>
          <w:rFonts w:ascii="Arial" w:hAnsi="Arial" w:cs="Arial"/>
          <w:sz w:val="20"/>
          <w:szCs w:val="20"/>
        </w:rPr>
      </w:pPr>
    </w:p>
    <w:p w:rsidR="00CD297D" w:rsidRPr="00CD13AB" w:rsidRDefault="00CD297D" w:rsidP="00CD13AB">
      <w:pPr>
        <w:pStyle w:val="ListParagraph"/>
        <w:numPr>
          <w:ilvl w:val="0"/>
          <w:numId w:val="44"/>
        </w:numPr>
        <w:jc w:val="both"/>
        <w:rPr>
          <w:rFonts w:ascii="Arial" w:hAnsi="Arial" w:cs="Arial"/>
          <w:sz w:val="20"/>
          <w:szCs w:val="20"/>
        </w:rPr>
      </w:pPr>
      <w:r w:rsidRPr="00CD13AB">
        <w:rPr>
          <w:rFonts w:ascii="Arial" w:hAnsi="Arial" w:cs="Arial"/>
          <w:sz w:val="20"/>
          <w:szCs w:val="20"/>
        </w:rPr>
        <w:t xml:space="preserve">Kuri, S., Turowska, Z., Damu, C., Klemm, J., &amp; de Pee, S. (2024). Affordability of nutrient-adequate diets as an indicator for food and nutrition security. Evidence from fill the nutrient gap analyses. Global Food Security, 42, 100796. </w:t>
      </w:r>
      <w:hyperlink r:id="rId31" w:history="1">
        <w:r w:rsidR="0071171C" w:rsidRPr="00CD13AB">
          <w:rPr>
            <w:rStyle w:val="Hyperlink"/>
            <w:rFonts w:ascii="Arial" w:hAnsi="Arial" w:cs="Arial"/>
            <w:sz w:val="20"/>
            <w:szCs w:val="20"/>
          </w:rPr>
          <w:t>https://doi.org/10.1016/J.GFS.2024.100796</w:t>
        </w:r>
      </w:hyperlink>
    </w:p>
    <w:p w:rsidR="0071171C" w:rsidRDefault="0071171C" w:rsidP="003D24B8">
      <w:pPr>
        <w:pStyle w:val="ListParagraph"/>
        <w:jc w:val="both"/>
        <w:rPr>
          <w:rFonts w:ascii="Arial" w:hAnsi="Arial" w:cs="Arial"/>
          <w:sz w:val="20"/>
          <w:szCs w:val="20"/>
        </w:rPr>
      </w:pPr>
    </w:p>
    <w:p w:rsidR="003D24B8" w:rsidRDefault="003D24B8" w:rsidP="003D24B8">
      <w:pPr>
        <w:pStyle w:val="ListParagraph"/>
        <w:jc w:val="both"/>
        <w:rPr>
          <w:rFonts w:ascii="Arial" w:hAnsi="Arial" w:cs="Arial"/>
          <w:sz w:val="20"/>
          <w:szCs w:val="20"/>
        </w:rPr>
      </w:pPr>
    </w:p>
    <w:p w:rsidR="003D24B8" w:rsidRDefault="003D24B8" w:rsidP="003D24B8">
      <w:pPr>
        <w:pStyle w:val="ListParagraph"/>
        <w:jc w:val="both"/>
        <w:rPr>
          <w:rFonts w:ascii="Arial" w:hAnsi="Arial" w:cs="Arial"/>
          <w:sz w:val="20"/>
          <w:szCs w:val="20"/>
        </w:rPr>
      </w:pPr>
    </w:p>
    <w:p w:rsidR="003D24B8" w:rsidRPr="003D24B8" w:rsidRDefault="003D24B8" w:rsidP="003D24B8">
      <w:pPr>
        <w:jc w:val="both"/>
        <w:rPr>
          <w:rFonts w:ascii="Arial" w:hAnsi="Arial" w:cs="Arial"/>
        </w:rPr>
      </w:pPr>
    </w:p>
    <w:p w:rsidR="003D24B8" w:rsidRPr="003D24B8" w:rsidRDefault="003D24B8" w:rsidP="003D24B8">
      <w:pPr>
        <w:ind w:left="720"/>
        <w:rPr>
          <w:rFonts w:ascii="Arial" w:hAnsi="Arial" w:cs="Arial"/>
        </w:rPr>
      </w:pPr>
    </w:p>
    <w:p w:rsidR="003D24B8" w:rsidRDefault="003D24B8" w:rsidP="003A2AEA">
      <w:pPr>
        <w:ind w:left="720"/>
        <w:jc w:val="both"/>
      </w:pPr>
    </w:p>
    <w:p w:rsidR="003D24B8" w:rsidRPr="003A2AEA" w:rsidRDefault="003D24B8" w:rsidP="003A2AEA">
      <w:pPr>
        <w:ind w:left="720"/>
        <w:jc w:val="both"/>
        <w:rPr>
          <w:rFonts w:ascii="Arial" w:hAnsi="Arial" w:cs="Arial"/>
        </w:rPr>
      </w:pPr>
    </w:p>
    <w:p w:rsidR="003A2AEA" w:rsidRPr="003A2AEA" w:rsidRDefault="003A2AEA" w:rsidP="003A2AEA">
      <w:pPr>
        <w:ind w:left="720"/>
        <w:rPr>
          <w:rFonts w:ascii="Times New Roman" w:hAnsi="Times New Roman"/>
          <w:sz w:val="24"/>
          <w:szCs w:val="24"/>
        </w:rPr>
      </w:pPr>
    </w:p>
    <w:p w:rsidR="00BC552B" w:rsidRPr="005C66AB" w:rsidRDefault="00BC552B" w:rsidP="003A2AEA">
      <w:pPr>
        <w:pStyle w:val="NormalWeb"/>
        <w:ind w:left="720"/>
        <w:jc w:val="both"/>
      </w:pPr>
    </w:p>
    <w:p w:rsidR="00BC552B" w:rsidRPr="005C66AB" w:rsidRDefault="00BC552B" w:rsidP="00BC552B">
      <w:pPr>
        <w:pStyle w:val="NormalWeb"/>
        <w:ind w:left="720"/>
        <w:jc w:val="both"/>
      </w:pPr>
    </w:p>
    <w:p w:rsidR="00BC552B" w:rsidRPr="005C66AB" w:rsidRDefault="00BC552B" w:rsidP="00BC552B">
      <w:pPr>
        <w:pStyle w:val="NormalWeb"/>
        <w:ind w:left="720"/>
        <w:jc w:val="both"/>
      </w:pPr>
    </w:p>
    <w:p w:rsidR="0019502F" w:rsidRPr="005C66AB" w:rsidRDefault="0019502F" w:rsidP="0019502F">
      <w:pPr>
        <w:pStyle w:val="NormalWeb"/>
        <w:ind w:left="720"/>
        <w:jc w:val="both"/>
      </w:pPr>
    </w:p>
    <w:p w:rsidR="0019502F" w:rsidRDefault="0019502F" w:rsidP="003E25A4">
      <w:pPr>
        <w:pStyle w:val="NormalWeb"/>
        <w:ind w:left="720"/>
        <w:jc w:val="both"/>
        <w:rPr>
          <w:rFonts w:eastAsiaTheme="majorEastAsia"/>
        </w:rPr>
      </w:pPr>
    </w:p>
    <w:p w:rsidR="00ED1F77" w:rsidRDefault="00ED1F77" w:rsidP="00ED1F77">
      <w:pPr>
        <w:pStyle w:val="NormalWeb"/>
        <w:jc w:val="both"/>
        <w:rPr>
          <w:rFonts w:eastAsiaTheme="majorEastAsia"/>
        </w:rPr>
      </w:pPr>
    </w:p>
    <w:p w:rsidR="003E25A4" w:rsidRPr="005C66AB" w:rsidRDefault="003E25A4" w:rsidP="003E25A4">
      <w:pPr>
        <w:pStyle w:val="NormalWeb"/>
        <w:ind w:left="720"/>
        <w:jc w:val="both"/>
      </w:pPr>
    </w:p>
    <w:p w:rsidR="009B6DF8" w:rsidRPr="009B6DF8" w:rsidRDefault="009B6DF8" w:rsidP="003E25A4">
      <w:pPr>
        <w:pStyle w:val="NormalWeb"/>
        <w:ind w:left="720"/>
        <w:jc w:val="both"/>
        <w:rPr>
          <w:rFonts w:ascii="Arial" w:hAnsi="Arial" w:cs="Arial"/>
          <w:sz w:val="20"/>
          <w:szCs w:val="20"/>
        </w:rPr>
      </w:pPr>
    </w:p>
    <w:p w:rsidR="009B6DF8" w:rsidRPr="00FB3A86" w:rsidRDefault="009B6DF8" w:rsidP="00441B6F">
      <w:pPr>
        <w:pStyle w:val="ReferHead"/>
        <w:spacing w:after="0"/>
        <w:jc w:val="both"/>
        <w:rPr>
          <w:rFonts w:ascii="Arial" w:hAnsi="Arial" w:cs="Arial"/>
        </w:rPr>
      </w:pPr>
    </w:p>
    <w:p w:rsidR="00790ADA" w:rsidRPr="00FB3A86" w:rsidRDefault="00790ADA" w:rsidP="00441B6F">
      <w:pPr>
        <w:pStyle w:val="Body"/>
        <w:spacing w:after="0"/>
        <w:rPr>
          <w:rFonts w:ascii="Arial" w:hAnsi="Arial" w:cs="Arial"/>
        </w:rPr>
      </w:pPr>
    </w:p>
    <w:p w:rsidR="00AE1F16" w:rsidRDefault="00AE1F16" w:rsidP="00441B6F">
      <w:pPr>
        <w:pStyle w:val="Appendix"/>
        <w:spacing w:after="0"/>
        <w:jc w:val="both"/>
        <w:rPr>
          <w:rFonts w:ascii="Arial" w:hAnsi="Arial" w:cs="Arial"/>
        </w:rPr>
      </w:pPr>
    </w:p>
    <w:p w:rsidR="004D4277" w:rsidRPr="00FB3A86" w:rsidRDefault="004D4277" w:rsidP="00441B6F">
      <w:pPr>
        <w:pStyle w:val="Appendix"/>
        <w:spacing w:after="0"/>
        <w:jc w:val="both"/>
        <w:rPr>
          <w:rFonts w:ascii="Arial" w:hAnsi="Arial" w:cs="Arial"/>
          <w:b w:val="0"/>
        </w:rPr>
        <w:sectPr w:rsidR="004D4277" w:rsidRPr="00FB3A86" w:rsidSect="00CC2455">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titlePg/>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CC245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D9C" w:rsidRDefault="002A7D9C" w:rsidP="00C37E61">
      <w:r>
        <w:separator/>
      </w:r>
    </w:p>
  </w:endnote>
  <w:endnote w:type="continuationSeparator" w:id="0">
    <w:p w:rsidR="002A7D9C" w:rsidRDefault="002A7D9C" w:rsidP="00C37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Footer"/>
      <w:rPr>
        <w:rFonts w:ascii="Arial" w:hAnsi="Arial" w:cs="Arial"/>
        <w:sz w:val="16"/>
      </w:rPr>
    </w:pPr>
  </w:p>
  <w:p w:rsidR="00A64569" w:rsidRDefault="00A6456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A64569" w:rsidRDefault="00A64569">
    <w:pPr>
      <w:pStyle w:val="Footer"/>
      <w:rPr>
        <w:rFonts w:ascii="Arial" w:hAnsi="Arial" w:cs="Arial"/>
        <w:sz w:val="16"/>
      </w:rPr>
    </w:pPr>
  </w:p>
  <w:p w:rsidR="00A64569" w:rsidRPr="009E048A" w:rsidRDefault="00A6456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Pr="00C37E61" w:rsidRDefault="00A64569"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D9C" w:rsidRDefault="002A7D9C" w:rsidP="00C37E61">
      <w:r>
        <w:separator/>
      </w:r>
    </w:p>
  </w:footnote>
  <w:footnote w:type="continuationSeparator" w:id="0">
    <w:p w:rsidR="002A7D9C" w:rsidRDefault="002A7D9C"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Pr="00296529" w:rsidRDefault="00A64569" w:rsidP="00296529">
    <w:pPr>
      <w:ind w:left="2160"/>
      <w:jc w:val="center"/>
      <w:rPr>
        <w:rFonts w:ascii="Times New Roman" w:eastAsia="Calibri" w:hAnsi="Times New Roman"/>
        <w:i/>
        <w:sz w:val="18"/>
        <w:szCs w:val="22"/>
      </w:rPr>
    </w:pPr>
    <w:r w:rsidRPr="002474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A64569" w:rsidRPr="00296529" w:rsidRDefault="00A64569" w:rsidP="00296529">
    <w:pPr>
      <w:ind w:left="4320"/>
      <w:rPr>
        <w:rFonts w:ascii="Times New Roman" w:eastAsia="Calibri" w:hAnsi="Times New Roman"/>
        <w:i/>
        <w:sz w:val="18"/>
        <w:szCs w:val="22"/>
      </w:rPr>
    </w:pPr>
    <w:r>
      <w:rPr>
        <w:rFonts w:ascii="Times New Roman" w:eastAsia="Calibri" w:hAnsi="Times New Roman"/>
        <w:i/>
        <w:sz w:val="18"/>
        <w:szCs w:val="22"/>
      </w:rPr>
      <w:t>.</w:t>
    </w:r>
  </w:p>
  <w:p w:rsidR="00A64569" w:rsidRPr="00296529" w:rsidRDefault="00A64569" w:rsidP="00296529">
    <w:pPr>
      <w:jc w:val="center"/>
      <w:rPr>
        <w:rFonts w:ascii="Times New Roman" w:eastAsia="Calibri" w:hAnsi="Times New Roman"/>
        <w:i/>
        <w:sz w:val="18"/>
        <w:szCs w:val="22"/>
      </w:rPr>
    </w:pPr>
    <w:r>
      <w:rPr>
        <w:rFonts w:ascii="Times New Roman" w:eastAsia="Calibri" w:hAnsi="Times New Roman"/>
        <w:i/>
        <w:sz w:val="18"/>
        <w:szCs w:val="22"/>
      </w:rPr>
      <w:t>.</w:t>
    </w:r>
  </w:p>
  <w:p w:rsidR="00A64569" w:rsidRPr="00296529" w:rsidRDefault="00A64569"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A64569" w:rsidRDefault="00A64569" w:rsidP="00296529">
    <w:pPr>
      <w:jc w:val="center"/>
      <w:rPr>
        <w:rFonts w:ascii="Times New Roman" w:eastAsia="Calibri" w:hAnsi="Times New Roman"/>
        <w:i/>
        <w:sz w:val="18"/>
        <w:szCs w:val="22"/>
      </w:rPr>
    </w:pPr>
  </w:p>
  <w:p w:rsidR="00A64569" w:rsidRDefault="00A6456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A64569" w:rsidRDefault="00A64569">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69" w:rsidRDefault="00A64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D7C1C"/>
    <w:multiLevelType w:val="multilevel"/>
    <w:tmpl w:val="3108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3277C"/>
    <w:multiLevelType w:val="hybridMultilevel"/>
    <w:tmpl w:val="F3769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961137"/>
    <w:multiLevelType w:val="hybridMultilevel"/>
    <w:tmpl w:val="AC4A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3195460"/>
    <w:multiLevelType w:val="hybridMultilevel"/>
    <w:tmpl w:val="78E2E1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1EDE570A"/>
    <w:multiLevelType w:val="multilevel"/>
    <w:tmpl w:val="E578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A7803E8"/>
    <w:multiLevelType w:val="multilevel"/>
    <w:tmpl w:val="362E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46514737"/>
    <w:multiLevelType w:val="hybridMultilevel"/>
    <w:tmpl w:val="9AA0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FD0431"/>
    <w:multiLevelType w:val="hybridMultilevel"/>
    <w:tmpl w:val="FB5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nsid w:val="4E376669"/>
    <w:multiLevelType w:val="multilevel"/>
    <w:tmpl w:val="0E3E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E5056"/>
    <w:multiLevelType w:val="multilevel"/>
    <w:tmpl w:val="821E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F7B24"/>
    <w:multiLevelType w:val="multilevel"/>
    <w:tmpl w:val="EAD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D01AD6"/>
    <w:multiLevelType w:val="hybridMultilevel"/>
    <w:tmpl w:val="81C8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60B968F6"/>
    <w:multiLevelType w:val="hybridMultilevel"/>
    <w:tmpl w:val="0B2E38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3E5E83"/>
    <w:multiLevelType w:val="hybridMultilevel"/>
    <w:tmpl w:val="4790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9"/>
  </w:num>
  <w:num w:numId="7">
    <w:abstractNumId w:val="3"/>
  </w:num>
  <w:num w:numId="8">
    <w:abstractNumId w:val="18"/>
  </w:num>
  <w:num w:numId="9">
    <w:abstractNumId w:val="39"/>
  </w:num>
  <w:num w:numId="10">
    <w:abstractNumId w:val="4"/>
  </w:num>
  <w:num w:numId="11">
    <w:abstractNumId w:val="32"/>
  </w:num>
  <w:num w:numId="12">
    <w:abstractNumId w:val="5"/>
  </w:num>
  <w:num w:numId="13">
    <w:abstractNumId w:val="29"/>
  </w:num>
  <w:num w:numId="14">
    <w:abstractNumId w:val="12"/>
  </w:num>
  <w:num w:numId="15">
    <w:abstractNumId w:val="35"/>
  </w:num>
  <w:num w:numId="16">
    <w:abstractNumId w:val="8"/>
  </w:num>
  <w:num w:numId="17">
    <w:abstractNumId w:val="36"/>
  </w:num>
  <w:num w:numId="18">
    <w:abstractNumId w:val="20"/>
  </w:num>
  <w:num w:numId="19">
    <w:abstractNumId w:val="42"/>
  </w:num>
  <w:num w:numId="20">
    <w:abstractNumId w:val="16"/>
  </w:num>
  <w:num w:numId="21">
    <w:abstractNumId w:val="14"/>
  </w:num>
  <w:num w:numId="22">
    <w:abstractNumId w:val="19"/>
  </w:num>
  <w:num w:numId="23">
    <w:abstractNumId w:val="33"/>
  </w:num>
  <w:num w:numId="24">
    <w:abstractNumId w:val="40"/>
  </w:num>
  <w:num w:numId="25">
    <w:abstractNumId w:val="6"/>
  </w:num>
  <w:num w:numId="26">
    <w:abstractNumId w:val="26"/>
  </w:num>
  <w:num w:numId="27">
    <w:abstractNumId w:val="34"/>
  </w:num>
  <w:num w:numId="28">
    <w:abstractNumId w:val="41"/>
  </w:num>
  <w:num w:numId="29">
    <w:abstractNumId w:val="38"/>
  </w:num>
  <w:num w:numId="30">
    <w:abstractNumId w:val="15"/>
  </w:num>
  <w:num w:numId="31">
    <w:abstractNumId w:val="10"/>
  </w:num>
  <w:num w:numId="32">
    <w:abstractNumId w:val="1"/>
  </w:num>
  <w:num w:numId="33">
    <w:abstractNumId w:val="30"/>
  </w:num>
  <w:num w:numId="34">
    <w:abstractNumId w:val="31"/>
  </w:num>
  <w:num w:numId="35">
    <w:abstractNumId w:val="28"/>
  </w:num>
  <w:num w:numId="36">
    <w:abstractNumId w:val="22"/>
  </w:num>
  <w:num w:numId="37">
    <w:abstractNumId w:val="21"/>
  </w:num>
  <w:num w:numId="38">
    <w:abstractNumId w:val="7"/>
  </w:num>
  <w:num w:numId="39">
    <w:abstractNumId w:val="25"/>
  </w:num>
  <w:num w:numId="40">
    <w:abstractNumId w:val="24"/>
  </w:num>
  <w:num w:numId="41">
    <w:abstractNumId w:val="27"/>
  </w:num>
  <w:num w:numId="42">
    <w:abstractNumId w:val="17"/>
  </w:num>
  <w:num w:numId="43">
    <w:abstractNumId w:val="13"/>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AA6219"/>
    <w:rsid w:val="00000F8F"/>
    <w:rsid w:val="000123B9"/>
    <w:rsid w:val="0002761B"/>
    <w:rsid w:val="00030174"/>
    <w:rsid w:val="0004579C"/>
    <w:rsid w:val="000463A7"/>
    <w:rsid w:val="00090655"/>
    <w:rsid w:val="000A47FA"/>
    <w:rsid w:val="000A65D3"/>
    <w:rsid w:val="000B1E33"/>
    <w:rsid w:val="000C5F15"/>
    <w:rsid w:val="000D689F"/>
    <w:rsid w:val="000E7B7B"/>
    <w:rsid w:val="000E7D62"/>
    <w:rsid w:val="000F4889"/>
    <w:rsid w:val="001012C9"/>
    <w:rsid w:val="00103357"/>
    <w:rsid w:val="001155E2"/>
    <w:rsid w:val="00123975"/>
    <w:rsid w:val="00123C9F"/>
    <w:rsid w:val="00126190"/>
    <w:rsid w:val="00130F17"/>
    <w:rsid w:val="001320BF"/>
    <w:rsid w:val="00163BC4"/>
    <w:rsid w:val="001879C3"/>
    <w:rsid w:val="00187B29"/>
    <w:rsid w:val="00191062"/>
    <w:rsid w:val="00192B72"/>
    <w:rsid w:val="0019502F"/>
    <w:rsid w:val="001A29D8"/>
    <w:rsid w:val="001A5CAA"/>
    <w:rsid w:val="001B0427"/>
    <w:rsid w:val="001D3A51"/>
    <w:rsid w:val="001E10D2"/>
    <w:rsid w:val="001E25B4"/>
    <w:rsid w:val="001E44FE"/>
    <w:rsid w:val="001F63F8"/>
    <w:rsid w:val="00200595"/>
    <w:rsid w:val="00204835"/>
    <w:rsid w:val="0020528B"/>
    <w:rsid w:val="00231920"/>
    <w:rsid w:val="0023195C"/>
    <w:rsid w:val="00241E3A"/>
    <w:rsid w:val="0024282C"/>
    <w:rsid w:val="002460DC"/>
    <w:rsid w:val="00247432"/>
    <w:rsid w:val="00250985"/>
    <w:rsid w:val="002556F6"/>
    <w:rsid w:val="00262A7B"/>
    <w:rsid w:val="00273B77"/>
    <w:rsid w:val="00283105"/>
    <w:rsid w:val="00284C4C"/>
    <w:rsid w:val="00287E68"/>
    <w:rsid w:val="00296529"/>
    <w:rsid w:val="002A0B77"/>
    <w:rsid w:val="002A1BA9"/>
    <w:rsid w:val="002A7D9C"/>
    <w:rsid w:val="002B27FB"/>
    <w:rsid w:val="002B685A"/>
    <w:rsid w:val="002C57D2"/>
    <w:rsid w:val="002D1014"/>
    <w:rsid w:val="002E0D56"/>
    <w:rsid w:val="00300654"/>
    <w:rsid w:val="00315186"/>
    <w:rsid w:val="0033343E"/>
    <w:rsid w:val="003512C2"/>
    <w:rsid w:val="00353E6D"/>
    <w:rsid w:val="00371FB6"/>
    <w:rsid w:val="003763C1"/>
    <w:rsid w:val="00376BBE"/>
    <w:rsid w:val="0038511D"/>
    <w:rsid w:val="0039224F"/>
    <w:rsid w:val="003A2AEA"/>
    <w:rsid w:val="003A43A4"/>
    <w:rsid w:val="003A733C"/>
    <w:rsid w:val="003A7E18"/>
    <w:rsid w:val="003C4C86"/>
    <w:rsid w:val="003C6258"/>
    <w:rsid w:val="003D24B8"/>
    <w:rsid w:val="003E08FD"/>
    <w:rsid w:val="003E25A4"/>
    <w:rsid w:val="003E2904"/>
    <w:rsid w:val="003F346A"/>
    <w:rsid w:val="00401927"/>
    <w:rsid w:val="00407E9D"/>
    <w:rsid w:val="0041027F"/>
    <w:rsid w:val="00412161"/>
    <w:rsid w:val="00412475"/>
    <w:rsid w:val="00423789"/>
    <w:rsid w:val="00427548"/>
    <w:rsid w:val="00440F43"/>
    <w:rsid w:val="00441B6F"/>
    <w:rsid w:val="004439B0"/>
    <w:rsid w:val="00446221"/>
    <w:rsid w:val="00450E62"/>
    <w:rsid w:val="004539DB"/>
    <w:rsid w:val="004545E9"/>
    <w:rsid w:val="00457C6F"/>
    <w:rsid w:val="00460818"/>
    <w:rsid w:val="00471A80"/>
    <w:rsid w:val="00477F5C"/>
    <w:rsid w:val="00487FAB"/>
    <w:rsid w:val="004D305E"/>
    <w:rsid w:val="004D4277"/>
    <w:rsid w:val="00502516"/>
    <w:rsid w:val="00503E32"/>
    <w:rsid w:val="00505A2D"/>
    <w:rsid w:val="00505F06"/>
    <w:rsid w:val="00506828"/>
    <w:rsid w:val="00515D4D"/>
    <w:rsid w:val="0053056E"/>
    <w:rsid w:val="00551F45"/>
    <w:rsid w:val="00554FDA"/>
    <w:rsid w:val="00561A01"/>
    <w:rsid w:val="005800F7"/>
    <w:rsid w:val="005A700E"/>
    <w:rsid w:val="005A7EAD"/>
    <w:rsid w:val="005C784C"/>
    <w:rsid w:val="005D17F6"/>
    <w:rsid w:val="005E5539"/>
    <w:rsid w:val="005E6274"/>
    <w:rsid w:val="005F24AA"/>
    <w:rsid w:val="00602BF5"/>
    <w:rsid w:val="00617FDD"/>
    <w:rsid w:val="00623A6E"/>
    <w:rsid w:val="00633614"/>
    <w:rsid w:val="00633F68"/>
    <w:rsid w:val="00636EB2"/>
    <w:rsid w:val="006375B8"/>
    <w:rsid w:val="00644B52"/>
    <w:rsid w:val="006542C9"/>
    <w:rsid w:val="00655023"/>
    <w:rsid w:val="0066078E"/>
    <w:rsid w:val="0066510A"/>
    <w:rsid w:val="00673F9F"/>
    <w:rsid w:val="00686953"/>
    <w:rsid w:val="00687DEA"/>
    <w:rsid w:val="00687E67"/>
    <w:rsid w:val="006967F7"/>
    <w:rsid w:val="006A250C"/>
    <w:rsid w:val="006B21D3"/>
    <w:rsid w:val="006B57D0"/>
    <w:rsid w:val="006D30FF"/>
    <w:rsid w:val="006D6940"/>
    <w:rsid w:val="006F11EC"/>
    <w:rsid w:val="006F1D47"/>
    <w:rsid w:val="007004BC"/>
    <w:rsid w:val="0070082C"/>
    <w:rsid w:val="0070214F"/>
    <w:rsid w:val="00703723"/>
    <w:rsid w:val="0071171C"/>
    <w:rsid w:val="007260FC"/>
    <w:rsid w:val="00732F77"/>
    <w:rsid w:val="007369E6"/>
    <w:rsid w:val="00740155"/>
    <w:rsid w:val="00746E59"/>
    <w:rsid w:val="00754C9A"/>
    <w:rsid w:val="0075599A"/>
    <w:rsid w:val="00757AD1"/>
    <w:rsid w:val="00761D52"/>
    <w:rsid w:val="0077749E"/>
    <w:rsid w:val="00785046"/>
    <w:rsid w:val="00790ADA"/>
    <w:rsid w:val="007B3D73"/>
    <w:rsid w:val="007C008D"/>
    <w:rsid w:val="007D2288"/>
    <w:rsid w:val="007E088F"/>
    <w:rsid w:val="007F53B6"/>
    <w:rsid w:val="007F7B32"/>
    <w:rsid w:val="00804BC2"/>
    <w:rsid w:val="0081431A"/>
    <w:rsid w:val="00831743"/>
    <w:rsid w:val="0083216F"/>
    <w:rsid w:val="00860000"/>
    <w:rsid w:val="00863BD3"/>
    <w:rsid w:val="008641ED"/>
    <w:rsid w:val="00866D66"/>
    <w:rsid w:val="008671C6"/>
    <w:rsid w:val="00875803"/>
    <w:rsid w:val="00892476"/>
    <w:rsid w:val="008B459E"/>
    <w:rsid w:val="008E13AE"/>
    <w:rsid w:val="008E1506"/>
    <w:rsid w:val="008E710C"/>
    <w:rsid w:val="008F69D6"/>
    <w:rsid w:val="00902823"/>
    <w:rsid w:val="00915CA6"/>
    <w:rsid w:val="00927834"/>
    <w:rsid w:val="00940196"/>
    <w:rsid w:val="009500A6"/>
    <w:rsid w:val="0095170B"/>
    <w:rsid w:val="009541FD"/>
    <w:rsid w:val="00957C18"/>
    <w:rsid w:val="009630C1"/>
    <w:rsid w:val="009659BA"/>
    <w:rsid w:val="0096681C"/>
    <w:rsid w:val="00983040"/>
    <w:rsid w:val="009B3FB9"/>
    <w:rsid w:val="009B6DF8"/>
    <w:rsid w:val="009C2465"/>
    <w:rsid w:val="009D35A0"/>
    <w:rsid w:val="009D4BB0"/>
    <w:rsid w:val="009D7EB7"/>
    <w:rsid w:val="009E048A"/>
    <w:rsid w:val="009E08E9"/>
    <w:rsid w:val="009E3DB9"/>
    <w:rsid w:val="009E6E35"/>
    <w:rsid w:val="009F0EDA"/>
    <w:rsid w:val="00A03B96"/>
    <w:rsid w:val="00A05B19"/>
    <w:rsid w:val="00A1134E"/>
    <w:rsid w:val="00A172DD"/>
    <w:rsid w:val="00A24E7E"/>
    <w:rsid w:val="00A258C3"/>
    <w:rsid w:val="00A347C0"/>
    <w:rsid w:val="00A36E88"/>
    <w:rsid w:val="00A51431"/>
    <w:rsid w:val="00A539AD"/>
    <w:rsid w:val="00A64569"/>
    <w:rsid w:val="00A82296"/>
    <w:rsid w:val="00A94063"/>
    <w:rsid w:val="00AA6219"/>
    <w:rsid w:val="00AA74E0"/>
    <w:rsid w:val="00AB703F"/>
    <w:rsid w:val="00AC6BB8"/>
    <w:rsid w:val="00AD3C4C"/>
    <w:rsid w:val="00AE008F"/>
    <w:rsid w:val="00AE1257"/>
    <w:rsid w:val="00AE1F16"/>
    <w:rsid w:val="00AF287F"/>
    <w:rsid w:val="00AF7C38"/>
    <w:rsid w:val="00B01FCD"/>
    <w:rsid w:val="00B0221F"/>
    <w:rsid w:val="00B1776C"/>
    <w:rsid w:val="00B50F75"/>
    <w:rsid w:val="00B52583"/>
    <w:rsid w:val="00B52896"/>
    <w:rsid w:val="00B75751"/>
    <w:rsid w:val="00B95236"/>
    <w:rsid w:val="00B96BD9"/>
    <w:rsid w:val="00BA1B01"/>
    <w:rsid w:val="00BA2641"/>
    <w:rsid w:val="00BA6E49"/>
    <w:rsid w:val="00BB37AA"/>
    <w:rsid w:val="00BC53A0"/>
    <w:rsid w:val="00BC552B"/>
    <w:rsid w:val="00BE62AD"/>
    <w:rsid w:val="00BF121F"/>
    <w:rsid w:val="00BF1F80"/>
    <w:rsid w:val="00C02333"/>
    <w:rsid w:val="00C166EF"/>
    <w:rsid w:val="00C17EB0"/>
    <w:rsid w:val="00C25470"/>
    <w:rsid w:val="00C27F5F"/>
    <w:rsid w:val="00C30A0F"/>
    <w:rsid w:val="00C37E61"/>
    <w:rsid w:val="00C455D4"/>
    <w:rsid w:val="00C63C22"/>
    <w:rsid w:val="00C6724A"/>
    <w:rsid w:val="00C67625"/>
    <w:rsid w:val="00C70F1B"/>
    <w:rsid w:val="00C71A47"/>
    <w:rsid w:val="00C7464C"/>
    <w:rsid w:val="00C85588"/>
    <w:rsid w:val="00CC2455"/>
    <w:rsid w:val="00CD13AB"/>
    <w:rsid w:val="00CD297D"/>
    <w:rsid w:val="00CD6755"/>
    <w:rsid w:val="00CD6856"/>
    <w:rsid w:val="00CE0089"/>
    <w:rsid w:val="00CE2792"/>
    <w:rsid w:val="00CE793C"/>
    <w:rsid w:val="00CF193C"/>
    <w:rsid w:val="00D10FA4"/>
    <w:rsid w:val="00D173F1"/>
    <w:rsid w:val="00D24D23"/>
    <w:rsid w:val="00D42F77"/>
    <w:rsid w:val="00D60C02"/>
    <w:rsid w:val="00D62C36"/>
    <w:rsid w:val="00D74CB0"/>
    <w:rsid w:val="00D8295D"/>
    <w:rsid w:val="00D86785"/>
    <w:rsid w:val="00DC2A65"/>
    <w:rsid w:val="00DE15F0"/>
    <w:rsid w:val="00DE5663"/>
    <w:rsid w:val="00DE78AA"/>
    <w:rsid w:val="00E053D0"/>
    <w:rsid w:val="00E15994"/>
    <w:rsid w:val="00E17A9F"/>
    <w:rsid w:val="00E3114E"/>
    <w:rsid w:val="00E31A70"/>
    <w:rsid w:val="00E35B02"/>
    <w:rsid w:val="00E371C6"/>
    <w:rsid w:val="00E42B69"/>
    <w:rsid w:val="00E54EF2"/>
    <w:rsid w:val="00E66496"/>
    <w:rsid w:val="00E66B35"/>
    <w:rsid w:val="00E66E10"/>
    <w:rsid w:val="00E769F6"/>
    <w:rsid w:val="00E8407C"/>
    <w:rsid w:val="00E84F3C"/>
    <w:rsid w:val="00E95476"/>
    <w:rsid w:val="00EA012C"/>
    <w:rsid w:val="00EC553B"/>
    <w:rsid w:val="00EC6A55"/>
    <w:rsid w:val="00ED0288"/>
    <w:rsid w:val="00ED1F77"/>
    <w:rsid w:val="00EE52CB"/>
    <w:rsid w:val="00EF581D"/>
    <w:rsid w:val="00EF7FD8"/>
    <w:rsid w:val="00F06F59"/>
    <w:rsid w:val="00F17988"/>
    <w:rsid w:val="00F17D8F"/>
    <w:rsid w:val="00F4518E"/>
    <w:rsid w:val="00F469F0"/>
    <w:rsid w:val="00F50C71"/>
    <w:rsid w:val="00F53273"/>
    <w:rsid w:val="00F755E4"/>
    <w:rsid w:val="00F77D02"/>
    <w:rsid w:val="00FB00C8"/>
    <w:rsid w:val="00FB3A86"/>
    <w:rsid w:val="00FC2821"/>
    <w:rsid w:val="00FD36C8"/>
    <w:rsid w:val="00FF2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41E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41E3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41E3A"/>
    <w:rPr>
      <w:b/>
      <w:bCs/>
    </w:rPr>
  </w:style>
  <w:style w:type="paragraph" w:styleId="NormalWeb">
    <w:name w:val="Normal (Web)"/>
    <w:basedOn w:val="Normal"/>
    <w:uiPriority w:val="99"/>
    <w:unhideWhenUsed/>
    <w:rsid w:val="00785046"/>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5800F7"/>
    <w:rPr>
      <w:rFonts w:ascii="Helvetica" w:hAnsi="Helvetica"/>
    </w:rPr>
  </w:style>
  <w:style w:type="paragraph" w:styleId="ListParagraph">
    <w:name w:val="List Paragraph"/>
    <w:basedOn w:val="Normal"/>
    <w:uiPriority w:val="34"/>
    <w:qFormat/>
    <w:rsid w:val="003A2AEA"/>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353E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722034">
      <w:bodyDiv w:val="1"/>
      <w:marLeft w:val="0"/>
      <w:marRight w:val="0"/>
      <w:marTop w:val="0"/>
      <w:marBottom w:val="0"/>
      <w:divBdr>
        <w:top w:val="none" w:sz="0" w:space="0" w:color="auto"/>
        <w:left w:val="none" w:sz="0" w:space="0" w:color="auto"/>
        <w:bottom w:val="none" w:sz="0" w:space="0" w:color="auto"/>
        <w:right w:val="none" w:sz="0" w:space="0" w:color="auto"/>
      </w:divBdr>
    </w:div>
    <w:div w:id="123470726">
      <w:bodyDiv w:val="1"/>
      <w:marLeft w:val="0"/>
      <w:marRight w:val="0"/>
      <w:marTop w:val="0"/>
      <w:marBottom w:val="0"/>
      <w:divBdr>
        <w:top w:val="none" w:sz="0" w:space="0" w:color="auto"/>
        <w:left w:val="none" w:sz="0" w:space="0" w:color="auto"/>
        <w:bottom w:val="none" w:sz="0" w:space="0" w:color="auto"/>
        <w:right w:val="none" w:sz="0" w:space="0" w:color="auto"/>
      </w:divBdr>
      <w:divsChild>
        <w:div w:id="367993235">
          <w:marLeft w:val="0"/>
          <w:marRight w:val="0"/>
          <w:marTop w:val="0"/>
          <w:marBottom w:val="0"/>
          <w:divBdr>
            <w:top w:val="none" w:sz="0" w:space="0" w:color="auto"/>
            <w:left w:val="none" w:sz="0" w:space="0" w:color="auto"/>
            <w:bottom w:val="none" w:sz="0" w:space="0" w:color="auto"/>
            <w:right w:val="none" w:sz="0" w:space="0" w:color="auto"/>
          </w:divBdr>
        </w:div>
      </w:divsChild>
    </w:div>
    <w:div w:id="133185432">
      <w:bodyDiv w:val="1"/>
      <w:marLeft w:val="0"/>
      <w:marRight w:val="0"/>
      <w:marTop w:val="0"/>
      <w:marBottom w:val="0"/>
      <w:divBdr>
        <w:top w:val="none" w:sz="0" w:space="0" w:color="auto"/>
        <w:left w:val="none" w:sz="0" w:space="0" w:color="auto"/>
        <w:bottom w:val="none" w:sz="0" w:space="0" w:color="auto"/>
        <w:right w:val="none" w:sz="0" w:space="0" w:color="auto"/>
      </w:divBdr>
      <w:divsChild>
        <w:div w:id="474183979">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9144244">
      <w:bodyDiv w:val="1"/>
      <w:marLeft w:val="0"/>
      <w:marRight w:val="0"/>
      <w:marTop w:val="0"/>
      <w:marBottom w:val="0"/>
      <w:divBdr>
        <w:top w:val="none" w:sz="0" w:space="0" w:color="auto"/>
        <w:left w:val="none" w:sz="0" w:space="0" w:color="auto"/>
        <w:bottom w:val="none" w:sz="0" w:space="0" w:color="auto"/>
        <w:right w:val="none" w:sz="0" w:space="0" w:color="auto"/>
      </w:divBdr>
    </w:div>
    <w:div w:id="2611886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0854719">
      <w:bodyDiv w:val="1"/>
      <w:marLeft w:val="0"/>
      <w:marRight w:val="0"/>
      <w:marTop w:val="0"/>
      <w:marBottom w:val="0"/>
      <w:divBdr>
        <w:top w:val="none" w:sz="0" w:space="0" w:color="auto"/>
        <w:left w:val="none" w:sz="0" w:space="0" w:color="auto"/>
        <w:bottom w:val="none" w:sz="0" w:space="0" w:color="auto"/>
        <w:right w:val="none" w:sz="0" w:space="0" w:color="auto"/>
      </w:divBdr>
    </w:div>
    <w:div w:id="871503412">
      <w:bodyDiv w:val="1"/>
      <w:marLeft w:val="0"/>
      <w:marRight w:val="0"/>
      <w:marTop w:val="0"/>
      <w:marBottom w:val="0"/>
      <w:divBdr>
        <w:top w:val="none" w:sz="0" w:space="0" w:color="auto"/>
        <w:left w:val="none" w:sz="0" w:space="0" w:color="auto"/>
        <w:bottom w:val="none" w:sz="0" w:space="0" w:color="auto"/>
        <w:right w:val="none" w:sz="0" w:space="0" w:color="auto"/>
      </w:divBdr>
    </w:div>
    <w:div w:id="900754081">
      <w:bodyDiv w:val="1"/>
      <w:marLeft w:val="0"/>
      <w:marRight w:val="0"/>
      <w:marTop w:val="0"/>
      <w:marBottom w:val="0"/>
      <w:divBdr>
        <w:top w:val="none" w:sz="0" w:space="0" w:color="auto"/>
        <w:left w:val="none" w:sz="0" w:space="0" w:color="auto"/>
        <w:bottom w:val="none" w:sz="0" w:space="0" w:color="auto"/>
        <w:right w:val="none" w:sz="0" w:space="0" w:color="auto"/>
      </w:divBdr>
    </w:div>
    <w:div w:id="9662750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407370">
      <w:bodyDiv w:val="1"/>
      <w:marLeft w:val="0"/>
      <w:marRight w:val="0"/>
      <w:marTop w:val="0"/>
      <w:marBottom w:val="0"/>
      <w:divBdr>
        <w:top w:val="none" w:sz="0" w:space="0" w:color="auto"/>
        <w:left w:val="none" w:sz="0" w:space="0" w:color="auto"/>
        <w:bottom w:val="none" w:sz="0" w:space="0" w:color="auto"/>
        <w:right w:val="none" w:sz="0" w:space="0" w:color="auto"/>
      </w:divBdr>
    </w:div>
    <w:div w:id="994914445">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580674">
      <w:bodyDiv w:val="1"/>
      <w:marLeft w:val="0"/>
      <w:marRight w:val="0"/>
      <w:marTop w:val="0"/>
      <w:marBottom w:val="0"/>
      <w:divBdr>
        <w:top w:val="none" w:sz="0" w:space="0" w:color="auto"/>
        <w:left w:val="none" w:sz="0" w:space="0" w:color="auto"/>
        <w:bottom w:val="none" w:sz="0" w:space="0" w:color="auto"/>
        <w:right w:val="none" w:sz="0" w:space="0" w:color="auto"/>
      </w:divBdr>
      <w:divsChild>
        <w:div w:id="6566150">
          <w:marLeft w:val="0"/>
          <w:marRight w:val="0"/>
          <w:marTop w:val="0"/>
          <w:marBottom w:val="0"/>
          <w:divBdr>
            <w:top w:val="none" w:sz="0" w:space="0" w:color="auto"/>
            <w:left w:val="none" w:sz="0" w:space="0" w:color="auto"/>
            <w:bottom w:val="none" w:sz="0" w:space="0" w:color="auto"/>
            <w:right w:val="none" w:sz="0" w:space="0" w:color="auto"/>
          </w:divBdr>
        </w:div>
      </w:divsChild>
    </w:div>
    <w:div w:id="1288926093">
      <w:bodyDiv w:val="1"/>
      <w:marLeft w:val="0"/>
      <w:marRight w:val="0"/>
      <w:marTop w:val="0"/>
      <w:marBottom w:val="0"/>
      <w:divBdr>
        <w:top w:val="none" w:sz="0" w:space="0" w:color="auto"/>
        <w:left w:val="none" w:sz="0" w:space="0" w:color="auto"/>
        <w:bottom w:val="none" w:sz="0" w:space="0" w:color="auto"/>
        <w:right w:val="none" w:sz="0" w:space="0" w:color="auto"/>
      </w:divBdr>
    </w:div>
    <w:div w:id="1324310625">
      <w:bodyDiv w:val="1"/>
      <w:marLeft w:val="0"/>
      <w:marRight w:val="0"/>
      <w:marTop w:val="0"/>
      <w:marBottom w:val="0"/>
      <w:divBdr>
        <w:top w:val="none" w:sz="0" w:space="0" w:color="auto"/>
        <w:left w:val="none" w:sz="0" w:space="0" w:color="auto"/>
        <w:bottom w:val="none" w:sz="0" w:space="0" w:color="auto"/>
        <w:right w:val="none" w:sz="0" w:space="0" w:color="auto"/>
      </w:divBdr>
    </w:div>
    <w:div w:id="1324889604">
      <w:bodyDiv w:val="1"/>
      <w:marLeft w:val="0"/>
      <w:marRight w:val="0"/>
      <w:marTop w:val="0"/>
      <w:marBottom w:val="0"/>
      <w:divBdr>
        <w:top w:val="none" w:sz="0" w:space="0" w:color="auto"/>
        <w:left w:val="none" w:sz="0" w:space="0" w:color="auto"/>
        <w:bottom w:val="none" w:sz="0" w:space="0" w:color="auto"/>
        <w:right w:val="none" w:sz="0" w:space="0" w:color="auto"/>
      </w:divBdr>
    </w:div>
    <w:div w:id="16797674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84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8274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28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FOODPOL.2020.101982" TargetMode="External"/><Relationship Id="rId26" Type="http://schemas.openxmlformats.org/officeDocument/2006/relationships/hyperlink" Target="https://doi.org/10.1136/BMJ.314.7093.1545" TargetMode="External"/><Relationship Id="rId3" Type="http://schemas.openxmlformats.org/officeDocument/2006/relationships/styles" Target="styles.xml"/><Relationship Id="rId21" Type="http://schemas.openxmlformats.org/officeDocument/2006/relationships/hyperlink" Target="https://doi.org/10.26656/fr.2017.8(S6).10"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93/CDN/NZAA169" TargetMode="External"/><Relationship Id="rId25" Type="http://schemas.openxmlformats.org/officeDocument/2006/relationships/hyperlink" Target="https://doi.org/10.1146/annurev-publhealth-031816-044604"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093/NUTRIT/NUV027" TargetMode="External"/><Relationship Id="rId20" Type="http://schemas.openxmlformats.org/officeDocument/2006/relationships/hyperlink" Target="https://doi.org/10.1177/0379572120920061" TargetMode="External"/><Relationship Id="rId29" Type="http://schemas.openxmlformats.org/officeDocument/2006/relationships/hyperlink" Target="https://doi.org/10.3389/FPUBH.2021.696789/BIBT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140-6736(13)60843-0/ATTACHMENT/C6193216-9BD2-45E0-915E-8D56FBB4A411/MMC1.PDF"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1753-6405.12158" TargetMode="External"/><Relationship Id="rId23" Type="http://schemas.openxmlformats.org/officeDocument/2006/relationships/hyperlink" Target="https://doi.org/10.1186/S40795-017-0136-4/FIGURES/6" TargetMode="External"/><Relationship Id="rId28" Type="http://schemas.openxmlformats.org/officeDocument/2006/relationships/hyperlink" Target="https://doi.org/10.3945/JN.109.110536"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9734/EJNFS/2019/v10i130093" TargetMode="External"/><Relationship Id="rId31" Type="http://schemas.openxmlformats.org/officeDocument/2006/relationships/hyperlink" Target="https://doi.org/10.1016/J.GFS.2024.1007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945/AJCN.114.104380" TargetMode="External"/><Relationship Id="rId27" Type="http://schemas.openxmlformats.org/officeDocument/2006/relationships/hyperlink" Target="https://doi.org/10.1111/MCN.12080;PAGEGROUP:STRING:PUBLICATION" TargetMode="External"/><Relationship Id="rId30" Type="http://schemas.openxmlformats.org/officeDocument/2006/relationships/hyperlink" Target="https://doi.org/10.1080/03670244.2020.1789865" TargetMode="Externa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9975-6454-4C35-880F-B3B8F86F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14</Pages>
  <Words>4741</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SUSHMITA ACHARYA</cp:lastModifiedBy>
  <cp:revision>3</cp:revision>
  <cp:lastPrinted>1999-07-06T11:00:00Z</cp:lastPrinted>
  <dcterms:created xsi:type="dcterms:W3CDTF">2025-06-23T16:20:00Z</dcterms:created>
  <dcterms:modified xsi:type="dcterms:W3CDTF">2025-06-24T00:04:00Z</dcterms:modified>
</cp:coreProperties>
</file>