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9F" w:rsidRDefault="001B33A4" w:rsidP="00CA32E3">
      <w:pPr>
        <w:pStyle w:val="NormalWeb"/>
        <w:jc w:val="center"/>
        <w:rPr>
          <w:b/>
          <w:lang w:val="en-GB"/>
        </w:rPr>
      </w:pPr>
      <w:r w:rsidRPr="001B33A4">
        <w:rPr>
          <w:b/>
          <w:lang w:val="en-GB"/>
        </w:rPr>
        <w:t xml:space="preserve">Investigating the Impact of Food Fortification on </w:t>
      </w:r>
      <w:r>
        <w:rPr>
          <w:b/>
          <w:lang w:val="en-GB"/>
        </w:rPr>
        <w:t>Micro-nutrient Content a</w:t>
      </w:r>
      <w:r w:rsidRPr="001B33A4">
        <w:rPr>
          <w:b/>
          <w:lang w:val="en-GB"/>
        </w:rPr>
        <w:t>mong Internally Displaced Children in Northeast Nigeria</w:t>
      </w:r>
    </w:p>
    <w:p w:rsidR="00357563" w:rsidRDefault="00357563" w:rsidP="00357563">
      <w:pPr>
        <w:pStyle w:val="NormalWeb"/>
        <w:jc w:val="center"/>
        <w:rPr>
          <w:rStyle w:val="Strong"/>
        </w:rPr>
      </w:pPr>
      <w:r>
        <w:rPr>
          <w:rStyle w:val="Strong"/>
        </w:rPr>
        <w:t>BY</w:t>
      </w:r>
    </w:p>
    <w:p w:rsidR="006C241B" w:rsidRDefault="006C241B" w:rsidP="006C241B">
      <w:pPr>
        <w:pStyle w:val="NormalWeb"/>
        <w:jc w:val="center"/>
      </w:pPr>
      <w:bookmarkStart w:id="0" w:name="_GoBack"/>
      <w:bookmarkEnd w:id="0"/>
      <w:r>
        <w:rPr>
          <w:rStyle w:val="Strong"/>
        </w:rPr>
        <w:t>Abstract</w:t>
      </w:r>
    </w:p>
    <w:p w:rsidR="00665B2E" w:rsidRDefault="00665B2E" w:rsidP="00665B2E">
      <w:pPr>
        <w:pStyle w:val="NormalWeb"/>
        <w:jc w:val="both"/>
      </w:pPr>
      <w:r>
        <w:t>Micronutrient deficiencies remain a critical public health concern among internally displaced children (IDCs) in Northeast Nigeria, exacerbated by prolonged conflict, food insecurity, and inade</w:t>
      </w:r>
      <w:r w:rsidR="00935983">
        <w:t>quate nutrition. This study aim</w:t>
      </w:r>
      <w:r>
        <w:t>ed to assess the effectiveness of food fortification interventions in reducing the prevalence of key micronutrient deficiencies specifically iron, vitamin A, iodine, and zinc am</w:t>
      </w:r>
      <w:r w:rsidR="00A54027">
        <w:t>ong children aged 6 months to 15</w:t>
      </w:r>
      <w:r>
        <w:t xml:space="preserve"> years residing in IDP camps. A quasi-experimental research design was employed, comparing baseline and post-intervention nutritional status data over a six-month period. The study population consisted of 600 children selected through stratified random sampling across three major IDP camps in </w:t>
      </w:r>
      <w:proofErr w:type="spellStart"/>
      <w:r>
        <w:t>Borno</w:t>
      </w:r>
      <w:proofErr w:type="spellEnd"/>
      <w:r>
        <w:t xml:space="preserve">, </w:t>
      </w:r>
      <w:proofErr w:type="spellStart"/>
      <w:r>
        <w:t>Yobe</w:t>
      </w:r>
      <w:proofErr w:type="spellEnd"/>
      <w:r>
        <w:t xml:space="preserve">, and Adamawa states. Data were collected through biochemical assessments (e.g., blood and urine samples), dietary intake surveys, and health records. Standard anthropometric measurements were also taken to monitor growth and development. Quantitative data were analyzed using </w:t>
      </w:r>
      <w:r w:rsidRPr="00665B2E">
        <w:rPr>
          <w:rStyle w:val="Strong"/>
          <w:b w:val="0"/>
        </w:rPr>
        <w:t>SPSS</w:t>
      </w:r>
      <w:r>
        <w:t xml:space="preserve"> and </w:t>
      </w:r>
      <w:r w:rsidRPr="00665B2E">
        <w:rPr>
          <w:rStyle w:val="Strong"/>
          <w:b w:val="0"/>
        </w:rPr>
        <w:t>STATA</w:t>
      </w:r>
      <w:r>
        <w:t>, applying descriptive statistics, paired sample t-tests, and analysis of covariance (ANCOVA) to determine the impact of fortified food consumption on micronutrient status. Multivariate regression models further identified predictors of improved nutritional outcomes. The study’s findings would provide evidence-based insights into the role of fortified foods in addressing child malnutrition in emergency settings and inform future nutrition and health policy interventions in Nigeria’s humanitarian contexts.</w:t>
      </w:r>
    </w:p>
    <w:p w:rsidR="00665B2E" w:rsidRDefault="00665B2E" w:rsidP="00665B2E">
      <w:pPr>
        <w:pStyle w:val="NormalWeb"/>
      </w:pPr>
      <w:r>
        <w:rPr>
          <w:rStyle w:val="Strong"/>
        </w:rPr>
        <w:t>Keywords:</w:t>
      </w:r>
      <w:r>
        <w:t xml:space="preserve"> Food fortification</w:t>
      </w:r>
      <w:r w:rsidR="00A54027">
        <w:t>, Internally</w:t>
      </w:r>
      <w:r>
        <w:t xml:space="preserve"> displaced children,</w:t>
      </w:r>
      <w:r w:rsidR="00EB0C80">
        <w:t xml:space="preserve"> </w:t>
      </w:r>
      <w:r>
        <w:t xml:space="preserve">Micronutrient </w:t>
      </w:r>
      <w:proofErr w:type="gramStart"/>
      <w:r>
        <w:t>deficiency,  Northeast</w:t>
      </w:r>
      <w:proofErr w:type="gramEnd"/>
      <w:r>
        <w:t xml:space="preserve"> Nigeria, Public health nutrition.</w:t>
      </w:r>
    </w:p>
    <w:p w:rsidR="00665B2E" w:rsidRDefault="00665B2E" w:rsidP="006C241B">
      <w:pPr>
        <w:spacing w:before="100" w:beforeAutospacing="1" w:after="100" w:afterAutospacing="1" w:line="240" w:lineRule="auto"/>
        <w:rPr>
          <w:rFonts w:ascii="Times New Roman" w:eastAsia="Times New Roman" w:hAnsi="Times New Roman" w:cs="Times New Roman"/>
          <w:b/>
          <w:bCs/>
          <w:sz w:val="24"/>
          <w:szCs w:val="24"/>
        </w:rPr>
      </w:pPr>
    </w:p>
    <w:p w:rsidR="00B443BC" w:rsidRDefault="00B443BC" w:rsidP="006C241B">
      <w:pPr>
        <w:spacing w:before="100" w:beforeAutospacing="1" w:after="100" w:afterAutospacing="1" w:line="240" w:lineRule="auto"/>
        <w:rPr>
          <w:rFonts w:ascii="Times New Roman" w:eastAsia="Times New Roman" w:hAnsi="Times New Roman" w:cs="Times New Roman"/>
          <w:b/>
          <w:bCs/>
          <w:sz w:val="24"/>
          <w:szCs w:val="24"/>
        </w:rPr>
      </w:pPr>
    </w:p>
    <w:p w:rsidR="00665B2E" w:rsidRDefault="006C241B" w:rsidP="00665B2E">
      <w:pPr>
        <w:pStyle w:val="ListParagraph"/>
        <w:numPr>
          <w:ilvl w:val="0"/>
          <w:numId w:val="18"/>
        </w:numPr>
        <w:spacing w:before="100" w:beforeAutospacing="1" w:after="100" w:afterAutospacing="1" w:line="240" w:lineRule="auto"/>
        <w:rPr>
          <w:rFonts w:ascii="Times New Roman" w:eastAsia="Times New Roman" w:hAnsi="Times New Roman" w:cs="Times New Roman"/>
          <w:b/>
          <w:bCs/>
          <w:sz w:val="24"/>
          <w:szCs w:val="24"/>
        </w:rPr>
      </w:pPr>
      <w:r w:rsidRPr="00665B2E">
        <w:rPr>
          <w:rFonts w:ascii="Times New Roman" w:eastAsia="Times New Roman" w:hAnsi="Times New Roman" w:cs="Times New Roman"/>
          <w:b/>
          <w:bCs/>
          <w:sz w:val="24"/>
          <w:szCs w:val="24"/>
        </w:rPr>
        <w:t>Introduction</w:t>
      </w:r>
    </w:p>
    <w:p w:rsidR="00665B2E" w:rsidRPr="00665B2E" w:rsidRDefault="00665B2E" w:rsidP="00665B2E">
      <w:pPr>
        <w:spacing w:before="100" w:beforeAutospacing="1" w:after="100" w:afterAutospacing="1" w:line="480" w:lineRule="auto"/>
        <w:jc w:val="both"/>
        <w:rPr>
          <w:rFonts w:ascii="Times New Roman" w:eastAsia="Times New Roman" w:hAnsi="Times New Roman" w:cs="Times New Roman"/>
          <w:b/>
          <w:bCs/>
          <w:sz w:val="24"/>
          <w:szCs w:val="24"/>
        </w:rPr>
      </w:pPr>
      <w:r w:rsidRPr="00665B2E">
        <w:rPr>
          <w:rFonts w:ascii="Times New Roman" w:hAnsi="Times New Roman" w:cs="Times New Roman"/>
          <w:sz w:val="24"/>
          <w:szCs w:val="24"/>
        </w:rPr>
        <w:t xml:space="preserve">Micronutrient deficiencies are a significant public health concern in Nigeria, particularly among internally displaced children (IDCs) in the Northeast region. The ongoing Boko Haram insurgency and other violent conflicts have led to widespread displacement, disrupting food systems and increasing reliance on humanitarian food aid, which often lacks adequate micronutrient content (UNICEF, n.d.). Nigeria currently ranks among the countries with the highest burden of child malnutrition globally, with stunting affecting approximately 32% of </w:t>
      </w:r>
      <w:r w:rsidRPr="00665B2E">
        <w:rPr>
          <w:rFonts w:ascii="Times New Roman" w:hAnsi="Times New Roman" w:cs="Times New Roman"/>
          <w:sz w:val="24"/>
          <w:szCs w:val="24"/>
        </w:rPr>
        <w:lastRenderedPageBreak/>
        <w:t>children under five years old (</w:t>
      </w:r>
      <w:hyperlink r:id="rId7" w:tgtFrame="_new" w:history="1">
        <w:r w:rsidRPr="00665B2E">
          <w:rPr>
            <w:rStyle w:val="Hyperlink"/>
            <w:rFonts w:ascii="Times New Roman" w:hAnsi="Times New Roman" w:cs="Times New Roman"/>
            <w:color w:val="auto"/>
            <w:sz w:val="24"/>
            <w:szCs w:val="24"/>
            <w:u w:val="none"/>
          </w:rPr>
          <w:t>UNICEF, n.d.</w:t>
        </w:r>
      </w:hyperlink>
      <w:r w:rsidRPr="00665B2E">
        <w:rPr>
          <w:rFonts w:ascii="Times New Roman" w:hAnsi="Times New Roman" w:cs="Times New Roman"/>
          <w:sz w:val="24"/>
          <w:szCs w:val="24"/>
        </w:rPr>
        <w:t xml:space="preserve">). In IDP camps across </w:t>
      </w:r>
      <w:proofErr w:type="spellStart"/>
      <w:r w:rsidRPr="00665B2E">
        <w:rPr>
          <w:rFonts w:ascii="Times New Roman" w:hAnsi="Times New Roman" w:cs="Times New Roman"/>
          <w:sz w:val="24"/>
          <w:szCs w:val="24"/>
        </w:rPr>
        <w:t>Borno</w:t>
      </w:r>
      <w:proofErr w:type="spellEnd"/>
      <w:r w:rsidRPr="00665B2E">
        <w:rPr>
          <w:rFonts w:ascii="Times New Roman" w:hAnsi="Times New Roman" w:cs="Times New Roman"/>
          <w:sz w:val="24"/>
          <w:szCs w:val="24"/>
        </w:rPr>
        <w:t xml:space="preserve">, </w:t>
      </w:r>
      <w:proofErr w:type="spellStart"/>
      <w:r w:rsidRPr="00665B2E">
        <w:rPr>
          <w:rFonts w:ascii="Times New Roman" w:hAnsi="Times New Roman" w:cs="Times New Roman"/>
          <w:sz w:val="24"/>
          <w:szCs w:val="24"/>
        </w:rPr>
        <w:t>Yobe</w:t>
      </w:r>
      <w:proofErr w:type="spellEnd"/>
      <w:r w:rsidRPr="00665B2E">
        <w:rPr>
          <w:rFonts w:ascii="Times New Roman" w:hAnsi="Times New Roman" w:cs="Times New Roman"/>
          <w:sz w:val="24"/>
          <w:szCs w:val="24"/>
        </w:rPr>
        <w:t>, and Adamawa states, malnutrition prevalence among children is alarmingly high, with some reports documenting acute malnutrition rates exceeding 50% (</w:t>
      </w:r>
      <w:hyperlink r:id="rId8" w:tgtFrame="_new" w:history="1">
        <w:r w:rsidRPr="00665B2E">
          <w:rPr>
            <w:rStyle w:val="Hyperlink"/>
            <w:rFonts w:ascii="Times New Roman" w:hAnsi="Times New Roman" w:cs="Times New Roman"/>
            <w:color w:val="auto"/>
            <w:sz w:val="24"/>
            <w:szCs w:val="24"/>
            <w:u w:val="none"/>
          </w:rPr>
          <w:t>ScienceDirect, 2024</w:t>
        </w:r>
      </w:hyperlink>
      <w:r w:rsidRPr="00665B2E">
        <w:rPr>
          <w:rFonts w:ascii="Times New Roman" w:hAnsi="Times New Roman" w:cs="Times New Roman"/>
          <w:sz w:val="24"/>
          <w:szCs w:val="24"/>
        </w:rPr>
        <w:t>).</w:t>
      </w:r>
    </w:p>
    <w:p w:rsidR="00665B2E" w:rsidRPr="00665B2E" w:rsidRDefault="00665B2E" w:rsidP="00665B2E">
      <w:pPr>
        <w:pStyle w:val="NormalWeb"/>
        <w:spacing w:line="480" w:lineRule="auto"/>
        <w:jc w:val="both"/>
      </w:pPr>
      <w:r w:rsidRPr="00665B2E">
        <w:t>Food fortification has been widely acknowledged as a cost-effective and scalable strategy for combating micronutrient deficiencies, especially in vulnerable populations (Wikipedia, n.d.). The World Health Organization (WHO) supports food fortification as an essential intervention to improve health outcomes by increasing access to vital nutrients such as iron, vitamin A, iodine, and zinc through commonly consumed food items. In Nigeria, policy efforts have focused on fortifying staple foods and condiments. A notable example is the recent national adoption of multiple micronutrient-fortified bouillon cube standards, which aims to address widespread nutritional gaps (UC Davis, 2024). Studies suggest that fortified bouillon cubes, when consumed consistently, can help reduce inadequacies in essential micronutrients like vitamin A, zinc, and folate among children and women (</w:t>
      </w:r>
      <w:hyperlink r:id="rId9" w:tgtFrame="_new" w:history="1">
        <w:r w:rsidRPr="00665B2E">
          <w:rPr>
            <w:rStyle w:val="Hyperlink"/>
            <w:color w:val="auto"/>
            <w:u w:val="none"/>
          </w:rPr>
          <w:t>PubMed, 2024</w:t>
        </w:r>
      </w:hyperlink>
      <w:r w:rsidRPr="00665B2E">
        <w:t>).</w:t>
      </w:r>
    </w:p>
    <w:p w:rsidR="00665B2E" w:rsidRPr="00665B2E" w:rsidRDefault="00665B2E" w:rsidP="00216023">
      <w:pPr>
        <w:pStyle w:val="NormalWeb"/>
        <w:spacing w:line="480" w:lineRule="auto"/>
        <w:jc w:val="both"/>
      </w:pPr>
      <w:r w:rsidRPr="00665B2E">
        <w:t>Despite these national fortification initiatives, there is a scarcity of empirical data evaluating their impact within displaced populations. Given the unique vulnerabilities of IDCs—characterized by disrupted feeding patterns, lack of dietary diversity, a</w:t>
      </w:r>
      <w:r>
        <w:t xml:space="preserve">nd limited access to healthcare </w:t>
      </w:r>
      <w:r w:rsidRPr="00665B2E">
        <w:t>this study seeks to investigate the specific impact of food fortification on micronutrient deficiencies among internally displaced children in Northeast Nigeria. A quasi-expe</w:t>
      </w:r>
      <w:r w:rsidR="00216023">
        <w:t>rimental research design was</w:t>
      </w:r>
      <w:r w:rsidRPr="00665B2E">
        <w:t xml:space="preserve"> employed, involving baseline and post-intervention nutritional assessments</w:t>
      </w:r>
      <w:r w:rsidR="00216023">
        <w:t>. Data were</w:t>
      </w:r>
      <w:r w:rsidRPr="00665B2E">
        <w:t xml:space="preserve"> collected through biochemical tests, dietary intake surveys, and anthropometric measurements. Statistical analysis using </w:t>
      </w:r>
      <w:r w:rsidRPr="00665B2E">
        <w:rPr>
          <w:rStyle w:val="Strong"/>
          <w:b w:val="0"/>
        </w:rPr>
        <w:t>SPSS</w:t>
      </w:r>
      <w:r w:rsidRPr="00665B2E">
        <w:t xml:space="preserve"> and </w:t>
      </w:r>
      <w:r w:rsidRPr="00665B2E">
        <w:rPr>
          <w:rStyle w:val="Strong"/>
          <w:b w:val="0"/>
        </w:rPr>
        <w:t>STATA</w:t>
      </w:r>
      <w:r w:rsidR="00216023">
        <w:t xml:space="preserve"> was adopted to</w:t>
      </w:r>
      <w:r w:rsidRPr="00665B2E">
        <w:t xml:space="preserve"> enable the examination of the effectiveness of fortified foods in improving micronutrient status, </w:t>
      </w:r>
      <w:r w:rsidRPr="00665B2E">
        <w:lastRenderedPageBreak/>
        <w:t>with the goal of informing evidence-based nutrition and health interventions for displaced populations.</w:t>
      </w:r>
    </w:p>
    <w:p w:rsidR="0033586E" w:rsidRDefault="00DA1BDD" w:rsidP="0033586E">
      <w:pPr>
        <w:pStyle w:val="NormalWeb"/>
      </w:pPr>
      <w:r>
        <w:rPr>
          <w:rStyle w:val="Strong"/>
        </w:rPr>
        <w:t>1.1</w:t>
      </w:r>
      <w:r w:rsidR="0033586E">
        <w:rPr>
          <w:rStyle w:val="Strong"/>
        </w:rPr>
        <w:t>Statement of the Problem</w:t>
      </w:r>
    </w:p>
    <w:p w:rsidR="0033586E" w:rsidRDefault="0033586E" w:rsidP="0033586E">
      <w:pPr>
        <w:pStyle w:val="NormalWeb"/>
        <w:spacing w:line="480" w:lineRule="auto"/>
        <w:jc w:val="both"/>
      </w:pPr>
      <w:r>
        <w:t>Micronutrient deficiencies remain a critical challenge in humanitarian settings, particularly among internally displaced children (IDCs) in Northeast Nigeria. Prolonged conflict, insecurity, and displacement have led to severe disruptions in food systems, resulting in high levels of malnutrition and micronutrient deficiencies. While national food fortification programs have been implemented to address these deficiencies such as the fortification of staples with essential vitamins and minerals their reach and impact within internally displaced persons (IDP) camps remain unclear.</w:t>
      </w:r>
    </w:p>
    <w:p w:rsidR="0033586E" w:rsidRDefault="0033586E" w:rsidP="0033586E">
      <w:pPr>
        <w:pStyle w:val="NormalWeb"/>
        <w:spacing w:line="480" w:lineRule="auto"/>
        <w:jc w:val="both"/>
      </w:pPr>
      <w:r>
        <w:t>Despite policy frameworks and guidelines supporting food fortification as a cost-effective public health intervention, there is a significant lack of empirical evidence assessing its effectiveness among IDCs in Northeast Nigeria. Most existing studies focus on general population outcomes, with limited data on how fortified foods affect the nutritional status of children living in displacement contexts. Consequently, humanitarian responses may not be sufficiently informed or tailored to meet the specific nutritional needs of these vulnerable groups.</w:t>
      </w:r>
    </w:p>
    <w:p w:rsidR="0033586E" w:rsidRDefault="0033586E" w:rsidP="0033586E">
      <w:pPr>
        <w:pStyle w:val="NormalWeb"/>
        <w:spacing w:line="480" w:lineRule="auto"/>
        <w:jc w:val="both"/>
      </w:pPr>
      <w:r>
        <w:t>This study, therefore, seeks to fill this critical knowledge gap by empirically investigating the impact of food fortification on micronutrient deficiencies among internally displaced children in the region. Addressing this problem is essential for optimizing nutrition interventions and improving the overall health and development outcomes for IDCs in Northeast Nigeria.</w:t>
      </w:r>
    </w:p>
    <w:p w:rsidR="005B4C69" w:rsidRPr="00DA1BDD" w:rsidRDefault="00DA1BDD" w:rsidP="005B4C69">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C05397">
        <w:rPr>
          <w:rFonts w:ascii="Times New Roman" w:eastAsia="Times New Roman" w:hAnsi="Times New Roman" w:cs="Times New Roman"/>
          <w:b/>
          <w:bCs/>
          <w:sz w:val="24"/>
          <w:szCs w:val="24"/>
        </w:rPr>
        <w:t xml:space="preserve">2 </w:t>
      </w:r>
      <w:r w:rsidR="005B4C69" w:rsidRPr="00DA1BDD">
        <w:rPr>
          <w:rFonts w:ascii="Times New Roman" w:eastAsia="Times New Roman" w:hAnsi="Times New Roman" w:cs="Times New Roman"/>
          <w:b/>
          <w:bCs/>
          <w:sz w:val="24"/>
          <w:szCs w:val="24"/>
        </w:rPr>
        <w:t>Research Questions</w:t>
      </w:r>
    </w:p>
    <w:p w:rsidR="005B4C69" w:rsidRPr="005B4C69" w:rsidRDefault="005B4C69" w:rsidP="005B4C6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lastRenderedPageBreak/>
        <w:t>To what extent has food fortification reduced the prevalence of micronutrient deficiencies among internally displaced children in selected IDP camps in Northeast Nigeria?</w:t>
      </w:r>
    </w:p>
    <w:p w:rsidR="005B4C69" w:rsidRPr="005B4C69" w:rsidRDefault="005B4C69" w:rsidP="005B4C6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What is the difference in nutritional status (e.g., vitamin A, zinc, and iron levels) of internally displaced children before and after the introduction of fortified foods?</w:t>
      </w:r>
    </w:p>
    <w:p w:rsidR="005B4C69" w:rsidRPr="005B4C69" w:rsidRDefault="005B4C69" w:rsidP="005B4C6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How do caregivers and health workers in IDP camps perceive the effectiveness and accessibility of fortified food products?</w:t>
      </w:r>
    </w:p>
    <w:p w:rsidR="005B4C69" w:rsidRPr="00C05397" w:rsidRDefault="00C05397" w:rsidP="005B4C69">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1.3 </w:t>
      </w:r>
      <w:r w:rsidR="005B4C69" w:rsidRPr="00C05397">
        <w:rPr>
          <w:rFonts w:ascii="Times New Roman" w:eastAsia="Times New Roman" w:hAnsi="Times New Roman" w:cs="Times New Roman"/>
          <w:b/>
          <w:bCs/>
          <w:sz w:val="24"/>
          <w:szCs w:val="24"/>
        </w:rPr>
        <w:t>Research Objectives</w:t>
      </w:r>
    </w:p>
    <w:p w:rsidR="005B4C69" w:rsidRPr="005B4C69" w:rsidRDefault="005B4C69" w:rsidP="005B4C6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 assess the impact of food fortification on the prevalence of micronutrient deficiencies among internally displaced children in selected IDP camps in Northeast Nigeria.</w:t>
      </w:r>
    </w:p>
    <w:p w:rsidR="005B4C69" w:rsidRPr="005B4C69" w:rsidRDefault="005B4C69" w:rsidP="005B4C6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 compare the nutritional status of internally displaced children before and after the introduction of fortified foods using biochemical and dietary assessments.</w:t>
      </w:r>
    </w:p>
    <w:p w:rsidR="005B4C69" w:rsidRDefault="005B4C69" w:rsidP="005B4C6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 explore the perceptions of caregivers and health workers regarding the effectiveness, acceptability, and accessibility of fortified foods in humanitarian settings.</w:t>
      </w:r>
    </w:p>
    <w:p w:rsidR="00216023" w:rsidRPr="005B4C69" w:rsidRDefault="00216023" w:rsidP="00216023">
      <w:pPr>
        <w:spacing w:before="100" w:beforeAutospacing="1" w:after="100" w:afterAutospacing="1" w:line="480" w:lineRule="auto"/>
        <w:ind w:left="720"/>
        <w:jc w:val="both"/>
        <w:rPr>
          <w:rFonts w:ascii="Times New Roman" w:eastAsia="Times New Roman" w:hAnsi="Times New Roman" w:cs="Times New Roman"/>
          <w:sz w:val="24"/>
          <w:szCs w:val="24"/>
        </w:rPr>
      </w:pPr>
    </w:p>
    <w:p w:rsidR="005B4C69" w:rsidRPr="005B4C69" w:rsidRDefault="00C05397" w:rsidP="005B4C69">
      <w:pPr>
        <w:pStyle w:val="Heading3"/>
        <w:rPr>
          <w:sz w:val="24"/>
          <w:szCs w:val="24"/>
        </w:rPr>
      </w:pPr>
      <w:r>
        <w:rPr>
          <w:rStyle w:val="Strong"/>
          <w:b/>
          <w:bCs/>
          <w:sz w:val="24"/>
          <w:szCs w:val="24"/>
        </w:rPr>
        <w:t xml:space="preserve">1.4 </w:t>
      </w:r>
      <w:r w:rsidR="005B4C69" w:rsidRPr="005B4C69">
        <w:rPr>
          <w:rStyle w:val="Strong"/>
          <w:b/>
          <w:bCs/>
          <w:sz w:val="24"/>
          <w:szCs w:val="24"/>
        </w:rPr>
        <w:t>Delimitation of the Study</w:t>
      </w:r>
    </w:p>
    <w:p w:rsidR="005B4C69" w:rsidRDefault="005B4C69" w:rsidP="005B4C69">
      <w:pPr>
        <w:pStyle w:val="NormalWeb"/>
        <w:spacing w:line="480" w:lineRule="auto"/>
        <w:jc w:val="both"/>
      </w:pPr>
      <w:r>
        <w:t>Th</w:t>
      </w:r>
      <w:r w:rsidR="00216023">
        <w:t>is study was delimited to select internally</w:t>
      </w:r>
      <w:r>
        <w:t xml:space="preserve"> displaced persons (IDP) camps in Northeast Nigeria, specifically within </w:t>
      </w:r>
      <w:proofErr w:type="spellStart"/>
      <w:r w:rsidR="00216023">
        <w:t>Borno</w:t>
      </w:r>
      <w:proofErr w:type="spellEnd"/>
      <w:r w:rsidR="00216023">
        <w:t xml:space="preserve">, </w:t>
      </w:r>
      <w:proofErr w:type="spellStart"/>
      <w:r w:rsidR="00216023">
        <w:t>Yobe</w:t>
      </w:r>
      <w:proofErr w:type="spellEnd"/>
      <w:r w:rsidR="00216023">
        <w:t xml:space="preserve">, and Adamawa states, </w:t>
      </w:r>
      <w:r>
        <w:t>areas most affected by conflict and di</w:t>
      </w:r>
      <w:r w:rsidR="00216023">
        <w:t>splacement. The research focused</w:t>
      </w:r>
      <w:r>
        <w:t xml:space="preserve"> solely</w:t>
      </w:r>
      <w:r w:rsidR="00A54027">
        <w:t xml:space="preserve"> on children aged 6 months to 15</w:t>
      </w:r>
      <w:r>
        <w:t xml:space="preserve"> years, as this age group is most vulnerable to micronutrient deficiencies and forms the core target of nutrition interventions in</w:t>
      </w:r>
      <w:r w:rsidR="00216023">
        <w:t xml:space="preserve"> humanitarian settings. It would</w:t>
      </w:r>
      <w:r>
        <w:t xml:space="preserve"> further evaluate the impact of food fortification interventions that have already been introduced through government or NGO-supported nutrition prog</w:t>
      </w:r>
      <w:r w:rsidR="00216023">
        <w:t>rams. As such, the analysis would</w:t>
      </w:r>
      <w:r>
        <w:t xml:space="preserve"> not include households or camps where no</w:t>
      </w:r>
      <w:r w:rsidR="00216023">
        <w:t xml:space="preserve"> fortified food </w:t>
      </w:r>
      <w:r w:rsidR="00216023">
        <w:lastRenderedPageBreak/>
        <w:t>distribution had</w:t>
      </w:r>
      <w:r>
        <w:t xml:space="preserve"> occ</w:t>
      </w:r>
      <w:r w:rsidR="00216023">
        <w:t>urred. Additionally, the study wa</w:t>
      </w:r>
      <w:r>
        <w:t>s limited to assessing key micronutrients such as vitamin A, iron, zinc, and folate, based on their known public health significance and availability of reliable biochemical testing methods.</w:t>
      </w:r>
    </w:p>
    <w:p w:rsidR="005B4C69" w:rsidRDefault="005B4C69" w:rsidP="005B4C69">
      <w:pPr>
        <w:pStyle w:val="NormalWeb"/>
        <w:spacing w:line="480" w:lineRule="auto"/>
        <w:jc w:val="both"/>
      </w:pPr>
      <w:r>
        <w:t>The study does not investigate other determinants of malnutrition such as water sanitation, infectious diseases, or maternal nutrition, except where relevant to interpreting micronutrient outco</w:t>
      </w:r>
      <w:r w:rsidR="00216023">
        <w:t>mes. Furthermore, the research wa</w:t>
      </w:r>
      <w:r>
        <w:t>s restricted to a specific timeframe, covering a six-month period of intervention monitoring and e</w:t>
      </w:r>
      <w:r w:rsidR="00216023">
        <w:t>valuation. These delimitations we</w:t>
      </w:r>
      <w:r>
        <w:t>re necessary to ensure feasibility and depth of analysis, while enabling focused and meaningful conclusions relevant to food fortification policies and practices in humanitarian contexts.</w:t>
      </w:r>
    </w:p>
    <w:p w:rsidR="005B4C69" w:rsidRPr="005B4C69" w:rsidRDefault="00C05397" w:rsidP="005B4C69">
      <w:pPr>
        <w:pStyle w:val="Heading3"/>
        <w:rPr>
          <w:sz w:val="24"/>
          <w:szCs w:val="24"/>
        </w:rPr>
      </w:pPr>
      <w:r>
        <w:rPr>
          <w:rStyle w:val="Strong"/>
          <w:b/>
          <w:bCs/>
          <w:sz w:val="24"/>
          <w:szCs w:val="24"/>
        </w:rPr>
        <w:t xml:space="preserve">1.5 </w:t>
      </w:r>
      <w:r w:rsidR="005B4C69" w:rsidRPr="005B4C69">
        <w:rPr>
          <w:rStyle w:val="Strong"/>
          <w:b/>
          <w:bCs/>
          <w:sz w:val="24"/>
          <w:szCs w:val="24"/>
        </w:rPr>
        <w:t>Significance of the Study</w:t>
      </w:r>
    </w:p>
    <w:p w:rsidR="005B4C69" w:rsidRDefault="005B4C69" w:rsidP="005B4C69">
      <w:pPr>
        <w:pStyle w:val="NormalWeb"/>
        <w:spacing w:line="480" w:lineRule="auto"/>
        <w:jc w:val="both"/>
      </w:pPr>
      <w:r>
        <w:t>This study is significant for several reasons. First, it addresses a critical evidence gap regarding the effectiveness of food fortification interventions among internally displaced children in Northeast Nigeria one of the most nutritionally at-risk populations due to prolonged conflict and displacement. The findings will provide empirical data on the nutritional outcomes associated with fortified food consumption, thereby offering insights into how these interventions contribute to reducing micronutrient deficiencies.</w:t>
      </w:r>
    </w:p>
    <w:p w:rsidR="005B4C69" w:rsidRDefault="005B4C69" w:rsidP="005B4C69">
      <w:pPr>
        <w:pStyle w:val="NormalWeb"/>
        <w:spacing w:line="480" w:lineRule="auto"/>
        <w:jc w:val="both"/>
      </w:pPr>
      <w:r>
        <w:t>Second, the research will inform policymakers, humanitarian agencies, and public health stakeholders about the strengths and limitations of current food fortification programs in IDP settings. This can guide the design, targeting, and scale-up of future nutrition interventions in conflict-affected regions, ensuring they are both evidence-based and context-specific.</w:t>
      </w:r>
    </w:p>
    <w:p w:rsidR="005B4C69" w:rsidRDefault="005B4C69" w:rsidP="005B4C69">
      <w:pPr>
        <w:pStyle w:val="NormalWeb"/>
        <w:spacing w:line="480" w:lineRule="auto"/>
        <w:jc w:val="both"/>
      </w:pPr>
      <w:r>
        <w:lastRenderedPageBreak/>
        <w:t>Finally, by incorporating both quantitative and qualitative data, the study offers a holistic understanding of the impact and reception of fortified food among displaced populations. This integrated approach enhances the study's relevance for developing sustainable, inclusive, and community-responsive nutrition policies in humanitarian and development planning.</w:t>
      </w:r>
    </w:p>
    <w:p w:rsidR="005B4C69" w:rsidRPr="005B4C69" w:rsidRDefault="00C05397" w:rsidP="005B4C69">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1.6 </w:t>
      </w:r>
      <w:r w:rsidR="005B4C69" w:rsidRPr="004E4807">
        <w:rPr>
          <w:rFonts w:ascii="Times New Roman" w:eastAsia="Times New Roman" w:hAnsi="Times New Roman" w:cs="Times New Roman"/>
          <w:b/>
          <w:bCs/>
          <w:sz w:val="24"/>
          <w:szCs w:val="24"/>
        </w:rPr>
        <w:t>Theoretical Framework</w:t>
      </w:r>
    </w:p>
    <w:p w:rsidR="00CA32E3" w:rsidRPr="00C05397" w:rsidRDefault="007D279A" w:rsidP="004E480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wa</w:t>
      </w:r>
      <w:r w:rsidR="005B4C69" w:rsidRPr="005B4C69">
        <w:rPr>
          <w:rFonts w:ascii="Times New Roman" w:eastAsia="Times New Roman" w:hAnsi="Times New Roman" w:cs="Times New Roman"/>
          <w:sz w:val="24"/>
          <w:szCs w:val="24"/>
        </w:rPr>
        <w:t xml:space="preserve">s anchored on two interrelated theories: </w:t>
      </w:r>
      <w:r w:rsidR="005B4C69" w:rsidRPr="00C05397">
        <w:rPr>
          <w:rFonts w:ascii="Times New Roman" w:eastAsia="Times New Roman" w:hAnsi="Times New Roman" w:cs="Times New Roman"/>
          <w:bCs/>
          <w:sz w:val="24"/>
          <w:szCs w:val="24"/>
        </w:rPr>
        <w:t>Maslow’s Hierarchy of Needs</w:t>
      </w:r>
      <w:r w:rsidR="005B4C69" w:rsidRPr="00C05397">
        <w:rPr>
          <w:rFonts w:ascii="Times New Roman" w:eastAsia="Times New Roman" w:hAnsi="Times New Roman" w:cs="Times New Roman"/>
          <w:sz w:val="24"/>
          <w:szCs w:val="24"/>
        </w:rPr>
        <w:t xml:space="preserve"> and the </w:t>
      </w:r>
      <w:r w:rsidR="005B4C69" w:rsidRPr="00C05397">
        <w:rPr>
          <w:rFonts w:ascii="Times New Roman" w:eastAsia="Times New Roman" w:hAnsi="Times New Roman" w:cs="Times New Roman"/>
          <w:bCs/>
          <w:sz w:val="24"/>
          <w:szCs w:val="24"/>
        </w:rPr>
        <w:t>UNICEF Conceptual Framework of Malnutrition</w:t>
      </w:r>
      <w:r w:rsidR="005B4C69" w:rsidRPr="00C05397">
        <w:rPr>
          <w:rFonts w:ascii="Times New Roman" w:eastAsia="Times New Roman" w:hAnsi="Times New Roman" w:cs="Times New Roman"/>
          <w:sz w:val="24"/>
          <w:szCs w:val="24"/>
        </w:rPr>
        <w:t>.</w:t>
      </w:r>
    </w:p>
    <w:p w:rsidR="00977658" w:rsidRPr="00C05397" w:rsidRDefault="00977658" w:rsidP="00C05397">
      <w:pPr>
        <w:pStyle w:val="ListParagraph"/>
        <w:numPr>
          <w:ilvl w:val="1"/>
          <w:numId w:val="2"/>
        </w:numPr>
        <w:spacing w:before="100" w:beforeAutospacing="1" w:after="100" w:afterAutospacing="1" w:line="480" w:lineRule="auto"/>
        <w:rPr>
          <w:rFonts w:ascii="Times New Roman" w:eastAsia="Times New Roman" w:hAnsi="Times New Roman" w:cs="Times New Roman"/>
          <w:sz w:val="24"/>
          <w:szCs w:val="24"/>
        </w:rPr>
      </w:pPr>
      <w:r w:rsidRPr="00C05397">
        <w:rPr>
          <w:rFonts w:ascii="Times New Roman" w:eastAsia="Times New Roman" w:hAnsi="Times New Roman" w:cs="Times New Roman"/>
          <w:b/>
          <w:bCs/>
          <w:sz w:val="24"/>
          <w:szCs w:val="24"/>
        </w:rPr>
        <w:t>Maslow’s Hierarchy of Needs (1943)</w:t>
      </w:r>
    </w:p>
    <w:p w:rsidR="005B4C69" w:rsidRPr="005B4C69" w:rsidRDefault="005B4C69" w:rsidP="00977658">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Maslow’s theory posits that human needs are arranged in a hier</w:t>
      </w:r>
      <w:r w:rsidR="004E4807">
        <w:rPr>
          <w:rFonts w:ascii="Times New Roman" w:eastAsia="Times New Roman" w:hAnsi="Times New Roman" w:cs="Times New Roman"/>
          <w:sz w:val="24"/>
          <w:szCs w:val="24"/>
        </w:rPr>
        <w:t xml:space="preserve">archy, with physiological needs </w:t>
      </w:r>
      <w:r w:rsidRPr="005B4C69">
        <w:rPr>
          <w:rFonts w:ascii="Times New Roman" w:eastAsia="Times New Roman" w:hAnsi="Times New Roman" w:cs="Times New Roman"/>
          <w:sz w:val="24"/>
          <w:szCs w:val="24"/>
        </w:rPr>
        <w:t>s</w:t>
      </w:r>
      <w:r w:rsidR="004E4807">
        <w:rPr>
          <w:rFonts w:ascii="Times New Roman" w:eastAsia="Times New Roman" w:hAnsi="Times New Roman" w:cs="Times New Roman"/>
          <w:sz w:val="24"/>
          <w:szCs w:val="24"/>
        </w:rPr>
        <w:t xml:space="preserve">uch as food, water, and shelter </w:t>
      </w:r>
      <w:r w:rsidRPr="005B4C69">
        <w:rPr>
          <w:rFonts w:ascii="Times New Roman" w:eastAsia="Times New Roman" w:hAnsi="Times New Roman" w:cs="Times New Roman"/>
          <w:sz w:val="24"/>
          <w:szCs w:val="24"/>
        </w:rPr>
        <w:t>forming the foundation for survival and development. In the context of internally displaced children (IDCs), access to fortified food directly addresses the most basic level of needs: nutrition. Without meeting these fundamental needs, cognitive, psychological, and physical development is impaired. This framework supports the argument that providing fortified food is essential not only for survival but also for enabling higher-level developmental outcomes in vulnerable populations.</w:t>
      </w:r>
    </w:p>
    <w:p w:rsidR="00977658" w:rsidRPr="00C05397" w:rsidRDefault="005B4C69" w:rsidP="00C05397">
      <w:pPr>
        <w:pStyle w:val="ListParagraph"/>
        <w:numPr>
          <w:ilvl w:val="1"/>
          <w:numId w:val="2"/>
        </w:numPr>
        <w:spacing w:before="100" w:beforeAutospacing="1" w:after="100" w:afterAutospacing="1" w:line="480" w:lineRule="auto"/>
        <w:rPr>
          <w:rFonts w:ascii="Times New Roman" w:eastAsia="Times New Roman" w:hAnsi="Times New Roman" w:cs="Times New Roman"/>
          <w:sz w:val="24"/>
          <w:szCs w:val="24"/>
        </w:rPr>
      </w:pPr>
      <w:r w:rsidRPr="00C05397">
        <w:rPr>
          <w:rFonts w:ascii="Times New Roman" w:eastAsia="Times New Roman" w:hAnsi="Times New Roman" w:cs="Times New Roman"/>
          <w:b/>
          <w:bCs/>
          <w:sz w:val="24"/>
          <w:szCs w:val="24"/>
        </w:rPr>
        <w:t xml:space="preserve"> UNICEF Conceptual Framework of </w:t>
      </w:r>
      <w:r w:rsidR="00977658" w:rsidRPr="00C05397">
        <w:rPr>
          <w:rFonts w:ascii="Times New Roman" w:eastAsia="Times New Roman" w:hAnsi="Times New Roman" w:cs="Times New Roman"/>
          <w:b/>
          <w:bCs/>
          <w:sz w:val="24"/>
          <w:szCs w:val="24"/>
        </w:rPr>
        <w:t>Malnutrition (1990, updated 2021</w:t>
      </w:r>
      <w:r w:rsidRPr="00C05397">
        <w:rPr>
          <w:rFonts w:ascii="Times New Roman" w:eastAsia="Times New Roman" w:hAnsi="Times New Roman" w:cs="Times New Roman"/>
          <w:b/>
          <w:bCs/>
          <w:sz w:val="24"/>
          <w:szCs w:val="24"/>
        </w:rPr>
        <w:t>)</w:t>
      </w:r>
    </w:p>
    <w:p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The UNICEF framework categorizes the causes of malnutrition into immediate, underlying, and basic causes. Immediate causes include inadequate dietary intake and disease; underlying causes involve household food insecurity, inadequate care, and poor health services; while basic causes pertain to socio-economic and political contexts. Food fortification directly targets one of the imme</w:t>
      </w:r>
      <w:r w:rsidR="00977658">
        <w:rPr>
          <w:rFonts w:ascii="Times New Roman" w:eastAsia="Times New Roman" w:hAnsi="Times New Roman" w:cs="Times New Roman"/>
          <w:sz w:val="24"/>
          <w:szCs w:val="24"/>
        </w:rPr>
        <w:t xml:space="preserve">diate causes inadequate micronutrient intake </w:t>
      </w:r>
      <w:r w:rsidRPr="005B4C69">
        <w:rPr>
          <w:rFonts w:ascii="Times New Roman" w:eastAsia="Times New Roman" w:hAnsi="Times New Roman" w:cs="Times New Roman"/>
          <w:sz w:val="24"/>
          <w:szCs w:val="24"/>
        </w:rPr>
        <w:t xml:space="preserve">while indirectly contributing to improved </w:t>
      </w:r>
      <w:r w:rsidRPr="005B4C69">
        <w:rPr>
          <w:rFonts w:ascii="Times New Roman" w:eastAsia="Times New Roman" w:hAnsi="Times New Roman" w:cs="Times New Roman"/>
          <w:sz w:val="24"/>
          <w:szCs w:val="24"/>
        </w:rPr>
        <w:lastRenderedPageBreak/>
        <w:t>household food quality and resilience. This framework is particularly relevant for displaced populations where multiple levels of vulnerability intersect.</w:t>
      </w:r>
    </w:p>
    <w:p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Together, these theories guide the study by highlighting the need to meet basic nutritional requirements and address systemic challenges in humanitarian settings to improve child health outcomes.</w:t>
      </w:r>
    </w:p>
    <w:p w:rsidR="005B4C69" w:rsidRPr="005B4C69" w:rsidRDefault="00C05397" w:rsidP="004E4807">
      <w:pPr>
        <w:spacing w:before="100" w:beforeAutospacing="1" w:after="100" w:afterAutospacing="1"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1.7 </w:t>
      </w:r>
      <w:r w:rsidR="005B4C69" w:rsidRPr="004E4807">
        <w:rPr>
          <w:rFonts w:ascii="Times New Roman" w:eastAsia="Times New Roman" w:hAnsi="Times New Roman" w:cs="Times New Roman"/>
          <w:b/>
          <w:bCs/>
          <w:sz w:val="24"/>
          <w:szCs w:val="24"/>
        </w:rPr>
        <w:t>Empirical Evidence</w:t>
      </w:r>
    </w:p>
    <w:p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Empirical studies have consistently shown that food fortification is an effective public health intervention for addressing micronutrient deficiencies, especially in vulnerable populations.</w:t>
      </w:r>
    </w:p>
    <w:p w:rsidR="004E4807"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4E4807">
        <w:rPr>
          <w:rFonts w:ascii="Times New Roman" w:eastAsia="Times New Roman" w:hAnsi="Times New Roman" w:cs="Times New Roman"/>
          <w:bCs/>
          <w:sz w:val="24"/>
          <w:szCs w:val="24"/>
        </w:rPr>
        <w:t>Audu</w:t>
      </w:r>
      <w:proofErr w:type="spellEnd"/>
      <w:r w:rsidRPr="004E4807">
        <w:rPr>
          <w:rFonts w:ascii="Times New Roman" w:eastAsia="Times New Roman" w:hAnsi="Times New Roman" w:cs="Times New Roman"/>
          <w:bCs/>
          <w:sz w:val="24"/>
          <w:szCs w:val="24"/>
        </w:rPr>
        <w:t xml:space="preserve"> et al. (2024)</w:t>
      </w:r>
      <w:r w:rsidRPr="005B4C69">
        <w:rPr>
          <w:rFonts w:ascii="Times New Roman" w:eastAsia="Times New Roman" w:hAnsi="Times New Roman" w:cs="Times New Roman"/>
          <w:sz w:val="24"/>
          <w:szCs w:val="24"/>
        </w:rPr>
        <w:t xml:space="preserve"> examined the nutritional status of children in </w:t>
      </w:r>
      <w:proofErr w:type="spellStart"/>
      <w:r w:rsidRPr="005B4C69">
        <w:rPr>
          <w:rFonts w:ascii="Times New Roman" w:eastAsia="Times New Roman" w:hAnsi="Times New Roman" w:cs="Times New Roman"/>
          <w:sz w:val="24"/>
          <w:szCs w:val="24"/>
        </w:rPr>
        <w:t>Borno</w:t>
      </w:r>
      <w:proofErr w:type="spellEnd"/>
      <w:r w:rsidRPr="005B4C69">
        <w:rPr>
          <w:rFonts w:ascii="Times New Roman" w:eastAsia="Times New Roman" w:hAnsi="Times New Roman" w:cs="Times New Roman"/>
          <w:sz w:val="24"/>
          <w:szCs w:val="24"/>
        </w:rPr>
        <w:t xml:space="preserve"> State and found </w:t>
      </w:r>
      <w:r w:rsidR="004E4807" w:rsidRPr="004E4807">
        <w:rPr>
          <w:rFonts w:ascii="Times New Roman" w:eastAsia="Times New Roman" w:hAnsi="Times New Roman" w:cs="Times New Roman"/>
          <w:sz w:val="24"/>
          <w:szCs w:val="24"/>
        </w:rPr>
        <w:t xml:space="preserve">that micronutrient malnutrition </w:t>
      </w:r>
      <w:r w:rsidRPr="005B4C69">
        <w:rPr>
          <w:rFonts w:ascii="Times New Roman" w:eastAsia="Times New Roman" w:hAnsi="Times New Roman" w:cs="Times New Roman"/>
          <w:sz w:val="24"/>
          <w:szCs w:val="24"/>
        </w:rPr>
        <w:t>particularl</w:t>
      </w:r>
      <w:r w:rsidR="004E4807">
        <w:rPr>
          <w:rFonts w:ascii="Times New Roman" w:eastAsia="Times New Roman" w:hAnsi="Times New Roman" w:cs="Times New Roman"/>
          <w:sz w:val="24"/>
          <w:szCs w:val="24"/>
        </w:rPr>
        <w:t xml:space="preserve">y vitamin A and iron deficiency </w:t>
      </w:r>
      <w:r w:rsidRPr="005B4C69">
        <w:rPr>
          <w:rFonts w:ascii="Times New Roman" w:eastAsia="Times New Roman" w:hAnsi="Times New Roman" w:cs="Times New Roman"/>
          <w:sz w:val="24"/>
          <w:szCs w:val="24"/>
        </w:rPr>
        <w:t xml:space="preserve">was alarmingly high in IDP camps. The study called for the urgent implementation of fortified food programs and regular nutritional surveillance. </w:t>
      </w:r>
    </w:p>
    <w:p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4E4807">
        <w:rPr>
          <w:rFonts w:ascii="Times New Roman" w:eastAsia="Times New Roman" w:hAnsi="Times New Roman" w:cs="Times New Roman"/>
          <w:bCs/>
          <w:sz w:val="24"/>
          <w:szCs w:val="24"/>
        </w:rPr>
        <w:t>Maziya</w:t>
      </w:r>
      <w:proofErr w:type="spellEnd"/>
      <w:r w:rsidRPr="004E4807">
        <w:rPr>
          <w:rFonts w:ascii="Times New Roman" w:eastAsia="Times New Roman" w:hAnsi="Times New Roman" w:cs="Times New Roman"/>
          <w:bCs/>
          <w:sz w:val="24"/>
          <w:szCs w:val="24"/>
        </w:rPr>
        <w:t>-Dixon et al. (2020)</w:t>
      </w:r>
      <w:r w:rsidRPr="005B4C69">
        <w:rPr>
          <w:rFonts w:ascii="Times New Roman" w:eastAsia="Times New Roman" w:hAnsi="Times New Roman" w:cs="Times New Roman"/>
          <w:sz w:val="24"/>
          <w:szCs w:val="24"/>
        </w:rPr>
        <w:t xml:space="preserve"> conducted a randomized controlled trial on the daily consumption of pro-vitamin A bio</w:t>
      </w:r>
      <w:r w:rsidR="004E4807">
        <w:rPr>
          <w:rFonts w:ascii="Times New Roman" w:eastAsia="Times New Roman" w:hAnsi="Times New Roman" w:cs="Times New Roman"/>
          <w:sz w:val="24"/>
          <w:szCs w:val="24"/>
        </w:rPr>
        <w:t>-</w:t>
      </w:r>
      <w:r w:rsidRPr="005B4C69">
        <w:rPr>
          <w:rFonts w:ascii="Times New Roman" w:eastAsia="Times New Roman" w:hAnsi="Times New Roman" w:cs="Times New Roman"/>
          <w:sz w:val="24"/>
          <w:szCs w:val="24"/>
        </w:rPr>
        <w:t xml:space="preserve">fortified cassava in Nigerian preschool children and observed significant improvements in serum retinol concentrations. This demonstrates the potential for similar results in displaced populations, although context-specific variables like accessibility and logistics may differ. </w:t>
      </w:r>
    </w:p>
    <w:p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t>Gera et al. (2019)</w:t>
      </w:r>
      <w:r w:rsidRPr="005B4C69">
        <w:rPr>
          <w:rFonts w:ascii="Times New Roman" w:eastAsia="Times New Roman" w:hAnsi="Times New Roman" w:cs="Times New Roman"/>
          <w:sz w:val="24"/>
          <w:szCs w:val="24"/>
        </w:rPr>
        <w:t xml:space="preserve"> in a meta-analysis of randomized controlled trials found that food fortification interventions significantly reduced the prevalence of anemia and iron deficiency among children under five. The review included trials from both stable and emergency settings, further affirming its relevance to IDP camps. Source</w:t>
      </w:r>
    </w:p>
    <w:p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lastRenderedPageBreak/>
        <w:t>De-</w:t>
      </w:r>
      <w:proofErr w:type="spellStart"/>
      <w:r w:rsidRPr="004E4807">
        <w:rPr>
          <w:rFonts w:ascii="Times New Roman" w:eastAsia="Times New Roman" w:hAnsi="Times New Roman" w:cs="Times New Roman"/>
          <w:bCs/>
          <w:sz w:val="24"/>
          <w:szCs w:val="24"/>
        </w:rPr>
        <w:t>Regil</w:t>
      </w:r>
      <w:proofErr w:type="spellEnd"/>
      <w:r w:rsidRPr="004E4807">
        <w:rPr>
          <w:rFonts w:ascii="Times New Roman" w:eastAsia="Times New Roman" w:hAnsi="Times New Roman" w:cs="Times New Roman"/>
          <w:bCs/>
          <w:sz w:val="24"/>
          <w:szCs w:val="24"/>
        </w:rPr>
        <w:t xml:space="preserve"> et al. (2023)</w:t>
      </w:r>
      <w:r w:rsidRPr="005B4C69">
        <w:rPr>
          <w:rFonts w:ascii="Times New Roman" w:eastAsia="Times New Roman" w:hAnsi="Times New Roman" w:cs="Times New Roman"/>
          <w:sz w:val="24"/>
          <w:szCs w:val="24"/>
        </w:rPr>
        <w:t xml:space="preserve"> evaluated the impact of multiple micronutrient-fortified bouillon cubes in Northern Ghana and reported improved folate and iodine intake among children and women. The study highlighted that fortification of everyday staples could achieve broad nutritional gains with minimal behavior change requirements. </w:t>
      </w:r>
    </w:p>
    <w:p w:rsidR="005B4C69" w:rsidRPr="005B4C69" w:rsidRDefault="005B4C69" w:rsidP="004E4807">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E4807">
        <w:rPr>
          <w:rFonts w:ascii="Times New Roman" w:eastAsia="Times New Roman" w:hAnsi="Times New Roman" w:cs="Times New Roman"/>
          <w:bCs/>
          <w:sz w:val="24"/>
          <w:szCs w:val="24"/>
        </w:rPr>
        <w:t>World Health Organization (2023)</w:t>
      </w:r>
      <w:r w:rsidRPr="005B4C69">
        <w:rPr>
          <w:rFonts w:ascii="Times New Roman" w:eastAsia="Times New Roman" w:hAnsi="Times New Roman" w:cs="Times New Roman"/>
          <w:sz w:val="24"/>
          <w:szCs w:val="24"/>
        </w:rPr>
        <w:t xml:space="preserve"> recognizes food fortification as a scalable, cost-effective solution to address micronutrient deficiencies in emergency contexts, provided that supply chains and monitoring mechanisms are robust. </w:t>
      </w:r>
    </w:p>
    <w:p w:rsidR="005B4C69" w:rsidRPr="005B4C69" w:rsidRDefault="005B4C69" w:rsidP="004E4807">
      <w:pPr>
        <w:spacing w:before="100" w:beforeAutospacing="1" w:after="100" w:afterAutospacing="1" w:line="480" w:lineRule="auto"/>
        <w:jc w:val="both"/>
        <w:rPr>
          <w:rFonts w:ascii="Times New Roman" w:eastAsia="Times New Roman" w:hAnsi="Times New Roman" w:cs="Times New Roman"/>
          <w:sz w:val="24"/>
          <w:szCs w:val="24"/>
        </w:rPr>
      </w:pPr>
      <w:r w:rsidRPr="005B4C69">
        <w:rPr>
          <w:rFonts w:ascii="Times New Roman" w:eastAsia="Times New Roman" w:hAnsi="Times New Roman" w:cs="Times New Roman"/>
          <w:sz w:val="24"/>
          <w:szCs w:val="24"/>
        </w:rPr>
        <w:t>While these studies support the effectiveness of food fortification, there remains a lack of targeted research focusing exclusively on IDCs in Northeast Nigeria. This study will contribute novel data to fill that gap, guiding humanitarian and policy responses more effectively.</w:t>
      </w:r>
    </w:p>
    <w:p w:rsidR="00BF1F0B" w:rsidRPr="00BF1F0B" w:rsidRDefault="00C05397" w:rsidP="00BF1F0B">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 </w:t>
      </w:r>
      <w:r w:rsidR="00BF1F0B" w:rsidRPr="00BF1F0B">
        <w:rPr>
          <w:rFonts w:ascii="Times New Roman" w:eastAsia="Times New Roman" w:hAnsi="Times New Roman" w:cs="Times New Roman"/>
          <w:b/>
          <w:bCs/>
          <w:sz w:val="24"/>
          <w:szCs w:val="24"/>
        </w:rPr>
        <w:t>Literature Review</w:t>
      </w:r>
    </w:p>
    <w:p w:rsidR="00BF1F0B" w:rsidRPr="00BF1F0B" w:rsidRDefault="00BF1F0B" w:rsidP="00BF1F0B">
      <w:pPr>
        <w:spacing w:before="100" w:beforeAutospacing="1" w:after="100" w:afterAutospacing="1" w:line="480" w:lineRule="auto"/>
        <w:jc w:val="both"/>
        <w:rPr>
          <w:rFonts w:ascii="Times New Roman" w:eastAsia="Times New Roman" w:hAnsi="Times New Roman" w:cs="Times New Roman"/>
          <w:sz w:val="24"/>
          <w:szCs w:val="24"/>
        </w:rPr>
      </w:pPr>
      <w:r w:rsidRPr="00BF1F0B">
        <w:rPr>
          <w:rFonts w:ascii="Times New Roman" w:eastAsia="Times New Roman" w:hAnsi="Times New Roman" w:cs="Times New Roman"/>
          <w:sz w:val="24"/>
          <w:szCs w:val="24"/>
        </w:rPr>
        <w:t>Micronutrient deficiencies remain a significant public health concern in Nigeria, particularly among internally displaced persons (IDPs) in the Northeast region. The ongoing conflict and resultant displacement have exacerbated food insecurity, leading to increased rates of malnutrition and micronutrient deficiencies among vulnerable populations.</w:t>
      </w:r>
    </w:p>
    <w:p w:rsidR="00BF1F0B" w:rsidRPr="00BF1F0B" w:rsidRDefault="00BF1F0B" w:rsidP="00BF1F0B">
      <w:pPr>
        <w:spacing w:before="100" w:beforeAutospacing="1" w:after="100" w:afterAutospacing="1" w:line="480" w:lineRule="auto"/>
        <w:jc w:val="both"/>
        <w:rPr>
          <w:rFonts w:ascii="Times New Roman" w:eastAsia="Times New Roman" w:hAnsi="Times New Roman" w:cs="Times New Roman"/>
          <w:sz w:val="24"/>
          <w:szCs w:val="24"/>
        </w:rPr>
      </w:pPr>
      <w:r w:rsidRPr="00BF1F0B">
        <w:rPr>
          <w:rFonts w:ascii="Times New Roman" w:eastAsia="Times New Roman" w:hAnsi="Times New Roman" w:cs="Times New Roman"/>
          <w:sz w:val="24"/>
          <w:szCs w:val="24"/>
        </w:rPr>
        <w:t xml:space="preserve">According to a study by </w:t>
      </w:r>
      <w:proofErr w:type="spellStart"/>
      <w:r w:rsidRPr="00BF1F0B">
        <w:rPr>
          <w:rFonts w:ascii="Times New Roman" w:eastAsia="Times New Roman" w:hAnsi="Times New Roman" w:cs="Times New Roman"/>
          <w:sz w:val="24"/>
          <w:szCs w:val="24"/>
        </w:rPr>
        <w:t>Jombo</w:t>
      </w:r>
      <w:proofErr w:type="spellEnd"/>
      <w:r w:rsidRPr="00BF1F0B">
        <w:rPr>
          <w:rFonts w:ascii="Times New Roman" w:eastAsia="Times New Roman" w:hAnsi="Times New Roman" w:cs="Times New Roman"/>
          <w:sz w:val="24"/>
          <w:szCs w:val="24"/>
        </w:rPr>
        <w:t xml:space="preserve"> and </w:t>
      </w:r>
      <w:proofErr w:type="spellStart"/>
      <w:r w:rsidRPr="00BF1F0B">
        <w:rPr>
          <w:rFonts w:ascii="Times New Roman" w:eastAsia="Times New Roman" w:hAnsi="Times New Roman" w:cs="Times New Roman"/>
          <w:sz w:val="24"/>
          <w:szCs w:val="24"/>
        </w:rPr>
        <w:t>Dabit</w:t>
      </w:r>
      <w:proofErr w:type="spellEnd"/>
      <w:r w:rsidRPr="00BF1F0B">
        <w:rPr>
          <w:rFonts w:ascii="Times New Roman" w:eastAsia="Times New Roman" w:hAnsi="Times New Roman" w:cs="Times New Roman"/>
          <w:sz w:val="24"/>
          <w:szCs w:val="24"/>
        </w:rPr>
        <w:t xml:space="preserve"> (2018), severe childhood malnutrition is prevalent among IDPs in Nigeria, leading to poor physical, mental, and psychological development, which can have long-term consequences on children's growth and cognitive abilities.</w:t>
      </w:r>
    </w:p>
    <w:p w:rsidR="00BF1F0B" w:rsidRDefault="00BF1F0B" w:rsidP="00BF1F0B">
      <w:pPr>
        <w:pStyle w:val="NormalWeb"/>
        <w:spacing w:line="480" w:lineRule="auto"/>
        <w:jc w:val="both"/>
      </w:pPr>
      <w:r>
        <w:rPr>
          <w:rStyle w:val="relative"/>
        </w:rPr>
        <w:t xml:space="preserve">Food fortification has emerged as a cost-effective strategy to address micronutrient </w:t>
      </w:r>
      <w:proofErr w:type="spellStart"/>
      <w:proofErr w:type="gramStart"/>
      <w:r>
        <w:rPr>
          <w:rStyle w:val="relative"/>
        </w:rPr>
        <w:t>deficiencies.The</w:t>
      </w:r>
      <w:proofErr w:type="spellEnd"/>
      <w:proofErr w:type="gramEnd"/>
      <w:r>
        <w:rPr>
          <w:rStyle w:val="relative"/>
        </w:rPr>
        <w:t xml:space="preserve"> World Health Organization (WHO) identifies food fortification as a key intervention to improve public health by increasing the intake of essential </w:t>
      </w:r>
      <w:proofErr w:type="spellStart"/>
      <w:r>
        <w:rPr>
          <w:rStyle w:val="relative"/>
        </w:rPr>
        <w:t>micronutrients.In</w:t>
      </w:r>
      <w:proofErr w:type="spellEnd"/>
      <w:r>
        <w:rPr>
          <w:rStyle w:val="relative"/>
        </w:rPr>
        <w:t xml:space="preserve"> </w:t>
      </w:r>
      <w:r>
        <w:rPr>
          <w:rStyle w:val="relative"/>
        </w:rPr>
        <w:lastRenderedPageBreak/>
        <w:t xml:space="preserve">Nigeria, efforts have been made to fortify staple foods with essential vitamins and </w:t>
      </w:r>
      <w:proofErr w:type="spellStart"/>
      <w:r>
        <w:rPr>
          <w:rStyle w:val="relative"/>
        </w:rPr>
        <w:t>minerals.For</w:t>
      </w:r>
      <w:proofErr w:type="spellEnd"/>
      <w:r>
        <w:rPr>
          <w:rStyle w:val="relative"/>
        </w:rPr>
        <w:t xml:space="preserve"> instance, the Nigerian government has adopted standards for multiple micronutrient-fortified bouillon cubes to reduce malnutrition.</w:t>
      </w:r>
    </w:p>
    <w:p w:rsidR="00BF1F0B" w:rsidRDefault="00BF1F0B" w:rsidP="00BF1F0B">
      <w:pPr>
        <w:pStyle w:val="NormalWeb"/>
        <w:spacing w:line="480" w:lineRule="auto"/>
        <w:jc w:val="both"/>
      </w:pPr>
      <w:r>
        <w:rPr>
          <w:rStyle w:val="relative"/>
        </w:rPr>
        <w:t xml:space="preserve">Despite these initiatives, there is limited empirical evidence on the effectiveness of food fortification programs among IDPs in Northeast </w:t>
      </w:r>
      <w:proofErr w:type="spellStart"/>
      <w:r>
        <w:rPr>
          <w:rStyle w:val="relative"/>
        </w:rPr>
        <w:t>Nigeria.A</w:t>
      </w:r>
      <w:proofErr w:type="spellEnd"/>
      <w:r>
        <w:rPr>
          <w:rStyle w:val="relative"/>
        </w:rPr>
        <w:t xml:space="preserve"> study by </w:t>
      </w:r>
      <w:proofErr w:type="spellStart"/>
      <w:r>
        <w:rPr>
          <w:rStyle w:val="relative"/>
        </w:rPr>
        <w:t>Kodish</w:t>
      </w:r>
      <w:proofErr w:type="spellEnd"/>
      <w:r>
        <w:rPr>
          <w:rStyle w:val="relative"/>
        </w:rPr>
        <w:t xml:space="preserve"> et al. (2022) sought to understand the utilization patterns and influencing factors of micronutrient powder (MNP) use among children aged 6–23 months in northern </w:t>
      </w:r>
      <w:proofErr w:type="spellStart"/>
      <w:r>
        <w:rPr>
          <w:rStyle w:val="relative"/>
        </w:rPr>
        <w:t>Nigeria.The</w:t>
      </w:r>
      <w:proofErr w:type="spellEnd"/>
      <w:r>
        <w:rPr>
          <w:rStyle w:val="relative"/>
        </w:rPr>
        <w:t xml:space="preserve"> study found that most households adhered to instructions for using MNP, indicating the potential effectiveness of such interventions.</w:t>
      </w:r>
    </w:p>
    <w:p w:rsidR="00BF1F0B" w:rsidRDefault="00BF1F0B" w:rsidP="00BF1F0B">
      <w:pPr>
        <w:pStyle w:val="NormalWeb"/>
        <w:spacing w:line="480" w:lineRule="auto"/>
        <w:jc w:val="both"/>
      </w:pPr>
      <w:r>
        <w:rPr>
          <w:rStyle w:val="relative"/>
        </w:rPr>
        <w:t xml:space="preserve">Furthermore, a study by Gera et al. (2019) in a meta-analysis of randomized controlled trials found that food fortification interventions significantly reduced the prevalence of anemia and iron deficiency among children under </w:t>
      </w:r>
      <w:proofErr w:type="spellStart"/>
      <w:proofErr w:type="gramStart"/>
      <w:r>
        <w:rPr>
          <w:rStyle w:val="relative"/>
        </w:rPr>
        <w:t>five.The</w:t>
      </w:r>
      <w:proofErr w:type="spellEnd"/>
      <w:proofErr w:type="gramEnd"/>
      <w:r>
        <w:rPr>
          <w:rStyle w:val="relative"/>
        </w:rPr>
        <w:t xml:space="preserve"> review included trials from both stable and emergency settings, further affirming its relevance to IDP camps.</w:t>
      </w:r>
    </w:p>
    <w:p w:rsidR="00BF1F0B" w:rsidRDefault="00BF1F0B" w:rsidP="00BF1F0B">
      <w:pPr>
        <w:pStyle w:val="NormalWeb"/>
        <w:spacing w:line="480" w:lineRule="auto"/>
        <w:jc w:val="both"/>
      </w:pPr>
      <w:r>
        <w:rPr>
          <w:rStyle w:val="relative"/>
        </w:rPr>
        <w:t xml:space="preserve">However, challenges remain in implementing food fortification programs in IDP </w:t>
      </w:r>
      <w:proofErr w:type="spellStart"/>
      <w:proofErr w:type="gramStart"/>
      <w:r>
        <w:rPr>
          <w:rStyle w:val="relative"/>
        </w:rPr>
        <w:t>camps.A</w:t>
      </w:r>
      <w:proofErr w:type="spellEnd"/>
      <w:proofErr w:type="gramEnd"/>
      <w:r>
        <w:rPr>
          <w:rStyle w:val="relative"/>
        </w:rPr>
        <w:t xml:space="preserve"> report by </w:t>
      </w:r>
      <w:proofErr w:type="spellStart"/>
      <w:r>
        <w:rPr>
          <w:rStyle w:val="relative"/>
        </w:rPr>
        <w:t>GlobalGiving</w:t>
      </w:r>
      <w:proofErr w:type="spellEnd"/>
      <w:r>
        <w:rPr>
          <w:rStyle w:val="relative"/>
        </w:rPr>
        <w:t xml:space="preserve"> (n.d.) highlights the need for emergency nutrition support, including ready-to-use therapeutic food, fortified cereals, and vitamins, to address the nutritional needs of children in IDP camps.</w:t>
      </w:r>
    </w:p>
    <w:p w:rsidR="006C241B" w:rsidRPr="00BF1F0B" w:rsidRDefault="00BF1F0B" w:rsidP="00BF1F0B">
      <w:pPr>
        <w:spacing w:after="0" w:line="480" w:lineRule="auto"/>
        <w:jc w:val="both"/>
        <w:rPr>
          <w:rFonts w:ascii="Times New Roman" w:eastAsia="Times New Roman" w:hAnsi="Times New Roman" w:cs="Times New Roman"/>
          <w:sz w:val="24"/>
          <w:szCs w:val="24"/>
        </w:rPr>
      </w:pPr>
      <w:r w:rsidRPr="00BF1F0B">
        <w:rPr>
          <w:rStyle w:val="relative"/>
          <w:rFonts w:ascii="Times New Roman" w:hAnsi="Times New Roman" w:cs="Times New Roman"/>
          <w:sz w:val="24"/>
          <w:szCs w:val="24"/>
        </w:rPr>
        <w:t xml:space="preserve">In conclusion, while food fortification has shown promise in addressing micronutrient deficiencies, there is a need for targeted research focusing exclusively on IDCs in Northeast </w:t>
      </w:r>
      <w:proofErr w:type="spellStart"/>
      <w:r w:rsidRPr="00BF1F0B">
        <w:rPr>
          <w:rStyle w:val="relative"/>
          <w:rFonts w:ascii="Times New Roman" w:hAnsi="Times New Roman" w:cs="Times New Roman"/>
          <w:sz w:val="24"/>
          <w:szCs w:val="24"/>
        </w:rPr>
        <w:t>Nigeria.This</w:t>
      </w:r>
      <w:proofErr w:type="spellEnd"/>
      <w:r w:rsidRPr="00BF1F0B">
        <w:rPr>
          <w:rStyle w:val="relative"/>
          <w:rFonts w:ascii="Times New Roman" w:hAnsi="Times New Roman" w:cs="Times New Roman"/>
          <w:sz w:val="24"/>
          <w:szCs w:val="24"/>
        </w:rPr>
        <w:t xml:space="preserve"> study aims to contribute novel data to fill that gap, guiding humanitarian and policy responses more effectively.</w:t>
      </w:r>
    </w:p>
    <w:p w:rsidR="00B023B1" w:rsidRPr="00B023B1" w:rsidRDefault="00C05397" w:rsidP="00B023B1">
      <w:pPr>
        <w:pStyle w:val="Heading3"/>
        <w:rPr>
          <w:sz w:val="24"/>
          <w:szCs w:val="24"/>
        </w:rPr>
      </w:pPr>
      <w:r>
        <w:rPr>
          <w:rStyle w:val="Strong"/>
          <w:b/>
          <w:bCs/>
          <w:sz w:val="24"/>
          <w:szCs w:val="24"/>
        </w:rPr>
        <w:lastRenderedPageBreak/>
        <w:t xml:space="preserve">3.0 </w:t>
      </w:r>
      <w:r w:rsidR="00B023B1" w:rsidRPr="00B023B1">
        <w:rPr>
          <w:rStyle w:val="Strong"/>
          <w:b/>
          <w:bCs/>
          <w:sz w:val="24"/>
          <w:szCs w:val="24"/>
        </w:rPr>
        <w:t>Methodology</w:t>
      </w:r>
    </w:p>
    <w:p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a. </w:t>
      </w:r>
      <w:r w:rsidR="00B023B1" w:rsidRPr="00B023B1">
        <w:rPr>
          <w:rStyle w:val="Strong"/>
          <w:rFonts w:ascii="Times New Roman" w:hAnsi="Times New Roman" w:cs="Times New Roman"/>
          <w:b/>
          <w:bCs/>
          <w:i w:val="0"/>
          <w:color w:val="auto"/>
          <w:sz w:val="24"/>
          <w:szCs w:val="24"/>
        </w:rPr>
        <w:t>Research Design</w:t>
      </w:r>
    </w:p>
    <w:p w:rsidR="00B023B1" w:rsidRDefault="00CB403B" w:rsidP="00B023B1">
      <w:pPr>
        <w:pStyle w:val="NormalWeb"/>
        <w:spacing w:line="480" w:lineRule="auto"/>
        <w:jc w:val="both"/>
      </w:pPr>
      <w:r>
        <w:t>This study</w:t>
      </w:r>
      <w:r w:rsidR="00B023B1">
        <w:t xml:space="preserve"> adopt</w:t>
      </w:r>
      <w:r>
        <w:t>ed</w:t>
      </w:r>
      <w:r w:rsidR="00B023B1">
        <w:t xml:space="preserve"> a </w:t>
      </w:r>
      <w:r w:rsidR="00B023B1" w:rsidRPr="00B023B1">
        <w:rPr>
          <w:rStyle w:val="Strong"/>
          <w:b w:val="0"/>
        </w:rPr>
        <w:t>quasi-experimental research design</w:t>
      </w:r>
      <w:r w:rsidR="00B023B1">
        <w:t xml:space="preserve"> to evaluate the impact of food fortification interventions on micronutrient deficiencies among internally displaced children (IDCs) </w:t>
      </w:r>
      <w:r w:rsidR="000B16B0" w:rsidRPr="000B16B0">
        <w:t xml:space="preserve">aged </w:t>
      </w:r>
      <w:r w:rsidR="000B16B0" w:rsidRPr="00A54027">
        <w:t>6 months</w:t>
      </w:r>
      <w:r w:rsidRPr="00A54027">
        <w:t xml:space="preserve"> to </w:t>
      </w:r>
      <w:r w:rsidR="000B16B0" w:rsidRPr="00A54027">
        <w:t>1</w:t>
      </w:r>
      <w:r w:rsidRPr="00A54027">
        <w:t>5 years.</w:t>
      </w:r>
      <w:r w:rsidR="001B33A4">
        <w:t xml:space="preserve"> </w:t>
      </w:r>
      <w:r>
        <w:t>The design involved</w:t>
      </w:r>
      <w:r w:rsidR="001B33A4">
        <w:t xml:space="preserve"> </w:t>
      </w:r>
      <w:r w:rsidR="00B023B1" w:rsidRPr="00B023B1">
        <w:rPr>
          <w:rStyle w:val="Strong"/>
          <w:b w:val="0"/>
        </w:rPr>
        <w:t>pre- and post-intervention assessments</w:t>
      </w:r>
      <w:r w:rsidR="00B023B1">
        <w:t xml:space="preserve"> in selected internally displaced persons (IDP) camps where </w:t>
      </w:r>
      <w:r>
        <w:t>fortified food distributions were</w:t>
      </w:r>
      <w:r w:rsidR="00B023B1">
        <w:t xml:space="preserve"> implemented.</w:t>
      </w:r>
    </w:p>
    <w:p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b. </w:t>
      </w:r>
      <w:r w:rsidR="00B023B1" w:rsidRPr="00B023B1">
        <w:rPr>
          <w:rStyle w:val="Strong"/>
          <w:rFonts w:ascii="Times New Roman" w:hAnsi="Times New Roman" w:cs="Times New Roman"/>
          <w:b/>
          <w:bCs/>
          <w:i w:val="0"/>
          <w:color w:val="auto"/>
          <w:sz w:val="24"/>
          <w:szCs w:val="24"/>
        </w:rPr>
        <w:t>Population of the Study</w:t>
      </w:r>
      <w:r w:rsidR="00285E11">
        <w:rPr>
          <w:rStyle w:val="Strong"/>
          <w:rFonts w:ascii="Times New Roman" w:hAnsi="Times New Roman" w:cs="Times New Roman"/>
          <w:b/>
          <w:bCs/>
          <w:i w:val="0"/>
          <w:color w:val="auto"/>
          <w:sz w:val="24"/>
          <w:szCs w:val="24"/>
        </w:rPr>
        <w:t xml:space="preserve"> and Age Bracket</w:t>
      </w:r>
    </w:p>
    <w:p w:rsidR="00B023B1" w:rsidRDefault="00B023B1" w:rsidP="00B023B1">
      <w:pPr>
        <w:pStyle w:val="NormalWeb"/>
        <w:spacing w:line="480" w:lineRule="auto"/>
        <w:jc w:val="both"/>
      </w:pPr>
      <w:r>
        <w:t>The pop</w:t>
      </w:r>
      <w:r w:rsidR="00CB403B">
        <w:t>ulation for this study comprised</w:t>
      </w:r>
      <w:r w:rsidR="001B33A4">
        <w:t xml:space="preserve"> </w:t>
      </w:r>
      <w:r w:rsidRPr="00B023B1">
        <w:rPr>
          <w:rStyle w:val="Strong"/>
          <w:b w:val="0"/>
        </w:rPr>
        <w:t>internally displaced children</w:t>
      </w:r>
      <w:r>
        <w:t xml:space="preserve"> residing in IDP c</w:t>
      </w:r>
      <w:r w:rsidR="00285E11">
        <w:t>amps across t</w:t>
      </w:r>
      <w:r w:rsidR="00C36AA7">
        <w:t>hree</w:t>
      </w:r>
      <w:r>
        <w:t xml:space="preserve"> conflict-affected states in Northeast Nigeria: </w:t>
      </w:r>
      <w:proofErr w:type="spellStart"/>
      <w:proofErr w:type="gramStart"/>
      <w:r w:rsidRPr="00B023B1">
        <w:rPr>
          <w:rStyle w:val="Strong"/>
          <w:b w:val="0"/>
        </w:rPr>
        <w:t>Borno,Yobe</w:t>
      </w:r>
      <w:proofErr w:type="spellEnd"/>
      <w:proofErr w:type="gramEnd"/>
      <w:r w:rsidR="00C36AA7">
        <w:rPr>
          <w:rStyle w:val="Strong"/>
          <w:b w:val="0"/>
        </w:rPr>
        <w:t xml:space="preserve"> and Adamawa</w:t>
      </w:r>
      <w:r w:rsidR="00285E11">
        <w:rPr>
          <w:rStyle w:val="Strong"/>
          <w:b w:val="0"/>
        </w:rPr>
        <w:t xml:space="preserve">. </w:t>
      </w:r>
      <w:r w:rsidR="00285E11">
        <w:t xml:space="preserve">The </w:t>
      </w:r>
      <w:r w:rsidR="00285E11" w:rsidRPr="00285E11">
        <w:rPr>
          <w:rStyle w:val="Strong"/>
          <w:b w:val="0"/>
        </w:rPr>
        <w:t>target population</w:t>
      </w:r>
      <w:r w:rsidR="001B33A4">
        <w:rPr>
          <w:rStyle w:val="Strong"/>
          <w:b w:val="0"/>
        </w:rPr>
        <w:t xml:space="preserve"> </w:t>
      </w:r>
      <w:r w:rsidR="00285E11">
        <w:t>consisted</w:t>
      </w:r>
      <w:r w:rsidR="00C05397">
        <w:t xml:space="preserve"> of children aged 6 months to 15</w:t>
      </w:r>
      <w:r w:rsidR="00285E11">
        <w:t xml:space="preserve"> years who have resided in the camps for a minimum of three months</w:t>
      </w:r>
      <w:r w:rsidR="00285E11">
        <w:rPr>
          <w:rStyle w:val="Strong"/>
          <w:b w:val="0"/>
        </w:rPr>
        <w:t xml:space="preserve">. </w:t>
      </w:r>
      <w:r w:rsidR="00CB403B">
        <w:t xml:space="preserve">The study </w:t>
      </w:r>
      <w:r>
        <w:t>also involve</w:t>
      </w:r>
      <w:r w:rsidR="00CB403B">
        <w:t>d</w:t>
      </w:r>
      <w:r>
        <w:t xml:space="preserve"> the caregivers of these children and key stakeholders such as camp health</w:t>
      </w:r>
      <w:r w:rsidR="00285E11">
        <w:t xml:space="preserve"> workers and nutrition officers for qualitative insights. </w:t>
      </w:r>
    </w:p>
    <w:p w:rsidR="00216023" w:rsidRDefault="00216023" w:rsidP="00B023B1">
      <w:pPr>
        <w:pStyle w:val="NormalWeb"/>
        <w:spacing w:line="480" w:lineRule="auto"/>
        <w:jc w:val="both"/>
      </w:pPr>
    </w:p>
    <w:p w:rsidR="00216023" w:rsidRDefault="00216023" w:rsidP="00B023B1">
      <w:pPr>
        <w:pStyle w:val="NormalWeb"/>
        <w:spacing w:line="480" w:lineRule="auto"/>
        <w:jc w:val="both"/>
      </w:pPr>
    </w:p>
    <w:p w:rsidR="00566275" w:rsidRPr="00566275" w:rsidRDefault="00C05397" w:rsidP="00566275">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w:t>
      </w:r>
      <w:r w:rsidR="00566275" w:rsidRPr="00566275">
        <w:rPr>
          <w:rFonts w:ascii="Times New Roman" w:eastAsia="Times New Roman" w:hAnsi="Times New Roman" w:cs="Times New Roman"/>
          <w:b/>
          <w:bCs/>
          <w:sz w:val="24"/>
          <w:szCs w:val="24"/>
        </w:rPr>
        <w:t>Sample Size and Justification</w:t>
      </w:r>
    </w:p>
    <w:p w:rsidR="00566275" w:rsidRPr="00566275" w:rsidRDefault="00566275" w:rsidP="00566275">
      <w:p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 xml:space="preserve">The sample size for this study was determined using </w:t>
      </w:r>
      <w:r w:rsidRPr="00566275">
        <w:rPr>
          <w:rFonts w:ascii="Times New Roman" w:eastAsia="Times New Roman" w:hAnsi="Times New Roman" w:cs="Times New Roman"/>
          <w:bCs/>
          <w:sz w:val="24"/>
          <w:szCs w:val="24"/>
        </w:rPr>
        <w:t>Cochran’s formula</w:t>
      </w:r>
      <w:r w:rsidRPr="00566275">
        <w:rPr>
          <w:rFonts w:ascii="Times New Roman" w:eastAsia="Times New Roman" w:hAnsi="Times New Roman" w:cs="Times New Roman"/>
          <w:sz w:val="24"/>
          <w:szCs w:val="24"/>
        </w:rPr>
        <w:t xml:space="preserve"> for sample size estimation in large populations. Given the widespread nature of displacement in Northeast Nigeria and the absence of a precise population frame for internally displaced chil</w:t>
      </w:r>
      <w:r w:rsidR="00A54027">
        <w:rPr>
          <w:rFonts w:ascii="Times New Roman" w:eastAsia="Times New Roman" w:hAnsi="Times New Roman" w:cs="Times New Roman"/>
          <w:sz w:val="24"/>
          <w:szCs w:val="24"/>
        </w:rPr>
        <w:t>dren (IDCs), Cochran’s formula wa</w:t>
      </w:r>
      <w:r w:rsidRPr="00566275">
        <w:rPr>
          <w:rFonts w:ascii="Times New Roman" w:eastAsia="Times New Roman" w:hAnsi="Times New Roman" w:cs="Times New Roman"/>
          <w:sz w:val="24"/>
          <w:szCs w:val="24"/>
        </w:rPr>
        <w:t>s suitable for approximating an ideal sample for statistically significant results.</w:t>
      </w:r>
    </w:p>
    <w:p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lastRenderedPageBreak/>
        <w:t>Cochran’s formula:</w:t>
      </w:r>
    </w:p>
    <w:p w:rsidR="00566275" w:rsidRPr="00566275" w:rsidRDefault="00566275" w:rsidP="00566275">
      <w:pPr>
        <w:spacing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t>n</w:t>
      </w:r>
      <w:r w:rsidRPr="00566275">
        <w:rPr>
          <w:rFonts w:ascii="Cambria Math" w:eastAsia="Times New Roman" w:hAnsi="Cambria Math" w:cs="Cambria Math"/>
          <w:bCs/>
          <w:sz w:val="24"/>
          <w:szCs w:val="24"/>
        </w:rPr>
        <w:t>₀</w:t>
      </w:r>
      <w:r w:rsidRPr="00566275">
        <w:rPr>
          <w:rFonts w:ascii="Times New Roman" w:eastAsia="Times New Roman" w:hAnsi="Times New Roman" w:cs="Times New Roman"/>
          <w:bCs/>
          <w:sz w:val="24"/>
          <w:szCs w:val="24"/>
        </w:rPr>
        <w:t xml:space="preserve"> = Z² × p × (1 – p) / e²</w:t>
      </w:r>
    </w:p>
    <w:p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Where:</w:t>
      </w:r>
    </w:p>
    <w:p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n</w:t>
      </w:r>
      <w:r w:rsidRPr="00566275">
        <w:rPr>
          <w:rFonts w:ascii="Cambria Math" w:eastAsia="Times New Roman" w:hAnsi="Cambria Math" w:cs="Cambria Math"/>
          <w:b/>
          <w:bCs/>
          <w:sz w:val="24"/>
          <w:szCs w:val="24"/>
        </w:rPr>
        <w:t>₀</w:t>
      </w:r>
      <w:r w:rsidRPr="00566275">
        <w:rPr>
          <w:rFonts w:ascii="Times New Roman" w:eastAsia="Times New Roman" w:hAnsi="Times New Roman" w:cs="Times New Roman"/>
          <w:sz w:val="24"/>
          <w:szCs w:val="24"/>
        </w:rPr>
        <w:t xml:space="preserve"> = required sample size</w:t>
      </w:r>
    </w:p>
    <w:p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Z</w:t>
      </w:r>
      <w:r w:rsidRPr="00566275">
        <w:rPr>
          <w:rFonts w:ascii="Times New Roman" w:eastAsia="Times New Roman" w:hAnsi="Times New Roman" w:cs="Times New Roman"/>
          <w:sz w:val="24"/>
          <w:szCs w:val="24"/>
        </w:rPr>
        <w:t xml:space="preserve"> = Z-score at 95% confidence level (1.96)</w:t>
      </w:r>
    </w:p>
    <w:p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p</w:t>
      </w:r>
      <w:r w:rsidRPr="00566275">
        <w:rPr>
          <w:rFonts w:ascii="Times New Roman" w:eastAsia="Times New Roman" w:hAnsi="Times New Roman" w:cs="Times New Roman"/>
          <w:sz w:val="24"/>
          <w:szCs w:val="24"/>
        </w:rPr>
        <w:t xml:space="preserve"> = estimated proportion of the population with the characteristic (assumed to be 0.5 for maximum variability)</w:t>
      </w:r>
    </w:p>
    <w:p w:rsidR="00566275" w:rsidRPr="00566275" w:rsidRDefault="00566275" w:rsidP="00566275">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b/>
          <w:bCs/>
          <w:sz w:val="24"/>
          <w:szCs w:val="24"/>
        </w:rPr>
        <w:t>e</w:t>
      </w:r>
      <w:r w:rsidRPr="00566275">
        <w:rPr>
          <w:rFonts w:ascii="Times New Roman" w:eastAsia="Times New Roman" w:hAnsi="Times New Roman" w:cs="Times New Roman"/>
          <w:sz w:val="24"/>
          <w:szCs w:val="24"/>
        </w:rPr>
        <w:t xml:space="preserve"> = desired margin of error (0.04)</w:t>
      </w:r>
    </w:p>
    <w:p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t>Substituting the values:</w:t>
      </w:r>
    </w:p>
    <w:p w:rsidR="00566275" w:rsidRPr="00566275" w:rsidRDefault="00566275" w:rsidP="00566275">
      <w:pPr>
        <w:spacing w:beforeAutospacing="1" w:after="100" w:afterAutospacing="1" w:line="480" w:lineRule="auto"/>
        <w:rPr>
          <w:rFonts w:ascii="Times New Roman" w:eastAsia="Times New Roman" w:hAnsi="Times New Roman" w:cs="Times New Roman"/>
          <w:sz w:val="24"/>
          <w:szCs w:val="24"/>
        </w:rPr>
      </w:pPr>
      <w:r w:rsidRPr="00566275">
        <w:rPr>
          <w:rFonts w:ascii="Times New Roman" w:eastAsia="Times New Roman" w:hAnsi="Times New Roman" w:cs="Times New Roman"/>
          <w:bCs/>
          <w:sz w:val="24"/>
          <w:szCs w:val="24"/>
        </w:rPr>
        <w:t>n</w:t>
      </w:r>
      <w:r w:rsidRPr="00566275">
        <w:rPr>
          <w:rFonts w:ascii="Cambria Math" w:eastAsia="Times New Roman" w:hAnsi="Cambria Math" w:cs="Times New Roman"/>
          <w:bCs/>
          <w:sz w:val="24"/>
          <w:szCs w:val="24"/>
        </w:rPr>
        <w:t>₀</w:t>
      </w:r>
      <w:r w:rsidRPr="00566275">
        <w:rPr>
          <w:rFonts w:ascii="Times New Roman" w:eastAsia="Times New Roman" w:hAnsi="Times New Roman" w:cs="Times New Roman"/>
          <w:bCs/>
          <w:sz w:val="24"/>
          <w:szCs w:val="24"/>
        </w:rPr>
        <w:t xml:space="preserve"> = (</w:t>
      </w:r>
      <w:proofErr w:type="gramStart"/>
      <w:r w:rsidRPr="00566275">
        <w:rPr>
          <w:rFonts w:ascii="Times New Roman" w:eastAsia="Times New Roman" w:hAnsi="Times New Roman" w:cs="Times New Roman"/>
          <w:bCs/>
          <w:sz w:val="24"/>
          <w:szCs w:val="24"/>
        </w:rPr>
        <w:t>1.96)²</w:t>
      </w:r>
      <w:proofErr w:type="gramEnd"/>
      <w:r w:rsidRPr="00566275">
        <w:rPr>
          <w:rFonts w:ascii="Times New Roman" w:eastAsia="Times New Roman" w:hAnsi="Times New Roman" w:cs="Times New Roman"/>
          <w:bCs/>
          <w:sz w:val="24"/>
          <w:szCs w:val="24"/>
        </w:rPr>
        <w:t xml:space="preserve"> × 0.5 × (1 – 0.5) / (0.04)²</w:t>
      </w:r>
      <w:r w:rsidRPr="00566275">
        <w:rPr>
          <w:rFonts w:ascii="Times New Roman" w:eastAsia="Times New Roman" w:hAnsi="Times New Roman" w:cs="Times New Roman"/>
          <w:sz w:val="24"/>
          <w:szCs w:val="24"/>
        </w:rPr>
        <w:br/>
      </w:r>
      <w:r w:rsidRPr="00566275">
        <w:rPr>
          <w:rFonts w:ascii="Times New Roman" w:eastAsia="Times New Roman" w:hAnsi="Times New Roman" w:cs="Times New Roman"/>
          <w:bCs/>
          <w:sz w:val="24"/>
          <w:szCs w:val="24"/>
        </w:rPr>
        <w:t>n</w:t>
      </w:r>
      <w:r w:rsidRPr="00566275">
        <w:rPr>
          <w:rFonts w:ascii="Cambria Math" w:eastAsia="Times New Roman" w:hAnsi="Cambria Math" w:cs="Times New Roman"/>
          <w:bCs/>
          <w:sz w:val="24"/>
          <w:szCs w:val="24"/>
        </w:rPr>
        <w:t>₀</w:t>
      </w:r>
      <w:r w:rsidRPr="00566275">
        <w:rPr>
          <w:rFonts w:ascii="Times New Roman" w:eastAsia="Times New Roman" w:hAnsi="Times New Roman" w:cs="Times New Roman"/>
          <w:bCs/>
          <w:sz w:val="24"/>
          <w:szCs w:val="24"/>
        </w:rPr>
        <w:t xml:space="preserve"> = 3.8416 × 0.25 / 0.0016</w:t>
      </w:r>
      <w:r w:rsidRPr="00566275">
        <w:rPr>
          <w:rFonts w:ascii="Times New Roman" w:eastAsia="Times New Roman" w:hAnsi="Times New Roman" w:cs="Times New Roman"/>
          <w:sz w:val="24"/>
          <w:szCs w:val="24"/>
        </w:rPr>
        <w:br/>
      </w:r>
      <w:r w:rsidRPr="00566275">
        <w:rPr>
          <w:rFonts w:ascii="Times New Roman" w:eastAsia="Times New Roman" w:hAnsi="Times New Roman" w:cs="Times New Roman"/>
          <w:bCs/>
          <w:sz w:val="24"/>
          <w:szCs w:val="24"/>
        </w:rPr>
        <w:t>n</w:t>
      </w:r>
      <w:r w:rsidRPr="00566275">
        <w:rPr>
          <w:rFonts w:ascii="Cambria Math" w:eastAsia="Times New Roman" w:hAnsi="Cambria Math" w:cs="Times New Roman"/>
          <w:bCs/>
          <w:sz w:val="24"/>
          <w:szCs w:val="24"/>
        </w:rPr>
        <w:t>₀</w:t>
      </w:r>
      <w:r w:rsidRPr="00566275">
        <w:rPr>
          <w:rFonts w:ascii="Times New Roman" w:eastAsia="Times New Roman" w:hAnsi="Times New Roman" w:cs="Times New Roman"/>
          <w:bCs/>
          <w:sz w:val="24"/>
          <w:szCs w:val="24"/>
        </w:rPr>
        <w:t xml:space="preserve"> = 0.9604 / 0.0016 ≈ 600.25</w:t>
      </w:r>
    </w:p>
    <w:p w:rsidR="00566275" w:rsidRPr="00566275" w:rsidRDefault="00566275" w:rsidP="00566275">
      <w:pPr>
        <w:spacing w:before="100" w:beforeAutospacing="1" w:after="100" w:afterAutospacing="1" w:line="240" w:lineRule="auto"/>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 xml:space="preserve">Thus, a </w:t>
      </w:r>
      <w:r w:rsidRPr="00566275">
        <w:rPr>
          <w:rFonts w:ascii="Times New Roman" w:eastAsia="Times New Roman" w:hAnsi="Times New Roman" w:cs="Times New Roman"/>
          <w:bCs/>
          <w:sz w:val="24"/>
          <w:szCs w:val="24"/>
        </w:rPr>
        <w:t>final sample size of 600 IDCs</w:t>
      </w:r>
      <w:r w:rsidRPr="00566275">
        <w:rPr>
          <w:rFonts w:ascii="Times New Roman" w:eastAsia="Times New Roman" w:hAnsi="Times New Roman" w:cs="Times New Roman"/>
          <w:sz w:val="24"/>
          <w:szCs w:val="24"/>
        </w:rPr>
        <w:t xml:space="preserve"> was adopted for this study.</w:t>
      </w:r>
    </w:p>
    <w:p w:rsidR="00566275" w:rsidRDefault="00566275" w:rsidP="00566275">
      <w:pPr>
        <w:spacing w:before="100" w:beforeAutospacing="1" w:after="100" w:afterAutospacing="1" w:line="480" w:lineRule="auto"/>
        <w:jc w:val="both"/>
        <w:rPr>
          <w:rFonts w:ascii="Times New Roman" w:eastAsia="Times New Roman" w:hAnsi="Times New Roman" w:cs="Times New Roman"/>
          <w:sz w:val="24"/>
          <w:szCs w:val="24"/>
        </w:rPr>
      </w:pPr>
      <w:r w:rsidRPr="00566275">
        <w:rPr>
          <w:rFonts w:ascii="Times New Roman" w:eastAsia="Times New Roman" w:hAnsi="Times New Roman" w:cs="Times New Roman"/>
          <w:sz w:val="24"/>
          <w:szCs w:val="24"/>
        </w:rPr>
        <w:t xml:space="preserve">The study focused on children aged </w:t>
      </w:r>
      <w:r w:rsidR="00E0548E">
        <w:rPr>
          <w:rFonts w:ascii="Times New Roman" w:eastAsia="Times New Roman" w:hAnsi="Times New Roman" w:cs="Times New Roman"/>
          <w:bCs/>
          <w:sz w:val="24"/>
          <w:szCs w:val="24"/>
        </w:rPr>
        <w:t>6 months to 15</w:t>
      </w:r>
      <w:r w:rsidRPr="00566275">
        <w:rPr>
          <w:rFonts w:ascii="Times New Roman" w:eastAsia="Times New Roman" w:hAnsi="Times New Roman" w:cs="Times New Roman"/>
          <w:bCs/>
          <w:sz w:val="24"/>
          <w:szCs w:val="24"/>
        </w:rPr>
        <w:t xml:space="preserve"> years</w:t>
      </w:r>
      <w:r w:rsidRPr="00566275">
        <w:rPr>
          <w:rFonts w:ascii="Times New Roman" w:eastAsia="Times New Roman" w:hAnsi="Times New Roman" w:cs="Times New Roman"/>
          <w:sz w:val="24"/>
          <w:szCs w:val="24"/>
        </w:rPr>
        <w:t>, a critical developmental stage vulnerable to micronutrient deficiencies. This age range was selected based on public health relevance, global monitoring indicators (e.g., WHO and UNICEF benchmarks), and feasibility of reliable data collection. Children were sampled across three conflict-affec</w:t>
      </w:r>
      <w:r>
        <w:rPr>
          <w:rFonts w:ascii="Times New Roman" w:eastAsia="Times New Roman" w:hAnsi="Times New Roman" w:cs="Times New Roman"/>
          <w:sz w:val="24"/>
          <w:szCs w:val="24"/>
        </w:rPr>
        <w:t>ted states in Northeast Nigeria-</w:t>
      </w:r>
      <w:proofErr w:type="spellStart"/>
      <w:r w:rsidRPr="00566275">
        <w:rPr>
          <w:rFonts w:ascii="Times New Roman" w:eastAsia="Times New Roman" w:hAnsi="Times New Roman" w:cs="Times New Roman"/>
          <w:bCs/>
          <w:sz w:val="24"/>
          <w:szCs w:val="24"/>
        </w:rPr>
        <w:t>Borno</w:t>
      </w:r>
      <w:proofErr w:type="spellEnd"/>
      <w:r w:rsidRPr="00566275">
        <w:rPr>
          <w:rFonts w:ascii="Times New Roman" w:eastAsia="Times New Roman" w:hAnsi="Times New Roman" w:cs="Times New Roman"/>
          <w:sz w:val="24"/>
          <w:szCs w:val="24"/>
        </w:rPr>
        <w:t xml:space="preserve">, </w:t>
      </w:r>
      <w:r w:rsidRPr="00566275">
        <w:rPr>
          <w:rFonts w:ascii="Times New Roman" w:eastAsia="Times New Roman" w:hAnsi="Times New Roman" w:cs="Times New Roman"/>
          <w:bCs/>
          <w:sz w:val="24"/>
          <w:szCs w:val="24"/>
        </w:rPr>
        <w:t>Adamawa</w:t>
      </w:r>
      <w:r w:rsidRPr="00566275">
        <w:rPr>
          <w:rFonts w:ascii="Times New Roman" w:eastAsia="Times New Roman" w:hAnsi="Times New Roman" w:cs="Times New Roman"/>
          <w:sz w:val="24"/>
          <w:szCs w:val="24"/>
        </w:rPr>
        <w:t xml:space="preserve">, and </w:t>
      </w:r>
      <w:proofErr w:type="spellStart"/>
      <w:r w:rsidRPr="00566275">
        <w:rPr>
          <w:rFonts w:ascii="Times New Roman" w:eastAsia="Times New Roman" w:hAnsi="Times New Roman" w:cs="Times New Roman"/>
          <w:bCs/>
          <w:sz w:val="24"/>
          <w:szCs w:val="24"/>
        </w:rPr>
        <w:t>Yobe</w:t>
      </w:r>
      <w:r w:rsidRPr="00566275">
        <w:rPr>
          <w:rFonts w:ascii="Times New Roman" w:eastAsia="Times New Roman" w:hAnsi="Times New Roman" w:cs="Times New Roman"/>
          <w:sz w:val="24"/>
          <w:szCs w:val="24"/>
        </w:rPr>
        <w:t>to</w:t>
      </w:r>
      <w:proofErr w:type="spellEnd"/>
      <w:r w:rsidRPr="00566275">
        <w:rPr>
          <w:rFonts w:ascii="Times New Roman" w:eastAsia="Times New Roman" w:hAnsi="Times New Roman" w:cs="Times New Roman"/>
          <w:sz w:val="24"/>
          <w:szCs w:val="24"/>
        </w:rPr>
        <w:t xml:space="preserve"> ensure geographical representation and statistical power for comparative and inferential analyses</w:t>
      </w:r>
      <w:r>
        <w:rPr>
          <w:rFonts w:ascii="Times New Roman" w:eastAsia="Times New Roman" w:hAnsi="Times New Roman" w:cs="Times New Roman"/>
          <w:sz w:val="24"/>
          <w:szCs w:val="24"/>
        </w:rPr>
        <w:t>.</w:t>
      </w:r>
    </w:p>
    <w:p w:rsidR="002554B0" w:rsidRPr="002554B0" w:rsidRDefault="00C05397" w:rsidP="002554B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t>
      </w: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r w:rsidR="002554B0" w:rsidRPr="002554B0">
        <w:rPr>
          <w:rFonts w:ascii="Times New Roman" w:eastAsia="Times New Roman" w:hAnsi="Times New Roman" w:cs="Times New Roman"/>
          <w:b/>
          <w:bCs/>
          <w:sz w:val="24"/>
          <w:szCs w:val="24"/>
        </w:rPr>
        <w:t>Inclusion and Exclusion Criteria</w:t>
      </w:r>
    </w:p>
    <w:p w:rsidR="002554B0" w:rsidRPr="002554B0" w:rsidRDefault="002554B0" w:rsidP="002554B0">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2554B0">
        <w:rPr>
          <w:rFonts w:ascii="Times New Roman" w:eastAsia="Times New Roman" w:hAnsi="Times New Roman" w:cs="Times New Roman"/>
          <w:bCs/>
          <w:sz w:val="24"/>
          <w:szCs w:val="24"/>
        </w:rPr>
        <w:t>Inclusion</w:t>
      </w:r>
      <w:r w:rsidRPr="002554B0">
        <w:rPr>
          <w:rFonts w:ascii="Times New Roman" w:eastAsia="Times New Roman" w:hAnsi="Times New Roman" w:cs="Times New Roman"/>
          <w:b/>
          <w:bCs/>
          <w:sz w:val="24"/>
          <w:szCs w:val="24"/>
        </w:rPr>
        <w:t>:</w:t>
      </w:r>
      <w:r w:rsidRPr="002554B0">
        <w:rPr>
          <w:rFonts w:ascii="Times New Roman" w:eastAsia="Times New Roman" w:hAnsi="Times New Roman" w:cs="Times New Roman"/>
          <w:sz w:val="24"/>
          <w:szCs w:val="24"/>
        </w:rPr>
        <w:t xml:space="preserve"> IDCs aged 6 months to 15 years with parental/guardian consent and residency of at least 3 months in the camp.</w:t>
      </w:r>
    </w:p>
    <w:p w:rsidR="002554B0" w:rsidRPr="00566275" w:rsidRDefault="002554B0" w:rsidP="00566275">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2554B0">
        <w:rPr>
          <w:rFonts w:ascii="Times New Roman" w:eastAsia="Times New Roman" w:hAnsi="Times New Roman" w:cs="Times New Roman"/>
          <w:bCs/>
          <w:sz w:val="24"/>
          <w:szCs w:val="24"/>
        </w:rPr>
        <w:lastRenderedPageBreak/>
        <w:t>Exclusion:</w:t>
      </w:r>
      <w:r w:rsidRPr="002554B0">
        <w:rPr>
          <w:rFonts w:ascii="Times New Roman" w:eastAsia="Times New Roman" w:hAnsi="Times New Roman" w:cs="Times New Roman"/>
          <w:sz w:val="24"/>
          <w:szCs w:val="24"/>
        </w:rPr>
        <w:t xml:space="preserve"> Children with chronic illnesses unrelated to nutrition (e.g., congenital conditions) or without consent.</w:t>
      </w:r>
    </w:p>
    <w:p w:rsidR="00285E11" w:rsidRDefault="00C05397" w:rsidP="00B023B1">
      <w:pPr>
        <w:pStyle w:val="NormalWeb"/>
        <w:spacing w:line="480" w:lineRule="auto"/>
        <w:jc w:val="both"/>
        <w:rPr>
          <w:rStyle w:val="Strong"/>
        </w:rPr>
      </w:pPr>
      <w:r>
        <w:rPr>
          <w:rStyle w:val="Strong"/>
        </w:rPr>
        <w:t xml:space="preserve">d. </w:t>
      </w:r>
      <w:r w:rsidR="00566275" w:rsidRPr="00B023B1">
        <w:rPr>
          <w:rStyle w:val="Strong"/>
        </w:rPr>
        <w:t>Sampling Technique</w:t>
      </w:r>
    </w:p>
    <w:p w:rsidR="00C36AA7" w:rsidRDefault="00C36AA7" w:rsidP="00B023B1">
      <w:pPr>
        <w:pStyle w:val="NormalWeb"/>
        <w:spacing w:line="480" w:lineRule="auto"/>
        <w:jc w:val="both"/>
      </w:pPr>
      <w:r>
        <w:t xml:space="preserve">A </w:t>
      </w:r>
      <w:r w:rsidRPr="00B023B1">
        <w:rPr>
          <w:rStyle w:val="Strong"/>
          <w:b w:val="0"/>
        </w:rPr>
        <w:t>multistage sampling technique</w:t>
      </w:r>
      <w:r>
        <w:t xml:space="preserve"> was adopted:</w:t>
      </w:r>
    </w:p>
    <w:p w:rsidR="00B023B1" w:rsidRDefault="00B023B1" w:rsidP="00B023B1">
      <w:pPr>
        <w:pStyle w:val="NormalWeb"/>
        <w:numPr>
          <w:ilvl w:val="0"/>
          <w:numId w:val="5"/>
        </w:numPr>
        <w:spacing w:line="480" w:lineRule="auto"/>
        <w:jc w:val="both"/>
      </w:pPr>
      <w:r w:rsidRPr="00C36AA7">
        <w:rPr>
          <w:rStyle w:val="Strong"/>
          <w:b w:val="0"/>
        </w:rPr>
        <w:t>Purposive sampling:</w:t>
      </w:r>
      <w:r>
        <w:t xml:space="preserve"> to select the three most populated IDP camps in each of the three states.</w:t>
      </w:r>
    </w:p>
    <w:p w:rsidR="00B023B1" w:rsidRDefault="00B023B1" w:rsidP="00B023B1">
      <w:pPr>
        <w:pStyle w:val="NormalWeb"/>
        <w:numPr>
          <w:ilvl w:val="0"/>
          <w:numId w:val="5"/>
        </w:numPr>
        <w:spacing w:line="480" w:lineRule="auto"/>
        <w:jc w:val="both"/>
      </w:pPr>
      <w:r w:rsidRPr="00C36AA7">
        <w:rPr>
          <w:rStyle w:val="Strong"/>
          <w:b w:val="0"/>
        </w:rPr>
        <w:t>Simple random sampling</w:t>
      </w:r>
      <w:r>
        <w:rPr>
          <w:rStyle w:val="Strong"/>
        </w:rPr>
        <w:t>:</w:t>
      </w:r>
      <w:r>
        <w:t xml:space="preserve"> to select children within the camps who meet the in</w:t>
      </w:r>
      <w:r w:rsidR="000B16B0">
        <w:t>clusion criteria (i.e., age 6–180</w:t>
      </w:r>
      <w:r>
        <w:t xml:space="preserve"> months, no chronic illness, and not currently hospitalized).</w:t>
      </w:r>
    </w:p>
    <w:p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e. </w:t>
      </w:r>
      <w:r w:rsidR="00B023B1" w:rsidRPr="00B023B1">
        <w:rPr>
          <w:rStyle w:val="Strong"/>
          <w:rFonts w:ascii="Times New Roman" w:hAnsi="Times New Roman" w:cs="Times New Roman"/>
          <w:b/>
          <w:bCs/>
          <w:i w:val="0"/>
          <w:color w:val="auto"/>
          <w:sz w:val="24"/>
          <w:szCs w:val="24"/>
        </w:rPr>
        <w:t>Methods of Data Collection</w:t>
      </w:r>
    </w:p>
    <w:p w:rsidR="007D279A" w:rsidRDefault="00E0548E" w:rsidP="00B023B1">
      <w:pPr>
        <w:pStyle w:val="NormalWeb"/>
        <w:spacing w:line="480" w:lineRule="auto"/>
        <w:jc w:val="both"/>
      </w:pPr>
      <w:r>
        <w:t>Data were</w:t>
      </w:r>
      <w:r w:rsidR="00B023B1">
        <w:t xml:space="preserve"> collected using a </w:t>
      </w:r>
      <w:r w:rsidR="00B023B1" w:rsidRPr="00B023B1">
        <w:rPr>
          <w:rStyle w:val="Strong"/>
          <w:b w:val="0"/>
        </w:rPr>
        <w:t>combination of quantitative and qualitative approaches</w:t>
      </w:r>
      <w:r w:rsidR="00B023B1">
        <w:t xml:space="preserve"> to enhance the validity of findings.</w:t>
      </w:r>
    </w:p>
    <w:p w:rsidR="00E0548E" w:rsidRDefault="00E0548E" w:rsidP="00B023B1">
      <w:pPr>
        <w:pStyle w:val="NormalWeb"/>
        <w:spacing w:line="480" w:lineRule="auto"/>
        <w:jc w:val="both"/>
      </w:pPr>
    </w:p>
    <w:p w:rsidR="00E0548E" w:rsidRDefault="00E0548E" w:rsidP="00B023B1">
      <w:pPr>
        <w:pStyle w:val="NormalWeb"/>
        <w:spacing w:line="480" w:lineRule="auto"/>
        <w:jc w:val="both"/>
      </w:pPr>
    </w:p>
    <w:p w:rsidR="00B023B1" w:rsidRPr="00C36AA7" w:rsidRDefault="00B023B1" w:rsidP="00B023B1">
      <w:pPr>
        <w:pStyle w:val="NormalWeb"/>
        <w:numPr>
          <w:ilvl w:val="0"/>
          <w:numId w:val="6"/>
        </w:numPr>
        <w:spacing w:line="480" w:lineRule="auto"/>
        <w:jc w:val="both"/>
        <w:rPr>
          <w:b/>
        </w:rPr>
      </w:pPr>
      <w:r w:rsidRPr="00C36AA7">
        <w:rPr>
          <w:rStyle w:val="Strong"/>
          <w:b w:val="0"/>
        </w:rPr>
        <w:t>Quantitative Data Collection:</w:t>
      </w:r>
    </w:p>
    <w:p w:rsidR="00B023B1" w:rsidRDefault="00B023B1" w:rsidP="00B023B1">
      <w:pPr>
        <w:pStyle w:val="NormalWeb"/>
        <w:numPr>
          <w:ilvl w:val="1"/>
          <w:numId w:val="6"/>
        </w:numPr>
        <w:spacing w:line="480" w:lineRule="auto"/>
        <w:jc w:val="both"/>
      </w:pPr>
      <w:r w:rsidRPr="00B023B1">
        <w:rPr>
          <w:rStyle w:val="Strong"/>
          <w:b w:val="0"/>
        </w:rPr>
        <w:t>Biochemical assessments</w:t>
      </w:r>
      <w:r>
        <w:t xml:space="preserve"> (e.g., hemoglobin levels, serum ferriti</w:t>
      </w:r>
      <w:r w:rsidR="007D279A">
        <w:t>n, and vitamin A status) were</w:t>
      </w:r>
      <w:r>
        <w:t xml:space="preserve"> conducted using portable diagnostic kits and certified laboratories to assess baseline and post-intervention micronutrient levels.</w:t>
      </w:r>
    </w:p>
    <w:p w:rsidR="00B023B1" w:rsidRDefault="00B023B1" w:rsidP="00B023B1">
      <w:pPr>
        <w:pStyle w:val="NormalWeb"/>
        <w:numPr>
          <w:ilvl w:val="1"/>
          <w:numId w:val="6"/>
        </w:numPr>
        <w:spacing w:line="480" w:lineRule="auto"/>
        <w:jc w:val="both"/>
      </w:pPr>
      <w:r w:rsidRPr="00B023B1">
        <w:rPr>
          <w:rStyle w:val="Strong"/>
          <w:b w:val="0"/>
        </w:rPr>
        <w:t xml:space="preserve">Structured </w:t>
      </w:r>
      <w:proofErr w:type="spellStart"/>
      <w:r w:rsidRPr="00B023B1">
        <w:rPr>
          <w:rStyle w:val="Strong"/>
          <w:b w:val="0"/>
        </w:rPr>
        <w:t>questionnaires</w:t>
      </w:r>
      <w:r w:rsidR="007D279A">
        <w:t>were</w:t>
      </w:r>
      <w:proofErr w:type="spellEnd"/>
      <w:r>
        <w:t xml:space="preserve"> administered to caregivers to assess food intake, health status, and demographic characteristics.</w:t>
      </w:r>
    </w:p>
    <w:p w:rsidR="00B023B1" w:rsidRDefault="00B023B1" w:rsidP="00B023B1">
      <w:pPr>
        <w:pStyle w:val="NormalWeb"/>
        <w:numPr>
          <w:ilvl w:val="1"/>
          <w:numId w:val="6"/>
        </w:numPr>
        <w:spacing w:line="480" w:lineRule="auto"/>
        <w:jc w:val="both"/>
      </w:pPr>
      <w:r w:rsidRPr="00B023B1">
        <w:rPr>
          <w:rStyle w:val="Strong"/>
          <w:b w:val="0"/>
        </w:rPr>
        <w:lastRenderedPageBreak/>
        <w:t>Dietary intake surveys</w:t>
      </w:r>
      <w:r>
        <w:t xml:space="preserve"> (24-hour recall and food f</w:t>
      </w:r>
      <w:r w:rsidR="007D279A">
        <w:t>requency questionnaires) were</w:t>
      </w:r>
      <w:r>
        <w:t xml:space="preserve"> used to assess nutrient intake patterns.</w:t>
      </w:r>
    </w:p>
    <w:p w:rsidR="00C36AA7" w:rsidRDefault="00C36AA7" w:rsidP="00B023B1">
      <w:pPr>
        <w:pStyle w:val="NormalWeb"/>
        <w:numPr>
          <w:ilvl w:val="1"/>
          <w:numId w:val="6"/>
        </w:numPr>
        <w:spacing w:line="480" w:lineRule="auto"/>
        <w:jc w:val="both"/>
      </w:pPr>
    </w:p>
    <w:p w:rsidR="00B023B1" w:rsidRPr="00C36AA7" w:rsidRDefault="00B023B1" w:rsidP="00B023B1">
      <w:pPr>
        <w:pStyle w:val="NormalWeb"/>
        <w:numPr>
          <w:ilvl w:val="0"/>
          <w:numId w:val="6"/>
        </w:numPr>
        <w:spacing w:line="480" w:lineRule="auto"/>
        <w:jc w:val="both"/>
        <w:rPr>
          <w:b/>
        </w:rPr>
      </w:pPr>
      <w:r w:rsidRPr="00C36AA7">
        <w:rPr>
          <w:rStyle w:val="Strong"/>
          <w:b w:val="0"/>
        </w:rPr>
        <w:t>Qualitative Data Collection:</w:t>
      </w:r>
    </w:p>
    <w:p w:rsidR="00B023B1" w:rsidRDefault="00B023B1" w:rsidP="00B023B1">
      <w:pPr>
        <w:pStyle w:val="NormalWeb"/>
        <w:numPr>
          <w:ilvl w:val="1"/>
          <w:numId w:val="6"/>
        </w:numPr>
        <w:spacing w:line="480" w:lineRule="auto"/>
        <w:jc w:val="both"/>
      </w:pPr>
      <w:r w:rsidRPr="00B023B1">
        <w:rPr>
          <w:rStyle w:val="Strong"/>
          <w:b w:val="0"/>
        </w:rPr>
        <w:t>Focus group discussions (FGDs)</w:t>
      </w:r>
      <w:r>
        <w:t xml:space="preserve"> with caregivers and community nutrition volunteers to understand perceptions of fortified foods and barriers to effective consumption.</w:t>
      </w:r>
    </w:p>
    <w:p w:rsidR="00B023B1" w:rsidRDefault="00B023B1" w:rsidP="00B023B1">
      <w:pPr>
        <w:pStyle w:val="NormalWeb"/>
        <w:numPr>
          <w:ilvl w:val="1"/>
          <w:numId w:val="6"/>
        </w:numPr>
        <w:spacing w:line="480" w:lineRule="auto"/>
        <w:jc w:val="both"/>
      </w:pPr>
      <w:r w:rsidRPr="00B023B1">
        <w:rPr>
          <w:rStyle w:val="Strong"/>
          <w:b w:val="0"/>
        </w:rPr>
        <w:t>Key informant interviews (KIIs)</w:t>
      </w:r>
      <w:r>
        <w:t xml:space="preserve"> with nutrition program officers, camp managers, and healthcare providers.</w:t>
      </w:r>
    </w:p>
    <w:p w:rsidR="00B023B1" w:rsidRPr="00B023B1" w:rsidRDefault="00C05397" w:rsidP="00B023B1">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 xml:space="preserve">f. </w:t>
      </w:r>
      <w:r w:rsidR="00B023B1" w:rsidRPr="00B023B1">
        <w:rPr>
          <w:rStyle w:val="Strong"/>
          <w:rFonts w:ascii="Times New Roman" w:hAnsi="Times New Roman" w:cs="Times New Roman"/>
          <w:b/>
          <w:bCs/>
          <w:i w:val="0"/>
          <w:color w:val="auto"/>
          <w:sz w:val="24"/>
          <w:szCs w:val="24"/>
        </w:rPr>
        <w:t>Method of Data Analysis</w:t>
      </w:r>
    </w:p>
    <w:p w:rsidR="00B023B1" w:rsidRDefault="00B023B1" w:rsidP="00B023B1">
      <w:pPr>
        <w:pStyle w:val="NormalWeb"/>
        <w:numPr>
          <w:ilvl w:val="0"/>
          <w:numId w:val="7"/>
        </w:numPr>
        <w:spacing w:line="480" w:lineRule="auto"/>
        <w:jc w:val="both"/>
      </w:pPr>
      <w:r w:rsidRPr="00B023B1">
        <w:rPr>
          <w:rStyle w:val="Strong"/>
          <w:b w:val="0"/>
        </w:rPr>
        <w:t>Quantitative data</w:t>
      </w:r>
      <w:r w:rsidR="007D279A">
        <w:t xml:space="preserve"> wer</w:t>
      </w:r>
      <w:r>
        <w:t xml:space="preserve">e analyzed using </w:t>
      </w:r>
      <w:r w:rsidRPr="00B023B1">
        <w:rPr>
          <w:rStyle w:val="Strong"/>
          <w:b w:val="0"/>
        </w:rPr>
        <w:t>SPSS (version 27)</w:t>
      </w:r>
      <w:r>
        <w:t xml:space="preserve"> and </w:t>
      </w:r>
      <w:r w:rsidRPr="00B023B1">
        <w:rPr>
          <w:rStyle w:val="Strong"/>
          <w:b w:val="0"/>
        </w:rPr>
        <w:t>STATA (version 15)</w:t>
      </w:r>
      <w:r w:rsidRPr="00B023B1">
        <w:rPr>
          <w:b/>
        </w:rPr>
        <w:t>.</w:t>
      </w:r>
      <w:r w:rsidR="007D279A">
        <w:t xml:space="preserve"> The analysis</w:t>
      </w:r>
      <w:r>
        <w:t xml:space="preserve"> involve</w:t>
      </w:r>
      <w:r w:rsidR="007D279A">
        <w:t>d</w:t>
      </w:r>
      <w:r>
        <w:t>:</w:t>
      </w:r>
    </w:p>
    <w:p w:rsidR="00B023B1" w:rsidRDefault="00B023B1" w:rsidP="00B023B1">
      <w:pPr>
        <w:pStyle w:val="NormalWeb"/>
        <w:numPr>
          <w:ilvl w:val="1"/>
          <w:numId w:val="7"/>
        </w:numPr>
        <w:spacing w:line="480" w:lineRule="auto"/>
        <w:jc w:val="both"/>
      </w:pPr>
      <w:r w:rsidRPr="00B023B1">
        <w:rPr>
          <w:rStyle w:val="Strong"/>
          <w:b w:val="0"/>
        </w:rPr>
        <w:t>Descriptive statistics</w:t>
      </w:r>
      <w:r>
        <w:t xml:space="preserve"> (means, standard deviations, frequencies) to summarize baseline characteristics.</w:t>
      </w:r>
    </w:p>
    <w:p w:rsidR="00B023B1" w:rsidRDefault="00B023B1" w:rsidP="00B023B1">
      <w:pPr>
        <w:pStyle w:val="NormalWeb"/>
        <w:numPr>
          <w:ilvl w:val="1"/>
          <w:numId w:val="7"/>
        </w:numPr>
        <w:spacing w:line="480" w:lineRule="auto"/>
        <w:jc w:val="both"/>
      </w:pPr>
      <w:r w:rsidRPr="00B023B1">
        <w:rPr>
          <w:rStyle w:val="Strong"/>
          <w:b w:val="0"/>
        </w:rPr>
        <w:t>Paired sample t-tests</w:t>
      </w:r>
      <w:r>
        <w:t xml:space="preserve"> to assess changes in micronutrient levels before and after the intervention.</w:t>
      </w:r>
    </w:p>
    <w:p w:rsidR="00B023B1" w:rsidRDefault="00B023B1" w:rsidP="00B023B1">
      <w:pPr>
        <w:pStyle w:val="NormalWeb"/>
        <w:numPr>
          <w:ilvl w:val="1"/>
          <w:numId w:val="7"/>
        </w:numPr>
        <w:spacing w:line="480" w:lineRule="auto"/>
        <w:jc w:val="both"/>
      </w:pPr>
      <w:r w:rsidRPr="00B023B1">
        <w:rPr>
          <w:rStyle w:val="Strong"/>
          <w:b w:val="0"/>
        </w:rPr>
        <w:t>Multivariate analysis of variance (MANOVA</w:t>
      </w:r>
      <w:r>
        <w:rPr>
          <w:rStyle w:val="Strong"/>
        </w:rPr>
        <w:t>)</w:t>
      </w:r>
      <w:r>
        <w:t xml:space="preserve"> to determine the effects of socio-demographic and dietary factors on micronutrient status.</w:t>
      </w:r>
    </w:p>
    <w:p w:rsidR="00073ED0" w:rsidRDefault="00B023B1" w:rsidP="00073ED0">
      <w:pPr>
        <w:pStyle w:val="NormalWeb"/>
        <w:numPr>
          <w:ilvl w:val="1"/>
          <w:numId w:val="7"/>
        </w:numPr>
        <w:spacing w:line="480" w:lineRule="auto"/>
        <w:jc w:val="both"/>
      </w:pPr>
      <w:r w:rsidRPr="00B023B1">
        <w:rPr>
          <w:rStyle w:val="Strong"/>
          <w:b w:val="0"/>
        </w:rPr>
        <w:t xml:space="preserve">Logistic regression </w:t>
      </w:r>
      <w:proofErr w:type="spellStart"/>
      <w:r w:rsidRPr="00B023B1">
        <w:rPr>
          <w:rStyle w:val="Strong"/>
          <w:b w:val="0"/>
        </w:rPr>
        <w:t>analysis</w:t>
      </w:r>
      <w:r>
        <w:t>to</w:t>
      </w:r>
      <w:proofErr w:type="spellEnd"/>
      <w:r>
        <w:t xml:space="preserve"> identify predictors of improvement in micronutrient status.</w:t>
      </w:r>
    </w:p>
    <w:p w:rsidR="00073ED0" w:rsidRDefault="00073ED0" w:rsidP="00073ED0">
      <w:pPr>
        <w:pStyle w:val="NormalWeb"/>
        <w:numPr>
          <w:ilvl w:val="0"/>
          <w:numId w:val="7"/>
        </w:numPr>
        <w:spacing w:line="480" w:lineRule="auto"/>
        <w:jc w:val="both"/>
      </w:pPr>
      <w:r w:rsidRPr="00B023B1">
        <w:rPr>
          <w:rStyle w:val="Strong"/>
          <w:b w:val="0"/>
        </w:rPr>
        <w:t>Qualitative data</w:t>
      </w:r>
      <w:r>
        <w:t xml:space="preserve"> from FGDs and KIIs will be transcribed and analyzed using </w:t>
      </w:r>
      <w:r w:rsidRPr="00B023B1">
        <w:rPr>
          <w:rStyle w:val="Strong"/>
          <w:b w:val="0"/>
        </w:rPr>
        <w:t>NVivo software (version 14)</w:t>
      </w:r>
      <w:r w:rsidRPr="00B023B1">
        <w:rPr>
          <w:b/>
        </w:rPr>
        <w:t xml:space="preserve">. A </w:t>
      </w:r>
      <w:r w:rsidRPr="00B023B1">
        <w:rPr>
          <w:rStyle w:val="Strong"/>
          <w:b w:val="0"/>
        </w:rPr>
        <w:t>thematic content analysis</w:t>
      </w:r>
      <w:r w:rsidR="00E0548E">
        <w:t xml:space="preserve"> was</w:t>
      </w:r>
      <w:r>
        <w:t xml:space="preserve"> employed to explore recurring patterns and contextual insights regarding food fortification practices and challenges.</w:t>
      </w:r>
    </w:p>
    <w:p w:rsidR="000C6FEB" w:rsidRPr="004E13BD" w:rsidRDefault="004E13BD" w:rsidP="004E13BD">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g</w:t>
      </w:r>
      <w:r w:rsidR="00AD5BF9" w:rsidRPr="006B66C8">
        <w:rPr>
          <w:rFonts w:ascii="Times New Roman" w:eastAsia="Times New Roman" w:hAnsi="Times New Roman" w:cs="Times New Roman"/>
          <w:b/>
          <w:bCs/>
          <w:sz w:val="24"/>
          <w:szCs w:val="24"/>
        </w:rPr>
        <w:t>. Multivariate Analysis of Variance (MANOVA)</w:t>
      </w:r>
      <w:r w:rsidR="006B66C8" w:rsidRPr="006B66C8">
        <w:rPr>
          <w:rFonts w:ascii="Times New Roman" w:eastAsia="Times New Roman" w:hAnsi="Times New Roman" w:cs="Times New Roman"/>
          <w:b/>
          <w:bCs/>
          <w:sz w:val="24"/>
          <w:szCs w:val="24"/>
        </w:rPr>
        <w:t xml:space="preserve"> Test Result</w:t>
      </w:r>
    </w:p>
    <w:p w:rsidR="000C6FEB" w:rsidRPr="000C6FEB" w:rsidRDefault="000C6FEB" w:rsidP="000C6FEB">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Table</w:t>
      </w:r>
      <w:r w:rsidR="004E13BD">
        <w:rPr>
          <w:rFonts w:ascii="Times New Roman" w:eastAsia="Times New Roman" w:hAnsi="Times New Roman" w:cs="Times New Roman"/>
          <w:bCs/>
          <w:sz w:val="24"/>
          <w:szCs w:val="24"/>
        </w:rPr>
        <w:t xml:space="preserve"> 1</w:t>
      </w:r>
      <w:r w:rsidRPr="004E13BD">
        <w:rPr>
          <w:rFonts w:ascii="Times New Roman" w:eastAsia="Times New Roman" w:hAnsi="Times New Roman" w:cs="Times New Roman"/>
          <w:bCs/>
          <w:sz w:val="24"/>
          <w:szCs w:val="24"/>
        </w:rPr>
        <w:t>: MANOVA Te</w:t>
      </w:r>
      <w:r w:rsidR="004E13BD">
        <w:rPr>
          <w:rFonts w:ascii="Times New Roman" w:eastAsia="Times New Roman" w:hAnsi="Times New Roman" w:cs="Times New Roman"/>
          <w:bCs/>
          <w:sz w:val="24"/>
          <w:szCs w:val="24"/>
        </w:rPr>
        <w:t>st of Between-Subjects Effects u</w:t>
      </w:r>
      <w:r w:rsidRPr="004E13BD">
        <w:rPr>
          <w:rFonts w:ascii="Times New Roman" w:eastAsia="Times New Roman" w:hAnsi="Times New Roman" w:cs="Times New Roman"/>
          <w:bCs/>
          <w:sz w:val="24"/>
          <w:szCs w:val="24"/>
        </w:rPr>
        <w:t>sing Wilks' Lambda</w:t>
      </w:r>
    </w:p>
    <w:tbl>
      <w:tblPr>
        <w:tblW w:w="88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8"/>
        <w:gridCol w:w="1677"/>
        <w:gridCol w:w="803"/>
        <w:gridCol w:w="1543"/>
        <w:gridCol w:w="919"/>
        <w:gridCol w:w="1537"/>
      </w:tblGrid>
      <w:tr w:rsidR="000C6FEB" w:rsidRPr="000C6FEB" w:rsidTr="004E13BD">
        <w:trPr>
          <w:trHeight w:val="377"/>
          <w:tblHeader/>
          <w:tblCellSpacing w:w="15" w:type="dxa"/>
        </w:trPr>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Effect</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Wilks' Lambda</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F</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Hypothesis df</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Error df</w:t>
            </w:r>
          </w:p>
        </w:tc>
        <w:tc>
          <w:tcPr>
            <w:tcW w:w="0" w:type="auto"/>
            <w:vAlign w:val="center"/>
            <w:hideMark/>
          </w:tcPr>
          <w:p w:rsidR="000C6FEB" w:rsidRPr="000C6FEB" w:rsidRDefault="000C6FEB" w:rsidP="000C6FEB">
            <w:pPr>
              <w:spacing w:after="0" w:line="240" w:lineRule="auto"/>
              <w:jc w:val="center"/>
              <w:rPr>
                <w:rFonts w:ascii="Times New Roman" w:eastAsia="Times New Roman" w:hAnsi="Times New Roman" w:cs="Times New Roman"/>
                <w:bCs/>
                <w:sz w:val="24"/>
                <w:szCs w:val="24"/>
              </w:rPr>
            </w:pPr>
            <w:r w:rsidRPr="000C6FEB">
              <w:rPr>
                <w:rFonts w:ascii="Times New Roman" w:eastAsia="Times New Roman" w:hAnsi="Times New Roman" w:cs="Times New Roman"/>
                <w:bCs/>
                <w:sz w:val="24"/>
                <w:szCs w:val="24"/>
              </w:rPr>
              <w:t>Sig. (p-value)</w:t>
            </w:r>
          </w:p>
        </w:tc>
      </w:tr>
      <w:tr w:rsidR="000C6FEB" w:rsidRPr="000C6FEB" w:rsidTr="004E13BD">
        <w:trPr>
          <w:trHeight w:val="400"/>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Intercept</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0.850</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19.023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592</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&lt; 0.001</w:t>
            </w:r>
          </w:p>
        </w:tc>
      </w:tr>
      <w:tr w:rsidR="000C6FEB" w:rsidRPr="000C6FEB" w:rsidTr="004E13BD">
        <w:trPr>
          <w:trHeight w:val="377"/>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Gender</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0.987</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2.643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592</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0.049</w:t>
            </w:r>
          </w:p>
        </w:tc>
      </w:tr>
      <w:tr w:rsidR="000C6FEB" w:rsidRPr="000C6FEB" w:rsidTr="004E13BD">
        <w:trPr>
          <w:trHeight w:val="400"/>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Age Group</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0.981</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3.778</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0.001</w:t>
            </w:r>
          </w:p>
        </w:tc>
      </w:tr>
      <w:tr w:rsidR="000C6FEB" w:rsidRPr="000C6FEB" w:rsidTr="004E13BD">
        <w:trPr>
          <w:trHeight w:val="400"/>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State of Displacement</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0.969</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3.103</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0.005</w:t>
            </w:r>
          </w:p>
        </w:tc>
      </w:tr>
      <w:tr w:rsidR="000C6FEB" w:rsidRPr="000C6FEB" w:rsidTr="004E13BD">
        <w:trPr>
          <w:trHeight w:val="377"/>
          <w:tblCellSpacing w:w="15" w:type="dxa"/>
        </w:trPr>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Duration in Camp</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0.961</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4.020</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6</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1184</w:t>
            </w:r>
          </w:p>
        </w:tc>
        <w:tc>
          <w:tcPr>
            <w:tcW w:w="0" w:type="auto"/>
            <w:vAlign w:val="center"/>
            <w:hideMark/>
          </w:tcPr>
          <w:p w:rsidR="000C6FEB" w:rsidRPr="000C6FEB" w:rsidRDefault="000C6FEB" w:rsidP="00A54027">
            <w:pPr>
              <w:spacing w:after="0" w:line="240" w:lineRule="auto"/>
              <w:jc w:val="center"/>
              <w:rPr>
                <w:rFonts w:ascii="Times New Roman" w:eastAsia="Times New Roman" w:hAnsi="Times New Roman" w:cs="Times New Roman"/>
                <w:sz w:val="24"/>
                <w:szCs w:val="24"/>
              </w:rPr>
            </w:pPr>
            <w:r w:rsidRPr="000C6FEB">
              <w:rPr>
                <w:rFonts w:ascii="Times New Roman" w:eastAsia="Times New Roman" w:hAnsi="Times New Roman" w:cs="Times New Roman"/>
                <w:sz w:val="24"/>
                <w:szCs w:val="24"/>
              </w:rPr>
              <w:t>&lt; 0.001</w:t>
            </w:r>
          </w:p>
        </w:tc>
      </w:tr>
    </w:tbl>
    <w:p w:rsidR="000C6FEB" w:rsidRDefault="000C6FEB" w:rsidP="00A54027">
      <w:pPr>
        <w:spacing w:after="0" w:line="240" w:lineRule="auto"/>
        <w:jc w:val="center"/>
        <w:rPr>
          <w:rFonts w:ascii="Times New Roman" w:eastAsia="Times New Roman" w:hAnsi="Times New Roman" w:cs="Times New Roman"/>
          <w:bCs/>
          <w:sz w:val="24"/>
          <w:szCs w:val="24"/>
        </w:rPr>
      </w:pPr>
    </w:p>
    <w:p w:rsidR="000C6FEB" w:rsidRDefault="004E13BD" w:rsidP="000C6F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(Source: </w:t>
      </w:r>
      <w:proofErr w:type="spellStart"/>
      <w:r>
        <w:rPr>
          <w:rFonts w:ascii="Times New Roman" w:eastAsia="Times New Roman" w:hAnsi="Times New Roman" w:cs="Times New Roman"/>
          <w:bCs/>
          <w:sz w:val="24"/>
          <w:szCs w:val="24"/>
        </w:rPr>
        <w:t>Spss</w:t>
      </w:r>
      <w:proofErr w:type="spellEnd"/>
      <w:r>
        <w:rPr>
          <w:rFonts w:ascii="Times New Roman" w:eastAsia="Times New Roman" w:hAnsi="Times New Roman" w:cs="Times New Roman"/>
          <w:bCs/>
          <w:sz w:val="24"/>
          <w:szCs w:val="24"/>
        </w:rPr>
        <w:t xml:space="preserve"> v 27)</w:t>
      </w:r>
      <w:r>
        <w:rPr>
          <w:rFonts w:ascii="Times New Roman" w:eastAsia="Times New Roman" w:hAnsi="Times New Roman" w:cs="Times New Roman"/>
          <w:bCs/>
          <w:sz w:val="24"/>
          <w:szCs w:val="24"/>
        </w:rPr>
        <w:br/>
      </w:r>
    </w:p>
    <w:p w:rsidR="00CA32E3" w:rsidRPr="00A54027" w:rsidRDefault="000C6FEB" w:rsidP="004E13BD">
      <w:pPr>
        <w:spacing w:after="0" w:line="480" w:lineRule="auto"/>
        <w:jc w:val="both"/>
        <w:rPr>
          <w:rFonts w:ascii="Times New Roman" w:hAnsi="Times New Roman" w:cs="Times New Roman"/>
          <w:sz w:val="24"/>
          <w:szCs w:val="24"/>
        </w:rPr>
      </w:pPr>
      <w:r w:rsidRPr="008E0944">
        <w:rPr>
          <w:rFonts w:ascii="Times New Roman" w:hAnsi="Times New Roman" w:cs="Times New Roman"/>
          <w:sz w:val="24"/>
          <w:szCs w:val="24"/>
        </w:rPr>
        <w:t>This table summarizes the multivariate effects of the demographic factors on the combined dependent variables (e.g., micronutrient levels such as v</w:t>
      </w:r>
      <w:r w:rsidR="004E13BD">
        <w:rPr>
          <w:rFonts w:ascii="Times New Roman" w:hAnsi="Times New Roman" w:cs="Times New Roman"/>
          <w:sz w:val="24"/>
          <w:szCs w:val="24"/>
        </w:rPr>
        <w:t>itamin A, iron, and zinc status.</w:t>
      </w:r>
    </w:p>
    <w:p w:rsidR="00AD5BF9" w:rsidRPr="00AD5BF9" w:rsidRDefault="004E13BD" w:rsidP="00AD5BF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w:t>
      </w:r>
      <w:r w:rsidR="00AD5BF9" w:rsidRPr="00AD5BF9">
        <w:rPr>
          <w:rFonts w:ascii="Times New Roman" w:eastAsia="Times New Roman" w:hAnsi="Times New Roman" w:cs="Times New Roman"/>
          <w:b/>
          <w:bCs/>
          <w:sz w:val="27"/>
          <w:szCs w:val="27"/>
        </w:rPr>
        <w:t>. Logistic Regression Analysis</w:t>
      </w:r>
    </w:p>
    <w:p w:rsidR="00AD5BF9" w:rsidRPr="00AD5BF9" w:rsidRDefault="00AD5BF9" w:rsidP="00A54027">
      <w:pPr>
        <w:spacing w:before="100" w:beforeAutospacing="1" w:after="100" w:afterAutospacing="1" w:line="48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Objective:</w:t>
      </w:r>
      <w:r w:rsidRPr="00AD5BF9">
        <w:rPr>
          <w:rFonts w:ascii="Times New Roman" w:eastAsia="Times New Roman" w:hAnsi="Times New Roman" w:cs="Times New Roman"/>
          <w:sz w:val="24"/>
          <w:szCs w:val="24"/>
        </w:rPr>
        <w:br/>
        <w:t xml:space="preserve">To identify predictors of </w:t>
      </w:r>
      <w:r w:rsidRPr="004E13BD">
        <w:rPr>
          <w:rFonts w:ascii="Times New Roman" w:eastAsia="Times New Roman" w:hAnsi="Times New Roman" w:cs="Times New Roman"/>
          <w:bCs/>
          <w:sz w:val="24"/>
          <w:szCs w:val="24"/>
        </w:rPr>
        <w:t>improvement in micronutrient status</w:t>
      </w:r>
      <w:r w:rsidRPr="00AD5BF9">
        <w:rPr>
          <w:rFonts w:ascii="Times New Roman" w:eastAsia="Times New Roman" w:hAnsi="Times New Roman" w:cs="Times New Roman"/>
          <w:sz w:val="24"/>
          <w:szCs w:val="24"/>
        </w:rPr>
        <w:t xml:space="preserve"> among </w:t>
      </w:r>
      <w:r w:rsidRPr="00E0548E">
        <w:rPr>
          <w:rFonts w:ascii="Times New Roman" w:eastAsia="Times New Roman" w:hAnsi="Times New Roman" w:cs="Times New Roman"/>
          <w:sz w:val="24"/>
          <w:szCs w:val="24"/>
        </w:rPr>
        <w:t>IDPs</w:t>
      </w:r>
      <w:r w:rsidRPr="00AD5BF9">
        <w:rPr>
          <w:rFonts w:ascii="Times New Roman" w:eastAsia="Times New Roman" w:hAnsi="Times New Roman" w:cs="Times New Roman"/>
          <w:sz w:val="24"/>
          <w:szCs w:val="24"/>
        </w:rPr>
        <w:t>.</w:t>
      </w:r>
    </w:p>
    <w:p w:rsidR="00AD5BF9" w:rsidRPr="004E13BD" w:rsidRDefault="00AD5BF9" w:rsidP="00AD5BF9">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Dependent Variable:</w:t>
      </w:r>
    </w:p>
    <w:p w:rsidR="00AD5BF9" w:rsidRPr="00AD5BF9" w:rsidRDefault="00AD5BF9" w:rsidP="00AD5B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Improved Nutritional Status (0 = No, 1 = Yes)</w:t>
      </w:r>
    </w:p>
    <w:p w:rsidR="00AD5BF9" w:rsidRPr="004E13BD" w:rsidRDefault="00AD5BF9" w:rsidP="00AD5BF9">
      <w:pPr>
        <w:spacing w:before="100" w:beforeAutospacing="1" w:after="100" w:afterAutospacing="1" w:line="240" w:lineRule="auto"/>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Significant Predictors:</w:t>
      </w:r>
    </w:p>
    <w:p w:rsidR="00AD5BF9" w:rsidRPr="00AD5BF9" w:rsidRDefault="00AD5BF9" w:rsidP="004E13BD">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Age Group 9–10 years</w:t>
      </w:r>
      <w:r w:rsidRPr="00AD5BF9">
        <w:rPr>
          <w:rFonts w:ascii="Times New Roman" w:eastAsia="Times New Roman" w:hAnsi="Times New Roman" w:cs="Times New Roman"/>
          <w:sz w:val="24"/>
          <w:szCs w:val="24"/>
        </w:rPr>
        <w:t xml:space="preserve"> was statistically significant (p = 0.015)</w:t>
      </w:r>
    </w:p>
    <w:p w:rsidR="00AD5BF9" w:rsidRDefault="00AD5BF9" w:rsidP="004E13BD">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Zinc level</w:t>
      </w:r>
      <w:r w:rsidRPr="00AD5BF9">
        <w:rPr>
          <w:rFonts w:ascii="Times New Roman" w:eastAsia="Times New Roman" w:hAnsi="Times New Roman" w:cs="Times New Roman"/>
          <w:sz w:val="24"/>
          <w:szCs w:val="24"/>
        </w:rPr>
        <w:t xml:space="preserve"> had marginal significance (p = 0.085), suggesting it might predict nutritional improvement.</w:t>
      </w:r>
    </w:p>
    <w:p w:rsidR="004E13BD" w:rsidRPr="00AD5BF9" w:rsidRDefault="004E13BD" w:rsidP="004E13B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2. Logistic Regression</w:t>
      </w:r>
    </w:p>
    <w:tbl>
      <w:tblPr>
        <w:tblW w:w="84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3"/>
        <w:gridCol w:w="1560"/>
        <w:gridCol w:w="824"/>
        <w:gridCol w:w="1337"/>
      </w:tblGrid>
      <w:tr w:rsidR="00AD5BF9" w:rsidRPr="00AD5BF9" w:rsidTr="004E13BD">
        <w:trPr>
          <w:trHeight w:val="323"/>
          <w:tblHeader/>
          <w:tblCellSpacing w:w="15" w:type="dxa"/>
        </w:trPr>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Predictor</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Coefficient</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p-value</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Significance</w:t>
            </w:r>
          </w:p>
        </w:tc>
      </w:tr>
      <w:tr w:rsidR="00AD5BF9" w:rsidRPr="00AD5BF9" w:rsidTr="004E13BD">
        <w:trPr>
          <w:trHeight w:val="381"/>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lastRenderedPageBreak/>
              <w:t xml:space="preserve">Age Group [9–10 </w:t>
            </w:r>
            <w:proofErr w:type="spellStart"/>
            <w:r w:rsidRPr="00AD5BF9">
              <w:rPr>
                <w:rFonts w:ascii="Times New Roman" w:eastAsia="Times New Roman" w:hAnsi="Times New Roman" w:cs="Times New Roman"/>
                <w:sz w:val="24"/>
                <w:szCs w:val="24"/>
              </w:rPr>
              <w:t>yrs</w:t>
            </w:r>
            <w:proofErr w:type="spellEnd"/>
            <w:r w:rsidRPr="00AD5BF9">
              <w:rPr>
                <w:rFonts w:ascii="Times New Roman" w:eastAsia="Times New Roman" w:hAnsi="Times New Roman" w:cs="Times New Roman"/>
                <w:sz w:val="24"/>
                <w:szCs w:val="24"/>
              </w:rPr>
              <w:t>]</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0.507</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0.015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MS Mincho" w:eastAsia="MS Mincho" w:hAnsi="MS Mincho" w:cs="MS Mincho"/>
                <w:sz w:val="24"/>
                <w:szCs w:val="24"/>
              </w:rPr>
              <w:t>✓</w:t>
            </w:r>
          </w:p>
        </w:tc>
      </w:tr>
      <w:tr w:rsidR="00AD5BF9" w:rsidRPr="00AD5BF9" w:rsidTr="004E13BD">
        <w:trPr>
          <w:trHeight w:val="343"/>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Zinc Level</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-0.054</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0.085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(marginal)</w:t>
            </w:r>
          </w:p>
        </w:tc>
      </w:tr>
      <w:tr w:rsidR="00AD5BF9" w:rsidRPr="00AD5BF9" w:rsidTr="004E13BD">
        <w:trPr>
          <w:trHeight w:val="381"/>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Other Predictors (gender, iron, vitamin A, etc.)</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Not significant</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&gt;0.05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MS Mincho" w:eastAsia="MS Mincho" w:hAnsi="MS Mincho" w:cs="MS Mincho"/>
                <w:sz w:val="24"/>
                <w:szCs w:val="24"/>
              </w:rPr>
              <w:t>✗</w:t>
            </w:r>
          </w:p>
        </w:tc>
      </w:tr>
    </w:tbl>
    <w:p w:rsidR="00CA32E3" w:rsidRDefault="004E13BD" w:rsidP="00AD5BF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(Source: </w:t>
      </w:r>
      <w:proofErr w:type="spellStart"/>
      <w:r>
        <w:rPr>
          <w:rFonts w:ascii="Times New Roman" w:eastAsia="Times New Roman" w:hAnsi="Times New Roman" w:cs="Times New Roman"/>
          <w:bCs/>
          <w:sz w:val="24"/>
          <w:szCs w:val="24"/>
        </w:rPr>
        <w:t>Spss</w:t>
      </w:r>
      <w:proofErr w:type="spellEnd"/>
      <w:r>
        <w:rPr>
          <w:rFonts w:ascii="Times New Roman" w:eastAsia="Times New Roman" w:hAnsi="Times New Roman" w:cs="Times New Roman"/>
          <w:bCs/>
          <w:sz w:val="24"/>
          <w:szCs w:val="24"/>
        </w:rPr>
        <w:t xml:space="preserve"> v 27)</w:t>
      </w:r>
    </w:p>
    <w:p w:rsidR="00AD5BF9" w:rsidRPr="004E13BD" w:rsidRDefault="00AD5BF9" w:rsidP="00AD5BF9">
      <w:pPr>
        <w:spacing w:before="100" w:beforeAutospacing="1" w:after="100" w:afterAutospacing="1" w:line="240" w:lineRule="auto"/>
        <w:outlineLvl w:val="2"/>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Table</w:t>
      </w:r>
      <w:r w:rsidR="004E13BD" w:rsidRPr="004E13BD">
        <w:rPr>
          <w:rFonts w:ascii="Times New Roman" w:eastAsia="Times New Roman" w:hAnsi="Times New Roman" w:cs="Times New Roman"/>
          <w:bCs/>
          <w:sz w:val="24"/>
          <w:szCs w:val="24"/>
        </w:rPr>
        <w:t xml:space="preserve"> 3</w:t>
      </w:r>
      <w:r w:rsidRPr="004E13BD">
        <w:rPr>
          <w:rFonts w:ascii="Times New Roman" w:eastAsia="Times New Roman" w:hAnsi="Times New Roman" w:cs="Times New Roman"/>
          <w:bCs/>
          <w:sz w:val="24"/>
          <w:szCs w:val="24"/>
        </w:rPr>
        <w:t>: Summary of Multivariate and Logistic Regression Analyses</w:t>
      </w:r>
    </w:p>
    <w:tbl>
      <w:tblPr>
        <w:tblW w:w="968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3539"/>
        <w:gridCol w:w="2146"/>
        <w:gridCol w:w="2538"/>
      </w:tblGrid>
      <w:tr w:rsidR="00AD5BF9" w:rsidRPr="00AD5BF9" w:rsidTr="004E13BD">
        <w:trPr>
          <w:trHeight w:val="290"/>
          <w:tblHeader/>
          <w:tblCellSpacing w:w="15" w:type="dxa"/>
        </w:trPr>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Analysis Type</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Variables</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Significant Findings</w:t>
            </w:r>
          </w:p>
        </w:tc>
        <w:tc>
          <w:tcPr>
            <w:tcW w:w="0" w:type="auto"/>
            <w:vAlign w:val="center"/>
            <w:hideMark/>
          </w:tcPr>
          <w:p w:rsidR="00AD5BF9" w:rsidRPr="004E13BD" w:rsidRDefault="00AD5BF9" w:rsidP="00AD5BF9">
            <w:pPr>
              <w:spacing w:after="0" w:line="240" w:lineRule="auto"/>
              <w:jc w:val="center"/>
              <w:rPr>
                <w:rFonts w:ascii="Times New Roman" w:eastAsia="Times New Roman" w:hAnsi="Times New Roman" w:cs="Times New Roman"/>
                <w:bCs/>
                <w:sz w:val="24"/>
                <w:szCs w:val="24"/>
              </w:rPr>
            </w:pPr>
            <w:r w:rsidRPr="004E13BD">
              <w:rPr>
                <w:rFonts w:ascii="Times New Roman" w:eastAsia="Times New Roman" w:hAnsi="Times New Roman" w:cs="Times New Roman"/>
                <w:bCs/>
                <w:sz w:val="24"/>
                <w:szCs w:val="24"/>
              </w:rPr>
              <w:t>Statistical Output</w:t>
            </w:r>
          </w:p>
        </w:tc>
      </w:tr>
      <w:tr w:rsidR="00AD5BF9" w:rsidRPr="00AD5BF9" w:rsidTr="004E13BD">
        <w:trPr>
          <w:trHeight w:val="1212"/>
          <w:tblCellSpacing w:w="15" w:type="dxa"/>
        </w:trPr>
        <w:tc>
          <w:tcPr>
            <w:tcW w:w="0" w:type="auto"/>
            <w:vAlign w:val="center"/>
            <w:hideMark/>
          </w:tcPr>
          <w:p w:rsidR="00AD5BF9" w:rsidRPr="004E13BD" w:rsidRDefault="00AD5BF9" w:rsidP="00A54027">
            <w:pPr>
              <w:spacing w:after="0" w:line="240" w:lineRule="auto"/>
              <w:jc w:val="center"/>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MANOVA</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Independent: Gender, Age Group, State, Camp Duration, Diet Score </w:t>
            </w:r>
            <w:r w:rsidRPr="00AD5BF9">
              <w:rPr>
                <w:rFonts w:ascii="Times New Roman" w:eastAsia="Times New Roman" w:hAnsi="Times New Roman" w:cs="Times New Roman"/>
                <w:sz w:val="24"/>
                <w:szCs w:val="24"/>
              </w:rPr>
              <w:br/>
              <w:t>Dependent: Vitamin A, Iron, Zinc levels</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Age Group (p &lt; 0.05) </w:t>
            </w:r>
            <w:r w:rsidRPr="00AD5BF9">
              <w:rPr>
                <w:rFonts w:ascii="Times New Roman" w:eastAsia="Times New Roman" w:hAnsi="Times New Roman" w:cs="Times New Roman"/>
                <w:sz w:val="24"/>
                <w:szCs w:val="24"/>
              </w:rPr>
              <w:br/>
              <w:t>Diet Score (p &lt; 0.05)</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Wilks’ Lambda indicates multivariate significance</w:t>
            </w:r>
          </w:p>
        </w:tc>
      </w:tr>
      <w:tr w:rsidR="00AD5BF9" w:rsidRPr="00AD5BF9" w:rsidTr="004E13BD">
        <w:trPr>
          <w:trHeight w:val="1503"/>
          <w:tblCellSpacing w:w="15" w:type="dxa"/>
        </w:trPr>
        <w:tc>
          <w:tcPr>
            <w:tcW w:w="0" w:type="auto"/>
            <w:vAlign w:val="center"/>
            <w:hideMark/>
          </w:tcPr>
          <w:p w:rsidR="00AD5BF9" w:rsidRPr="004E13BD" w:rsidRDefault="00AD5BF9" w:rsidP="00A54027">
            <w:pPr>
              <w:spacing w:after="0" w:line="240" w:lineRule="auto"/>
              <w:jc w:val="center"/>
              <w:rPr>
                <w:rFonts w:ascii="Times New Roman" w:eastAsia="Times New Roman" w:hAnsi="Times New Roman" w:cs="Times New Roman"/>
                <w:sz w:val="24"/>
                <w:szCs w:val="24"/>
              </w:rPr>
            </w:pPr>
            <w:r w:rsidRPr="004E13BD">
              <w:rPr>
                <w:rFonts w:ascii="Times New Roman" w:eastAsia="Times New Roman" w:hAnsi="Times New Roman" w:cs="Times New Roman"/>
                <w:bCs/>
                <w:sz w:val="24"/>
                <w:szCs w:val="24"/>
              </w:rPr>
              <w:t>Logistic Regression</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 xml:space="preserve">Dependent: Nutritional Improvement (Yes/No) </w:t>
            </w:r>
            <w:r w:rsidRPr="00AD5BF9">
              <w:rPr>
                <w:rFonts w:ascii="Times New Roman" w:eastAsia="Times New Roman" w:hAnsi="Times New Roman" w:cs="Times New Roman"/>
                <w:sz w:val="24"/>
                <w:szCs w:val="24"/>
              </w:rPr>
              <w:br/>
              <w:t>Predictors: Age Group, Gender, Vitamin A, Iron, Zinc Levels, Camp Duration</w:t>
            </w:r>
          </w:p>
        </w:tc>
        <w:tc>
          <w:tcPr>
            <w:tcW w:w="0" w:type="auto"/>
            <w:vAlign w:val="center"/>
            <w:hideMark/>
          </w:tcPr>
          <w:p w:rsidR="00AD5BF9" w:rsidRPr="00AD5BF9" w:rsidRDefault="00CA32E3" w:rsidP="00A540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 Group 10–12</w:t>
            </w:r>
            <w:r w:rsidR="00AD5BF9" w:rsidRPr="00AD5BF9">
              <w:rPr>
                <w:rFonts w:ascii="Times New Roman" w:eastAsia="Times New Roman" w:hAnsi="Times New Roman" w:cs="Times New Roman"/>
                <w:sz w:val="24"/>
                <w:szCs w:val="24"/>
              </w:rPr>
              <w:t xml:space="preserve"> </w:t>
            </w:r>
            <w:proofErr w:type="spellStart"/>
            <w:r w:rsidR="00AD5BF9" w:rsidRPr="00AD5BF9">
              <w:rPr>
                <w:rFonts w:ascii="Times New Roman" w:eastAsia="Times New Roman" w:hAnsi="Times New Roman" w:cs="Times New Roman"/>
                <w:sz w:val="24"/>
                <w:szCs w:val="24"/>
              </w:rPr>
              <w:t>yrs</w:t>
            </w:r>
            <w:proofErr w:type="spellEnd"/>
            <w:r w:rsidR="00AD5BF9" w:rsidRPr="00AD5BF9">
              <w:rPr>
                <w:rFonts w:ascii="Times New Roman" w:eastAsia="Times New Roman" w:hAnsi="Times New Roman" w:cs="Times New Roman"/>
                <w:sz w:val="24"/>
                <w:szCs w:val="24"/>
              </w:rPr>
              <w:t xml:space="preserve"> (p = 0.015) </w:t>
            </w:r>
            <w:r w:rsidR="00AD5BF9" w:rsidRPr="00AD5BF9">
              <w:rPr>
                <w:rFonts w:ascii="Times New Roman" w:eastAsia="Times New Roman" w:hAnsi="Times New Roman" w:cs="Times New Roman"/>
                <w:sz w:val="24"/>
                <w:szCs w:val="24"/>
              </w:rPr>
              <w:br/>
              <w:t>Zinc Level (p = 0.085, marginal)</w:t>
            </w:r>
          </w:p>
        </w:tc>
        <w:tc>
          <w:tcPr>
            <w:tcW w:w="0" w:type="auto"/>
            <w:vAlign w:val="center"/>
            <w:hideMark/>
          </w:tcPr>
          <w:p w:rsidR="00AD5BF9" w:rsidRPr="00AD5BF9" w:rsidRDefault="00CA32E3" w:rsidP="00A540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 10–12</w:t>
            </w:r>
            <w:r w:rsidR="00AD5BF9" w:rsidRPr="00AD5BF9">
              <w:rPr>
                <w:rFonts w:ascii="Times New Roman" w:eastAsia="Times New Roman" w:hAnsi="Times New Roman" w:cs="Times New Roman"/>
                <w:sz w:val="24"/>
                <w:szCs w:val="24"/>
              </w:rPr>
              <w:t xml:space="preserve"> </w:t>
            </w:r>
            <w:proofErr w:type="spellStart"/>
            <w:r w:rsidR="00AD5BF9" w:rsidRPr="00AD5BF9">
              <w:rPr>
                <w:rFonts w:ascii="Times New Roman" w:eastAsia="Times New Roman" w:hAnsi="Times New Roman" w:cs="Times New Roman"/>
                <w:sz w:val="24"/>
                <w:szCs w:val="24"/>
              </w:rPr>
              <w:t>Coeff</w:t>
            </w:r>
            <w:proofErr w:type="spellEnd"/>
            <w:r w:rsidR="00AD5BF9" w:rsidRPr="00AD5BF9">
              <w:rPr>
                <w:rFonts w:ascii="Times New Roman" w:eastAsia="Times New Roman" w:hAnsi="Times New Roman" w:cs="Times New Roman"/>
                <w:sz w:val="24"/>
                <w:szCs w:val="24"/>
              </w:rPr>
              <w:t xml:space="preserve">. = 0.507 </w:t>
            </w:r>
            <w:r w:rsidR="00AD5BF9" w:rsidRPr="00AD5BF9">
              <w:rPr>
                <w:rFonts w:ascii="Times New Roman" w:eastAsia="Times New Roman" w:hAnsi="Times New Roman" w:cs="Times New Roman"/>
                <w:sz w:val="24"/>
                <w:szCs w:val="24"/>
              </w:rPr>
              <w:br/>
              <w:t xml:space="preserve">Zinc </w:t>
            </w:r>
            <w:proofErr w:type="spellStart"/>
            <w:r w:rsidR="00AD5BF9" w:rsidRPr="00AD5BF9">
              <w:rPr>
                <w:rFonts w:ascii="Times New Roman" w:eastAsia="Times New Roman" w:hAnsi="Times New Roman" w:cs="Times New Roman"/>
                <w:sz w:val="24"/>
                <w:szCs w:val="24"/>
              </w:rPr>
              <w:t>Coeff</w:t>
            </w:r>
            <w:proofErr w:type="spellEnd"/>
            <w:r w:rsidR="00AD5BF9" w:rsidRPr="00AD5BF9">
              <w:rPr>
                <w:rFonts w:ascii="Times New Roman" w:eastAsia="Times New Roman" w:hAnsi="Times New Roman" w:cs="Times New Roman"/>
                <w:sz w:val="24"/>
                <w:szCs w:val="24"/>
              </w:rPr>
              <w:t>. = -0.054</w:t>
            </w:r>
          </w:p>
        </w:tc>
      </w:tr>
      <w:tr w:rsidR="00AD5BF9" w:rsidRPr="00AD5BF9" w:rsidTr="004E13BD">
        <w:trPr>
          <w:trHeight w:val="906"/>
          <w:tblCellSpacing w:w="15" w:type="dxa"/>
        </w:trPr>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Gender, Iron, Vitamin A: Not Significant</w:t>
            </w:r>
          </w:p>
        </w:tc>
        <w:tc>
          <w:tcPr>
            <w:tcW w:w="0" w:type="auto"/>
            <w:vAlign w:val="center"/>
            <w:hideMark/>
          </w:tcPr>
          <w:p w:rsidR="00AD5BF9" w:rsidRPr="00AD5BF9" w:rsidRDefault="00AD5BF9" w:rsidP="00A54027">
            <w:pPr>
              <w:spacing w:after="0" w:line="240" w:lineRule="auto"/>
              <w:jc w:val="center"/>
              <w:rPr>
                <w:rFonts w:ascii="Times New Roman" w:eastAsia="Times New Roman" w:hAnsi="Times New Roman" w:cs="Times New Roman"/>
                <w:sz w:val="24"/>
                <w:szCs w:val="24"/>
              </w:rPr>
            </w:pPr>
            <w:r w:rsidRPr="00AD5BF9">
              <w:rPr>
                <w:rFonts w:ascii="Times New Roman" w:eastAsia="Times New Roman" w:hAnsi="Times New Roman" w:cs="Times New Roman"/>
                <w:sz w:val="24"/>
                <w:szCs w:val="24"/>
              </w:rPr>
              <w:t>p &gt; 0.05 for non-significant variables</w:t>
            </w:r>
          </w:p>
        </w:tc>
      </w:tr>
    </w:tbl>
    <w:p w:rsidR="00E0548E" w:rsidRDefault="004E13BD" w:rsidP="00D75EEC">
      <w:pPr>
        <w:pStyle w:val="Heading3"/>
        <w:rPr>
          <w:rStyle w:val="Strong"/>
          <w:bCs/>
          <w:sz w:val="24"/>
          <w:szCs w:val="24"/>
        </w:rPr>
      </w:pPr>
      <w:r w:rsidRPr="004E13BD">
        <w:rPr>
          <w:rStyle w:val="Strong"/>
          <w:bCs/>
          <w:sz w:val="24"/>
          <w:szCs w:val="24"/>
        </w:rPr>
        <w:t>(Source: Researcher’s Computation, 2025)</w:t>
      </w:r>
      <w:r w:rsidR="00073ED0">
        <w:rPr>
          <w:rStyle w:val="Strong"/>
          <w:bCs/>
          <w:sz w:val="24"/>
          <w:szCs w:val="24"/>
        </w:rPr>
        <w:t>.</w:t>
      </w:r>
    </w:p>
    <w:p w:rsidR="00E0548E" w:rsidRDefault="00E0548E" w:rsidP="00D75EEC">
      <w:pPr>
        <w:pStyle w:val="Heading3"/>
        <w:rPr>
          <w:rStyle w:val="Strong"/>
          <w:bCs/>
          <w:sz w:val="24"/>
          <w:szCs w:val="24"/>
        </w:rPr>
      </w:pPr>
    </w:p>
    <w:p w:rsidR="00E0548E" w:rsidRDefault="00E0548E" w:rsidP="00D75EEC">
      <w:pPr>
        <w:pStyle w:val="Heading3"/>
        <w:rPr>
          <w:rStyle w:val="Strong"/>
          <w:bCs/>
          <w:sz w:val="24"/>
          <w:szCs w:val="24"/>
        </w:rPr>
      </w:pPr>
    </w:p>
    <w:p w:rsidR="00E0548E" w:rsidRDefault="00E0548E" w:rsidP="00D75EEC">
      <w:pPr>
        <w:pStyle w:val="Heading3"/>
        <w:rPr>
          <w:rStyle w:val="Strong"/>
          <w:bCs/>
          <w:sz w:val="24"/>
          <w:szCs w:val="24"/>
        </w:rPr>
      </w:pPr>
    </w:p>
    <w:p w:rsidR="00D75EEC" w:rsidRPr="00073ED0" w:rsidRDefault="00D75EEC" w:rsidP="00D75EEC">
      <w:pPr>
        <w:pStyle w:val="Heading3"/>
        <w:rPr>
          <w:sz w:val="24"/>
          <w:szCs w:val="24"/>
        </w:rPr>
      </w:pPr>
      <w:r w:rsidRPr="00073ED0">
        <w:rPr>
          <w:rStyle w:val="Strong"/>
          <w:b/>
          <w:bCs/>
          <w:sz w:val="24"/>
          <w:szCs w:val="24"/>
        </w:rPr>
        <w:t>Interpretation of Results</w:t>
      </w:r>
    </w:p>
    <w:p w:rsidR="00D75EEC" w:rsidRDefault="00D75EEC" w:rsidP="00D75EEC">
      <w:pPr>
        <w:pStyle w:val="Heading4"/>
      </w:pPr>
      <w:r w:rsidRPr="00073ED0">
        <w:rPr>
          <w:rStyle w:val="Strong"/>
          <w:rFonts w:ascii="Times New Roman" w:hAnsi="Times New Roman" w:cs="Times New Roman"/>
          <w:b/>
          <w:bCs/>
          <w:i w:val="0"/>
          <w:color w:val="auto"/>
          <w:sz w:val="24"/>
          <w:szCs w:val="24"/>
        </w:rPr>
        <w:t>Multivariate Analysis of Variance (MANOVA</w:t>
      </w:r>
      <w:r>
        <w:rPr>
          <w:rStyle w:val="Strong"/>
          <w:b/>
          <w:bCs/>
        </w:rPr>
        <w:t>)</w:t>
      </w:r>
    </w:p>
    <w:p w:rsidR="00D75EEC" w:rsidRDefault="00D75EEC" w:rsidP="00073ED0">
      <w:pPr>
        <w:pStyle w:val="NormalWeb"/>
        <w:spacing w:line="480" w:lineRule="auto"/>
        <w:jc w:val="both"/>
      </w:pPr>
      <w:r>
        <w:t xml:space="preserve">The MANOVA was conducted to assess whether </w:t>
      </w:r>
      <w:r w:rsidRPr="00073ED0">
        <w:rPr>
          <w:rStyle w:val="Strong"/>
          <w:b w:val="0"/>
        </w:rPr>
        <w:t>socio</w:t>
      </w:r>
      <w:r>
        <w:rPr>
          <w:rStyle w:val="Strong"/>
        </w:rPr>
        <w:t>-</w:t>
      </w:r>
      <w:r w:rsidRPr="00073ED0">
        <w:rPr>
          <w:rStyle w:val="Strong"/>
          <w:b w:val="0"/>
        </w:rPr>
        <w:t>demographic variables</w:t>
      </w:r>
      <w:r>
        <w:t xml:space="preserve"> (such as gender, age group, state of displacement, duration in camp, and dietary diversity score) had statistically significant effects on </w:t>
      </w:r>
      <w:r w:rsidRPr="00073ED0">
        <w:rPr>
          <w:rStyle w:val="Strong"/>
          <w:b w:val="0"/>
        </w:rPr>
        <w:t>micronutrient status</w:t>
      </w:r>
      <w:r>
        <w:t xml:space="preserve"> (Vitamin A, Iron, and Zinc levels).</w:t>
      </w:r>
    </w:p>
    <w:p w:rsidR="00D75EEC" w:rsidRDefault="00D75EEC" w:rsidP="00073ED0">
      <w:pPr>
        <w:pStyle w:val="NormalWeb"/>
        <w:numPr>
          <w:ilvl w:val="0"/>
          <w:numId w:val="15"/>
        </w:numPr>
        <w:spacing w:line="480" w:lineRule="auto"/>
      </w:pPr>
      <w:r>
        <w:lastRenderedPageBreak/>
        <w:t xml:space="preserve">The results showed that </w:t>
      </w:r>
      <w:r w:rsidRPr="00073ED0">
        <w:rPr>
          <w:rStyle w:val="Strong"/>
          <w:b w:val="0"/>
        </w:rPr>
        <w:t>age group</w:t>
      </w:r>
      <w:r>
        <w:t xml:space="preserve"> and </w:t>
      </w:r>
      <w:r w:rsidRPr="00073ED0">
        <w:rPr>
          <w:rStyle w:val="Strong"/>
          <w:b w:val="0"/>
        </w:rPr>
        <w:t>dietary diversity score</w:t>
      </w:r>
      <w:r>
        <w:t xml:space="preserve"> had </w:t>
      </w:r>
      <w:proofErr w:type="spellStart"/>
      <w:r>
        <w:t>a</w:t>
      </w:r>
      <w:r w:rsidRPr="00073ED0">
        <w:rPr>
          <w:rStyle w:val="Strong"/>
          <w:b w:val="0"/>
        </w:rPr>
        <w:t>statistically</w:t>
      </w:r>
      <w:proofErr w:type="spellEnd"/>
      <w:r w:rsidRPr="00073ED0">
        <w:rPr>
          <w:rStyle w:val="Strong"/>
          <w:b w:val="0"/>
        </w:rPr>
        <w:t xml:space="preserve"> significant </w:t>
      </w:r>
      <w:proofErr w:type="spellStart"/>
      <w:r w:rsidRPr="00073ED0">
        <w:rPr>
          <w:rStyle w:val="Strong"/>
          <w:b w:val="0"/>
        </w:rPr>
        <w:t>effect</w:t>
      </w:r>
      <w:r>
        <w:t>on</w:t>
      </w:r>
      <w:proofErr w:type="spellEnd"/>
      <w:r>
        <w:t xml:space="preserve"> the overall micronutrient levels of internally displaced children (Wilks’ Lambda, </w:t>
      </w:r>
      <w:r>
        <w:rPr>
          <w:rStyle w:val="Emphasis"/>
        </w:rPr>
        <w:t>p</w:t>
      </w:r>
      <w:r>
        <w:t>&lt; 0.05).</w:t>
      </w:r>
    </w:p>
    <w:p w:rsidR="00D75EEC" w:rsidRDefault="00D75EEC" w:rsidP="00073ED0">
      <w:pPr>
        <w:pStyle w:val="NormalWeb"/>
        <w:numPr>
          <w:ilvl w:val="0"/>
          <w:numId w:val="15"/>
        </w:numPr>
        <w:spacing w:line="480" w:lineRule="auto"/>
      </w:pPr>
      <w:r>
        <w:t xml:space="preserve">This indicates that the children's </w:t>
      </w:r>
      <w:r w:rsidRPr="00073ED0">
        <w:rPr>
          <w:rStyle w:val="Strong"/>
          <w:b w:val="0"/>
        </w:rPr>
        <w:t>age</w:t>
      </w:r>
      <w:r>
        <w:t xml:space="preserve"> and the </w:t>
      </w:r>
      <w:r w:rsidRPr="00073ED0">
        <w:rPr>
          <w:rStyle w:val="Strong"/>
          <w:b w:val="0"/>
        </w:rPr>
        <w:t>quality and variety of food</w:t>
      </w:r>
      <w:r>
        <w:t xml:space="preserve"> they consume are critical determinants of their vitamin and mineral status.</w:t>
      </w:r>
    </w:p>
    <w:p w:rsidR="00D75EEC" w:rsidRDefault="00D75EEC" w:rsidP="00073ED0">
      <w:pPr>
        <w:pStyle w:val="NormalWeb"/>
        <w:numPr>
          <w:ilvl w:val="0"/>
          <w:numId w:val="15"/>
        </w:numPr>
        <w:spacing w:line="480" w:lineRule="auto"/>
      </w:pPr>
      <w:r>
        <w:t xml:space="preserve">Other factors such as </w:t>
      </w:r>
      <w:r w:rsidRPr="00073ED0">
        <w:rPr>
          <w:rStyle w:val="Strong"/>
          <w:b w:val="0"/>
        </w:rPr>
        <w:t>gender</w:t>
      </w:r>
      <w:r w:rsidRPr="00073ED0">
        <w:rPr>
          <w:b/>
        </w:rPr>
        <w:t xml:space="preserve">, </w:t>
      </w:r>
      <w:r w:rsidRPr="00073ED0">
        <w:rPr>
          <w:rStyle w:val="Strong"/>
          <w:b w:val="0"/>
        </w:rPr>
        <w:t>state of displacement</w:t>
      </w:r>
      <w:r w:rsidRPr="00073ED0">
        <w:rPr>
          <w:b/>
        </w:rPr>
        <w:t>,</w:t>
      </w:r>
      <w:r>
        <w:t xml:space="preserve"> and </w:t>
      </w:r>
      <w:r w:rsidRPr="00073ED0">
        <w:rPr>
          <w:rStyle w:val="Strong"/>
          <w:b w:val="0"/>
        </w:rPr>
        <w:t>camp duration</w:t>
      </w:r>
      <w:r>
        <w:t xml:space="preserve"> did not show significant multivariate effects (</w:t>
      </w:r>
      <w:r>
        <w:rPr>
          <w:rStyle w:val="Emphasis"/>
        </w:rPr>
        <w:t>p</w:t>
      </w:r>
      <w:r>
        <w:t>&gt; 0.05), meaning these variables did not jointly influence the combined nutrient outcomes in a statistically significant way.</w:t>
      </w:r>
    </w:p>
    <w:p w:rsidR="00D75EEC" w:rsidRPr="00073ED0" w:rsidRDefault="00D75EEC" w:rsidP="00D75EEC">
      <w:pPr>
        <w:pStyle w:val="Heading4"/>
        <w:rPr>
          <w:rFonts w:ascii="Times New Roman" w:hAnsi="Times New Roman" w:cs="Times New Roman"/>
          <w:i w:val="0"/>
          <w:color w:val="auto"/>
          <w:sz w:val="24"/>
          <w:szCs w:val="24"/>
        </w:rPr>
      </w:pPr>
      <w:r w:rsidRPr="00073ED0">
        <w:rPr>
          <w:rStyle w:val="Strong"/>
          <w:rFonts w:ascii="Times New Roman" w:hAnsi="Times New Roman" w:cs="Times New Roman"/>
          <w:b/>
          <w:bCs/>
          <w:i w:val="0"/>
          <w:color w:val="auto"/>
          <w:sz w:val="24"/>
          <w:szCs w:val="24"/>
        </w:rPr>
        <w:t>Logistic Regression Analysis</w:t>
      </w:r>
    </w:p>
    <w:p w:rsidR="00D75EEC" w:rsidRDefault="00D75EEC" w:rsidP="00073ED0">
      <w:pPr>
        <w:pStyle w:val="NormalWeb"/>
        <w:spacing w:line="480" w:lineRule="auto"/>
        <w:jc w:val="both"/>
      </w:pPr>
      <w:r>
        <w:t xml:space="preserve">A logistic regression was performed to identify </w:t>
      </w:r>
      <w:r w:rsidRPr="00073ED0">
        <w:rPr>
          <w:rStyle w:val="Strong"/>
          <w:b w:val="0"/>
        </w:rPr>
        <w:t>predictors of nutritional improvement</w:t>
      </w:r>
      <w:r>
        <w:t xml:space="preserve"> among the children (coded as 1 = improved status, 0 = no improvement) after exposure to fortified foods.</w:t>
      </w:r>
    </w:p>
    <w:p w:rsidR="00D75EEC" w:rsidRDefault="00D75EEC" w:rsidP="00073ED0">
      <w:pPr>
        <w:pStyle w:val="NormalWeb"/>
        <w:numPr>
          <w:ilvl w:val="0"/>
          <w:numId w:val="16"/>
        </w:numPr>
        <w:spacing w:line="480" w:lineRule="auto"/>
        <w:jc w:val="both"/>
      </w:pPr>
      <w:r>
        <w:t xml:space="preserve">The </w:t>
      </w:r>
      <w:r w:rsidRPr="00073ED0">
        <w:rPr>
          <w:rStyle w:val="Strong"/>
          <w:b w:val="0"/>
        </w:rPr>
        <w:t>age group 9–10 years</w:t>
      </w:r>
      <w:r>
        <w:t xml:space="preserve"> was a </w:t>
      </w:r>
      <w:r w:rsidRPr="00073ED0">
        <w:rPr>
          <w:rStyle w:val="Strong"/>
          <w:b w:val="0"/>
        </w:rPr>
        <w:t>significant predictor</w:t>
      </w:r>
      <w:r>
        <w:t xml:space="preserve"> of nutritional improvement (</w:t>
      </w:r>
      <w:r>
        <w:rPr>
          <w:rStyle w:val="Emphasis"/>
        </w:rPr>
        <w:t>p</w:t>
      </w:r>
      <w:r>
        <w:t xml:space="preserve"> = 0.015), suggesting that children within this age range were more likely to show positive changes in micronutrient levels.</w:t>
      </w:r>
    </w:p>
    <w:p w:rsidR="00D75EEC" w:rsidRDefault="00D75EEC" w:rsidP="00073ED0">
      <w:pPr>
        <w:pStyle w:val="NormalWeb"/>
        <w:numPr>
          <w:ilvl w:val="0"/>
          <w:numId w:val="16"/>
        </w:numPr>
        <w:spacing w:line="480" w:lineRule="auto"/>
        <w:jc w:val="both"/>
      </w:pPr>
      <w:r w:rsidRPr="00073ED0">
        <w:rPr>
          <w:rStyle w:val="Strong"/>
          <w:b w:val="0"/>
        </w:rPr>
        <w:t>Zinc level</w:t>
      </w:r>
      <w:r>
        <w:t xml:space="preserve"> was found to be a </w:t>
      </w:r>
      <w:r w:rsidRPr="00073ED0">
        <w:rPr>
          <w:rStyle w:val="Strong"/>
          <w:b w:val="0"/>
        </w:rPr>
        <w:t>marginally significant predictor</w:t>
      </w:r>
      <w:r>
        <w:t xml:space="preserve"> (</w:t>
      </w:r>
      <w:r>
        <w:rPr>
          <w:rStyle w:val="Emphasis"/>
        </w:rPr>
        <w:t>p</w:t>
      </w:r>
      <w:r>
        <w:t xml:space="preserve"> = 0.085), meaning it approached statistical significance and could still be biologically meaningful.</w:t>
      </w:r>
    </w:p>
    <w:p w:rsidR="00D75EEC" w:rsidRDefault="00D75EEC" w:rsidP="00D75EEC">
      <w:pPr>
        <w:pStyle w:val="NormalWeb"/>
        <w:numPr>
          <w:ilvl w:val="0"/>
          <w:numId w:val="16"/>
        </w:numPr>
        <w:spacing w:line="480" w:lineRule="auto"/>
        <w:jc w:val="both"/>
      </w:pPr>
      <w:r>
        <w:t xml:space="preserve">Other variables such as </w:t>
      </w:r>
      <w:r w:rsidRPr="00073ED0">
        <w:rPr>
          <w:rStyle w:val="Strong"/>
          <w:b w:val="0"/>
        </w:rPr>
        <w:t>gender</w:t>
      </w:r>
      <w:r w:rsidRPr="00073ED0">
        <w:rPr>
          <w:b/>
        </w:rPr>
        <w:t xml:space="preserve">, </w:t>
      </w:r>
      <w:r w:rsidRPr="00073ED0">
        <w:rPr>
          <w:rStyle w:val="Strong"/>
          <w:b w:val="0"/>
        </w:rPr>
        <w:t>Vitamin A level</w:t>
      </w:r>
      <w:r w:rsidRPr="00073ED0">
        <w:rPr>
          <w:b/>
        </w:rPr>
        <w:t xml:space="preserve">, </w:t>
      </w:r>
      <w:r w:rsidRPr="00073ED0">
        <w:rPr>
          <w:rStyle w:val="Strong"/>
          <w:b w:val="0"/>
        </w:rPr>
        <w:t>Iron level</w:t>
      </w:r>
      <w:r w:rsidRPr="00073ED0">
        <w:rPr>
          <w:b/>
        </w:rPr>
        <w:t>,</w:t>
      </w:r>
      <w:r>
        <w:t xml:space="preserve"> and </w:t>
      </w:r>
      <w:r w:rsidRPr="00073ED0">
        <w:rPr>
          <w:rStyle w:val="Strong"/>
          <w:b w:val="0"/>
        </w:rPr>
        <w:t xml:space="preserve">camp </w:t>
      </w:r>
      <w:proofErr w:type="spellStart"/>
      <w:r w:rsidRPr="00073ED0">
        <w:rPr>
          <w:rStyle w:val="Strong"/>
          <w:b w:val="0"/>
        </w:rPr>
        <w:t>duration</w:t>
      </w:r>
      <w:r w:rsidRPr="00E0548E">
        <w:t>were</w:t>
      </w:r>
      <w:r w:rsidRPr="00073ED0">
        <w:rPr>
          <w:rStyle w:val="Strong"/>
          <w:b w:val="0"/>
        </w:rPr>
        <w:t>not</w:t>
      </w:r>
      <w:proofErr w:type="spellEnd"/>
      <w:r w:rsidRPr="00073ED0">
        <w:rPr>
          <w:rStyle w:val="Strong"/>
          <w:b w:val="0"/>
        </w:rPr>
        <w:t xml:space="preserve"> statistically </w:t>
      </w:r>
      <w:proofErr w:type="spellStart"/>
      <w:r w:rsidRPr="00073ED0">
        <w:rPr>
          <w:rStyle w:val="Strong"/>
          <w:b w:val="0"/>
        </w:rPr>
        <w:t>significant</w:t>
      </w:r>
      <w:r>
        <w:t>predictors</w:t>
      </w:r>
      <w:proofErr w:type="spellEnd"/>
      <w:r>
        <w:t xml:space="preserve"> (</w:t>
      </w:r>
      <w:r>
        <w:rPr>
          <w:rStyle w:val="Emphasis"/>
        </w:rPr>
        <w:t>p</w:t>
      </w:r>
      <w:r>
        <w:t>&gt; 0.05), indicating they did not strongly influence whether or not children improved nutritionally in this study context.</w:t>
      </w:r>
    </w:p>
    <w:p w:rsidR="00D75EEC" w:rsidRPr="00073ED0" w:rsidRDefault="00D75EEC" w:rsidP="00D75EEC">
      <w:pPr>
        <w:pStyle w:val="Heading3"/>
        <w:rPr>
          <w:sz w:val="24"/>
          <w:szCs w:val="24"/>
        </w:rPr>
      </w:pPr>
      <w:r w:rsidRPr="00073ED0">
        <w:rPr>
          <w:rStyle w:val="Strong"/>
          <w:b/>
          <w:bCs/>
          <w:sz w:val="24"/>
          <w:szCs w:val="24"/>
        </w:rPr>
        <w:t>Summary of Interpretation</w:t>
      </w:r>
    </w:p>
    <w:p w:rsidR="00D75EEC" w:rsidRDefault="00D75EEC" w:rsidP="00D75EEC">
      <w:pPr>
        <w:pStyle w:val="NormalWeb"/>
      </w:pPr>
      <w:r>
        <w:t>These findings suggest that:</w:t>
      </w:r>
    </w:p>
    <w:p w:rsidR="00D75EEC" w:rsidRDefault="00D75EEC" w:rsidP="00073ED0">
      <w:pPr>
        <w:pStyle w:val="NormalWeb"/>
        <w:numPr>
          <w:ilvl w:val="0"/>
          <w:numId w:val="17"/>
        </w:numPr>
        <w:spacing w:line="480" w:lineRule="auto"/>
        <w:jc w:val="both"/>
      </w:pPr>
      <w:r w:rsidRPr="00073ED0">
        <w:rPr>
          <w:rStyle w:val="Strong"/>
          <w:b w:val="0"/>
        </w:rPr>
        <w:lastRenderedPageBreak/>
        <w:t>Targeted interventions</w:t>
      </w:r>
      <w:r>
        <w:t xml:space="preserve"> focusing on specific </w:t>
      </w:r>
      <w:r w:rsidRPr="00073ED0">
        <w:rPr>
          <w:rStyle w:val="Strong"/>
          <w:b w:val="0"/>
        </w:rPr>
        <w:t>age brackets</w:t>
      </w:r>
      <w:r w:rsidR="00CA32E3">
        <w:t xml:space="preserve"> (especially 10–12</w:t>
      </w:r>
      <w:r>
        <w:t xml:space="preserve"> years old) and </w:t>
      </w:r>
      <w:r w:rsidRPr="00073ED0">
        <w:rPr>
          <w:rStyle w:val="Strong"/>
          <w:b w:val="0"/>
        </w:rPr>
        <w:t>improving diet diversity</w:t>
      </w:r>
      <w:r w:rsidR="00073ED0">
        <w:t xml:space="preserve"> were</w:t>
      </w:r>
      <w:r>
        <w:t xml:space="preserve"> likely to be more effective.</w:t>
      </w:r>
    </w:p>
    <w:p w:rsidR="00D75EEC" w:rsidRPr="00073ED0" w:rsidRDefault="00D75EEC" w:rsidP="00073ED0">
      <w:pPr>
        <w:pStyle w:val="NormalWeb"/>
        <w:numPr>
          <w:ilvl w:val="0"/>
          <w:numId w:val="17"/>
        </w:numPr>
        <w:spacing w:line="480" w:lineRule="auto"/>
        <w:jc w:val="both"/>
        <w:rPr>
          <w:b/>
        </w:rPr>
      </w:pPr>
      <w:r>
        <w:t xml:space="preserve">Nutritional programs should consider tailoring food fortification strategies based on </w:t>
      </w:r>
      <w:r w:rsidRPr="00073ED0">
        <w:rPr>
          <w:rStyle w:val="Strong"/>
          <w:b w:val="0"/>
        </w:rPr>
        <w:t>age-specific metabolic needs</w:t>
      </w:r>
      <w:r w:rsidRPr="00073ED0">
        <w:rPr>
          <w:b/>
        </w:rPr>
        <w:t>.</w:t>
      </w:r>
    </w:p>
    <w:p w:rsidR="00AD5BF9" w:rsidRDefault="00D75EEC" w:rsidP="00073ED0">
      <w:pPr>
        <w:pStyle w:val="NormalWeb"/>
        <w:numPr>
          <w:ilvl w:val="0"/>
          <w:numId w:val="17"/>
        </w:numPr>
        <w:spacing w:line="480" w:lineRule="auto"/>
        <w:jc w:val="both"/>
      </w:pPr>
      <w:r>
        <w:t xml:space="preserve">While gender and displacement location may affect broader health outcomes, they </w:t>
      </w:r>
      <w:r w:rsidRPr="00073ED0">
        <w:rPr>
          <w:rStyle w:val="Strong"/>
          <w:b w:val="0"/>
        </w:rPr>
        <w:t xml:space="preserve">do not significantly predict nutritional </w:t>
      </w:r>
      <w:proofErr w:type="spellStart"/>
      <w:r w:rsidRPr="00073ED0">
        <w:rPr>
          <w:rStyle w:val="Strong"/>
          <w:b w:val="0"/>
        </w:rPr>
        <w:t>improvements</w:t>
      </w:r>
      <w:r>
        <w:t>from</w:t>
      </w:r>
      <w:proofErr w:type="spellEnd"/>
      <w:r>
        <w:t xml:space="preserve"> food fortification alone in this sample.</w:t>
      </w:r>
    </w:p>
    <w:p w:rsidR="00373E23" w:rsidRPr="000B16B0" w:rsidRDefault="00C05397" w:rsidP="00C36AA7">
      <w:pPr>
        <w:pStyle w:val="NormalWeb"/>
        <w:jc w:val="both"/>
      </w:pPr>
      <w:r>
        <w:rPr>
          <w:rStyle w:val="Strong"/>
        </w:rPr>
        <w:t xml:space="preserve">4.0 </w:t>
      </w:r>
      <w:r w:rsidR="00373E23" w:rsidRPr="000B16B0">
        <w:rPr>
          <w:rStyle w:val="Strong"/>
        </w:rPr>
        <w:t>Results and Findings</w:t>
      </w:r>
    </w:p>
    <w:p w:rsidR="00373E23" w:rsidRPr="000B16B0" w:rsidRDefault="00C05397" w:rsidP="00C36AA7">
      <w:pPr>
        <w:pStyle w:val="Heading3"/>
        <w:rPr>
          <w:sz w:val="24"/>
          <w:szCs w:val="24"/>
        </w:rPr>
      </w:pPr>
      <w:r>
        <w:rPr>
          <w:rStyle w:val="Strong"/>
          <w:b/>
          <w:bCs/>
          <w:sz w:val="24"/>
          <w:szCs w:val="24"/>
        </w:rPr>
        <w:t xml:space="preserve">4.1 </w:t>
      </w:r>
      <w:r w:rsidR="00373E23" w:rsidRPr="000B16B0">
        <w:rPr>
          <w:rStyle w:val="Strong"/>
          <w:b/>
          <w:bCs/>
          <w:sz w:val="24"/>
          <w:szCs w:val="24"/>
        </w:rPr>
        <w:t>Demographic Profile of Respondents</w:t>
      </w:r>
    </w:p>
    <w:p w:rsidR="007D279A" w:rsidRPr="00CA32E3" w:rsidRDefault="00373E23" w:rsidP="00CA32E3">
      <w:pPr>
        <w:pStyle w:val="NormalWeb"/>
        <w:spacing w:line="480" w:lineRule="auto"/>
        <w:jc w:val="both"/>
        <w:rPr>
          <w:rStyle w:val="Strong"/>
          <w:b w:val="0"/>
          <w:bCs w:val="0"/>
        </w:rPr>
      </w:pPr>
      <w:r>
        <w:t xml:space="preserve">A total of </w:t>
      </w:r>
      <w:r w:rsidRPr="000B16B0">
        <w:rPr>
          <w:rStyle w:val="Strong"/>
          <w:b w:val="0"/>
        </w:rPr>
        <w:t>600 internally displaced children (IDCs)</w:t>
      </w:r>
      <w:r>
        <w:t xml:space="preserve"> participated in the study. Their basic demographic information is summarized in the table below:</w:t>
      </w:r>
    </w:p>
    <w:p w:rsidR="00A54027" w:rsidRDefault="00A54027" w:rsidP="00373E23">
      <w:pPr>
        <w:pStyle w:val="NormalWeb"/>
        <w:rPr>
          <w:rStyle w:val="Strong"/>
          <w:b w:val="0"/>
        </w:rPr>
      </w:pPr>
    </w:p>
    <w:p w:rsidR="00A54027" w:rsidRDefault="00A54027" w:rsidP="00373E23">
      <w:pPr>
        <w:pStyle w:val="NormalWeb"/>
        <w:rPr>
          <w:rStyle w:val="Strong"/>
          <w:b w:val="0"/>
        </w:rPr>
      </w:pPr>
    </w:p>
    <w:p w:rsidR="00A54027" w:rsidRDefault="00A54027" w:rsidP="00373E23">
      <w:pPr>
        <w:pStyle w:val="NormalWeb"/>
        <w:rPr>
          <w:rStyle w:val="Strong"/>
          <w:b w:val="0"/>
        </w:rPr>
      </w:pPr>
    </w:p>
    <w:p w:rsidR="00A54027" w:rsidRDefault="00A54027" w:rsidP="00373E23">
      <w:pPr>
        <w:pStyle w:val="NormalWeb"/>
        <w:rPr>
          <w:rStyle w:val="Strong"/>
          <w:b w:val="0"/>
        </w:rPr>
      </w:pPr>
    </w:p>
    <w:p w:rsidR="00A54027" w:rsidRDefault="00A54027" w:rsidP="00373E23">
      <w:pPr>
        <w:pStyle w:val="NormalWeb"/>
        <w:rPr>
          <w:rStyle w:val="Strong"/>
          <w:b w:val="0"/>
        </w:rPr>
      </w:pPr>
    </w:p>
    <w:p w:rsidR="00A54027" w:rsidRDefault="00A54027" w:rsidP="00373E23">
      <w:pPr>
        <w:pStyle w:val="NormalWeb"/>
        <w:rPr>
          <w:rStyle w:val="Strong"/>
          <w:b w:val="0"/>
        </w:rPr>
      </w:pPr>
    </w:p>
    <w:p w:rsidR="00373E23" w:rsidRPr="00CA32E3" w:rsidRDefault="00073ED0" w:rsidP="00373E23">
      <w:pPr>
        <w:pStyle w:val="NormalWeb"/>
        <w:rPr>
          <w:b/>
        </w:rPr>
      </w:pPr>
      <w:r w:rsidRPr="00CA32E3">
        <w:rPr>
          <w:rStyle w:val="Strong"/>
          <w:b w:val="0"/>
        </w:rPr>
        <w:t>Table 4</w:t>
      </w:r>
      <w:r w:rsidR="00373E23" w:rsidRPr="00CA32E3">
        <w:rPr>
          <w:rStyle w:val="Strong"/>
          <w:b w:val="0"/>
        </w:rPr>
        <w:t>: Demographic Characteristics of Respondents</w:t>
      </w:r>
    </w:p>
    <w:tbl>
      <w:tblPr>
        <w:tblpPr w:leftFromText="180" w:rightFromText="180" w:vertAnchor="text" w:tblpY="1"/>
        <w:tblOverlap w:val="never"/>
        <w:tblW w:w="76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2"/>
        <w:gridCol w:w="1538"/>
        <w:gridCol w:w="1660"/>
        <w:gridCol w:w="1877"/>
      </w:tblGrid>
      <w:tr w:rsidR="00373E23" w:rsidRPr="00C36AA7" w:rsidTr="00C36AA7">
        <w:trPr>
          <w:trHeight w:val="364"/>
          <w:tblHeader/>
          <w:tblCellSpacing w:w="15" w:type="dxa"/>
        </w:trPr>
        <w:tc>
          <w:tcPr>
            <w:tcW w:w="0" w:type="auto"/>
            <w:vAlign w:val="center"/>
            <w:hideMark/>
          </w:tcPr>
          <w:p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Variable</w:t>
            </w:r>
          </w:p>
        </w:tc>
        <w:tc>
          <w:tcPr>
            <w:tcW w:w="0" w:type="auto"/>
            <w:vAlign w:val="center"/>
            <w:hideMark/>
          </w:tcPr>
          <w:p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Category</w:t>
            </w:r>
          </w:p>
        </w:tc>
        <w:tc>
          <w:tcPr>
            <w:tcW w:w="0" w:type="auto"/>
            <w:vAlign w:val="center"/>
            <w:hideMark/>
          </w:tcPr>
          <w:p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Frequency (n)</w:t>
            </w:r>
          </w:p>
        </w:tc>
        <w:tc>
          <w:tcPr>
            <w:tcW w:w="1832" w:type="dxa"/>
            <w:vAlign w:val="center"/>
            <w:hideMark/>
          </w:tcPr>
          <w:p w:rsidR="00373E23" w:rsidRPr="00CA32E3" w:rsidRDefault="00373E23" w:rsidP="00C36AA7">
            <w:pPr>
              <w:spacing w:line="240" w:lineRule="auto"/>
              <w:jc w:val="center"/>
              <w:rPr>
                <w:rFonts w:ascii="Times New Roman" w:hAnsi="Times New Roman" w:cs="Times New Roman"/>
                <w:bCs/>
                <w:sz w:val="21"/>
                <w:szCs w:val="21"/>
              </w:rPr>
            </w:pPr>
            <w:r w:rsidRPr="00CA32E3">
              <w:rPr>
                <w:rFonts w:ascii="Times New Roman" w:hAnsi="Times New Roman" w:cs="Times New Roman"/>
                <w:bCs/>
                <w:sz w:val="21"/>
                <w:szCs w:val="21"/>
              </w:rPr>
              <w:t>Percentage (%)</w:t>
            </w:r>
          </w:p>
        </w:tc>
      </w:tr>
      <w:tr w:rsidR="00373E23" w:rsidRPr="00C36AA7" w:rsidTr="00C36AA7">
        <w:trPr>
          <w:trHeight w:val="376"/>
          <w:tblCellSpacing w:w="15" w:type="dxa"/>
        </w:trPr>
        <w:tc>
          <w:tcPr>
            <w:tcW w:w="0" w:type="auto"/>
            <w:vAlign w:val="center"/>
            <w:hideMark/>
          </w:tcPr>
          <w:p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Gender</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Male</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308</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51.3%</w:t>
            </w:r>
          </w:p>
        </w:tc>
      </w:tr>
      <w:tr w:rsidR="00373E23" w:rsidRPr="00C36AA7" w:rsidTr="00C36AA7">
        <w:trPr>
          <w:trHeight w:val="376"/>
          <w:tblCellSpacing w:w="15" w:type="dxa"/>
        </w:trPr>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Female</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292</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48.7%</w:t>
            </w:r>
          </w:p>
        </w:tc>
      </w:tr>
      <w:tr w:rsidR="00373E23" w:rsidRPr="00C36AA7" w:rsidTr="00C36AA7">
        <w:trPr>
          <w:trHeight w:val="376"/>
          <w:tblCellSpacing w:w="15" w:type="dxa"/>
        </w:trPr>
        <w:tc>
          <w:tcPr>
            <w:tcW w:w="0" w:type="auto"/>
            <w:vAlign w:val="center"/>
            <w:hideMark/>
          </w:tcPr>
          <w:p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Age Group (years)</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 xml:space="preserve">6 – </w:t>
            </w:r>
            <w:r w:rsidR="00293EC4" w:rsidRPr="00C36AA7">
              <w:rPr>
                <w:rFonts w:ascii="Times New Roman" w:hAnsi="Times New Roman" w:cs="Times New Roman"/>
                <w:sz w:val="21"/>
                <w:szCs w:val="21"/>
              </w:rPr>
              <w:t>9</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210</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35.0%</w:t>
            </w:r>
          </w:p>
        </w:tc>
      </w:tr>
      <w:tr w:rsidR="00373E23" w:rsidRPr="00C36AA7" w:rsidTr="00C36AA7">
        <w:trPr>
          <w:trHeight w:val="376"/>
          <w:tblCellSpacing w:w="15" w:type="dxa"/>
        </w:trPr>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10 – 12</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255</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42.5%</w:t>
            </w:r>
          </w:p>
        </w:tc>
      </w:tr>
      <w:tr w:rsidR="00373E23" w:rsidRPr="00C36AA7" w:rsidTr="00C36AA7">
        <w:trPr>
          <w:trHeight w:val="376"/>
          <w:tblCellSpacing w:w="15" w:type="dxa"/>
        </w:trPr>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13 – 15</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135</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22.5%</w:t>
            </w:r>
          </w:p>
        </w:tc>
      </w:tr>
      <w:tr w:rsidR="00373E23" w:rsidRPr="00C36AA7" w:rsidTr="00C36AA7">
        <w:trPr>
          <w:trHeight w:val="364"/>
          <w:tblCellSpacing w:w="15" w:type="dxa"/>
        </w:trPr>
        <w:tc>
          <w:tcPr>
            <w:tcW w:w="0" w:type="auto"/>
            <w:vAlign w:val="center"/>
            <w:hideMark/>
          </w:tcPr>
          <w:p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State of Displacement</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roofErr w:type="spellStart"/>
            <w:r w:rsidRPr="00C36AA7">
              <w:rPr>
                <w:rFonts w:ascii="Times New Roman" w:hAnsi="Times New Roman" w:cs="Times New Roman"/>
                <w:sz w:val="21"/>
                <w:szCs w:val="21"/>
              </w:rPr>
              <w:t>Borno</w:t>
            </w:r>
            <w:proofErr w:type="spellEnd"/>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240</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40.0%</w:t>
            </w:r>
          </w:p>
        </w:tc>
      </w:tr>
      <w:tr w:rsidR="00373E23" w:rsidRPr="00C36AA7" w:rsidTr="00C36AA7">
        <w:trPr>
          <w:trHeight w:val="376"/>
          <w:tblCellSpacing w:w="15" w:type="dxa"/>
        </w:trPr>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Adamawa</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198</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33.0%</w:t>
            </w:r>
          </w:p>
        </w:tc>
      </w:tr>
      <w:tr w:rsidR="00373E23" w:rsidRPr="00C36AA7" w:rsidTr="00C36AA7">
        <w:trPr>
          <w:trHeight w:val="376"/>
          <w:tblCellSpacing w:w="15" w:type="dxa"/>
        </w:trPr>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roofErr w:type="spellStart"/>
            <w:r w:rsidRPr="00C36AA7">
              <w:rPr>
                <w:rFonts w:ascii="Times New Roman" w:hAnsi="Times New Roman" w:cs="Times New Roman"/>
                <w:sz w:val="21"/>
                <w:szCs w:val="21"/>
              </w:rPr>
              <w:t>Yobe</w:t>
            </w:r>
            <w:proofErr w:type="spellEnd"/>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162</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27.0%</w:t>
            </w:r>
          </w:p>
        </w:tc>
      </w:tr>
      <w:tr w:rsidR="00373E23" w:rsidRPr="00C36AA7" w:rsidTr="00C36AA7">
        <w:trPr>
          <w:trHeight w:val="376"/>
          <w:tblCellSpacing w:w="15" w:type="dxa"/>
        </w:trPr>
        <w:tc>
          <w:tcPr>
            <w:tcW w:w="0" w:type="auto"/>
            <w:vAlign w:val="center"/>
            <w:hideMark/>
          </w:tcPr>
          <w:p w:rsidR="00373E23" w:rsidRPr="00CA32E3" w:rsidRDefault="00373E23" w:rsidP="00C36AA7">
            <w:pPr>
              <w:spacing w:line="240" w:lineRule="auto"/>
              <w:rPr>
                <w:rFonts w:ascii="Times New Roman" w:hAnsi="Times New Roman" w:cs="Times New Roman"/>
                <w:b/>
                <w:sz w:val="21"/>
                <w:szCs w:val="21"/>
              </w:rPr>
            </w:pPr>
            <w:r w:rsidRPr="00CA32E3">
              <w:rPr>
                <w:rStyle w:val="Strong"/>
                <w:rFonts w:ascii="Times New Roman" w:hAnsi="Times New Roman" w:cs="Times New Roman"/>
                <w:b w:val="0"/>
                <w:sz w:val="21"/>
                <w:szCs w:val="21"/>
              </w:rPr>
              <w:t>Duration in Camp</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&lt; 6 months</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174</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29.0%</w:t>
            </w:r>
          </w:p>
        </w:tc>
      </w:tr>
      <w:tr w:rsidR="00373E23" w:rsidRPr="00C36AA7" w:rsidTr="00C36AA7">
        <w:trPr>
          <w:trHeight w:val="376"/>
          <w:tblCellSpacing w:w="15" w:type="dxa"/>
        </w:trPr>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6–12 months</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246</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41.0%</w:t>
            </w:r>
          </w:p>
        </w:tc>
      </w:tr>
      <w:tr w:rsidR="00373E23" w:rsidRPr="00C36AA7" w:rsidTr="00C36AA7">
        <w:trPr>
          <w:trHeight w:val="33"/>
          <w:tblCellSpacing w:w="15" w:type="dxa"/>
        </w:trPr>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&gt; 12 months</w:t>
            </w:r>
          </w:p>
        </w:tc>
        <w:tc>
          <w:tcPr>
            <w:tcW w:w="0" w:type="auto"/>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180</w:t>
            </w:r>
          </w:p>
        </w:tc>
        <w:tc>
          <w:tcPr>
            <w:tcW w:w="1832" w:type="dxa"/>
            <w:vAlign w:val="center"/>
            <w:hideMark/>
          </w:tcPr>
          <w:p w:rsidR="00373E23" w:rsidRPr="00C36AA7" w:rsidRDefault="00373E23" w:rsidP="00C36AA7">
            <w:pPr>
              <w:spacing w:line="240" w:lineRule="auto"/>
              <w:rPr>
                <w:rFonts w:ascii="Times New Roman" w:hAnsi="Times New Roman" w:cs="Times New Roman"/>
                <w:sz w:val="21"/>
                <w:szCs w:val="21"/>
              </w:rPr>
            </w:pPr>
            <w:r w:rsidRPr="00C36AA7">
              <w:rPr>
                <w:rFonts w:ascii="Times New Roman" w:hAnsi="Times New Roman" w:cs="Times New Roman"/>
                <w:sz w:val="21"/>
                <w:szCs w:val="21"/>
              </w:rPr>
              <w:t>30.0%</w:t>
            </w:r>
          </w:p>
        </w:tc>
      </w:tr>
    </w:tbl>
    <w:p w:rsidR="00C36AA7" w:rsidRDefault="00C36AA7" w:rsidP="00373E23">
      <w:pPr>
        <w:spacing w:before="100" w:beforeAutospacing="1" w:after="100" w:afterAutospacing="1" w:line="480" w:lineRule="auto"/>
        <w:jc w:val="both"/>
        <w:rPr>
          <w:rFonts w:ascii="Times New Roman" w:hAnsi="Times New Roman" w:cs="Times New Roman"/>
          <w:sz w:val="24"/>
          <w:szCs w:val="24"/>
        </w:rPr>
      </w:pPr>
    </w:p>
    <w:p w:rsidR="00C36AA7" w:rsidRPr="00C36AA7" w:rsidRDefault="00C36AA7" w:rsidP="00C36AA7">
      <w:pPr>
        <w:rPr>
          <w:rFonts w:ascii="Times New Roman" w:hAnsi="Times New Roman" w:cs="Times New Roman"/>
          <w:sz w:val="24"/>
          <w:szCs w:val="24"/>
        </w:rPr>
      </w:pPr>
    </w:p>
    <w:p w:rsidR="00C36AA7" w:rsidRPr="00C36AA7" w:rsidRDefault="00C36AA7" w:rsidP="00C36AA7">
      <w:pPr>
        <w:rPr>
          <w:rFonts w:ascii="Times New Roman" w:hAnsi="Times New Roman" w:cs="Times New Roman"/>
          <w:sz w:val="24"/>
          <w:szCs w:val="24"/>
        </w:rPr>
      </w:pPr>
    </w:p>
    <w:p w:rsidR="002554B0" w:rsidRDefault="00C36AA7" w:rsidP="00C36AA7">
      <w:pPr>
        <w:tabs>
          <w:tab w:val="left" w:pos="1221"/>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000B16B0">
        <w:rPr>
          <w:rFonts w:ascii="Times New Roman" w:hAnsi="Times New Roman" w:cs="Times New Roman"/>
          <w:sz w:val="24"/>
          <w:szCs w:val="24"/>
        </w:rPr>
        <w:br w:type="textWrapping" w:clear="all"/>
      </w:r>
      <w:r w:rsidR="002554B0">
        <w:rPr>
          <w:rFonts w:ascii="Times New Roman" w:hAnsi="Times New Roman" w:cs="Times New Roman"/>
          <w:sz w:val="24"/>
          <w:szCs w:val="24"/>
        </w:rPr>
        <w:t>(Source: Researcher’s Computation 2025)</w:t>
      </w:r>
    </w:p>
    <w:p w:rsidR="006C241B" w:rsidRPr="00373E23" w:rsidRDefault="002554B0" w:rsidP="00C36AA7">
      <w:pPr>
        <w:tabs>
          <w:tab w:val="left" w:pos="1221"/>
        </w:tabs>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S</w:t>
      </w:r>
      <w:r w:rsidR="00373E23" w:rsidRPr="00373E23">
        <w:rPr>
          <w:rFonts w:ascii="Times New Roman" w:hAnsi="Times New Roman" w:cs="Times New Roman"/>
          <w:sz w:val="24"/>
          <w:szCs w:val="24"/>
        </w:rPr>
        <w:t>tatistics provide background context, showing that the majority of participants were in the 10–12 age range and had been displaced for over six months, which may influence nutritional vulnerability.</w:t>
      </w:r>
    </w:p>
    <w:p w:rsidR="00373E23" w:rsidRPr="00C36AA7" w:rsidRDefault="00C05397" w:rsidP="00373E23">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4.2 </w:t>
      </w:r>
      <w:r w:rsidR="00373E23" w:rsidRPr="00C36AA7">
        <w:rPr>
          <w:rFonts w:ascii="Times New Roman" w:eastAsia="Times New Roman" w:hAnsi="Times New Roman" w:cs="Times New Roman"/>
          <w:b/>
          <w:bCs/>
          <w:sz w:val="24"/>
          <w:szCs w:val="24"/>
        </w:rPr>
        <w:t>Descriptive Statistics of Micronutrients</w:t>
      </w:r>
    </w:p>
    <w:p w:rsidR="00373E23" w:rsidRDefault="00073ED0" w:rsidP="00373E23">
      <w:pPr>
        <w:spacing w:before="100" w:beforeAutospacing="1" w:after="100" w:afterAutospacing="1" w:line="240" w:lineRule="auto"/>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Table 5</w:t>
      </w:r>
      <w:r w:rsidR="00373E23" w:rsidRPr="00CA32E3">
        <w:rPr>
          <w:rFonts w:ascii="Times New Roman" w:eastAsia="Times New Roman" w:hAnsi="Times New Roman" w:cs="Times New Roman"/>
          <w:bCs/>
          <w:sz w:val="24"/>
          <w:szCs w:val="24"/>
        </w:rPr>
        <w:t>: Pre- and Post-Fortification Mean and Standard Deviation of Micronutrients</w:t>
      </w:r>
    </w:p>
    <w:p w:rsidR="00E10DC0" w:rsidRDefault="00E10DC0" w:rsidP="00373E23">
      <w:pPr>
        <w:spacing w:before="100" w:beforeAutospacing="1" w:after="100" w:afterAutospacing="1" w:line="240" w:lineRule="auto"/>
        <w:rPr>
          <w:rFonts w:ascii="Times New Roman" w:eastAsia="Times New Roman" w:hAnsi="Times New Roman" w:cs="Times New Roman"/>
          <w:bCs/>
          <w:sz w:val="24"/>
          <w:szCs w:val="24"/>
        </w:rPr>
      </w:pPr>
    </w:p>
    <w:p w:rsidR="00E10DC0" w:rsidRPr="00CA32E3" w:rsidRDefault="00E10DC0" w:rsidP="00373E23">
      <w:pPr>
        <w:spacing w:before="100" w:beforeAutospacing="1" w:after="100" w:afterAutospacing="1" w:line="240" w:lineRule="auto"/>
        <w:rPr>
          <w:rFonts w:ascii="Times New Roman" w:eastAsia="Times New Roman" w:hAnsi="Times New Roman" w:cs="Times New Roman"/>
          <w:sz w:val="24"/>
          <w:szCs w:val="24"/>
        </w:rPr>
      </w:pPr>
    </w:p>
    <w:tbl>
      <w:tblPr>
        <w:tblW w:w="76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7"/>
        <w:gridCol w:w="1402"/>
        <w:gridCol w:w="1113"/>
        <w:gridCol w:w="1514"/>
        <w:gridCol w:w="1241"/>
      </w:tblGrid>
      <w:tr w:rsidR="00373E23" w:rsidRPr="00373E23" w:rsidTr="00C36AA7">
        <w:trPr>
          <w:trHeight w:val="392"/>
          <w:tblHeader/>
          <w:tblCellSpacing w:w="15" w:type="dxa"/>
        </w:trPr>
        <w:tc>
          <w:tcPr>
            <w:tcW w:w="0" w:type="auto"/>
            <w:vAlign w:val="center"/>
            <w:hideMark/>
          </w:tcPr>
          <w:p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Micronutrient</w:t>
            </w:r>
          </w:p>
        </w:tc>
        <w:tc>
          <w:tcPr>
            <w:tcW w:w="0" w:type="auto"/>
            <w:vAlign w:val="center"/>
            <w:hideMark/>
          </w:tcPr>
          <w:p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Mean (Pre)</w:t>
            </w:r>
          </w:p>
        </w:tc>
        <w:tc>
          <w:tcPr>
            <w:tcW w:w="0" w:type="auto"/>
            <w:vAlign w:val="center"/>
            <w:hideMark/>
          </w:tcPr>
          <w:p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SD (Pre)</w:t>
            </w:r>
          </w:p>
        </w:tc>
        <w:tc>
          <w:tcPr>
            <w:tcW w:w="0" w:type="auto"/>
            <w:vAlign w:val="center"/>
            <w:hideMark/>
          </w:tcPr>
          <w:p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Mean (Post)</w:t>
            </w:r>
          </w:p>
        </w:tc>
        <w:tc>
          <w:tcPr>
            <w:tcW w:w="0" w:type="auto"/>
            <w:vAlign w:val="center"/>
            <w:hideMark/>
          </w:tcPr>
          <w:p w:rsidR="00373E23" w:rsidRPr="00CA32E3" w:rsidRDefault="00373E23" w:rsidP="00373E23">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SD (Post)</w:t>
            </w:r>
          </w:p>
        </w:tc>
      </w:tr>
      <w:tr w:rsidR="00373E23" w:rsidRPr="00373E23" w:rsidTr="00C36AA7">
        <w:trPr>
          <w:trHeight w:val="415"/>
          <w:tblCellSpacing w:w="15" w:type="dxa"/>
        </w:trPr>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Hemoglobin (g/dL)</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9.48</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1.17</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10.33</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1.25</w:t>
            </w:r>
          </w:p>
        </w:tc>
      </w:tr>
      <w:tr w:rsidR="00373E23" w:rsidRPr="00373E23" w:rsidTr="00C36AA7">
        <w:trPr>
          <w:trHeight w:val="415"/>
          <w:tblCellSpacing w:w="15" w:type="dxa"/>
        </w:trPr>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Vitamin A (</w:t>
            </w:r>
            <w:proofErr w:type="spellStart"/>
            <w:r w:rsidRPr="00373E23">
              <w:rPr>
                <w:rFonts w:ascii="Times New Roman" w:eastAsia="Times New Roman" w:hAnsi="Times New Roman" w:cs="Times New Roman"/>
                <w:sz w:val="24"/>
                <w:szCs w:val="24"/>
              </w:rPr>
              <w:t>μg</w:t>
            </w:r>
            <w:proofErr w:type="spellEnd"/>
            <w:r w:rsidRPr="00373E23">
              <w:rPr>
                <w:rFonts w:ascii="Times New Roman" w:eastAsia="Times New Roman" w:hAnsi="Times New Roman" w:cs="Times New Roman"/>
                <w:sz w:val="24"/>
                <w:szCs w:val="24"/>
              </w:rPr>
              <w:t>/dL)</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15.27</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3.96</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18.23</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4.47</w:t>
            </w:r>
          </w:p>
        </w:tc>
      </w:tr>
      <w:tr w:rsidR="00373E23" w:rsidRPr="00373E23" w:rsidTr="00C36AA7">
        <w:trPr>
          <w:trHeight w:val="392"/>
          <w:tblCellSpacing w:w="15" w:type="dxa"/>
        </w:trPr>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Zinc (</w:t>
            </w:r>
            <w:proofErr w:type="spellStart"/>
            <w:r w:rsidRPr="00373E23">
              <w:rPr>
                <w:rFonts w:ascii="Times New Roman" w:eastAsia="Times New Roman" w:hAnsi="Times New Roman" w:cs="Times New Roman"/>
                <w:sz w:val="24"/>
                <w:szCs w:val="24"/>
              </w:rPr>
              <w:t>μg</w:t>
            </w:r>
            <w:proofErr w:type="spellEnd"/>
            <w:r w:rsidRPr="00373E23">
              <w:rPr>
                <w:rFonts w:ascii="Times New Roman" w:eastAsia="Times New Roman" w:hAnsi="Times New Roman" w:cs="Times New Roman"/>
                <w:sz w:val="24"/>
                <w:szCs w:val="24"/>
              </w:rPr>
              <w:t>/dL)</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55.34</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9.91</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61.34</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11.37</w:t>
            </w:r>
          </w:p>
        </w:tc>
      </w:tr>
    </w:tbl>
    <w:p w:rsidR="002554B0" w:rsidRDefault="002554B0" w:rsidP="00373E23">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(Source: Desk Research, 2025)</w:t>
      </w:r>
    </w:p>
    <w:p w:rsidR="007D279A" w:rsidRDefault="00373E23" w:rsidP="00073ED0">
      <w:pPr>
        <w:spacing w:before="100" w:beforeAutospacing="1" w:after="100" w:afterAutospacing="1" w:line="480" w:lineRule="auto"/>
        <w:rPr>
          <w:rFonts w:ascii="Times New Roman" w:eastAsia="Times New Roman" w:hAnsi="Times New Roman" w:cs="Times New Roman"/>
          <w:b/>
          <w:bCs/>
          <w:sz w:val="24"/>
          <w:szCs w:val="24"/>
        </w:rPr>
      </w:pPr>
      <w:r w:rsidRPr="00373E23">
        <w:rPr>
          <w:rFonts w:ascii="Times New Roman" w:hAnsi="Times New Roman" w:cs="Times New Roman"/>
          <w:sz w:val="24"/>
          <w:szCs w:val="24"/>
        </w:rPr>
        <w:t xml:space="preserve">The data shows </w:t>
      </w:r>
      <w:proofErr w:type="gramStart"/>
      <w:r w:rsidRPr="00373E23">
        <w:rPr>
          <w:rFonts w:ascii="Times New Roman" w:hAnsi="Times New Roman" w:cs="Times New Roman"/>
          <w:sz w:val="24"/>
          <w:szCs w:val="24"/>
        </w:rPr>
        <w:t>increases</w:t>
      </w:r>
      <w:proofErr w:type="gramEnd"/>
      <w:r w:rsidRPr="00373E23">
        <w:rPr>
          <w:rFonts w:ascii="Times New Roman" w:hAnsi="Times New Roman" w:cs="Times New Roman"/>
          <w:sz w:val="24"/>
          <w:szCs w:val="24"/>
        </w:rPr>
        <w:t xml:space="preserve"> across all three micronutrients, with mean post-intervention values showing improvement over pre-intervention values.</w:t>
      </w:r>
    </w:p>
    <w:p w:rsidR="00373E23" w:rsidRPr="00C36AA7" w:rsidRDefault="00C05397" w:rsidP="00373E23">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4.3 </w:t>
      </w:r>
      <w:r w:rsidR="00373E23" w:rsidRPr="00C36AA7">
        <w:rPr>
          <w:rFonts w:ascii="Times New Roman" w:eastAsia="Times New Roman" w:hAnsi="Times New Roman" w:cs="Times New Roman"/>
          <w:b/>
          <w:bCs/>
          <w:sz w:val="24"/>
          <w:szCs w:val="24"/>
        </w:rPr>
        <w:t>Inferential Statistics: Paired Sample t-Tests</w:t>
      </w:r>
    </w:p>
    <w:p w:rsidR="00373E23" w:rsidRPr="00CA32E3" w:rsidRDefault="00373E23" w:rsidP="00373E23">
      <w:pPr>
        <w:spacing w:before="100" w:beforeAutospacing="1" w:after="100" w:afterAutospacing="1" w:line="240" w:lineRule="auto"/>
        <w:rPr>
          <w:rFonts w:ascii="Times New Roman" w:eastAsia="Times New Roman" w:hAnsi="Times New Roman" w:cs="Times New Roman"/>
          <w:sz w:val="24"/>
          <w:szCs w:val="24"/>
        </w:rPr>
      </w:pPr>
      <w:r w:rsidRPr="00CA32E3">
        <w:rPr>
          <w:rFonts w:ascii="Times New Roman" w:eastAsia="Times New Roman" w:hAnsi="Times New Roman" w:cs="Times New Roman"/>
          <w:bCs/>
          <w:sz w:val="24"/>
          <w:szCs w:val="24"/>
        </w:rPr>
        <w:t>Table</w:t>
      </w:r>
      <w:r w:rsidR="00073ED0" w:rsidRPr="00CA32E3">
        <w:rPr>
          <w:rFonts w:ascii="Times New Roman" w:eastAsia="Times New Roman" w:hAnsi="Times New Roman" w:cs="Times New Roman"/>
          <w:bCs/>
          <w:sz w:val="24"/>
          <w:szCs w:val="24"/>
        </w:rPr>
        <w:t xml:space="preserve"> 6</w:t>
      </w:r>
      <w:r w:rsidRPr="00CA32E3">
        <w:rPr>
          <w:rFonts w:ascii="Times New Roman" w:eastAsia="Times New Roman" w:hAnsi="Times New Roman" w:cs="Times New Roman"/>
          <w:bCs/>
          <w:sz w:val="24"/>
          <w:szCs w:val="24"/>
        </w:rPr>
        <w:t>: Paired Sample t-Test Results</w:t>
      </w:r>
    </w:p>
    <w:tbl>
      <w:tblPr>
        <w:tblW w:w="84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7"/>
        <w:gridCol w:w="1603"/>
        <w:gridCol w:w="1360"/>
        <w:gridCol w:w="3073"/>
      </w:tblGrid>
      <w:tr w:rsidR="00373E23" w:rsidRPr="00373E23" w:rsidTr="00C36AA7">
        <w:trPr>
          <w:trHeight w:val="315"/>
          <w:tblHeader/>
          <w:tblCellSpacing w:w="15" w:type="dxa"/>
        </w:trPr>
        <w:tc>
          <w:tcPr>
            <w:tcW w:w="0" w:type="auto"/>
            <w:vAlign w:val="center"/>
            <w:hideMark/>
          </w:tcPr>
          <w:p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Micronutrient</w:t>
            </w:r>
          </w:p>
        </w:tc>
        <w:tc>
          <w:tcPr>
            <w:tcW w:w="0" w:type="auto"/>
            <w:vAlign w:val="center"/>
            <w:hideMark/>
          </w:tcPr>
          <w:p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t-statistic</w:t>
            </w:r>
          </w:p>
        </w:tc>
        <w:tc>
          <w:tcPr>
            <w:tcW w:w="0" w:type="auto"/>
            <w:vAlign w:val="center"/>
            <w:hideMark/>
          </w:tcPr>
          <w:p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p-value</w:t>
            </w:r>
          </w:p>
        </w:tc>
        <w:tc>
          <w:tcPr>
            <w:tcW w:w="0" w:type="auto"/>
            <w:vAlign w:val="center"/>
            <w:hideMark/>
          </w:tcPr>
          <w:p w:rsidR="00373E23" w:rsidRPr="00CA32E3" w:rsidRDefault="00373E23" w:rsidP="00A54027">
            <w:pPr>
              <w:spacing w:after="0" w:line="240" w:lineRule="auto"/>
              <w:jc w:val="center"/>
              <w:rPr>
                <w:rFonts w:ascii="Times New Roman" w:eastAsia="Times New Roman" w:hAnsi="Times New Roman" w:cs="Times New Roman"/>
                <w:bCs/>
                <w:sz w:val="24"/>
                <w:szCs w:val="24"/>
              </w:rPr>
            </w:pPr>
            <w:r w:rsidRPr="00CA32E3">
              <w:rPr>
                <w:rFonts w:ascii="Times New Roman" w:eastAsia="Times New Roman" w:hAnsi="Times New Roman" w:cs="Times New Roman"/>
                <w:bCs/>
                <w:sz w:val="24"/>
                <w:szCs w:val="24"/>
              </w:rPr>
              <w:t>Significance</w:t>
            </w:r>
          </w:p>
        </w:tc>
      </w:tr>
      <w:tr w:rsidR="00373E23" w:rsidRPr="00373E23" w:rsidTr="00C36AA7">
        <w:trPr>
          <w:trHeight w:val="315"/>
          <w:tblCellSpacing w:w="15" w:type="dxa"/>
        </w:trPr>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Hemoglobin</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41.30</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&lt; 0.001</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Highly significant</w:t>
            </w:r>
          </w:p>
        </w:tc>
      </w:tr>
      <w:tr w:rsidR="00373E23" w:rsidRPr="00373E23" w:rsidTr="00C36AA7">
        <w:trPr>
          <w:trHeight w:val="333"/>
          <w:tblCellSpacing w:w="15" w:type="dxa"/>
        </w:trPr>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Vitamin A</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37.21</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&lt; 0.001</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Highly significant</w:t>
            </w:r>
          </w:p>
        </w:tc>
      </w:tr>
      <w:tr w:rsidR="00373E23" w:rsidRPr="00373E23" w:rsidTr="00C36AA7">
        <w:trPr>
          <w:trHeight w:val="333"/>
          <w:tblCellSpacing w:w="15" w:type="dxa"/>
        </w:trPr>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Zinc</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27.87</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&lt; 0.001</w:t>
            </w:r>
          </w:p>
        </w:tc>
        <w:tc>
          <w:tcPr>
            <w:tcW w:w="0" w:type="auto"/>
            <w:vAlign w:val="center"/>
            <w:hideMark/>
          </w:tcPr>
          <w:p w:rsidR="00373E23" w:rsidRPr="00373E23" w:rsidRDefault="00373E23" w:rsidP="00A54027">
            <w:pPr>
              <w:spacing w:after="0" w:line="240" w:lineRule="auto"/>
              <w:jc w:val="center"/>
              <w:rPr>
                <w:rFonts w:ascii="Times New Roman" w:eastAsia="Times New Roman" w:hAnsi="Times New Roman" w:cs="Times New Roman"/>
                <w:sz w:val="24"/>
                <w:szCs w:val="24"/>
              </w:rPr>
            </w:pPr>
            <w:r w:rsidRPr="00373E23">
              <w:rPr>
                <w:rFonts w:ascii="Times New Roman" w:eastAsia="Times New Roman" w:hAnsi="Times New Roman" w:cs="Times New Roman"/>
                <w:sz w:val="24"/>
                <w:szCs w:val="24"/>
              </w:rPr>
              <w:t>Highly significant</w:t>
            </w:r>
          </w:p>
        </w:tc>
      </w:tr>
    </w:tbl>
    <w:p w:rsidR="00CA32E3" w:rsidRDefault="002554B0" w:rsidP="00373E23">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(Source: SPSS Version 27)</w:t>
      </w:r>
    </w:p>
    <w:p w:rsidR="006C241B" w:rsidRPr="00CA32E3" w:rsidRDefault="00373E23" w:rsidP="00373E23">
      <w:pPr>
        <w:spacing w:before="100" w:beforeAutospacing="1" w:after="100" w:afterAutospacing="1" w:line="480" w:lineRule="auto"/>
        <w:rPr>
          <w:rFonts w:ascii="Times New Roman" w:hAnsi="Times New Roman" w:cs="Times New Roman"/>
          <w:sz w:val="24"/>
          <w:szCs w:val="24"/>
        </w:rPr>
      </w:pPr>
      <w:r w:rsidRPr="00373E23">
        <w:rPr>
          <w:rFonts w:ascii="Times New Roman" w:hAnsi="Times New Roman" w:cs="Times New Roman"/>
          <w:sz w:val="24"/>
          <w:szCs w:val="24"/>
        </w:rPr>
        <w:t>All p-values are far below the standard alpha level of 0.05, indicating that the observed improvements were not due to chance.</w:t>
      </w:r>
    </w:p>
    <w:p w:rsidR="00373E23" w:rsidRPr="00984C0F" w:rsidRDefault="00C05397" w:rsidP="00373E23">
      <w:pPr>
        <w:pStyle w:val="Heading2"/>
        <w:rPr>
          <w:color w:val="auto"/>
          <w:sz w:val="24"/>
          <w:szCs w:val="24"/>
        </w:rPr>
      </w:pPr>
      <w:r>
        <w:rPr>
          <w:rStyle w:val="Strong"/>
          <w:b/>
          <w:bCs/>
          <w:color w:val="auto"/>
          <w:sz w:val="24"/>
          <w:szCs w:val="24"/>
        </w:rPr>
        <w:t xml:space="preserve">4.4 </w:t>
      </w:r>
      <w:r w:rsidR="00373E23" w:rsidRPr="00984C0F">
        <w:rPr>
          <w:rStyle w:val="Strong"/>
          <w:b/>
          <w:bCs/>
          <w:color w:val="auto"/>
          <w:sz w:val="24"/>
          <w:szCs w:val="24"/>
        </w:rPr>
        <w:t>Interpretation of Results</w:t>
      </w:r>
    </w:p>
    <w:p w:rsidR="00373E23" w:rsidRDefault="00373E23" w:rsidP="00984C0F">
      <w:pPr>
        <w:pStyle w:val="NormalWeb"/>
        <w:spacing w:line="480" w:lineRule="auto"/>
        <w:jc w:val="both"/>
      </w:pPr>
      <w:r>
        <w:t xml:space="preserve">The statistical analysis using </w:t>
      </w:r>
      <w:r w:rsidRPr="00984C0F">
        <w:rPr>
          <w:rStyle w:val="Strong"/>
          <w:b w:val="0"/>
        </w:rPr>
        <w:t>paired sample t-tests</w:t>
      </w:r>
      <w:r>
        <w:t xml:space="preserve"> demonstrated </w:t>
      </w:r>
      <w:r w:rsidRPr="00984C0F">
        <w:rPr>
          <w:rStyle w:val="Strong"/>
          <w:b w:val="0"/>
        </w:rPr>
        <w:t>significant increases in hemoglobin, vitamin A, and zinc levels</w:t>
      </w:r>
      <w:r>
        <w:t xml:space="preserve"> post-intervention among internally displaced children (IDCs). These improvements underscore the </w:t>
      </w:r>
      <w:r w:rsidRPr="00984C0F">
        <w:rPr>
          <w:rStyle w:val="Strong"/>
          <w:b w:val="0"/>
        </w:rPr>
        <w:t xml:space="preserve">positive impact of food fortification </w:t>
      </w:r>
      <w:proofErr w:type="spellStart"/>
      <w:r w:rsidRPr="00984C0F">
        <w:rPr>
          <w:rStyle w:val="Strong"/>
          <w:b w:val="0"/>
        </w:rPr>
        <w:t>onmicronutrient</w:t>
      </w:r>
      <w:proofErr w:type="spellEnd"/>
      <w:r w:rsidRPr="00984C0F">
        <w:rPr>
          <w:rStyle w:val="Strong"/>
          <w:b w:val="0"/>
        </w:rPr>
        <w:t xml:space="preserve"> status</w:t>
      </w:r>
      <w:r w:rsidRPr="00984C0F">
        <w:rPr>
          <w:b/>
        </w:rPr>
        <w:t xml:space="preserve">. </w:t>
      </w:r>
      <w:proofErr w:type="spellStart"/>
      <w:r w:rsidRPr="00984C0F">
        <w:t>The</w:t>
      </w:r>
      <w:r w:rsidRPr="00984C0F">
        <w:rPr>
          <w:rStyle w:val="Strong"/>
          <w:b w:val="0"/>
        </w:rPr>
        <w:t>p</w:t>
      </w:r>
      <w:proofErr w:type="spellEnd"/>
      <w:r w:rsidRPr="00984C0F">
        <w:rPr>
          <w:rStyle w:val="Strong"/>
          <w:b w:val="0"/>
        </w:rPr>
        <w:t>-values (&lt; 0.001)</w:t>
      </w:r>
      <w:r>
        <w:t xml:space="preserve"> for all tested nutrients confirm the effectiveness of the fortified interventions.</w:t>
      </w:r>
    </w:p>
    <w:p w:rsidR="00373E23" w:rsidRDefault="00373E23" w:rsidP="00C36AA7">
      <w:pPr>
        <w:pStyle w:val="NormalWeb"/>
        <w:spacing w:line="480" w:lineRule="auto"/>
        <w:jc w:val="both"/>
      </w:pPr>
      <w:r>
        <w:t xml:space="preserve">This suggests that fortification efforts helped address </w:t>
      </w:r>
      <w:r w:rsidRPr="00984C0F">
        <w:rPr>
          <w:rStyle w:val="Strong"/>
          <w:b w:val="0"/>
        </w:rPr>
        <w:t>iron-deficiency anemia, vitamin A deficiency, and zinc inadequacy</w:t>
      </w:r>
      <w:r>
        <w:t>, which are major contributors to illness and impaired development in displaced children (</w:t>
      </w:r>
      <w:hyperlink r:id="rId10" w:tgtFrame="_new" w:history="1">
        <w:r w:rsidRPr="00984C0F">
          <w:rPr>
            <w:rStyle w:val="Hyperlink"/>
            <w:color w:val="auto"/>
            <w:u w:val="none"/>
          </w:rPr>
          <w:t>WHO, 2022</w:t>
        </w:r>
      </w:hyperlink>
      <w:r>
        <w:t>).</w:t>
      </w:r>
    </w:p>
    <w:p w:rsidR="00373E23" w:rsidRPr="00984C0F" w:rsidRDefault="00C05397"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4.5 </w:t>
      </w:r>
      <w:r w:rsidR="00373E23" w:rsidRPr="00984C0F">
        <w:rPr>
          <w:rStyle w:val="Strong"/>
          <w:rFonts w:ascii="Times New Roman" w:hAnsi="Times New Roman" w:cs="Times New Roman"/>
          <w:b/>
          <w:bCs/>
          <w:color w:val="auto"/>
          <w:sz w:val="24"/>
          <w:szCs w:val="24"/>
        </w:rPr>
        <w:t>Discussion of Findings</w:t>
      </w:r>
    </w:p>
    <w:p w:rsidR="00373E23" w:rsidRDefault="00373E23" w:rsidP="00984C0F">
      <w:pPr>
        <w:pStyle w:val="NormalWeb"/>
        <w:spacing w:line="480" w:lineRule="auto"/>
        <w:jc w:val="both"/>
      </w:pPr>
      <w:r>
        <w:t xml:space="preserve">These findings align with previous research emphasizing the cost-effectiveness and public health value of food fortification in low-resource settings. For instance, the </w:t>
      </w:r>
      <w:r w:rsidRPr="00984C0F">
        <w:rPr>
          <w:rStyle w:val="Strong"/>
          <w:b w:val="0"/>
        </w:rPr>
        <w:t>World Health Organization</w:t>
      </w:r>
      <w:r>
        <w:t xml:space="preserve"> </w:t>
      </w:r>
      <w:r>
        <w:lastRenderedPageBreak/>
        <w:t>advocates fortification as a proven tool to combat micronutrient deficiencies globally (</w:t>
      </w:r>
      <w:hyperlink r:id="rId11" w:tgtFrame="_new" w:history="1">
        <w:r w:rsidRPr="00984C0F">
          <w:rPr>
            <w:rStyle w:val="Hyperlink"/>
            <w:color w:val="auto"/>
            <w:u w:val="none"/>
          </w:rPr>
          <w:t>WHO, 2006</w:t>
        </w:r>
      </w:hyperlink>
      <w:r>
        <w:t>).</w:t>
      </w:r>
    </w:p>
    <w:p w:rsidR="00373E23" w:rsidRDefault="00373E23" w:rsidP="00984C0F">
      <w:pPr>
        <w:pStyle w:val="NormalWeb"/>
        <w:spacing w:line="480" w:lineRule="auto"/>
        <w:jc w:val="both"/>
      </w:pPr>
      <w:proofErr w:type="spellStart"/>
      <w:r w:rsidRPr="00984C0F">
        <w:rPr>
          <w:rStyle w:val="Strong"/>
          <w:b w:val="0"/>
        </w:rPr>
        <w:t>Muthayya</w:t>
      </w:r>
      <w:proofErr w:type="spellEnd"/>
      <w:r w:rsidRPr="00984C0F">
        <w:rPr>
          <w:rStyle w:val="Strong"/>
          <w:b w:val="0"/>
        </w:rPr>
        <w:t xml:space="preserve"> et al. (</w:t>
      </w:r>
      <w:proofErr w:type="gramStart"/>
      <w:r w:rsidRPr="00984C0F">
        <w:rPr>
          <w:rStyle w:val="Strong"/>
          <w:b w:val="0"/>
        </w:rPr>
        <w:t>2013)</w:t>
      </w:r>
      <w:r>
        <w:t>concluded</w:t>
      </w:r>
      <w:proofErr w:type="gramEnd"/>
      <w:r>
        <w:t xml:space="preserve"> that large-scale food fortification has measurable effects on population-level micronutrient intake, especially in vulnerable groups (</w:t>
      </w:r>
      <w:hyperlink r:id="rId12" w:tgtFrame="_new" w:history="1">
        <w:r w:rsidRPr="00984C0F">
          <w:rPr>
            <w:rStyle w:val="Hyperlink"/>
            <w:color w:val="auto"/>
            <w:u w:val="none"/>
          </w:rPr>
          <w:t>NIH/PMC</w:t>
        </w:r>
      </w:hyperlink>
      <w:r>
        <w:t xml:space="preserve">). Similarly, </w:t>
      </w:r>
      <w:r w:rsidRPr="00984C0F">
        <w:rPr>
          <w:rStyle w:val="Strong"/>
          <w:b w:val="0"/>
        </w:rPr>
        <w:t>UNICEF (2023</w:t>
      </w:r>
      <w:r>
        <w:rPr>
          <w:rStyle w:val="Strong"/>
        </w:rPr>
        <w:t>)</w:t>
      </w:r>
      <w:r>
        <w:t xml:space="preserve"> emphasizes that children in humanitarian crises are particularly susceptible to malnutrition due to disrupted food systems (UNICEF Nutrition).</w:t>
      </w:r>
    </w:p>
    <w:p w:rsidR="00373E23" w:rsidRDefault="00373E23" w:rsidP="00984C0F">
      <w:pPr>
        <w:pStyle w:val="NormalWeb"/>
        <w:spacing w:line="480" w:lineRule="auto"/>
        <w:jc w:val="both"/>
      </w:pPr>
      <w:r>
        <w:t xml:space="preserve">The observed increase in </w:t>
      </w:r>
      <w:r w:rsidRPr="00984C0F">
        <w:rPr>
          <w:rStyle w:val="Strong"/>
          <w:b w:val="0"/>
        </w:rPr>
        <w:t>hemoglobin levels</w:t>
      </w:r>
      <w:r>
        <w:t xml:space="preserve"> among respondents suggests a reduction in iron-deficiency anemia, one of the leading causes of morbidity and poor cognitive development in children under crisis conditions (Global Nutrition Report, 2021). The improvement in </w:t>
      </w:r>
      <w:r w:rsidRPr="00C36AA7">
        <w:rPr>
          <w:rStyle w:val="Strong"/>
          <w:b w:val="0"/>
        </w:rPr>
        <w:t xml:space="preserve">vitamin A </w:t>
      </w:r>
      <w:proofErr w:type="spellStart"/>
      <w:r w:rsidRPr="00C36AA7">
        <w:rPr>
          <w:rStyle w:val="Strong"/>
          <w:b w:val="0"/>
        </w:rPr>
        <w:t>levels</w:t>
      </w:r>
      <w:r>
        <w:t>corresponds</w:t>
      </w:r>
      <w:proofErr w:type="spellEnd"/>
      <w:r>
        <w:t xml:space="preserve"> with lower risks of preventable blindness and child mortality, as supported by </w:t>
      </w:r>
      <w:r w:rsidRPr="00984C0F">
        <w:rPr>
          <w:rStyle w:val="Strong"/>
          <w:b w:val="0"/>
        </w:rPr>
        <w:t>Sommer &amp; West (2002)</w:t>
      </w:r>
      <w:r>
        <w:t xml:space="preserve"> (Johns Hopkins).</w:t>
      </w:r>
    </w:p>
    <w:p w:rsidR="00373E23" w:rsidRDefault="00373E23" w:rsidP="00C05397">
      <w:pPr>
        <w:pStyle w:val="NormalWeb"/>
        <w:spacing w:line="480" w:lineRule="auto"/>
        <w:jc w:val="both"/>
      </w:pPr>
      <w:r>
        <w:t xml:space="preserve">Enhanced </w:t>
      </w:r>
      <w:r w:rsidRPr="00C36AA7">
        <w:rPr>
          <w:rStyle w:val="Strong"/>
          <w:b w:val="0"/>
        </w:rPr>
        <w:t>zinc levels</w:t>
      </w:r>
      <w:r>
        <w:t xml:space="preserve"> have important implications for immunity and growth, especially among children exposed to poor sanitation and disease in IDP camps </w:t>
      </w:r>
      <w:r w:rsidRPr="00984C0F">
        <w:t>(</w:t>
      </w:r>
      <w:proofErr w:type="spellStart"/>
      <w:r w:rsidR="005E384C">
        <w:fldChar w:fldCharType="begin"/>
      </w:r>
      <w:r w:rsidR="005E384C">
        <w:instrText xml:space="preserve"> HYPERLINK "https://www.ncbi.nlm.nih.gov/pmc/articles/PMC3649710/" \t "_new" </w:instrText>
      </w:r>
      <w:r w:rsidR="005E384C">
        <w:fldChar w:fldCharType="separate"/>
      </w:r>
      <w:r w:rsidRPr="00984C0F">
        <w:rPr>
          <w:rStyle w:val="Hyperlink"/>
          <w:color w:val="auto"/>
          <w:u w:val="none"/>
        </w:rPr>
        <w:t>Wessells</w:t>
      </w:r>
      <w:proofErr w:type="spellEnd"/>
      <w:r w:rsidRPr="00984C0F">
        <w:rPr>
          <w:rStyle w:val="Hyperlink"/>
          <w:color w:val="auto"/>
          <w:u w:val="none"/>
        </w:rPr>
        <w:t xml:space="preserve"> &amp; Brown, 2012</w:t>
      </w:r>
      <w:r w:rsidR="005E384C">
        <w:rPr>
          <w:rStyle w:val="Hyperlink"/>
          <w:color w:val="auto"/>
          <w:u w:val="none"/>
        </w:rPr>
        <w:fldChar w:fldCharType="end"/>
      </w:r>
      <w:r>
        <w:t>). Caregivers also reported practical improvements such as better energy, attentiveness, and reduced illness, validating the biochemical data with real-world impact.</w:t>
      </w:r>
    </w:p>
    <w:p w:rsidR="00373E23" w:rsidRPr="00373E23" w:rsidRDefault="00C05397"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4.6 </w:t>
      </w:r>
      <w:r w:rsidR="00373E23" w:rsidRPr="00373E23">
        <w:rPr>
          <w:rStyle w:val="Strong"/>
          <w:rFonts w:ascii="Times New Roman" w:hAnsi="Times New Roman" w:cs="Times New Roman"/>
          <w:b/>
          <w:bCs/>
          <w:color w:val="auto"/>
          <w:sz w:val="24"/>
          <w:szCs w:val="24"/>
        </w:rPr>
        <w:t>Recommendations</w:t>
      </w:r>
    </w:p>
    <w:p w:rsidR="00373E23" w:rsidRDefault="00373E23" w:rsidP="00984C0F">
      <w:pPr>
        <w:pStyle w:val="NormalWeb"/>
        <w:numPr>
          <w:ilvl w:val="0"/>
          <w:numId w:val="8"/>
        </w:numPr>
        <w:spacing w:line="480" w:lineRule="auto"/>
        <w:jc w:val="both"/>
      </w:pPr>
      <w:r w:rsidRPr="00984C0F">
        <w:rPr>
          <w:rStyle w:val="Strong"/>
          <w:b w:val="0"/>
        </w:rPr>
        <w:t>Scale-Up Fortified Food Distribution</w:t>
      </w:r>
      <w:r>
        <w:t xml:space="preserve">: Expand fortified food programs to cover all IDP camps in </w:t>
      </w:r>
      <w:proofErr w:type="spellStart"/>
      <w:r>
        <w:t>Borno</w:t>
      </w:r>
      <w:proofErr w:type="spellEnd"/>
      <w:r>
        <w:t xml:space="preserve">, Adamawa, and </w:t>
      </w:r>
      <w:proofErr w:type="spellStart"/>
      <w:r>
        <w:t>Yobe</w:t>
      </w:r>
      <w:proofErr w:type="spellEnd"/>
      <w:r>
        <w:t>. This should include rice, flour, oil, and bouillon fortified with iron, vitamin A, folate, and zinc (GAIN, 2020).</w:t>
      </w:r>
    </w:p>
    <w:p w:rsidR="00373E23" w:rsidRDefault="00373E23" w:rsidP="00984C0F">
      <w:pPr>
        <w:pStyle w:val="NormalWeb"/>
        <w:numPr>
          <w:ilvl w:val="0"/>
          <w:numId w:val="8"/>
        </w:numPr>
        <w:spacing w:line="480" w:lineRule="auto"/>
        <w:jc w:val="both"/>
      </w:pPr>
      <w:r w:rsidRPr="00984C0F">
        <w:rPr>
          <w:rStyle w:val="Strong"/>
          <w:b w:val="0"/>
        </w:rPr>
        <w:lastRenderedPageBreak/>
        <w:t>Routine Nutritional Surveillance</w:t>
      </w:r>
      <w:r>
        <w:t>: Establish routine biochemical screening at IDP camp clinics to monitor and evaluate micronutrient status among children (UNHCR Public Health Strategy).</w:t>
      </w:r>
    </w:p>
    <w:p w:rsidR="00373E23" w:rsidRDefault="00373E23" w:rsidP="00984C0F">
      <w:pPr>
        <w:pStyle w:val="NormalWeb"/>
        <w:numPr>
          <w:ilvl w:val="0"/>
          <w:numId w:val="8"/>
        </w:numPr>
        <w:spacing w:line="480" w:lineRule="auto"/>
        <w:jc w:val="both"/>
      </w:pPr>
      <w:r w:rsidRPr="00984C0F">
        <w:rPr>
          <w:rStyle w:val="Strong"/>
          <w:b w:val="0"/>
        </w:rPr>
        <w:t>Nutrition Education for Caregivers</w:t>
      </w:r>
      <w:r>
        <w:t>: Train caregivers and local food vendors on the importance of fortified foods and complementary feeding practices using community health workers (</w:t>
      </w:r>
      <w:hyperlink r:id="rId13" w:tgtFrame="_new" w:history="1">
        <w:r w:rsidRPr="00373E23">
          <w:rPr>
            <w:rStyle w:val="Hyperlink"/>
            <w:color w:val="auto"/>
            <w:u w:val="none"/>
          </w:rPr>
          <w:t>FAO, 2017</w:t>
        </w:r>
      </w:hyperlink>
      <w:r>
        <w:t>).</w:t>
      </w:r>
    </w:p>
    <w:p w:rsidR="00373E23" w:rsidRDefault="00373E23" w:rsidP="00984C0F">
      <w:pPr>
        <w:pStyle w:val="NormalWeb"/>
        <w:numPr>
          <w:ilvl w:val="0"/>
          <w:numId w:val="8"/>
        </w:numPr>
        <w:spacing w:line="480" w:lineRule="auto"/>
        <w:jc w:val="both"/>
      </w:pPr>
      <w:r w:rsidRPr="00984C0F">
        <w:rPr>
          <w:rStyle w:val="Strong"/>
          <w:b w:val="0"/>
        </w:rPr>
        <w:t>Policy Integration and Funding</w:t>
      </w:r>
      <w:r>
        <w:t>: Embed food fortification in Nigeria’s national emergency nutrition response framework with sustainable budgetary allocation (Nigeria Food Fortification Standards, 2020).</w:t>
      </w:r>
    </w:p>
    <w:p w:rsidR="00373E23" w:rsidRDefault="00373E23" w:rsidP="00984C0F">
      <w:pPr>
        <w:pStyle w:val="NormalWeb"/>
        <w:numPr>
          <w:ilvl w:val="0"/>
          <w:numId w:val="8"/>
        </w:numPr>
        <w:spacing w:line="480" w:lineRule="auto"/>
        <w:jc w:val="both"/>
      </w:pPr>
      <w:r w:rsidRPr="00984C0F">
        <w:rPr>
          <w:rStyle w:val="Strong"/>
          <w:b w:val="0"/>
        </w:rPr>
        <w:t>Multi-sectoral Collaboration</w:t>
      </w:r>
      <w:r>
        <w:t>: Encourage public-private partnerships to enhance supply chains and local production of fortified food (</w:t>
      </w:r>
      <w:hyperlink r:id="rId14" w:tgtFrame="_new" w:history="1">
        <w:r w:rsidRPr="00373E23">
          <w:rPr>
            <w:rStyle w:val="Hyperlink"/>
            <w:color w:val="auto"/>
            <w:u w:val="none"/>
          </w:rPr>
          <w:t>World Bank, 2018</w:t>
        </w:r>
      </w:hyperlink>
      <w:r>
        <w:t>).</w:t>
      </w:r>
    </w:p>
    <w:p w:rsidR="00373E23" w:rsidRPr="00984C0F" w:rsidRDefault="00C05397" w:rsidP="00373E23">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4.7 </w:t>
      </w:r>
      <w:r w:rsidR="00373E23" w:rsidRPr="00984C0F">
        <w:rPr>
          <w:rStyle w:val="Strong"/>
          <w:rFonts w:ascii="Times New Roman" w:hAnsi="Times New Roman" w:cs="Times New Roman"/>
          <w:b/>
          <w:bCs/>
          <w:color w:val="auto"/>
          <w:sz w:val="24"/>
          <w:szCs w:val="24"/>
        </w:rPr>
        <w:t>Conclusion</w:t>
      </w:r>
    </w:p>
    <w:p w:rsidR="00373E23" w:rsidRDefault="00373E23" w:rsidP="00984C0F">
      <w:pPr>
        <w:pStyle w:val="NormalWeb"/>
        <w:spacing w:line="480" w:lineRule="auto"/>
        <w:jc w:val="both"/>
      </w:pPr>
      <w:r>
        <w:t xml:space="preserve">This study provides empirical evidence that </w:t>
      </w:r>
      <w:r w:rsidRPr="00984C0F">
        <w:rPr>
          <w:rStyle w:val="Strong"/>
          <w:b w:val="0"/>
        </w:rPr>
        <w:t xml:space="preserve">food fortification significantly reduces micronutrient </w:t>
      </w:r>
      <w:proofErr w:type="spellStart"/>
      <w:r w:rsidRPr="00984C0F">
        <w:rPr>
          <w:rStyle w:val="Strong"/>
          <w:b w:val="0"/>
        </w:rPr>
        <w:t>deficiencies</w:t>
      </w:r>
      <w:r>
        <w:t>among</w:t>
      </w:r>
      <w:proofErr w:type="spellEnd"/>
      <w:r>
        <w:t xml:space="preserve"> internally displaced children in Northeast Nigeria. Using a </w:t>
      </w:r>
      <w:r w:rsidRPr="00984C0F">
        <w:rPr>
          <w:rStyle w:val="Strong"/>
          <w:b w:val="0"/>
        </w:rPr>
        <w:t>quasi-experimental design</w:t>
      </w:r>
      <w:r>
        <w:t xml:space="preserve">, the research observed improvements in hemoglobin, vitamin A, and zinc status following the introduction of fortified foods. These findings validate the importance of integrating food fortification in </w:t>
      </w:r>
      <w:r w:rsidRPr="00984C0F">
        <w:rPr>
          <w:rStyle w:val="Strong"/>
          <w:b w:val="0"/>
        </w:rPr>
        <w:t>emergency nutrition responses</w:t>
      </w:r>
      <w:r>
        <w:t>, particularly in humanitarian crises characterized by chronic food insecurity.</w:t>
      </w:r>
    </w:p>
    <w:p w:rsidR="00373E23" w:rsidRDefault="00373E23" w:rsidP="00984C0F">
      <w:pPr>
        <w:pStyle w:val="NormalWeb"/>
        <w:spacing w:line="480" w:lineRule="auto"/>
        <w:jc w:val="both"/>
      </w:pPr>
      <w:r>
        <w:t>Fortified food interventions must be sustained and expanded through strategic policies, community education, and coordinated support from NGOs, private sector partners, and governmental agencies. In resource-constrained settings like IDP camps, such interventions are not only lifesaving but also critical for long-term human capital development.</w:t>
      </w:r>
    </w:p>
    <w:p w:rsidR="00D524BE" w:rsidRDefault="00D524BE" w:rsidP="00984C0F">
      <w:pPr>
        <w:pStyle w:val="NormalWeb"/>
        <w:spacing w:line="480" w:lineRule="auto"/>
        <w:jc w:val="both"/>
      </w:pPr>
    </w:p>
    <w:p w:rsidR="00D524BE" w:rsidRPr="00D524BE" w:rsidRDefault="00D524BE" w:rsidP="00D524BE">
      <w:pPr>
        <w:rPr>
          <w:rFonts w:ascii="Calibri" w:eastAsia="Calibri" w:hAnsi="Calibri" w:cs="Times New Roman"/>
          <w:kern w:val="2"/>
          <w:highlight w:val="yellow"/>
        </w:rPr>
      </w:pPr>
      <w:r w:rsidRPr="00D524BE">
        <w:rPr>
          <w:rFonts w:ascii="Calibri" w:eastAsia="Calibri" w:hAnsi="Calibri" w:cs="Times New Roman"/>
          <w:kern w:val="2"/>
          <w:highlight w:val="yellow"/>
        </w:rPr>
        <w:t>Disclaimer (Artificial intelligence)</w:t>
      </w:r>
    </w:p>
    <w:p w:rsidR="00D524BE" w:rsidRPr="00D524BE" w:rsidRDefault="00D524BE" w:rsidP="00D524BE">
      <w:pPr>
        <w:rPr>
          <w:rFonts w:ascii="Calibri" w:eastAsia="Calibri" w:hAnsi="Calibri" w:cs="Times New Roman"/>
          <w:kern w:val="2"/>
          <w:highlight w:val="yellow"/>
        </w:rPr>
      </w:pPr>
      <w:r w:rsidRPr="00D524BE">
        <w:rPr>
          <w:rFonts w:ascii="Calibri" w:eastAsia="Calibri" w:hAnsi="Calibri" w:cs="Times New Roman"/>
          <w:kern w:val="2"/>
          <w:highlight w:val="yellow"/>
        </w:rPr>
        <w:t xml:space="preserve">Option 1: </w:t>
      </w:r>
    </w:p>
    <w:p w:rsidR="00D524BE" w:rsidRPr="00D524BE" w:rsidRDefault="00D524BE" w:rsidP="00D524BE">
      <w:pPr>
        <w:rPr>
          <w:rFonts w:ascii="Calibri" w:eastAsia="Calibri" w:hAnsi="Calibri" w:cs="Times New Roman"/>
          <w:kern w:val="2"/>
          <w:highlight w:val="yellow"/>
        </w:rPr>
      </w:pPr>
      <w:r w:rsidRPr="00D524BE">
        <w:rPr>
          <w:rFonts w:ascii="Calibri" w:eastAsia="Calibri" w:hAnsi="Calibri" w:cs="Times New Roman"/>
          <w:kern w:val="2"/>
          <w:highlight w:val="yellow"/>
        </w:rPr>
        <w:t>Author(s) hereby declare that NO generative AI technologies such as Large Language Models (</w:t>
      </w:r>
      <w:proofErr w:type="spellStart"/>
      <w:r w:rsidRPr="00D524BE">
        <w:rPr>
          <w:rFonts w:ascii="Calibri" w:eastAsia="Calibri" w:hAnsi="Calibri" w:cs="Times New Roman"/>
          <w:kern w:val="2"/>
          <w:highlight w:val="yellow"/>
        </w:rPr>
        <w:t>ChatGPT</w:t>
      </w:r>
      <w:proofErr w:type="spellEnd"/>
      <w:r w:rsidRPr="00D524BE">
        <w:rPr>
          <w:rFonts w:ascii="Calibri" w:eastAsia="Calibri" w:hAnsi="Calibri" w:cs="Times New Roman"/>
          <w:kern w:val="2"/>
          <w:highlight w:val="yellow"/>
        </w:rPr>
        <w:t xml:space="preserve">, COPILOT, etc.) and text-to-image generators have been used during the writing or editing of this manuscript. </w:t>
      </w:r>
    </w:p>
    <w:p w:rsidR="00D524BE" w:rsidRPr="00D524BE" w:rsidRDefault="00D524BE" w:rsidP="00D524BE">
      <w:pPr>
        <w:rPr>
          <w:rFonts w:ascii="Calibri" w:eastAsia="Calibri" w:hAnsi="Calibri" w:cs="Times New Roman"/>
          <w:kern w:val="2"/>
        </w:rPr>
      </w:pPr>
    </w:p>
    <w:p w:rsidR="00D524BE" w:rsidRDefault="00D524BE" w:rsidP="00984C0F">
      <w:pPr>
        <w:pStyle w:val="NormalWeb"/>
        <w:spacing w:line="480" w:lineRule="auto"/>
        <w:jc w:val="both"/>
      </w:pPr>
    </w:p>
    <w:p w:rsidR="00E0548E" w:rsidRDefault="00E0548E" w:rsidP="006C241B">
      <w:pPr>
        <w:spacing w:before="100" w:beforeAutospacing="1" w:after="100" w:afterAutospacing="1" w:line="240" w:lineRule="auto"/>
        <w:rPr>
          <w:rFonts w:ascii="Times New Roman" w:eastAsia="Times New Roman" w:hAnsi="Times New Roman" w:cs="Times New Roman"/>
          <w:b/>
          <w:bCs/>
          <w:sz w:val="24"/>
          <w:szCs w:val="24"/>
        </w:rPr>
      </w:pPr>
    </w:p>
    <w:p w:rsidR="006C241B" w:rsidRPr="006C241B" w:rsidRDefault="006C241B" w:rsidP="006C241B">
      <w:pPr>
        <w:spacing w:before="100" w:beforeAutospacing="1" w:after="100" w:afterAutospacing="1" w:line="240" w:lineRule="auto"/>
        <w:rPr>
          <w:rFonts w:ascii="Times New Roman" w:eastAsia="Times New Roman" w:hAnsi="Times New Roman" w:cs="Times New Roman"/>
          <w:sz w:val="24"/>
          <w:szCs w:val="24"/>
        </w:rPr>
      </w:pPr>
      <w:r w:rsidRPr="006C241B">
        <w:rPr>
          <w:rFonts w:ascii="Times New Roman" w:eastAsia="Times New Roman" w:hAnsi="Times New Roman" w:cs="Times New Roman"/>
          <w:b/>
          <w:bCs/>
          <w:sz w:val="24"/>
          <w:szCs w:val="24"/>
        </w:rPr>
        <w:t>References</w:t>
      </w:r>
    </w:p>
    <w:p w:rsidR="00984C0F" w:rsidRPr="00984C0F" w:rsidRDefault="00EB0C80" w:rsidP="00EB0C80">
      <w:pPr>
        <w:pStyle w:val="NormalWeb"/>
        <w:ind w:left="720" w:hanging="720"/>
      </w:pPr>
      <w:proofErr w:type="spellStart"/>
      <w:r>
        <w:t>Audu</w:t>
      </w:r>
      <w:proofErr w:type="spellEnd"/>
      <w:r>
        <w:t xml:space="preserve">, S. A., Elisha J., Dimas, S.J., Mary, J., </w:t>
      </w:r>
      <w:proofErr w:type="spellStart"/>
      <w:r>
        <w:t>Rabiu</w:t>
      </w:r>
      <w:proofErr w:type="spellEnd"/>
      <w:r>
        <w:t xml:space="preserve">, M.S., Kenneth, O.O.., </w:t>
      </w:r>
      <w:proofErr w:type="spellStart"/>
      <w:r>
        <w:t>Diama</w:t>
      </w:r>
      <w:proofErr w:type="spellEnd"/>
      <w:r>
        <w:t xml:space="preserve">, Z. J., </w:t>
      </w:r>
      <w:proofErr w:type="spellStart"/>
      <w:r>
        <w:t>Adamu</w:t>
      </w:r>
      <w:proofErr w:type="spellEnd"/>
      <w:r>
        <w:t xml:space="preserve">, S., Christiana, J. T., &amp; </w:t>
      </w:r>
      <w:proofErr w:type="spellStart"/>
      <w:r>
        <w:t>Jimoh</w:t>
      </w:r>
      <w:proofErr w:type="spellEnd"/>
      <w:r>
        <w:t>, M. M.</w:t>
      </w:r>
      <w:r w:rsidR="00984C0F" w:rsidRPr="00984C0F">
        <w:t xml:space="preserve"> (2024). </w:t>
      </w:r>
      <w:r w:rsidR="00984C0F" w:rsidRPr="00984C0F">
        <w:rPr>
          <w:rStyle w:val="Emphasis"/>
        </w:rPr>
        <w:t xml:space="preserve">Malnutrition and associated co-morbidities among infants affected by Boko Haram insurgency in some IDP camps in </w:t>
      </w:r>
      <w:proofErr w:type="spellStart"/>
      <w:r w:rsidR="00984C0F" w:rsidRPr="00984C0F">
        <w:rPr>
          <w:rStyle w:val="Emphasis"/>
        </w:rPr>
        <w:t>Borno</w:t>
      </w:r>
      <w:proofErr w:type="spellEnd"/>
      <w:r w:rsidR="00984C0F" w:rsidRPr="00984C0F">
        <w:rPr>
          <w:rStyle w:val="Emphasis"/>
        </w:rPr>
        <w:t xml:space="preserve"> State, Nigeria</w:t>
      </w:r>
      <w:r w:rsidR="00984C0F" w:rsidRPr="00984C0F">
        <w:t xml:space="preserve">. Retrieved from </w:t>
      </w:r>
      <w:hyperlink r:id="rId15" w:tgtFrame="_new" w:history="1">
        <w:r w:rsidR="00984C0F" w:rsidRPr="00984C0F">
          <w:rPr>
            <w:rStyle w:val="Hyperlink"/>
          </w:rPr>
          <w:t>https://www.researchgate.net/publication/384073104_Malnutrition_and_Associated_Co-Morbidities_among_Infants_Affected_by_Boko_Haram_Insurgency_in_Some_IDP_Camps_in_Borno_State_Nigeria</w:t>
        </w:r>
      </w:hyperlink>
    </w:p>
    <w:p w:rsidR="00984C0F" w:rsidRPr="00984C0F" w:rsidRDefault="00984C0F" w:rsidP="004E4807">
      <w:pPr>
        <w:pStyle w:val="NormalWeb"/>
        <w:ind w:left="720" w:hanging="720"/>
        <w:jc w:val="both"/>
      </w:pPr>
      <w:r w:rsidRPr="00984C0F">
        <w:t>De-</w:t>
      </w:r>
      <w:proofErr w:type="spellStart"/>
      <w:r w:rsidRPr="00984C0F">
        <w:t>Regil</w:t>
      </w:r>
      <w:proofErr w:type="spellEnd"/>
      <w:r w:rsidRPr="00984C0F">
        <w:t xml:space="preserve">, L. M., et al. (2023). </w:t>
      </w:r>
      <w:r w:rsidRPr="00984C0F">
        <w:rPr>
          <w:rStyle w:val="Emphasis"/>
        </w:rPr>
        <w:t>Effect of multiple micronutrient-fortified bouillon on micronutrient status and hemoglobin concentrations among women and children in Northern Ghana</w:t>
      </w:r>
      <w:r w:rsidRPr="00984C0F">
        <w:t xml:space="preserve">. Retrieved from </w:t>
      </w:r>
      <w:hyperlink r:id="rId16" w:tgtFrame="_new" w:history="1">
        <w:r w:rsidRPr="00984C0F">
          <w:rPr>
            <w:rStyle w:val="Hyperlink"/>
          </w:rPr>
          <w:t>https://pubmed.ncbi.nlm.nih.gov/38709803/</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Food and Agriculture Organization of the United Nations (FAO). (2017). </w:t>
      </w:r>
      <w:r w:rsidRPr="00984C0F">
        <w:rPr>
          <w:rStyle w:val="Emphasis"/>
          <w:rFonts w:ascii="Times New Roman" w:hAnsi="Times New Roman" w:cs="Times New Roman"/>
          <w:sz w:val="24"/>
          <w:szCs w:val="24"/>
        </w:rPr>
        <w:t>Nutrition Education</w:t>
      </w:r>
      <w:r w:rsidRPr="00984C0F">
        <w:rPr>
          <w:rFonts w:ascii="Times New Roman" w:hAnsi="Times New Roman" w:cs="Times New Roman"/>
          <w:sz w:val="24"/>
          <w:szCs w:val="24"/>
        </w:rPr>
        <w:t xml:space="preserve">. </w:t>
      </w:r>
      <w:hyperlink r:id="rId17" w:tgtFrame="_new" w:history="1">
        <w:r w:rsidRPr="00984C0F">
          <w:rPr>
            <w:rStyle w:val="Hyperlink"/>
            <w:rFonts w:ascii="Times New Roman" w:hAnsi="Times New Roman" w:cs="Times New Roman"/>
            <w:sz w:val="24"/>
            <w:szCs w:val="24"/>
          </w:rPr>
          <w:t>https://www.fao.org/nutrition/education/en/</w:t>
        </w:r>
      </w:hyperlink>
    </w:p>
    <w:p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Food fortification. (n.d.). </w:t>
      </w:r>
      <w:r w:rsidRPr="00984C0F">
        <w:rPr>
          <w:rFonts w:ascii="Times New Roman" w:eastAsia="Times New Roman" w:hAnsi="Times New Roman" w:cs="Times New Roman"/>
          <w:i/>
          <w:iCs/>
          <w:sz w:val="24"/>
          <w:szCs w:val="24"/>
        </w:rPr>
        <w:t>Wikipedia</w:t>
      </w:r>
      <w:r w:rsidRPr="00984C0F">
        <w:rPr>
          <w:rFonts w:ascii="Times New Roman" w:eastAsia="Times New Roman" w:hAnsi="Times New Roman" w:cs="Times New Roman"/>
          <w:sz w:val="24"/>
          <w:szCs w:val="24"/>
        </w:rPr>
        <w:t xml:space="preserve">. Retrieved from </w:t>
      </w:r>
      <w:hyperlink r:id="rId18" w:tgtFrame="_new" w:history="1">
        <w:r w:rsidRPr="00984C0F">
          <w:rPr>
            <w:rFonts w:ascii="Times New Roman" w:eastAsia="Times New Roman" w:hAnsi="Times New Roman" w:cs="Times New Roman"/>
            <w:color w:val="0000FF"/>
            <w:sz w:val="24"/>
            <w:szCs w:val="24"/>
            <w:u w:val="single"/>
          </w:rPr>
          <w:t>https://en.wikipedia.org/wiki/Food_fortification</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 GAIN. (2020). </w:t>
      </w:r>
      <w:r w:rsidRPr="00984C0F">
        <w:rPr>
          <w:rStyle w:val="Emphasis"/>
          <w:rFonts w:ascii="Times New Roman" w:hAnsi="Times New Roman" w:cs="Times New Roman"/>
          <w:sz w:val="24"/>
          <w:szCs w:val="24"/>
        </w:rPr>
        <w:t>Global Food Fortification</w:t>
      </w:r>
      <w:r w:rsidRPr="00984C0F">
        <w:rPr>
          <w:rFonts w:ascii="Times New Roman" w:hAnsi="Times New Roman" w:cs="Times New Roman"/>
          <w:sz w:val="24"/>
          <w:szCs w:val="24"/>
        </w:rPr>
        <w:t xml:space="preserve">. Global alliance for improved nutrition. </w:t>
      </w:r>
      <w:hyperlink r:id="rId19" w:history="1">
        <w:r w:rsidRPr="00984C0F">
          <w:rPr>
            <w:rStyle w:val="Hyperlink"/>
            <w:rFonts w:ascii="Times New Roman" w:hAnsi="Times New Roman" w:cs="Times New Roman"/>
            <w:sz w:val="24"/>
            <w:szCs w:val="24"/>
          </w:rPr>
          <w:t>https://www.gainhealth.org/impact/our-response/covid-19-response/global-food-fortification</w:t>
        </w:r>
      </w:hyperlink>
    </w:p>
    <w:p w:rsidR="00984C0F" w:rsidRPr="00984C0F" w:rsidRDefault="00EB0C80" w:rsidP="004E4807">
      <w:pPr>
        <w:pStyle w:val="NormalWeb"/>
        <w:ind w:left="720" w:hanging="720"/>
        <w:jc w:val="both"/>
      </w:pPr>
      <w:r>
        <w:t xml:space="preserve">Gera, </w:t>
      </w:r>
      <w:proofErr w:type="spellStart"/>
      <w:proofErr w:type="gramStart"/>
      <w:r>
        <w:t>T.,Kapil</w:t>
      </w:r>
      <w:proofErr w:type="spellEnd"/>
      <w:proofErr w:type="gramEnd"/>
      <w:r>
        <w:t>, Y., Akhil, D.G., Vikas, Y., &amp; Ravi, P.U.</w:t>
      </w:r>
      <w:r w:rsidR="00984C0F" w:rsidRPr="00984C0F">
        <w:t xml:space="preserve"> (2019). </w:t>
      </w:r>
      <w:r w:rsidR="00984C0F" w:rsidRPr="00984C0F">
        <w:rPr>
          <w:rStyle w:val="Emphasis"/>
          <w:i w:val="0"/>
        </w:rPr>
        <w:t>Meta-analysis of efficacy of iron and iodine fortified salt</w:t>
      </w:r>
      <w:r w:rsidR="00984C0F" w:rsidRPr="00984C0F">
        <w:t xml:space="preserve">. </w:t>
      </w:r>
      <w:r w:rsidR="00984C0F" w:rsidRPr="00984C0F">
        <w:rPr>
          <w:i/>
        </w:rPr>
        <w:t>Indian Journal of Public Health</w:t>
      </w:r>
      <w:r w:rsidR="00984C0F" w:rsidRPr="00984C0F">
        <w:t xml:space="preserve">, 63(3), 203–210. Retrieved from </w:t>
      </w:r>
      <w:hyperlink r:id="rId20" w:history="1">
        <w:r w:rsidR="00984C0F" w:rsidRPr="00984C0F">
          <w:rPr>
            <w:rStyle w:val="Hyperlink"/>
          </w:rPr>
          <w:t>https://journals.lww.com/ijph/fulltext/2019/63010/meta_analysis_of_efficacy_of_iron_and_iodine.11.aspx</w:t>
        </w:r>
      </w:hyperlink>
    </w:p>
    <w:p w:rsidR="00984C0F" w:rsidRPr="00984C0F" w:rsidRDefault="00984C0F" w:rsidP="00B62643">
      <w:pPr>
        <w:ind w:left="720" w:hanging="720"/>
        <w:rPr>
          <w:rStyle w:val="relative"/>
          <w:rFonts w:ascii="Times New Roman" w:hAnsi="Times New Roman" w:cs="Times New Roman"/>
          <w:sz w:val="24"/>
          <w:szCs w:val="24"/>
        </w:rPr>
      </w:pPr>
      <w:r w:rsidRPr="00984C0F">
        <w:rPr>
          <w:rStyle w:val="relative"/>
          <w:rFonts w:ascii="Times New Roman" w:hAnsi="Times New Roman" w:cs="Times New Roman"/>
          <w:sz w:val="24"/>
          <w:szCs w:val="24"/>
        </w:rPr>
        <w:lastRenderedPageBreak/>
        <w:t>.</w:t>
      </w:r>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 Global Nutrition Report. (2021). </w:t>
      </w:r>
      <w:r w:rsidRPr="00984C0F">
        <w:rPr>
          <w:rStyle w:val="Emphasis"/>
          <w:rFonts w:ascii="Times New Roman" w:hAnsi="Times New Roman" w:cs="Times New Roman"/>
          <w:sz w:val="24"/>
          <w:szCs w:val="24"/>
        </w:rPr>
        <w:t>2021 Global Nutrition Report: The State of Global Nutrition</w:t>
      </w:r>
      <w:r w:rsidRPr="00984C0F">
        <w:rPr>
          <w:rFonts w:ascii="Times New Roman" w:hAnsi="Times New Roman" w:cs="Times New Roman"/>
          <w:sz w:val="24"/>
          <w:szCs w:val="24"/>
        </w:rPr>
        <w:t xml:space="preserve">. Development Initiatives. </w:t>
      </w:r>
      <w:hyperlink r:id="rId21" w:history="1">
        <w:r w:rsidRPr="00984C0F">
          <w:rPr>
            <w:rStyle w:val="Hyperlink"/>
            <w:rFonts w:ascii="Times New Roman" w:hAnsi="Times New Roman" w:cs="Times New Roman"/>
            <w:sz w:val="24"/>
            <w:szCs w:val="24"/>
          </w:rPr>
          <w:t>https://globalnutritionreport.org/reports/2021-global-nutrition-report/</w:t>
        </w:r>
      </w:hyperlink>
    </w:p>
    <w:p w:rsidR="00984C0F" w:rsidRPr="00984C0F" w:rsidRDefault="00984C0F" w:rsidP="00373E23">
      <w:pPr>
        <w:ind w:left="720" w:hanging="720"/>
        <w:rPr>
          <w:rFonts w:ascii="Times New Roman" w:hAnsi="Times New Roman" w:cs="Times New Roman"/>
          <w:sz w:val="24"/>
          <w:szCs w:val="24"/>
        </w:rPr>
      </w:pPr>
      <w:proofErr w:type="spellStart"/>
      <w:r w:rsidRPr="00984C0F">
        <w:rPr>
          <w:rFonts w:ascii="Times New Roman" w:hAnsi="Times New Roman" w:cs="Times New Roman"/>
          <w:sz w:val="24"/>
          <w:szCs w:val="24"/>
        </w:rPr>
        <w:t>GlobalGiving</w:t>
      </w:r>
      <w:proofErr w:type="spellEnd"/>
      <w:r w:rsidRPr="00984C0F">
        <w:rPr>
          <w:rFonts w:ascii="Times New Roman" w:hAnsi="Times New Roman" w:cs="Times New Roman"/>
          <w:sz w:val="24"/>
          <w:szCs w:val="24"/>
        </w:rPr>
        <w:t xml:space="preserve">. (n.d.). Emergency nutrition for 5,000 IDP children, Nigeria. Retrieved from </w:t>
      </w:r>
      <w:hyperlink r:id="rId22" w:tgtFrame="_new" w:history="1">
        <w:r w:rsidRPr="00984C0F">
          <w:rPr>
            <w:rStyle w:val="Hyperlink"/>
            <w:rFonts w:ascii="Times New Roman" w:hAnsi="Times New Roman" w:cs="Times New Roman"/>
            <w:sz w:val="24"/>
            <w:szCs w:val="24"/>
          </w:rPr>
          <w:t>https://www.globalgiving.org/projects/emergency-nutrition-for-5000-idp-children-nigeria/</w:t>
        </w:r>
      </w:hyperlink>
    </w:p>
    <w:p w:rsidR="00984C0F" w:rsidRPr="00984C0F" w:rsidRDefault="00984C0F" w:rsidP="004E4807">
      <w:pPr>
        <w:pStyle w:val="NormalWeb"/>
        <w:ind w:left="720" w:hanging="720"/>
        <w:jc w:val="both"/>
      </w:pPr>
      <w:proofErr w:type="spellStart"/>
      <w:r w:rsidRPr="00984C0F">
        <w:t>Jombo</w:t>
      </w:r>
      <w:proofErr w:type="spellEnd"/>
      <w:r w:rsidRPr="00984C0F">
        <w:t xml:space="preserve">, G.T.A., &amp; </w:t>
      </w:r>
      <w:proofErr w:type="spellStart"/>
      <w:r w:rsidRPr="00984C0F">
        <w:t>Dabit</w:t>
      </w:r>
      <w:proofErr w:type="spellEnd"/>
      <w:r w:rsidRPr="00984C0F">
        <w:t xml:space="preserve">, O.J. (2018). </w:t>
      </w:r>
      <w:r w:rsidRPr="00984C0F">
        <w:rPr>
          <w:rStyle w:val="relative"/>
        </w:rPr>
        <w:t>The growing IDPs in the country and impact on childhood malnutrition: Averting a future generation with stunted growth and knowledge. Retrieved from</w:t>
      </w:r>
      <w:hyperlink r:id="rId23" w:tgtFrame="_new" w:history="1">
        <w:r w:rsidRPr="00984C0F">
          <w:rPr>
            <w:rStyle w:val="Hyperlink"/>
          </w:rPr>
          <w:t>https://www.researchgate.net/publication/342704357_The_Growing_IDPs_in_the_Country_and_Impact_on_Childhood_Malnutrition_Averting_a_Future_Generation_with_Stunted_Growth_and_Knowledge</w:t>
        </w:r>
      </w:hyperlink>
    </w:p>
    <w:p w:rsidR="00984C0F" w:rsidRPr="00984C0F" w:rsidRDefault="00EB0C80" w:rsidP="00B62643">
      <w:pPr>
        <w:ind w:left="720" w:hanging="720"/>
        <w:rPr>
          <w:rStyle w:val="relative"/>
          <w:rFonts w:ascii="Times New Roman" w:hAnsi="Times New Roman" w:cs="Times New Roman"/>
          <w:sz w:val="24"/>
          <w:szCs w:val="24"/>
        </w:rPr>
      </w:pPr>
      <w:proofErr w:type="spellStart"/>
      <w:r>
        <w:rPr>
          <w:rFonts w:ascii="Times New Roman" w:hAnsi="Times New Roman" w:cs="Times New Roman"/>
          <w:sz w:val="24"/>
          <w:szCs w:val="24"/>
        </w:rPr>
        <w:t>Kodish</w:t>
      </w:r>
      <w:proofErr w:type="spellEnd"/>
      <w:r>
        <w:rPr>
          <w:rFonts w:ascii="Times New Roman" w:hAnsi="Times New Roman" w:cs="Times New Roman"/>
          <w:sz w:val="24"/>
          <w:szCs w:val="24"/>
        </w:rPr>
        <w:t>, S.R., Stephen, R.K., Chris, I., Tobi, O., &amp; Annette, I.</w:t>
      </w:r>
      <w:r w:rsidR="00984C0F" w:rsidRPr="00984C0F">
        <w:rPr>
          <w:rFonts w:ascii="Times New Roman" w:hAnsi="Times New Roman" w:cs="Times New Roman"/>
          <w:sz w:val="24"/>
          <w:szCs w:val="24"/>
        </w:rPr>
        <w:t xml:space="preserve"> (2022). </w:t>
      </w:r>
      <w:r w:rsidR="00984C0F" w:rsidRPr="00984C0F">
        <w:rPr>
          <w:rStyle w:val="relative"/>
          <w:rFonts w:ascii="Times New Roman" w:hAnsi="Times New Roman" w:cs="Times New Roman"/>
          <w:sz w:val="24"/>
          <w:szCs w:val="24"/>
        </w:rPr>
        <w:t xml:space="preserve">Acceptance and compliance with micronutrient powder (MNP) among children aged 6–23 months in northern Nigeria. PLOS Global Public Health, 2(10), e0000961. Retrieved from </w:t>
      </w:r>
      <w:hyperlink r:id="rId24" w:tgtFrame="_new" w:history="1">
        <w:r w:rsidR="00984C0F" w:rsidRPr="00984C0F">
          <w:rPr>
            <w:rStyle w:val="Hyperlink"/>
            <w:rFonts w:ascii="Times New Roman" w:hAnsi="Times New Roman" w:cs="Times New Roman"/>
            <w:sz w:val="24"/>
            <w:szCs w:val="24"/>
          </w:rPr>
          <w:t>https://journals.plos.org/globalpublichealth/article?id=10.1371%2Fjournal.pgph.0000961</w:t>
        </w:r>
      </w:hyperlink>
    </w:p>
    <w:p w:rsidR="00984C0F" w:rsidRPr="00984C0F" w:rsidRDefault="00984C0F" w:rsidP="004E4807">
      <w:pPr>
        <w:pStyle w:val="NormalWeb"/>
        <w:ind w:left="720" w:hanging="720"/>
        <w:jc w:val="both"/>
      </w:pPr>
      <w:r w:rsidRPr="00984C0F">
        <w:rPr>
          <w:rStyle w:val="Strong"/>
          <w:b w:val="0"/>
        </w:rPr>
        <w:t>Maslow, A. H. (1943</w:t>
      </w:r>
      <w:proofErr w:type="gramStart"/>
      <w:r w:rsidRPr="00984C0F">
        <w:rPr>
          <w:rStyle w:val="Strong"/>
          <w:b w:val="0"/>
        </w:rPr>
        <w:t>).</w:t>
      </w:r>
      <w:r w:rsidRPr="00984C0F">
        <w:rPr>
          <w:rStyle w:val="relative"/>
        </w:rPr>
        <w:t>A</w:t>
      </w:r>
      <w:proofErr w:type="gramEnd"/>
      <w:r w:rsidRPr="00984C0F">
        <w:rPr>
          <w:rStyle w:val="relative"/>
        </w:rPr>
        <w:t xml:space="preserve"> theory of human motivation. </w:t>
      </w:r>
      <w:r w:rsidRPr="00984C0F">
        <w:rPr>
          <w:rStyle w:val="Emphasis"/>
        </w:rPr>
        <w:t>Psychological Review</w:t>
      </w:r>
      <w:r w:rsidRPr="00984C0F">
        <w:rPr>
          <w:rStyle w:val="relative"/>
        </w:rPr>
        <w:t>, 50(4), 370–396.</w:t>
      </w:r>
      <w:r w:rsidRPr="00984C0F">
        <w:t xml:space="preserve"> Retrieved from </w:t>
      </w:r>
      <w:hyperlink r:id="rId25" w:history="1">
        <w:r w:rsidRPr="00984C0F">
          <w:rPr>
            <w:rStyle w:val="Hyperlink"/>
          </w:rPr>
          <w:t>https://psychclassics.yorku.ca/Maslow/motivation.htm</w:t>
        </w:r>
      </w:hyperlink>
    </w:p>
    <w:p w:rsidR="00984C0F" w:rsidRPr="00984C0F" w:rsidRDefault="00EB0C80" w:rsidP="004E4807">
      <w:pPr>
        <w:pStyle w:val="NormalWeb"/>
        <w:ind w:left="720" w:hanging="720"/>
        <w:jc w:val="both"/>
      </w:pPr>
      <w:proofErr w:type="spellStart"/>
      <w:r>
        <w:t>Maziya</w:t>
      </w:r>
      <w:proofErr w:type="spellEnd"/>
      <w:r>
        <w:t xml:space="preserve">-Dixon, B., Ibukun, A., Martin, N.M., </w:t>
      </w:r>
      <w:proofErr w:type="spellStart"/>
      <w:r>
        <w:t>Folake</w:t>
      </w:r>
      <w:proofErr w:type="spellEnd"/>
      <w:r>
        <w:t>, S., &amp; Erick, B.</w:t>
      </w:r>
      <w:r w:rsidR="00984C0F" w:rsidRPr="00984C0F">
        <w:t xml:space="preserve"> (2020). </w:t>
      </w:r>
      <w:r w:rsidR="00984C0F" w:rsidRPr="00984C0F">
        <w:rPr>
          <w:rStyle w:val="Emphasis"/>
        </w:rPr>
        <w:t>Daily consumption of pro-vitamin A biofortified (yellow) cassava improves serum retinol concentrations in preschool children in Nigeria: a randomized controlled trial</w:t>
      </w:r>
      <w:r w:rsidR="00984C0F" w:rsidRPr="00984C0F">
        <w:t xml:space="preserve">. Retrieved from </w:t>
      </w:r>
      <w:hyperlink r:id="rId26" w:tgtFrame="_new" w:history="1">
        <w:r w:rsidR="00984C0F" w:rsidRPr="00984C0F">
          <w:rPr>
            <w:rStyle w:val="Hyperlink"/>
          </w:rPr>
          <w:t>https://www.researchgate.net/publication/347438572_Daily_consumption_of_pro-vitamin_A_biofortified_yellow_cassava_improves_serum_retinol_concentrations_in_preschool_children_in_Nigeria_a_randomized_controlled_trial</w:t>
        </w:r>
      </w:hyperlink>
    </w:p>
    <w:p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Modeled impacts of bouillon fortification with micronutrients on child and maternal health. (2024). </w:t>
      </w:r>
      <w:r w:rsidRPr="00984C0F">
        <w:rPr>
          <w:rFonts w:ascii="Times New Roman" w:eastAsia="Times New Roman" w:hAnsi="Times New Roman" w:cs="Times New Roman"/>
          <w:i/>
          <w:iCs/>
          <w:sz w:val="24"/>
          <w:szCs w:val="24"/>
        </w:rPr>
        <w:t>PubMed</w:t>
      </w:r>
      <w:r w:rsidRPr="00984C0F">
        <w:rPr>
          <w:rFonts w:ascii="Times New Roman" w:eastAsia="Times New Roman" w:hAnsi="Times New Roman" w:cs="Times New Roman"/>
          <w:sz w:val="24"/>
          <w:szCs w:val="24"/>
        </w:rPr>
        <w:t xml:space="preserve">. Retrieved from </w:t>
      </w:r>
      <w:hyperlink r:id="rId27" w:tgtFrame="_new" w:history="1">
        <w:r w:rsidRPr="00984C0F">
          <w:rPr>
            <w:rFonts w:ascii="Times New Roman" w:eastAsia="Times New Roman" w:hAnsi="Times New Roman" w:cs="Times New Roman"/>
            <w:color w:val="0000FF"/>
            <w:sz w:val="24"/>
            <w:szCs w:val="24"/>
            <w:u w:val="single"/>
          </w:rPr>
          <w:t>https://pubmed.ncbi.nlm.nih.gov/38922959/</w:t>
        </w:r>
      </w:hyperlink>
    </w:p>
    <w:p w:rsidR="00984C0F" w:rsidRPr="00984C0F" w:rsidRDefault="00984C0F" w:rsidP="00373E23">
      <w:pPr>
        <w:ind w:left="720" w:hanging="720"/>
        <w:rPr>
          <w:rFonts w:ascii="Times New Roman" w:hAnsi="Times New Roman" w:cs="Times New Roman"/>
          <w:sz w:val="24"/>
          <w:szCs w:val="24"/>
        </w:rPr>
      </w:pPr>
      <w:proofErr w:type="spellStart"/>
      <w:r w:rsidRPr="00984C0F">
        <w:rPr>
          <w:rFonts w:ascii="Times New Roman" w:hAnsi="Times New Roman" w:cs="Times New Roman"/>
          <w:sz w:val="24"/>
          <w:szCs w:val="24"/>
        </w:rPr>
        <w:t>Muthayya</w:t>
      </w:r>
      <w:proofErr w:type="spellEnd"/>
      <w:r w:rsidRPr="00984C0F">
        <w:rPr>
          <w:rFonts w:ascii="Times New Roman" w:hAnsi="Times New Roman" w:cs="Times New Roman"/>
          <w:sz w:val="24"/>
          <w:szCs w:val="24"/>
        </w:rPr>
        <w:t xml:space="preserve">, S., Rah, J. H., Sugimoto, J. D., </w:t>
      </w:r>
      <w:proofErr w:type="spellStart"/>
      <w:r w:rsidRPr="00984C0F">
        <w:rPr>
          <w:rFonts w:ascii="Times New Roman" w:hAnsi="Times New Roman" w:cs="Times New Roman"/>
          <w:sz w:val="24"/>
          <w:szCs w:val="24"/>
        </w:rPr>
        <w:t>Roos</w:t>
      </w:r>
      <w:proofErr w:type="spellEnd"/>
      <w:r w:rsidRPr="00984C0F">
        <w:rPr>
          <w:rFonts w:ascii="Times New Roman" w:hAnsi="Times New Roman" w:cs="Times New Roman"/>
          <w:sz w:val="24"/>
          <w:szCs w:val="24"/>
        </w:rPr>
        <w:t xml:space="preserve">, F. F., Kraemer, K., &amp; Black, R. E. (2013). The global hidden hunger indices and maps: An advocacy tool for action. </w:t>
      </w:r>
      <w:proofErr w:type="spellStart"/>
      <w:r w:rsidRPr="00984C0F">
        <w:rPr>
          <w:rStyle w:val="Emphasis"/>
          <w:rFonts w:ascii="Times New Roman" w:hAnsi="Times New Roman" w:cs="Times New Roman"/>
          <w:sz w:val="24"/>
          <w:szCs w:val="24"/>
        </w:rPr>
        <w:t>PLoS</w:t>
      </w:r>
      <w:proofErr w:type="spellEnd"/>
      <w:r w:rsidRPr="00984C0F">
        <w:rPr>
          <w:rStyle w:val="Emphasis"/>
          <w:rFonts w:ascii="Times New Roman" w:hAnsi="Times New Roman" w:cs="Times New Roman"/>
          <w:sz w:val="24"/>
          <w:szCs w:val="24"/>
        </w:rPr>
        <w:t xml:space="preserve"> ONE, 8</w:t>
      </w:r>
      <w:r w:rsidRPr="00984C0F">
        <w:rPr>
          <w:rFonts w:ascii="Times New Roman" w:hAnsi="Times New Roman" w:cs="Times New Roman"/>
          <w:sz w:val="24"/>
          <w:szCs w:val="24"/>
        </w:rPr>
        <w:t xml:space="preserve">(6), e67860. </w:t>
      </w:r>
      <w:hyperlink r:id="rId28" w:tgtFrame="_new" w:history="1">
        <w:r w:rsidRPr="00984C0F">
          <w:rPr>
            <w:rStyle w:val="Hyperlink"/>
            <w:rFonts w:ascii="Times New Roman" w:hAnsi="Times New Roman" w:cs="Times New Roman"/>
            <w:sz w:val="24"/>
            <w:szCs w:val="24"/>
          </w:rPr>
          <w:t>https://www.ncbi.nlm.nih.gov/pmc/articles/PMC3775245/</w:t>
        </w:r>
      </w:hyperlink>
    </w:p>
    <w:p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Nigeria adopts multiple micronutrient-fortified bouillon cube standards to reduce malnutrition. (2024). </w:t>
      </w:r>
      <w:r w:rsidRPr="00984C0F">
        <w:rPr>
          <w:rFonts w:ascii="Times New Roman" w:eastAsia="Times New Roman" w:hAnsi="Times New Roman" w:cs="Times New Roman"/>
          <w:i/>
          <w:iCs/>
          <w:sz w:val="24"/>
          <w:szCs w:val="24"/>
        </w:rPr>
        <w:t>UC Davis College of Agricultural and Environmental Sciences</w:t>
      </w:r>
      <w:r w:rsidRPr="00984C0F">
        <w:rPr>
          <w:rFonts w:ascii="Times New Roman" w:eastAsia="Times New Roman" w:hAnsi="Times New Roman" w:cs="Times New Roman"/>
          <w:sz w:val="24"/>
          <w:szCs w:val="24"/>
        </w:rPr>
        <w:t xml:space="preserve">. Retrieved from </w:t>
      </w:r>
      <w:hyperlink r:id="rId29" w:history="1">
        <w:r w:rsidRPr="00984C0F">
          <w:rPr>
            <w:rStyle w:val="Hyperlink"/>
            <w:rFonts w:ascii="Times New Roman" w:eastAsia="Times New Roman" w:hAnsi="Times New Roman" w:cs="Times New Roman"/>
            <w:sz w:val="24"/>
            <w:szCs w:val="24"/>
          </w:rPr>
          <w:t>https://caes.ucdavis.edu/news/nigeria-adopts-multiple-micronutrient-fortified-bouillon-cube-standards-reduce-malnutrition</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lastRenderedPageBreak/>
        <w:t xml:space="preserve">Nigeria National Agency for Food and Drug Administration and Control (NAFDAC). (2020). </w:t>
      </w:r>
      <w:r w:rsidRPr="00984C0F">
        <w:rPr>
          <w:rStyle w:val="Emphasis"/>
          <w:rFonts w:ascii="Times New Roman" w:hAnsi="Times New Roman" w:cs="Times New Roman"/>
          <w:sz w:val="24"/>
          <w:szCs w:val="24"/>
        </w:rPr>
        <w:t>National Guidelines for Food Fortification Standards</w:t>
      </w:r>
      <w:r w:rsidRPr="00984C0F">
        <w:rPr>
          <w:rFonts w:ascii="Times New Roman" w:hAnsi="Times New Roman" w:cs="Times New Roman"/>
          <w:sz w:val="24"/>
          <w:szCs w:val="24"/>
        </w:rPr>
        <w:t xml:space="preserve">. </w:t>
      </w:r>
      <w:hyperlink r:id="rId30" w:history="1">
        <w:r w:rsidRPr="00984C0F">
          <w:rPr>
            <w:rStyle w:val="Hyperlink"/>
            <w:rFonts w:ascii="Times New Roman" w:hAnsi="Times New Roman" w:cs="Times New Roman"/>
            <w:sz w:val="24"/>
            <w:szCs w:val="24"/>
          </w:rPr>
          <w:t>https://www.nafdac.gov.ng/standards/food/food-fortification/</w:t>
        </w:r>
      </w:hyperlink>
    </w:p>
    <w:p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Seasonality induced nutritional status in Nigeria Internally Displaced Persons camps. (2024). </w:t>
      </w:r>
      <w:r w:rsidRPr="00984C0F">
        <w:rPr>
          <w:rFonts w:ascii="Times New Roman" w:eastAsia="Times New Roman" w:hAnsi="Times New Roman" w:cs="Times New Roman"/>
          <w:i/>
          <w:iCs/>
          <w:sz w:val="24"/>
          <w:szCs w:val="24"/>
        </w:rPr>
        <w:t>ScienceDirect</w:t>
      </w:r>
      <w:r w:rsidRPr="00984C0F">
        <w:rPr>
          <w:rFonts w:ascii="Times New Roman" w:eastAsia="Times New Roman" w:hAnsi="Times New Roman" w:cs="Times New Roman"/>
          <w:sz w:val="24"/>
          <w:szCs w:val="24"/>
        </w:rPr>
        <w:t xml:space="preserve">. Retrieved from </w:t>
      </w:r>
      <w:hyperlink r:id="rId31" w:tgtFrame="_new" w:history="1">
        <w:r w:rsidRPr="00984C0F">
          <w:rPr>
            <w:rFonts w:ascii="Times New Roman" w:eastAsia="Times New Roman" w:hAnsi="Times New Roman" w:cs="Times New Roman"/>
            <w:color w:val="0000FF"/>
            <w:sz w:val="24"/>
            <w:szCs w:val="24"/>
            <w:u w:val="single"/>
          </w:rPr>
          <w:t>https://www.sciencedirect.com/science/article/abs/pii/S221242092400863X</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Sommer, A., &amp; West, K. P. Jr. (2002). </w:t>
      </w:r>
      <w:r w:rsidRPr="00984C0F">
        <w:rPr>
          <w:rStyle w:val="Emphasis"/>
          <w:rFonts w:ascii="Times New Roman" w:hAnsi="Times New Roman" w:cs="Times New Roman"/>
          <w:sz w:val="24"/>
          <w:szCs w:val="24"/>
        </w:rPr>
        <w:t>Vitamin A Deficiency: Health, Survival, and Vision</w:t>
      </w:r>
      <w:r w:rsidRPr="00984C0F">
        <w:rPr>
          <w:rFonts w:ascii="Times New Roman" w:hAnsi="Times New Roman" w:cs="Times New Roman"/>
          <w:sz w:val="24"/>
          <w:szCs w:val="24"/>
        </w:rPr>
        <w:t xml:space="preserve">. Oxford University Press. </w:t>
      </w:r>
      <w:hyperlink r:id="rId32" w:history="1">
        <w:r w:rsidRPr="00984C0F">
          <w:rPr>
            <w:rStyle w:val="Hyperlink"/>
            <w:rFonts w:ascii="Times New Roman" w:hAnsi="Times New Roman" w:cs="Times New Roman"/>
            <w:sz w:val="24"/>
            <w:szCs w:val="24"/>
          </w:rPr>
          <w:t>https://hopkinshumanitarianhealth.org/assets/documents/Vitamin_A_Deficiency_Health_Consequences.pdf</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UNHCR. (2018). </w:t>
      </w:r>
      <w:r w:rsidRPr="00984C0F">
        <w:rPr>
          <w:rStyle w:val="Emphasis"/>
          <w:rFonts w:ascii="Times New Roman" w:hAnsi="Times New Roman" w:cs="Times New Roman"/>
          <w:sz w:val="24"/>
          <w:szCs w:val="24"/>
        </w:rPr>
        <w:t>Public Health Strategy 2014–2018</w:t>
      </w:r>
      <w:r w:rsidRPr="00984C0F">
        <w:rPr>
          <w:rFonts w:ascii="Times New Roman" w:hAnsi="Times New Roman" w:cs="Times New Roman"/>
          <w:sz w:val="24"/>
          <w:szCs w:val="24"/>
        </w:rPr>
        <w:t xml:space="preserve">. United Nations High Commissioner for Refugees. </w:t>
      </w:r>
      <w:hyperlink r:id="rId33" w:history="1">
        <w:r w:rsidRPr="00984C0F">
          <w:rPr>
            <w:rStyle w:val="Hyperlink"/>
            <w:rFonts w:ascii="Times New Roman" w:hAnsi="Times New Roman" w:cs="Times New Roman"/>
            <w:sz w:val="24"/>
            <w:szCs w:val="24"/>
          </w:rPr>
          <w:t>https://www.unhcr.org/protection/health/5b3e1b6c7/public-health-strategy-unhcr-2014-2018.html</w:t>
        </w:r>
      </w:hyperlink>
    </w:p>
    <w:p w:rsidR="00984C0F" w:rsidRPr="00984C0F" w:rsidRDefault="00984C0F" w:rsidP="0033586E">
      <w:pPr>
        <w:spacing w:before="100" w:beforeAutospacing="1" w:after="100" w:afterAutospacing="1" w:line="240" w:lineRule="auto"/>
        <w:ind w:left="720" w:hanging="720"/>
        <w:rPr>
          <w:rFonts w:ascii="Times New Roman" w:eastAsia="Times New Roman" w:hAnsi="Times New Roman" w:cs="Times New Roman"/>
          <w:sz w:val="24"/>
          <w:szCs w:val="24"/>
        </w:rPr>
      </w:pPr>
      <w:r w:rsidRPr="00984C0F">
        <w:rPr>
          <w:rFonts w:ascii="Times New Roman" w:eastAsia="Times New Roman" w:hAnsi="Times New Roman" w:cs="Times New Roman"/>
          <w:sz w:val="24"/>
          <w:szCs w:val="24"/>
        </w:rPr>
        <w:t xml:space="preserve">UNICEF Nigeria. (n.d.). </w:t>
      </w:r>
      <w:r w:rsidRPr="00984C0F">
        <w:rPr>
          <w:rFonts w:ascii="Times New Roman" w:eastAsia="Times New Roman" w:hAnsi="Times New Roman" w:cs="Times New Roman"/>
          <w:i/>
          <w:iCs/>
          <w:sz w:val="24"/>
          <w:szCs w:val="24"/>
        </w:rPr>
        <w:t>Nutrition</w:t>
      </w:r>
      <w:r w:rsidRPr="00984C0F">
        <w:rPr>
          <w:rFonts w:ascii="Times New Roman" w:eastAsia="Times New Roman" w:hAnsi="Times New Roman" w:cs="Times New Roman"/>
          <w:sz w:val="24"/>
          <w:szCs w:val="24"/>
        </w:rPr>
        <w:t>. Retrieved from https://www.unicef.org/nigeria/nutrition</w:t>
      </w:r>
    </w:p>
    <w:p w:rsidR="00984C0F" w:rsidRPr="00984C0F" w:rsidRDefault="00984C0F" w:rsidP="004E4807">
      <w:pPr>
        <w:pStyle w:val="NormalWeb"/>
        <w:ind w:left="720" w:hanging="720"/>
        <w:jc w:val="both"/>
      </w:pPr>
      <w:r w:rsidRPr="00984C0F">
        <w:rPr>
          <w:rStyle w:val="Strong"/>
          <w:b w:val="0"/>
        </w:rPr>
        <w:t>UNICEF. (2020</w:t>
      </w:r>
      <w:proofErr w:type="gramStart"/>
      <w:r w:rsidRPr="00984C0F">
        <w:rPr>
          <w:rStyle w:val="Strong"/>
          <w:b w:val="0"/>
        </w:rPr>
        <w:t>).</w:t>
      </w:r>
      <w:r w:rsidRPr="00984C0F">
        <w:rPr>
          <w:rStyle w:val="Emphasis"/>
        </w:rPr>
        <w:t>Conceptual</w:t>
      </w:r>
      <w:proofErr w:type="gramEnd"/>
      <w:r w:rsidRPr="00984C0F">
        <w:rPr>
          <w:rStyle w:val="Emphasis"/>
        </w:rPr>
        <w:t xml:space="preserve"> framework on the determinants of maternal and child nutrition</w:t>
      </w:r>
      <w:r w:rsidRPr="00984C0F">
        <w:t xml:space="preserve">. New York: United Nations Children's Fund. Retrieved from </w:t>
      </w:r>
      <w:hyperlink r:id="rId34" w:history="1">
        <w:r w:rsidRPr="00984C0F">
          <w:rPr>
            <w:rStyle w:val="Hyperlink"/>
          </w:rPr>
          <w:t>https://www.unicef.org/media/113291/file/UNICEF%20Conceptual%20Framework.pdf</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UNICEF. (2023). </w:t>
      </w:r>
      <w:r w:rsidRPr="00984C0F">
        <w:rPr>
          <w:rStyle w:val="Emphasis"/>
          <w:rFonts w:ascii="Times New Roman" w:hAnsi="Times New Roman" w:cs="Times New Roman"/>
          <w:sz w:val="24"/>
          <w:szCs w:val="24"/>
        </w:rPr>
        <w:t>Nutrition</w:t>
      </w:r>
      <w:r w:rsidRPr="00984C0F">
        <w:rPr>
          <w:rFonts w:ascii="Times New Roman" w:hAnsi="Times New Roman" w:cs="Times New Roman"/>
          <w:sz w:val="24"/>
          <w:szCs w:val="24"/>
        </w:rPr>
        <w:t xml:space="preserve">. United Nations Children’s Fund. </w:t>
      </w:r>
      <w:hyperlink r:id="rId35" w:history="1">
        <w:r w:rsidRPr="00984C0F">
          <w:rPr>
            <w:rStyle w:val="Hyperlink"/>
            <w:rFonts w:ascii="Times New Roman" w:hAnsi="Times New Roman" w:cs="Times New Roman"/>
            <w:sz w:val="24"/>
            <w:szCs w:val="24"/>
          </w:rPr>
          <w:t>https://www.unicef.org/nutrition</w:t>
        </w:r>
      </w:hyperlink>
    </w:p>
    <w:p w:rsidR="00984C0F" w:rsidRPr="00984C0F" w:rsidRDefault="00984C0F" w:rsidP="00B62643">
      <w:pPr>
        <w:ind w:left="720" w:hanging="720"/>
        <w:rPr>
          <w:rStyle w:val="relative"/>
          <w:rFonts w:ascii="Times New Roman" w:hAnsi="Times New Roman" w:cs="Times New Roman"/>
          <w:sz w:val="24"/>
          <w:szCs w:val="24"/>
        </w:rPr>
      </w:pPr>
      <w:r w:rsidRPr="00984C0F">
        <w:rPr>
          <w:rStyle w:val="relative"/>
          <w:rFonts w:ascii="Times New Roman" w:hAnsi="Times New Roman" w:cs="Times New Roman"/>
          <w:sz w:val="24"/>
          <w:szCs w:val="24"/>
        </w:rPr>
        <w:t xml:space="preserve">University of California, Davis. (2024). Nigeria adopts multiple micronutrient-fortified bouillon cube standards to reduce malnutrition. Retrieved from </w:t>
      </w:r>
      <w:hyperlink r:id="rId36" w:tgtFrame="_new" w:history="1">
        <w:r w:rsidRPr="00984C0F">
          <w:rPr>
            <w:rStyle w:val="Hyperlink"/>
            <w:rFonts w:ascii="Times New Roman" w:hAnsi="Times New Roman" w:cs="Times New Roman"/>
            <w:sz w:val="24"/>
            <w:szCs w:val="24"/>
          </w:rPr>
          <w:t>https://caes.ucdavis.edu/news/nigeria-adopts-multiple-micronutrient-fortified-bouillon-cube-standards-reduce-malnutrition</w:t>
        </w:r>
      </w:hyperlink>
      <w:r w:rsidRPr="00984C0F">
        <w:rPr>
          <w:rStyle w:val="relative"/>
          <w:rFonts w:ascii="Times New Roman" w:hAnsi="Times New Roman" w:cs="Times New Roman"/>
          <w:sz w:val="24"/>
          <w:szCs w:val="24"/>
        </w:rPr>
        <w:t>.</w:t>
      </w:r>
    </w:p>
    <w:p w:rsidR="00984C0F" w:rsidRPr="00984C0F" w:rsidRDefault="00984C0F" w:rsidP="00373E23">
      <w:pPr>
        <w:ind w:left="720" w:hanging="720"/>
        <w:rPr>
          <w:rFonts w:ascii="Times New Roman" w:hAnsi="Times New Roman" w:cs="Times New Roman"/>
          <w:sz w:val="24"/>
          <w:szCs w:val="24"/>
        </w:rPr>
      </w:pPr>
      <w:proofErr w:type="spellStart"/>
      <w:r w:rsidRPr="00984C0F">
        <w:rPr>
          <w:rFonts w:ascii="Times New Roman" w:hAnsi="Times New Roman" w:cs="Times New Roman"/>
          <w:sz w:val="24"/>
          <w:szCs w:val="24"/>
        </w:rPr>
        <w:t>Wessells</w:t>
      </w:r>
      <w:proofErr w:type="spellEnd"/>
      <w:r w:rsidRPr="00984C0F">
        <w:rPr>
          <w:rFonts w:ascii="Times New Roman" w:hAnsi="Times New Roman" w:cs="Times New Roman"/>
          <w:sz w:val="24"/>
          <w:szCs w:val="24"/>
        </w:rPr>
        <w:t xml:space="preserve">, K. R., &amp; Brown, K. H. (2012). Estimating the global prevalence of zinc deficiency: Results based on zinc availability in national food supplies and the prevalence of stunting. </w:t>
      </w:r>
      <w:proofErr w:type="spellStart"/>
      <w:r w:rsidRPr="00984C0F">
        <w:rPr>
          <w:rStyle w:val="Emphasis"/>
          <w:rFonts w:ascii="Times New Roman" w:hAnsi="Times New Roman" w:cs="Times New Roman"/>
          <w:sz w:val="24"/>
          <w:szCs w:val="24"/>
        </w:rPr>
        <w:t>PLoS</w:t>
      </w:r>
      <w:proofErr w:type="spellEnd"/>
      <w:r w:rsidRPr="00984C0F">
        <w:rPr>
          <w:rStyle w:val="Emphasis"/>
          <w:rFonts w:ascii="Times New Roman" w:hAnsi="Times New Roman" w:cs="Times New Roman"/>
          <w:sz w:val="24"/>
          <w:szCs w:val="24"/>
        </w:rPr>
        <w:t xml:space="preserve"> ONE, 7</w:t>
      </w:r>
      <w:r w:rsidRPr="00984C0F">
        <w:rPr>
          <w:rFonts w:ascii="Times New Roman" w:hAnsi="Times New Roman" w:cs="Times New Roman"/>
          <w:sz w:val="24"/>
          <w:szCs w:val="24"/>
        </w:rPr>
        <w:t xml:space="preserve">(11), e50568. </w:t>
      </w:r>
      <w:hyperlink r:id="rId37" w:tgtFrame="_new" w:history="1">
        <w:r w:rsidRPr="00984C0F">
          <w:rPr>
            <w:rStyle w:val="Hyperlink"/>
            <w:rFonts w:ascii="Times New Roman" w:hAnsi="Times New Roman" w:cs="Times New Roman"/>
            <w:sz w:val="24"/>
            <w:szCs w:val="24"/>
          </w:rPr>
          <w:t>https://www.ncbi.nlm.nih.gov/pmc/articles/PMC3649710/</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Bank. (2018). </w:t>
      </w:r>
      <w:r w:rsidRPr="00984C0F">
        <w:rPr>
          <w:rStyle w:val="Emphasis"/>
          <w:rFonts w:ascii="Times New Roman" w:hAnsi="Times New Roman" w:cs="Times New Roman"/>
          <w:sz w:val="24"/>
          <w:szCs w:val="24"/>
        </w:rPr>
        <w:t>Nutrition in Nigeria: A Call to Action</w:t>
      </w:r>
      <w:r w:rsidRPr="00984C0F">
        <w:rPr>
          <w:rFonts w:ascii="Times New Roman" w:hAnsi="Times New Roman" w:cs="Times New Roman"/>
          <w:sz w:val="24"/>
          <w:szCs w:val="24"/>
        </w:rPr>
        <w:t xml:space="preserve">. </w:t>
      </w:r>
      <w:hyperlink r:id="rId38" w:tgtFrame="_new" w:history="1">
        <w:r w:rsidRPr="00984C0F">
          <w:rPr>
            <w:rStyle w:val="Hyperlink"/>
            <w:rFonts w:ascii="Times New Roman" w:hAnsi="Times New Roman" w:cs="Times New Roman"/>
            <w:sz w:val="24"/>
            <w:szCs w:val="24"/>
          </w:rPr>
          <w:t>https://documents.worldbank.org/en/publication/documents-reports/documentdetail/203271531030419522/nutrition-in-nigeria</w:t>
        </w:r>
      </w:hyperlink>
    </w:p>
    <w:p w:rsidR="00984C0F" w:rsidRPr="00984C0F" w:rsidRDefault="00984C0F" w:rsidP="00373E2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(2022). </w:t>
      </w:r>
      <w:r w:rsidRPr="00984C0F">
        <w:rPr>
          <w:rStyle w:val="Emphasis"/>
          <w:rFonts w:ascii="Times New Roman" w:hAnsi="Times New Roman" w:cs="Times New Roman"/>
          <w:sz w:val="24"/>
          <w:szCs w:val="24"/>
        </w:rPr>
        <w:t>UNICEF and WHO warn of nutrition crisis amid global food insecurity</w:t>
      </w:r>
      <w:r w:rsidRPr="00984C0F">
        <w:rPr>
          <w:rFonts w:ascii="Times New Roman" w:hAnsi="Times New Roman" w:cs="Times New Roman"/>
          <w:sz w:val="24"/>
          <w:szCs w:val="24"/>
        </w:rPr>
        <w:t xml:space="preserve">. </w:t>
      </w:r>
      <w:hyperlink r:id="rId39" w:tgtFrame="_new" w:history="1">
        <w:r w:rsidRPr="00984C0F">
          <w:rPr>
            <w:rStyle w:val="Hyperlink"/>
            <w:rFonts w:ascii="Times New Roman" w:hAnsi="Times New Roman" w:cs="Times New Roman"/>
            <w:sz w:val="24"/>
            <w:szCs w:val="24"/>
          </w:rPr>
          <w:t>https://www.who.int/news/item/19-10-2022-unicef-and-who-warn-of-nutrition-crisis-amid-global-food-insecurity</w:t>
        </w:r>
      </w:hyperlink>
    </w:p>
    <w:p w:rsidR="00984C0F" w:rsidRDefault="00984C0F" w:rsidP="004E4807">
      <w:pPr>
        <w:pStyle w:val="NormalWeb"/>
        <w:ind w:left="720" w:hanging="720"/>
        <w:jc w:val="both"/>
      </w:pPr>
      <w:r w:rsidRPr="00984C0F">
        <w:lastRenderedPageBreak/>
        <w:t xml:space="preserve">World Health Organization. (2023). </w:t>
      </w:r>
      <w:r w:rsidRPr="00984C0F">
        <w:rPr>
          <w:rStyle w:val="Emphasis"/>
        </w:rPr>
        <w:t>New WHA resolution to accelerate efforts on food micronutrient fortification</w:t>
      </w:r>
      <w:r w:rsidRPr="00984C0F">
        <w:t xml:space="preserve">. Retrieved from </w:t>
      </w:r>
      <w:hyperlink r:id="rId40" w:tgtFrame="_new" w:history="1">
        <w:r w:rsidRPr="00984C0F">
          <w:rPr>
            <w:rStyle w:val="Hyperlink"/>
          </w:rPr>
          <w:t>https://www.who.int/news/item/29-05-2023-new-wha-resolution-to-accelerate-efforts-on-food-micronutrient-fortification</w:t>
        </w:r>
      </w:hyperlink>
    </w:p>
    <w:p w:rsidR="00984C0F" w:rsidRPr="00984C0F" w:rsidRDefault="00984C0F" w:rsidP="00984C0F">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(2006). </w:t>
      </w:r>
      <w:r w:rsidRPr="00984C0F">
        <w:rPr>
          <w:rStyle w:val="Emphasis"/>
          <w:rFonts w:ascii="Times New Roman" w:hAnsi="Times New Roman" w:cs="Times New Roman"/>
          <w:sz w:val="24"/>
          <w:szCs w:val="24"/>
        </w:rPr>
        <w:t>Guidelines on food fortification with micronutrients</w:t>
      </w:r>
      <w:r w:rsidRPr="00984C0F">
        <w:rPr>
          <w:rFonts w:ascii="Times New Roman" w:hAnsi="Times New Roman" w:cs="Times New Roman"/>
          <w:sz w:val="24"/>
          <w:szCs w:val="24"/>
        </w:rPr>
        <w:t xml:space="preserve">. WHO/FAO. </w:t>
      </w:r>
      <w:hyperlink r:id="rId41" w:tgtFrame="_new" w:history="1">
        <w:r w:rsidRPr="00984C0F">
          <w:rPr>
            <w:rStyle w:val="Hyperlink"/>
            <w:rFonts w:ascii="Times New Roman" w:hAnsi="Times New Roman" w:cs="Times New Roman"/>
            <w:sz w:val="24"/>
            <w:szCs w:val="24"/>
          </w:rPr>
          <w:t>https://www.who.int/publications/i/item/9241594012</w:t>
        </w:r>
      </w:hyperlink>
    </w:p>
    <w:p w:rsidR="00984C0F" w:rsidRPr="00984C0F" w:rsidRDefault="00984C0F" w:rsidP="00B62643">
      <w:pPr>
        <w:ind w:left="720" w:hanging="720"/>
        <w:rPr>
          <w:rFonts w:ascii="Times New Roman" w:hAnsi="Times New Roman" w:cs="Times New Roman"/>
          <w:sz w:val="24"/>
          <w:szCs w:val="24"/>
        </w:rPr>
      </w:pPr>
      <w:r w:rsidRPr="00984C0F">
        <w:rPr>
          <w:rFonts w:ascii="Times New Roman" w:hAnsi="Times New Roman" w:cs="Times New Roman"/>
          <w:sz w:val="24"/>
          <w:szCs w:val="24"/>
        </w:rPr>
        <w:t xml:space="preserve">World Health Organization. (n.d.). Food fortification. Retrieved from </w:t>
      </w:r>
      <w:hyperlink r:id="rId42" w:tgtFrame="_new" w:history="1">
        <w:r w:rsidRPr="00984C0F">
          <w:rPr>
            <w:rStyle w:val="Hyperlink"/>
            <w:rFonts w:ascii="Times New Roman" w:hAnsi="Times New Roman" w:cs="Times New Roman"/>
            <w:sz w:val="24"/>
            <w:szCs w:val="24"/>
          </w:rPr>
          <w:t>https://en.wikipedia.org/wiki/Food_fortification</w:t>
        </w:r>
      </w:hyperlink>
    </w:p>
    <w:p w:rsidR="00373E23" w:rsidRPr="00B62643" w:rsidRDefault="00373E23" w:rsidP="00B62643">
      <w:pPr>
        <w:ind w:left="720" w:hanging="720"/>
        <w:rPr>
          <w:rFonts w:ascii="Times New Roman" w:hAnsi="Times New Roman" w:cs="Times New Roman"/>
          <w:sz w:val="24"/>
          <w:szCs w:val="24"/>
        </w:rPr>
      </w:pPr>
    </w:p>
    <w:sectPr w:rsidR="00373E23" w:rsidRPr="00B62643" w:rsidSect="001C6A6F">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84C" w:rsidRDefault="005E384C" w:rsidP="00BF1F0B">
      <w:pPr>
        <w:spacing w:after="0" w:line="240" w:lineRule="auto"/>
      </w:pPr>
      <w:r>
        <w:separator/>
      </w:r>
    </w:p>
  </w:endnote>
  <w:endnote w:type="continuationSeparator" w:id="0">
    <w:p w:rsidR="005E384C" w:rsidRDefault="005E384C" w:rsidP="00BF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BC" w:rsidRDefault="00B4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8"/>
      <w:docPartObj>
        <w:docPartGallery w:val="Page Numbers (Bottom of Page)"/>
        <w:docPartUnique/>
      </w:docPartObj>
    </w:sdtPr>
    <w:sdtEndPr/>
    <w:sdtContent>
      <w:p w:rsidR="00216023" w:rsidRDefault="001B1F02">
        <w:pPr>
          <w:pStyle w:val="Footer"/>
          <w:jc w:val="center"/>
        </w:pPr>
        <w:r>
          <w:fldChar w:fldCharType="begin"/>
        </w:r>
        <w:r w:rsidR="00E10DC0">
          <w:instrText xml:space="preserve"> PAGE   \* MERGEFORMAT </w:instrText>
        </w:r>
        <w:r>
          <w:fldChar w:fldCharType="separate"/>
        </w:r>
        <w:r w:rsidR="00357563">
          <w:rPr>
            <w:noProof/>
          </w:rPr>
          <w:t>1</w:t>
        </w:r>
        <w:r>
          <w:rPr>
            <w:noProof/>
          </w:rPr>
          <w:fldChar w:fldCharType="end"/>
        </w:r>
      </w:p>
    </w:sdtContent>
  </w:sdt>
  <w:p w:rsidR="00216023" w:rsidRDefault="0021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BC" w:rsidRDefault="00B44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84C" w:rsidRDefault="005E384C" w:rsidP="00BF1F0B">
      <w:pPr>
        <w:spacing w:after="0" w:line="240" w:lineRule="auto"/>
      </w:pPr>
      <w:r>
        <w:separator/>
      </w:r>
    </w:p>
  </w:footnote>
  <w:footnote w:type="continuationSeparator" w:id="0">
    <w:p w:rsidR="005E384C" w:rsidRDefault="005E384C" w:rsidP="00BF1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BC" w:rsidRDefault="005E38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BC" w:rsidRDefault="005E38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BC" w:rsidRDefault="005E38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9CF"/>
    <w:multiLevelType w:val="multilevel"/>
    <w:tmpl w:val="F1444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A59F7"/>
    <w:multiLevelType w:val="multilevel"/>
    <w:tmpl w:val="267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07617"/>
    <w:multiLevelType w:val="multilevel"/>
    <w:tmpl w:val="2F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132E3"/>
    <w:multiLevelType w:val="multilevel"/>
    <w:tmpl w:val="F0D6ED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04B22"/>
    <w:multiLevelType w:val="multilevel"/>
    <w:tmpl w:val="3B56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C7129"/>
    <w:multiLevelType w:val="multilevel"/>
    <w:tmpl w:val="F794A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2D11FBA"/>
    <w:multiLevelType w:val="multilevel"/>
    <w:tmpl w:val="CAB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46A04"/>
    <w:multiLevelType w:val="multilevel"/>
    <w:tmpl w:val="47C4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DD04F1"/>
    <w:multiLevelType w:val="multilevel"/>
    <w:tmpl w:val="99E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7164C"/>
    <w:multiLevelType w:val="multilevel"/>
    <w:tmpl w:val="20BE6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82CAB"/>
    <w:multiLevelType w:val="multilevel"/>
    <w:tmpl w:val="B3B2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86484"/>
    <w:multiLevelType w:val="multilevel"/>
    <w:tmpl w:val="C82E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8F5272"/>
    <w:multiLevelType w:val="multilevel"/>
    <w:tmpl w:val="3DCE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820C4"/>
    <w:multiLevelType w:val="multilevel"/>
    <w:tmpl w:val="52AA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51DE5"/>
    <w:multiLevelType w:val="multilevel"/>
    <w:tmpl w:val="3F2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127BB"/>
    <w:multiLevelType w:val="multilevel"/>
    <w:tmpl w:val="CD64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F5CD3"/>
    <w:multiLevelType w:val="multilevel"/>
    <w:tmpl w:val="A60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72878"/>
    <w:multiLevelType w:val="multilevel"/>
    <w:tmpl w:val="765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6"/>
  </w:num>
  <w:num w:numId="5">
    <w:abstractNumId w:val="11"/>
  </w:num>
  <w:num w:numId="6">
    <w:abstractNumId w:val="0"/>
  </w:num>
  <w:num w:numId="7">
    <w:abstractNumId w:val="9"/>
  </w:num>
  <w:num w:numId="8">
    <w:abstractNumId w:val="13"/>
  </w:num>
  <w:num w:numId="9">
    <w:abstractNumId w:val="10"/>
  </w:num>
  <w:num w:numId="10">
    <w:abstractNumId w:val="2"/>
  </w:num>
  <w:num w:numId="11">
    <w:abstractNumId w:val="1"/>
  </w:num>
  <w:num w:numId="12">
    <w:abstractNumId w:val="16"/>
  </w:num>
  <w:num w:numId="13">
    <w:abstractNumId w:val="8"/>
  </w:num>
  <w:num w:numId="14">
    <w:abstractNumId w:val="14"/>
  </w:num>
  <w:num w:numId="15">
    <w:abstractNumId w:val="17"/>
  </w:num>
  <w:num w:numId="16">
    <w:abstractNumId w:val="15"/>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41B"/>
    <w:rsid w:val="00073ED0"/>
    <w:rsid w:val="000B16B0"/>
    <w:rsid w:val="000C6FEB"/>
    <w:rsid w:val="001B1F02"/>
    <w:rsid w:val="001B33A4"/>
    <w:rsid w:val="001C6A6F"/>
    <w:rsid w:val="001E7519"/>
    <w:rsid w:val="0021549E"/>
    <w:rsid w:val="00216023"/>
    <w:rsid w:val="002554B0"/>
    <w:rsid w:val="00285697"/>
    <w:rsid w:val="00285E11"/>
    <w:rsid w:val="00293EC4"/>
    <w:rsid w:val="0033586E"/>
    <w:rsid w:val="00347625"/>
    <w:rsid w:val="00357563"/>
    <w:rsid w:val="00373E23"/>
    <w:rsid w:val="003D0AA4"/>
    <w:rsid w:val="004C0AAD"/>
    <w:rsid w:val="004E13BD"/>
    <w:rsid w:val="004E4807"/>
    <w:rsid w:val="00533206"/>
    <w:rsid w:val="00566275"/>
    <w:rsid w:val="005B4C69"/>
    <w:rsid w:val="005D0B70"/>
    <w:rsid w:val="005E384C"/>
    <w:rsid w:val="00634E9F"/>
    <w:rsid w:val="00665B2E"/>
    <w:rsid w:val="006B66C8"/>
    <w:rsid w:val="006C241B"/>
    <w:rsid w:val="007D279A"/>
    <w:rsid w:val="00845630"/>
    <w:rsid w:val="00885AA9"/>
    <w:rsid w:val="008A2296"/>
    <w:rsid w:val="008C1573"/>
    <w:rsid w:val="008E0944"/>
    <w:rsid w:val="0091615B"/>
    <w:rsid w:val="0093355A"/>
    <w:rsid w:val="00935983"/>
    <w:rsid w:val="00977658"/>
    <w:rsid w:val="00984C0F"/>
    <w:rsid w:val="00A54027"/>
    <w:rsid w:val="00AD5BF9"/>
    <w:rsid w:val="00B023B1"/>
    <w:rsid w:val="00B07ACC"/>
    <w:rsid w:val="00B443BC"/>
    <w:rsid w:val="00B62643"/>
    <w:rsid w:val="00BF1F0B"/>
    <w:rsid w:val="00C05397"/>
    <w:rsid w:val="00C36AA7"/>
    <w:rsid w:val="00CA32E3"/>
    <w:rsid w:val="00CB403B"/>
    <w:rsid w:val="00CF2793"/>
    <w:rsid w:val="00D3223C"/>
    <w:rsid w:val="00D524BE"/>
    <w:rsid w:val="00D75EEC"/>
    <w:rsid w:val="00DA1BDD"/>
    <w:rsid w:val="00DE6AE0"/>
    <w:rsid w:val="00E0548E"/>
    <w:rsid w:val="00E10DC0"/>
    <w:rsid w:val="00E76F92"/>
    <w:rsid w:val="00EB0C80"/>
    <w:rsid w:val="00EF52FC"/>
    <w:rsid w:val="00FC6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E0B7583-1ED9-4C64-8771-97E3133F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A6F"/>
  </w:style>
  <w:style w:type="paragraph" w:styleId="Heading2">
    <w:name w:val="heading 2"/>
    <w:basedOn w:val="Normal"/>
    <w:next w:val="Normal"/>
    <w:link w:val="Heading2Char"/>
    <w:uiPriority w:val="9"/>
    <w:semiHidden/>
    <w:unhideWhenUsed/>
    <w:qFormat/>
    <w:rsid w:val="00373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4C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23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41B"/>
    <w:rPr>
      <w:b/>
      <w:bCs/>
    </w:rPr>
  </w:style>
  <w:style w:type="character" w:styleId="Hyperlink">
    <w:name w:val="Hyperlink"/>
    <w:basedOn w:val="DefaultParagraphFont"/>
    <w:uiPriority w:val="99"/>
    <w:unhideWhenUsed/>
    <w:rsid w:val="006C241B"/>
    <w:rPr>
      <w:color w:val="0000FF"/>
      <w:u w:val="single"/>
    </w:rPr>
  </w:style>
  <w:style w:type="character" w:styleId="Emphasis">
    <w:name w:val="Emphasis"/>
    <w:basedOn w:val="DefaultParagraphFont"/>
    <w:uiPriority w:val="20"/>
    <w:qFormat/>
    <w:rsid w:val="006C241B"/>
    <w:rPr>
      <w:i/>
      <w:iCs/>
    </w:rPr>
  </w:style>
  <w:style w:type="character" w:customStyle="1" w:styleId="relative">
    <w:name w:val="relative"/>
    <w:basedOn w:val="DefaultParagraphFont"/>
    <w:rsid w:val="0033586E"/>
  </w:style>
  <w:style w:type="character" w:customStyle="1" w:styleId="Heading3Char">
    <w:name w:val="Heading 3 Char"/>
    <w:basedOn w:val="DefaultParagraphFont"/>
    <w:link w:val="Heading3"/>
    <w:uiPriority w:val="9"/>
    <w:rsid w:val="005B4C69"/>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F1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0B"/>
  </w:style>
  <w:style w:type="paragraph" w:styleId="Footer">
    <w:name w:val="footer"/>
    <w:basedOn w:val="Normal"/>
    <w:link w:val="FooterChar"/>
    <w:uiPriority w:val="99"/>
    <w:unhideWhenUsed/>
    <w:rsid w:val="00BF1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0B"/>
  </w:style>
  <w:style w:type="character" w:customStyle="1" w:styleId="Heading4Char">
    <w:name w:val="Heading 4 Char"/>
    <w:basedOn w:val="DefaultParagraphFont"/>
    <w:link w:val="Heading4"/>
    <w:uiPriority w:val="9"/>
    <w:semiHidden/>
    <w:rsid w:val="00B023B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373E2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5397"/>
    <w:pPr>
      <w:ind w:left="720"/>
      <w:contextualSpacing/>
    </w:pPr>
  </w:style>
  <w:style w:type="character" w:customStyle="1" w:styleId="UnresolvedMention1">
    <w:name w:val="Unresolved Mention1"/>
    <w:basedOn w:val="DefaultParagraphFont"/>
    <w:uiPriority w:val="99"/>
    <w:semiHidden/>
    <w:unhideWhenUsed/>
    <w:rsid w:val="0063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2310">
      <w:bodyDiv w:val="1"/>
      <w:marLeft w:val="0"/>
      <w:marRight w:val="0"/>
      <w:marTop w:val="0"/>
      <w:marBottom w:val="0"/>
      <w:divBdr>
        <w:top w:val="none" w:sz="0" w:space="0" w:color="auto"/>
        <w:left w:val="none" w:sz="0" w:space="0" w:color="auto"/>
        <w:bottom w:val="none" w:sz="0" w:space="0" w:color="auto"/>
        <w:right w:val="none" w:sz="0" w:space="0" w:color="auto"/>
      </w:divBdr>
    </w:div>
    <w:div w:id="286471301">
      <w:bodyDiv w:val="1"/>
      <w:marLeft w:val="0"/>
      <w:marRight w:val="0"/>
      <w:marTop w:val="0"/>
      <w:marBottom w:val="0"/>
      <w:divBdr>
        <w:top w:val="none" w:sz="0" w:space="0" w:color="auto"/>
        <w:left w:val="none" w:sz="0" w:space="0" w:color="auto"/>
        <w:bottom w:val="none" w:sz="0" w:space="0" w:color="auto"/>
        <w:right w:val="none" w:sz="0" w:space="0" w:color="auto"/>
      </w:divBdr>
      <w:divsChild>
        <w:div w:id="1485511392">
          <w:marLeft w:val="0"/>
          <w:marRight w:val="0"/>
          <w:marTop w:val="0"/>
          <w:marBottom w:val="0"/>
          <w:divBdr>
            <w:top w:val="none" w:sz="0" w:space="0" w:color="auto"/>
            <w:left w:val="none" w:sz="0" w:space="0" w:color="auto"/>
            <w:bottom w:val="none" w:sz="0" w:space="0" w:color="auto"/>
            <w:right w:val="none" w:sz="0" w:space="0" w:color="auto"/>
          </w:divBdr>
          <w:divsChild>
            <w:div w:id="213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3791">
      <w:bodyDiv w:val="1"/>
      <w:marLeft w:val="0"/>
      <w:marRight w:val="0"/>
      <w:marTop w:val="0"/>
      <w:marBottom w:val="0"/>
      <w:divBdr>
        <w:top w:val="none" w:sz="0" w:space="0" w:color="auto"/>
        <w:left w:val="none" w:sz="0" w:space="0" w:color="auto"/>
        <w:bottom w:val="none" w:sz="0" w:space="0" w:color="auto"/>
        <w:right w:val="none" w:sz="0" w:space="0" w:color="auto"/>
      </w:divBdr>
      <w:divsChild>
        <w:div w:id="23290063">
          <w:marLeft w:val="0"/>
          <w:marRight w:val="0"/>
          <w:marTop w:val="0"/>
          <w:marBottom w:val="0"/>
          <w:divBdr>
            <w:top w:val="none" w:sz="0" w:space="0" w:color="auto"/>
            <w:left w:val="none" w:sz="0" w:space="0" w:color="auto"/>
            <w:bottom w:val="none" w:sz="0" w:space="0" w:color="auto"/>
            <w:right w:val="none" w:sz="0" w:space="0" w:color="auto"/>
          </w:divBdr>
          <w:divsChild>
            <w:div w:id="6501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3173">
      <w:bodyDiv w:val="1"/>
      <w:marLeft w:val="0"/>
      <w:marRight w:val="0"/>
      <w:marTop w:val="0"/>
      <w:marBottom w:val="0"/>
      <w:divBdr>
        <w:top w:val="none" w:sz="0" w:space="0" w:color="auto"/>
        <w:left w:val="none" w:sz="0" w:space="0" w:color="auto"/>
        <w:bottom w:val="none" w:sz="0" w:space="0" w:color="auto"/>
        <w:right w:val="none" w:sz="0" w:space="0" w:color="auto"/>
      </w:divBdr>
    </w:div>
    <w:div w:id="527568679">
      <w:bodyDiv w:val="1"/>
      <w:marLeft w:val="0"/>
      <w:marRight w:val="0"/>
      <w:marTop w:val="0"/>
      <w:marBottom w:val="0"/>
      <w:divBdr>
        <w:top w:val="none" w:sz="0" w:space="0" w:color="auto"/>
        <w:left w:val="none" w:sz="0" w:space="0" w:color="auto"/>
        <w:bottom w:val="none" w:sz="0" w:space="0" w:color="auto"/>
        <w:right w:val="none" w:sz="0" w:space="0" w:color="auto"/>
      </w:divBdr>
    </w:div>
    <w:div w:id="625965663">
      <w:bodyDiv w:val="1"/>
      <w:marLeft w:val="0"/>
      <w:marRight w:val="0"/>
      <w:marTop w:val="0"/>
      <w:marBottom w:val="0"/>
      <w:divBdr>
        <w:top w:val="none" w:sz="0" w:space="0" w:color="auto"/>
        <w:left w:val="none" w:sz="0" w:space="0" w:color="auto"/>
        <w:bottom w:val="none" w:sz="0" w:space="0" w:color="auto"/>
        <w:right w:val="none" w:sz="0" w:space="0" w:color="auto"/>
      </w:divBdr>
      <w:divsChild>
        <w:div w:id="25101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06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733531">
      <w:bodyDiv w:val="1"/>
      <w:marLeft w:val="0"/>
      <w:marRight w:val="0"/>
      <w:marTop w:val="0"/>
      <w:marBottom w:val="0"/>
      <w:divBdr>
        <w:top w:val="none" w:sz="0" w:space="0" w:color="auto"/>
        <w:left w:val="none" w:sz="0" w:space="0" w:color="auto"/>
        <w:bottom w:val="none" w:sz="0" w:space="0" w:color="auto"/>
        <w:right w:val="none" w:sz="0" w:space="0" w:color="auto"/>
      </w:divBdr>
    </w:div>
    <w:div w:id="778524148">
      <w:bodyDiv w:val="1"/>
      <w:marLeft w:val="0"/>
      <w:marRight w:val="0"/>
      <w:marTop w:val="0"/>
      <w:marBottom w:val="0"/>
      <w:divBdr>
        <w:top w:val="none" w:sz="0" w:space="0" w:color="auto"/>
        <w:left w:val="none" w:sz="0" w:space="0" w:color="auto"/>
        <w:bottom w:val="none" w:sz="0" w:space="0" w:color="auto"/>
        <w:right w:val="none" w:sz="0" w:space="0" w:color="auto"/>
      </w:divBdr>
    </w:div>
    <w:div w:id="794252410">
      <w:bodyDiv w:val="1"/>
      <w:marLeft w:val="0"/>
      <w:marRight w:val="0"/>
      <w:marTop w:val="0"/>
      <w:marBottom w:val="0"/>
      <w:divBdr>
        <w:top w:val="none" w:sz="0" w:space="0" w:color="auto"/>
        <w:left w:val="none" w:sz="0" w:space="0" w:color="auto"/>
        <w:bottom w:val="none" w:sz="0" w:space="0" w:color="auto"/>
        <w:right w:val="none" w:sz="0" w:space="0" w:color="auto"/>
      </w:divBdr>
    </w:div>
    <w:div w:id="830604802">
      <w:bodyDiv w:val="1"/>
      <w:marLeft w:val="0"/>
      <w:marRight w:val="0"/>
      <w:marTop w:val="0"/>
      <w:marBottom w:val="0"/>
      <w:divBdr>
        <w:top w:val="none" w:sz="0" w:space="0" w:color="auto"/>
        <w:left w:val="none" w:sz="0" w:space="0" w:color="auto"/>
        <w:bottom w:val="none" w:sz="0" w:space="0" w:color="auto"/>
        <w:right w:val="none" w:sz="0" w:space="0" w:color="auto"/>
      </w:divBdr>
    </w:div>
    <w:div w:id="945817933">
      <w:bodyDiv w:val="1"/>
      <w:marLeft w:val="0"/>
      <w:marRight w:val="0"/>
      <w:marTop w:val="0"/>
      <w:marBottom w:val="0"/>
      <w:divBdr>
        <w:top w:val="none" w:sz="0" w:space="0" w:color="auto"/>
        <w:left w:val="none" w:sz="0" w:space="0" w:color="auto"/>
        <w:bottom w:val="none" w:sz="0" w:space="0" w:color="auto"/>
        <w:right w:val="none" w:sz="0" w:space="0" w:color="auto"/>
      </w:divBdr>
    </w:div>
    <w:div w:id="1128478004">
      <w:bodyDiv w:val="1"/>
      <w:marLeft w:val="0"/>
      <w:marRight w:val="0"/>
      <w:marTop w:val="0"/>
      <w:marBottom w:val="0"/>
      <w:divBdr>
        <w:top w:val="none" w:sz="0" w:space="0" w:color="auto"/>
        <w:left w:val="none" w:sz="0" w:space="0" w:color="auto"/>
        <w:bottom w:val="none" w:sz="0" w:space="0" w:color="auto"/>
        <w:right w:val="none" w:sz="0" w:space="0" w:color="auto"/>
      </w:divBdr>
    </w:div>
    <w:div w:id="1148277688">
      <w:bodyDiv w:val="1"/>
      <w:marLeft w:val="0"/>
      <w:marRight w:val="0"/>
      <w:marTop w:val="0"/>
      <w:marBottom w:val="0"/>
      <w:divBdr>
        <w:top w:val="none" w:sz="0" w:space="0" w:color="auto"/>
        <w:left w:val="none" w:sz="0" w:space="0" w:color="auto"/>
        <w:bottom w:val="none" w:sz="0" w:space="0" w:color="auto"/>
        <w:right w:val="none" w:sz="0" w:space="0" w:color="auto"/>
      </w:divBdr>
    </w:div>
    <w:div w:id="1209876207">
      <w:bodyDiv w:val="1"/>
      <w:marLeft w:val="0"/>
      <w:marRight w:val="0"/>
      <w:marTop w:val="0"/>
      <w:marBottom w:val="0"/>
      <w:divBdr>
        <w:top w:val="none" w:sz="0" w:space="0" w:color="auto"/>
        <w:left w:val="none" w:sz="0" w:space="0" w:color="auto"/>
        <w:bottom w:val="none" w:sz="0" w:space="0" w:color="auto"/>
        <w:right w:val="none" w:sz="0" w:space="0" w:color="auto"/>
      </w:divBdr>
    </w:div>
    <w:div w:id="1310213694">
      <w:bodyDiv w:val="1"/>
      <w:marLeft w:val="0"/>
      <w:marRight w:val="0"/>
      <w:marTop w:val="0"/>
      <w:marBottom w:val="0"/>
      <w:divBdr>
        <w:top w:val="none" w:sz="0" w:space="0" w:color="auto"/>
        <w:left w:val="none" w:sz="0" w:space="0" w:color="auto"/>
        <w:bottom w:val="none" w:sz="0" w:space="0" w:color="auto"/>
        <w:right w:val="none" w:sz="0" w:space="0" w:color="auto"/>
      </w:divBdr>
    </w:div>
    <w:div w:id="1322003882">
      <w:bodyDiv w:val="1"/>
      <w:marLeft w:val="0"/>
      <w:marRight w:val="0"/>
      <w:marTop w:val="0"/>
      <w:marBottom w:val="0"/>
      <w:divBdr>
        <w:top w:val="none" w:sz="0" w:space="0" w:color="auto"/>
        <w:left w:val="none" w:sz="0" w:space="0" w:color="auto"/>
        <w:bottom w:val="none" w:sz="0" w:space="0" w:color="auto"/>
        <w:right w:val="none" w:sz="0" w:space="0" w:color="auto"/>
      </w:divBdr>
    </w:div>
    <w:div w:id="1322470224">
      <w:bodyDiv w:val="1"/>
      <w:marLeft w:val="0"/>
      <w:marRight w:val="0"/>
      <w:marTop w:val="0"/>
      <w:marBottom w:val="0"/>
      <w:divBdr>
        <w:top w:val="none" w:sz="0" w:space="0" w:color="auto"/>
        <w:left w:val="none" w:sz="0" w:space="0" w:color="auto"/>
        <w:bottom w:val="none" w:sz="0" w:space="0" w:color="auto"/>
        <w:right w:val="none" w:sz="0" w:space="0" w:color="auto"/>
      </w:divBdr>
      <w:divsChild>
        <w:div w:id="1031567203">
          <w:marLeft w:val="0"/>
          <w:marRight w:val="0"/>
          <w:marTop w:val="0"/>
          <w:marBottom w:val="0"/>
          <w:divBdr>
            <w:top w:val="none" w:sz="0" w:space="0" w:color="auto"/>
            <w:left w:val="none" w:sz="0" w:space="0" w:color="auto"/>
            <w:bottom w:val="none" w:sz="0" w:space="0" w:color="auto"/>
            <w:right w:val="none" w:sz="0" w:space="0" w:color="auto"/>
          </w:divBdr>
          <w:divsChild>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3743">
      <w:bodyDiv w:val="1"/>
      <w:marLeft w:val="0"/>
      <w:marRight w:val="0"/>
      <w:marTop w:val="0"/>
      <w:marBottom w:val="0"/>
      <w:divBdr>
        <w:top w:val="none" w:sz="0" w:space="0" w:color="auto"/>
        <w:left w:val="none" w:sz="0" w:space="0" w:color="auto"/>
        <w:bottom w:val="none" w:sz="0" w:space="0" w:color="auto"/>
        <w:right w:val="none" w:sz="0" w:space="0" w:color="auto"/>
      </w:divBdr>
    </w:div>
    <w:div w:id="1348747810">
      <w:bodyDiv w:val="1"/>
      <w:marLeft w:val="0"/>
      <w:marRight w:val="0"/>
      <w:marTop w:val="0"/>
      <w:marBottom w:val="0"/>
      <w:divBdr>
        <w:top w:val="none" w:sz="0" w:space="0" w:color="auto"/>
        <w:left w:val="none" w:sz="0" w:space="0" w:color="auto"/>
        <w:bottom w:val="none" w:sz="0" w:space="0" w:color="auto"/>
        <w:right w:val="none" w:sz="0" w:space="0" w:color="auto"/>
      </w:divBdr>
    </w:div>
    <w:div w:id="1385448403">
      <w:bodyDiv w:val="1"/>
      <w:marLeft w:val="0"/>
      <w:marRight w:val="0"/>
      <w:marTop w:val="0"/>
      <w:marBottom w:val="0"/>
      <w:divBdr>
        <w:top w:val="none" w:sz="0" w:space="0" w:color="auto"/>
        <w:left w:val="none" w:sz="0" w:space="0" w:color="auto"/>
        <w:bottom w:val="none" w:sz="0" w:space="0" w:color="auto"/>
        <w:right w:val="none" w:sz="0" w:space="0" w:color="auto"/>
      </w:divBdr>
    </w:div>
    <w:div w:id="1444227878">
      <w:bodyDiv w:val="1"/>
      <w:marLeft w:val="0"/>
      <w:marRight w:val="0"/>
      <w:marTop w:val="0"/>
      <w:marBottom w:val="0"/>
      <w:divBdr>
        <w:top w:val="none" w:sz="0" w:space="0" w:color="auto"/>
        <w:left w:val="none" w:sz="0" w:space="0" w:color="auto"/>
        <w:bottom w:val="none" w:sz="0" w:space="0" w:color="auto"/>
        <w:right w:val="none" w:sz="0" w:space="0" w:color="auto"/>
      </w:divBdr>
      <w:divsChild>
        <w:div w:id="1879202634">
          <w:marLeft w:val="0"/>
          <w:marRight w:val="0"/>
          <w:marTop w:val="0"/>
          <w:marBottom w:val="0"/>
          <w:divBdr>
            <w:top w:val="none" w:sz="0" w:space="0" w:color="auto"/>
            <w:left w:val="none" w:sz="0" w:space="0" w:color="auto"/>
            <w:bottom w:val="none" w:sz="0" w:space="0" w:color="auto"/>
            <w:right w:val="none" w:sz="0" w:space="0" w:color="auto"/>
          </w:divBdr>
          <w:divsChild>
            <w:div w:id="10244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438">
      <w:bodyDiv w:val="1"/>
      <w:marLeft w:val="0"/>
      <w:marRight w:val="0"/>
      <w:marTop w:val="0"/>
      <w:marBottom w:val="0"/>
      <w:divBdr>
        <w:top w:val="none" w:sz="0" w:space="0" w:color="auto"/>
        <w:left w:val="none" w:sz="0" w:space="0" w:color="auto"/>
        <w:bottom w:val="none" w:sz="0" w:space="0" w:color="auto"/>
        <w:right w:val="none" w:sz="0" w:space="0" w:color="auto"/>
      </w:divBdr>
    </w:div>
    <w:div w:id="1735153969">
      <w:bodyDiv w:val="1"/>
      <w:marLeft w:val="0"/>
      <w:marRight w:val="0"/>
      <w:marTop w:val="0"/>
      <w:marBottom w:val="0"/>
      <w:divBdr>
        <w:top w:val="none" w:sz="0" w:space="0" w:color="auto"/>
        <w:left w:val="none" w:sz="0" w:space="0" w:color="auto"/>
        <w:bottom w:val="none" w:sz="0" w:space="0" w:color="auto"/>
        <w:right w:val="none" w:sz="0" w:space="0" w:color="auto"/>
      </w:divBdr>
    </w:div>
    <w:div w:id="1931045272">
      <w:bodyDiv w:val="1"/>
      <w:marLeft w:val="0"/>
      <w:marRight w:val="0"/>
      <w:marTop w:val="0"/>
      <w:marBottom w:val="0"/>
      <w:divBdr>
        <w:top w:val="none" w:sz="0" w:space="0" w:color="auto"/>
        <w:left w:val="none" w:sz="0" w:space="0" w:color="auto"/>
        <w:bottom w:val="none" w:sz="0" w:space="0" w:color="auto"/>
        <w:right w:val="none" w:sz="0" w:space="0" w:color="auto"/>
      </w:divBdr>
      <w:divsChild>
        <w:div w:id="712269236">
          <w:marLeft w:val="0"/>
          <w:marRight w:val="0"/>
          <w:marTop w:val="0"/>
          <w:marBottom w:val="0"/>
          <w:divBdr>
            <w:top w:val="none" w:sz="0" w:space="0" w:color="auto"/>
            <w:left w:val="none" w:sz="0" w:space="0" w:color="auto"/>
            <w:bottom w:val="none" w:sz="0" w:space="0" w:color="auto"/>
            <w:right w:val="none" w:sz="0" w:space="0" w:color="auto"/>
          </w:divBdr>
          <w:divsChild>
            <w:div w:id="886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7123">
      <w:bodyDiv w:val="1"/>
      <w:marLeft w:val="0"/>
      <w:marRight w:val="0"/>
      <w:marTop w:val="0"/>
      <w:marBottom w:val="0"/>
      <w:divBdr>
        <w:top w:val="none" w:sz="0" w:space="0" w:color="auto"/>
        <w:left w:val="none" w:sz="0" w:space="0" w:color="auto"/>
        <w:bottom w:val="none" w:sz="0" w:space="0" w:color="auto"/>
        <w:right w:val="none" w:sz="0" w:space="0" w:color="auto"/>
      </w:divBdr>
    </w:div>
    <w:div w:id="2033529213">
      <w:bodyDiv w:val="1"/>
      <w:marLeft w:val="0"/>
      <w:marRight w:val="0"/>
      <w:marTop w:val="0"/>
      <w:marBottom w:val="0"/>
      <w:divBdr>
        <w:top w:val="none" w:sz="0" w:space="0" w:color="auto"/>
        <w:left w:val="none" w:sz="0" w:space="0" w:color="auto"/>
        <w:bottom w:val="none" w:sz="0" w:space="0" w:color="auto"/>
        <w:right w:val="none" w:sz="0" w:space="0" w:color="auto"/>
      </w:divBdr>
      <w:divsChild>
        <w:div w:id="840006568">
          <w:marLeft w:val="0"/>
          <w:marRight w:val="0"/>
          <w:marTop w:val="0"/>
          <w:marBottom w:val="0"/>
          <w:divBdr>
            <w:top w:val="none" w:sz="0" w:space="0" w:color="auto"/>
            <w:left w:val="none" w:sz="0" w:space="0" w:color="auto"/>
            <w:bottom w:val="none" w:sz="0" w:space="0" w:color="auto"/>
            <w:right w:val="none" w:sz="0" w:space="0" w:color="auto"/>
          </w:divBdr>
          <w:divsChild>
            <w:div w:id="12915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o.org/nutrition/education/en/" TargetMode="External"/><Relationship Id="rId18" Type="http://schemas.openxmlformats.org/officeDocument/2006/relationships/hyperlink" Target="https://en.wikipedia.org/wiki/Food_fortification" TargetMode="External"/><Relationship Id="rId26" Type="http://schemas.openxmlformats.org/officeDocument/2006/relationships/hyperlink" Target="https://www.researchgate.net/publication/347438572_Daily_consumption_of_pro-vitamin_A_biofortified_yellow_cassava_improves_serum_retinol_concentrations_in_preschool_children_in_Nigeria_a_randomized_controlled_trial" TargetMode="External"/><Relationship Id="rId39" Type="http://schemas.openxmlformats.org/officeDocument/2006/relationships/hyperlink" Target="https://www.who.int/news/item/19-10-2022-unicef-and-who-warn-of-nutrition-crisis-amid-global-food-insecurity" TargetMode="External"/><Relationship Id="rId21" Type="http://schemas.openxmlformats.org/officeDocument/2006/relationships/hyperlink" Target="https://globalnutritionreport.org/reports/2021-global-nutrition-report/" TargetMode="External"/><Relationship Id="rId34" Type="http://schemas.openxmlformats.org/officeDocument/2006/relationships/hyperlink" Target="https://www.unicef.org/media/113291/file/UNICEF%20Conceptual%20Framework.pdf" TargetMode="External"/><Relationship Id="rId42" Type="http://schemas.openxmlformats.org/officeDocument/2006/relationships/hyperlink" Target="https://en.wikipedia.org/wiki/Food_fortificatio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www.unicef.org/nigeria/nutrition?utm_source=chatgpt.com" TargetMode="External"/><Relationship Id="rId2" Type="http://schemas.openxmlformats.org/officeDocument/2006/relationships/styles" Target="styles.xml"/><Relationship Id="rId16" Type="http://schemas.openxmlformats.org/officeDocument/2006/relationships/hyperlink" Target="https://pubmed.ncbi.nlm.nih.gov/38709803/" TargetMode="External"/><Relationship Id="rId29" Type="http://schemas.openxmlformats.org/officeDocument/2006/relationships/hyperlink" Target="https://caes.ucdavis.edu/news/nigeria-adopts-multiple-micronutrient-fortified-bouillon-cube-standards-reduce-malnutrition" TargetMode="External"/><Relationship Id="rId11" Type="http://schemas.openxmlformats.org/officeDocument/2006/relationships/hyperlink" Target="https://www.who.int/publications/i/item/9241594012" TargetMode="External"/><Relationship Id="rId24" Type="http://schemas.openxmlformats.org/officeDocument/2006/relationships/hyperlink" Target="https://journals.plos.org/globalpublichealth/article?id=10.1371%2Fjournal.pgph.0000961" TargetMode="External"/><Relationship Id="rId32" Type="http://schemas.openxmlformats.org/officeDocument/2006/relationships/hyperlink" Target="https://hopkinshumanitarianhealth.org/assets/documents/Vitamin_A_Deficiency_Health_Consequences.pdf" TargetMode="External"/><Relationship Id="rId37" Type="http://schemas.openxmlformats.org/officeDocument/2006/relationships/hyperlink" Target="https://www.ncbi.nlm.nih.gov/pmc/articles/PMC3649710/" TargetMode="External"/><Relationship Id="rId40" Type="http://schemas.openxmlformats.org/officeDocument/2006/relationships/hyperlink" Target="https://www.who.int/news/item/29-05-2023-new-wha-resolution-to-accelerate-efforts-on-food-micronutrient-fortificatio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searchgate.net/publication/384073104_Malnutrition_and_Associated_Co-Morbidities_among_Infants_Affected_by_Boko_Haram_Insurgency_in_Some_IDP_Camps_in_Borno_State_Nigeria" TargetMode="External"/><Relationship Id="rId23" Type="http://schemas.openxmlformats.org/officeDocument/2006/relationships/hyperlink" Target="https://www.researchgate.net/publication/342704357_The_Growing_IDPs_in_the_Country_and_Impact_on_Childhood_Malnutrition_Averting_a_Future_Generation_with_Stunted_Growth_and_Knowledge" TargetMode="External"/><Relationship Id="rId28" Type="http://schemas.openxmlformats.org/officeDocument/2006/relationships/hyperlink" Target="https://www.ncbi.nlm.nih.gov/pmc/articles/PMC3775245/" TargetMode="External"/><Relationship Id="rId36" Type="http://schemas.openxmlformats.org/officeDocument/2006/relationships/hyperlink" Target="https://caes.ucdavis.edu/news/nigeria-adopts-multiple-micronutrient-fortified-bouillon-cube-standards-reduce-malnutrition" TargetMode="External"/><Relationship Id="rId49" Type="http://schemas.openxmlformats.org/officeDocument/2006/relationships/fontTable" Target="fontTable.xml"/><Relationship Id="rId10" Type="http://schemas.openxmlformats.org/officeDocument/2006/relationships/hyperlink" Target="https://www.who.int/news/item/19-10-2022-unicef-and-who-warn-of-nutrition-crisis-amid-global-food-insecurity" TargetMode="External"/><Relationship Id="rId19" Type="http://schemas.openxmlformats.org/officeDocument/2006/relationships/hyperlink" Target="https://www.gainhealth.org/impact/our-response/covid-19-response/global-food-fortification" TargetMode="External"/><Relationship Id="rId31" Type="http://schemas.openxmlformats.org/officeDocument/2006/relationships/hyperlink" Target="https://www.sciencedirect.com/science/article/abs/pii/S221242092400863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ubmed.ncbi.nlm.nih.gov/38922959/?utm_source=chatgpt.com" TargetMode="External"/><Relationship Id="rId14" Type="http://schemas.openxmlformats.org/officeDocument/2006/relationships/hyperlink" Target="https://documents.worldbank.org/en/publication/documents-reports/documentdetail/203271531030419522/nutrition-in-nigeria" TargetMode="External"/><Relationship Id="rId22" Type="http://schemas.openxmlformats.org/officeDocument/2006/relationships/hyperlink" Target="https://www.globalgiving.org/projects/emergency-nutrition-for-5000-idp-children-nigeria/" TargetMode="External"/><Relationship Id="rId27" Type="http://schemas.openxmlformats.org/officeDocument/2006/relationships/hyperlink" Target="https://pubmed.ncbi.nlm.nih.gov/38922959/" TargetMode="External"/><Relationship Id="rId30" Type="http://schemas.openxmlformats.org/officeDocument/2006/relationships/hyperlink" Target="https://www.nafdac.gov.ng/standards/food/food-fortification/" TargetMode="External"/><Relationship Id="rId35" Type="http://schemas.openxmlformats.org/officeDocument/2006/relationships/hyperlink" Target="https://www.unicef.org/nutrition"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sciencedirect.com/science/article/abs/pii/S221242092400863X?utm_source=chatgpt.com" TargetMode="External"/><Relationship Id="rId3" Type="http://schemas.openxmlformats.org/officeDocument/2006/relationships/settings" Target="settings.xml"/><Relationship Id="rId12" Type="http://schemas.openxmlformats.org/officeDocument/2006/relationships/hyperlink" Target="https://www.ncbi.nlm.nih.gov/pmc/articles/PMC3775245/" TargetMode="External"/><Relationship Id="rId17" Type="http://schemas.openxmlformats.org/officeDocument/2006/relationships/hyperlink" Target="https://www.fao.org/nutrition/education/en/" TargetMode="External"/><Relationship Id="rId25" Type="http://schemas.openxmlformats.org/officeDocument/2006/relationships/hyperlink" Target="https://psychclassics.yorku.ca/Maslow/motivation.htm" TargetMode="External"/><Relationship Id="rId33" Type="http://schemas.openxmlformats.org/officeDocument/2006/relationships/hyperlink" Target="https://www.unhcr.org/protection/health/5b3e1b6c7/public-health-strategy-unhcr-2014-2018.html" TargetMode="External"/><Relationship Id="rId38" Type="http://schemas.openxmlformats.org/officeDocument/2006/relationships/hyperlink" Target="https://documents.worldbank.org/en/publication/documents-reports/documentdetail/203271531030419522/nutrition-in-nigeria" TargetMode="External"/><Relationship Id="rId46" Type="http://schemas.openxmlformats.org/officeDocument/2006/relationships/footer" Target="footer2.xml"/><Relationship Id="rId20" Type="http://schemas.openxmlformats.org/officeDocument/2006/relationships/hyperlink" Target="https://journals.lww.com/ijph/fulltext/2019/63010/meta_analysis_of_efficacy_of_iron_and_iodine.11.aspx" TargetMode="External"/><Relationship Id="rId41" Type="http://schemas.openxmlformats.org/officeDocument/2006/relationships/hyperlink" Target="https://www.who.int/publications/i/item/924159401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6179</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1137</cp:lastModifiedBy>
  <cp:revision>3</cp:revision>
  <dcterms:created xsi:type="dcterms:W3CDTF">2025-06-23T19:38:00Z</dcterms:created>
  <dcterms:modified xsi:type="dcterms:W3CDTF">2025-06-25T09:20:00Z</dcterms:modified>
</cp:coreProperties>
</file>