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78C3" w14:textId="1D62E7CB" w:rsidR="00754C9A" w:rsidRDefault="00DA428F" w:rsidP="00441B6F">
      <w:pPr>
        <w:pStyle w:val="Title"/>
        <w:spacing w:after="0"/>
        <w:jc w:val="both"/>
        <w:rPr>
          <w:rFonts w:ascii="Arial" w:hAnsi="Arial" w:cs="Arial"/>
        </w:rPr>
      </w:pPr>
      <w:r>
        <w:rPr>
          <w:rFonts w:ascii="Arial" w:hAnsi="Arial" w:cs="Arial"/>
        </w:rPr>
        <w:t xml:space="preserve"> </w:t>
      </w:r>
      <w:r w:rsidR="00CA4ADB">
        <w:rPr>
          <w:rFonts w:ascii="Arial" w:hAnsi="Arial" w:cs="Arial"/>
        </w:rPr>
        <w:t xml:space="preserve"> </w:t>
      </w:r>
      <w:r w:rsidR="002168A7">
        <w:rPr>
          <w:rFonts w:ascii="Arial" w:hAnsi="Arial" w:cs="Arial"/>
        </w:rPr>
        <w:t xml:space="preserve"> </w:t>
      </w:r>
    </w:p>
    <w:p w14:paraId="76D72C33" w14:textId="49E6015E" w:rsidR="004B3FE0" w:rsidRPr="004B3FE0" w:rsidRDefault="004B3FE0" w:rsidP="004B3FE0">
      <w:pPr>
        <w:jc w:val="right"/>
        <w:rPr>
          <w:rFonts w:ascii="Arial" w:eastAsiaTheme="majorEastAsia" w:hAnsi="Arial" w:cs="Arial"/>
          <w:b/>
          <w:bCs/>
          <w:sz w:val="28"/>
          <w:szCs w:val="28"/>
          <w:lang w:val="en-ID"/>
        </w:rPr>
      </w:pPr>
      <w:r w:rsidRPr="004B3FE0">
        <w:rPr>
          <w:rFonts w:ascii="Arial" w:eastAsiaTheme="majorEastAsia" w:hAnsi="Arial" w:cs="Arial"/>
          <w:b/>
          <w:bCs/>
          <w:sz w:val="28"/>
          <w:szCs w:val="28"/>
          <w:lang w:val="en-ID"/>
        </w:rPr>
        <w:t xml:space="preserve">Nitrogen, Phosphorus Absorption Rate and Growth of </w:t>
      </w:r>
      <w:proofErr w:type="spellStart"/>
      <w:r w:rsidRPr="004B3FE0">
        <w:rPr>
          <w:rFonts w:ascii="Arial" w:eastAsiaTheme="majorEastAsia" w:hAnsi="Arial" w:cs="Arial"/>
          <w:b/>
          <w:bCs/>
          <w:i/>
          <w:iCs/>
          <w:sz w:val="28"/>
          <w:szCs w:val="28"/>
          <w:lang w:val="en-ID"/>
        </w:rPr>
        <w:t>Gracillaria</w:t>
      </w:r>
      <w:proofErr w:type="spellEnd"/>
      <w:r w:rsidRPr="004B3FE0">
        <w:rPr>
          <w:rFonts w:ascii="Arial" w:eastAsiaTheme="majorEastAsia" w:hAnsi="Arial" w:cs="Arial"/>
          <w:b/>
          <w:bCs/>
          <w:i/>
          <w:iCs/>
          <w:sz w:val="28"/>
          <w:szCs w:val="28"/>
          <w:lang w:val="en-ID"/>
        </w:rPr>
        <w:t xml:space="preserve"> verrucosa</w:t>
      </w:r>
      <w:r w:rsidRPr="004B3FE0">
        <w:rPr>
          <w:rFonts w:ascii="Arial" w:eastAsiaTheme="majorEastAsia" w:hAnsi="Arial" w:cs="Arial"/>
          <w:b/>
          <w:bCs/>
          <w:sz w:val="28"/>
          <w:szCs w:val="28"/>
          <w:lang w:val="en-ID"/>
        </w:rPr>
        <w:t xml:space="preserve"> Based on Integrated Multi-Trophic Aquaculture (IMTA) in Ekas Bay Waters, East Lombok, Indonesia</w:t>
      </w:r>
    </w:p>
    <w:p w14:paraId="15570543" w14:textId="77777777" w:rsidR="00A258C3" w:rsidRPr="004B3FE0" w:rsidRDefault="00A258C3" w:rsidP="00441B6F">
      <w:pPr>
        <w:pStyle w:val="Author"/>
        <w:spacing w:line="240" w:lineRule="auto"/>
        <w:jc w:val="both"/>
        <w:rPr>
          <w:rFonts w:ascii="Arial" w:hAnsi="Arial" w:cs="Arial"/>
          <w:bCs/>
          <w:iCs/>
          <w:kern w:val="28"/>
          <w:sz w:val="28"/>
          <w:szCs w:val="28"/>
        </w:rPr>
      </w:pPr>
    </w:p>
    <w:p w14:paraId="639D793E" w14:textId="77777777" w:rsidR="00AA0210" w:rsidRPr="00790ADA" w:rsidRDefault="00AA0210" w:rsidP="00441B6F">
      <w:pPr>
        <w:pStyle w:val="Author"/>
        <w:spacing w:line="240" w:lineRule="auto"/>
        <w:jc w:val="both"/>
        <w:rPr>
          <w:rFonts w:ascii="Arial" w:hAnsi="Arial" w:cs="Arial"/>
          <w:sz w:val="36"/>
        </w:rPr>
      </w:pPr>
    </w:p>
    <w:p w14:paraId="7747C54E" w14:textId="77777777" w:rsidR="00432196" w:rsidRDefault="00432196" w:rsidP="002056CC">
      <w:pPr>
        <w:pStyle w:val="Affiliation"/>
        <w:spacing w:after="0" w:line="240" w:lineRule="auto"/>
        <w:rPr>
          <w:rFonts w:ascii="Arial" w:hAnsi="Arial" w:cs="Arial"/>
          <w:b/>
          <w:bCs/>
          <w:i/>
          <w:sz w:val="22"/>
          <w:szCs w:val="22"/>
        </w:rPr>
      </w:pPr>
    </w:p>
    <w:p w14:paraId="738C16A9" w14:textId="51DAB654" w:rsidR="00B01FCD" w:rsidRPr="00FB3A86" w:rsidRDefault="00FF11F4" w:rsidP="00441B6F">
      <w:pPr>
        <w:pStyle w:val="Copyright"/>
        <w:spacing w:after="0" w:line="240" w:lineRule="auto"/>
        <w:jc w:val="both"/>
        <w:rPr>
          <w:rFonts w:ascii="Arial" w:hAnsi="Arial" w:cs="Arial"/>
        </w:rPr>
        <w:sectPr w:rsidR="00B01FCD" w:rsidRPr="00FB3A86" w:rsidSect="0062556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9852D73" wp14:editId="780E2628">
                <wp:extent cx="5303520" cy="635"/>
                <wp:effectExtent l="15240" t="10795" r="15240" b="17780"/>
                <wp:docPr id="42592428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0AB6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CF99A19" w14:textId="77777777" w:rsidR="00F11A1D" w:rsidRPr="008A24AA" w:rsidRDefault="00F11A1D" w:rsidP="00F11A1D">
      <w:pPr>
        <w:rPr>
          <w:b/>
          <w:bCs/>
          <w:sz w:val="22"/>
          <w:szCs w:val="22"/>
        </w:rPr>
      </w:pPr>
      <w:r w:rsidRPr="008A24AA">
        <w:rPr>
          <w:rFonts w:ascii="Arial" w:hAnsi="Arial" w:cs="Arial"/>
          <w:b/>
          <w:bCs/>
          <w:sz w:val="22"/>
          <w:szCs w:val="22"/>
        </w:rPr>
        <w:t>ABSTRACT</w:t>
      </w:r>
      <w:r w:rsidRPr="008A24AA">
        <w:rPr>
          <w:rFonts w:ascii="Arial" w:hAnsi="Arial" w:cs="Arial"/>
          <w:sz w:val="22"/>
          <w:szCs w:val="22"/>
        </w:rPr>
        <w:t xml:space="preserve"> </w:t>
      </w:r>
    </w:p>
    <w:p w14:paraId="3441B2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D8425D4" w14:textId="77777777" w:rsidTr="001E44FE">
        <w:tc>
          <w:tcPr>
            <w:tcW w:w="9576" w:type="dxa"/>
            <w:shd w:val="clear" w:color="auto" w:fill="F2F2F2"/>
          </w:tcPr>
          <w:p w14:paraId="6F8D5F0B" w14:textId="406A6DDD" w:rsidR="00505F06" w:rsidRPr="002223A5" w:rsidRDefault="002223A5" w:rsidP="002223A5">
            <w:pPr>
              <w:jc w:val="both"/>
              <w:rPr>
                <w:rFonts w:ascii="Arial" w:hAnsi="Arial" w:cs="Arial"/>
              </w:rPr>
            </w:pPr>
            <w:r w:rsidRPr="00D77362">
              <w:rPr>
                <w:rFonts w:ascii="Arial" w:hAnsi="Arial" w:cs="Arial"/>
              </w:rPr>
              <w:t xml:space="preserve">The development of marine aquaculture based on Integrated Multi-Trophic Aquaculture (IMTA) is a method designed to overcome environmental problems associated with feed use in aquaculture activities. This study aims to analyze the growth performance, production and absorption rate of N and P of </w:t>
            </w:r>
            <w:proofErr w:type="spellStart"/>
            <w:r w:rsidRPr="00D77362">
              <w:rPr>
                <w:rFonts w:ascii="Arial" w:hAnsi="Arial" w:cs="Arial"/>
                <w:i/>
                <w:iCs/>
              </w:rPr>
              <w:t>Gracillaria</w:t>
            </w:r>
            <w:proofErr w:type="spellEnd"/>
            <w:r w:rsidRPr="00D77362">
              <w:rPr>
                <w:rFonts w:ascii="Arial" w:hAnsi="Arial" w:cs="Arial"/>
                <w:i/>
                <w:iCs/>
              </w:rPr>
              <w:t xml:space="preserve"> verrucosa</w:t>
            </w:r>
            <w:r w:rsidRPr="00D77362">
              <w:rPr>
                <w:rFonts w:ascii="Arial" w:hAnsi="Arial" w:cs="Arial"/>
              </w:rPr>
              <w:t xml:space="preserve"> seaweed cultivated by floating raft method around floating net cages. This study used an experimental method with 3 repetitions with the location of the floating raft system seaweed cultivation around the floating net cage (</w:t>
            </w:r>
            <w:r>
              <w:rPr>
                <w:rFonts w:ascii="Arial" w:hAnsi="Arial" w:cs="Arial"/>
              </w:rPr>
              <w:t>FNC</w:t>
            </w:r>
            <w:r w:rsidRPr="00D77362">
              <w:rPr>
                <w:rFonts w:ascii="Arial" w:hAnsi="Arial" w:cs="Arial"/>
              </w:rPr>
              <w:t xml:space="preserve">) system cultivation activities placed at a distance of 40 meters from the </w:t>
            </w:r>
            <w:r>
              <w:rPr>
                <w:rFonts w:ascii="Arial" w:hAnsi="Arial" w:cs="Arial"/>
              </w:rPr>
              <w:t>FNC</w:t>
            </w:r>
            <w:r w:rsidRPr="00D77362">
              <w:rPr>
                <w:rFonts w:ascii="Arial" w:hAnsi="Arial" w:cs="Arial"/>
              </w:rPr>
              <w:t xml:space="preserve"> in the north (</w:t>
            </w:r>
            <w:r>
              <w:rPr>
                <w:rFonts w:ascii="Arial" w:hAnsi="Arial" w:cs="Arial"/>
              </w:rPr>
              <w:t>N</w:t>
            </w:r>
            <w:r w:rsidRPr="00D77362">
              <w:rPr>
                <w:rFonts w:ascii="Arial" w:hAnsi="Arial" w:cs="Arial"/>
              </w:rPr>
              <w:t>), in the south (S), in the east (</w:t>
            </w:r>
            <w:r>
              <w:rPr>
                <w:rFonts w:ascii="Arial" w:hAnsi="Arial" w:cs="Arial"/>
              </w:rPr>
              <w:t>E</w:t>
            </w:r>
            <w:r w:rsidRPr="00D77362">
              <w:rPr>
                <w:rFonts w:ascii="Arial" w:hAnsi="Arial" w:cs="Arial"/>
              </w:rPr>
              <w:t>), in the west (</w:t>
            </w:r>
            <w:r>
              <w:rPr>
                <w:rFonts w:ascii="Arial" w:hAnsi="Arial" w:cs="Arial"/>
              </w:rPr>
              <w:t>W</w:t>
            </w:r>
            <w:r w:rsidRPr="00D77362">
              <w:rPr>
                <w:rFonts w:ascii="Arial" w:hAnsi="Arial" w:cs="Arial"/>
              </w:rPr>
              <w:t xml:space="preserve">) and floating rafts at a distance of 250 meters from the </w:t>
            </w:r>
            <w:r>
              <w:rPr>
                <w:rFonts w:ascii="Arial" w:hAnsi="Arial" w:cs="Arial"/>
              </w:rPr>
              <w:t>FNC</w:t>
            </w:r>
            <w:r w:rsidRPr="00D77362">
              <w:rPr>
                <w:rFonts w:ascii="Arial" w:hAnsi="Arial" w:cs="Arial"/>
              </w:rPr>
              <w:t xml:space="preserve"> as a control (</w:t>
            </w:r>
            <w:r>
              <w:rPr>
                <w:rFonts w:ascii="Arial" w:hAnsi="Arial" w:cs="Arial"/>
              </w:rPr>
              <w:t>C</w:t>
            </w:r>
            <w:r w:rsidRPr="00D77362">
              <w:rPr>
                <w:rFonts w:ascii="Arial" w:hAnsi="Arial" w:cs="Arial"/>
              </w:rPr>
              <w:t xml:space="preserve">). The results showed that seaweed cultivated around </w:t>
            </w:r>
            <w:r>
              <w:rPr>
                <w:rFonts w:ascii="Arial" w:hAnsi="Arial" w:cs="Arial"/>
              </w:rPr>
              <w:t>FNC</w:t>
            </w:r>
            <w:r w:rsidRPr="00D77362">
              <w:rPr>
                <w:rFonts w:ascii="Arial" w:hAnsi="Arial" w:cs="Arial"/>
              </w:rPr>
              <w:t xml:space="preserve"> had better growth and production performance compared to those cultivated without </w:t>
            </w:r>
            <w:r>
              <w:rPr>
                <w:rFonts w:ascii="Arial" w:hAnsi="Arial" w:cs="Arial"/>
              </w:rPr>
              <w:t>FNC</w:t>
            </w:r>
            <w:r w:rsidRPr="00D77362">
              <w:rPr>
                <w:rFonts w:ascii="Arial" w:hAnsi="Arial" w:cs="Arial"/>
              </w:rPr>
              <w:t xml:space="preserve"> or controls. The N absorption rate of seaweed cultivated around </w:t>
            </w:r>
            <w:r>
              <w:rPr>
                <w:rFonts w:ascii="Arial" w:hAnsi="Arial" w:cs="Arial"/>
              </w:rPr>
              <w:t>FNC</w:t>
            </w:r>
            <w:r w:rsidRPr="00D77362">
              <w:rPr>
                <w:rFonts w:ascii="Arial" w:hAnsi="Arial" w:cs="Arial"/>
              </w:rPr>
              <w:t xml:space="preserve"> sites with a range between 0.41 - 0.88 g N/m2/day or 1.51 - 3.20 tons of N/ha/year was higher than in the control location of 0.49 g N/m2/day or 1.78 tons N/ha/year. While the level of P absorption of seaweed cultivated around the </w:t>
            </w:r>
            <w:r>
              <w:rPr>
                <w:rFonts w:ascii="Arial" w:hAnsi="Arial" w:cs="Arial"/>
              </w:rPr>
              <w:t>FNC</w:t>
            </w:r>
            <w:r w:rsidRPr="00D77362">
              <w:rPr>
                <w:rFonts w:ascii="Arial" w:hAnsi="Arial" w:cs="Arial"/>
              </w:rPr>
              <w:t xml:space="preserve"> location with a range between 0.69 - 1.38 g P/m2/day or 2.51 - 5.05 tons of P/ha/year is higher than in the control site of 0.49 g P/m2/day or 1.78 tons P/ha/year. The application of IMTA-based seaweed cultivation of </w:t>
            </w:r>
            <w:proofErr w:type="spellStart"/>
            <w:r w:rsidRPr="00255110">
              <w:rPr>
                <w:rFonts w:ascii="Arial" w:hAnsi="Arial" w:cs="Arial"/>
                <w:i/>
                <w:iCs/>
              </w:rPr>
              <w:t>G</w:t>
            </w:r>
            <w:r w:rsidR="00255110" w:rsidRPr="00255110">
              <w:rPr>
                <w:rFonts w:ascii="Arial" w:hAnsi="Arial" w:cs="Arial"/>
                <w:i/>
                <w:iCs/>
              </w:rPr>
              <w:t>racilaria</w:t>
            </w:r>
            <w:proofErr w:type="spellEnd"/>
            <w:r w:rsidRPr="00255110">
              <w:rPr>
                <w:rFonts w:ascii="Arial" w:hAnsi="Arial" w:cs="Arial"/>
                <w:i/>
                <w:iCs/>
              </w:rPr>
              <w:t xml:space="preserve"> </w:t>
            </w:r>
            <w:r w:rsidRPr="002223A5">
              <w:rPr>
                <w:rFonts w:ascii="Arial" w:hAnsi="Arial" w:cs="Arial"/>
                <w:i/>
                <w:iCs/>
              </w:rPr>
              <w:t>verrucosa</w:t>
            </w:r>
            <w:r w:rsidRPr="00D77362">
              <w:rPr>
                <w:rFonts w:ascii="Arial" w:hAnsi="Arial" w:cs="Arial"/>
              </w:rPr>
              <w:t xml:space="preserve"> clearly provides economic and ecological benefits with an increase in biomass and improved environmental conditions.</w:t>
            </w:r>
          </w:p>
        </w:tc>
      </w:tr>
    </w:tbl>
    <w:p w14:paraId="71AC012A" w14:textId="77777777" w:rsidR="00636EB2" w:rsidRDefault="00636EB2" w:rsidP="00441B6F">
      <w:pPr>
        <w:pStyle w:val="Body"/>
        <w:spacing w:after="0"/>
        <w:rPr>
          <w:rFonts w:ascii="Arial" w:hAnsi="Arial" w:cs="Arial"/>
          <w:i/>
        </w:rPr>
      </w:pPr>
    </w:p>
    <w:p w14:paraId="58D44BDA" w14:textId="77777777" w:rsidR="00F11A1D" w:rsidRDefault="00F11A1D" w:rsidP="00F11A1D">
      <w:pPr>
        <w:spacing w:line="360" w:lineRule="auto"/>
      </w:pPr>
      <w:r w:rsidRPr="006733BE">
        <w:t xml:space="preserve">Keywords: </w:t>
      </w:r>
      <w:r>
        <w:t>seaweed</w:t>
      </w:r>
      <w:r w:rsidRPr="006733BE">
        <w:t>;</w:t>
      </w:r>
      <w:r>
        <w:t xml:space="preserve"> </w:t>
      </w:r>
      <w:r w:rsidRPr="006733BE">
        <w:t>floating raft</w:t>
      </w:r>
      <w:r>
        <w:t>; uptake rate; nitrogen; phosphate</w:t>
      </w:r>
    </w:p>
    <w:p w14:paraId="631CD5D4" w14:textId="77777777" w:rsidR="00F11A1D" w:rsidRDefault="00F11A1D" w:rsidP="00F11A1D">
      <w:pPr>
        <w:spacing w:line="360" w:lineRule="auto"/>
      </w:pPr>
    </w:p>
    <w:p w14:paraId="6BD9AAE1" w14:textId="77777777" w:rsidR="00F11A1D" w:rsidRDefault="00F11A1D" w:rsidP="00F11A1D">
      <w:pPr>
        <w:spacing w:line="360" w:lineRule="auto"/>
      </w:pPr>
    </w:p>
    <w:p w14:paraId="07C0CD32" w14:textId="77777777" w:rsidR="00F11A1D" w:rsidRDefault="00F11A1D" w:rsidP="00F11A1D">
      <w:pPr>
        <w:pStyle w:val="AbstHead"/>
        <w:numPr>
          <w:ilvl w:val="0"/>
          <w:numId w:val="34"/>
        </w:numPr>
        <w:spacing w:after="0"/>
        <w:rPr>
          <w:rFonts w:ascii="Arial" w:hAnsi="Arial" w:cs="Arial"/>
        </w:rPr>
      </w:pPr>
      <w:r>
        <w:rPr>
          <w:rFonts w:ascii="Arial" w:hAnsi="Arial" w:cs="Arial"/>
        </w:rPr>
        <w:t>INTRODUCTION</w:t>
      </w:r>
    </w:p>
    <w:p w14:paraId="0A8CBCB3" w14:textId="77777777" w:rsidR="00F11A1D" w:rsidRPr="00F76E58" w:rsidRDefault="00F11A1D" w:rsidP="00A56561">
      <w:pPr>
        <w:pStyle w:val="AbstHead"/>
        <w:spacing w:after="0"/>
        <w:ind w:left="360"/>
        <w:jc w:val="both"/>
        <w:rPr>
          <w:rFonts w:ascii="Arial" w:hAnsi="Arial" w:cs="Arial"/>
        </w:rPr>
      </w:pPr>
    </w:p>
    <w:p w14:paraId="542FE815" w14:textId="6BBF926F" w:rsidR="00F11A1D" w:rsidRPr="00F11A1D" w:rsidRDefault="00F11A1D" w:rsidP="00F11A1D">
      <w:pPr>
        <w:spacing w:line="360" w:lineRule="auto"/>
        <w:ind w:firstLine="720"/>
        <w:jc w:val="both"/>
        <w:rPr>
          <w:rFonts w:ascii="Arial" w:hAnsi="Arial" w:cs="Arial"/>
          <w:lang w:val="en-ID"/>
        </w:rPr>
      </w:pPr>
      <w:r w:rsidRPr="00F11A1D">
        <w:rPr>
          <w:rFonts w:ascii="Arial" w:hAnsi="Arial" w:cs="Arial"/>
          <w:lang w:val="en-ID"/>
        </w:rPr>
        <w:t xml:space="preserve">Lobster and seaweed are industrialized commodities of the Ministry of Marine Affairs and Fisheries (KKP). Lobster production in Indonesia in the last three years has decreased, where in 2021 it reached 512.26 tons, 2022 amounted to 483.74 tons and in 2023 only 437.42 tons (KKP, 2025). Compared to lobster, seaweed production showed a very significant increase of 9.0 million tons in 2021 increasing to 9.2 million tons in 2022 and 9.7 million tons in 2023 (MMAF, 2025). In 2023, this seaweed production contributed around 63% of the total mariculture production in Indonesia, while lobster only contributed around 0.002%. Indonesian seaweed production is dominated by </w:t>
      </w:r>
      <w:proofErr w:type="spellStart"/>
      <w:r w:rsidRPr="00EC04B8">
        <w:rPr>
          <w:rFonts w:ascii="Arial" w:hAnsi="Arial" w:cs="Arial"/>
          <w:i/>
          <w:iCs/>
          <w:lang w:val="en-ID"/>
        </w:rPr>
        <w:t>Kappaphycus</w:t>
      </w:r>
      <w:proofErr w:type="spellEnd"/>
      <w:r w:rsidRPr="00EC04B8">
        <w:rPr>
          <w:rFonts w:ascii="Arial" w:hAnsi="Arial" w:cs="Arial"/>
          <w:i/>
          <w:iCs/>
          <w:lang w:val="en-ID"/>
        </w:rPr>
        <w:t xml:space="preserve"> </w:t>
      </w:r>
      <w:proofErr w:type="spellStart"/>
      <w:r w:rsidRPr="00EC04B8">
        <w:rPr>
          <w:rFonts w:ascii="Arial" w:hAnsi="Arial" w:cs="Arial"/>
          <w:i/>
          <w:iCs/>
          <w:lang w:val="en-ID"/>
        </w:rPr>
        <w:t>alvarezii</w:t>
      </w:r>
      <w:proofErr w:type="spellEnd"/>
      <w:r w:rsidRPr="00F11A1D">
        <w:rPr>
          <w:rFonts w:ascii="Arial" w:hAnsi="Arial" w:cs="Arial"/>
          <w:lang w:val="en-ID"/>
        </w:rPr>
        <w:t xml:space="preserve"> with a volume of 7.05 million tons </w:t>
      </w:r>
      <w:r w:rsidRPr="00F11A1D">
        <w:rPr>
          <w:rFonts w:ascii="Arial" w:hAnsi="Arial" w:cs="Arial"/>
          <w:lang w:val="en-ID"/>
        </w:rPr>
        <w:lastRenderedPageBreak/>
        <w:t xml:space="preserve">accounting for 82.7% of world production and </w:t>
      </w:r>
      <w:proofErr w:type="spellStart"/>
      <w:r w:rsidRPr="00EC04B8">
        <w:rPr>
          <w:rFonts w:ascii="Arial" w:hAnsi="Arial" w:cs="Arial"/>
          <w:i/>
          <w:iCs/>
          <w:lang w:val="en-ID"/>
        </w:rPr>
        <w:t>G</w:t>
      </w:r>
      <w:r w:rsidR="00EC04B8" w:rsidRPr="00EC04B8">
        <w:rPr>
          <w:rFonts w:ascii="Arial" w:hAnsi="Arial" w:cs="Arial"/>
          <w:i/>
          <w:iCs/>
          <w:lang w:val="en-ID"/>
        </w:rPr>
        <w:t>r</w:t>
      </w:r>
      <w:r w:rsidRPr="00EC04B8">
        <w:rPr>
          <w:rFonts w:ascii="Arial" w:hAnsi="Arial" w:cs="Arial"/>
          <w:i/>
          <w:iCs/>
          <w:lang w:val="en-ID"/>
        </w:rPr>
        <w:t>acillaria</w:t>
      </w:r>
      <w:proofErr w:type="spellEnd"/>
      <w:r w:rsidRPr="00F11A1D">
        <w:rPr>
          <w:rFonts w:ascii="Arial" w:hAnsi="Arial" w:cs="Arial"/>
          <w:lang w:val="en-ID"/>
        </w:rPr>
        <w:t xml:space="preserve"> with a volume of 1.91 million tons (32.1% of world production) (KKP, 2023).</w:t>
      </w:r>
    </w:p>
    <w:p w14:paraId="4CE74B4A" w14:textId="0E7DEF9F" w:rsidR="00F11A1D" w:rsidRPr="00F11A1D" w:rsidRDefault="00F11A1D" w:rsidP="00F11A1D">
      <w:pPr>
        <w:shd w:val="clear" w:color="auto" w:fill="FFFFFF"/>
        <w:spacing w:line="360" w:lineRule="auto"/>
        <w:ind w:firstLine="567"/>
        <w:jc w:val="both"/>
        <w:rPr>
          <w:rFonts w:ascii="Arial" w:hAnsi="Arial" w:cs="Arial"/>
          <w:lang w:val="en-ID"/>
        </w:rPr>
      </w:pPr>
      <w:r w:rsidRPr="00F11A1D">
        <w:rPr>
          <w:rFonts w:ascii="Arial" w:hAnsi="Arial" w:cs="Arial"/>
          <w:lang w:val="en-ID"/>
        </w:rPr>
        <w:t>Since 2000 in the waters of Ekas Bay, East Lombok Regency, West Nusa Tenggara Province, lobster farming in floating net cages (</w:t>
      </w:r>
      <w:r w:rsidR="00EC04B8">
        <w:rPr>
          <w:rFonts w:ascii="Arial" w:hAnsi="Arial" w:cs="Arial"/>
          <w:lang w:val="en-ID"/>
        </w:rPr>
        <w:t>FNC</w:t>
      </w:r>
      <w:r w:rsidRPr="00F11A1D">
        <w:rPr>
          <w:rFonts w:ascii="Arial" w:hAnsi="Arial" w:cs="Arial"/>
          <w:lang w:val="en-ID"/>
        </w:rPr>
        <w:t>) has developed (Junaidi &amp; Hamzah, 2015), currently one of the lobster farming development areas or lobster villages (lobster estate) in Indonesia (</w:t>
      </w:r>
      <w:proofErr w:type="spellStart"/>
      <w:r w:rsidRPr="00F11A1D">
        <w:rPr>
          <w:rFonts w:ascii="Arial" w:hAnsi="Arial" w:cs="Arial"/>
          <w:lang w:val="en-ID"/>
        </w:rPr>
        <w:t>Budiyanto</w:t>
      </w:r>
      <w:proofErr w:type="spellEnd"/>
      <w:r w:rsidRPr="00F11A1D">
        <w:rPr>
          <w:rFonts w:ascii="Arial" w:hAnsi="Arial" w:cs="Arial"/>
          <w:lang w:val="en-ID"/>
        </w:rPr>
        <w:t xml:space="preserve">, 2021). Lobster cultivation in </w:t>
      </w:r>
      <w:r w:rsidR="00EC04B8">
        <w:rPr>
          <w:rFonts w:ascii="Arial" w:hAnsi="Arial" w:cs="Arial"/>
          <w:lang w:val="en-ID"/>
        </w:rPr>
        <w:t>FNC</w:t>
      </w:r>
      <w:r w:rsidRPr="00F11A1D">
        <w:rPr>
          <w:rFonts w:ascii="Arial" w:hAnsi="Arial" w:cs="Arial"/>
          <w:lang w:val="en-ID"/>
        </w:rPr>
        <w:t xml:space="preserve"> can cause nutrient enrichment around the </w:t>
      </w:r>
      <w:r w:rsidR="00EC04B8">
        <w:rPr>
          <w:rFonts w:ascii="Arial" w:hAnsi="Arial" w:cs="Arial"/>
          <w:lang w:val="en-ID"/>
        </w:rPr>
        <w:t>FNC</w:t>
      </w:r>
      <w:r w:rsidRPr="00F11A1D">
        <w:rPr>
          <w:rFonts w:ascii="Arial" w:hAnsi="Arial" w:cs="Arial"/>
          <w:lang w:val="en-ID"/>
        </w:rPr>
        <w:t xml:space="preserve"> area. The distribution of nutrients can be utilized by other cultivation commodities, such as seaweed, which can extract dissolved inorganic nutrients and shellfish that can utilize particulate organic matter so that there is a balance between biological and chemical processes in the developing system (</w:t>
      </w:r>
      <w:proofErr w:type="spellStart"/>
      <w:r w:rsidRPr="00F11A1D">
        <w:rPr>
          <w:rFonts w:ascii="Arial" w:hAnsi="Arial" w:cs="Arial"/>
          <w:lang w:val="en-ID"/>
        </w:rPr>
        <w:t>Radiarta</w:t>
      </w:r>
      <w:proofErr w:type="spellEnd"/>
      <w:r w:rsidRPr="00F11A1D">
        <w:rPr>
          <w:rFonts w:ascii="Arial" w:hAnsi="Arial" w:cs="Arial"/>
          <w:lang w:val="en-ID"/>
        </w:rPr>
        <w:t xml:space="preserve"> </w:t>
      </w:r>
      <w:r w:rsidRPr="00F11A1D">
        <w:rPr>
          <w:rFonts w:ascii="Arial" w:hAnsi="Arial" w:cs="Arial"/>
          <w:i/>
          <w:iCs/>
          <w:lang w:val="en-ID"/>
        </w:rPr>
        <w:t>et al</w:t>
      </w:r>
      <w:r w:rsidRPr="00F11A1D">
        <w:rPr>
          <w:rFonts w:ascii="Arial" w:hAnsi="Arial" w:cs="Arial"/>
          <w:lang w:val="en-ID"/>
        </w:rPr>
        <w:t xml:space="preserve">., 2014). This cultivation system development pattern is known as integrated multi-trophic aquaculture (IMTA). IMTA is an innovative mariculture system that combines various types of fish or non-fish with different trophic levels in one aquaculture activity system (Junaidi </w:t>
      </w:r>
      <w:r w:rsidRPr="00F11A1D">
        <w:rPr>
          <w:rFonts w:ascii="Arial" w:hAnsi="Arial" w:cs="Arial"/>
          <w:i/>
          <w:iCs/>
          <w:lang w:val="en-ID"/>
        </w:rPr>
        <w:t>et al</w:t>
      </w:r>
      <w:r w:rsidRPr="00F11A1D">
        <w:rPr>
          <w:rFonts w:ascii="Arial" w:hAnsi="Arial" w:cs="Arial"/>
          <w:lang w:val="en-ID"/>
        </w:rPr>
        <w:t>., 2025).</w:t>
      </w:r>
    </w:p>
    <w:p w14:paraId="604031AB" w14:textId="24676E3F" w:rsidR="00F11A1D" w:rsidRPr="00F11A1D" w:rsidRDefault="00F11A1D" w:rsidP="00F11A1D">
      <w:pPr>
        <w:shd w:val="clear" w:color="auto" w:fill="FFFFFF"/>
        <w:spacing w:line="360" w:lineRule="auto"/>
        <w:ind w:firstLine="567"/>
        <w:jc w:val="both"/>
        <w:rPr>
          <w:rFonts w:ascii="Arial" w:hAnsi="Arial" w:cs="Arial"/>
          <w:lang w:val="en-ID"/>
        </w:rPr>
      </w:pPr>
      <w:r w:rsidRPr="00F11A1D">
        <w:rPr>
          <w:rFonts w:ascii="Arial" w:hAnsi="Arial" w:cs="Arial"/>
          <w:lang w:val="en-ID"/>
        </w:rPr>
        <w:t xml:space="preserve">Within the IMTA framework, the presence of seaweed in addition to increasing economic potential also acts as a natural biofilter to reduce pollution in aquaculture environments containing waste materials (Yulianto </w:t>
      </w:r>
      <w:r w:rsidRPr="00EC04B8">
        <w:rPr>
          <w:rFonts w:ascii="Arial" w:hAnsi="Arial" w:cs="Arial"/>
          <w:i/>
          <w:iCs/>
          <w:lang w:val="en-ID"/>
        </w:rPr>
        <w:t>et al</w:t>
      </w:r>
      <w:r w:rsidRPr="00F11A1D">
        <w:rPr>
          <w:rFonts w:ascii="Arial" w:hAnsi="Arial" w:cs="Arial"/>
          <w:lang w:val="en-ID"/>
        </w:rPr>
        <w:t xml:space="preserve">., 2006). Based on research by Nobre </w:t>
      </w:r>
      <w:r w:rsidRPr="00EC04B8">
        <w:rPr>
          <w:rFonts w:ascii="Arial" w:hAnsi="Arial" w:cs="Arial"/>
          <w:i/>
          <w:iCs/>
          <w:lang w:val="en-ID"/>
        </w:rPr>
        <w:t>et al</w:t>
      </w:r>
      <w:r w:rsidRPr="00F11A1D">
        <w:rPr>
          <w:rFonts w:ascii="Arial" w:hAnsi="Arial" w:cs="Arial"/>
          <w:lang w:val="en-ID"/>
        </w:rPr>
        <w:t xml:space="preserve">. (2010), the application of IMTA in abalone aquaculture with seaweed can reduce water levels of nitrogen (N) and phosphorus (P) by 44% and 23% compared to monoculture of abalone. In addition to reducing the burden of pollution in the waters, IMTA-based seaweed cultivation can increase growth and production, where based on research by </w:t>
      </w:r>
      <w:proofErr w:type="spellStart"/>
      <w:r w:rsidRPr="00F11A1D">
        <w:rPr>
          <w:rFonts w:ascii="Arial" w:hAnsi="Arial" w:cs="Arial"/>
          <w:lang w:val="en-ID"/>
        </w:rPr>
        <w:t>Yuniarsih</w:t>
      </w:r>
      <w:proofErr w:type="spellEnd"/>
      <w:r w:rsidRPr="00F11A1D">
        <w:rPr>
          <w:rFonts w:ascii="Arial" w:hAnsi="Arial" w:cs="Arial"/>
          <w:lang w:val="en-ID"/>
        </w:rPr>
        <w:t xml:space="preserve"> </w:t>
      </w:r>
      <w:r w:rsidRPr="008253D2">
        <w:rPr>
          <w:rFonts w:ascii="Arial" w:hAnsi="Arial" w:cs="Arial"/>
          <w:i/>
          <w:iCs/>
          <w:lang w:val="en-ID"/>
        </w:rPr>
        <w:t>et al</w:t>
      </w:r>
      <w:r w:rsidRPr="00F11A1D">
        <w:rPr>
          <w:rFonts w:ascii="Arial" w:hAnsi="Arial" w:cs="Arial"/>
          <w:lang w:val="en-ID"/>
        </w:rPr>
        <w:t xml:space="preserve">. (2014) the growth and production of seaweed, </w:t>
      </w:r>
      <w:proofErr w:type="spellStart"/>
      <w:r w:rsidRPr="00EC04B8">
        <w:rPr>
          <w:rFonts w:ascii="Arial" w:hAnsi="Arial" w:cs="Arial"/>
          <w:i/>
          <w:iCs/>
          <w:lang w:val="en-ID"/>
        </w:rPr>
        <w:t>Kappaphycus</w:t>
      </w:r>
      <w:proofErr w:type="spellEnd"/>
      <w:r w:rsidRPr="00EC04B8">
        <w:rPr>
          <w:rFonts w:ascii="Arial" w:hAnsi="Arial" w:cs="Arial"/>
          <w:i/>
          <w:iCs/>
          <w:lang w:val="en-ID"/>
        </w:rPr>
        <w:t xml:space="preserve"> </w:t>
      </w:r>
      <w:proofErr w:type="spellStart"/>
      <w:r w:rsidRPr="00EC04B8">
        <w:rPr>
          <w:rFonts w:ascii="Arial" w:hAnsi="Arial" w:cs="Arial"/>
          <w:i/>
          <w:iCs/>
          <w:lang w:val="en-ID"/>
        </w:rPr>
        <w:t>alvarezii</w:t>
      </w:r>
      <w:proofErr w:type="spellEnd"/>
      <w:r w:rsidRPr="00F11A1D">
        <w:rPr>
          <w:rFonts w:ascii="Arial" w:hAnsi="Arial" w:cs="Arial"/>
          <w:lang w:val="en-ID"/>
        </w:rPr>
        <w:t xml:space="preserve"> and </w:t>
      </w:r>
      <w:r w:rsidRPr="00EC04B8">
        <w:rPr>
          <w:rFonts w:ascii="Arial" w:hAnsi="Arial" w:cs="Arial"/>
          <w:i/>
          <w:iCs/>
          <w:lang w:val="en-ID"/>
        </w:rPr>
        <w:t>Eucheuma spinosum</w:t>
      </w:r>
      <w:r w:rsidRPr="00F11A1D">
        <w:rPr>
          <w:rFonts w:ascii="Arial" w:hAnsi="Arial" w:cs="Arial"/>
          <w:lang w:val="en-ID"/>
        </w:rPr>
        <w:t xml:space="preserve"> cultivated around </w:t>
      </w:r>
      <w:r w:rsidR="00EC04B8">
        <w:rPr>
          <w:rFonts w:ascii="Arial" w:hAnsi="Arial" w:cs="Arial"/>
          <w:lang w:val="en-ID"/>
        </w:rPr>
        <w:t>FNC</w:t>
      </w:r>
      <w:r w:rsidRPr="00F11A1D">
        <w:rPr>
          <w:rFonts w:ascii="Arial" w:hAnsi="Arial" w:cs="Arial"/>
          <w:lang w:val="en-ID"/>
        </w:rPr>
        <w:t xml:space="preserve"> in the waters of </w:t>
      </w:r>
      <w:proofErr w:type="spellStart"/>
      <w:r w:rsidRPr="00F11A1D">
        <w:rPr>
          <w:rFonts w:ascii="Arial" w:hAnsi="Arial" w:cs="Arial"/>
          <w:lang w:val="en-ID"/>
        </w:rPr>
        <w:t>Gerupuk</w:t>
      </w:r>
      <w:proofErr w:type="spellEnd"/>
      <w:r w:rsidRPr="00F11A1D">
        <w:rPr>
          <w:rFonts w:ascii="Arial" w:hAnsi="Arial" w:cs="Arial"/>
          <w:lang w:val="en-ID"/>
        </w:rPr>
        <w:t xml:space="preserve"> Bay, West Nusa Tenggara Province increased between 211.07%-414.29% higher than the control location. This condition can be caused by the release of dissolved nutrient materials produced by </w:t>
      </w:r>
      <w:r w:rsidR="00EC04B8">
        <w:rPr>
          <w:rFonts w:ascii="Arial" w:hAnsi="Arial" w:cs="Arial"/>
          <w:lang w:val="en-ID"/>
        </w:rPr>
        <w:t>FNC</w:t>
      </w:r>
      <w:r w:rsidRPr="00F11A1D">
        <w:rPr>
          <w:rFonts w:ascii="Arial" w:hAnsi="Arial" w:cs="Arial"/>
          <w:lang w:val="en-ID"/>
        </w:rPr>
        <w:t>, especially from fish metabolic waste.</w:t>
      </w:r>
    </w:p>
    <w:p w14:paraId="19BE5A85" w14:textId="77777777" w:rsidR="00F11A1D" w:rsidRPr="00F11A1D" w:rsidRDefault="00F11A1D" w:rsidP="00F11A1D">
      <w:pPr>
        <w:pStyle w:val="Heading1"/>
        <w:spacing w:before="0" w:line="360" w:lineRule="auto"/>
        <w:ind w:firstLine="567"/>
        <w:jc w:val="both"/>
        <w:rPr>
          <w:rFonts w:cs="Arial"/>
          <w:color w:val="000000" w:themeColor="text1"/>
          <w:sz w:val="20"/>
          <w:lang w:val="en-ID"/>
        </w:rPr>
      </w:pPr>
      <w:r w:rsidRPr="00F11A1D">
        <w:rPr>
          <w:rFonts w:cs="Arial"/>
          <w:b w:val="0"/>
          <w:bCs/>
          <w:color w:val="000000" w:themeColor="text1"/>
          <w:sz w:val="20"/>
          <w:lang w:val="en-ID"/>
        </w:rPr>
        <w:t xml:space="preserve">In order to study the application of IMTA-based mariculture in Indonesia, it is necessary to study the role of seaweed as a component of IMTA, especially the absorption rate of nitrogen (N) and phosphorus (P) as well as the growth and production of </w:t>
      </w:r>
      <w:proofErr w:type="spellStart"/>
      <w:r w:rsidRPr="00F11A1D">
        <w:rPr>
          <w:rFonts w:cs="Arial"/>
          <w:b w:val="0"/>
          <w:bCs/>
          <w:color w:val="000000" w:themeColor="text1"/>
          <w:sz w:val="20"/>
          <w:lang w:val="en-ID"/>
        </w:rPr>
        <w:t>Gracilaria</w:t>
      </w:r>
      <w:proofErr w:type="spellEnd"/>
      <w:r w:rsidRPr="00F11A1D">
        <w:rPr>
          <w:rFonts w:cs="Arial"/>
          <w:b w:val="0"/>
          <w:bCs/>
          <w:color w:val="000000" w:themeColor="text1"/>
          <w:sz w:val="20"/>
          <w:lang w:val="en-ID"/>
        </w:rPr>
        <w:t xml:space="preserve"> verrucosa grass using the floating raft method. This study aims to </w:t>
      </w:r>
      <w:proofErr w:type="spellStart"/>
      <w:r w:rsidRPr="00F11A1D">
        <w:rPr>
          <w:rFonts w:cs="Arial"/>
          <w:b w:val="0"/>
          <w:bCs/>
          <w:color w:val="000000" w:themeColor="text1"/>
          <w:sz w:val="20"/>
          <w:lang w:val="en-ID"/>
        </w:rPr>
        <w:t>analyze</w:t>
      </w:r>
      <w:proofErr w:type="spellEnd"/>
      <w:r w:rsidRPr="00F11A1D">
        <w:rPr>
          <w:rFonts w:cs="Arial"/>
          <w:b w:val="0"/>
          <w:bCs/>
          <w:color w:val="000000" w:themeColor="text1"/>
          <w:sz w:val="20"/>
          <w:lang w:val="en-ID"/>
        </w:rPr>
        <w:t xml:space="preserve"> the production growth performance and absorption rate of N and P of G. </w:t>
      </w:r>
      <w:r w:rsidRPr="0055706A">
        <w:rPr>
          <w:rFonts w:cs="Arial"/>
          <w:b w:val="0"/>
          <w:bCs/>
          <w:i/>
          <w:iCs/>
          <w:color w:val="000000" w:themeColor="text1"/>
          <w:sz w:val="20"/>
          <w:lang w:val="en-ID"/>
        </w:rPr>
        <w:t>verrucosa</w:t>
      </w:r>
      <w:r w:rsidRPr="00F11A1D">
        <w:rPr>
          <w:rFonts w:cs="Arial"/>
          <w:b w:val="0"/>
          <w:bCs/>
          <w:color w:val="000000" w:themeColor="text1"/>
          <w:sz w:val="20"/>
          <w:lang w:val="en-ID"/>
        </w:rPr>
        <w:t xml:space="preserve"> seaweed cultivated with the floating raft method around floating net cages. This study is expected to be the basic data for the development of IMTA-based mariculture in the waters of Ekas Bay, so as to increase the productivity of mariculture while maintaining aquaculture environmental conditions, so that aquaculture activities can be sustainable</w:t>
      </w:r>
      <w:r w:rsidRPr="00F11A1D">
        <w:rPr>
          <w:rFonts w:cs="Arial"/>
          <w:color w:val="000000" w:themeColor="text1"/>
          <w:sz w:val="20"/>
          <w:lang w:val="en-ID"/>
        </w:rPr>
        <w:t>.</w:t>
      </w:r>
    </w:p>
    <w:p w14:paraId="36A35B49" w14:textId="77777777" w:rsidR="00F11A1D" w:rsidRPr="00FB3A86" w:rsidRDefault="00F11A1D" w:rsidP="00F11A1D">
      <w:pPr>
        <w:pStyle w:val="Body"/>
        <w:spacing w:after="0"/>
        <w:rPr>
          <w:rFonts w:ascii="Arial" w:hAnsi="Arial" w:cs="Arial"/>
        </w:rPr>
      </w:pPr>
    </w:p>
    <w:p w14:paraId="33F1D77D" w14:textId="77777777" w:rsidR="00F11A1D" w:rsidRDefault="00F11A1D" w:rsidP="00F11A1D">
      <w:pPr>
        <w:pStyle w:val="AbstHead"/>
        <w:spacing w:after="0"/>
        <w:rPr>
          <w:rFonts w:ascii="Arial" w:hAnsi="Arial" w:cs="Arial"/>
        </w:rPr>
      </w:pPr>
      <w:r>
        <w:rPr>
          <w:rFonts w:ascii="Arial" w:hAnsi="Arial" w:cs="Arial"/>
        </w:rPr>
        <w:lastRenderedPageBreak/>
        <w:t>2. mATERIALS DAN METHODS</w:t>
      </w:r>
    </w:p>
    <w:p w14:paraId="5FE49353" w14:textId="77777777" w:rsidR="00F11A1D" w:rsidRPr="00FB3A86" w:rsidRDefault="00F11A1D" w:rsidP="00F11A1D">
      <w:pPr>
        <w:pStyle w:val="AbstHead"/>
        <w:spacing w:after="0"/>
        <w:jc w:val="both"/>
        <w:rPr>
          <w:rFonts w:ascii="Arial" w:hAnsi="Arial" w:cs="Arial"/>
        </w:rPr>
      </w:pPr>
    </w:p>
    <w:p w14:paraId="5EF4CAD7" w14:textId="398B62C6" w:rsidR="00F11A1D" w:rsidRPr="00F11A1D" w:rsidRDefault="00F11A1D" w:rsidP="00F11A1D">
      <w:pPr>
        <w:spacing w:line="360" w:lineRule="auto"/>
        <w:ind w:firstLine="720"/>
        <w:jc w:val="both"/>
        <w:rPr>
          <w:rFonts w:ascii="Arial" w:hAnsi="Arial" w:cs="Arial"/>
          <w:lang w:val="en-ID"/>
        </w:rPr>
      </w:pPr>
      <w:bookmarkStart w:id="0" w:name="_Hlk198649377"/>
      <w:r w:rsidRPr="00F11A1D">
        <w:rPr>
          <w:rFonts w:ascii="Arial" w:hAnsi="Arial" w:cs="Arial"/>
          <w:lang w:val="en-ID"/>
        </w:rPr>
        <w:t xml:space="preserve">This research was carried out in November - December 2024 located in the Ekas Bay Area, Ekas Buana Village, </w:t>
      </w:r>
      <w:proofErr w:type="spellStart"/>
      <w:r w:rsidRPr="00F11A1D">
        <w:rPr>
          <w:rFonts w:ascii="Arial" w:hAnsi="Arial" w:cs="Arial"/>
          <w:lang w:val="en-ID"/>
        </w:rPr>
        <w:t>Jerowaru</w:t>
      </w:r>
      <w:proofErr w:type="spellEnd"/>
      <w:r w:rsidRPr="00F11A1D">
        <w:rPr>
          <w:rFonts w:ascii="Arial" w:hAnsi="Arial" w:cs="Arial"/>
          <w:lang w:val="en-ID"/>
        </w:rPr>
        <w:t xml:space="preserve"> District, East Lombok Regency, West Nusa Tenggara Province. Indonesia (</w:t>
      </w:r>
      <w:r w:rsidRPr="000066C6">
        <w:rPr>
          <w:rFonts w:ascii="Arial" w:hAnsi="Arial" w:cs="Arial"/>
          <w:lang w:val="en-ID"/>
        </w:rPr>
        <w:t>Fig</w:t>
      </w:r>
      <w:r w:rsidR="000066C6" w:rsidRPr="000066C6">
        <w:rPr>
          <w:rFonts w:ascii="Arial" w:hAnsi="Arial" w:cs="Arial"/>
          <w:lang w:val="en-ID"/>
        </w:rPr>
        <w:t>.</w:t>
      </w:r>
      <w:r w:rsidRPr="00F11A1D">
        <w:rPr>
          <w:rFonts w:ascii="Arial" w:hAnsi="Arial" w:cs="Arial"/>
          <w:lang w:val="en-ID"/>
        </w:rPr>
        <w:t xml:space="preserve"> 1). Ekas Bay is one of the lobster aquaculture development areas and is one of the lobster seed producing locations in Indonesia. Lobster farming activities carried out in Ekas Bay using a floating net cage (</w:t>
      </w:r>
      <w:r w:rsidR="00EC04B8">
        <w:rPr>
          <w:rFonts w:ascii="Arial" w:hAnsi="Arial" w:cs="Arial"/>
          <w:lang w:val="en-ID"/>
        </w:rPr>
        <w:t>FNC</w:t>
      </w:r>
      <w:r w:rsidRPr="00F11A1D">
        <w:rPr>
          <w:rFonts w:ascii="Arial" w:hAnsi="Arial" w:cs="Arial"/>
          <w:lang w:val="en-ID"/>
        </w:rPr>
        <w:t xml:space="preserve">) system. This study uses an experimental method with 3 repetitions with the location of seaweed cultivation floating raft system around the </w:t>
      </w:r>
      <w:r w:rsidR="00EC04B8">
        <w:rPr>
          <w:rFonts w:ascii="Arial" w:hAnsi="Arial" w:cs="Arial"/>
          <w:lang w:val="en-ID"/>
        </w:rPr>
        <w:t>FNC</w:t>
      </w:r>
      <w:r w:rsidRPr="00F11A1D">
        <w:rPr>
          <w:rFonts w:ascii="Arial" w:hAnsi="Arial" w:cs="Arial"/>
          <w:lang w:val="en-ID"/>
        </w:rPr>
        <w:t xml:space="preserve"> system cultivation activities placed at a distance of 40 meters from </w:t>
      </w:r>
      <w:r w:rsidR="00EC04B8">
        <w:rPr>
          <w:rFonts w:ascii="Arial" w:hAnsi="Arial" w:cs="Arial"/>
          <w:lang w:val="en-ID"/>
        </w:rPr>
        <w:t>FNC</w:t>
      </w:r>
      <w:r w:rsidRPr="00F11A1D">
        <w:rPr>
          <w:rFonts w:ascii="Arial" w:hAnsi="Arial" w:cs="Arial"/>
          <w:lang w:val="en-ID"/>
        </w:rPr>
        <w:t xml:space="preserve"> in the north (</w:t>
      </w:r>
      <w:r w:rsidR="0055706A">
        <w:rPr>
          <w:rFonts w:ascii="Arial" w:hAnsi="Arial" w:cs="Arial"/>
          <w:lang w:val="en-ID"/>
        </w:rPr>
        <w:t>N</w:t>
      </w:r>
      <w:r w:rsidRPr="00F11A1D">
        <w:rPr>
          <w:rFonts w:ascii="Arial" w:hAnsi="Arial" w:cs="Arial"/>
          <w:lang w:val="en-ID"/>
        </w:rPr>
        <w:t>), in the south (S), in the east (</w:t>
      </w:r>
      <w:r w:rsidR="0055706A">
        <w:rPr>
          <w:rFonts w:ascii="Arial" w:hAnsi="Arial" w:cs="Arial"/>
          <w:lang w:val="en-ID"/>
        </w:rPr>
        <w:t>E</w:t>
      </w:r>
      <w:r w:rsidRPr="00F11A1D">
        <w:rPr>
          <w:rFonts w:ascii="Arial" w:hAnsi="Arial" w:cs="Arial"/>
          <w:lang w:val="en-ID"/>
        </w:rPr>
        <w:t>), in the west (</w:t>
      </w:r>
      <w:r w:rsidR="0055706A">
        <w:rPr>
          <w:rFonts w:ascii="Arial" w:hAnsi="Arial" w:cs="Arial"/>
          <w:lang w:val="en-ID"/>
        </w:rPr>
        <w:t>W</w:t>
      </w:r>
      <w:r w:rsidRPr="00F11A1D">
        <w:rPr>
          <w:rFonts w:ascii="Arial" w:hAnsi="Arial" w:cs="Arial"/>
          <w:lang w:val="en-ID"/>
        </w:rPr>
        <w:t xml:space="preserve">) and floating rafts at a distance of 250 meters from </w:t>
      </w:r>
      <w:r w:rsidR="00EC04B8">
        <w:rPr>
          <w:rFonts w:ascii="Arial" w:hAnsi="Arial" w:cs="Arial"/>
          <w:lang w:val="en-ID"/>
        </w:rPr>
        <w:t>FNC</w:t>
      </w:r>
      <w:r w:rsidRPr="00F11A1D">
        <w:rPr>
          <w:rFonts w:ascii="Arial" w:hAnsi="Arial" w:cs="Arial"/>
          <w:lang w:val="en-ID"/>
        </w:rPr>
        <w:t xml:space="preserve"> as a control (</w:t>
      </w:r>
      <w:r w:rsidR="0055706A">
        <w:rPr>
          <w:rFonts w:ascii="Arial" w:hAnsi="Arial" w:cs="Arial"/>
          <w:lang w:val="en-ID"/>
        </w:rPr>
        <w:t>C</w:t>
      </w:r>
      <w:r w:rsidRPr="00F11A1D">
        <w:rPr>
          <w:rFonts w:ascii="Arial" w:hAnsi="Arial" w:cs="Arial"/>
          <w:lang w:val="en-ID"/>
        </w:rPr>
        <w:t>).</w:t>
      </w:r>
    </w:p>
    <w:p w14:paraId="70168553" w14:textId="77777777" w:rsidR="00F11A1D" w:rsidRDefault="00F11A1D" w:rsidP="00F11A1D">
      <w:pPr>
        <w:spacing w:line="360" w:lineRule="auto"/>
        <w:jc w:val="center"/>
        <w:rPr>
          <w:sz w:val="24"/>
          <w:szCs w:val="24"/>
          <w:lang w:val="fi-FI"/>
        </w:rPr>
      </w:pPr>
      <w:bookmarkStart w:id="1" w:name="_Toc181740052"/>
      <w:r>
        <w:rPr>
          <w:noProof/>
          <w:sz w:val="24"/>
          <w:szCs w:val="24"/>
          <w:lang w:val="fi-FI"/>
        </w:rPr>
        <w:drawing>
          <wp:inline distT="0" distB="0" distL="0" distR="0" wp14:anchorId="02442194" wp14:editId="0AC8CC90">
            <wp:extent cx="4643252" cy="3285994"/>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KASI KJA_27 Juni 2025_ingeris_3.jpg"/>
                    <pic:cNvPicPr/>
                  </pic:nvPicPr>
                  <pic:blipFill>
                    <a:blip r:embed="rId14">
                      <a:extLst>
                        <a:ext uri="{28A0092B-C50C-407E-A947-70E740481C1C}">
                          <a14:useLocalDpi xmlns:a14="http://schemas.microsoft.com/office/drawing/2010/main" val="0"/>
                        </a:ext>
                      </a:extLst>
                    </a:blip>
                    <a:stretch>
                      <a:fillRect/>
                    </a:stretch>
                  </pic:blipFill>
                  <pic:spPr>
                    <a:xfrm>
                      <a:off x="0" y="0"/>
                      <a:ext cx="4655030" cy="3294329"/>
                    </a:xfrm>
                    <a:prstGeom prst="rect">
                      <a:avLst/>
                    </a:prstGeom>
                  </pic:spPr>
                </pic:pic>
              </a:graphicData>
            </a:graphic>
          </wp:inline>
        </w:drawing>
      </w:r>
    </w:p>
    <w:p w14:paraId="2B05BE95" w14:textId="22704F94" w:rsidR="00F11A1D" w:rsidRPr="00F11A1D" w:rsidRDefault="00F11A1D" w:rsidP="00F11A1D">
      <w:pPr>
        <w:ind w:firstLine="567"/>
        <w:jc w:val="center"/>
        <w:rPr>
          <w:rFonts w:ascii="Arial" w:hAnsi="Arial" w:cs="Arial"/>
          <w:lang w:val="en-ID"/>
        </w:rPr>
      </w:pPr>
      <w:r w:rsidRPr="000066C6">
        <w:rPr>
          <w:rFonts w:ascii="Arial" w:hAnsi="Arial" w:cs="Arial"/>
          <w:lang w:val="en-ID"/>
        </w:rPr>
        <w:t>Fig</w:t>
      </w:r>
      <w:r w:rsidR="000066C6">
        <w:rPr>
          <w:rFonts w:ascii="Arial" w:hAnsi="Arial" w:cs="Arial"/>
          <w:lang w:val="en-ID"/>
        </w:rPr>
        <w:t xml:space="preserve">. </w:t>
      </w:r>
      <w:r w:rsidRPr="00F11A1D">
        <w:rPr>
          <w:rFonts w:ascii="Arial" w:hAnsi="Arial" w:cs="Arial"/>
          <w:lang w:val="en-ID"/>
        </w:rPr>
        <w:t>1</w:t>
      </w:r>
      <w:r w:rsidRPr="00F11A1D">
        <w:rPr>
          <w:rFonts w:ascii="Arial" w:hAnsi="Arial" w:cs="Arial"/>
          <w:lang w:val="fi-FI"/>
        </w:rPr>
        <w:t xml:space="preserve">.  </w:t>
      </w:r>
      <w:r w:rsidRPr="00F11A1D">
        <w:rPr>
          <w:rFonts w:ascii="Arial" w:hAnsi="Arial" w:cs="Arial"/>
          <w:lang w:val="en-ID"/>
        </w:rPr>
        <w:t>Research locations and seaweed farming sites in East Lombok Regency, West Nusa Tenggara Province, Indonesia</w:t>
      </w:r>
    </w:p>
    <w:p w14:paraId="166D36AB" w14:textId="77777777" w:rsidR="00F11A1D" w:rsidRPr="005D3D40" w:rsidRDefault="00F11A1D" w:rsidP="00F11A1D">
      <w:pPr>
        <w:tabs>
          <w:tab w:val="left" w:pos="2011"/>
          <w:tab w:val="center" w:pos="3970"/>
        </w:tabs>
        <w:spacing w:line="360" w:lineRule="auto"/>
        <w:jc w:val="both"/>
        <w:rPr>
          <w:rFonts w:ascii="Arial" w:hAnsi="Arial" w:cs="Arial"/>
          <w:noProof/>
          <w:lang w:val="fi-FI"/>
        </w:rPr>
      </w:pPr>
    </w:p>
    <w:p w14:paraId="76D6FE1B" w14:textId="77777777" w:rsidR="00F11A1D" w:rsidRPr="00F11A1D" w:rsidRDefault="00F11A1D" w:rsidP="00F11A1D">
      <w:pPr>
        <w:spacing w:line="360" w:lineRule="auto"/>
        <w:rPr>
          <w:rFonts w:ascii="Arial" w:hAnsi="Arial" w:cs="Arial"/>
          <w:b/>
          <w:bCs/>
          <w:sz w:val="22"/>
          <w:szCs w:val="22"/>
          <w:lang w:val="en-ID"/>
        </w:rPr>
      </w:pPr>
      <w:bookmarkStart w:id="2" w:name="_Hlk198649891"/>
      <w:bookmarkEnd w:id="0"/>
      <w:bookmarkEnd w:id="1"/>
      <w:r w:rsidRPr="00F11A1D">
        <w:rPr>
          <w:rFonts w:ascii="Arial" w:hAnsi="Arial" w:cs="Arial"/>
          <w:b/>
          <w:bCs/>
          <w:sz w:val="22"/>
          <w:szCs w:val="22"/>
          <w:lang w:val="en-ID"/>
        </w:rPr>
        <w:t>Research procedure</w:t>
      </w:r>
    </w:p>
    <w:p w14:paraId="6369064B" w14:textId="0D783B3B" w:rsidR="00860F3B" w:rsidRPr="00F11A1D" w:rsidRDefault="00F11A1D" w:rsidP="00860F3B">
      <w:pPr>
        <w:spacing w:line="360" w:lineRule="auto"/>
        <w:ind w:firstLine="567"/>
        <w:jc w:val="both"/>
        <w:rPr>
          <w:rFonts w:ascii="Arial" w:hAnsi="Arial" w:cs="Arial"/>
          <w:lang w:val="en-ID"/>
        </w:rPr>
      </w:pPr>
      <w:bookmarkStart w:id="3" w:name="_Hlk198650022"/>
      <w:r w:rsidRPr="00F11A1D">
        <w:rPr>
          <w:rFonts w:ascii="Arial" w:hAnsi="Arial" w:cs="Arial"/>
          <w:lang w:val="en-ID"/>
        </w:rPr>
        <w:t xml:space="preserve">The seaweed cultivation method used in this study is the floating raft method, where the binding of each clump of seaweed seeds on the </w:t>
      </w:r>
      <w:proofErr w:type="spellStart"/>
      <w:r w:rsidRPr="00F11A1D">
        <w:rPr>
          <w:rFonts w:ascii="Arial" w:hAnsi="Arial" w:cs="Arial"/>
          <w:lang w:val="en-ID"/>
        </w:rPr>
        <w:t>ris</w:t>
      </w:r>
      <w:proofErr w:type="spellEnd"/>
      <w:r w:rsidRPr="00F11A1D">
        <w:rPr>
          <w:rFonts w:ascii="Arial" w:hAnsi="Arial" w:cs="Arial"/>
          <w:lang w:val="en-ID"/>
        </w:rPr>
        <w:t xml:space="preserve"> rope or stretch rope. The </w:t>
      </w:r>
      <w:proofErr w:type="spellStart"/>
      <w:r w:rsidRPr="00F11A1D">
        <w:rPr>
          <w:rFonts w:ascii="Arial" w:hAnsi="Arial" w:cs="Arial"/>
          <w:lang w:val="en-ID"/>
        </w:rPr>
        <w:t>ris</w:t>
      </w:r>
      <w:proofErr w:type="spellEnd"/>
      <w:r w:rsidRPr="00F11A1D">
        <w:rPr>
          <w:rFonts w:ascii="Arial" w:hAnsi="Arial" w:cs="Arial"/>
          <w:lang w:val="en-ID"/>
        </w:rPr>
        <w:t xml:space="preserve"> rope containing the seedlings was then tied to a floating raft made of bamboo. Therefore, the research preparation began with the manufacture of 6 units of floating rafts, where one unit of rafts measuring 10 x 10 m required 5 pieces of bamboo with 9-10 cm dimeter, 315 m of </w:t>
      </w:r>
      <w:proofErr w:type="spellStart"/>
      <w:r w:rsidRPr="00F11A1D">
        <w:rPr>
          <w:rFonts w:ascii="Arial" w:hAnsi="Arial" w:cs="Arial"/>
          <w:lang w:val="en-ID"/>
        </w:rPr>
        <w:t>ris</w:t>
      </w:r>
      <w:proofErr w:type="spellEnd"/>
      <w:r w:rsidRPr="00F11A1D">
        <w:rPr>
          <w:rFonts w:ascii="Arial" w:hAnsi="Arial" w:cs="Arial"/>
          <w:lang w:val="en-ID"/>
        </w:rPr>
        <w:t xml:space="preserve"> rope and 4 anchors. The assembled floating rafts were then taken to the sea to be installed </w:t>
      </w:r>
      <w:r w:rsidRPr="00F11A1D">
        <w:rPr>
          <w:rFonts w:ascii="Arial" w:hAnsi="Arial" w:cs="Arial"/>
          <w:lang w:val="en-ID"/>
        </w:rPr>
        <w:lastRenderedPageBreak/>
        <w:t xml:space="preserve">around the </w:t>
      </w:r>
      <w:r w:rsidR="00EC04B8">
        <w:rPr>
          <w:rFonts w:ascii="Arial" w:hAnsi="Arial" w:cs="Arial"/>
          <w:lang w:val="en-ID"/>
        </w:rPr>
        <w:t>FNC</w:t>
      </w:r>
      <w:r w:rsidRPr="00F11A1D">
        <w:rPr>
          <w:rFonts w:ascii="Arial" w:hAnsi="Arial" w:cs="Arial"/>
          <w:lang w:val="en-ID"/>
        </w:rPr>
        <w:t xml:space="preserve"> location, namely at a distance of about 40 m to the north (</w:t>
      </w:r>
      <w:r w:rsidR="00EC04B8">
        <w:rPr>
          <w:rFonts w:ascii="Arial" w:hAnsi="Arial" w:cs="Arial"/>
          <w:lang w:val="en-ID"/>
        </w:rPr>
        <w:t>N</w:t>
      </w:r>
      <w:r w:rsidRPr="00F11A1D">
        <w:rPr>
          <w:rFonts w:ascii="Arial" w:hAnsi="Arial" w:cs="Arial"/>
          <w:lang w:val="en-ID"/>
        </w:rPr>
        <w:t>), south (S), east (</w:t>
      </w:r>
      <w:r w:rsidR="00EC04B8">
        <w:rPr>
          <w:rFonts w:ascii="Arial" w:hAnsi="Arial" w:cs="Arial"/>
          <w:lang w:val="en-ID"/>
        </w:rPr>
        <w:t>E</w:t>
      </w:r>
      <w:r w:rsidRPr="00F11A1D">
        <w:rPr>
          <w:rFonts w:ascii="Arial" w:hAnsi="Arial" w:cs="Arial"/>
          <w:lang w:val="en-ID"/>
        </w:rPr>
        <w:t>), west (</w:t>
      </w:r>
      <w:r w:rsidR="00EC04B8">
        <w:rPr>
          <w:rFonts w:ascii="Arial" w:hAnsi="Arial" w:cs="Arial"/>
          <w:lang w:val="en-ID"/>
        </w:rPr>
        <w:t>W</w:t>
      </w:r>
      <w:r w:rsidRPr="00F11A1D">
        <w:rPr>
          <w:rFonts w:ascii="Arial" w:hAnsi="Arial" w:cs="Arial"/>
          <w:lang w:val="en-ID"/>
        </w:rPr>
        <w:t xml:space="preserve">) and at a distance of about 250 m from the </w:t>
      </w:r>
      <w:r w:rsidR="00EC04B8">
        <w:rPr>
          <w:rFonts w:ascii="Arial" w:hAnsi="Arial" w:cs="Arial"/>
          <w:lang w:val="en-ID"/>
        </w:rPr>
        <w:t>FNC</w:t>
      </w:r>
      <w:r w:rsidRPr="00F11A1D">
        <w:rPr>
          <w:rFonts w:ascii="Arial" w:hAnsi="Arial" w:cs="Arial"/>
          <w:lang w:val="en-ID"/>
        </w:rPr>
        <w:t xml:space="preserve"> as a control (</w:t>
      </w:r>
      <w:r w:rsidR="00EC04B8">
        <w:rPr>
          <w:rFonts w:ascii="Arial" w:hAnsi="Arial" w:cs="Arial"/>
          <w:lang w:val="en-ID"/>
        </w:rPr>
        <w:t>C</w:t>
      </w:r>
      <w:r w:rsidRPr="00F11A1D">
        <w:rPr>
          <w:rFonts w:ascii="Arial" w:hAnsi="Arial" w:cs="Arial"/>
          <w:lang w:val="en-ID"/>
        </w:rPr>
        <w:t xml:space="preserve">). One raft unit required 30 </w:t>
      </w:r>
      <w:proofErr w:type="spellStart"/>
      <w:r w:rsidRPr="00F11A1D">
        <w:rPr>
          <w:rFonts w:ascii="Arial" w:hAnsi="Arial" w:cs="Arial"/>
          <w:lang w:val="en-ID"/>
        </w:rPr>
        <w:t>ris</w:t>
      </w:r>
      <w:proofErr w:type="spellEnd"/>
      <w:r w:rsidRPr="00F11A1D">
        <w:rPr>
          <w:rFonts w:ascii="Arial" w:hAnsi="Arial" w:cs="Arial"/>
          <w:lang w:val="en-ID"/>
        </w:rPr>
        <w:t xml:space="preserve"> ropes with 30 cm between the </w:t>
      </w:r>
      <w:proofErr w:type="spellStart"/>
      <w:r w:rsidRPr="00F11A1D">
        <w:rPr>
          <w:rFonts w:ascii="Arial" w:hAnsi="Arial" w:cs="Arial"/>
          <w:lang w:val="en-ID"/>
        </w:rPr>
        <w:t>ris</w:t>
      </w:r>
      <w:proofErr w:type="spellEnd"/>
      <w:r w:rsidRPr="00F11A1D">
        <w:rPr>
          <w:rFonts w:ascii="Arial" w:hAnsi="Arial" w:cs="Arial"/>
          <w:lang w:val="en-ID"/>
        </w:rPr>
        <w:t xml:space="preserve"> ropes. The next preparation activity was the procurement of seaweed seeds, which were obtained around the research site by diving. The seedlings needed for 1 raft unit is about 60 kg, so for 5 rafts with seedlings needed about 600 kg or 6 quintals. One floating raft unit included 3 replicates, where 1 replicate consisted of 10 </w:t>
      </w:r>
      <w:proofErr w:type="spellStart"/>
      <w:r w:rsidRPr="00F11A1D">
        <w:rPr>
          <w:rFonts w:ascii="Arial" w:hAnsi="Arial" w:cs="Arial"/>
          <w:lang w:val="en-ID"/>
        </w:rPr>
        <w:t>ris</w:t>
      </w:r>
      <w:proofErr w:type="spellEnd"/>
      <w:r w:rsidRPr="00F11A1D">
        <w:rPr>
          <w:rFonts w:ascii="Arial" w:hAnsi="Arial" w:cs="Arial"/>
          <w:lang w:val="en-ID"/>
        </w:rPr>
        <w:t xml:space="preserve"> ropes or 400 clumping points of seaweed seedlings. The seaweed cultivation process followed the Indonesian National Standard operational procedures (</w:t>
      </w:r>
      <w:r w:rsidR="00EC04B8">
        <w:rPr>
          <w:rFonts w:ascii="Arial" w:hAnsi="Arial" w:cs="Arial"/>
          <w:lang w:val="en-ID"/>
        </w:rPr>
        <w:t>SOP</w:t>
      </w:r>
      <w:r w:rsidRPr="00F11A1D">
        <w:rPr>
          <w:rFonts w:ascii="Arial" w:hAnsi="Arial" w:cs="Arial"/>
          <w:lang w:val="en-ID"/>
        </w:rPr>
        <w:t xml:space="preserve">, 2010). Maintenance was conducted for 42 days, during which monitoring was </w:t>
      </w:r>
      <w:bookmarkEnd w:id="2"/>
      <w:bookmarkEnd w:id="3"/>
    </w:p>
    <w:p w14:paraId="030C46D3" w14:textId="77777777" w:rsidR="00F11A1D" w:rsidRPr="00F11A1D" w:rsidRDefault="00F11A1D" w:rsidP="00F11A1D">
      <w:pPr>
        <w:spacing w:line="360" w:lineRule="auto"/>
        <w:rPr>
          <w:rFonts w:ascii="Arial" w:hAnsi="Arial" w:cs="Arial"/>
          <w:b/>
          <w:sz w:val="22"/>
          <w:szCs w:val="22"/>
          <w:lang w:val="en-ID"/>
        </w:rPr>
      </w:pPr>
      <w:r w:rsidRPr="00F11A1D">
        <w:rPr>
          <w:rFonts w:ascii="Arial" w:hAnsi="Arial" w:cs="Arial"/>
          <w:b/>
          <w:sz w:val="22"/>
          <w:szCs w:val="22"/>
          <w:lang w:val="en-ID"/>
        </w:rPr>
        <w:t>Data Collection</w:t>
      </w:r>
    </w:p>
    <w:p w14:paraId="39D70420" w14:textId="74BF8E34" w:rsidR="00F11A1D" w:rsidRDefault="00F11A1D" w:rsidP="00860F3B">
      <w:pPr>
        <w:spacing w:line="360" w:lineRule="auto"/>
        <w:ind w:firstLine="720"/>
        <w:jc w:val="both"/>
        <w:rPr>
          <w:rFonts w:ascii="Arial" w:hAnsi="Arial" w:cs="Arial"/>
          <w:lang w:val="en-ID"/>
        </w:rPr>
      </w:pPr>
      <w:r w:rsidRPr="00860F3B">
        <w:rPr>
          <w:rFonts w:ascii="Arial" w:hAnsi="Arial" w:cs="Arial"/>
          <w:lang w:val="en-ID"/>
        </w:rPr>
        <w:t xml:space="preserve">The main parameters measured in this study were absolute growth, specific growth rate, production, absorption rate of nitrogen (N) and phosphorus (P) and water quality including temperature, pH, salinity and oxygen solubility (DO). Data collection for seaweed growth analysis was carried out sampling 3 clumps of each replicate, then weighed using digital scales with 1 g accuracy. Sampling for the analysis of the level of absorption of N and P was done by taking 4 points of seaweed clumps of each treatment on days 0, 21 and 42. Sampling of seaweed tissue was carried out in each treatment as material for the analysis of N and P, then under the Soil Chemistry Laboratory, Faculty of Agriculture, </w:t>
      </w:r>
      <w:proofErr w:type="spellStart"/>
      <w:r w:rsidRPr="00860F3B">
        <w:rPr>
          <w:rFonts w:ascii="Arial" w:hAnsi="Arial" w:cs="Arial"/>
          <w:lang w:val="en-ID"/>
        </w:rPr>
        <w:t>Mataram</w:t>
      </w:r>
      <w:proofErr w:type="spellEnd"/>
      <w:r w:rsidRPr="00860F3B">
        <w:rPr>
          <w:rFonts w:ascii="Arial" w:hAnsi="Arial" w:cs="Arial"/>
          <w:lang w:val="en-ID"/>
        </w:rPr>
        <w:t xml:space="preserve"> University. Determination of N levels in seaweed tissue with the Kjeldahl method and P levels with the wet ignition method (Ramadhan </w:t>
      </w:r>
      <w:r w:rsidRPr="00A56561">
        <w:rPr>
          <w:rFonts w:ascii="Arial" w:hAnsi="Arial" w:cs="Arial"/>
          <w:i/>
          <w:iCs/>
          <w:lang w:val="en-ID"/>
        </w:rPr>
        <w:t>et al</w:t>
      </w:r>
      <w:r w:rsidRPr="00860F3B">
        <w:rPr>
          <w:rFonts w:ascii="Arial" w:hAnsi="Arial" w:cs="Arial"/>
          <w:lang w:val="en-ID"/>
        </w:rPr>
        <w:t xml:space="preserve">., 2017). Water quality measurements were carried out on days 0, 14, 28 and 42, where temperature measurements using a thermometer, pH with pH-meter, salinity with refractometer and DO with DO-meter. Calculation of absolute weight growth and specific growth rate using a modified formula from </w:t>
      </w:r>
      <w:proofErr w:type="spellStart"/>
      <w:r w:rsidRPr="00860F3B">
        <w:rPr>
          <w:rFonts w:ascii="Arial" w:hAnsi="Arial" w:cs="Arial"/>
          <w:lang w:val="en-ID"/>
        </w:rPr>
        <w:t>Cokrowati</w:t>
      </w:r>
      <w:proofErr w:type="spellEnd"/>
      <w:r w:rsidRPr="00860F3B">
        <w:rPr>
          <w:rFonts w:ascii="Arial" w:hAnsi="Arial" w:cs="Arial"/>
          <w:lang w:val="en-ID"/>
        </w:rPr>
        <w:t xml:space="preserve"> </w:t>
      </w:r>
      <w:r w:rsidRPr="00EC04B8">
        <w:rPr>
          <w:rFonts w:ascii="Arial" w:hAnsi="Arial" w:cs="Arial"/>
          <w:i/>
          <w:iCs/>
          <w:lang w:val="en-ID"/>
        </w:rPr>
        <w:t>et al</w:t>
      </w:r>
      <w:r w:rsidRPr="00860F3B">
        <w:rPr>
          <w:rFonts w:ascii="Arial" w:hAnsi="Arial" w:cs="Arial"/>
          <w:lang w:val="en-ID"/>
        </w:rPr>
        <w:t xml:space="preserve">. (2018) and </w:t>
      </w:r>
      <w:proofErr w:type="spellStart"/>
      <w:r w:rsidRPr="00860F3B">
        <w:rPr>
          <w:rFonts w:ascii="Arial" w:hAnsi="Arial" w:cs="Arial"/>
          <w:lang w:val="en-ID"/>
        </w:rPr>
        <w:t>Lutfiati</w:t>
      </w:r>
      <w:proofErr w:type="spellEnd"/>
      <w:r w:rsidRPr="00860F3B">
        <w:rPr>
          <w:rFonts w:ascii="Arial" w:hAnsi="Arial" w:cs="Arial"/>
          <w:lang w:val="en-ID"/>
        </w:rPr>
        <w:t xml:space="preserve"> </w:t>
      </w:r>
      <w:r w:rsidRPr="00EC04B8">
        <w:rPr>
          <w:rFonts w:ascii="Arial" w:hAnsi="Arial" w:cs="Arial"/>
          <w:i/>
          <w:iCs/>
          <w:lang w:val="en-ID"/>
        </w:rPr>
        <w:t>et al</w:t>
      </w:r>
      <w:r w:rsidRPr="00860F3B">
        <w:rPr>
          <w:rFonts w:ascii="Arial" w:hAnsi="Arial" w:cs="Arial"/>
          <w:lang w:val="en-ID"/>
        </w:rPr>
        <w:t xml:space="preserve">. (2022). Seaweed production using a modified formula from </w:t>
      </w:r>
      <w:proofErr w:type="spellStart"/>
      <w:r w:rsidRPr="00860F3B">
        <w:rPr>
          <w:rFonts w:ascii="Arial" w:hAnsi="Arial" w:cs="Arial"/>
          <w:lang w:val="en-ID"/>
        </w:rPr>
        <w:t>Serdiati</w:t>
      </w:r>
      <w:proofErr w:type="spellEnd"/>
      <w:r w:rsidRPr="00860F3B">
        <w:rPr>
          <w:rFonts w:ascii="Arial" w:hAnsi="Arial" w:cs="Arial"/>
          <w:lang w:val="en-ID"/>
        </w:rPr>
        <w:t xml:space="preserve"> &amp; </w:t>
      </w:r>
      <w:proofErr w:type="spellStart"/>
      <w:r w:rsidRPr="00860F3B">
        <w:rPr>
          <w:rFonts w:ascii="Arial" w:hAnsi="Arial" w:cs="Arial"/>
          <w:lang w:val="en-ID"/>
        </w:rPr>
        <w:t>Widiastuti</w:t>
      </w:r>
      <w:proofErr w:type="spellEnd"/>
      <w:r w:rsidRPr="00860F3B">
        <w:rPr>
          <w:rFonts w:ascii="Arial" w:hAnsi="Arial" w:cs="Arial"/>
          <w:lang w:val="en-ID"/>
        </w:rPr>
        <w:t xml:space="preserve"> (2010). While the absorption rate of N and P seaweed </w:t>
      </w:r>
      <w:proofErr w:type="spellStart"/>
      <w:r w:rsidRPr="00860F3B">
        <w:rPr>
          <w:rFonts w:ascii="Arial" w:hAnsi="Arial" w:cs="Arial"/>
          <w:lang w:val="en-ID"/>
        </w:rPr>
        <w:t>analyzed</w:t>
      </w:r>
      <w:proofErr w:type="spellEnd"/>
      <w:r w:rsidRPr="00860F3B">
        <w:rPr>
          <w:rFonts w:ascii="Arial" w:hAnsi="Arial" w:cs="Arial"/>
          <w:lang w:val="en-ID"/>
        </w:rPr>
        <w:t xml:space="preserve"> by the amount of </w:t>
      </w:r>
      <w:proofErr w:type="spellStart"/>
      <w:r w:rsidRPr="00860F3B">
        <w:rPr>
          <w:rFonts w:ascii="Arial" w:hAnsi="Arial" w:cs="Arial"/>
          <w:lang w:val="en-ID"/>
        </w:rPr>
        <w:t>nitroglycerin</w:t>
      </w:r>
      <w:proofErr w:type="spellEnd"/>
      <w:r w:rsidRPr="00860F3B">
        <w:rPr>
          <w:rFonts w:ascii="Arial" w:hAnsi="Arial" w:cs="Arial"/>
          <w:lang w:val="en-ID"/>
        </w:rPr>
        <w:t xml:space="preserve"> </w:t>
      </w:r>
      <w:proofErr w:type="spellStart"/>
      <w:proofErr w:type="gramStart"/>
      <w:r w:rsidRPr="00860F3B">
        <w:rPr>
          <w:rFonts w:ascii="Arial" w:hAnsi="Arial" w:cs="Arial"/>
          <w:lang w:val="en-ID"/>
        </w:rPr>
        <w:t>content.</w:t>
      </w:r>
      <w:r w:rsidR="0074272C">
        <w:rPr>
          <w:rFonts w:ascii="Arial" w:hAnsi="Arial" w:cs="Arial"/>
          <w:lang w:val="en-ID"/>
        </w:rPr>
        <w:t>fhosforus</w:t>
      </w:r>
      <w:proofErr w:type="spellEnd"/>
      <w:proofErr w:type="gramEnd"/>
    </w:p>
    <w:p w14:paraId="0CD7CBAE" w14:textId="77777777" w:rsidR="0074272C" w:rsidRPr="00860F3B" w:rsidRDefault="0074272C" w:rsidP="00860F3B">
      <w:pPr>
        <w:spacing w:line="360" w:lineRule="auto"/>
        <w:ind w:firstLine="720"/>
        <w:jc w:val="both"/>
        <w:rPr>
          <w:rFonts w:ascii="Arial" w:hAnsi="Arial" w:cs="Arial"/>
          <w:lang w:val="en-ID"/>
        </w:rPr>
      </w:pPr>
    </w:p>
    <w:p w14:paraId="08C6083A" w14:textId="77777777" w:rsidR="00F11A1D" w:rsidRPr="00860F3B" w:rsidRDefault="00F11A1D" w:rsidP="00860F3B">
      <w:pPr>
        <w:spacing w:line="360" w:lineRule="auto"/>
        <w:rPr>
          <w:rFonts w:ascii="Arial" w:hAnsi="Arial" w:cs="Arial"/>
          <w:b/>
          <w:sz w:val="22"/>
          <w:szCs w:val="22"/>
          <w:lang w:val="en-ID"/>
        </w:rPr>
      </w:pPr>
      <w:r w:rsidRPr="00860F3B">
        <w:rPr>
          <w:rFonts w:ascii="Arial" w:hAnsi="Arial" w:cs="Arial"/>
          <w:b/>
          <w:sz w:val="22"/>
          <w:szCs w:val="22"/>
          <w:lang w:val="en-ID"/>
        </w:rPr>
        <w:t>Data Analysis</w:t>
      </w:r>
    </w:p>
    <w:p w14:paraId="30363DA3" w14:textId="77777777" w:rsidR="00F11A1D" w:rsidRPr="00860F3B" w:rsidRDefault="00F11A1D" w:rsidP="00860F3B">
      <w:pPr>
        <w:shd w:val="clear" w:color="auto" w:fill="FFFFFF"/>
        <w:spacing w:line="360" w:lineRule="auto"/>
        <w:ind w:firstLine="720"/>
        <w:jc w:val="both"/>
        <w:rPr>
          <w:rFonts w:ascii="Arial" w:hAnsi="Arial" w:cs="Arial"/>
          <w:lang w:val="en-ID"/>
        </w:rPr>
      </w:pPr>
      <w:r w:rsidRPr="00860F3B">
        <w:rPr>
          <w:rFonts w:ascii="Arial" w:hAnsi="Arial" w:cs="Arial"/>
          <w:lang w:val="en-ID"/>
        </w:rPr>
        <w:t xml:space="preserve">Data obtained during the study were </w:t>
      </w:r>
      <w:proofErr w:type="spellStart"/>
      <w:r w:rsidRPr="00860F3B">
        <w:rPr>
          <w:rFonts w:ascii="Arial" w:hAnsi="Arial" w:cs="Arial"/>
          <w:lang w:val="en-ID"/>
        </w:rPr>
        <w:t>analyzed</w:t>
      </w:r>
      <w:proofErr w:type="spellEnd"/>
      <w:r w:rsidRPr="00860F3B">
        <w:rPr>
          <w:rFonts w:ascii="Arial" w:hAnsi="Arial" w:cs="Arial"/>
          <w:lang w:val="en-ID"/>
        </w:rPr>
        <w:t xml:space="preserve"> by analysis of variance (</w:t>
      </w:r>
      <w:proofErr w:type="spellStart"/>
      <w:r w:rsidRPr="00860F3B">
        <w:rPr>
          <w:rFonts w:ascii="Arial" w:hAnsi="Arial" w:cs="Arial"/>
          <w:lang w:val="en-ID"/>
        </w:rPr>
        <w:t>anova</w:t>
      </w:r>
      <w:proofErr w:type="spellEnd"/>
      <w:r w:rsidRPr="00860F3B">
        <w:rPr>
          <w:rFonts w:ascii="Arial" w:hAnsi="Arial" w:cs="Arial"/>
          <w:lang w:val="en-ID"/>
        </w:rPr>
        <w:t xml:space="preserve">) at a real level of 5% to determine the effect of the treatment given to the growth and production of seaweed. If the results of the analysis of variance showed a significant effect then continued with Duncan's test. While data on the level of absorption of N and P, as well as water quality data were </w:t>
      </w:r>
      <w:proofErr w:type="spellStart"/>
      <w:r w:rsidRPr="00860F3B">
        <w:rPr>
          <w:rFonts w:ascii="Arial" w:hAnsi="Arial" w:cs="Arial"/>
          <w:lang w:val="en-ID"/>
        </w:rPr>
        <w:t>analyzed</w:t>
      </w:r>
      <w:proofErr w:type="spellEnd"/>
      <w:r w:rsidRPr="00860F3B">
        <w:rPr>
          <w:rFonts w:ascii="Arial" w:hAnsi="Arial" w:cs="Arial"/>
          <w:lang w:val="en-ID"/>
        </w:rPr>
        <w:t xml:space="preserve"> descriptively in the form of tables and graphs.</w:t>
      </w:r>
    </w:p>
    <w:p w14:paraId="2BE76245" w14:textId="77777777" w:rsidR="00F11A1D" w:rsidRDefault="00F11A1D" w:rsidP="00F11A1D">
      <w:pPr>
        <w:pStyle w:val="Head1"/>
        <w:spacing w:after="0"/>
        <w:jc w:val="both"/>
        <w:rPr>
          <w:rFonts w:ascii="Arial" w:hAnsi="Arial" w:cs="Arial"/>
        </w:rPr>
      </w:pPr>
    </w:p>
    <w:p w14:paraId="66B1B28D" w14:textId="77777777" w:rsidR="00F11A1D" w:rsidRPr="00860F3B" w:rsidRDefault="00F11A1D" w:rsidP="00F11A1D">
      <w:pPr>
        <w:rPr>
          <w:rFonts w:ascii="Arial" w:eastAsiaTheme="majorEastAsia" w:hAnsi="Arial" w:cs="Arial"/>
          <w:b/>
          <w:bCs/>
          <w:sz w:val="22"/>
          <w:szCs w:val="22"/>
          <w:lang w:val="en-ID" w:eastAsia="ja-JP"/>
        </w:rPr>
      </w:pPr>
      <w:r w:rsidRPr="00860F3B">
        <w:rPr>
          <w:rFonts w:ascii="Arial" w:eastAsiaTheme="majorEastAsia" w:hAnsi="Arial" w:cs="Arial"/>
          <w:b/>
          <w:bCs/>
          <w:sz w:val="22"/>
          <w:szCs w:val="22"/>
          <w:lang w:val="en-ID" w:eastAsia="ja-JP"/>
        </w:rPr>
        <w:t>3.RESULTS AND DISCUSSION</w:t>
      </w:r>
    </w:p>
    <w:p w14:paraId="4A1BC1FC" w14:textId="77777777" w:rsidR="00F11A1D" w:rsidRDefault="00F11A1D" w:rsidP="00F11A1D"/>
    <w:p w14:paraId="25EDB691" w14:textId="77777777" w:rsidR="00F11A1D" w:rsidRPr="00860F3B" w:rsidRDefault="00F11A1D" w:rsidP="00F11A1D">
      <w:pPr>
        <w:spacing w:line="360" w:lineRule="auto"/>
        <w:rPr>
          <w:rFonts w:ascii="Arial" w:hAnsi="Arial" w:cs="Arial"/>
          <w:b/>
          <w:bCs/>
        </w:rPr>
      </w:pPr>
      <w:r w:rsidRPr="00860F3B">
        <w:rPr>
          <w:rFonts w:ascii="Arial" w:hAnsi="Arial" w:cs="Arial"/>
          <w:b/>
          <w:bCs/>
        </w:rPr>
        <w:lastRenderedPageBreak/>
        <w:t>3.1. Results</w:t>
      </w:r>
    </w:p>
    <w:p w14:paraId="2B81A03C" w14:textId="77777777" w:rsidR="00F11A1D" w:rsidRPr="00860F3B" w:rsidRDefault="00F11A1D" w:rsidP="00F11A1D">
      <w:pPr>
        <w:spacing w:line="360" w:lineRule="auto"/>
        <w:rPr>
          <w:rFonts w:ascii="Arial" w:hAnsi="Arial" w:cs="Arial"/>
          <w:b/>
          <w:bCs/>
          <w:u w:val="single"/>
          <w:lang w:val="en-ID"/>
        </w:rPr>
      </w:pPr>
      <w:r w:rsidRPr="00860F3B">
        <w:rPr>
          <w:rFonts w:ascii="Arial" w:hAnsi="Arial" w:cs="Arial"/>
          <w:b/>
          <w:bCs/>
          <w:u w:val="single"/>
        </w:rPr>
        <w:t xml:space="preserve">3.1.1. </w:t>
      </w:r>
      <w:r w:rsidRPr="00860F3B">
        <w:rPr>
          <w:rFonts w:ascii="Arial" w:hAnsi="Arial" w:cs="Arial"/>
          <w:b/>
          <w:bCs/>
          <w:u w:val="single"/>
          <w:lang w:val="en-ID"/>
        </w:rPr>
        <w:t>Growth</w:t>
      </w:r>
    </w:p>
    <w:p w14:paraId="26ECE32F" w14:textId="1178E443" w:rsidR="00F11A1D" w:rsidRPr="00860F3B" w:rsidRDefault="00F11A1D" w:rsidP="00F11A1D">
      <w:pPr>
        <w:spacing w:line="360" w:lineRule="auto"/>
        <w:ind w:firstLine="720"/>
        <w:jc w:val="both"/>
        <w:rPr>
          <w:rFonts w:ascii="Arial" w:hAnsi="Arial" w:cs="Arial"/>
          <w:lang w:val="en-ID"/>
        </w:rPr>
      </w:pPr>
      <w:r w:rsidRPr="00860F3B">
        <w:rPr>
          <w:rFonts w:ascii="Arial" w:hAnsi="Arial" w:cs="Arial"/>
          <w:lang w:val="en-ID"/>
        </w:rPr>
        <w:t xml:space="preserve">Based on the analysis of variance (ANOVA) obtained that the cultivation of seaweed floating raft system around the cultivation of </w:t>
      </w:r>
      <w:r w:rsidR="00EC04B8">
        <w:rPr>
          <w:rFonts w:ascii="Arial" w:hAnsi="Arial" w:cs="Arial"/>
          <w:lang w:val="en-ID"/>
        </w:rPr>
        <w:t>FNC</w:t>
      </w:r>
      <w:r w:rsidRPr="00860F3B">
        <w:rPr>
          <w:rFonts w:ascii="Arial" w:hAnsi="Arial" w:cs="Arial"/>
          <w:lang w:val="en-ID"/>
        </w:rPr>
        <w:t xml:space="preserve"> system with different locations gives a significant effect (p &lt;0.05) on the absolute growth and specific growth rate of seaweed, G </w:t>
      </w:r>
      <w:r w:rsidRPr="00EC13D1">
        <w:rPr>
          <w:rFonts w:ascii="Arial" w:hAnsi="Arial" w:cs="Arial"/>
          <w:i/>
          <w:iCs/>
          <w:lang w:val="en-ID"/>
        </w:rPr>
        <w:t>verrucosa</w:t>
      </w:r>
      <w:r w:rsidRPr="00860F3B">
        <w:rPr>
          <w:rFonts w:ascii="Arial" w:hAnsi="Arial" w:cs="Arial"/>
          <w:lang w:val="en-ID"/>
        </w:rPr>
        <w:t xml:space="preserve">. Graph absolute growth and specific growth rate based on further test analysis with Duncan method can be seen in </w:t>
      </w:r>
      <w:r w:rsidRPr="000066C6">
        <w:rPr>
          <w:rFonts w:ascii="Arial" w:hAnsi="Arial" w:cs="Arial"/>
          <w:lang w:val="en-ID"/>
        </w:rPr>
        <w:t>Fig</w:t>
      </w:r>
      <w:r w:rsidR="000066C6">
        <w:rPr>
          <w:rFonts w:ascii="Arial" w:hAnsi="Arial" w:cs="Arial"/>
          <w:lang w:val="en-ID"/>
        </w:rPr>
        <w:t>.</w:t>
      </w:r>
      <w:r w:rsidRPr="00860F3B">
        <w:rPr>
          <w:rFonts w:ascii="Arial" w:hAnsi="Arial" w:cs="Arial"/>
          <w:lang w:val="en-ID"/>
        </w:rPr>
        <w:t xml:space="preserve"> 2.</w:t>
      </w:r>
    </w:p>
    <w:p w14:paraId="68D43D31" w14:textId="77777777" w:rsidR="00F11A1D" w:rsidRPr="00860F3B" w:rsidRDefault="00F11A1D" w:rsidP="00F11A1D">
      <w:pPr>
        <w:spacing w:line="360" w:lineRule="auto"/>
        <w:jc w:val="both"/>
        <w:rPr>
          <w:rFonts w:ascii="Arial" w:hAnsi="Arial" w:cs="Arial"/>
          <w:b/>
          <w:bCs/>
        </w:rPr>
      </w:pPr>
      <w:r w:rsidRPr="00860F3B">
        <w:rPr>
          <w:rFonts w:ascii="Arial" w:hAnsi="Arial" w:cs="Arial"/>
          <w:noProof/>
        </w:rPr>
        <w:drawing>
          <wp:inline distT="0" distB="0" distL="0" distR="0" wp14:anchorId="545C60B8" wp14:editId="76F74A59">
            <wp:extent cx="5617029" cy="1862741"/>
            <wp:effectExtent l="0" t="0" r="317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8980" cy="1863388"/>
                    </a:xfrm>
                    <a:prstGeom prst="rect">
                      <a:avLst/>
                    </a:prstGeom>
                    <a:noFill/>
                    <a:ln>
                      <a:noFill/>
                    </a:ln>
                  </pic:spPr>
                </pic:pic>
              </a:graphicData>
            </a:graphic>
          </wp:inline>
        </w:drawing>
      </w:r>
    </w:p>
    <w:p w14:paraId="313C66B4" w14:textId="61BB2A88" w:rsidR="00F11A1D" w:rsidRPr="00860F3B" w:rsidRDefault="000066C6" w:rsidP="00F11A1D">
      <w:pPr>
        <w:jc w:val="center"/>
        <w:rPr>
          <w:rFonts w:ascii="Arial" w:hAnsi="Arial" w:cs="Arial"/>
          <w:lang w:val="en-ID"/>
        </w:rPr>
      </w:pPr>
      <w:r w:rsidRPr="000066C6">
        <w:rPr>
          <w:rFonts w:ascii="Arial" w:hAnsi="Arial" w:cs="Arial"/>
          <w:lang w:val="en-ID"/>
        </w:rPr>
        <w:t>Fig</w:t>
      </w:r>
      <w:r>
        <w:rPr>
          <w:rFonts w:ascii="Arial" w:hAnsi="Arial" w:cs="Arial"/>
          <w:lang w:val="en-ID"/>
        </w:rPr>
        <w:t>.</w:t>
      </w:r>
      <w:r w:rsidR="00F11A1D" w:rsidRPr="00860F3B">
        <w:rPr>
          <w:rFonts w:ascii="Arial" w:hAnsi="Arial" w:cs="Arial"/>
        </w:rPr>
        <w:t xml:space="preserve"> 2. </w:t>
      </w:r>
      <w:r w:rsidR="00F11A1D" w:rsidRPr="00860F3B">
        <w:rPr>
          <w:rFonts w:ascii="Arial" w:hAnsi="Arial" w:cs="Arial"/>
          <w:lang w:val="en-ID"/>
        </w:rPr>
        <w:t xml:space="preserve">Absolute weight growth (a) and specific growth rate (b) of seaweed, G verrucosa cultivated with floating rafts around </w:t>
      </w:r>
      <w:r w:rsidR="0074272C">
        <w:rPr>
          <w:rFonts w:ascii="Arial" w:hAnsi="Arial" w:cs="Arial"/>
          <w:lang w:val="en-ID"/>
        </w:rPr>
        <w:t>FNC</w:t>
      </w:r>
      <w:r w:rsidR="00F11A1D" w:rsidRPr="00860F3B">
        <w:rPr>
          <w:rFonts w:ascii="Arial" w:hAnsi="Arial" w:cs="Arial"/>
          <w:lang w:val="en-ID"/>
        </w:rPr>
        <w:t xml:space="preserve"> and controls</w:t>
      </w:r>
    </w:p>
    <w:p w14:paraId="753CE26D" w14:textId="77777777" w:rsidR="00F11A1D" w:rsidRPr="00860F3B" w:rsidRDefault="00F11A1D" w:rsidP="00F11A1D">
      <w:pPr>
        <w:jc w:val="center"/>
        <w:rPr>
          <w:rFonts w:ascii="Arial" w:hAnsi="Arial" w:cs="Arial"/>
          <w:lang w:val="en-ID"/>
        </w:rPr>
      </w:pPr>
    </w:p>
    <w:p w14:paraId="6B559199" w14:textId="1A916B21" w:rsidR="00F11A1D" w:rsidRPr="00860F3B" w:rsidRDefault="00F11A1D" w:rsidP="00860F3B">
      <w:pPr>
        <w:spacing w:line="360" w:lineRule="auto"/>
        <w:ind w:firstLine="720"/>
        <w:jc w:val="both"/>
        <w:rPr>
          <w:rFonts w:ascii="Arial" w:hAnsi="Arial" w:cs="Arial"/>
          <w:lang w:val="en-ID"/>
        </w:rPr>
      </w:pPr>
      <w:r w:rsidRPr="00860F3B">
        <w:rPr>
          <w:rFonts w:ascii="Arial" w:hAnsi="Arial" w:cs="Arial"/>
          <w:lang w:val="en-ID"/>
        </w:rPr>
        <w:t xml:space="preserve">The absolute growth of seaweed cultivated in the northern part of the </w:t>
      </w:r>
      <w:r w:rsidR="00EC04B8">
        <w:rPr>
          <w:rFonts w:ascii="Arial" w:hAnsi="Arial" w:cs="Arial"/>
          <w:lang w:val="en-ID"/>
        </w:rPr>
        <w:t>FNC</w:t>
      </w:r>
      <w:r w:rsidRPr="00860F3B">
        <w:rPr>
          <w:rFonts w:ascii="Arial" w:hAnsi="Arial" w:cs="Arial"/>
          <w:lang w:val="en-ID"/>
        </w:rPr>
        <w:t xml:space="preserve"> was not significantly different (p&gt;0.05) from that in the southern, eastern and western parts and significantly different (p&lt;0.05) from the absolute growth of seaweed cultivated without </w:t>
      </w:r>
      <w:r w:rsidR="00EC04B8">
        <w:rPr>
          <w:rFonts w:ascii="Arial" w:hAnsi="Arial" w:cs="Arial"/>
          <w:lang w:val="en-ID"/>
        </w:rPr>
        <w:t>FNC</w:t>
      </w:r>
      <w:r w:rsidRPr="00860F3B">
        <w:rPr>
          <w:rFonts w:ascii="Arial" w:hAnsi="Arial" w:cs="Arial"/>
          <w:lang w:val="en-ID"/>
        </w:rPr>
        <w:t xml:space="preserve"> (control). The absolute growth of seaweed cultivated in the southern part of the </w:t>
      </w:r>
      <w:r w:rsidR="00EC04B8">
        <w:rPr>
          <w:rFonts w:ascii="Arial" w:hAnsi="Arial" w:cs="Arial"/>
          <w:lang w:val="en-ID"/>
        </w:rPr>
        <w:t>FNC</w:t>
      </w:r>
      <w:r w:rsidRPr="00860F3B">
        <w:rPr>
          <w:rFonts w:ascii="Arial" w:hAnsi="Arial" w:cs="Arial"/>
          <w:lang w:val="en-ID"/>
        </w:rPr>
        <w:t xml:space="preserve"> was not significantly different (p&gt;0.05) from that in the eastern and western parts and significantly different (p&lt;0.05) from the control (</w:t>
      </w:r>
      <w:r w:rsidR="000066C6" w:rsidRPr="000066C6">
        <w:rPr>
          <w:rFonts w:ascii="Arial" w:hAnsi="Arial" w:cs="Arial"/>
          <w:lang w:val="en-ID"/>
        </w:rPr>
        <w:t>Fig</w:t>
      </w:r>
      <w:r w:rsidR="000066C6">
        <w:rPr>
          <w:rFonts w:ascii="Arial" w:hAnsi="Arial" w:cs="Arial"/>
          <w:lang w:val="en-ID"/>
        </w:rPr>
        <w:t>.</w:t>
      </w:r>
      <w:r w:rsidRPr="00860F3B">
        <w:rPr>
          <w:rFonts w:ascii="Arial" w:hAnsi="Arial" w:cs="Arial"/>
          <w:lang w:val="en-ID"/>
        </w:rPr>
        <w:t xml:space="preserve"> 2a). The specific growth rate of seaweed cultivated in the northern part of the </w:t>
      </w:r>
      <w:r w:rsidR="0074272C">
        <w:rPr>
          <w:rFonts w:ascii="Arial" w:hAnsi="Arial" w:cs="Arial"/>
          <w:lang w:val="en-ID"/>
        </w:rPr>
        <w:t>FNC</w:t>
      </w:r>
      <w:r w:rsidRPr="00860F3B">
        <w:rPr>
          <w:rFonts w:ascii="Arial" w:hAnsi="Arial" w:cs="Arial"/>
          <w:lang w:val="en-ID"/>
        </w:rPr>
        <w:t xml:space="preserve"> was not significantly different (p&gt;0.05) from that in the southern, eastern and western parts and was significantly different (p&lt;0.05) from the specific growth rate of seaweed cultivated without </w:t>
      </w:r>
      <w:r w:rsidR="009455E7">
        <w:rPr>
          <w:rFonts w:ascii="Arial" w:hAnsi="Arial" w:cs="Arial"/>
          <w:lang w:val="en-ID"/>
        </w:rPr>
        <w:t>FNC</w:t>
      </w:r>
      <w:r w:rsidRPr="00860F3B">
        <w:rPr>
          <w:rFonts w:ascii="Arial" w:hAnsi="Arial" w:cs="Arial"/>
          <w:lang w:val="en-ID"/>
        </w:rPr>
        <w:t xml:space="preserve"> (control). The specific growth rate of seaweed cultivated in the southern part of the </w:t>
      </w:r>
      <w:r w:rsidR="0074272C">
        <w:rPr>
          <w:rFonts w:ascii="Arial" w:hAnsi="Arial" w:cs="Arial"/>
          <w:lang w:val="en-ID"/>
        </w:rPr>
        <w:t>FNC</w:t>
      </w:r>
      <w:r w:rsidRPr="00860F3B">
        <w:rPr>
          <w:rFonts w:ascii="Arial" w:hAnsi="Arial" w:cs="Arial"/>
          <w:lang w:val="en-ID"/>
        </w:rPr>
        <w:t xml:space="preserve"> was not significantly different (p&gt;0.05) from that in the eastern and western parts and significantly different (p&lt;0.05) from the control (</w:t>
      </w:r>
      <w:r w:rsidR="000066C6" w:rsidRPr="000066C6">
        <w:rPr>
          <w:rFonts w:ascii="Arial" w:hAnsi="Arial" w:cs="Arial"/>
          <w:lang w:val="en-ID"/>
        </w:rPr>
        <w:t>Fig</w:t>
      </w:r>
      <w:r w:rsidR="000066C6">
        <w:rPr>
          <w:rFonts w:ascii="Arial" w:hAnsi="Arial" w:cs="Arial"/>
          <w:lang w:val="en-ID"/>
        </w:rPr>
        <w:t>.</w:t>
      </w:r>
      <w:r w:rsidRPr="00860F3B">
        <w:rPr>
          <w:rFonts w:ascii="Arial" w:hAnsi="Arial" w:cs="Arial"/>
          <w:lang w:val="en-ID"/>
        </w:rPr>
        <w:t xml:space="preserve"> 2b).</w:t>
      </w:r>
    </w:p>
    <w:p w14:paraId="4CBF7CBD" w14:textId="373FE137" w:rsidR="00F11A1D" w:rsidRPr="00860F3B" w:rsidRDefault="00860F3B" w:rsidP="00860F3B">
      <w:pPr>
        <w:spacing w:line="360" w:lineRule="auto"/>
        <w:rPr>
          <w:rFonts w:ascii="Arial" w:hAnsi="Arial" w:cs="Arial"/>
          <w:b/>
          <w:bCs/>
          <w:u w:val="single"/>
        </w:rPr>
      </w:pPr>
      <w:r>
        <w:rPr>
          <w:rFonts w:ascii="Arial" w:hAnsi="Arial" w:cs="Arial"/>
          <w:b/>
          <w:bCs/>
          <w:u w:val="single"/>
        </w:rPr>
        <w:t>3</w:t>
      </w:r>
      <w:r w:rsidR="00F11A1D" w:rsidRPr="00860F3B">
        <w:rPr>
          <w:rFonts w:ascii="Arial" w:hAnsi="Arial" w:cs="Arial"/>
          <w:b/>
          <w:bCs/>
          <w:u w:val="single"/>
        </w:rPr>
        <w:t>.1.2. Production</w:t>
      </w:r>
    </w:p>
    <w:p w14:paraId="692136B3" w14:textId="74F61DF2" w:rsidR="00F11A1D" w:rsidRPr="00860F3B" w:rsidRDefault="00F11A1D" w:rsidP="00F11A1D">
      <w:pPr>
        <w:spacing w:line="360" w:lineRule="auto"/>
        <w:ind w:firstLine="720"/>
        <w:jc w:val="both"/>
        <w:rPr>
          <w:rFonts w:ascii="Arial" w:hAnsi="Arial" w:cs="Arial"/>
          <w:lang w:val="en-ID"/>
        </w:rPr>
      </w:pPr>
      <w:r w:rsidRPr="00860F3B">
        <w:rPr>
          <w:rFonts w:ascii="Arial" w:hAnsi="Arial" w:cs="Arial"/>
          <w:lang w:val="en-ID"/>
        </w:rPr>
        <w:t xml:space="preserve">Based on the analysis of variance (ANOVA) obtained that the cultivation of seaweed floating raft system around the cultivation of </w:t>
      </w:r>
      <w:r w:rsidR="009455E7">
        <w:rPr>
          <w:rFonts w:ascii="Arial" w:hAnsi="Arial" w:cs="Arial"/>
          <w:lang w:val="en-ID"/>
        </w:rPr>
        <w:t>FNC</w:t>
      </w:r>
      <w:r w:rsidRPr="00860F3B">
        <w:rPr>
          <w:rFonts w:ascii="Arial" w:hAnsi="Arial" w:cs="Arial"/>
          <w:lang w:val="en-ID"/>
        </w:rPr>
        <w:t xml:space="preserve"> system with different locations gives a significant effect (p &lt;0.05) on the production of seaweed, G </w:t>
      </w:r>
      <w:r w:rsidRPr="009455E7">
        <w:rPr>
          <w:rFonts w:ascii="Arial" w:hAnsi="Arial" w:cs="Arial"/>
          <w:i/>
          <w:iCs/>
          <w:lang w:val="en-ID"/>
        </w:rPr>
        <w:t>verrucosa</w:t>
      </w:r>
      <w:r w:rsidRPr="00860F3B">
        <w:rPr>
          <w:rFonts w:ascii="Arial" w:hAnsi="Arial" w:cs="Arial"/>
          <w:lang w:val="en-ID"/>
        </w:rPr>
        <w:t xml:space="preserve">. Production graph based on further test analysis with Duncan method can be seen in </w:t>
      </w:r>
      <w:r w:rsidR="000066C6" w:rsidRPr="000066C6">
        <w:rPr>
          <w:rFonts w:ascii="Arial" w:hAnsi="Arial" w:cs="Arial"/>
          <w:lang w:val="en-ID"/>
        </w:rPr>
        <w:t>Fig</w:t>
      </w:r>
      <w:r w:rsidR="000066C6">
        <w:rPr>
          <w:rFonts w:ascii="Arial" w:hAnsi="Arial" w:cs="Arial"/>
          <w:lang w:val="en-ID"/>
        </w:rPr>
        <w:t>.</w:t>
      </w:r>
      <w:r w:rsidRPr="00860F3B">
        <w:rPr>
          <w:rFonts w:ascii="Arial" w:hAnsi="Arial" w:cs="Arial"/>
          <w:lang w:val="en-ID"/>
        </w:rPr>
        <w:t xml:space="preserve"> 3.</w:t>
      </w:r>
    </w:p>
    <w:p w14:paraId="3A3C5B47" w14:textId="77777777" w:rsidR="00F11A1D" w:rsidRPr="00860F3B" w:rsidRDefault="00F11A1D" w:rsidP="00F11A1D">
      <w:pPr>
        <w:spacing w:line="360" w:lineRule="auto"/>
        <w:jc w:val="center"/>
        <w:rPr>
          <w:rFonts w:ascii="Arial" w:hAnsi="Arial" w:cs="Arial"/>
        </w:rPr>
      </w:pPr>
      <w:r w:rsidRPr="00860F3B">
        <w:rPr>
          <w:rFonts w:ascii="Arial" w:hAnsi="Arial" w:cs="Arial"/>
          <w:noProof/>
        </w:rPr>
        <w:lastRenderedPageBreak/>
        <w:drawing>
          <wp:inline distT="0" distB="0" distL="0" distR="0" wp14:anchorId="07EC2F3F" wp14:editId="0ADD418E">
            <wp:extent cx="3521033" cy="2374640"/>
            <wp:effectExtent l="0" t="0" r="381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4034" cy="2383408"/>
                    </a:xfrm>
                    <a:prstGeom prst="rect">
                      <a:avLst/>
                    </a:prstGeom>
                    <a:noFill/>
                    <a:ln>
                      <a:noFill/>
                    </a:ln>
                  </pic:spPr>
                </pic:pic>
              </a:graphicData>
            </a:graphic>
          </wp:inline>
        </w:drawing>
      </w:r>
    </w:p>
    <w:p w14:paraId="38867C00" w14:textId="759878E2" w:rsidR="00F11A1D" w:rsidRPr="00860F3B" w:rsidRDefault="000066C6" w:rsidP="00F11A1D">
      <w:pPr>
        <w:jc w:val="center"/>
        <w:rPr>
          <w:rFonts w:ascii="Arial" w:hAnsi="Arial" w:cs="Arial"/>
          <w:lang w:val="en-ID"/>
        </w:rPr>
      </w:pPr>
      <w:r w:rsidRPr="000066C6">
        <w:rPr>
          <w:rFonts w:ascii="Arial" w:hAnsi="Arial" w:cs="Arial"/>
          <w:lang w:val="en-ID"/>
        </w:rPr>
        <w:t>Fig</w:t>
      </w:r>
      <w:r>
        <w:rPr>
          <w:rFonts w:ascii="Arial" w:hAnsi="Arial" w:cs="Arial"/>
          <w:lang w:val="en-ID"/>
        </w:rPr>
        <w:t>.</w:t>
      </w:r>
      <w:r w:rsidR="00F11A1D" w:rsidRPr="00860F3B">
        <w:rPr>
          <w:rFonts w:ascii="Arial" w:hAnsi="Arial" w:cs="Arial"/>
        </w:rPr>
        <w:t xml:space="preserve"> 3. </w:t>
      </w:r>
      <w:r w:rsidR="00F11A1D" w:rsidRPr="00860F3B">
        <w:rPr>
          <w:rFonts w:ascii="Arial" w:hAnsi="Arial" w:cs="Arial"/>
          <w:lang w:val="en-ID"/>
        </w:rPr>
        <w:t xml:space="preserve">Production of seaweed, G </w:t>
      </w:r>
      <w:r w:rsidR="00F11A1D" w:rsidRPr="009455E7">
        <w:rPr>
          <w:rFonts w:ascii="Arial" w:hAnsi="Arial" w:cs="Arial"/>
          <w:i/>
          <w:iCs/>
          <w:lang w:val="en-ID"/>
        </w:rPr>
        <w:t>verrucosa</w:t>
      </w:r>
      <w:r w:rsidR="00F11A1D" w:rsidRPr="00860F3B">
        <w:rPr>
          <w:rFonts w:ascii="Arial" w:hAnsi="Arial" w:cs="Arial"/>
          <w:lang w:val="en-ID"/>
        </w:rPr>
        <w:t xml:space="preserve"> cultivated with floating rafts around </w:t>
      </w:r>
      <w:r w:rsidR="009455E7">
        <w:rPr>
          <w:rFonts w:ascii="Arial" w:hAnsi="Arial" w:cs="Arial"/>
          <w:lang w:val="en-ID"/>
        </w:rPr>
        <w:t>FNC</w:t>
      </w:r>
      <w:r w:rsidR="00F11A1D" w:rsidRPr="00860F3B">
        <w:rPr>
          <w:rFonts w:ascii="Arial" w:hAnsi="Arial" w:cs="Arial"/>
          <w:lang w:val="en-ID"/>
        </w:rPr>
        <w:t xml:space="preserve"> and controls</w:t>
      </w:r>
    </w:p>
    <w:p w14:paraId="1A4FD13D" w14:textId="77777777" w:rsidR="00F11A1D" w:rsidRPr="00860F3B" w:rsidRDefault="00F11A1D" w:rsidP="00F11A1D">
      <w:pPr>
        <w:jc w:val="center"/>
        <w:rPr>
          <w:rFonts w:ascii="Arial" w:hAnsi="Arial" w:cs="Arial"/>
        </w:rPr>
      </w:pPr>
    </w:p>
    <w:p w14:paraId="23D80C8A" w14:textId="5D13C380" w:rsidR="00860F3B" w:rsidRDefault="00F11A1D" w:rsidP="00860F3B">
      <w:pPr>
        <w:spacing w:line="360" w:lineRule="auto"/>
        <w:ind w:firstLine="426"/>
        <w:jc w:val="both"/>
        <w:rPr>
          <w:rFonts w:ascii="Arial" w:hAnsi="Arial" w:cs="Arial"/>
          <w:lang w:val="en-ID"/>
        </w:rPr>
      </w:pPr>
      <w:r w:rsidRPr="00860F3B">
        <w:rPr>
          <w:rFonts w:ascii="Arial" w:hAnsi="Arial" w:cs="Arial"/>
          <w:lang w:val="en-ID"/>
        </w:rPr>
        <w:t xml:space="preserve">The production of seaweed cultivated in the northern part of the </w:t>
      </w:r>
      <w:r w:rsidR="009455E7">
        <w:rPr>
          <w:rFonts w:ascii="Arial" w:hAnsi="Arial" w:cs="Arial"/>
          <w:lang w:val="en-ID"/>
        </w:rPr>
        <w:t>FNC</w:t>
      </w:r>
      <w:r w:rsidRPr="00860F3B">
        <w:rPr>
          <w:rFonts w:ascii="Arial" w:hAnsi="Arial" w:cs="Arial"/>
          <w:lang w:val="en-ID"/>
        </w:rPr>
        <w:t xml:space="preserve"> was not significantly different (p&gt;0.05) from that in the southern, eastern and western parts and significantly different (p&lt;0.05) from the absolute growth of seaweed cultivated without </w:t>
      </w:r>
      <w:r w:rsidR="009455E7">
        <w:rPr>
          <w:rFonts w:ascii="Arial" w:hAnsi="Arial" w:cs="Arial"/>
          <w:lang w:val="en-ID"/>
        </w:rPr>
        <w:t>FNC</w:t>
      </w:r>
      <w:r w:rsidRPr="00860F3B">
        <w:rPr>
          <w:rFonts w:ascii="Arial" w:hAnsi="Arial" w:cs="Arial"/>
          <w:lang w:val="en-ID"/>
        </w:rPr>
        <w:t xml:space="preserve"> (control). Production of seaweed cultivated in the southern part of the </w:t>
      </w:r>
      <w:r w:rsidR="009455E7">
        <w:rPr>
          <w:rFonts w:ascii="Arial" w:hAnsi="Arial" w:cs="Arial"/>
          <w:lang w:val="en-ID"/>
        </w:rPr>
        <w:t>FNC</w:t>
      </w:r>
      <w:r w:rsidRPr="00860F3B">
        <w:rPr>
          <w:rFonts w:ascii="Arial" w:hAnsi="Arial" w:cs="Arial"/>
          <w:lang w:val="en-ID"/>
        </w:rPr>
        <w:t xml:space="preserve"> was not significantly different (p&gt;0.05) from that in the eastern and western parts and significantly different (p&lt;0.05) from the control (</w:t>
      </w:r>
      <w:r w:rsidR="000066C6" w:rsidRPr="000066C6">
        <w:rPr>
          <w:rFonts w:ascii="Arial" w:hAnsi="Arial" w:cs="Arial"/>
          <w:lang w:val="en-ID"/>
        </w:rPr>
        <w:t>Fig</w:t>
      </w:r>
      <w:r w:rsidR="000066C6">
        <w:rPr>
          <w:rFonts w:ascii="Arial" w:hAnsi="Arial" w:cs="Arial"/>
          <w:lang w:val="en-ID"/>
        </w:rPr>
        <w:t>.</w:t>
      </w:r>
      <w:r w:rsidRPr="00860F3B">
        <w:rPr>
          <w:rFonts w:ascii="Arial" w:hAnsi="Arial" w:cs="Arial"/>
          <w:lang w:val="en-ID"/>
        </w:rPr>
        <w:t xml:space="preserve"> 3).</w:t>
      </w:r>
    </w:p>
    <w:p w14:paraId="6244D7CB" w14:textId="77777777" w:rsidR="00A56561" w:rsidRPr="00860F3B" w:rsidRDefault="00A56561" w:rsidP="00860F3B">
      <w:pPr>
        <w:spacing w:line="360" w:lineRule="auto"/>
        <w:ind w:firstLine="426"/>
        <w:jc w:val="both"/>
        <w:rPr>
          <w:rFonts w:ascii="Arial" w:hAnsi="Arial" w:cs="Arial"/>
          <w:lang w:val="en-ID"/>
        </w:rPr>
      </w:pPr>
    </w:p>
    <w:p w14:paraId="094DFFD4" w14:textId="2FE703B8" w:rsidR="00A56561" w:rsidRPr="00860F3B" w:rsidRDefault="00860F3B" w:rsidP="00F11A1D">
      <w:pPr>
        <w:spacing w:line="360" w:lineRule="auto"/>
        <w:jc w:val="both"/>
        <w:rPr>
          <w:rFonts w:ascii="Arial" w:hAnsi="Arial" w:cs="Arial"/>
          <w:b/>
          <w:bCs/>
          <w:u w:val="single"/>
          <w:lang w:val="en-ID"/>
        </w:rPr>
      </w:pPr>
      <w:r>
        <w:rPr>
          <w:rFonts w:ascii="Arial" w:hAnsi="Arial" w:cs="Arial"/>
          <w:b/>
          <w:bCs/>
          <w:u w:val="single"/>
        </w:rPr>
        <w:t>3</w:t>
      </w:r>
      <w:r w:rsidR="00F11A1D" w:rsidRPr="00860F3B">
        <w:rPr>
          <w:rFonts w:ascii="Arial" w:hAnsi="Arial" w:cs="Arial"/>
          <w:b/>
          <w:bCs/>
          <w:u w:val="single"/>
        </w:rPr>
        <w:t>.1.3</w:t>
      </w:r>
      <w:r w:rsidR="00F11A1D" w:rsidRPr="00860F3B">
        <w:rPr>
          <w:rFonts w:ascii="Arial" w:hAnsi="Arial" w:cs="Arial"/>
          <w:b/>
          <w:bCs/>
          <w:u w:val="single"/>
          <w:lang w:val="en-ID"/>
        </w:rPr>
        <w:t>.  N and P Absorption Rate</w:t>
      </w:r>
    </w:p>
    <w:p w14:paraId="3E87890B" w14:textId="5EC6E585" w:rsidR="00F11A1D" w:rsidRPr="00860F3B" w:rsidRDefault="00F11A1D" w:rsidP="00F11A1D">
      <w:pPr>
        <w:spacing w:line="360" w:lineRule="auto"/>
        <w:ind w:firstLine="720"/>
        <w:jc w:val="both"/>
        <w:rPr>
          <w:rFonts w:ascii="Arial" w:hAnsi="Arial" w:cs="Arial"/>
          <w:lang w:val="en-ID"/>
        </w:rPr>
      </w:pPr>
      <w:r w:rsidRPr="00860F3B">
        <w:rPr>
          <w:rFonts w:ascii="Arial" w:hAnsi="Arial" w:cs="Arial"/>
          <w:lang w:val="en-ID"/>
        </w:rPr>
        <w:t xml:space="preserve">The results of testing the content of N and P in seaweed tissue, G </w:t>
      </w:r>
      <w:r w:rsidRPr="009455E7">
        <w:rPr>
          <w:rFonts w:ascii="Arial" w:hAnsi="Arial" w:cs="Arial"/>
          <w:i/>
          <w:iCs/>
          <w:lang w:val="en-ID"/>
        </w:rPr>
        <w:t>verrucosa</w:t>
      </w:r>
      <w:r w:rsidRPr="00860F3B">
        <w:rPr>
          <w:rFonts w:ascii="Arial" w:hAnsi="Arial" w:cs="Arial"/>
          <w:lang w:val="en-ID"/>
        </w:rPr>
        <w:t xml:space="preserve"> at the beginning (day 0), middle (day 21) and the end of maintenance (day 42) can be seen in </w:t>
      </w:r>
      <w:r w:rsidR="000066C6" w:rsidRPr="000066C6">
        <w:rPr>
          <w:rFonts w:ascii="Arial" w:hAnsi="Arial" w:cs="Arial"/>
          <w:lang w:val="en-ID"/>
        </w:rPr>
        <w:t>Fig</w:t>
      </w:r>
      <w:r w:rsidR="000066C6">
        <w:rPr>
          <w:rFonts w:ascii="Arial" w:hAnsi="Arial" w:cs="Arial"/>
          <w:lang w:val="en-ID"/>
        </w:rPr>
        <w:t>.</w:t>
      </w:r>
      <w:r w:rsidRPr="00860F3B">
        <w:rPr>
          <w:rFonts w:ascii="Arial" w:hAnsi="Arial" w:cs="Arial"/>
          <w:lang w:val="en-ID"/>
        </w:rPr>
        <w:t xml:space="preserve"> 4.</w:t>
      </w:r>
    </w:p>
    <w:p w14:paraId="70A130C0" w14:textId="77777777" w:rsidR="00F11A1D" w:rsidRPr="00860F3B" w:rsidRDefault="00F11A1D" w:rsidP="00F11A1D">
      <w:pPr>
        <w:spacing w:line="360" w:lineRule="auto"/>
        <w:jc w:val="both"/>
        <w:rPr>
          <w:rFonts w:ascii="Arial" w:hAnsi="Arial" w:cs="Arial"/>
        </w:rPr>
      </w:pPr>
      <w:r w:rsidRPr="00860F3B">
        <w:rPr>
          <w:rFonts w:ascii="Arial" w:hAnsi="Arial" w:cs="Arial"/>
          <w:noProof/>
        </w:rPr>
        <w:drawing>
          <wp:inline distT="0" distB="0" distL="0" distR="0" wp14:anchorId="6528AADE" wp14:editId="642FEF06">
            <wp:extent cx="5943600" cy="23526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352675"/>
                    </a:xfrm>
                    <a:prstGeom prst="rect">
                      <a:avLst/>
                    </a:prstGeom>
                    <a:noFill/>
                    <a:ln>
                      <a:noFill/>
                    </a:ln>
                  </pic:spPr>
                </pic:pic>
              </a:graphicData>
            </a:graphic>
          </wp:inline>
        </w:drawing>
      </w:r>
    </w:p>
    <w:p w14:paraId="72D83A12" w14:textId="6FEC04F1" w:rsidR="00F11A1D" w:rsidRPr="00860F3B" w:rsidRDefault="000066C6" w:rsidP="00F11A1D">
      <w:pPr>
        <w:jc w:val="center"/>
        <w:rPr>
          <w:rFonts w:ascii="Arial" w:eastAsia="Lucida Sans Unicode" w:hAnsi="Arial" w:cs="Arial"/>
          <w:lang w:val="en-ID"/>
        </w:rPr>
      </w:pPr>
      <w:r w:rsidRPr="000066C6">
        <w:rPr>
          <w:rFonts w:ascii="Arial" w:hAnsi="Arial" w:cs="Arial"/>
          <w:lang w:val="en-ID"/>
        </w:rPr>
        <w:lastRenderedPageBreak/>
        <w:t>Fig</w:t>
      </w:r>
      <w:r>
        <w:rPr>
          <w:rFonts w:ascii="Arial" w:hAnsi="Arial" w:cs="Arial"/>
          <w:lang w:val="en-ID"/>
        </w:rPr>
        <w:t>.</w:t>
      </w:r>
      <w:r w:rsidR="00F11A1D" w:rsidRPr="00860F3B">
        <w:rPr>
          <w:rFonts w:ascii="Arial" w:eastAsia="Lucida Sans Unicode" w:hAnsi="Arial" w:cs="Arial"/>
        </w:rPr>
        <w:t xml:space="preserve"> 4. </w:t>
      </w:r>
      <w:r w:rsidR="00F11A1D" w:rsidRPr="00860F3B">
        <w:rPr>
          <w:rFonts w:ascii="Arial" w:eastAsia="Lucida Sans Unicode" w:hAnsi="Arial" w:cs="Arial"/>
          <w:lang w:val="en-ID"/>
        </w:rPr>
        <w:t xml:space="preserve">Nitrogen and phosphorus content of seaweed, G. </w:t>
      </w:r>
      <w:r w:rsidR="00F11A1D" w:rsidRPr="009455E7">
        <w:rPr>
          <w:rFonts w:ascii="Arial" w:eastAsia="Lucida Sans Unicode" w:hAnsi="Arial" w:cs="Arial"/>
          <w:i/>
          <w:iCs/>
          <w:lang w:val="en-ID"/>
        </w:rPr>
        <w:t>verrucosa</w:t>
      </w:r>
      <w:r w:rsidR="00F11A1D" w:rsidRPr="00860F3B">
        <w:rPr>
          <w:rFonts w:ascii="Arial" w:eastAsia="Lucida Sans Unicode" w:hAnsi="Arial" w:cs="Arial"/>
          <w:lang w:val="en-ID"/>
        </w:rPr>
        <w:t xml:space="preserve"> at the beginning, middle and end of rearing</w:t>
      </w:r>
    </w:p>
    <w:p w14:paraId="6C38BC59" w14:textId="77777777" w:rsidR="00F11A1D" w:rsidRPr="00860F3B" w:rsidRDefault="00F11A1D" w:rsidP="00F11A1D">
      <w:pPr>
        <w:jc w:val="center"/>
        <w:rPr>
          <w:rFonts w:ascii="Arial" w:eastAsia="Lucida Sans Unicode" w:hAnsi="Arial" w:cs="Arial"/>
        </w:rPr>
      </w:pPr>
    </w:p>
    <w:p w14:paraId="579E8D41" w14:textId="0AC15A0C"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 xml:space="preserve">Nitrogen content in seaweed tissue, G. </w:t>
      </w:r>
      <w:r w:rsidRPr="009455E7">
        <w:rPr>
          <w:rFonts w:ascii="Arial" w:eastAsia="Lucida Sans Unicode" w:hAnsi="Arial" w:cs="Arial"/>
          <w:i/>
          <w:iCs/>
          <w:lang w:val="en-ID"/>
        </w:rPr>
        <w:t>verruco</w:t>
      </w:r>
      <w:r w:rsidR="0074272C">
        <w:rPr>
          <w:rFonts w:ascii="Arial" w:eastAsia="Lucida Sans Unicode" w:hAnsi="Arial" w:cs="Arial"/>
          <w:i/>
          <w:iCs/>
          <w:lang w:val="en-ID"/>
        </w:rPr>
        <w:t>s</w:t>
      </w:r>
      <w:r w:rsidRPr="009455E7">
        <w:rPr>
          <w:rFonts w:ascii="Arial" w:eastAsia="Lucida Sans Unicode" w:hAnsi="Arial" w:cs="Arial"/>
          <w:i/>
          <w:iCs/>
          <w:lang w:val="en-ID"/>
        </w:rPr>
        <w:t xml:space="preserve">a </w:t>
      </w:r>
      <w:r w:rsidRPr="00860F3B">
        <w:rPr>
          <w:rFonts w:ascii="Arial" w:eastAsia="Lucida Sans Unicode" w:hAnsi="Arial" w:cs="Arial"/>
          <w:lang w:val="en-ID"/>
        </w:rPr>
        <w:t xml:space="preserve">cultivated on floating rafts around </w:t>
      </w:r>
      <w:r w:rsidR="009455E7">
        <w:rPr>
          <w:rFonts w:ascii="Arial" w:hAnsi="Arial" w:cs="Arial"/>
          <w:lang w:val="en-ID"/>
        </w:rPr>
        <w:t>FNC</w:t>
      </w:r>
      <w:r w:rsidRPr="00860F3B">
        <w:rPr>
          <w:rFonts w:ascii="Arial" w:eastAsia="Lucida Sans Unicode" w:hAnsi="Arial" w:cs="Arial"/>
          <w:lang w:val="en-ID"/>
        </w:rPr>
        <w:t xml:space="preserve"> on day 21 ranged from 3.30 - 4.09 g N/m2 or higher than the control with a nitrogen content of 3.11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On the final day of rearing or day 42, the nitrogen content in seaweed tissue around the </w:t>
      </w:r>
      <w:r w:rsidR="009455E7">
        <w:rPr>
          <w:rFonts w:ascii="Arial" w:hAnsi="Arial" w:cs="Arial"/>
          <w:lang w:val="en-ID"/>
        </w:rPr>
        <w:t>FNC</w:t>
      </w:r>
      <w:r w:rsidRPr="00860F3B">
        <w:rPr>
          <w:rFonts w:ascii="Arial" w:eastAsia="Lucida Sans Unicode" w:hAnsi="Arial" w:cs="Arial"/>
          <w:lang w:val="en-ID"/>
        </w:rPr>
        <w:t xml:space="preserve"> was 4.84 - 5.32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or relatively higher than the control with a nitrogen content of 4.06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w:t>
      </w:r>
      <w:r w:rsidR="000066C6" w:rsidRPr="000066C6">
        <w:rPr>
          <w:rFonts w:ascii="Arial" w:hAnsi="Arial" w:cs="Arial"/>
          <w:lang w:val="en-ID"/>
        </w:rPr>
        <w:t>Fig</w:t>
      </w:r>
      <w:r w:rsidR="000066C6">
        <w:rPr>
          <w:rFonts w:ascii="Arial" w:hAnsi="Arial" w:cs="Arial"/>
          <w:lang w:val="en-ID"/>
        </w:rPr>
        <w:t>.</w:t>
      </w:r>
      <w:r w:rsidRPr="00860F3B">
        <w:rPr>
          <w:rFonts w:ascii="Arial" w:eastAsia="Lucida Sans Unicode" w:hAnsi="Arial" w:cs="Arial"/>
          <w:lang w:val="en-ID"/>
        </w:rPr>
        <w:t xml:space="preserve"> 4a). Phosphorus content in seaweed tissue, G. </w:t>
      </w:r>
      <w:r w:rsidRPr="009455E7">
        <w:rPr>
          <w:rFonts w:ascii="Arial" w:eastAsia="Lucida Sans Unicode" w:hAnsi="Arial" w:cs="Arial"/>
          <w:i/>
          <w:iCs/>
          <w:lang w:val="en-ID"/>
        </w:rPr>
        <w:t>verruco</w:t>
      </w:r>
      <w:r w:rsidR="0074272C">
        <w:rPr>
          <w:rFonts w:ascii="Arial" w:eastAsia="Lucida Sans Unicode" w:hAnsi="Arial" w:cs="Arial"/>
          <w:i/>
          <w:iCs/>
          <w:lang w:val="en-ID"/>
        </w:rPr>
        <w:t>s</w:t>
      </w:r>
      <w:r w:rsidRPr="009455E7">
        <w:rPr>
          <w:rFonts w:ascii="Arial" w:eastAsia="Lucida Sans Unicode" w:hAnsi="Arial" w:cs="Arial"/>
          <w:i/>
          <w:iCs/>
          <w:lang w:val="en-ID"/>
        </w:rPr>
        <w:t>a</w:t>
      </w:r>
      <w:r w:rsidRPr="00860F3B">
        <w:rPr>
          <w:rFonts w:ascii="Arial" w:eastAsia="Lucida Sans Unicode" w:hAnsi="Arial" w:cs="Arial"/>
          <w:lang w:val="en-ID"/>
        </w:rPr>
        <w:t xml:space="preserve"> cultivated on floating rafts around </w:t>
      </w:r>
      <w:r w:rsidR="009455E7">
        <w:rPr>
          <w:rFonts w:ascii="Arial" w:hAnsi="Arial" w:cs="Arial"/>
          <w:lang w:val="en-ID"/>
        </w:rPr>
        <w:t>FNC</w:t>
      </w:r>
      <w:r w:rsidRPr="00860F3B">
        <w:rPr>
          <w:rFonts w:ascii="Arial" w:eastAsia="Lucida Sans Unicode" w:hAnsi="Arial" w:cs="Arial"/>
          <w:lang w:val="en-ID"/>
        </w:rPr>
        <w:t xml:space="preserve"> on day 21 ranged from 0.19 - 0.38 g P/m</w:t>
      </w:r>
      <w:r w:rsidRPr="009455E7">
        <w:rPr>
          <w:rFonts w:ascii="Arial" w:eastAsia="Lucida Sans Unicode" w:hAnsi="Arial" w:cs="Arial"/>
          <w:vertAlign w:val="superscript"/>
          <w:lang w:val="en-ID"/>
        </w:rPr>
        <w:t xml:space="preserve">2 </w:t>
      </w:r>
      <w:r w:rsidRPr="00860F3B">
        <w:rPr>
          <w:rFonts w:ascii="Arial" w:eastAsia="Lucida Sans Unicode" w:hAnsi="Arial" w:cs="Arial"/>
          <w:lang w:val="en-ID"/>
        </w:rPr>
        <w:t xml:space="preserve">or higher than the control with a nitrogen content of 0.20 g P/m2. On the final day of maintenance or day 42, the phosphorus content of seaweed tissue around the </w:t>
      </w:r>
      <w:r w:rsidR="009455E7">
        <w:rPr>
          <w:rFonts w:ascii="Arial" w:hAnsi="Arial" w:cs="Arial"/>
          <w:lang w:val="en-ID"/>
        </w:rPr>
        <w:t>FNC</w:t>
      </w:r>
      <w:r w:rsidRPr="00860F3B">
        <w:rPr>
          <w:rFonts w:ascii="Arial" w:eastAsia="Lucida Sans Unicode" w:hAnsi="Arial" w:cs="Arial"/>
          <w:lang w:val="en-ID"/>
        </w:rPr>
        <w:t xml:space="preserve"> was 0.53 - 0.79 g P/m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or relatively higher than the control with a phosphorus content of 0.37 P/m</w:t>
      </w:r>
      <w:r w:rsidRPr="009455E7">
        <w:rPr>
          <w:rFonts w:ascii="Arial" w:eastAsia="Lucida Sans Unicode" w:hAnsi="Arial" w:cs="Arial"/>
          <w:vertAlign w:val="superscript"/>
          <w:lang w:val="en-ID"/>
        </w:rPr>
        <w:t xml:space="preserve">2 </w:t>
      </w:r>
      <w:r w:rsidRPr="00860F3B">
        <w:rPr>
          <w:rFonts w:ascii="Arial" w:eastAsia="Lucida Sans Unicode" w:hAnsi="Arial" w:cs="Arial"/>
          <w:lang w:val="en-ID"/>
        </w:rPr>
        <w:t>(</w:t>
      </w:r>
      <w:r w:rsidR="000066C6" w:rsidRPr="000066C6">
        <w:rPr>
          <w:rFonts w:ascii="Arial" w:hAnsi="Arial" w:cs="Arial"/>
          <w:lang w:val="en-ID"/>
        </w:rPr>
        <w:t>Fig</w:t>
      </w:r>
      <w:r w:rsidR="000066C6">
        <w:rPr>
          <w:rFonts w:ascii="Arial" w:hAnsi="Arial" w:cs="Arial"/>
          <w:lang w:val="en-ID"/>
        </w:rPr>
        <w:t>.</w:t>
      </w:r>
      <w:r w:rsidRPr="00860F3B">
        <w:rPr>
          <w:rFonts w:ascii="Arial" w:eastAsia="Lucida Sans Unicode" w:hAnsi="Arial" w:cs="Arial"/>
          <w:lang w:val="en-ID"/>
        </w:rPr>
        <w:t>4b).</w:t>
      </w:r>
    </w:p>
    <w:p w14:paraId="789DD83E" w14:textId="6971F62E"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 xml:space="preserve">Based on the analysis of nitrogen content in seaweed tissue, seaweed biomass and seaweed cultivation area with integrated mariculture system showed the level of nitrogen absorption of seaweed cultivated around the </w:t>
      </w:r>
      <w:r w:rsidR="009455E7">
        <w:rPr>
          <w:rFonts w:ascii="Arial" w:hAnsi="Arial" w:cs="Arial"/>
          <w:lang w:val="en-ID"/>
        </w:rPr>
        <w:t>FNC</w:t>
      </w:r>
      <w:r w:rsidRPr="00860F3B">
        <w:rPr>
          <w:rFonts w:ascii="Arial" w:eastAsia="Lucida Sans Unicode" w:hAnsi="Arial" w:cs="Arial"/>
          <w:lang w:val="en-ID"/>
        </w:rPr>
        <w:t xml:space="preserve"> site on day 21 ranged from 0.40 - 0.88 g N/m</w:t>
      </w:r>
      <w:r w:rsidRPr="009455E7">
        <w:rPr>
          <w:rFonts w:ascii="Arial" w:eastAsia="Lucida Sans Unicode" w:hAnsi="Arial" w:cs="Arial"/>
          <w:vertAlign w:val="superscript"/>
          <w:lang w:val="en-ID"/>
        </w:rPr>
        <w:t>2</w:t>
      </w:r>
      <w:r w:rsidRPr="00860F3B">
        <w:rPr>
          <w:rFonts w:ascii="Arial" w:eastAsia="Lucida Sans Unicode" w:hAnsi="Arial" w:cs="Arial"/>
          <w:lang w:val="en-ID"/>
        </w:rPr>
        <w:t>/day or 1.47 - 3.07 tons N/ha/year, while the level of nitrogen absorption in the control site was 0.16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/day or 0.57 tons N/ha/year. While at the end of maintenance, namely the 42nd day, the level of nitrogen absorption of G. </w:t>
      </w:r>
      <w:r w:rsidRPr="009455E7">
        <w:rPr>
          <w:rFonts w:ascii="Arial" w:eastAsia="Lucida Sans Unicode" w:hAnsi="Arial" w:cs="Arial"/>
          <w:i/>
          <w:iCs/>
          <w:lang w:val="en-ID"/>
        </w:rPr>
        <w:t>verrucosa</w:t>
      </w:r>
      <w:r w:rsidRPr="00860F3B">
        <w:rPr>
          <w:rFonts w:ascii="Arial" w:eastAsia="Lucida Sans Unicode" w:hAnsi="Arial" w:cs="Arial"/>
          <w:lang w:val="en-ID"/>
        </w:rPr>
        <w:t xml:space="preserve"> seaweed cultivated around the </w:t>
      </w:r>
      <w:r w:rsidR="009455E7">
        <w:rPr>
          <w:rFonts w:ascii="Arial" w:hAnsi="Arial" w:cs="Arial"/>
          <w:lang w:val="en-ID"/>
        </w:rPr>
        <w:t>FNC</w:t>
      </w:r>
      <w:r w:rsidRPr="00860F3B">
        <w:rPr>
          <w:rFonts w:ascii="Arial" w:eastAsia="Lucida Sans Unicode" w:hAnsi="Arial" w:cs="Arial"/>
          <w:lang w:val="en-ID"/>
        </w:rPr>
        <w:t xml:space="preserve"> site with a range between 0.41 - 0.88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 day or 1.51 - 3.20 tons of N/ha / year </w:t>
      </w:r>
      <w:proofErr w:type="gramStart"/>
      <w:r w:rsidRPr="00860F3B">
        <w:rPr>
          <w:rFonts w:ascii="Arial" w:eastAsia="Lucida Sans Unicode" w:hAnsi="Arial" w:cs="Arial"/>
          <w:lang w:val="en-ID"/>
        </w:rPr>
        <w:t>was</w:t>
      </w:r>
      <w:proofErr w:type="gramEnd"/>
      <w:r w:rsidRPr="00860F3B">
        <w:rPr>
          <w:rFonts w:ascii="Arial" w:eastAsia="Lucida Sans Unicode" w:hAnsi="Arial" w:cs="Arial"/>
          <w:lang w:val="en-ID"/>
        </w:rPr>
        <w:t xml:space="preserve"> higher than in the control site of 0.49 g N/m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 / day or 1.78 tons N/ha / year (</w:t>
      </w:r>
      <w:r w:rsidR="000066C6" w:rsidRPr="000066C6">
        <w:rPr>
          <w:rFonts w:ascii="Arial" w:hAnsi="Arial" w:cs="Arial"/>
          <w:lang w:val="en-ID"/>
        </w:rPr>
        <w:t>Fig</w:t>
      </w:r>
      <w:r w:rsidR="000066C6">
        <w:rPr>
          <w:rFonts w:ascii="Arial" w:hAnsi="Arial" w:cs="Arial"/>
          <w:lang w:val="en-ID"/>
        </w:rPr>
        <w:t>.</w:t>
      </w:r>
      <w:r w:rsidRPr="00860F3B">
        <w:rPr>
          <w:rFonts w:ascii="Arial" w:eastAsia="Lucida Sans Unicode" w:hAnsi="Arial" w:cs="Arial"/>
          <w:lang w:val="en-ID"/>
        </w:rPr>
        <w:t xml:space="preserve"> 5a). The phosphorus absorption rate of G. </w:t>
      </w:r>
      <w:r w:rsidRPr="009455E7">
        <w:rPr>
          <w:rFonts w:ascii="Arial" w:eastAsia="Lucida Sans Unicode" w:hAnsi="Arial" w:cs="Arial"/>
          <w:i/>
          <w:iCs/>
          <w:lang w:val="en-ID"/>
        </w:rPr>
        <w:t>verrucosa</w:t>
      </w:r>
      <w:r w:rsidRPr="00860F3B">
        <w:rPr>
          <w:rFonts w:ascii="Arial" w:eastAsia="Lucida Sans Unicode" w:hAnsi="Arial" w:cs="Arial"/>
          <w:lang w:val="en-ID"/>
        </w:rPr>
        <w:t xml:space="preserve"> seaweed cultivated around the </w:t>
      </w:r>
      <w:r w:rsidR="009455E7">
        <w:rPr>
          <w:rFonts w:ascii="Arial" w:hAnsi="Arial" w:cs="Arial"/>
          <w:lang w:val="en-ID"/>
        </w:rPr>
        <w:t>FNC</w:t>
      </w:r>
      <w:r w:rsidRPr="00860F3B">
        <w:rPr>
          <w:rFonts w:ascii="Arial" w:eastAsia="Lucida Sans Unicode" w:hAnsi="Arial" w:cs="Arial"/>
          <w:lang w:val="en-ID"/>
        </w:rPr>
        <w:t xml:space="preserve"> site on day 21 ranged from 0.35 - 0.67 g P/m</w:t>
      </w:r>
      <w:r w:rsidRPr="009455E7">
        <w:rPr>
          <w:rFonts w:ascii="Arial" w:eastAsia="Lucida Sans Unicode" w:hAnsi="Arial" w:cs="Arial"/>
          <w:vertAlign w:val="superscript"/>
          <w:lang w:val="en-ID"/>
        </w:rPr>
        <w:t>2</w:t>
      </w:r>
      <w:r w:rsidRPr="00860F3B">
        <w:rPr>
          <w:rFonts w:ascii="Arial" w:eastAsia="Lucida Sans Unicode" w:hAnsi="Arial" w:cs="Arial"/>
          <w:lang w:val="en-ID"/>
        </w:rPr>
        <w:t>/day or 1.29 - 2.45 tons P/ha/year, while the phosphorus absorption rate at the control site was 0.31 g P/m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/day or 1.14 tons P/ha/year. While at the end of maintenance, namely the 42nd day, the level of phosphorus absorption of G. </w:t>
      </w:r>
      <w:r w:rsidRPr="009455E7">
        <w:rPr>
          <w:rFonts w:ascii="Arial" w:eastAsia="Lucida Sans Unicode" w:hAnsi="Arial" w:cs="Arial"/>
          <w:i/>
          <w:iCs/>
          <w:lang w:val="en-ID"/>
        </w:rPr>
        <w:t xml:space="preserve">verrucosa </w:t>
      </w:r>
      <w:r w:rsidRPr="00860F3B">
        <w:rPr>
          <w:rFonts w:ascii="Arial" w:eastAsia="Lucida Sans Unicode" w:hAnsi="Arial" w:cs="Arial"/>
          <w:lang w:val="en-ID"/>
        </w:rPr>
        <w:t xml:space="preserve">seaweed cultivated around the </w:t>
      </w:r>
      <w:r w:rsidR="009455E7">
        <w:rPr>
          <w:rFonts w:ascii="Arial" w:hAnsi="Arial" w:cs="Arial"/>
          <w:lang w:val="en-ID"/>
        </w:rPr>
        <w:t>FNC</w:t>
      </w:r>
      <w:r w:rsidRPr="00860F3B">
        <w:rPr>
          <w:rFonts w:ascii="Arial" w:eastAsia="Lucida Sans Unicode" w:hAnsi="Arial" w:cs="Arial"/>
          <w:lang w:val="en-ID"/>
        </w:rPr>
        <w:t xml:space="preserve"> site with a range between 0.69 - 1.38 g P/m</w:t>
      </w:r>
      <w:r w:rsidRPr="009455E7">
        <w:rPr>
          <w:rFonts w:ascii="Arial" w:eastAsia="Lucida Sans Unicode" w:hAnsi="Arial" w:cs="Arial"/>
          <w:vertAlign w:val="superscript"/>
          <w:lang w:val="en-ID"/>
        </w:rPr>
        <w:t>2</w:t>
      </w:r>
      <w:r w:rsidRPr="00860F3B">
        <w:rPr>
          <w:rFonts w:ascii="Arial" w:eastAsia="Lucida Sans Unicode" w:hAnsi="Arial" w:cs="Arial"/>
          <w:lang w:val="en-ID"/>
        </w:rPr>
        <w:t xml:space="preserve">/day or 2.51 - 5.05 tons of P/ha/year </w:t>
      </w:r>
      <w:proofErr w:type="gramStart"/>
      <w:r w:rsidRPr="00860F3B">
        <w:rPr>
          <w:rFonts w:ascii="Arial" w:eastAsia="Lucida Sans Unicode" w:hAnsi="Arial" w:cs="Arial"/>
          <w:lang w:val="en-ID"/>
        </w:rPr>
        <w:t>was</w:t>
      </w:r>
      <w:proofErr w:type="gramEnd"/>
      <w:r w:rsidRPr="00860F3B">
        <w:rPr>
          <w:rFonts w:ascii="Arial" w:eastAsia="Lucida Sans Unicode" w:hAnsi="Arial" w:cs="Arial"/>
          <w:lang w:val="en-ID"/>
        </w:rPr>
        <w:t xml:space="preserve"> higher than in the control site of 0.49 g P/m</w:t>
      </w:r>
      <w:r w:rsidRPr="009455E7">
        <w:rPr>
          <w:rFonts w:ascii="Arial" w:eastAsia="Lucida Sans Unicode" w:hAnsi="Arial" w:cs="Arial"/>
          <w:vertAlign w:val="superscript"/>
          <w:lang w:val="en-ID"/>
        </w:rPr>
        <w:t>2</w:t>
      </w:r>
      <w:r w:rsidRPr="00860F3B">
        <w:rPr>
          <w:rFonts w:ascii="Arial" w:eastAsia="Lucida Sans Unicode" w:hAnsi="Arial" w:cs="Arial"/>
          <w:lang w:val="en-ID"/>
        </w:rPr>
        <w:t>/day or 1.78 tons of P/ha/year (</w:t>
      </w:r>
      <w:r w:rsidR="000066C6" w:rsidRPr="000066C6">
        <w:rPr>
          <w:rFonts w:ascii="Arial" w:hAnsi="Arial" w:cs="Arial"/>
          <w:lang w:val="en-ID"/>
        </w:rPr>
        <w:t>Fig</w:t>
      </w:r>
      <w:r w:rsidR="000066C6">
        <w:rPr>
          <w:rFonts w:ascii="Arial" w:hAnsi="Arial" w:cs="Arial"/>
          <w:lang w:val="en-ID"/>
        </w:rPr>
        <w:t>.</w:t>
      </w:r>
      <w:r w:rsidRPr="00860F3B">
        <w:rPr>
          <w:rFonts w:ascii="Arial" w:eastAsia="Lucida Sans Unicode" w:hAnsi="Arial" w:cs="Arial"/>
          <w:lang w:val="en-ID"/>
        </w:rPr>
        <w:t xml:space="preserve"> 5b).</w:t>
      </w:r>
    </w:p>
    <w:p w14:paraId="5A7DB65C" w14:textId="77777777" w:rsidR="00F11A1D" w:rsidRPr="00860F3B" w:rsidRDefault="00F11A1D" w:rsidP="00F11A1D">
      <w:pPr>
        <w:spacing w:line="360" w:lineRule="auto"/>
        <w:jc w:val="center"/>
        <w:rPr>
          <w:rFonts w:ascii="Arial" w:eastAsia="Lucida Sans Unicode" w:hAnsi="Arial" w:cs="Arial"/>
        </w:rPr>
      </w:pPr>
      <w:r w:rsidRPr="00860F3B">
        <w:rPr>
          <w:rFonts w:ascii="Arial" w:hAnsi="Arial" w:cs="Arial"/>
          <w:noProof/>
        </w:rPr>
        <w:drawing>
          <wp:inline distT="0" distB="0" distL="0" distR="0" wp14:anchorId="1DF193FF" wp14:editId="57C756CE">
            <wp:extent cx="5225143" cy="194435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3073" cy="1947307"/>
                    </a:xfrm>
                    <a:prstGeom prst="rect">
                      <a:avLst/>
                    </a:prstGeom>
                    <a:noFill/>
                    <a:ln>
                      <a:noFill/>
                    </a:ln>
                  </pic:spPr>
                </pic:pic>
              </a:graphicData>
            </a:graphic>
          </wp:inline>
        </w:drawing>
      </w:r>
    </w:p>
    <w:p w14:paraId="23C9E0BC" w14:textId="5B79A6C4" w:rsidR="00F11A1D" w:rsidRPr="00860F3B" w:rsidRDefault="000066C6" w:rsidP="00F11A1D">
      <w:pPr>
        <w:jc w:val="center"/>
        <w:rPr>
          <w:rFonts w:ascii="Arial" w:eastAsia="Lucida Sans Unicode" w:hAnsi="Arial" w:cs="Arial"/>
          <w:lang w:val="en-ID"/>
        </w:rPr>
      </w:pPr>
      <w:r w:rsidRPr="000066C6">
        <w:rPr>
          <w:rFonts w:ascii="Arial" w:hAnsi="Arial" w:cs="Arial"/>
          <w:lang w:val="en-ID"/>
        </w:rPr>
        <w:lastRenderedPageBreak/>
        <w:t>Fig</w:t>
      </w:r>
      <w:r>
        <w:rPr>
          <w:rFonts w:ascii="Arial" w:hAnsi="Arial" w:cs="Arial"/>
          <w:lang w:val="en-ID"/>
        </w:rPr>
        <w:t>.</w:t>
      </w:r>
      <w:r w:rsidR="00F11A1D" w:rsidRPr="00860F3B">
        <w:rPr>
          <w:rFonts w:ascii="Arial" w:eastAsia="Lucida Sans Unicode" w:hAnsi="Arial" w:cs="Arial"/>
        </w:rPr>
        <w:t xml:space="preserve"> 5. </w:t>
      </w:r>
      <w:r w:rsidR="00F11A1D" w:rsidRPr="00860F3B">
        <w:rPr>
          <w:rFonts w:ascii="Arial" w:eastAsia="Lucida Sans Unicode" w:hAnsi="Arial" w:cs="Arial"/>
          <w:lang w:val="en-ID"/>
        </w:rPr>
        <w:t xml:space="preserve">Nitrogen and phosphorus uptake rates of seaweed, G. </w:t>
      </w:r>
      <w:r w:rsidR="00F11A1D" w:rsidRPr="009455E7">
        <w:rPr>
          <w:rFonts w:ascii="Arial" w:eastAsia="Lucida Sans Unicode" w:hAnsi="Arial" w:cs="Arial"/>
          <w:i/>
          <w:iCs/>
          <w:lang w:val="en-ID"/>
        </w:rPr>
        <w:t>verrucosa</w:t>
      </w:r>
      <w:r w:rsidR="00F11A1D" w:rsidRPr="00860F3B">
        <w:rPr>
          <w:rFonts w:ascii="Arial" w:eastAsia="Lucida Sans Unicode" w:hAnsi="Arial" w:cs="Arial"/>
          <w:lang w:val="en-ID"/>
        </w:rPr>
        <w:t xml:space="preserve"> cultivated with floating rafts around </w:t>
      </w:r>
      <w:r w:rsidR="009455E7">
        <w:rPr>
          <w:rFonts w:ascii="Arial" w:hAnsi="Arial" w:cs="Arial"/>
          <w:lang w:val="en-ID"/>
        </w:rPr>
        <w:t>FNC</w:t>
      </w:r>
      <w:r w:rsidR="00F11A1D" w:rsidRPr="00860F3B">
        <w:rPr>
          <w:rFonts w:ascii="Arial" w:eastAsia="Lucida Sans Unicode" w:hAnsi="Arial" w:cs="Arial"/>
          <w:lang w:val="en-ID"/>
        </w:rPr>
        <w:t xml:space="preserve"> and controls</w:t>
      </w:r>
    </w:p>
    <w:p w14:paraId="12BF42B3" w14:textId="77777777" w:rsidR="00F11A1D" w:rsidRDefault="00F11A1D" w:rsidP="00F11A1D">
      <w:pPr>
        <w:spacing w:line="360" w:lineRule="auto"/>
        <w:rPr>
          <w:rFonts w:eastAsia="Lucida Sans Unicode"/>
          <w:sz w:val="24"/>
          <w:szCs w:val="24"/>
        </w:rPr>
      </w:pPr>
    </w:p>
    <w:p w14:paraId="4E6E7B8F" w14:textId="465DA014" w:rsidR="00F11A1D" w:rsidRPr="00860F3B" w:rsidRDefault="00860F3B" w:rsidP="00F11A1D">
      <w:pPr>
        <w:spacing w:line="360" w:lineRule="auto"/>
        <w:rPr>
          <w:rFonts w:ascii="Arial" w:eastAsia="Lucida Sans Unicode" w:hAnsi="Arial" w:cs="Arial"/>
          <w:b/>
          <w:bCs/>
          <w:u w:val="single"/>
          <w:lang w:val="en-ID"/>
        </w:rPr>
      </w:pPr>
      <w:r>
        <w:rPr>
          <w:rFonts w:ascii="Arial" w:eastAsia="Lucida Sans Unicode" w:hAnsi="Arial" w:cs="Arial"/>
          <w:b/>
          <w:bCs/>
          <w:u w:val="single"/>
        </w:rPr>
        <w:t>3</w:t>
      </w:r>
      <w:r w:rsidR="00F11A1D" w:rsidRPr="00860F3B">
        <w:rPr>
          <w:rFonts w:ascii="Arial" w:eastAsia="Lucida Sans Unicode" w:hAnsi="Arial" w:cs="Arial"/>
          <w:b/>
          <w:bCs/>
          <w:u w:val="single"/>
        </w:rPr>
        <w:t xml:space="preserve">.1.4. </w:t>
      </w:r>
      <w:bookmarkStart w:id="4" w:name="_Hlk201740149"/>
      <w:r w:rsidR="00F11A1D" w:rsidRPr="00860F3B">
        <w:rPr>
          <w:rFonts w:ascii="Arial" w:eastAsia="Lucida Sans Unicode" w:hAnsi="Arial" w:cs="Arial"/>
          <w:b/>
          <w:bCs/>
          <w:u w:val="single"/>
          <w:lang w:val="en-ID"/>
        </w:rPr>
        <w:t>Water quality</w:t>
      </w:r>
    </w:p>
    <w:bookmarkEnd w:id="4"/>
    <w:p w14:paraId="7F86EF11" w14:textId="77777777" w:rsidR="00F11A1D" w:rsidRPr="00860F3B" w:rsidRDefault="00F11A1D" w:rsidP="00F11A1D">
      <w:pPr>
        <w:spacing w:before="240" w:line="360" w:lineRule="auto"/>
        <w:ind w:firstLine="720"/>
        <w:rPr>
          <w:rFonts w:ascii="Arial" w:hAnsi="Arial" w:cs="Arial"/>
          <w:lang w:val="en-ID"/>
        </w:rPr>
      </w:pPr>
      <w:r w:rsidRPr="00860F3B">
        <w:rPr>
          <w:rFonts w:ascii="Arial" w:hAnsi="Arial" w:cs="Arial"/>
          <w:lang w:val="en-ID"/>
        </w:rPr>
        <w:t>The measurement results of water quality parameters during seaweed cultivation. G. verrucosa with floating rafts can be seen in Table 1.</w:t>
      </w:r>
    </w:p>
    <w:p w14:paraId="624494BE" w14:textId="6D7EAA5A" w:rsidR="00F11A1D" w:rsidRPr="00860F3B" w:rsidRDefault="00F11A1D" w:rsidP="00F11A1D">
      <w:pPr>
        <w:spacing w:before="240" w:line="360" w:lineRule="auto"/>
        <w:rPr>
          <w:rFonts w:ascii="Arial" w:eastAsia="Lucida Sans Unicode" w:hAnsi="Arial" w:cs="Arial"/>
          <w:lang w:val="en-ID"/>
        </w:rPr>
      </w:pPr>
      <w:r w:rsidRPr="00860F3B">
        <w:rPr>
          <w:rFonts w:ascii="Arial" w:eastAsia="Lucida Sans Unicode" w:hAnsi="Arial" w:cs="Arial"/>
          <w:lang w:val="en-ID"/>
        </w:rPr>
        <w:t xml:space="preserve">Table 1. Water quality conditions during seaweed cultivation. G. </w:t>
      </w:r>
      <w:r w:rsidRPr="009455E7">
        <w:rPr>
          <w:rFonts w:ascii="Arial" w:eastAsia="Lucida Sans Unicode" w:hAnsi="Arial" w:cs="Arial"/>
          <w:i/>
          <w:iCs/>
          <w:lang w:val="en-ID"/>
        </w:rPr>
        <w:t>verrucosa</w:t>
      </w:r>
      <w:r w:rsidRPr="00860F3B">
        <w:rPr>
          <w:rFonts w:ascii="Arial" w:eastAsia="Lucida Sans Unicode" w:hAnsi="Arial" w:cs="Arial"/>
          <w:lang w:val="en-ID"/>
        </w:rPr>
        <w:t xml:space="preserve"> with floating rafts</w:t>
      </w:r>
    </w:p>
    <w:tbl>
      <w:tblPr>
        <w:tblStyle w:val="TableGrid"/>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1242"/>
        <w:gridCol w:w="1134"/>
        <w:gridCol w:w="1276"/>
        <w:gridCol w:w="1134"/>
        <w:gridCol w:w="1296"/>
        <w:gridCol w:w="1256"/>
      </w:tblGrid>
      <w:tr w:rsidR="00F11A1D" w:rsidRPr="00860F3B" w14:paraId="1DBC3DA0" w14:textId="77777777" w:rsidTr="0028425A">
        <w:trPr>
          <w:trHeight w:val="274"/>
        </w:trPr>
        <w:tc>
          <w:tcPr>
            <w:tcW w:w="1598" w:type="dxa"/>
            <w:vMerge w:val="restart"/>
            <w:tcBorders>
              <w:top w:val="single" w:sz="4" w:space="0" w:color="auto"/>
              <w:bottom w:val="single" w:sz="4" w:space="0" w:color="auto"/>
            </w:tcBorders>
            <w:vAlign w:val="center"/>
          </w:tcPr>
          <w:p w14:paraId="7C0B19B5" w14:textId="77777777" w:rsidR="00F11A1D" w:rsidRPr="00860F3B" w:rsidRDefault="00F11A1D" w:rsidP="0028425A">
            <w:pPr>
              <w:spacing w:line="360" w:lineRule="auto"/>
              <w:rPr>
                <w:rFonts w:ascii="Arial" w:eastAsia="Lucida Sans Unicode" w:hAnsi="Arial" w:cs="Arial"/>
                <w:sz w:val="20"/>
                <w:szCs w:val="20"/>
              </w:rPr>
            </w:pPr>
            <w:r w:rsidRPr="00860F3B">
              <w:rPr>
                <w:rFonts w:ascii="Arial" w:eastAsia="Lucida Sans Unicode" w:hAnsi="Arial" w:cs="Arial"/>
                <w:sz w:val="20"/>
                <w:szCs w:val="20"/>
              </w:rPr>
              <w:t>Parameters</w:t>
            </w:r>
          </w:p>
        </w:tc>
        <w:tc>
          <w:tcPr>
            <w:tcW w:w="6082" w:type="dxa"/>
            <w:gridSpan w:val="5"/>
            <w:tcBorders>
              <w:top w:val="single" w:sz="4" w:space="0" w:color="auto"/>
              <w:bottom w:val="single" w:sz="4" w:space="0" w:color="auto"/>
            </w:tcBorders>
          </w:tcPr>
          <w:p w14:paraId="50E6290B"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location of cultivation of FNC</w:t>
            </w:r>
          </w:p>
        </w:tc>
        <w:tc>
          <w:tcPr>
            <w:tcW w:w="1256" w:type="dxa"/>
            <w:vMerge w:val="restart"/>
            <w:tcBorders>
              <w:top w:val="single" w:sz="4" w:space="0" w:color="auto"/>
              <w:bottom w:val="single" w:sz="4" w:space="0" w:color="auto"/>
            </w:tcBorders>
            <w:vAlign w:val="center"/>
          </w:tcPr>
          <w:p w14:paraId="28C1613E"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eastAsia="Lucida Sans Unicode" w:hAnsi="Arial" w:cs="Arial"/>
                <w:sz w:val="20"/>
                <w:szCs w:val="20"/>
              </w:rPr>
              <w:t xml:space="preserve">Standard value </w:t>
            </w:r>
          </w:p>
        </w:tc>
      </w:tr>
      <w:tr w:rsidR="00F11A1D" w:rsidRPr="00860F3B" w14:paraId="4AE74A6C" w14:textId="77777777" w:rsidTr="0028425A">
        <w:trPr>
          <w:trHeight w:val="194"/>
        </w:trPr>
        <w:tc>
          <w:tcPr>
            <w:tcW w:w="1598" w:type="dxa"/>
            <w:vMerge/>
            <w:tcBorders>
              <w:top w:val="single" w:sz="4" w:space="0" w:color="auto"/>
              <w:bottom w:val="single" w:sz="4" w:space="0" w:color="auto"/>
            </w:tcBorders>
          </w:tcPr>
          <w:p w14:paraId="5994DC25" w14:textId="77777777" w:rsidR="00F11A1D" w:rsidRPr="00860F3B" w:rsidRDefault="00F11A1D" w:rsidP="0028425A">
            <w:pPr>
              <w:spacing w:line="360" w:lineRule="auto"/>
              <w:jc w:val="center"/>
              <w:rPr>
                <w:rFonts w:ascii="Arial" w:eastAsia="Lucida Sans Unicode" w:hAnsi="Arial" w:cs="Arial"/>
                <w:sz w:val="20"/>
                <w:szCs w:val="20"/>
              </w:rPr>
            </w:pPr>
          </w:p>
        </w:tc>
        <w:tc>
          <w:tcPr>
            <w:tcW w:w="1242" w:type="dxa"/>
            <w:tcBorders>
              <w:top w:val="single" w:sz="4" w:space="0" w:color="auto"/>
              <w:bottom w:val="single" w:sz="4" w:space="0" w:color="auto"/>
            </w:tcBorders>
            <w:vAlign w:val="center"/>
          </w:tcPr>
          <w:p w14:paraId="3ECE5A0C" w14:textId="77777777" w:rsidR="00F11A1D" w:rsidRPr="00860F3B" w:rsidRDefault="00F11A1D" w:rsidP="0028425A">
            <w:pPr>
              <w:jc w:val="center"/>
              <w:rPr>
                <w:rFonts w:ascii="Arial" w:eastAsia="Lucida Sans Unicode" w:hAnsi="Arial" w:cs="Arial"/>
                <w:sz w:val="20"/>
                <w:szCs w:val="20"/>
              </w:rPr>
            </w:pPr>
            <w:r w:rsidRPr="00860F3B">
              <w:rPr>
                <w:rFonts w:ascii="Arial" w:hAnsi="Arial" w:cs="Arial"/>
                <w:color w:val="000000"/>
                <w:sz w:val="20"/>
                <w:szCs w:val="20"/>
              </w:rPr>
              <w:t>Nort</w:t>
            </w:r>
          </w:p>
        </w:tc>
        <w:tc>
          <w:tcPr>
            <w:tcW w:w="1134" w:type="dxa"/>
            <w:tcBorders>
              <w:top w:val="single" w:sz="4" w:space="0" w:color="auto"/>
              <w:bottom w:val="single" w:sz="4" w:space="0" w:color="auto"/>
            </w:tcBorders>
            <w:vAlign w:val="center"/>
          </w:tcPr>
          <w:p w14:paraId="0D6159B3" w14:textId="77777777" w:rsidR="00F11A1D" w:rsidRPr="00860F3B" w:rsidRDefault="00F11A1D" w:rsidP="0028425A">
            <w:pPr>
              <w:jc w:val="center"/>
              <w:rPr>
                <w:rFonts w:ascii="Arial" w:eastAsia="Lucida Sans Unicode" w:hAnsi="Arial" w:cs="Arial"/>
                <w:sz w:val="20"/>
                <w:szCs w:val="20"/>
              </w:rPr>
            </w:pPr>
            <w:r w:rsidRPr="00860F3B">
              <w:rPr>
                <w:rFonts w:ascii="Arial" w:hAnsi="Arial" w:cs="Arial"/>
                <w:color w:val="000000"/>
                <w:sz w:val="20"/>
                <w:szCs w:val="20"/>
              </w:rPr>
              <w:t>South</w:t>
            </w:r>
          </w:p>
        </w:tc>
        <w:tc>
          <w:tcPr>
            <w:tcW w:w="1276" w:type="dxa"/>
            <w:tcBorders>
              <w:top w:val="single" w:sz="4" w:space="0" w:color="auto"/>
              <w:bottom w:val="single" w:sz="4" w:space="0" w:color="auto"/>
            </w:tcBorders>
            <w:vAlign w:val="center"/>
          </w:tcPr>
          <w:p w14:paraId="6ABAEB9C" w14:textId="77777777" w:rsidR="00F11A1D" w:rsidRPr="00860F3B" w:rsidRDefault="00F11A1D" w:rsidP="0028425A">
            <w:pPr>
              <w:jc w:val="center"/>
              <w:rPr>
                <w:rFonts w:ascii="Arial" w:eastAsia="Lucida Sans Unicode" w:hAnsi="Arial" w:cs="Arial"/>
                <w:sz w:val="20"/>
                <w:szCs w:val="20"/>
              </w:rPr>
            </w:pPr>
            <w:proofErr w:type="spellStart"/>
            <w:r w:rsidRPr="00860F3B">
              <w:rPr>
                <w:rFonts w:ascii="Arial" w:hAnsi="Arial" w:cs="Arial"/>
                <w:color w:val="000000"/>
                <w:sz w:val="20"/>
                <w:szCs w:val="20"/>
              </w:rPr>
              <w:t>Easth</w:t>
            </w:r>
            <w:proofErr w:type="spellEnd"/>
          </w:p>
        </w:tc>
        <w:tc>
          <w:tcPr>
            <w:tcW w:w="1134" w:type="dxa"/>
            <w:tcBorders>
              <w:top w:val="single" w:sz="4" w:space="0" w:color="auto"/>
              <w:bottom w:val="single" w:sz="4" w:space="0" w:color="auto"/>
            </w:tcBorders>
            <w:vAlign w:val="center"/>
          </w:tcPr>
          <w:p w14:paraId="1FEDB9BB" w14:textId="77777777" w:rsidR="00F11A1D" w:rsidRPr="00860F3B" w:rsidRDefault="00F11A1D" w:rsidP="0028425A">
            <w:pPr>
              <w:jc w:val="center"/>
              <w:rPr>
                <w:rFonts w:ascii="Arial" w:eastAsia="Lucida Sans Unicode" w:hAnsi="Arial" w:cs="Arial"/>
                <w:sz w:val="20"/>
                <w:szCs w:val="20"/>
              </w:rPr>
            </w:pPr>
            <w:r w:rsidRPr="00860F3B">
              <w:rPr>
                <w:rFonts w:ascii="Arial" w:hAnsi="Arial" w:cs="Arial"/>
                <w:color w:val="000000"/>
                <w:sz w:val="20"/>
                <w:szCs w:val="20"/>
              </w:rPr>
              <w:t>West</w:t>
            </w:r>
          </w:p>
        </w:tc>
        <w:tc>
          <w:tcPr>
            <w:tcW w:w="1296" w:type="dxa"/>
            <w:tcBorders>
              <w:top w:val="single" w:sz="4" w:space="0" w:color="auto"/>
              <w:bottom w:val="single" w:sz="4" w:space="0" w:color="auto"/>
            </w:tcBorders>
            <w:vAlign w:val="center"/>
          </w:tcPr>
          <w:p w14:paraId="7DFB10A6"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Control</w:t>
            </w:r>
          </w:p>
        </w:tc>
        <w:tc>
          <w:tcPr>
            <w:tcW w:w="1256" w:type="dxa"/>
            <w:vMerge/>
            <w:tcBorders>
              <w:top w:val="single" w:sz="4" w:space="0" w:color="auto"/>
              <w:bottom w:val="single" w:sz="4" w:space="0" w:color="auto"/>
            </w:tcBorders>
          </w:tcPr>
          <w:p w14:paraId="23BAA8B7" w14:textId="77777777" w:rsidR="00F11A1D" w:rsidRPr="00860F3B" w:rsidRDefault="00F11A1D" w:rsidP="0028425A">
            <w:pPr>
              <w:jc w:val="center"/>
              <w:rPr>
                <w:rFonts w:ascii="Arial" w:eastAsia="Lucida Sans Unicode" w:hAnsi="Arial" w:cs="Arial"/>
                <w:sz w:val="20"/>
                <w:szCs w:val="20"/>
              </w:rPr>
            </w:pPr>
          </w:p>
        </w:tc>
      </w:tr>
      <w:tr w:rsidR="00F11A1D" w:rsidRPr="00860F3B" w14:paraId="693E6873" w14:textId="77777777" w:rsidTr="0028425A">
        <w:trPr>
          <w:trHeight w:val="344"/>
        </w:trPr>
        <w:tc>
          <w:tcPr>
            <w:tcW w:w="1598" w:type="dxa"/>
            <w:tcBorders>
              <w:top w:val="single" w:sz="4" w:space="0" w:color="auto"/>
            </w:tcBorders>
          </w:tcPr>
          <w:p w14:paraId="261EF830"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Temperature (°C)</w:t>
            </w:r>
          </w:p>
        </w:tc>
        <w:tc>
          <w:tcPr>
            <w:tcW w:w="1242" w:type="dxa"/>
            <w:tcBorders>
              <w:top w:val="single" w:sz="4" w:space="0" w:color="auto"/>
            </w:tcBorders>
          </w:tcPr>
          <w:p w14:paraId="0D2412F2"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27.5 – 31 </w:t>
            </w:r>
          </w:p>
        </w:tc>
        <w:tc>
          <w:tcPr>
            <w:tcW w:w="1134" w:type="dxa"/>
            <w:tcBorders>
              <w:top w:val="single" w:sz="4" w:space="0" w:color="auto"/>
            </w:tcBorders>
          </w:tcPr>
          <w:p w14:paraId="3BF788A9"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28 – 31 </w:t>
            </w:r>
          </w:p>
        </w:tc>
        <w:tc>
          <w:tcPr>
            <w:tcW w:w="1276" w:type="dxa"/>
            <w:tcBorders>
              <w:top w:val="single" w:sz="4" w:space="0" w:color="auto"/>
            </w:tcBorders>
          </w:tcPr>
          <w:p w14:paraId="22427E75"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28 – 31 </w:t>
            </w:r>
          </w:p>
        </w:tc>
        <w:tc>
          <w:tcPr>
            <w:tcW w:w="1134" w:type="dxa"/>
            <w:tcBorders>
              <w:top w:val="single" w:sz="4" w:space="0" w:color="auto"/>
            </w:tcBorders>
          </w:tcPr>
          <w:p w14:paraId="6BFA17C8"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27.7 – 31 </w:t>
            </w:r>
          </w:p>
        </w:tc>
        <w:tc>
          <w:tcPr>
            <w:tcW w:w="1296" w:type="dxa"/>
            <w:tcBorders>
              <w:top w:val="single" w:sz="4" w:space="0" w:color="auto"/>
            </w:tcBorders>
          </w:tcPr>
          <w:p w14:paraId="746F4638"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28 – 31 </w:t>
            </w:r>
          </w:p>
        </w:tc>
        <w:tc>
          <w:tcPr>
            <w:tcW w:w="1256" w:type="dxa"/>
            <w:tcBorders>
              <w:top w:val="single" w:sz="4" w:space="0" w:color="auto"/>
            </w:tcBorders>
          </w:tcPr>
          <w:p w14:paraId="6BE5C834"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eastAsia="Times New Roman" w:hAnsi="Arial" w:cs="Arial"/>
                <w:sz w:val="20"/>
                <w:szCs w:val="20"/>
              </w:rPr>
              <w:t>26-32</w:t>
            </w:r>
            <w:r w:rsidRPr="00860F3B">
              <w:rPr>
                <w:rFonts w:ascii="Arial" w:eastAsia="Times New Roman" w:hAnsi="Arial" w:cs="Arial"/>
                <w:sz w:val="20"/>
                <w:szCs w:val="20"/>
                <w:vertAlign w:val="superscript"/>
              </w:rPr>
              <w:t>1)</w:t>
            </w:r>
          </w:p>
        </w:tc>
      </w:tr>
      <w:tr w:rsidR="00F11A1D" w:rsidRPr="00860F3B" w14:paraId="024D9C27" w14:textId="77777777" w:rsidTr="0028425A">
        <w:trPr>
          <w:trHeight w:val="274"/>
        </w:trPr>
        <w:tc>
          <w:tcPr>
            <w:tcW w:w="1598" w:type="dxa"/>
          </w:tcPr>
          <w:p w14:paraId="1A3A03D5"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pH</w:t>
            </w:r>
          </w:p>
        </w:tc>
        <w:tc>
          <w:tcPr>
            <w:tcW w:w="1242" w:type="dxa"/>
          </w:tcPr>
          <w:p w14:paraId="3EB1C61D"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7.8 – 9 </w:t>
            </w:r>
          </w:p>
        </w:tc>
        <w:tc>
          <w:tcPr>
            <w:tcW w:w="1134" w:type="dxa"/>
          </w:tcPr>
          <w:p w14:paraId="450A282B"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7.8 – 9</w:t>
            </w:r>
          </w:p>
        </w:tc>
        <w:tc>
          <w:tcPr>
            <w:tcW w:w="1276" w:type="dxa"/>
          </w:tcPr>
          <w:p w14:paraId="31B3C719"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8 – 9 </w:t>
            </w:r>
          </w:p>
        </w:tc>
        <w:tc>
          <w:tcPr>
            <w:tcW w:w="1134" w:type="dxa"/>
          </w:tcPr>
          <w:p w14:paraId="58E9DCE0"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7.7 – 8.9</w:t>
            </w:r>
          </w:p>
        </w:tc>
        <w:tc>
          <w:tcPr>
            <w:tcW w:w="1296" w:type="dxa"/>
          </w:tcPr>
          <w:p w14:paraId="1ECB7291"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7,9 – 8.9</w:t>
            </w:r>
          </w:p>
        </w:tc>
        <w:tc>
          <w:tcPr>
            <w:tcW w:w="1256" w:type="dxa"/>
          </w:tcPr>
          <w:p w14:paraId="7DF6DB72"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eastAsia="Times New Roman" w:hAnsi="Arial" w:cs="Arial"/>
                <w:sz w:val="20"/>
                <w:szCs w:val="20"/>
              </w:rPr>
              <w:t xml:space="preserve">7 – 8.5 </w:t>
            </w:r>
            <w:r w:rsidRPr="00860F3B">
              <w:rPr>
                <w:rFonts w:ascii="Arial" w:eastAsia="Times New Roman" w:hAnsi="Arial" w:cs="Arial"/>
                <w:sz w:val="20"/>
                <w:szCs w:val="20"/>
                <w:vertAlign w:val="superscript"/>
              </w:rPr>
              <w:t>1)</w:t>
            </w:r>
          </w:p>
        </w:tc>
      </w:tr>
      <w:tr w:rsidR="00F11A1D" w:rsidRPr="00860F3B" w14:paraId="30D905AB" w14:textId="77777777" w:rsidTr="0028425A">
        <w:trPr>
          <w:trHeight w:val="291"/>
        </w:trPr>
        <w:tc>
          <w:tcPr>
            <w:tcW w:w="1598" w:type="dxa"/>
          </w:tcPr>
          <w:p w14:paraId="766C41D5"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DO (</w:t>
            </w:r>
            <w:r w:rsidRPr="00860F3B">
              <w:rPr>
                <w:rFonts w:ascii="Arial" w:hAnsi="Arial" w:cs="Arial"/>
                <w:sz w:val="20"/>
                <w:szCs w:val="20"/>
                <w:lang w:eastAsia="ja-JP"/>
              </w:rPr>
              <w:t>mg/L)</w:t>
            </w:r>
          </w:p>
        </w:tc>
        <w:tc>
          <w:tcPr>
            <w:tcW w:w="1242" w:type="dxa"/>
          </w:tcPr>
          <w:p w14:paraId="32267507"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8 – 8.2 </w:t>
            </w:r>
          </w:p>
        </w:tc>
        <w:tc>
          <w:tcPr>
            <w:tcW w:w="1134" w:type="dxa"/>
          </w:tcPr>
          <w:p w14:paraId="086466A3"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8.7 – 9 </w:t>
            </w:r>
          </w:p>
        </w:tc>
        <w:tc>
          <w:tcPr>
            <w:tcW w:w="1276" w:type="dxa"/>
          </w:tcPr>
          <w:p w14:paraId="0EC22D92"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8 – 9</w:t>
            </w:r>
          </w:p>
        </w:tc>
        <w:tc>
          <w:tcPr>
            <w:tcW w:w="1134" w:type="dxa"/>
          </w:tcPr>
          <w:p w14:paraId="4A5AEFEA"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7.2 – 9 </w:t>
            </w:r>
          </w:p>
        </w:tc>
        <w:tc>
          <w:tcPr>
            <w:tcW w:w="1296" w:type="dxa"/>
          </w:tcPr>
          <w:p w14:paraId="1DB2AE7D"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8 – 9</w:t>
            </w:r>
          </w:p>
        </w:tc>
        <w:tc>
          <w:tcPr>
            <w:tcW w:w="1256" w:type="dxa"/>
          </w:tcPr>
          <w:p w14:paraId="6ADCBA03"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hAnsi="Arial" w:cs="Arial"/>
                <w:sz w:val="20"/>
                <w:szCs w:val="20"/>
                <w:lang w:eastAsia="ja-JP"/>
              </w:rPr>
              <w:t>&gt;5</w:t>
            </w:r>
            <w:r w:rsidRPr="00860F3B">
              <w:rPr>
                <w:rFonts w:ascii="Arial" w:hAnsi="Arial" w:cs="Arial"/>
                <w:sz w:val="20"/>
                <w:szCs w:val="20"/>
                <w:vertAlign w:val="superscript"/>
                <w:lang w:eastAsia="ja-JP"/>
              </w:rPr>
              <w:t>2)</w:t>
            </w:r>
          </w:p>
        </w:tc>
      </w:tr>
      <w:tr w:rsidR="00F11A1D" w:rsidRPr="00860F3B" w14:paraId="2F82B4F4" w14:textId="77777777" w:rsidTr="0028425A">
        <w:trPr>
          <w:trHeight w:val="281"/>
        </w:trPr>
        <w:tc>
          <w:tcPr>
            <w:tcW w:w="1598" w:type="dxa"/>
          </w:tcPr>
          <w:p w14:paraId="10BB3F46"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 xml:space="preserve">Salinity </w:t>
            </w:r>
            <w:r w:rsidRPr="00860F3B">
              <w:rPr>
                <w:rFonts w:ascii="Arial" w:eastAsia="Lucida Sans Unicode" w:hAnsi="Arial" w:cs="Arial"/>
                <w:color w:val="000000" w:themeColor="text1"/>
                <w:sz w:val="20"/>
                <w:szCs w:val="20"/>
              </w:rPr>
              <w:t>(ppt)</w:t>
            </w:r>
          </w:p>
        </w:tc>
        <w:tc>
          <w:tcPr>
            <w:tcW w:w="1242" w:type="dxa"/>
          </w:tcPr>
          <w:p w14:paraId="7A772536"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25 – 30 </w:t>
            </w:r>
          </w:p>
        </w:tc>
        <w:tc>
          <w:tcPr>
            <w:tcW w:w="1134" w:type="dxa"/>
          </w:tcPr>
          <w:p w14:paraId="47DB7F14"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26 – 29 </w:t>
            </w:r>
          </w:p>
        </w:tc>
        <w:tc>
          <w:tcPr>
            <w:tcW w:w="1276" w:type="dxa"/>
          </w:tcPr>
          <w:p w14:paraId="4AA702D9"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25 – 30 </w:t>
            </w:r>
          </w:p>
        </w:tc>
        <w:tc>
          <w:tcPr>
            <w:tcW w:w="1134" w:type="dxa"/>
          </w:tcPr>
          <w:p w14:paraId="04251DD8"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25 – 30 </w:t>
            </w:r>
          </w:p>
        </w:tc>
        <w:tc>
          <w:tcPr>
            <w:tcW w:w="1296" w:type="dxa"/>
          </w:tcPr>
          <w:p w14:paraId="1EF6A73C"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25 – 30</w:t>
            </w:r>
          </w:p>
        </w:tc>
        <w:tc>
          <w:tcPr>
            <w:tcW w:w="1256" w:type="dxa"/>
          </w:tcPr>
          <w:p w14:paraId="777A7260" w14:textId="77777777" w:rsidR="00F11A1D" w:rsidRPr="00860F3B" w:rsidRDefault="00F11A1D" w:rsidP="0028425A">
            <w:pPr>
              <w:jc w:val="center"/>
              <w:rPr>
                <w:rFonts w:ascii="Arial" w:eastAsia="Lucida Sans Unicode" w:hAnsi="Arial" w:cs="Arial"/>
                <w:sz w:val="20"/>
                <w:szCs w:val="20"/>
                <w:vertAlign w:val="superscript"/>
              </w:rPr>
            </w:pPr>
            <w:r w:rsidRPr="00860F3B">
              <w:rPr>
                <w:rFonts w:ascii="Arial" w:eastAsia="Times New Roman" w:hAnsi="Arial" w:cs="Arial"/>
                <w:sz w:val="20"/>
                <w:szCs w:val="20"/>
              </w:rPr>
              <w:t>28 – 34</w:t>
            </w:r>
            <w:r w:rsidRPr="00860F3B">
              <w:rPr>
                <w:rFonts w:ascii="Arial" w:eastAsia="Times New Roman" w:hAnsi="Arial" w:cs="Arial"/>
                <w:sz w:val="20"/>
                <w:szCs w:val="20"/>
                <w:vertAlign w:val="superscript"/>
              </w:rPr>
              <w:t>1)</w:t>
            </w:r>
          </w:p>
        </w:tc>
      </w:tr>
      <w:tr w:rsidR="00F11A1D" w:rsidRPr="00860F3B" w14:paraId="0A814007" w14:textId="77777777" w:rsidTr="0028425A">
        <w:trPr>
          <w:trHeight w:val="144"/>
        </w:trPr>
        <w:tc>
          <w:tcPr>
            <w:tcW w:w="1598" w:type="dxa"/>
          </w:tcPr>
          <w:p w14:paraId="4464B3A8" w14:textId="77777777" w:rsidR="00F11A1D" w:rsidRPr="00860F3B" w:rsidRDefault="00F11A1D" w:rsidP="0028425A">
            <w:pPr>
              <w:rPr>
                <w:rFonts w:ascii="Arial" w:eastAsia="Lucida Sans Unicode" w:hAnsi="Arial" w:cs="Arial"/>
                <w:sz w:val="20"/>
                <w:szCs w:val="20"/>
              </w:rPr>
            </w:pPr>
            <w:r w:rsidRPr="00860F3B">
              <w:rPr>
                <w:rFonts w:ascii="Arial" w:eastAsia="Lucida Sans Unicode" w:hAnsi="Arial" w:cs="Arial"/>
                <w:sz w:val="20"/>
                <w:szCs w:val="20"/>
              </w:rPr>
              <w:t>Brightness (m)</w:t>
            </w:r>
          </w:p>
        </w:tc>
        <w:tc>
          <w:tcPr>
            <w:tcW w:w="1242" w:type="dxa"/>
          </w:tcPr>
          <w:p w14:paraId="664D04A7"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2.3 – 6.5 </w:t>
            </w:r>
          </w:p>
        </w:tc>
        <w:tc>
          <w:tcPr>
            <w:tcW w:w="1134" w:type="dxa"/>
          </w:tcPr>
          <w:p w14:paraId="33B86597"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2.5 – 3 </w:t>
            </w:r>
          </w:p>
        </w:tc>
        <w:tc>
          <w:tcPr>
            <w:tcW w:w="1276" w:type="dxa"/>
          </w:tcPr>
          <w:p w14:paraId="441E336A"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2.3 – 2.9 </w:t>
            </w:r>
          </w:p>
        </w:tc>
        <w:tc>
          <w:tcPr>
            <w:tcW w:w="1134" w:type="dxa"/>
          </w:tcPr>
          <w:p w14:paraId="55A73004"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2.3 – 5 </w:t>
            </w:r>
          </w:p>
        </w:tc>
        <w:tc>
          <w:tcPr>
            <w:tcW w:w="1296" w:type="dxa"/>
          </w:tcPr>
          <w:p w14:paraId="09E9E060" w14:textId="77777777" w:rsidR="00F11A1D" w:rsidRPr="00860F3B" w:rsidRDefault="00F11A1D" w:rsidP="0028425A">
            <w:pPr>
              <w:jc w:val="center"/>
              <w:rPr>
                <w:rFonts w:ascii="Arial" w:eastAsia="Lucida Sans Unicode" w:hAnsi="Arial" w:cs="Arial"/>
                <w:sz w:val="20"/>
                <w:szCs w:val="20"/>
              </w:rPr>
            </w:pPr>
            <w:r w:rsidRPr="00860F3B">
              <w:rPr>
                <w:rFonts w:ascii="Arial" w:eastAsia="Lucida Sans Unicode" w:hAnsi="Arial" w:cs="Arial"/>
                <w:sz w:val="20"/>
                <w:szCs w:val="20"/>
              </w:rPr>
              <w:t xml:space="preserve">2.2 – 2.3 </w:t>
            </w:r>
          </w:p>
        </w:tc>
        <w:tc>
          <w:tcPr>
            <w:tcW w:w="1256" w:type="dxa"/>
          </w:tcPr>
          <w:p w14:paraId="6C516AF6" w14:textId="77777777" w:rsidR="00F11A1D" w:rsidRPr="00860F3B" w:rsidRDefault="00F11A1D" w:rsidP="0028425A">
            <w:pPr>
              <w:jc w:val="center"/>
              <w:rPr>
                <w:rFonts w:ascii="Arial" w:eastAsia="Lucida Sans Unicode" w:hAnsi="Arial" w:cs="Arial"/>
                <w:sz w:val="20"/>
                <w:szCs w:val="20"/>
              </w:rPr>
            </w:pPr>
            <w:r w:rsidRPr="00860F3B">
              <w:rPr>
                <w:rFonts w:ascii="Arial" w:hAnsi="Arial" w:cs="Arial"/>
                <w:sz w:val="20"/>
                <w:szCs w:val="20"/>
              </w:rPr>
              <w:t>&gt;5</w:t>
            </w:r>
            <w:r w:rsidRPr="00860F3B">
              <w:rPr>
                <w:rFonts w:ascii="Arial" w:hAnsi="Arial" w:cs="Arial"/>
                <w:sz w:val="20"/>
                <w:szCs w:val="20"/>
                <w:vertAlign w:val="superscript"/>
              </w:rPr>
              <w:t>3)</w:t>
            </w:r>
            <w:r w:rsidRPr="00860F3B">
              <w:rPr>
                <w:rFonts w:ascii="Arial" w:hAnsi="Arial" w:cs="Arial"/>
                <w:sz w:val="20"/>
                <w:szCs w:val="20"/>
              </w:rPr>
              <w:t xml:space="preserve"> </w:t>
            </w:r>
          </w:p>
        </w:tc>
      </w:tr>
      <w:tr w:rsidR="00F11A1D" w:rsidRPr="00860F3B" w14:paraId="1F268048" w14:textId="77777777" w:rsidTr="0028425A">
        <w:trPr>
          <w:trHeight w:val="317"/>
        </w:trPr>
        <w:tc>
          <w:tcPr>
            <w:tcW w:w="1598" w:type="dxa"/>
          </w:tcPr>
          <w:p w14:paraId="1B820C4F" w14:textId="77777777" w:rsidR="00F11A1D" w:rsidRPr="00860F3B" w:rsidRDefault="00F11A1D" w:rsidP="0028425A">
            <w:pPr>
              <w:rPr>
                <w:rFonts w:ascii="Arial" w:eastAsia="Lucida Sans Unicode" w:hAnsi="Arial" w:cs="Arial"/>
                <w:sz w:val="20"/>
                <w:szCs w:val="20"/>
              </w:rPr>
            </w:pPr>
            <w:r w:rsidRPr="00860F3B">
              <w:rPr>
                <w:rFonts w:ascii="Arial" w:hAnsi="Arial" w:cs="Arial"/>
                <w:sz w:val="20"/>
                <w:szCs w:val="20"/>
              </w:rPr>
              <w:t>Nitrate (NO</w:t>
            </w:r>
            <w:r w:rsidRPr="00860F3B">
              <w:rPr>
                <w:rFonts w:ascii="Arial" w:hAnsi="Arial" w:cs="Arial"/>
                <w:sz w:val="20"/>
                <w:szCs w:val="20"/>
                <w:vertAlign w:val="subscript"/>
              </w:rPr>
              <w:t>3</w:t>
            </w:r>
            <w:r w:rsidRPr="00860F3B">
              <w:rPr>
                <w:rFonts w:ascii="Arial" w:hAnsi="Arial" w:cs="Arial"/>
                <w:sz w:val="20"/>
                <w:szCs w:val="20"/>
              </w:rPr>
              <w:t>-N) (mg/L)</w:t>
            </w:r>
          </w:p>
        </w:tc>
        <w:tc>
          <w:tcPr>
            <w:tcW w:w="1242" w:type="dxa"/>
          </w:tcPr>
          <w:p w14:paraId="671EFC47"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0.04 - 0.05</w:t>
            </w:r>
          </w:p>
        </w:tc>
        <w:tc>
          <w:tcPr>
            <w:tcW w:w="1134" w:type="dxa"/>
          </w:tcPr>
          <w:p w14:paraId="2AC117DF"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0.04 - 0.05</w:t>
            </w:r>
          </w:p>
        </w:tc>
        <w:tc>
          <w:tcPr>
            <w:tcW w:w="1276" w:type="dxa"/>
          </w:tcPr>
          <w:p w14:paraId="4CBD84F3"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0.04 - 0.05</w:t>
            </w:r>
          </w:p>
        </w:tc>
        <w:tc>
          <w:tcPr>
            <w:tcW w:w="1134" w:type="dxa"/>
          </w:tcPr>
          <w:p w14:paraId="1DA24E4C"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0.03 - 0.05</w:t>
            </w:r>
          </w:p>
        </w:tc>
        <w:tc>
          <w:tcPr>
            <w:tcW w:w="1296" w:type="dxa"/>
          </w:tcPr>
          <w:p w14:paraId="76A28249"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0.05 - 0.17</w:t>
            </w:r>
          </w:p>
        </w:tc>
        <w:tc>
          <w:tcPr>
            <w:tcW w:w="1256" w:type="dxa"/>
          </w:tcPr>
          <w:p w14:paraId="536D3210" w14:textId="77777777" w:rsidR="00F11A1D" w:rsidRPr="00860F3B" w:rsidRDefault="00F11A1D" w:rsidP="0028425A">
            <w:pPr>
              <w:jc w:val="center"/>
              <w:rPr>
                <w:rFonts w:ascii="Arial" w:hAnsi="Arial" w:cs="Arial"/>
                <w:sz w:val="20"/>
                <w:szCs w:val="20"/>
                <w:vertAlign w:val="superscript"/>
              </w:rPr>
            </w:pPr>
            <w:r w:rsidRPr="00860F3B">
              <w:rPr>
                <w:rFonts w:ascii="Arial" w:hAnsi="Arial" w:cs="Arial"/>
                <w:sz w:val="20"/>
                <w:szCs w:val="20"/>
              </w:rPr>
              <w:t>0.02 - 0.04</w:t>
            </w:r>
            <w:r w:rsidRPr="00860F3B">
              <w:rPr>
                <w:rFonts w:ascii="Arial" w:hAnsi="Arial" w:cs="Arial"/>
                <w:sz w:val="20"/>
                <w:szCs w:val="20"/>
                <w:vertAlign w:val="superscript"/>
              </w:rPr>
              <w:t>4)</w:t>
            </w:r>
          </w:p>
        </w:tc>
      </w:tr>
      <w:tr w:rsidR="00F11A1D" w:rsidRPr="00860F3B" w14:paraId="1FFE3566" w14:textId="77777777" w:rsidTr="0028425A">
        <w:trPr>
          <w:trHeight w:val="144"/>
        </w:trPr>
        <w:tc>
          <w:tcPr>
            <w:tcW w:w="1598" w:type="dxa"/>
            <w:tcBorders>
              <w:bottom w:val="single" w:sz="4" w:space="0" w:color="auto"/>
            </w:tcBorders>
          </w:tcPr>
          <w:p w14:paraId="23141649" w14:textId="77777777" w:rsidR="00F11A1D" w:rsidRPr="00860F3B" w:rsidRDefault="00F11A1D" w:rsidP="0028425A">
            <w:pPr>
              <w:rPr>
                <w:rFonts w:ascii="Arial" w:hAnsi="Arial" w:cs="Arial"/>
                <w:sz w:val="20"/>
                <w:szCs w:val="20"/>
              </w:rPr>
            </w:pPr>
            <w:r w:rsidRPr="00860F3B">
              <w:rPr>
                <w:rFonts w:ascii="Arial" w:hAnsi="Arial" w:cs="Arial"/>
                <w:sz w:val="20"/>
                <w:szCs w:val="20"/>
              </w:rPr>
              <w:t>Phosphorus (PO</w:t>
            </w:r>
            <w:r w:rsidRPr="00860F3B">
              <w:rPr>
                <w:rFonts w:ascii="Arial" w:hAnsi="Arial" w:cs="Arial"/>
                <w:sz w:val="20"/>
                <w:szCs w:val="20"/>
                <w:vertAlign w:val="subscript"/>
              </w:rPr>
              <w:t>4</w:t>
            </w:r>
            <w:r w:rsidRPr="00860F3B">
              <w:rPr>
                <w:rFonts w:ascii="Arial" w:hAnsi="Arial" w:cs="Arial"/>
                <w:sz w:val="20"/>
                <w:szCs w:val="20"/>
              </w:rPr>
              <w:t>-P) (mg/L)</w:t>
            </w:r>
          </w:p>
        </w:tc>
        <w:tc>
          <w:tcPr>
            <w:tcW w:w="1242" w:type="dxa"/>
            <w:tcBorders>
              <w:bottom w:val="single" w:sz="4" w:space="0" w:color="auto"/>
            </w:tcBorders>
          </w:tcPr>
          <w:p w14:paraId="54A7B6F9"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0 - 0.23</w:t>
            </w:r>
          </w:p>
        </w:tc>
        <w:tc>
          <w:tcPr>
            <w:tcW w:w="1134" w:type="dxa"/>
            <w:tcBorders>
              <w:bottom w:val="single" w:sz="4" w:space="0" w:color="auto"/>
            </w:tcBorders>
          </w:tcPr>
          <w:p w14:paraId="41236119"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0.05 - 0.19</w:t>
            </w:r>
          </w:p>
        </w:tc>
        <w:tc>
          <w:tcPr>
            <w:tcW w:w="1276" w:type="dxa"/>
            <w:tcBorders>
              <w:bottom w:val="single" w:sz="4" w:space="0" w:color="auto"/>
            </w:tcBorders>
          </w:tcPr>
          <w:p w14:paraId="0550D27A"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0 - 0.06</w:t>
            </w:r>
          </w:p>
        </w:tc>
        <w:tc>
          <w:tcPr>
            <w:tcW w:w="1134" w:type="dxa"/>
            <w:tcBorders>
              <w:bottom w:val="single" w:sz="4" w:space="0" w:color="auto"/>
            </w:tcBorders>
          </w:tcPr>
          <w:p w14:paraId="08A7565C"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0 - 0.03</w:t>
            </w:r>
          </w:p>
        </w:tc>
        <w:tc>
          <w:tcPr>
            <w:tcW w:w="1296" w:type="dxa"/>
            <w:tcBorders>
              <w:bottom w:val="single" w:sz="4" w:space="0" w:color="auto"/>
            </w:tcBorders>
          </w:tcPr>
          <w:p w14:paraId="16A8B834" w14:textId="77777777" w:rsidR="00F11A1D" w:rsidRPr="00860F3B" w:rsidRDefault="00F11A1D" w:rsidP="0028425A">
            <w:pPr>
              <w:jc w:val="center"/>
              <w:rPr>
                <w:rFonts w:ascii="Arial" w:eastAsia="Lucida Sans Unicode" w:hAnsi="Arial" w:cs="Arial"/>
                <w:sz w:val="20"/>
                <w:szCs w:val="20"/>
              </w:rPr>
            </w:pPr>
            <w:r w:rsidRPr="00860F3B">
              <w:rPr>
                <w:rFonts w:ascii="Arial" w:eastAsia="Times New Roman" w:hAnsi="Arial" w:cs="Arial"/>
                <w:color w:val="000000"/>
                <w:sz w:val="20"/>
                <w:szCs w:val="20"/>
              </w:rPr>
              <w:t>0 - 0.23</w:t>
            </w:r>
          </w:p>
        </w:tc>
        <w:tc>
          <w:tcPr>
            <w:tcW w:w="1256" w:type="dxa"/>
            <w:tcBorders>
              <w:bottom w:val="single" w:sz="4" w:space="0" w:color="auto"/>
            </w:tcBorders>
          </w:tcPr>
          <w:p w14:paraId="61AF5FE1" w14:textId="77777777" w:rsidR="00F11A1D" w:rsidRPr="00860F3B" w:rsidRDefault="00F11A1D" w:rsidP="0028425A">
            <w:pPr>
              <w:jc w:val="center"/>
              <w:rPr>
                <w:rFonts w:ascii="Arial" w:hAnsi="Arial" w:cs="Arial"/>
                <w:sz w:val="20"/>
                <w:szCs w:val="20"/>
                <w:vertAlign w:val="superscript"/>
              </w:rPr>
            </w:pPr>
            <w:r w:rsidRPr="00860F3B">
              <w:rPr>
                <w:rFonts w:ascii="Arial" w:hAnsi="Arial" w:cs="Arial"/>
                <w:sz w:val="20"/>
                <w:szCs w:val="20"/>
              </w:rPr>
              <w:t>0.02- 0.1</w:t>
            </w:r>
            <w:r w:rsidRPr="00860F3B">
              <w:rPr>
                <w:rFonts w:ascii="Arial" w:hAnsi="Arial" w:cs="Arial"/>
                <w:sz w:val="20"/>
                <w:szCs w:val="20"/>
                <w:vertAlign w:val="superscript"/>
              </w:rPr>
              <w:t>4)</w:t>
            </w:r>
          </w:p>
        </w:tc>
      </w:tr>
    </w:tbl>
    <w:p w14:paraId="76534ACA" w14:textId="77777777" w:rsidR="00F11A1D" w:rsidRPr="00860F3B" w:rsidRDefault="00F11A1D" w:rsidP="00F11A1D">
      <w:pPr>
        <w:spacing w:before="240" w:line="360" w:lineRule="auto"/>
        <w:rPr>
          <w:rFonts w:ascii="Arial" w:hAnsi="Arial" w:cs="Arial"/>
          <w:noProof/>
        </w:rPr>
      </w:pPr>
      <w:r w:rsidRPr="00860F3B">
        <w:rPr>
          <w:rFonts w:ascii="Arial" w:eastAsia="Lucida Sans Unicode" w:hAnsi="Arial" w:cs="Arial"/>
        </w:rPr>
        <w:t xml:space="preserve">Note : </w:t>
      </w:r>
      <w:bookmarkStart w:id="5" w:name="_Hlk178249445"/>
      <w:r w:rsidRPr="00860F3B">
        <w:rPr>
          <w:rFonts w:ascii="Arial" w:hAnsi="Arial" w:cs="Arial"/>
          <w:noProof/>
          <w:vertAlign w:val="superscript"/>
        </w:rPr>
        <w:t>1)</w:t>
      </w:r>
      <w:r w:rsidRPr="00860F3B">
        <w:rPr>
          <w:rFonts w:ascii="Arial" w:hAnsi="Arial" w:cs="Arial"/>
          <w:noProof/>
        </w:rPr>
        <w:t xml:space="preserve"> </w:t>
      </w:r>
      <w:r w:rsidRPr="00860F3B">
        <w:rPr>
          <w:rFonts w:ascii="Arial" w:hAnsi="Arial" w:cs="Arial"/>
        </w:rPr>
        <w:fldChar w:fldCharType="begin" w:fldLock="1"/>
      </w:r>
      <w:r w:rsidRPr="00860F3B">
        <w:rPr>
          <w:rFonts w:ascii="Arial" w:hAnsi="Arial" w:cs="Arial"/>
        </w:rPr>
        <w:instrText>ADDIN CSL_CITATION {"citationItems":[{"id":"ITEM-1","itemData":{"abstract":"… Standar ini disusun sebagai upaya meningkatkan jaminan mutu dan keamanan pangan mengingat proses produksi mempunyai pengaruh terhadap mutu rumput laut yang dihasilkan …","author":[{"dropping-particle":"","family":"BSN","given":"","non-dropping-particle":"","parse-names":false,"suffix":""}],"container-title":"Badan Standar Indonesia SNI 7579.2:2010","id":"ITEM-1","issue":"2","issued":{"date-parts":[["2010"]]},"number-of-pages":"1-9","title":"Produksi rumput laut kotoni (Eucheuma cottonii ) - Bagian 2: Metode long-line","type":"report"},"uris":["http://www.mendeley.com/documents/?uuid=0e3c1007-fa4f-459a-8619-d4a60e27fd06"]}],"mendeley":{"formattedCitation":"(BSN, 2010)","manualFormatting":"BSN (2010)","plainTextFormattedCitation":"(BSN, 2010)","previouslyFormattedCitation":"(BSN, 2010)"},"properties":{"noteIndex":0},"schema":"https://github.com/citation-style-language/schema/raw/master/csl-citation.json"}</w:instrText>
      </w:r>
      <w:r w:rsidRPr="00860F3B">
        <w:rPr>
          <w:rFonts w:ascii="Arial" w:hAnsi="Arial" w:cs="Arial"/>
        </w:rPr>
        <w:fldChar w:fldCharType="separate"/>
      </w:r>
      <w:r w:rsidRPr="00860F3B">
        <w:rPr>
          <w:rFonts w:ascii="Arial" w:hAnsi="Arial" w:cs="Arial"/>
          <w:noProof/>
        </w:rPr>
        <w:t>BSN (2010)</w:t>
      </w:r>
      <w:r w:rsidRPr="00860F3B">
        <w:rPr>
          <w:rFonts w:ascii="Arial" w:hAnsi="Arial" w:cs="Arial"/>
        </w:rPr>
        <w:fldChar w:fldCharType="end"/>
      </w:r>
      <w:r w:rsidRPr="00860F3B">
        <w:rPr>
          <w:rFonts w:ascii="Arial" w:hAnsi="Arial" w:cs="Arial"/>
        </w:rPr>
        <w:t>:</w:t>
      </w:r>
      <w:r w:rsidRPr="00860F3B">
        <w:rPr>
          <w:rFonts w:ascii="Arial" w:hAnsi="Arial" w:cs="Arial"/>
          <w:noProof/>
        </w:rPr>
        <w:t xml:space="preserve"> </w:t>
      </w:r>
      <w:r w:rsidRPr="00860F3B">
        <w:rPr>
          <w:rFonts w:ascii="Arial" w:hAnsi="Arial" w:cs="Arial"/>
          <w:noProof/>
          <w:vertAlign w:val="superscript"/>
        </w:rPr>
        <w:t xml:space="preserve">2) </w:t>
      </w:r>
      <w:r w:rsidRPr="00860F3B">
        <w:rPr>
          <w:rFonts w:ascii="Arial" w:hAnsi="Arial" w:cs="Arial"/>
          <w:noProof/>
        </w:rPr>
        <w:fldChar w:fldCharType="begin" w:fldLock="1"/>
      </w:r>
      <w:r w:rsidRPr="00860F3B">
        <w:rPr>
          <w:rFonts w:ascii="Arial" w:hAnsi="Arial" w:cs="Arial"/>
          <w:noProof/>
        </w:rPr>
        <w:instrText>ADDIN CSL_CITATION {"citationItems":[{"id":"ITEM-1","itemData":{"ISSN":"18449166","abstract":"Seaweed cultivation is one of the alternative livelihoods that could support the economy of the small island communities. However, the good growth of seaweed is intrinsically linked to the physical-chemical conditions of the seaweed cultivation area. Therefore, the objectives of this study were to assess and compare the physical-chemical conditions of seaweed farming areas and their relationship with seaweed growth in the Spermonde Archipelago, one of the major seaweed cultivation areas in South Sulawesi, Indonesia. The physical-chemical parameters measured in the field or through laboratory analysis included temperature, salinity, pH, dissolved oxygen (DO), phosphate (PO4), nitrate (NO3), and carbon dioxide (CO2). Data were collected from June to September 2019 from the waters around the islands of Balang Caddi (BC), Polewali (Pw), and Laiya (Ly), and in the coastal areas of Bonto Pannu (BP) and Punaga (Pg) villages. Data on seaweed growth was collected from seaweed (Kappaphycus alvarezii) farming trials using different culture methods (longlines, polyethylene nets, and baskets) at two sites (BC and Ly Islands) starting in June with further monthly planting from July to September. The physical-chemical parameters were similar for all sites and in general, met the acceptance criteria for K. alvarezii growth; however, seaweed growth was affected by the cultivation method applied. The growth of seaweed cultivated with the longline method was constrained by the presence of epiphytes attached to the thallus. However, with the polyethylene net and basket methods, the epiphytes were much reduced, resulting in improved growth and bright green seaweed thalli.","author":[{"dropping-particle":"","family":"Jalil","given":"Abdul R.","non-dropping-particle":"","parse-names":false,"suffix":""},{"dropping-particle":"","family":"Samawi","given":"Muhammad F.","non-dropping-particle":"","parse-names":false,"suffix":""},{"dropping-particle":"","family":"Azis","given":"Hasni Y.","non-dropping-particle":"","parse-names":false,"suffix":""},{"dropping-particle":"","family":"Jaya","given":"Ilham","non-dropping-particle":"","parse-names":false,"suffix":""},{"dropping-particle":"","family":"Malik","given":"Abdul","non-dropping-particle":"","parse-names":false,"suffix":""},{"dropping-particle":"","family":"Yunus","given":"Ibrahim","non-dropping-particle":"","parse-names":false,"suffix":""},{"dropping-particle":"","family":"Achmad Sohopi","given":"Muhammad A.","non-dropping-particle":"","parse-names":false,"suffix":""}],"container-title":"AACL Bioflux","id":"ITEM-1","issue":"4","issued":{"date-parts":[["2020"]]},"page":"2071-2082","title":"Comparison of physical-chemical conditions for seaweed cultivation in the spermonde archipelago, Indonesia","type":"article-journal","volume":"13"},"uris":["http://www.mendeley.com/documents/?uuid=fbe3d1b8-b08e-480e-84ac-01f141033577"]}],"mendeley":{"formattedCitation":"(Jalil et al., 2020)","manualFormatting":"Jalil et al. (2020)","plainTextFormattedCitation":"(Jalil et al., 2020)","previouslyFormattedCitation":"(Jalil et al., 2020)"},"properties":{"noteIndex":0},"schema":"https://github.com/citation-style-language/schema/raw/master/csl-citation.json"}</w:instrText>
      </w:r>
      <w:r w:rsidRPr="00860F3B">
        <w:rPr>
          <w:rFonts w:ascii="Arial" w:hAnsi="Arial" w:cs="Arial"/>
          <w:noProof/>
        </w:rPr>
        <w:fldChar w:fldCharType="separate"/>
      </w:r>
      <w:r w:rsidRPr="00860F3B">
        <w:rPr>
          <w:rFonts w:ascii="Arial" w:hAnsi="Arial" w:cs="Arial"/>
          <w:noProof/>
        </w:rPr>
        <w:t>Jalil e</w:t>
      </w:r>
      <w:r w:rsidRPr="00860F3B">
        <w:rPr>
          <w:rFonts w:ascii="Arial" w:hAnsi="Arial" w:cs="Arial"/>
          <w:i/>
          <w:iCs/>
          <w:noProof/>
        </w:rPr>
        <w:t>t al</w:t>
      </w:r>
      <w:r w:rsidRPr="00860F3B">
        <w:rPr>
          <w:rFonts w:ascii="Arial" w:hAnsi="Arial" w:cs="Arial"/>
          <w:noProof/>
        </w:rPr>
        <w:t>. (2020)</w:t>
      </w:r>
      <w:r w:rsidRPr="00860F3B">
        <w:rPr>
          <w:rFonts w:ascii="Arial" w:hAnsi="Arial" w:cs="Arial"/>
          <w:noProof/>
        </w:rPr>
        <w:fldChar w:fldCharType="end"/>
      </w:r>
      <w:r w:rsidRPr="00860F3B">
        <w:rPr>
          <w:rFonts w:ascii="Arial" w:hAnsi="Arial" w:cs="Arial"/>
          <w:noProof/>
        </w:rPr>
        <w:t xml:space="preserve">; </w:t>
      </w:r>
      <w:r w:rsidRPr="00860F3B">
        <w:rPr>
          <w:rFonts w:ascii="Arial" w:hAnsi="Arial" w:cs="Arial"/>
          <w:noProof/>
          <w:vertAlign w:val="superscript"/>
        </w:rPr>
        <w:t>3)</w:t>
      </w:r>
      <w:r w:rsidRPr="00860F3B">
        <w:rPr>
          <w:rFonts w:ascii="Arial" w:hAnsi="Arial" w:cs="Arial"/>
          <w:noProof/>
        </w:rPr>
        <w:t xml:space="preserve"> Ullah </w:t>
      </w:r>
      <w:r w:rsidRPr="00860F3B">
        <w:rPr>
          <w:rFonts w:ascii="Arial" w:hAnsi="Arial" w:cs="Arial"/>
          <w:i/>
          <w:iCs/>
          <w:noProof/>
        </w:rPr>
        <w:t>et al</w:t>
      </w:r>
      <w:r w:rsidRPr="00860F3B">
        <w:rPr>
          <w:rFonts w:ascii="Arial" w:hAnsi="Arial" w:cs="Arial"/>
          <w:noProof/>
        </w:rPr>
        <w:t xml:space="preserve">. (2023); </w:t>
      </w:r>
      <w:r w:rsidRPr="00860F3B">
        <w:rPr>
          <w:rFonts w:ascii="Arial" w:hAnsi="Arial" w:cs="Arial"/>
          <w:noProof/>
          <w:vertAlign w:val="superscript"/>
        </w:rPr>
        <w:t>4)</w:t>
      </w:r>
      <w:r w:rsidRPr="00860F3B">
        <w:rPr>
          <w:rFonts w:ascii="Arial" w:hAnsi="Arial" w:cs="Arial"/>
          <w:noProof/>
        </w:rPr>
        <w:t xml:space="preserve"> Sarjito </w:t>
      </w:r>
      <w:r w:rsidRPr="00860F3B">
        <w:rPr>
          <w:rFonts w:ascii="Arial" w:hAnsi="Arial" w:cs="Arial"/>
          <w:i/>
          <w:iCs/>
          <w:noProof/>
        </w:rPr>
        <w:t>et al</w:t>
      </w:r>
      <w:r w:rsidRPr="00860F3B">
        <w:rPr>
          <w:rFonts w:ascii="Arial" w:hAnsi="Arial" w:cs="Arial"/>
          <w:noProof/>
        </w:rPr>
        <w:t>. (2022)</w:t>
      </w:r>
    </w:p>
    <w:p w14:paraId="7469252F" w14:textId="77777777" w:rsidR="00F11A1D" w:rsidRDefault="00F11A1D" w:rsidP="00F11A1D">
      <w:pPr>
        <w:jc w:val="both"/>
        <w:rPr>
          <w:noProof/>
          <w:vertAlign w:val="superscript"/>
        </w:rPr>
      </w:pPr>
    </w:p>
    <w:bookmarkEnd w:id="5"/>
    <w:p w14:paraId="00C47B62" w14:textId="33EE4946" w:rsidR="00F11A1D" w:rsidRPr="00860F3B" w:rsidRDefault="00860F3B" w:rsidP="00F11A1D">
      <w:pPr>
        <w:spacing w:line="360" w:lineRule="auto"/>
        <w:rPr>
          <w:rFonts w:ascii="Arial" w:hAnsi="Arial" w:cs="Arial"/>
          <w:b/>
          <w:bCs/>
          <w:sz w:val="22"/>
          <w:szCs w:val="22"/>
        </w:rPr>
      </w:pPr>
      <w:r>
        <w:rPr>
          <w:rFonts w:ascii="Arial" w:hAnsi="Arial" w:cs="Arial"/>
          <w:b/>
          <w:bCs/>
          <w:sz w:val="22"/>
          <w:szCs w:val="22"/>
        </w:rPr>
        <w:t>3</w:t>
      </w:r>
      <w:r w:rsidR="00F11A1D" w:rsidRPr="00860F3B">
        <w:rPr>
          <w:rFonts w:ascii="Arial" w:hAnsi="Arial" w:cs="Arial"/>
          <w:b/>
          <w:bCs/>
          <w:sz w:val="22"/>
          <w:szCs w:val="22"/>
        </w:rPr>
        <w:t>.2. Discussion</w:t>
      </w:r>
    </w:p>
    <w:p w14:paraId="0CBE0318" w14:textId="0BB55F8B" w:rsidR="00F11A1D" w:rsidRPr="00860F3B" w:rsidRDefault="00860F3B" w:rsidP="00F11A1D">
      <w:pPr>
        <w:spacing w:line="360" w:lineRule="auto"/>
        <w:rPr>
          <w:rFonts w:ascii="Arial" w:hAnsi="Arial" w:cs="Arial"/>
          <w:b/>
          <w:bCs/>
          <w:u w:val="single"/>
        </w:rPr>
      </w:pPr>
      <w:r>
        <w:rPr>
          <w:rFonts w:ascii="Arial" w:hAnsi="Arial" w:cs="Arial"/>
          <w:b/>
          <w:bCs/>
          <w:u w:val="single"/>
        </w:rPr>
        <w:t>3</w:t>
      </w:r>
      <w:r w:rsidR="00F11A1D" w:rsidRPr="00860F3B">
        <w:rPr>
          <w:rFonts w:ascii="Arial" w:hAnsi="Arial" w:cs="Arial"/>
          <w:b/>
          <w:bCs/>
          <w:u w:val="single"/>
        </w:rPr>
        <w:t>.2.1. Growth</w:t>
      </w:r>
    </w:p>
    <w:p w14:paraId="708974CD" w14:textId="77777777"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Growth is defined as a change in the size of an organism that can be in the form of weight or length in a certain time. The growth of seaweed, G. v</w:t>
      </w:r>
      <w:r w:rsidRPr="009455E7">
        <w:rPr>
          <w:rFonts w:ascii="Arial" w:eastAsia="Lucida Sans Unicode" w:hAnsi="Arial" w:cs="Arial"/>
          <w:i/>
          <w:iCs/>
          <w:lang w:val="en-ID"/>
        </w:rPr>
        <w:t>errucosa</w:t>
      </w:r>
      <w:r w:rsidRPr="00860F3B">
        <w:rPr>
          <w:rFonts w:ascii="Arial" w:eastAsia="Lucida Sans Unicode" w:hAnsi="Arial" w:cs="Arial"/>
          <w:lang w:val="en-ID"/>
        </w:rPr>
        <w:t xml:space="preserve"> is strongly influenced by two factors, namely external factors and internal factors. Internal factors that affect the growth of seaweed include type, strain, thallus parts and age, while external factors that affect include the physical and chemical environment of the waters (Indrayani </w:t>
      </w:r>
      <w:r w:rsidRPr="009455E7">
        <w:rPr>
          <w:rFonts w:ascii="Arial" w:eastAsia="Lucida Sans Unicode" w:hAnsi="Arial" w:cs="Arial"/>
          <w:i/>
          <w:iCs/>
          <w:lang w:val="en-ID"/>
        </w:rPr>
        <w:t>et al</w:t>
      </w:r>
      <w:r w:rsidRPr="00860F3B">
        <w:rPr>
          <w:rFonts w:ascii="Arial" w:eastAsia="Lucida Sans Unicode" w:hAnsi="Arial" w:cs="Arial"/>
          <w:lang w:val="en-ID"/>
        </w:rPr>
        <w:t>., 2021). However, in addition to these factors, there are other factors, namely management factors carried out by farmers, for example with monoculture systems or integrated systems (</w:t>
      </w:r>
      <w:proofErr w:type="spellStart"/>
      <w:r w:rsidRPr="00860F3B">
        <w:rPr>
          <w:rFonts w:ascii="Arial" w:eastAsia="Lucida Sans Unicode" w:hAnsi="Arial" w:cs="Arial"/>
          <w:lang w:val="en-ID"/>
        </w:rPr>
        <w:t>Yuniarsih</w:t>
      </w:r>
      <w:proofErr w:type="spellEnd"/>
      <w:r w:rsidRPr="00860F3B">
        <w:rPr>
          <w:rFonts w:ascii="Arial" w:eastAsia="Lucida Sans Unicode" w:hAnsi="Arial" w:cs="Arial"/>
          <w:lang w:val="en-ID"/>
        </w:rPr>
        <w:t xml:space="preserve"> </w:t>
      </w:r>
      <w:r w:rsidRPr="009455E7">
        <w:rPr>
          <w:rFonts w:ascii="Arial" w:eastAsia="Lucida Sans Unicode" w:hAnsi="Arial" w:cs="Arial"/>
          <w:i/>
          <w:iCs/>
          <w:lang w:val="en-ID"/>
        </w:rPr>
        <w:t>et al</w:t>
      </w:r>
      <w:r w:rsidRPr="00860F3B">
        <w:rPr>
          <w:rFonts w:ascii="Arial" w:eastAsia="Lucida Sans Unicode" w:hAnsi="Arial" w:cs="Arial"/>
          <w:lang w:val="en-ID"/>
        </w:rPr>
        <w:t>., 2014). The growth performance of cultivated species with integrated systems shows very good results, especially inorganic material absorbing species, such as seaweed (</w:t>
      </w:r>
      <w:proofErr w:type="spellStart"/>
      <w:r w:rsidRPr="00860F3B">
        <w:rPr>
          <w:rFonts w:ascii="Arial" w:eastAsia="Lucida Sans Unicode" w:hAnsi="Arial" w:cs="Arial"/>
          <w:lang w:val="en-ID"/>
        </w:rPr>
        <w:t>Radiarta</w:t>
      </w:r>
      <w:proofErr w:type="spellEnd"/>
      <w:r w:rsidRPr="00860F3B">
        <w:rPr>
          <w:rFonts w:ascii="Arial" w:eastAsia="Lucida Sans Unicode" w:hAnsi="Arial" w:cs="Arial"/>
          <w:lang w:val="en-ID"/>
        </w:rPr>
        <w:t xml:space="preserve"> &amp; </w:t>
      </w:r>
      <w:proofErr w:type="spellStart"/>
      <w:r w:rsidRPr="00860F3B">
        <w:rPr>
          <w:rFonts w:ascii="Arial" w:eastAsia="Lucida Sans Unicode" w:hAnsi="Arial" w:cs="Arial"/>
          <w:lang w:val="en-ID"/>
        </w:rPr>
        <w:t>Erlania</w:t>
      </w:r>
      <w:proofErr w:type="spellEnd"/>
      <w:r w:rsidRPr="00860F3B">
        <w:rPr>
          <w:rFonts w:ascii="Arial" w:eastAsia="Lucida Sans Unicode" w:hAnsi="Arial" w:cs="Arial"/>
          <w:lang w:val="en-ID"/>
        </w:rPr>
        <w:t>, 2016).</w:t>
      </w:r>
    </w:p>
    <w:p w14:paraId="6452D3F2" w14:textId="3C08EA5B" w:rsidR="00F11A1D" w:rsidRPr="00860F3B"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In this study, the growth performance of G. </w:t>
      </w:r>
      <w:r w:rsidRPr="009455E7">
        <w:rPr>
          <w:rFonts w:ascii="Arial" w:hAnsi="Arial" w:cs="Arial"/>
          <w:i/>
          <w:iCs/>
          <w:lang w:val="en-ID"/>
        </w:rPr>
        <w:t>verrucosa</w:t>
      </w:r>
      <w:r w:rsidRPr="00860F3B">
        <w:rPr>
          <w:rFonts w:ascii="Arial" w:hAnsi="Arial" w:cs="Arial"/>
          <w:lang w:val="en-ID"/>
        </w:rPr>
        <w:t xml:space="preserve"> cultivated in the vicinity of floating net cages (</w:t>
      </w:r>
      <w:r w:rsidR="009455E7">
        <w:rPr>
          <w:rFonts w:ascii="Arial" w:hAnsi="Arial" w:cs="Arial"/>
          <w:lang w:val="en-ID"/>
        </w:rPr>
        <w:t>FNC</w:t>
      </w:r>
      <w:r w:rsidRPr="00860F3B">
        <w:rPr>
          <w:rFonts w:ascii="Arial" w:hAnsi="Arial" w:cs="Arial"/>
          <w:lang w:val="en-ID"/>
        </w:rPr>
        <w:t xml:space="preserve">) or integrated systems was significantly different from that of G. </w:t>
      </w:r>
      <w:r w:rsidRPr="009455E7">
        <w:rPr>
          <w:rFonts w:ascii="Arial" w:hAnsi="Arial" w:cs="Arial"/>
          <w:i/>
          <w:iCs/>
          <w:lang w:val="en-ID"/>
        </w:rPr>
        <w:t>verrucosa</w:t>
      </w:r>
      <w:r w:rsidRPr="00860F3B">
        <w:rPr>
          <w:rFonts w:ascii="Arial" w:hAnsi="Arial" w:cs="Arial"/>
          <w:lang w:val="en-ID"/>
        </w:rPr>
        <w:t xml:space="preserve"> cultivated without </w:t>
      </w:r>
      <w:r w:rsidR="009455E7">
        <w:rPr>
          <w:rFonts w:ascii="Arial" w:hAnsi="Arial" w:cs="Arial"/>
          <w:lang w:val="en-ID"/>
        </w:rPr>
        <w:t>FNC</w:t>
      </w:r>
      <w:r w:rsidRPr="00860F3B">
        <w:rPr>
          <w:rFonts w:ascii="Arial" w:hAnsi="Arial" w:cs="Arial"/>
          <w:lang w:val="en-ID"/>
        </w:rPr>
        <w:t xml:space="preserve"> (control), whether the floating rafts were located in the north, south, east and west. The higher growth performance (growth and specific growth rate) of seaweed cultivated at the </w:t>
      </w:r>
      <w:r w:rsidR="009455E7">
        <w:rPr>
          <w:rFonts w:ascii="Arial" w:hAnsi="Arial" w:cs="Arial"/>
          <w:lang w:val="en-ID"/>
        </w:rPr>
        <w:t>FNC</w:t>
      </w:r>
      <w:r w:rsidRPr="00860F3B">
        <w:rPr>
          <w:rFonts w:ascii="Arial" w:hAnsi="Arial" w:cs="Arial"/>
          <w:lang w:val="en-ID"/>
        </w:rPr>
        <w:t xml:space="preserve"> site compared to the control site was positively correlated with the level </w:t>
      </w:r>
      <w:r w:rsidRPr="00860F3B">
        <w:rPr>
          <w:rFonts w:ascii="Arial" w:hAnsi="Arial" w:cs="Arial"/>
          <w:lang w:val="en-ID"/>
        </w:rPr>
        <w:lastRenderedPageBreak/>
        <w:t>of nitrate and phosphorus uptake (</w:t>
      </w:r>
      <w:r w:rsidR="000066C6" w:rsidRPr="000066C6">
        <w:rPr>
          <w:rFonts w:ascii="Arial" w:hAnsi="Arial" w:cs="Arial"/>
          <w:lang w:val="en-ID"/>
        </w:rPr>
        <w:t>Fig</w:t>
      </w:r>
      <w:r w:rsidR="000066C6">
        <w:rPr>
          <w:rFonts w:ascii="Arial" w:hAnsi="Arial" w:cs="Arial"/>
          <w:lang w:val="en-ID"/>
        </w:rPr>
        <w:t>.</w:t>
      </w:r>
      <w:r w:rsidRPr="00860F3B">
        <w:rPr>
          <w:rFonts w:ascii="Arial" w:hAnsi="Arial" w:cs="Arial"/>
          <w:lang w:val="en-ID"/>
        </w:rPr>
        <w:t xml:space="preserve"> 5). Nitrogen and phosphorus are needed by seaweed to grow optimally (Zainuddin &amp; </w:t>
      </w:r>
      <w:proofErr w:type="spellStart"/>
      <w:r w:rsidRPr="00860F3B">
        <w:rPr>
          <w:rFonts w:ascii="Arial" w:hAnsi="Arial" w:cs="Arial"/>
          <w:lang w:val="en-ID"/>
        </w:rPr>
        <w:t>Nofianti</w:t>
      </w:r>
      <w:proofErr w:type="spellEnd"/>
      <w:r w:rsidRPr="00860F3B">
        <w:rPr>
          <w:rFonts w:ascii="Arial" w:hAnsi="Arial" w:cs="Arial"/>
          <w:lang w:val="en-ID"/>
        </w:rPr>
        <w:t>, 2022). Nitrogen is a macro element that is useful to stimulate the growth of a plant. Lack of N will inhibit seaweed growth because it is an element used in the photosynthesis process. Element P is a constituent of pyrophosphate bonds of ATP (Adenosine Tri Phosphate) which is rich in energy and is the fuel for all biochemical activities in the cell (</w:t>
      </w:r>
      <w:proofErr w:type="spellStart"/>
      <w:r w:rsidRPr="00860F3B">
        <w:rPr>
          <w:rFonts w:ascii="Arial" w:hAnsi="Arial" w:cs="Arial"/>
          <w:lang w:val="en-ID"/>
        </w:rPr>
        <w:t>Setiaji</w:t>
      </w:r>
      <w:proofErr w:type="spellEnd"/>
      <w:r w:rsidRPr="00860F3B">
        <w:rPr>
          <w:rFonts w:ascii="Arial" w:hAnsi="Arial" w:cs="Arial"/>
          <w:lang w:val="en-ID"/>
        </w:rPr>
        <w:t xml:space="preserve"> </w:t>
      </w:r>
      <w:r w:rsidRPr="009455E7">
        <w:rPr>
          <w:rFonts w:ascii="Arial" w:hAnsi="Arial" w:cs="Arial"/>
          <w:i/>
          <w:iCs/>
          <w:lang w:val="en-ID"/>
        </w:rPr>
        <w:t>et al</w:t>
      </w:r>
      <w:r w:rsidRPr="00860F3B">
        <w:rPr>
          <w:rFonts w:ascii="Arial" w:hAnsi="Arial" w:cs="Arial"/>
          <w:lang w:val="en-ID"/>
        </w:rPr>
        <w:t>., 2012).</w:t>
      </w:r>
    </w:p>
    <w:p w14:paraId="1EDBA941" w14:textId="1219739D" w:rsidR="00F11A1D" w:rsidRDefault="00F11A1D" w:rsidP="00A56561">
      <w:pPr>
        <w:spacing w:line="360" w:lineRule="auto"/>
        <w:ind w:firstLine="567"/>
        <w:jc w:val="both"/>
        <w:rPr>
          <w:rFonts w:ascii="Arial" w:hAnsi="Arial" w:cs="Arial"/>
          <w:lang w:val="en-ID"/>
        </w:rPr>
      </w:pPr>
      <w:r w:rsidRPr="00860F3B">
        <w:rPr>
          <w:rFonts w:ascii="Arial" w:hAnsi="Arial" w:cs="Arial"/>
          <w:lang w:val="en-ID"/>
        </w:rPr>
        <w:t xml:space="preserve">The addition of nutrients N and P into seaweed cultivation media, especially in the cultivation system to meet the needs of seaweed to grow well (Zainuddin &amp; </w:t>
      </w:r>
      <w:proofErr w:type="spellStart"/>
      <w:r w:rsidRPr="00860F3B">
        <w:rPr>
          <w:rFonts w:ascii="Arial" w:hAnsi="Arial" w:cs="Arial"/>
          <w:lang w:val="en-ID"/>
        </w:rPr>
        <w:t>Nofianti</w:t>
      </w:r>
      <w:proofErr w:type="spellEnd"/>
      <w:r w:rsidRPr="00860F3B">
        <w:rPr>
          <w:rFonts w:ascii="Arial" w:hAnsi="Arial" w:cs="Arial"/>
          <w:lang w:val="en-ID"/>
        </w:rPr>
        <w:t xml:space="preserve">, 2022). According to </w:t>
      </w:r>
      <w:proofErr w:type="spellStart"/>
      <w:r w:rsidRPr="00860F3B">
        <w:rPr>
          <w:rFonts w:ascii="Arial" w:hAnsi="Arial" w:cs="Arial"/>
          <w:lang w:val="en-ID"/>
        </w:rPr>
        <w:t>Alamsyah</w:t>
      </w:r>
      <w:proofErr w:type="spellEnd"/>
      <w:r w:rsidRPr="00860F3B">
        <w:rPr>
          <w:rFonts w:ascii="Arial" w:hAnsi="Arial" w:cs="Arial"/>
          <w:lang w:val="en-ID"/>
        </w:rPr>
        <w:t xml:space="preserve"> </w:t>
      </w:r>
      <w:r w:rsidRPr="009455E7">
        <w:rPr>
          <w:rFonts w:ascii="Arial" w:hAnsi="Arial" w:cs="Arial"/>
          <w:i/>
          <w:iCs/>
          <w:lang w:val="en-ID"/>
        </w:rPr>
        <w:t>et al</w:t>
      </w:r>
      <w:r w:rsidRPr="00860F3B">
        <w:rPr>
          <w:rFonts w:ascii="Arial" w:hAnsi="Arial" w:cs="Arial"/>
          <w:lang w:val="en-ID"/>
        </w:rPr>
        <w:t xml:space="preserve">. (2009), the combination of NPK and TSP fertilizer with a dose of 2 g / L on the cultivation of seaweed, G. </w:t>
      </w:r>
      <w:r w:rsidRPr="009455E7">
        <w:rPr>
          <w:rFonts w:ascii="Arial" w:hAnsi="Arial" w:cs="Arial"/>
          <w:i/>
          <w:iCs/>
          <w:lang w:val="en-ID"/>
        </w:rPr>
        <w:t>verrucosa</w:t>
      </w:r>
      <w:r w:rsidRPr="00860F3B">
        <w:rPr>
          <w:rFonts w:ascii="Arial" w:hAnsi="Arial" w:cs="Arial"/>
          <w:lang w:val="en-ID"/>
        </w:rPr>
        <w:t xml:space="preserve"> significant effect on growth. In seaweed cultivation with an open system carried out in a body of water, for example in the waters of Ekas Bay, the supply of nutrients N and P as obtained by </w:t>
      </w:r>
      <w:r w:rsidR="009455E7">
        <w:rPr>
          <w:rFonts w:ascii="Arial" w:hAnsi="Arial" w:cs="Arial"/>
          <w:lang w:val="en-ID"/>
        </w:rPr>
        <w:t>FNC</w:t>
      </w:r>
      <w:r w:rsidRPr="00860F3B">
        <w:rPr>
          <w:rFonts w:ascii="Arial" w:hAnsi="Arial" w:cs="Arial"/>
          <w:lang w:val="en-ID"/>
        </w:rPr>
        <w:t xml:space="preserve"> cultivation waste. Based on research by </w:t>
      </w:r>
      <w:proofErr w:type="spellStart"/>
      <w:r w:rsidRPr="00860F3B">
        <w:rPr>
          <w:rFonts w:ascii="Arial" w:hAnsi="Arial" w:cs="Arial"/>
          <w:lang w:val="en-ID"/>
        </w:rPr>
        <w:t>Yuniarsih</w:t>
      </w:r>
      <w:proofErr w:type="spellEnd"/>
      <w:r w:rsidRPr="00860F3B">
        <w:rPr>
          <w:rFonts w:ascii="Arial" w:hAnsi="Arial" w:cs="Arial"/>
          <w:lang w:val="en-ID"/>
        </w:rPr>
        <w:t xml:space="preserve"> </w:t>
      </w:r>
      <w:r w:rsidRPr="009455E7">
        <w:rPr>
          <w:rFonts w:ascii="Arial" w:hAnsi="Arial" w:cs="Arial"/>
          <w:i/>
          <w:iCs/>
          <w:lang w:val="en-ID"/>
        </w:rPr>
        <w:t>et al</w:t>
      </w:r>
      <w:r w:rsidRPr="00860F3B">
        <w:rPr>
          <w:rFonts w:ascii="Arial" w:hAnsi="Arial" w:cs="Arial"/>
          <w:lang w:val="en-ID"/>
        </w:rPr>
        <w:t xml:space="preserve">. (2014) the growth of seaweed, </w:t>
      </w:r>
      <w:proofErr w:type="spellStart"/>
      <w:r w:rsidRPr="009455E7">
        <w:rPr>
          <w:rFonts w:ascii="Arial" w:hAnsi="Arial" w:cs="Arial"/>
          <w:i/>
          <w:iCs/>
          <w:lang w:val="en-ID"/>
        </w:rPr>
        <w:t>Kappaphycus</w:t>
      </w:r>
      <w:proofErr w:type="spellEnd"/>
      <w:r w:rsidRPr="009455E7">
        <w:rPr>
          <w:rFonts w:ascii="Arial" w:hAnsi="Arial" w:cs="Arial"/>
          <w:i/>
          <w:iCs/>
          <w:lang w:val="en-ID"/>
        </w:rPr>
        <w:t xml:space="preserve"> </w:t>
      </w:r>
      <w:proofErr w:type="spellStart"/>
      <w:r w:rsidRPr="009455E7">
        <w:rPr>
          <w:rFonts w:ascii="Arial" w:hAnsi="Arial" w:cs="Arial"/>
          <w:i/>
          <w:iCs/>
          <w:lang w:val="en-ID"/>
        </w:rPr>
        <w:t>alvarezii</w:t>
      </w:r>
      <w:proofErr w:type="spellEnd"/>
      <w:r w:rsidRPr="00860F3B">
        <w:rPr>
          <w:rFonts w:ascii="Arial" w:hAnsi="Arial" w:cs="Arial"/>
          <w:lang w:val="en-ID"/>
        </w:rPr>
        <w:t xml:space="preserve"> and </w:t>
      </w:r>
      <w:r w:rsidRPr="009455E7">
        <w:rPr>
          <w:rFonts w:ascii="Arial" w:hAnsi="Arial" w:cs="Arial"/>
          <w:i/>
          <w:iCs/>
          <w:lang w:val="en-ID"/>
        </w:rPr>
        <w:t>Eucheuma spinosum</w:t>
      </w:r>
      <w:r w:rsidRPr="00860F3B">
        <w:rPr>
          <w:rFonts w:ascii="Arial" w:hAnsi="Arial" w:cs="Arial"/>
          <w:lang w:val="en-ID"/>
        </w:rPr>
        <w:t xml:space="preserve"> cultivated around </w:t>
      </w:r>
      <w:r w:rsidR="009455E7">
        <w:rPr>
          <w:rFonts w:ascii="Arial" w:hAnsi="Arial" w:cs="Arial"/>
          <w:lang w:val="en-ID"/>
        </w:rPr>
        <w:t>FNC</w:t>
      </w:r>
      <w:r w:rsidRPr="00860F3B">
        <w:rPr>
          <w:rFonts w:ascii="Arial" w:hAnsi="Arial" w:cs="Arial"/>
          <w:lang w:val="en-ID"/>
        </w:rPr>
        <w:t xml:space="preserve"> in the waters of </w:t>
      </w:r>
      <w:proofErr w:type="spellStart"/>
      <w:r w:rsidRPr="00860F3B">
        <w:rPr>
          <w:rFonts w:ascii="Arial" w:hAnsi="Arial" w:cs="Arial"/>
          <w:lang w:val="en-ID"/>
        </w:rPr>
        <w:t>Gerupuk</w:t>
      </w:r>
      <w:proofErr w:type="spellEnd"/>
      <w:r w:rsidRPr="00860F3B">
        <w:rPr>
          <w:rFonts w:ascii="Arial" w:hAnsi="Arial" w:cs="Arial"/>
          <w:lang w:val="en-ID"/>
        </w:rPr>
        <w:t xml:space="preserve"> Bay, West Nusa Tenggara Province is higher than the control location. This condition can be caused by the release of dissolved nutrient materials produced by </w:t>
      </w:r>
      <w:r w:rsidR="009455E7">
        <w:rPr>
          <w:rFonts w:ascii="Arial" w:hAnsi="Arial" w:cs="Arial"/>
          <w:lang w:val="en-ID"/>
        </w:rPr>
        <w:t>FNC</w:t>
      </w:r>
      <w:r w:rsidRPr="00860F3B">
        <w:rPr>
          <w:rFonts w:ascii="Arial" w:hAnsi="Arial" w:cs="Arial"/>
          <w:lang w:val="en-ID"/>
        </w:rPr>
        <w:t xml:space="preserve">, especially from fish metabolic waste. Jamal </w:t>
      </w:r>
      <w:r w:rsidRPr="009455E7">
        <w:rPr>
          <w:rFonts w:ascii="Arial" w:hAnsi="Arial" w:cs="Arial"/>
          <w:i/>
          <w:iCs/>
          <w:lang w:val="en-ID"/>
        </w:rPr>
        <w:t>et al</w:t>
      </w:r>
      <w:r w:rsidRPr="00860F3B">
        <w:rPr>
          <w:rFonts w:ascii="Arial" w:hAnsi="Arial" w:cs="Arial"/>
          <w:lang w:val="en-ID"/>
        </w:rPr>
        <w:t xml:space="preserve">. (2013) suggested that fish farming activities can produce carbon (C), nitrogen (N), and phosphorus (P) waste, where dissolved inorganic N (NH3) is released through the excretion process and inorganic C such as CO2 is released through the respiration process. This indicates that seaweed, G. </w:t>
      </w:r>
      <w:r w:rsidRPr="009455E7">
        <w:rPr>
          <w:rFonts w:ascii="Arial" w:hAnsi="Arial" w:cs="Arial"/>
          <w:i/>
          <w:iCs/>
          <w:lang w:val="en-ID"/>
        </w:rPr>
        <w:t>verrucosa</w:t>
      </w:r>
      <w:r w:rsidRPr="00860F3B">
        <w:rPr>
          <w:rFonts w:ascii="Arial" w:hAnsi="Arial" w:cs="Arial"/>
          <w:lang w:val="en-ID"/>
        </w:rPr>
        <w:t xml:space="preserve"> can assimilate dissolved inorganic nitrogen that is abundant in the </w:t>
      </w:r>
      <w:r w:rsidR="009455E7">
        <w:rPr>
          <w:rFonts w:ascii="Arial" w:hAnsi="Arial" w:cs="Arial"/>
          <w:lang w:val="en-ID"/>
        </w:rPr>
        <w:t>FNC</w:t>
      </w:r>
      <w:r w:rsidRPr="00860F3B">
        <w:rPr>
          <w:rFonts w:ascii="Arial" w:hAnsi="Arial" w:cs="Arial"/>
          <w:lang w:val="en-ID"/>
        </w:rPr>
        <w:t xml:space="preserve"> location into organic matter that plays an important role for growth through the process of photosynthesis.</w:t>
      </w:r>
    </w:p>
    <w:p w14:paraId="41F52736" w14:textId="77777777" w:rsidR="00A56561" w:rsidRPr="00A56561" w:rsidRDefault="00A56561" w:rsidP="00A56561">
      <w:pPr>
        <w:spacing w:line="360" w:lineRule="auto"/>
        <w:ind w:firstLine="567"/>
        <w:jc w:val="both"/>
        <w:rPr>
          <w:rFonts w:ascii="Arial" w:hAnsi="Arial" w:cs="Arial"/>
          <w:lang w:val="en-ID"/>
        </w:rPr>
      </w:pPr>
    </w:p>
    <w:p w14:paraId="6BF8D231" w14:textId="10CBAF5F" w:rsidR="00F11A1D" w:rsidRPr="00860F3B" w:rsidRDefault="00860F3B" w:rsidP="00F11A1D">
      <w:pPr>
        <w:spacing w:line="360" w:lineRule="auto"/>
        <w:jc w:val="both"/>
        <w:rPr>
          <w:rFonts w:ascii="Arial" w:hAnsi="Arial" w:cs="Arial"/>
          <w:b/>
          <w:bCs/>
          <w:u w:val="single"/>
        </w:rPr>
      </w:pPr>
      <w:r>
        <w:rPr>
          <w:rFonts w:ascii="Arial" w:hAnsi="Arial" w:cs="Arial"/>
          <w:b/>
          <w:bCs/>
          <w:u w:val="single"/>
        </w:rPr>
        <w:t>3</w:t>
      </w:r>
      <w:r w:rsidR="00F11A1D" w:rsidRPr="00860F3B">
        <w:rPr>
          <w:rFonts w:ascii="Arial" w:hAnsi="Arial" w:cs="Arial"/>
          <w:b/>
          <w:bCs/>
          <w:u w:val="single"/>
        </w:rPr>
        <w:t>.2.2. Production</w:t>
      </w:r>
    </w:p>
    <w:p w14:paraId="43A488C1" w14:textId="6BD4E433" w:rsidR="00F11A1D" w:rsidRPr="00860F3B"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Seaweed production is the end result of growth that refers to the amount of seaweed harvested. Production of G. </w:t>
      </w:r>
      <w:r w:rsidRPr="009455E7">
        <w:rPr>
          <w:rFonts w:ascii="Arial" w:hAnsi="Arial" w:cs="Arial"/>
          <w:i/>
          <w:iCs/>
          <w:lang w:val="en-ID"/>
        </w:rPr>
        <w:t>verrucosa</w:t>
      </w:r>
      <w:r w:rsidRPr="00860F3B">
        <w:rPr>
          <w:rFonts w:ascii="Arial" w:hAnsi="Arial" w:cs="Arial"/>
          <w:lang w:val="en-ID"/>
        </w:rPr>
        <w:t xml:space="preserve"> cultivated around floating net cages (</w:t>
      </w:r>
      <w:r w:rsidR="009455E7">
        <w:rPr>
          <w:rFonts w:ascii="Arial" w:hAnsi="Arial" w:cs="Arial"/>
          <w:lang w:val="en-ID"/>
        </w:rPr>
        <w:t>FNC</w:t>
      </w:r>
      <w:r w:rsidRPr="00860F3B">
        <w:rPr>
          <w:rFonts w:ascii="Arial" w:hAnsi="Arial" w:cs="Arial"/>
          <w:lang w:val="en-ID"/>
        </w:rPr>
        <w:t xml:space="preserve">) or integrated systems differed significantly from the growth of G. </w:t>
      </w:r>
      <w:r w:rsidRPr="009455E7">
        <w:rPr>
          <w:rFonts w:ascii="Arial" w:hAnsi="Arial" w:cs="Arial"/>
          <w:i/>
          <w:iCs/>
          <w:lang w:val="en-ID"/>
        </w:rPr>
        <w:t>verrucosa</w:t>
      </w:r>
      <w:r w:rsidRPr="00860F3B">
        <w:rPr>
          <w:rFonts w:ascii="Arial" w:hAnsi="Arial" w:cs="Arial"/>
          <w:lang w:val="en-ID"/>
        </w:rPr>
        <w:t xml:space="preserve"> cultivated without </w:t>
      </w:r>
      <w:r w:rsidR="009455E7">
        <w:rPr>
          <w:rFonts w:ascii="Arial" w:hAnsi="Arial" w:cs="Arial"/>
          <w:lang w:val="en-ID"/>
        </w:rPr>
        <w:t>FNC</w:t>
      </w:r>
      <w:r w:rsidRPr="00860F3B">
        <w:rPr>
          <w:rFonts w:ascii="Arial" w:hAnsi="Arial" w:cs="Arial"/>
          <w:lang w:val="en-ID"/>
        </w:rPr>
        <w:t xml:space="preserve"> (control), both floating rafts located in the north, south, east and west. Production of G. </w:t>
      </w:r>
      <w:r w:rsidRPr="009455E7">
        <w:rPr>
          <w:rFonts w:ascii="Arial" w:hAnsi="Arial" w:cs="Arial"/>
          <w:i/>
          <w:iCs/>
          <w:lang w:val="en-ID"/>
        </w:rPr>
        <w:t>verruco</w:t>
      </w:r>
      <w:r w:rsidR="0074272C">
        <w:rPr>
          <w:rFonts w:ascii="Arial" w:hAnsi="Arial" w:cs="Arial"/>
          <w:i/>
          <w:iCs/>
          <w:lang w:val="en-ID"/>
        </w:rPr>
        <w:t>s</w:t>
      </w:r>
      <w:r w:rsidRPr="009455E7">
        <w:rPr>
          <w:rFonts w:ascii="Arial" w:hAnsi="Arial" w:cs="Arial"/>
          <w:i/>
          <w:iCs/>
          <w:lang w:val="en-ID"/>
        </w:rPr>
        <w:t xml:space="preserve">a </w:t>
      </w:r>
      <w:r w:rsidRPr="00860F3B">
        <w:rPr>
          <w:rFonts w:ascii="Arial" w:hAnsi="Arial" w:cs="Arial"/>
          <w:lang w:val="en-ID"/>
        </w:rPr>
        <w:t xml:space="preserve">seaweed cultivated on floating rafts around the </w:t>
      </w:r>
      <w:r w:rsidR="009455E7">
        <w:rPr>
          <w:rFonts w:ascii="Arial" w:hAnsi="Arial" w:cs="Arial"/>
          <w:lang w:val="en-ID"/>
        </w:rPr>
        <w:t>FNC</w:t>
      </w:r>
      <w:r w:rsidRPr="00860F3B">
        <w:rPr>
          <w:rFonts w:ascii="Arial" w:hAnsi="Arial" w:cs="Arial"/>
          <w:lang w:val="en-ID"/>
        </w:rPr>
        <w:t xml:space="preserve"> sites ranged from 1 400 - 2 000 g/m</w:t>
      </w:r>
      <w:r w:rsidRPr="009455E7">
        <w:rPr>
          <w:rFonts w:ascii="Arial" w:hAnsi="Arial" w:cs="Arial"/>
          <w:vertAlign w:val="superscript"/>
          <w:lang w:val="en-ID"/>
        </w:rPr>
        <w:t>2</w:t>
      </w:r>
      <w:r w:rsidRPr="00860F3B">
        <w:rPr>
          <w:rFonts w:ascii="Arial" w:hAnsi="Arial" w:cs="Arial"/>
          <w:lang w:val="en-ID"/>
        </w:rPr>
        <w:t xml:space="preserve"> or 14 - 20 tons/ha higher than those cultivated on control floating rafts which reached 1 020 - 1040 g/m</w:t>
      </w:r>
      <w:r w:rsidRPr="008253D2">
        <w:rPr>
          <w:rFonts w:ascii="Arial" w:hAnsi="Arial" w:cs="Arial"/>
          <w:vertAlign w:val="superscript"/>
          <w:lang w:val="en-ID"/>
        </w:rPr>
        <w:t>2</w:t>
      </w:r>
      <w:r w:rsidRPr="00860F3B">
        <w:rPr>
          <w:rFonts w:ascii="Arial" w:hAnsi="Arial" w:cs="Arial"/>
          <w:lang w:val="en-ID"/>
        </w:rPr>
        <w:t xml:space="preserve"> or 10.2 - 10.4 tons/ha (</w:t>
      </w:r>
      <w:r w:rsidR="000066C6" w:rsidRPr="000066C6">
        <w:rPr>
          <w:rFonts w:ascii="Arial" w:hAnsi="Arial" w:cs="Arial"/>
          <w:lang w:val="en-ID"/>
        </w:rPr>
        <w:t>Fig</w:t>
      </w:r>
      <w:r w:rsidR="000066C6">
        <w:rPr>
          <w:rFonts w:ascii="Arial" w:hAnsi="Arial" w:cs="Arial"/>
          <w:lang w:val="en-ID"/>
        </w:rPr>
        <w:t>.</w:t>
      </w:r>
      <w:r w:rsidRPr="00860F3B">
        <w:rPr>
          <w:rFonts w:ascii="Arial" w:hAnsi="Arial" w:cs="Arial"/>
          <w:lang w:val="en-ID"/>
        </w:rPr>
        <w:t xml:space="preserve"> </w:t>
      </w:r>
      <w:r w:rsidR="00A41F77">
        <w:rPr>
          <w:rFonts w:ascii="Arial" w:hAnsi="Arial" w:cs="Arial"/>
          <w:lang w:val="en-ID"/>
        </w:rPr>
        <w:t>5</w:t>
      </w:r>
      <w:r w:rsidRPr="00860F3B">
        <w:rPr>
          <w:rFonts w:ascii="Arial" w:hAnsi="Arial" w:cs="Arial"/>
          <w:lang w:val="en-ID"/>
        </w:rPr>
        <w:t xml:space="preserve">). The results of this study are in line with the results of the implementation of an integrated seaweed cultivation system applied in </w:t>
      </w:r>
      <w:proofErr w:type="spellStart"/>
      <w:r w:rsidRPr="00860F3B">
        <w:rPr>
          <w:rFonts w:ascii="Arial" w:hAnsi="Arial" w:cs="Arial"/>
          <w:lang w:val="en-ID"/>
        </w:rPr>
        <w:t>Gerupuk</w:t>
      </w:r>
      <w:proofErr w:type="spellEnd"/>
      <w:r w:rsidRPr="00860F3B">
        <w:rPr>
          <w:rFonts w:ascii="Arial" w:hAnsi="Arial" w:cs="Arial"/>
          <w:lang w:val="en-ID"/>
        </w:rPr>
        <w:t xml:space="preserve"> Bay which showed very significant production and production increases compared to the control/monoculture (</w:t>
      </w:r>
      <w:proofErr w:type="spellStart"/>
      <w:r w:rsidRPr="00860F3B">
        <w:rPr>
          <w:rFonts w:ascii="Arial" w:hAnsi="Arial" w:cs="Arial"/>
          <w:lang w:val="en-ID"/>
        </w:rPr>
        <w:t>Radiarta</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2014).</w:t>
      </w:r>
    </w:p>
    <w:p w14:paraId="1A1F1DC5" w14:textId="1E1A17DD" w:rsidR="00F11A1D"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Furthermore, based on the calculation of </w:t>
      </w:r>
      <w:proofErr w:type="spellStart"/>
      <w:r w:rsidRPr="00860F3B">
        <w:rPr>
          <w:rFonts w:ascii="Arial" w:hAnsi="Arial" w:cs="Arial"/>
          <w:lang w:val="en-ID"/>
        </w:rPr>
        <w:t>Radiarta</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xml:space="preserve">. (2014) the production of </w:t>
      </w:r>
      <w:proofErr w:type="spellStart"/>
      <w:r w:rsidRPr="00860F3B">
        <w:rPr>
          <w:rFonts w:ascii="Arial" w:hAnsi="Arial" w:cs="Arial"/>
          <w:i/>
          <w:iCs/>
          <w:lang w:val="en-ID"/>
        </w:rPr>
        <w:t>Kappaphycus</w:t>
      </w:r>
      <w:proofErr w:type="spellEnd"/>
      <w:r w:rsidRPr="00860F3B">
        <w:rPr>
          <w:rFonts w:ascii="Arial" w:hAnsi="Arial" w:cs="Arial"/>
          <w:i/>
          <w:iCs/>
          <w:lang w:val="en-ID"/>
        </w:rPr>
        <w:t xml:space="preserve"> </w:t>
      </w:r>
      <w:proofErr w:type="spellStart"/>
      <w:r w:rsidRPr="00860F3B">
        <w:rPr>
          <w:rFonts w:ascii="Arial" w:hAnsi="Arial" w:cs="Arial"/>
          <w:i/>
          <w:iCs/>
          <w:lang w:val="en-ID"/>
        </w:rPr>
        <w:t>alvarezii</w:t>
      </w:r>
      <w:proofErr w:type="spellEnd"/>
      <w:r w:rsidRPr="00860F3B">
        <w:rPr>
          <w:rFonts w:ascii="Arial" w:hAnsi="Arial" w:cs="Arial"/>
          <w:lang w:val="en-ID"/>
        </w:rPr>
        <w:t xml:space="preserve"> seaweed with an integrated cultivation system ranged from 15.5-18.8 </w:t>
      </w:r>
      <w:r w:rsidRPr="00860F3B">
        <w:rPr>
          <w:rFonts w:ascii="Arial" w:hAnsi="Arial" w:cs="Arial"/>
          <w:lang w:val="en-ID"/>
        </w:rPr>
        <w:lastRenderedPageBreak/>
        <w:t xml:space="preserve">tons/ha compared to the control whose production only reached 8.9-10.8 tons/ha, thus an increase in production of about 74%. Even the production of seaweed from this study was higher than the production of G. </w:t>
      </w:r>
      <w:r w:rsidRPr="008253D2">
        <w:rPr>
          <w:rFonts w:ascii="Arial" w:hAnsi="Arial" w:cs="Arial"/>
          <w:i/>
          <w:iCs/>
          <w:lang w:val="en-ID"/>
        </w:rPr>
        <w:t>verruco</w:t>
      </w:r>
      <w:r w:rsidR="0074272C">
        <w:rPr>
          <w:rFonts w:ascii="Arial" w:hAnsi="Arial" w:cs="Arial"/>
          <w:i/>
          <w:iCs/>
          <w:lang w:val="en-ID"/>
        </w:rPr>
        <w:t>s</w:t>
      </w:r>
      <w:r w:rsidRPr="008253D2">
        <w:rPr>
          <w:rFonts w:ascii="Arial" w:hAnsi="Arial" w:cs="Arial"/>
          <w:i/>
          <w:iCs/>
          <w:lang w:val="en-ID"/>
        </w:rPr>
        <w:t xml:space="preserve">a </w:t>
      </w:r>
      <w:r w:rsidRPr="00860F3B">
        <w:rPr>
          <w:rFonts w:ascii="Arial" w:hAnsi="Arial" w:cs="Arial"/>
          <w:lang w:val="en-ID"/>
        </w:rPr>
        <w:t>seaweed cultivated in ponds which was only 318 - 590 g/m</w:t>
      </w:r>
      <w:r w:rsidRPr="008253D2">
        <w:rPr>
          <w:rFonts w:ascii="Arial" w:hAnsi="Arial" w:cs="Arial"/>
          <w:vertAlign w:val="superscript"/>
          <w:lang w:val="en-ID"/>
        </w:rPr>
        <w:t>2</w:t>
      </w:r>
      <w:r w:rsidRPr="00860F3B">
        <w:rPr>
          <w:rFonts w:ascii="Arial" w:hAnsi="Arial" w:cs="Arial"/>
          <w:lang w:val="en-ID"/>
        </w:rPr>
        <w:t xml:space="preserve"> (</w:t>
      </w:r>
      <w:proofErr w:type="spellStart"/>
      <w:r w:rsidRPr="00860F3B">
        <w:rPr>
          <w:rFonts w:ascii="Arial" w:hAnsi="Arial" w:cs="Arial"/>
          <w:lang w:val="en-ID"/>
        </w:rPr>
        <w:t>Widiastuti</w:t>
      </w:r>
      <w:proofErr w:type="spellEnd"/>
      <w:r w:rsidRPr="00860F3B">
        <w:rPr>
          <w:rFonts w:ascii="Arial" w:hAnsi="Arial" w:cs="Arial"/>
          <w:lang w:val="en-ID"/>
        </w:rPr>
        <w:t xml:space="preserve">, 2011). This can be used as an early indication of the exposure of nutrients derived from </w:t>
      </w:r>
      <w:r w:rsidR="008253D2">
        <w:rPr>
          <w:rFonts w:ascii="Arial" w:hAnsi="Arial" w:cs="Arial"/>
          <w:lang w:val="en-ID"/>
        </w:rPr>
        <w:t>FNC</w:t>
      </w:r>
      <w:r w:rsidRPr="00860F3B">
        <w:rPr>
          <w:rFonts w:ascii="Arial" w:hAnsi="Arial" w:cs="Arial"/>
          <w:lang w:val="en-ID"/>
        </w:rPr>
        <w:t xml:space="preserve"> waste to seaweed cultivated around the </w:t>
      </w:r>
      <w:r w:rsidR="008253D2">
        <w:rPr>
          <w:rFonts w:ascii="Arial" w:hAnsi="Arial" w:cs="Arial"/>
          <w:lang w:val="en-ID"/>
        </w:rPr>
        <w:t>FNC</w:t>
      </w:r>
      <w:r w:rsidRPr="00860F3B">
        <w:rPr>
          <w:rFonts w:ascii="Arial" w:hAnsi="Arial" w:cs="Arial"/>
          <w:lang w:val="en-ID"/>
        </w:rPr>
        <w:t xml:space="preserve">. According to </w:t>
      </w:r>
      <w:proofErr w:type="spellStart"/>
      <w:r w:rsidRPr="00860F3B">
        <w:rPr>
          <w:rFonts w:ascii="Arial" w:hAnsi="Arial" w:cs="Arial"/>
          <w:lang w:val="en-ID"/>
        </w:rPr>
        <w:t>Neori</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xml:space="preserve">. (2000), the idea is that the high growth of seaweed is supported by the presence of ammonia excreted by fish into the environment; in addition, seaweed also plays a role in filtering ammonia from the aquatic environment. Gordillo </w:t>
      </w:r>
      <w:r w:rsidRPr="008253D2">
        <w:rPr>
          <w:rFonts w:ascii="Arial" w:hAnsi="Arial" w:cs="Arial"/>
          <w:i/>
          <w:iCs/>
          <w:lang w:val="en-ID"/>
        </w:rPr>
        <w:t>et al</w:t>
      </w:r>
      <w:r w:rsidRPr="00860F3B">
        <w:rPr>
          <w:rFonts w:ascii="Arial" w:hAnsi="Arial" w:cs="Arial"/>
          <w:lang w:val="en-ID"/>
        </w:rPr>
        <w:t xml:space="preserve">. (2002) suggested that the growth and production of G. </w:t>
      </w:r>
      <w:r w:rsidRPr="008253D2">
        <w:rPr>
          <w:rFonts w:ascii="Arial" w:hAnsi="Arial" w:cs="Arial"/>
          <w:i/>
          <w:iCs/>
          <w:lang w:val="en-ID"/>
        </w:rPr>
        <w:t>verruco</w:t>
      </w:r>
      <w:r w:rsidR="0074272C">
        <w:rPr>
          <w:rFonts w:ascii="Arial" w:hAnsi="Arial" w:cs="Arial"/>
          <w:i/>
          <w:iCs/>
          <w:lang w:val="en-ID"/>
        </w:rPr>
        <w:t>sa</w:t>
      </w:r>
      <w:r w:rsidRPr="00860F3B">
        <w:rPr>
          <w:rFonts w:ascii="Arial" w:hAnsi="Arial" w:cs="Arial"/>
          <w:lang w:val="en-ID"/>
        </w:rPr>
        <w:t xml:space="preserve"> seaweed corresponded and had a positive correlation with an increase in the rate of N and P absorption.</w:t>
      </w:r>
    </w:p>
    <w:p w14:paraId="3FE72143" w14:textId="77777777" w:rsidR="00860F3B" w:rsidRPr="00860F3B" w:rsidRDefault="00860F3B" w:rsidP="00F11A1D">
      <w:pPr>
        <w:spacing w:line="360" w:lineRule="auto"/>
        <w:ind w:firstLine="567"/>
        <w:jc w:val="both"/>
        <w:rPr>
          <w:rFonts w:ascii="Arial" w:hAnsi="Arial" w:cs="Arial"/>
          <w:lang w:val="en-ID"/>
        </w:rPr>
      </w:pPr>
    </w:p>
    <w:p w14:paraId="36C5D73F" w14:textId="31DFAA27" w:rsidR="00F11A1D" w:rsidRPr="00860F3B" w:rsidRDefault="00860F3B" w:rsidP="00F11A1D">
      <w:pPr>
        <w:spacing w:line="360" w:lineRule="auto"/>
        <w:jc w:val="both"/>
        <w:rPr>
          <w:rFonts w:ascii="Arial" w:hAnsi="Arial" w:cs="Arial"/>
          <w:b/>
          <w:bCs/>
          <w:u w:val="single"/>
          <w:lang w:val="en-ID"/>
        </w:rPr>
      </w:pPr>
      <w:r>
        <w:rPr>
          <w:rFonts w:ascii="Arial" w:hAnsi="Arial" w:cs="Arial"/>
          <w:b/>
          <w:bCs/>
          <w:u w:val="single"/>
        </w:rPr>
        <w:t>3</w:t>
      </w:r>
      <w:r w:rsidR="00F11A1D" w:rsidRPr="00860F3B">
        <w:rPr>
          <w:rFonts w:ascii="Arial" w:hAnsi="Arial" w:cs="Arial"/>
          <w:b/>
          <w:bCs/>
          <w:u w:val="single"/>
        </w:rPr>
        <w:t xml:space="preserve">.2.3. </w:t>
      </w:r>
      <w:r w:rsidR="00F11A1D" w:rsidRPr="00860F3B">
        <w:rPr>
          <w:rFonts w:ascii="Arial" w:hAnsi="Arial" w:cs="Arial"/>
          <w:b/>
          <w:bCs/>
          <w:u w:val="single"/>
          <w:lang w:val="en-ID"/>
        </w:rPr>
        <w:t>N and P Absorption Rate</w:t>
      </w:r>
    </w:p>
    <w:p w14:paraId="5EDF6D11" w14:textId="21BC8378" w:rsidR="00F11A1D" w:rsidRPr="00860F3B"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Nitrogen (N) and phosphorus (P) are limiting factors for seaweed growth and production in most natural environments (Indrayani </w:t>
      </w:r>
      <w:r w:rsidRPr="008253D2">
        <w:rPr>
          <w:rFonts w:ascii="Arial" w:hAnsi="Arial" w:cs="Arial"/>
          <w:i/>
          <w:iCs/>
          <w:lang w:val="en-ID"/>
        </w:rPr>
        <w:t>et al</w:t>
      </w:r>
      <w:r w:rsidRPr="00860F3B">
        <w:rPr>
          <w:rFonts w:ascii="Arial" w:hAnsi="Arial" w:cs="Arial"/>
          <w:lang w:val="en-ID"/>
        </w:rPr>
        <w:t xml:space="preserve">., 2021). Nitrogen in the water is in the form of nitrate (NO3-), while phosphorus is in the form of orthophosphate (PO4) (Mustofa, 2015). Seaweed cultivated in an integrated manner with intensive aquaculture activities has a role as a biofilter that will absorb nutrients N and P. In this study, the level of N and P absorption of seaweed cultivated around the </w:t>
      </w:r>
      <w:r w:rsidR="008253D2">
        <w:rPr>
          <w:rFonts w:ascii="Arial" w:hAnsi="Arial" w:cs="Arial"/>
          <w:lang w:val="en-ID"/>
        </w:rPr>
        <w:t>FNC</w:t>
      </w:r>
      <w:r w:rsidRPr="00860F3B">
        <w:rPr>
          <w:rFonts w:ascii="Arial" w:hAnsi="Arial" w:cs="Arial"/>
          <w:lang w:val="en-ID"/>
        </w:rPr>
        <w:t xml:space="preserve"> location was higher than in the location of the monoculture system or control. The results of this study are in line with the results of research in </w:t>
      </w:r>
      <w:proofErr w:type="spellStart"/>
      <w:r w:rsidRPr="00860F3B">
        <w:rPr>
          <w:rFonts w:ascii="Arial" w:hAnsi="Arial" w:cs="Arial"/>
          <w:lang w:val="en-ID"/>
        </w:rPr>
        <w:t>Gerupuk</w:t>
      </w:r>
      <w:proofErr w:type="spellEnd"/>
      <w:r w:rsidRPr="00860F3B">
        <w:rPr>
          <w:rFonts w:ascii="Arial" w:hAnsi="Arial" w:cs="Arial"/>
          <w:lang w:val="en-ID"/>
        </w:rPr>
        <w:t xml:space="preserve"> Bay, Central Lombok Regency showing that the level of N absorption of seaweed cultivation in the IMTA system reached 80.49 - 82.05% higher than that of seaweed cultivated outside </w:t>
      </w:r>
      <w:r w:rsidR="008253D2">
        <w:rPr>
          <w:rFonts w:ascii="Arial" w:hAnsi="Arial" w:cs="Arial"/>
          <w:lang w:val="en-ID"/>
        </w:rPr>
        <w:t>FNC</w:t>
      </w:r>
      <w:r w:rsidRPr="00860F3B">
        <w:rPr>
          <w:rFonts w:ascii="Arial" w:hAnsi="Arial" w:cs="Arial"/>
          <w:lang w:val="en-ID"/>
        </w:rPr>
        <w:t xml:space="preserve"> (</w:t>
      </w:r>
      <w:proofErr w:type="spellStart"/>
      <w:r w:rsidRPr="00860F3B">
        <w:rPr>
          <w:rFonts w:ascii="Arial" w:hAnsi="Arial" w:cs="Arial"/>
          <w:lang w:val="en-ID"/>
        </w:rPr>
        <w:t>Yuniarsih</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2014a).</w:t>
      </w:r>
    </w:p>
    <w:p w14:paraId="3C681592" w14:textId="5BFB15BE"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 xml:space="preserve">Meanwhile, the level of P absorption in seaweed tissue reared around </w:t>
      </w:r>
      <w:r w:rsidR="008253D2">
        <w:rPr>
          <w:rFonts w:ascii="Arial" w:hAnsi="Arial" w:cs="Arial"/>
          <w:lang w:val="en-ID"/>
        </w:rPr>
        <w:t>FNC</w:t>
      </w:r>
      <w:r w:rsidRPr="00860F3B">
        <w:rPr>
          <w:rFonts w:ascii="Arial" w:eastAsia="Lucida Sans Unicode" w:hAnsi="Arial" w:cs="Arial"/>
          <w:lang w:val="en-ID"/>
        </w:rPr>
        <w:t xml:space="preserve"> in </w:t>
      </w:r>
      <w:proofErr w:type="spellStart"/>
      <w:r w:rsidRPr="00860F3B">
        <w:rPr>
          <w:rFonts w:ascii="Arial" w:eastAsia="Lucida Sans Unicode" w:hAnsi="Arial" w:cs="Arial"/>
          <w:lang w:val="en-ID"/>
        </w:rPr>
        <w:t>Gerupuk</w:t>
      </w:r>
      <w:proofErr w:type="spellEnd"/>
      <w:r w:rsidRPr="00860F3B">
        <w:rPr>
          <w:rFonts w:ascii="Arial" w:eastAsia="Lucida Sans Unicode" w:hAnsi="Arial" w:cs="Arial"/>
          <w:lang w:val="en-ID"/>
        </w:rPr>
        <w:t xml:space="preserve"> Bay, West Nusa Tenggara Province, reached 39% higher than that of seaweed reared outside </w:t>
      </w:r>
      <w:r w:rsidR="008253D2">
        <w:rPr>
          <w:rFonts w:ascii="Arial" w:hAnsi="Arial" w:cs="Arial"/>
          <w:lang w:val="en-ID"/>
        </w:rPr>
        <w:t>FNC</w:t>
      </w:r>
      <w:r w:rsidRPr="00860F3B">
        <w:rPr>
          <w:rFonts w:ascii="Arial" w:eastAsia="Lucida Sans Unicode" w:hAnsi="Arial" w:cs="Arial"/>
          <w:lang w:val="en-ID"/>
        </w:rPr>
        <w:t xml:space="preserve">. The results of research by </w:t>
      </w:r>
      <w:proofErr w:type="spellStart"/>
      <w:r w:rsidRPr="00860F3B">
        <w:rPr>
          <w:rFonts w:ascii="Arial" w:eastAsia="Lucida Sans Unicode" w:hAnsi="Arial" w:cs="Arial"/>
          <w:lang w:val="en-ID"/>
        </w:rPr>
        <w:t>Neori</w:t>
      </w:r>
      <w:proofErr w:type="spellEnd"/>
      <w:r w:rsidRPr="00860F3B">
        <w:rPr>
          <w:rFonts w:ascii="Arial" w:eastAsia="Lucida Sans Unicode" w:hAnsi="Arial" w:cs="Arial"/>
          <w:lang w:val="en-ID"/>
        </w:rPr>
        <w:t xml:space="preserve"> </w:t>
      </w:r>
      <w:r w:rsidRPr="008253D2">
        <w:rPr>
          <w:rFonts w:ascii="Arial" w:eastAsia="Lucida Sans Unicode" w:hAnsi="Arial" w:cs="Arial"/>
          <w:i/>
          <w:iCs/>
          <w:lang w:val="en-ID"/>
        </w:rPr>
        <w:t>et al</w:t>
      </w:r>
      <w:r w:rsidRPr="00860F3B">
        <w:rPr>
          <w:rFonts w:ascii="Arial" w:eastAsia="Lucida Sans Unicode" w:hAnsi="Arial" w:cs="Arial"/>
          <w:lang w:val="en-ID"/>
        </w:rPr>
        <w:t xml:space="preserve">. (2004) found that different seaweed species have different abilities to absorb nutrients (N and P). The absorption rate of G. </w:t>
      </w:r>
      <w:r w:rsidRPr="008253D2">
        <w:rPr>
          <w:rFonts w:ascii="Arial" w:eastAsia="Lucida Sans Unicode" w:hAnsi="Arial" w:cs="Arial"/>
          <w:i/>
          <w:iCs/>
          <w:lang w:val="en-ID"/>
        </w:rPr>
        <w:t>verrucosa</w:t>
      </w:r>
      <w:r w:rsidRPr="00860F3B">
        <w:rPr>
          <w:rFonts w:ascii="Arial" w:eastAsia="Lucida Sans Unicode" w:hAnsi="Arial" w:cs="Arial"/>
          <w:lang w:val="en-ID"/>
        </w:rPr>
        <w:t xml:space="preserve"> seaweed cultivated around the </w:t>
      </w:r>
      <w:r w:rsidR="008253D2">
        <w:rPr>
          <w:rFonts w:ascii="Arial" w:hAnsi="Arial" w:cs="Arial"/>
          <w:lang w:val="en-ID"/>
        </w:rPr>
        <w:t>FNC</w:t>
      </w:r>
      <w:r w:rsidRPr="00860F3B">
        <w:rPr>
          <w:rFonts w:ascii="Arial" w:eastAsia="Lucida Sans Unicode" w:hAnsi="Arial" w:cs="Arial"/>
          <w:lang w:val="en-ID"/>
        </w:rPr>
        <w:t xml:space="preserve"> location in this study ranged from 1.51 - 3.20 tons N/ha/year lower than the nitrogen absorption rate of K. </w:t>
      </w:r>
      <w:proofErr w:type="spellStart"/>
      <w:r w:rsidRPr="008253D2">
        <w:rPr>
          <w:rFonts w:ascii="Arial" w:eastAsia="Lucida Sans Unicode" w:hAnsi="Arial" w:cs="Arial"/>
          <w:i/>
          <w:iCs/>
          <w:lang w:val="en-ID"/>
        </w:rPr>
        <w:t>alvarezii</w:t>
      </w:r>
      <w:proofErr w:type="spellEnd"/>
      <w:r w:rsidRPr="00860F3B">
        <w:rPr>
          <w:rFonts w:ascii="Arial" w:eastAsia="Lucida Sans Unicode" w:hAnsi="Arial" w:cs="Arial"/>
          <w:lang w:val="en-ID"/>
        </w:rPr>
        <w:t xml:space="preserve"> seaweed with a range of 80.03 - 86.95 tons/ha/year and </w:t>
      </w:r>
      <w:r w:rsidRPr="008253D2">
        <w:rPr>
          <w:rFonts w:ascii="Arial" w:eastAsia="Lucida Sans Unicode" w:hAnsi="Arial" w:cs="Arial"/>
          <w:i/>
          <w:iCs/>
          <w:lang w:val="en-ID"/>
        </w:rPr>
        <w:t>Eucheuma spinosum</w:t>
      </w:r>
      <w:r w:rsidRPr="00860F3B">
        <w:rPr>
          <w:rFonts w:ascii="Arial" w:eastAsia="Lucida Sans Unicode" w:hAnsi="Arial" w:cs="Arial"/>
          <w:lang w:val="en-ID"/>
        </w:rPr>
        <w:t xml:space="preserve"> with nitrogen absorption rates ranging from 35.14 - 69.78 tons N/ha/year (</w:t>
      </w:r>
      <w:proofErr w:type="spellStart"/>
      <w:r w:rsidRPr="00860F3B">
        <w:rPr>
          <w:rFonts w:ascii="Arial" w:eastAsia="Lucida Sans Unicode" w:hAnsi="Arial" w:cs="Arial"/>
          <w:lang w:val="en-ID"/>
        </w:rPr>
        <w:t>Yuniarsih</w:t>
      </w:r>
      <w:proofErr w:type="spellEnd"/>
      <w:r w:rsidRPr="00860F3B">
        <w:rPr>
          <w:rFonts w:ascii="Arial" w:eastAsia="Lucida Sans Unicode" w:hAnsi="Arial" w:cs="Arial"/>
          <w:lang w:val="en-ID"/>
        </w:rPr>
        <w:t xml:space="preserve"> </w:t>
      </w:r>
      <w:r w:rsidRPr="008253D2">
        <w:rPr>
          <w:rFonts w:ascii="Arial" w:eastAsia="Lucida Sans Unicode" w:hAnsi="Arial" w:cs="Arial"/>
          <w:i/>
          <w:iCs/>
          <w:lang w:val="en-ID"/>
        </w:rPr>
        <w:t>et al</w:t>
      </w:r>
      <w:r w:rsidRPr="00860F3B">
        <w:rPr>
          <w:rFonts w:ascii="Arial" w:eastAsia="Lucida Sans Unicode" w:hAnsi="Arial" w:cs="Arial"/>
          <w:lang w:val="en-ID"/>
        </w:rPr>
        <w:t xml:space="preserve">., 2014). The level of phosphorus absorption of G. </w:t>
      </w:r>
      <w:r w:rsidRPr="008253D2">
        <w:rPr>
          <w:rFonts w:ascii="Arial" w:eastAsia="Lucida Sans Unicode" w:hAnsi="Arial" w:cs="Arial"/>
          <w:i/>
          <w:iCs/>
          <w:lang w:val="en-ID"/>
        </w:rPr>
        <w:t>verrucosa</w:t>
      </w:r>
      <w:r w:rsidRPr="00860F3B">
        <w:rPr>
          <w:rFonts w:ascii="Arial" w:eastAsia="Lucida Sans Unicode" w:hAnsi="Arial" w:cs="Arial"/>
          <w:lang w:val="en-ID"/>
        </w:rPr>
        <w:t xml:space="preserve"> seaweed cultivated around </w:t>
      </w:r>
      <w:r w:rsidR="008253D2">
        <w:rPr>
          <w:rFonts w:ascii="Arial" w:hAnsi="Arial" w:cs="Arial"/>
          <w:lang w:val="en-ID"/>
        </w:rPr>
        <w:t>FNC</w:t>
      </w:r>
      <w:r w:rsidRPr="00860F3B">
        <w:rPr>
          <w:rFonts w:ascii="Arial" w:eastAsia="Lucida Sans Unicode" w:hAnsi="Arial" w:cs="Arial"/>
          <w:lang w:val="en-ID"/>
        </w:rPr>
        <w:t xml:space="preserve"> sites with a range between 2.51 - 5.05 tons of P/ha/year is lower than that of K. </w:t>
      </w:r>
      <w:proofErr w:type="spellStart"/>
      <w:r w:rsidRPr="008253D2">
        <w:rPr>
          <w:rFonts w:ascii="Arial" w:eastAsia="Lucida Sans Unicode" w:hAnsi="Arial" w:cs="Arial"/>
          <w:i/>
          <w:iCs/>
          <w:lang w:val="en-ID"/>
        </w:rPr>
        <w:t>alvarezii</w:t>
      </w:r>
      <w:proofErr w:type="spellEnd"/>
      <w:r w:rsidRPr="00860F3B">
        <w:rPr>
          <w:rFonts w:ascii="Arial" w:eastAsia="Lucida Sans Unicode" w:hAnsi="Arial" w:cs="Arial"/>
          <w:lang w:val="en-ID"/>
        </w:rPr>
        <w:t xml:space="preserve"> which reaches 20.56 tons of P/ha/year, while E. spinosum phosphorus absorption rate is relatively no different at 4.39 tons of P/ha/year.</w:t>
      </w:r>
    </w:p>
    <w:p w14:paraId="00104734" w14:textId="77777777" w:rsidR="00F11A1D" w:rsidRPr="00860F3B" w:rsidRDefault="00F11A1D" w:rsidP="00F11A1D">
      <w:pPr>
        <w:spacing w:line="360" w:lineRule="auto"/>
        <w:ind w:firstLine="567"/>
        <w:jc w:val="both"/>
        <w:rPr>
          <w:rFonts w:ascii="Arial" w:eastAsia="Lucida Sans Unicode" w:hAnsi="Arial" w:cs="Arial"/>
          <w:lang w:val="en-ID"/>
        </w:rPr>
      </w:pPr>
      <w:r w:rsidRPr="00860F3B">
        <w:rPr>
          <w:rFonts w:ascii="Arial" w:eastAsia="Lucida Sans Unicode" w:hAnsi="Arial" w:cs="Arial"/>
          <w:lang w:val="en-ID"/>
        </w:rPr>
        <w:t xml:space="preserve">According to Raj </w:t>
      </w:r>
      <w:r w:rsidRPr="008253D2">
        <w:rPr>
          <w:rFonts w:ascii="Arial" w:eastAsia="Lucida Sans Unicode" w:hAnsi="Arial" w:cs="Arial"/>
          <w:i/>
          <w:iCs/>
          <w:lang w:val="en-ID"/>
        </w:rPr>
        <w:t>et al</w:t>
      </w:r>
      <w:r w:rsidRPr="00860F3B">
        <w:rPr>
          <w:rFonts w:ascii="Arial" w:eastAsia="Lucida Sans Unicode" w:hAnsi="Arial" w:cs="Arial"/>
          <w:lang w:val="en-ID"/>
        </w:rPr>
        <w:t xml:space="preserve">. (2022), within the IMTA framework seaweed has a role as bioremediation to remove inorganic nutrients from wastewater, where based on research the efficiency of reducing NH3, NO2, NO3, and PO4 seaweed K. </w:t>
      </w:r>
      <w:proofErr w:type="spellStart"/>
      <w:r w:rsidRPr="008253D2">
        <w:rPr>
          <w:rFonts w:ascii="Arial" w:eastAsia="Lucida Sans Unicode" w:hAnsi="Arial" w:cs="Arial"/>
          <w:i/>
          <w:iCs/>
          <w:lang w:val="en-ID"/>
        </w:rPr>
        <w:t>alvarezii</w:t>
      </w:r>
      <w:proofErr w:type="spellEnd"/>
      <w:r w:rsidRPr="00860F3B">
        <w:rPr>
          <w:rFonts w:ascii="Arial" w:eastAsia="Lucida Sans Unicode" w:hAnsi="Arial" w:cs="Arial"/>
          <w:lang w:val="en-ID"/>
        </w:rPr>
        <w:t xml:space="preserve">, G. </w:t>
      </w:r>
      <w:r w:rsidRPr="008253D2">
        <w:rPr>
          <w:rFonts w:ascii="Arial" w:eastAsia="Lucida Sans Unicode" w:hAnsi="Arial" w:cs="Arial"/>
          <w:i/>
          <w:iCs/>
          <w:lang w:val="en-ID"/>
        </w:rPr>
        <w:t>verrucosa</w:t>
      </w:r>
      <w:r w:rsidRPr="00860F3B">
        <w:rPr>
          <w:rFonts w:ascii="Arial" w:eastAsia="Lucida Sans Unicode" w:hAnsi="Arial" w:cs="Arial"/>
          <w:lang w:val="en-ID"/>
        </w:rPr>
        <w:t xml:space="preserve">, and E. </w:t>
      </w:r>
      <w:r w:rsidRPr="008253D2">
        <w:rPr>
          <w:rFonts w:ascii="Arial" w:eastAsia="Lucida Sans Unicode" w:hAnsi="Arial" w:cs="Arial"/>
          <w:i/>
          <w:iCs/>
          <w:lang w:val="en-ID"/>
        </w:rPr>
        <w:lastRenderedPageBreak/>
        <w:t>spinosum</w:t>
      </w:r>
      <w:r w:rsidRPr="00860F3B">
        <w:rPr>
          <w:rFonts w:ascii="Arial" w:eastAsia="Lucida Sans Unicode" w:hAnsi="Arial" w:cs="Arial"/>
          <w:lang w:val="en-ID"/>
        </w:rPr>
        <w:t xml:space="preserve"> reached 80% in intensive shrimp farming ponds (</w:t>
      </w:r>
      <w:proofErr w:type="spellStart"/>
      <w:r w:rsidRPr="00860F3B">
        <w:rPr>
          <w:rFonts w:ascii="Arial" w:eastAsia="Lucida Sans Unicode" w:hAnsi="Arial" w:cs="Arial"/>
          <w:lang w:val="en-ID"/>
        </w:rPr>
        <w:t>Syahrir</w:t>
      </w:r>
      <w:proofErr w:type="spellEnd"/>
      <w:r w:rsidRPr="00860F3B">
        <w:rPr>
          <w:rFonts w:ascii="Arial" w:eastAsia="Lucida Sans Unicode" w:hAnsi="Arial" w:cs="Arial"/>
          <w:lang w:val="en-ID"/>
        </w:rPr>
        <w:t xml:space="preserve">, 2024). The results of the research on the level of N and P absorption of seaweed conducted in Ekas Bay indicate that seaweed is one of the activities that support the implementation of the blue economy policy that is currently a concern. Marine and fisheries development based on blue economy policies is based on several approaches, namely the existence of harmonious integration; development based on the region; clean production system (zero waste); benefit for the whole community; and sustainable by maintaining a balance between the utilization of natural resources and environmental conservation and between production and consumption (Zamroni </w:t>
      </w:r>
      <w:r w:rsidRPr="008253D2">
        <w:rPr>
          <w:rFonts w:ascii="Arial" w:eastAsia="Lucida Sans Unicode" w:hAnsi="Arial" w:cs="Arial"/>
          <w:i/>
          <w:iCs/>
          <w:lang w:val="en-ID"/>
        </w:rPr>
        <w:t>et al</w:t>
      </w:r>
      <w:r w:rsidRPr="00860F3B">
        <w:rPr>
          <w:rFonts w:ascii="Arial" w:eastAsia="Lucida Sans Unicode" w:hAnsi="Arial" w:cs="Arial"/>
          <w:lang w:val="en-ID"/>
        </w:rPr>
        <w:t>., 2018).</w:t>
      </w:r>
    </w:p>
    <w:p w14:paraId="0B883C1C" w14:textId="77777777" w:rsidR="00F11A1D" w:rsidRDefault="00F11A1D" w:rsidP="00F11A1D">
      <w:pPr>
        <w:spacing w:line="360" w:lineRule="auto"/>
        <w:ind w:firstLine="567"/>
        <w:jc w:val="both"/>
        <w:rPr>
          <w:rFonts w:eastAsia="Lucida Sans Unicode"/>
          <w:sz w:val="24"/>
          <w:szCs w:val="24"/>
        </w:rPr>
      </w:pPr>
    </w:p>
    <w:p w14:paraId="0476A3B7" w14:textId="448876CA" w:rsidR="00F11A1D" w:rsidRPr="00860F3B" w:rsidRDefault="00860F3B" w:rsidP="00F11A1D">
      <w:pPr>
        <w:spacing w:line="360" w:lineRule="auto"/>
        <w:rPr>
          <w:rFonts w:ascii="Arial" w:eastAsia="Lucida Sans Unicode" w:hAnsi="Arial" w:cs="Arial"/>
          <w:b/>
          <w:bCs/>
          <w:u w:val="single"/>
        </w:rPr>
      </w:pPr>
      <w:r>
        <w:rPr>
          <w:rFonts w:ascii="Arial" w:eastAsia="Lucida Sans Unicode" w:hAnsi="Arial" w:cs="Arial"/>
          <w:b/>
          <w:bCs/>
          <w:u w:val="single"/>
        </w:rPr>
        <w:t>3</w:t>
      </w:r>
      <w:r w:rsidR="00F11A1D" w:rsidRPr="00860F3B">
        <w:rPr>
          <w:rFonts w:ascii="Arial" w:eastAsia="Lucida Sans Unicode" w:hAnsi="Arial" w:cs="Arial"/>
          <w:b/>
          <w:bCs/>
          <w:u w:val="single"/>
        </w:rPr>
        <w:t>.2.4. Water quality</w:t>
      </w:r>
    </w:p>
    <w:p w14:paraId="567364B0" w14:textId="090A3CCC" w:rsidR="00F11A1D" w:rsidRPr="00860F3B" w:rsidRDefault="00F11A1D" w:rsidP="00F11A1D">
      <w:pPr>
        <w:spacing w:line="360" w:lineRule="auto"/>
        <w:ind w:firstLine="567"/>
        <w:jc w:val="both"/>
        <w:rPr>
          <w:rFonts w:ascii="Arial" w:hAnsi="Arial" w:cs="Arial"/>
          <w:lang w:val="en-ID"/>
        </w:rPr>
      </w:pPr>
      <w:r w:rsidRPr="00860F3B">
        <w:rPr>
          <w:rFonts w:ascii="Arial" w:hAnsi="Arial" w:cs="Arial"/>
          <w:lang w:val="en-ID"/>
        </w:rPr>
        <w:t xml:space="preserve">Water quality parameters are very important factors for success in seaweed cultivation activities. One indicator of the success of seaweed cultivation is the suitability of physical and chemical parameters of the waters. Physical parameters include temperature, salinity and brightness while chemical parameters include pH, DO, nitrate and phosphorus levels. The measurement results of temperature, salinity, brightness, pH and DO obtained during seaweed cultivation, both with the IMTA system and </w:t>
      </w:r>
      <w:proofErr w:type="spellStart"/>
      <w:r w:rsidRPr="00860F3B">
        <w:rPr>
          <w:rFonts w:ascii="Arial" w:hAnsi="Arial" w:cs="Arial"/>
          <w:lang w:val="en-ID"/>
        </w:rPr>
        <w:t>monoltur</w:t>
      </w:r>
      <w:proofErr w:type="spellEnd"/>
      <w:r w:rsidRPr="00860F3B">
        <w:rPr>
          <w:rFonts w:ascii="Arial" w:hAnsi="Arial" w:cs="Arial"/>
          <w:lang w:val="en-ID"/>
        </w:rPr>
        <w:t xml:space="preserve"> (control treatment) are still considered optimal for the seaweed rearing process based on the requirements set (BSN, 2010; Jalil </w:t>
      </w:r>
      <w:r w:rsidRPr="008253D2">
        <w:rPr>
          <w:rFonts w:ascii="Arial" w:hAnsi="Arial" w:cs="Arial"/>
          <w:i/>
          <w:iCs/>
          <w:lang w:val="en-ID"/>
        </w:rPr>
        <w:t>et al</w:t>
      </w:r>
      <w:r w:rsidRPr="00860F3B">
        <w:rPr>
          <w:rFonts w:ascii="Arial" w:hAnsi="Arial" w:cs="Arial"/>
          <w:lang w:val="en-ID"/>
        </w:rPr>
        <w:t xml:space="preserve">., 2020; Ullah </w:t>
      </w:r>
      <w:r w:rsidRPr="008253D2">
        <w:rPr>
          <w:rFonts w:ascii="Arial" w:hAnsi="Arial" w:cs="Arial"/>
          <w:i/>
          <w:iCs/>
          <w:lang w:val="en-ID"/>
        </w:rPr>
        <w:t>et al</w:t>
      </w:r>
      <w:r w:rsidRPr="00860F3B">
        <w:rPr>
          <w:rFonts w:ascii="Arial" w:hAnsi="Arial" w:cs="Arial"/>
          <w:lang w:val="en-ID"/>
        </w:rPr>
        <w:t xml:space="preserve">., 2023). The main impact of the presence of fish or lobster farming in </w:t>
      </w:r>
      <w:r w:rsidR="008253D2">
        <w:rPr>
          <w:rFonts w:ascii="Arial" w:hAnsi="Arial" w:cs="Arial"/>
          <w:lang w:val="en-ID"/>
        </w:rPr>
        <w:t>FNC</w:t>
      </w:r>
      <w:r w:rsidRPr="00860F3B">
        <w:rPr>
          <w:rFonts w:ascii="Arial" w:hAnsi="Arial" w:cs="Arial"/>
          <w:lang w:val="en-ID"/>
        </w:rPr>
        <w:t xml:space="preserve"> that use artificial feed and small fish feed on the quality of the surrounding waters is an increase in the accumulation of particles and dissolved nutrients in the water column (Nobre </w:t>
      </w:r>
      <w:r w:rsidRPr="008253D2">
        <w:rPr>
          <w:rFonts w:ascii="Arial" w:hAnsi="Arial" w:cs="Arial"/>
          <w:i/>
          <w:iCs/>
          <w:lang w:val="en-ID"/>
        </w:rPr>
        <w:t>et al</w:t>
      </w:r>
      <w:r w:rsidRPr="00860F3B">
        <w:rPr>
          <w:rFonts w:ascii="Arial" w:hAnsi="Arial" w:cs="Arial"/>
          <w:lang w:val="en-ID"/>
        </w:rPr>
        <w:t xml:space="preserve">., 2010). Nutrients N and P are needed by seaweed in order to grow optimally (Zainuddin &amp; </w:t>
      </w:r>
      <w:proofErr w:type="spellStart"/>
      <w:r w:rsidRPr="00860F3B">
        <w:rPr>
          <w:rFonts w:ascii="Arial" w:hAnsi="Arial" w:cs="Arial"/>
          <w:lang w:val="en-ID"/>
        </w:rPr>
        <w:t>Nofianti</w:t>
      </w:r>
      <w:proofErr w:type="spellEnd"/>
      <w:r w:rsidRPr="00860F3B">
        <w:rPr>
          <w:rFonts w:ascii="Arial" w:hAnsi="Arial" w:cs="Arial"/>
          <w:lang w:val="en-ID"/>
        </w:rPr>
        <w:t>, 2022). The test results of nitrate and phosphorus concentrations in the waters showed slightly exceeded the threshold value for nitrate 0.02 - 0.04 mg/L and phosphorus 0.02 - 0.10 mg/L (</w:t>
      </w:r>
      <w:proofErr w:type="spellStart"/>
      <w:r w:rsidRPr="00860F3B">
        <w:rPr>
          <w:rFonts w:ascii="Arial" w:hAnsi="Arial" w:cs="Arial"/>
          <w:lang w:val="en-ID"/>
        </w:rPr>
        <w:t>Sarjito</w:t>
      </w:r>
      <w:proofErr w:type="spellEnd"/>
      <w:r w:rsidRPr="00860F3B">
        <w:rPr>
          <w:rFonts w:ascii="Arial" w:hAnsi="Arial" w:cs="Arial"/>
          <w:lang w:val="en-ID"/>
        </w:rPr>
        <w:t xml:space="preserve"> </w:t>
      </w:r>
      <w:r w:rsidRPr="008253D2">
        <w:rPr>
          <w:rFonts w:ascii="Arial" w:hAnsi="Arial" w:cs="Arial"/>
          <w:i/>
          <w:iCs/>
          <w:lang w:val="en-ID"/>
        </w:rPr>
        <w:t>et al</w:t>
      </w:r>
      <w:r w:rsidRPr="00860F3B">
        <w:rPr>
          <w:rFonts w:ascii="Arial" w:hAnsi="Arial" w:cs="Arial"/>
          <w:lang w:val="en-ID"/>
        </w:rPr>
        <w:t xml:space="preserve">., 2022). The highest nitrate concentration was at the monoculture seaweed farming site (control treatment) at 0.17 mg/L and the highest phosphorus concentration on the north side of the </w:t>
      </w:r>
      <w:r w:rsidR="008253D2">
        <w:rPr>
          <w:rFonts w:ascii="Arial" w:hAnsi="Arial" w:cs="Arial"/>
          <w:lang w:val="en-ID"/>
        </w:rPr>
        <w:t>FNC</w:t>
      </w:r>
      <w:r w:rsidRPr="00860F3B">
        <w:rPr>
          <w:rFonts w:ascii="Arial" w:hAnsi="Arial" w:cs="Arial"/>
          <w:lang w:val="en-ID"/>
        </w:rPr>
        <w:t xml:space="preserve"> at 0.23 mg/L. The differences in nutrient distribution observed during the study can be attributed to the</w:t>
      </w:r>
    </w:p>
    <w:p w14:paraId="23EA86FB" w14:textId="77777777" w:rsidR="00F11A1D" w:rsidRPr="004E768E" w:rsidRDefault="00F11A1D" w:rsidP="00F11A1D">
      <w:pPr>
        <w:spacing w:line="360" w:lineRule="auto"/>
        <w:ind w:firstLine="567"/>
        <w:jc w:val="both"/>
        <w:rPr>
          <w:rFonts w:eastAsia="Lucida Sans Unicode"/>
          <w:sz w:val="24"/>
          <w:szCs w:val="24"/>
        </w:rPr>
      </w:pPr>
    </w:p>
    <w:p w14:paraId="50AB6FB0" w14:textId="56A34FC8" w:rsidR="00F11A1D" w:rsidRPr="009E199F" w:rsidRDefault="00F11A1D" w:rsidP="009E199F">
      <w:pPr>
        <w:pStyle w:val="Heading1"/>
        <w:spacing w:before="0"/>
        <w:rPr>
          <w:rFonts w:cs="Arial"/>
          <w:b w:val="0"/>
          <w:bCs/>
          <w:sz w:val="22"/>
          <w:szCs w:val="22"/>
          <w:lang w:eastAsia="ja-JP"/>
        </w:rPr>
      </w:pPr>
      <w:r w:rsidRPr="00860F3B">
        <w:rPr>
          <w:rFonts w:cs="Arial"/>
          <w:bCs/>
          <w:sz w:val="22"/>
          <w:szCs w:val="22"/>
          <w:lang w:eastAsia="ja-JP"/>
        </w:rPr>
        <w:t xml:space="preserve">4. CONCLUSION </w:t>
      </w:r>
      <w:bookmarkStart w:id="6" w:name="_Hlk201750205"/>
    </w:p>
    <w:p w14:paraId="5BE8923F" w14:textId="0574F554" w:rsidR="00F11A1D" w:rsidRPr="00860F3B" w:rsidRDefault="008C2625" w:rsidP="00860F3B">
      <w:pPr>
        <w:spacing w:line="360" w:lineRule="auto"/>
        <w:ind w:firstLine="567"/>
        <w:jc w:val="both"/>
        <w:rPr>
          <w:rFonts w:ascii="Arial" w:eastAsia="Lucida Sans Unicode" w:hAnsi="Arial" w:cs="Arial"/>
        </w:rPr>
      </w:pPr>
      <w:bookmarkStart w:id="7" w:name="_Hlk201750165"/>
      <w:bookmarkEnd w:id="6"/>
      <w:proofErr w:type="spellStart"/>
      <w:r w:rsidRPr="008C2625">
        <w:rPr>
          <w:rFonts w:ascii="Arial" w:eastAsia="Lucida Sans Unicode" w:hAnsi="Arial" w:cs="Arial"/>
        </w:rPr>
        <w:t>Gracilaria</w:t>
      </w:r>
      <w:proofErr w:type="spellEnd"/>
      <w:r w:rsidRPr="008C2625">
        <w:rPr>
          <w:rFonts w:ascii="Arial" w:eastAsia="Lucida Sans Unicode" w:hAnsi="Arial" w:cs="Arial"/>
        </w:rPr>
        <w:t xml:space="preserve"> verrucosa seaweed cultivated around floating net cages has better growth and production performance as well as N and P absorption compared to that cultivated without floating net cages or control.</w:t>
      </w:r>
    </w:p>
    <w:bookmarkEnd w:id="7"/>
    <w:p w14:paraId="45BF6A7C" w14:textId="77777777" w:rsidR="001C543E" w:rsidRPr="001C543E" w:rsidRDefault="001C543E" w:rsidP="001C543E">
      <w:pPr>
        <w:rPr>
          <w:highlight w:val="yellow"/>
        </w:rPr>
      </w:pPr>
      <w:r w:rsidRPr="001C543E">
        <w:rPr>
          <w:highlight w:val="yellow"/>
        </w:rPr>
        <w:t>Disclaimer (Artificial intelligence)</w:t>
      </w:r>
    </w:p>
    <w:p w14:paraId="5B64E353" w14:textId="77777777" w:rsidR="001C543E" w:rsidRPr="001C543E" w:rsidRDefault="001C543E" w:rsidP="001C543E">
      <w:pPr>
        <w:rPr>
          <w:highlight w:val="yellow"/>
        </w:rPr>
      </w:pPr>
      <w:r w:rsidRPr="001C543E">
        <w:rPr>
          <w:highlight w:val="yellow"/>
        </w:rPr>
        <w:t xml:space="preserve">Option 1: </w:t>
      </w:r>
    </w:p>
    <w:p w14:paraId="4871BD8B" w14:textId="77777777" w:rsidR="001C543E" w:rsidRPr="001C543E" w:rsidRDefault="001C543E" w:rsidP="001C543E">
      <w:pPr>
        <w:rPr>
          <w:highlight w:val="yellow"/>
        </w:rPr>
      </w:pPr>
      <w:r w:rsidRPr="001C543E">
        <w:rPr>
          <w:highlight w:val="yellow"/>
        </w:rPr>
        <w:lastRenderedPageBreak/>
        <w:t xml:space="preserve">Author(s) hereby </w:t>
      </w:r>
      <w:proofErr w:type="gramStart"/>
      <w:r w:rsidRPr="001C543E">
        <w:rPr>
          <w:highlight w:val="yellow"/>
        </w:rPr>
        <w:t>declare</w:t>
      </w:r>
      <w:proofErr w:type="gramEnd"/>
      <w:r w:rsidRPr="001C543E">
        <w:rPr>
          <w:highlight w:val="yellow"/>
        </w:rPr>
        <w:t xml:space="preserve"> that NO generative AI technologies such as Large Language Models (ChatGPT, COPILOT, etc.) and text-to-image generators have been used during the writing or editing of this manuscript. </w:t>
      </w:r>
    </w:p>
    <w:p w14:paraId="4E8167E5" w14:textId="77777777" w:rsidR="001C543E" w:rsidRPr="001C543E" w:rsidRDefault="001C543E" w:rsidP="001C543E">
      <w:pPr>
        <w:rPr>
          <w:highlight w:val="yellow"/>
        </w:rPr>
      </w:pPr>
      <w:r w:rsidRPr="001C543E">
        <w:rPr>
          <w:highlight w:val="yellow"/>
        </w:rPr>
        <w:t xml:space="preserve">Option 2: </w:t>
      </w:r>
    </w:p>
    <w:p w14:paraId="557B9355" w14:textId="77777777" w:rsidR="001C543E" w:rsidRPr="001C543E" w:rsidRDefault="001C543E" w:rsidP="001C543E">
      <w:pPr>
        <w:rPr>
          <w:highlight w:val="yellow"/>
        </w:rPr>
      </w:pPr>
      <w:r w:rsidRPr="001C543E">
        <w:rPr>
          <w:highlight w:val="yellow"/>
        </w:rPr>
        <w:t xml:space="preserve">Author(s) hereby </w:t>
      </w:r>
      <w:proofErr w:type="gramStart"/>
      <w:r w:rsidRPr="001C543E">
        <w:rPr>
          <w:highlight w:val="yellow"/>
        </w:rPr>
        <w:t>declare</w:t>
      </w:r>
      <w:proofErr w:type="gramEnd"/>
      <w:r w:rsidRPr="001C543E">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D0073D" w14:textId="77777777" w:rsidR="001C543E" w:rsidRPr="001C543E" w:rsidRDefault="001C543E" w:rsidP="001C543E">
      <w:pPr>
        <w:rPr>
          <w:highlight w:val="yellow"/>
        </w:rPr>
      </w:pPr>
      <w:r w:rsidRPr="001C543E">
        <w:rPr>
          <w:highlight w:val="yellow"/>
        </w:rPr>
        <w:t>Details of the AI usage are given below:</w:t>
      </w:r>
    </w:p>
    <w:p w14:paraId="47B25D17" w14:textId="77777777" w:rsidR="001C543E" w:rsidRPr="001C543E" w:rsidRDefault="001C543E" w:rsidP="001C543E">
      <w:pPr>
        <w:rPr>
          <w:highlight w:val="yellow"/>
        </w:rPr>
      </w:pPr>
      <w:r w:rsidRPr="001C543E">
        <w:rPr>
          <w:highlight w:val="yellow"/>
        </w:rPr>
        <w:t>1.</w:t>
      </w:r>
    </w:p>
    <w:p w14:paraId="20AA2276" w14:textId="77777777" w:rsidR="001C543E" w:rsidRPr="001C543E" w:rsidRDefault="001C543E" w:rsidP="001C543E">
      <w:pPr>
        <w:rPr>
          <w:highlight w:val="yellow"/>
        </w:rPr>
      </w:pPr>
      <w:r w:rsidRPr="001C543E">
        <w:rPr>
          <w:highlight w:val="yellow"/>
        </w:rPr>
        <w:t>2.</w:t>
      </w:r>
    </w:p>
    <w:p w14:paraId="39F8C569" w14:textId="77777777" w:rsidR="001C543E" w:rsidRPr="0053103C" w:rsidRDefault="001C543E" w:rsidP="001C543E">
      <w:r w:rsidRPr="001C543E">
        <w:rPr>
          <w:highlight w:val="yellow"/>
        </w:rPr>
        <w:t>3.</w:t>
      </w:r>
    </w:p>
    <w:p w14:paraId="030049BE" w14:textId="67084D35" w:rsidR="00F11A1D" w:rsidRDefault="00F11A1D" w:rsidP="00F11A1D">
      <w:pPr>
        <w:pStyle w:val="BodyText"/>
        <w:spacing w:line="360" w:lineRule="auto"/>
        <w:ind w:right="2"/>
        <w:jc w:val="both"/>
        <w:rPr>
          <w:rFonts w:ascii="Arial" w:hAnsi="Arial" w:cs="Arial"/>
        </w:rPr>
      </w:pPr>
    </w:p>
    <w:p w14:paraId="7E642DFD" w14:textId="5195F724" w:rsidR="00F11A1D" w:rsidRDefault="00F11A1D" w:rsidP="00F11A1D">
      <w:pPr>
        <w:shd w:val="clear" w:color="auto" w:fill="FFFFFF"/>
        <w:spacing w:line="360" w:lineRule="auto"/>
        <w:rPr>
          <w:rFonts w:ascii="Arial" w:hAnsi="Arial" w:cs="Arial"/>
        </w:rPr>
      </w:pPr>
    </w:p>
    <w:p w14:paraId="0137078F" w14:textId="77777777" w:rsidR="00625564" w:rsidRDefault="00625564" w:rsidP="00F11A1D">
      <w:pPr>
        <w:shd w:val="clear" w:color="auto" w:fill="FFFFFF"/>
        <w:spacing w:line="360" w:lineRule="auto"/>
        <w:rPr>
          <w:rFonts w:ascii="Arial" w:hAnsi="Arial" w:cs="Arial"/>
        </w:rPr>
      </w:pPr>
    </w:p>
    <w:p w14:paraId="64454A3B" w14:textId="77777777" w:rsidR="00F11A1D" w:rsidRPr="00C04128" w:rsidRDefault="00F11A1D" w:rsidP="00F11A1D">
      <w:pPr>
        <w:shd w:val="clear" w:color="auto" w:fill="FFFFFF"/>
        <w:spacing w:line="360" w:lineRule="auto"/>
        <w:rPr>
          <w:rFonts w:ascii="Arial" w:hAnsi="Arial" w:cs="Arial"/>
          <w:b/>
          <w:bCs/>
          <w:sz w:val="22"/>
          <w:szCs w:val="22"/>
        </w:rPr>
      </w:pPr>
      <w:r w:rsidRPr="00C04128">
        <w:rPr>
          <w:rFonts w:ascii="Arial" w:hAnsi="Arial" w:cs="Arial"/>
          <w:b/>
          <w:bCs/>
          <w:sz w:val="22"/>
          <w:szCs w:val="22"/>
        </w:rPr>
        <w:t>REFERENCES</w:t>
      </w:r>
    </w:p>
    <w:p w14:paraId="2964F62B" w14:textId="0622AA9D"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bookmarkStart w:id="8" w:name="_Hlk201755893"/>
      <w:r w:rsidRPr="000066C6">
        <w:rPr>
          <w:rFonts w:ascii="Arial" w:hAnsi="Arial" w:cs="Arial"/>
          <w:noProof/>
        </w:rPr>
        <w:t xml:space="preserve">Alamsyah, M. A., Tjahjaningsih, W., &amp; Pratiwi, A. W. (2009). The influenced of NPK and Fertiliter Combination on the Growth, Water Concentration and Chlorophyll a of </w:t>
      </w:r>
      <w:r w:rsidRPr="000066C6">
        <w:rPr>
          <w:rFonts w:ascii="Arial" w:hAnsi="Arial" w:cs="Arial"/>
          <w:i/>
          <w:iCs/>
          <w:noProof/>
        </w:rPr>
        <w:t>Gracilaria verrucosa</w:t>
      </w:r>
      <w:r w:rsidRPr="000066C6">
        <w:rPr>
          <w:rFonts w:ascii="Arial" w:hAnsi="Arial" w:cs="Arial"/>
          <w:noProof/>
        </w:rPr>
        <w:t xml:space="preserve">. </w:t>
      </w:r>
      <w:r w:rsidR="004250E7" w:rsidRPr="000066C6">
        <w:rPr>
          <w:rFonts w:ascii="Arial" w:hAnsi="Arial" w:cs="Arial"/>
          <w:i/>
          <w:iCs/>
          <w:noProof/>
        </w:rPr>
        <w:t>Scientific Journal of Fisheries and Marine Sciences</w:t>
      </w:r>
      <w:r w:rsidRPr="000066C6">
        <w:rPr>
          <w:rFonts w:ascii="Arial" w:hAnsi="Arial" w:cs="Arial"/>
          <w:noProof/>
        </w:rPr>
        <w:t xml:space="preserve">, </w:t>
      </w:r>
      <w:r w:rsidRPr="000066C6">
        <w:rPr>
          <w:rFonts w:ascii="Arial" w:hAnsi="Arial" w:cs="Arial"/>
          <w:i/>
          <w:iCs/>
          <w:noProof/>
        </w:rPr>
        <w:t>1</w:t>
      </w:r>
      <w:r w:rsidRPr="000066C6">
        <w:rPr>
          <w:rFonts w:ascii="Arial" w:hAnsi="Arial" w:cs="Arial"/>
          <w:noProof/>
        </w:rPr>
        <w:t>(1), 103–116.</w:t>
      </w:r>
    </w:p>
    <w:p w14:paraId="0C6AFFCF" w14:textId="622B680E" w:rsidR="00CB379B" w:rsidRPr="000066C6" w:rsidRDefault="00CB379B"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t>DOI:10.20473/jipk.v1i1.11705</w:t>
      </w:r>
    </w:p>
    <w:p w14:paraId="33848CCB" w14:textId="47C19094"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Andreyan, D., Rejeki, S., Ariyati, R. W., Widowati, L. L., &amp; Amalia, R. (2021). Effect of Different Salinity on the Effectiveness of Nitrate Absorption and Growth (</w:t>
      </w:r>
      <w:r w:rsidRPr="000066C6">
        <w:rPr>
          <w:rFonts w:ascii="Arial" w:hAnsi="Arial" w:cs="Arial"/>
          <w:i/>
          <w:iCs/>
          <w:noProof/>
        </w:rPr>
        <w:t>Gracilaria verrucosa</w:t>
      </w:r>
      <w:r w:rsidRPr="000066C6">
        <w:rPr>
          <w:rFonts w:ascii="Arial" w:hAnsi="Arial" w:cs="Arial"/>
          <w:noProof/>
        </w:rPr>
        <w:t>) from Wastewater of Grouper (</w:t>
      </w:r>
      <w:r w:rsidRPr="000066C6">
        <w:rPr>
          <w:rFonts w:ascii="Arial" w:hAnsi="Arial" w:cs="Arial"/>
          <w:i/>
          <w:iCs/>
          <w:noProof/>
        </w:rPr>
        <w:t>Epinephelus</w:t>
      </w:r>
      <w:r w:rsidRPr="000066C6">
        <w:rPr>
          <w:rFonts w:ascii="Arial" w:hAnsi="Arial" w:cs="Arial"/>
          <w:noProof/>
        </w:rPr>
        <w:t xml:space="preserve">) Intensive System Farming. </w:t>
      </w:r>
      <w:r w:rsidRPr="000066C6">
        <w:rPr>
          <w:rFonts w:ascii="Arial" w:hAnsi="Arial" w:cs="Arial"/>
          <w:i/>
          <w:iCs/>
          <w:noProof/>
        </w:rPr>
        <w:t>Tropical Aquaculture Science</w:t>
      </w:r>
      <w:r w:rsidRPr="000066C6">
        <w:rPr>
          <w:rFonts w:ascii="Arial" w:hAnsi="Arial" w:cs="Arial"/>
          <w:noProof/>
        </w:rPr>
        <w:t xml:space="preserve">, </w:t>
      </w:r>
      <w:r w:rsidRPr="000066C6">
        <w:rPr>
          <w:rFonts w:ascii="Arial" w:hAnsi="Arial" w:cs="Arial"/>
          <w:i/>
          <w:iCs/>
          <w:noProof/>
        </w:rPr>
        <w:t>5</w:t>
      </w:r>
      <w:r w:rsidRPr="000066C6">
        <w:rPr>
          <w:rFonts w:ascii="Arial" w:hAnsi="Arial" w:cs="Arial"/>
          <w:noProof/>
        </w:rPr>
        <w:t xml:space="preserve">(2), 88–96. </w:t>
      </w:r>
    </w:p>
    <w:p w14:paraId="21448C77" w14:textId="610FBAF7"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https://doi.org/10.14710/sat.v5i2.7282</w:t>
      </w:r>
    </w:p>
    <w:p w14:paraId="5DCD7796" w14:textId="31CE2EF0"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BSN. (2010). </w:t>
      </w:r>
      <w:r w:rsidR="004250E7" w:rsidRPr="000066C6">
        <w:rPr>
          <w:rFonts w:ascii="Arial" w:hAnsi="Arial" w:cs="Arial"/>
          <w:noProof/>
        </w:rPr>
        <w:t>Production of Cotton Seaweed (</w:t>
      </w:r>
      <w:r w:rsidR="004250E7" w:rsidRPr="000066C6">
        <w:rPr>
          <w:rFonts w:ascii="Arial" w:hAnsi="Arial" w:cs="Arial"/>
          <w:i/>
          <w:iCs/>
          <w:noProof/>
        </w:rPr>
        <w:t>Eucheuma cottonii</w:t>
      </w:r>
      <w:r w:rsidR="004250E7" w:rsidRPr="000066C6">
        <w:rPr>
          <w:rFonts w:ascii="Arial" w:hAnsi="Arial" w:cs="Arial"/>
          <w:noProof/>
        </w:rPr>
        <w:t xml:space="preserve">) - Part 2: Long-line method. In Badan Standar Indonesia </w:t>
      </w:r>
      <w:r w:rsidRPr="000066C6">
        <w:rPr>
          <w:rFonts w:ascii="Arial" w:hAnsi="Arial" w:cs="Arial"/>
          <w:i/>
          <w:iCs/>
          <w:noProof/>
        </w:rPr>
        <w:t>SNI 7579.2:2010</w:t>
      </w:r>
      <w:r w:rsidRPr="000066C6">
        <w:rPr>
          <w:rFonts w:ascii="Arial" w:hAnsi="Arial" w:cs="Arial"/>
          <w:noProof/>
        </w:rPr>
        <w:t xml:space="preserve"> (Issue 2).</w:t>
      </w:r>
    </w:p>
    <w:p w14:paraId="2E71A4D6" w14:textId="10739682"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Budiyanto, B. (2021). </w:t>
      </w:r>
      <w:r w:rsidR="004250E7" w:rsidRPr="000066C6">
        <w:rPr>
          <w:rFonts w:ascii="Arial" w:hAnsi="Arial" w:cs="Arial"/>
          <w:noProof/>
        </w:rPr>
        <w:t xml:space="preserve">Socio-Spatial Approach of Lobster Cultivation in Ekas Bay Area Zone of Lombok Nusa. </w:t>
      </w:r>
      <w:r w:rsidR="004250E7" w:rsidRPr="000066C6">
        <w:rPr>
          <w:rFonts w:ascii="Arial" w:hAnsi="Arial" w:cs="Arial"/>
          <w:i/>
          <w:iCs/>
          <w:noProof/>
        </w:rPr>
        <w:t>Journal of Tropical Fisheries Management</w:t>
      </w:r>
      <w:r w:rsidRPr="000066C6">
        <w:rPr>
          <w:rFonts w:ascii="Arial" w:hAnsi="Arial" w:cs="Arial"/>
          <w:noProof/>
        </w:rPr>
        <w:t xml:space="preserve">, </w:t>
      </w:r>
      <w:r w:rsidRPr="000066C6">
        <w:rPr>
          <w:rFonts w:ascii="Arial" w:hAnsi="Arial" w:cs="Arial"/>
          <w:i/>
          <w:iCs/>
          <w:noProof/>
        </w:rPr>
        <w:t>5</w:t>
      </w:r>
      <w:r w:rsidRPr="000066C6">
        <w:rPr>
          <w:rFonts w:ascii="Arial" w:hAnsi="Arial" w:cs="Arial"/>
          <w:noProof/>
        </w:rPr>
        <w:t>(2021), 121–133.</w:t>
      </w:r>
    </w:p>
    <w:p w14:paraId="2F9D6643" w14:textId="6228185D" w:rsidR="00A771EF" w:rsidRPr="000066C6" w:rsidRDefault="00A771EF"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r>
      <w:r w:rsidRPr="000066C6">
        <w:rPr>
          <w:rFonts w:ascii="Arial" w:hAnsi="Arial" w:cs="Arial"/>
          <w:b/>
          <w:bCs/>
          <w:noProof/>
        </w:rPr>
        <w:t> </w:t>
      </w:r>
      <w:hyperlink r:id="rId19" w:history="1">
        <w:r w:rsidRPr="000066C6">
          <w:rPr>
            <w:rStyle w:val="Hyperlink"/>
            <w:rFonts w:ascii="Arial" w:hAnsi="Arial" w:cs="Arial"/>
            <w:noProof/>
            <w:color w:val="auto"/>
            <w:u w:val="none"/>
          </w:rPr>
          <w:t>https://doi.org/10.29244/jppt.v5i2.38719</w:t>
        </w:r>
      </w:hyperlink>
    </w:p>
    <w:p w14:paraId="58CD7C6F" w14:textId="5A04CEF2"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Cokrowati, N., Arjuni, A., &amp; Rusman, R. (2018). </w:t>
      </w:r>
      <w:r w:rsidR="004250E7" w:rsidRPr="000066C6">
        <w:rPr>
          <w:rFonts w:ascii="Arial" w:hAnsi="Arial" w:cs="Arial"/>
          <w:noProof/>
        </w:rPr>
        <w:t xml:space="preserve">Growth of </w:t>
      </w:r>
      <w:r w:rsidR="004250E7" w:rsidRPr="000066C6">
        <w:rPr>
          <w:rFonts w:ascii="Arial" w:hAnsi="Arial" w:cs="Arial"/>
          <w:i/>
          <w:iCs/>
          <w:noProof/>
        </w:rPr>
        <w:t>Kappaphycus alvarezii</w:t>
      </w:r>
      <w:r w:rsidR="004250E7" w:rsidRPr="000066C6">
        <w:rPr>
          <w:rFonts w:ascii="Arial" w:hAnsi="Arial" w:cs="Arial"/>
          <w:noProof/>
        </w:rPr>
        <w:t xml:space="preserve"> Seaweed from Tissue Culture. </w:t>
      </w:r>
      <w:r w:rsidR="004250E7" w:rsidRPr="000066C6">
        <w:rPr>
          <w:rFonts w:ascii="Arial" w:hAnsi="Arial" w:cs="Arial"/>
          <w:i/>
          <w:iCs/>
          <w:noProof/>
        </w:rPr>
        <w:t>Journal of Tropical Biology</w:t>
      </w:r>
      <w:r w:rsidRPr="000066C6">
        <w:rPr>
          <w:rFonts w:ascii="Arial" w:hAnsi="Arial" w:cs="Arial"/>
          <w:noProof/>
        </w:rPr>
        <w:t xml:space="preserve">, </w:t>
      </w:r>
      <w:r w:rsidRPr="000066C6">
        <w:rPr>
          <w:rFonts w:ascii="Arial" w:hAnsi="Arial" w:cs="Arial"/>
          <w:i/>
          <w:iCs/>
          <w:noProof/>
        </w:rPr>
        <w:t>18</w:t>
      </w:r>
      <w:r w:rsidRPr="000066C6">
        <w:rPr>
          <w:rFonts w:ascii="Arial" w:hAnsi="Arial" w:cs="Arial"/>
          <w:noProof/>
        </w:rPr>
        <w:t xml:space="preserve">(2), 216–223. </w:t>
      </w:r>
    </w:p>
    <w:p w14:paraId="5E2B8E3B" w14:textId="77777777"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https://doi.org/10.29303/jbt.v18i2.740</w:t>
      </w:r>
    </w:p>
    <w:p w14:paraId="47FC5A74" w14:textId="77777777"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Gordillo, F. J. L., Dring, M. J., &amp; Savidge, G. (2002). Nitrate and Phosphate Uptake Characteristics of Three Species of Brown Algae Cultured at Low Salinity. </w:t>
      </w:r>
      <w:r w:rsidRPr="000066C6">
        <w:rPr>
          <w:rFonts w:ascii="Arial" w:hAnsi="Arial" w:cs="Arial"/>
          <w:i/>
          <w:iCs/>
          <w:noProof/>
        </w:rPr>
        <w:t>Marine Ecology Progress Series</w:t>
      </w:r>
      <w:r w:rsidRPr="000066C6">
        <w:rPr>
          <w:rFonts w:ascii="Arial" w:hAnsi="Arial" w:cs="Arial"/>
          <w:noProof/>
        </w:rPr>
        <w:t xml:space="preserve">, </w:t>
      </w:r>
      <w:r w:rsidRPr="000066C6">
        <w:rPr>
          <w:rFonts w:ascii="Arial" w:hAnsi="Arial" w:cs="Arial"/>
          <w:i/>
          <w:iCs/>
          <w:noProof/>
        </w:rPr>
        <w:t>234</w:t>
      </w:r>
      <w:r w:rsidRPr="000066C6">
        <w:rPr>
          <w:rFonts w:ascii="Arial" w:hAnsi="Arial" w:cs="Arial"/>
          <w:noProof/>
        </w:rPr>
        <w:t xml:space="preserve">, 111–118. </w:t>
      </w:r>
    </w:p>
    <w:p w14:paraId="3726F8FF" w14:textId="77777777"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https://doi.org/10.3354/meps234111</w:t>
      </w:r>
    </w:p>
    <w:p w14:paraId="6D2B14D8" w14:textId="6C58F1CD" w:rsidR="00C04128" w:rsidRPr="001C543E" w:rsidRDefault="00C04128" w:rsidP="00C34E8E">
      <w:pPr>
        <w:widowControl w:val="0"/>
        <w:autoSpaceDE w:val="0"/>
        <w:autoSpaceDN w:val="0"/>
        <w:adjustRightInd w:val="0"/>
        <w:spacing w:line="360" w:lineRule="auto"/>
        <w:ind w:left="851" w:hanging="993"/>
        <w:jc w:val="both"/>
        <w:rPr>
          <w:rFonts w:ascii="Arial" w:hAnsi="Arial" w:cs="Arial"/>
          <w:noProof/>
          <w:lang w:val="nl-BE"/>
        </w:rPr>
      </w:pPr>
      <w:r w:rsidRPr="000066C6">
        <w:rPr>
          <w:rFonts w:ascii="Arial" w:hAnsi="Arial" w:cs="Arial"/>
          <w:noProof/>
        </w:rPr>
        <w:t xml:space="preserve">Indrayani, S., Hadijah, &amp; Indrrawati, E. (2021). </w:t>
      </w:r>
      <w:r w:rsidR="004250E7" w:rsidRPr="000066C6">
        <w:rPr>
          <w:rFonts w:ascii="Arial" w:hAnsi="Arial" w:cs="Arial"/>
          <w:noProof/>
        </w:rPr>
        <w:t>Seaweed Cultivation Potential Study of Sembilan Island Waters, Sinjai Regency, South Sulawesi</w:t>
      </w:r>
      <w:r w:rsidR="004250E7" w:rsidRPr="000066C6">
        <w:rPr>
          <w:rFonts w:ascii="Arial" w:hAnsi="Arial" w:cs="Arial"/>
          <w:i/>
          <w:iCs/>
          <w:noProof/>
        </w:rPr>
        <w:t xml:space="preserve"> </w:t>
      </w:r>
      <w:r w:rsidRPr="000066C6">
        <w:rPr>
          <w:rFonts w:ascii="Arial" w:hAnsi="Arial" w:cs="Arial"/>
          <w:noProof/>
        </w:rPr>
        <w:t xml:space="preserve">(S. Mulyani &amp; A. Jumain. </w:t>
      </w:r>
      <w:r w:rsidRPr="001C543E">
        <w:rPr>
          <w:rFonts w:ascii="Arial" w:hAnsi="Arial" w:cs="Arial"/>
          <w:noProof/>
          <w:lang w:val="nl-BE"/>
        </w:rPr>
        <w:t xml:space="preserve">CV </w:t>
      </w:r>
      <w:r w:rsidRPr="001C543E">
        <w:rPr>
          <w:rFonts w:ascii="Arial" w:hAnsi="Arial" w:cs="Arial"/>
          <w:noProof/>
          <w:lang w:val="nl-BE"/>
        </w:rPr>
        <w:lastRenderedPageBreak/>
        <w:t>Berkash Utami.</w:t>
      </w:r>
    </w:p>
    <w:p w14:paraId="3A0F12D7" w14:textId="2AA8380E" w:rsidR="0078198E" w:rsidRPr="001C543E" w:rsidRDefault="0078198E" w:rsidP="00C34E8E">
      <w:pPr>
        <w:widowControl w:val="0"/>
        <w:autoSpaceDE w:val="0"/>
        <w:autoSpaceDN w:val="0"/>
        <w:adjustRightInd w:val="0"/>
        <w:spacing w:line="360" w:lineRule="auto"/>
        <w:ind w:left="851" w:hanging="993"/>
        <w:jc w:val="both"/>
        <w:rPr>
          <w:rFonts w:ascii="Arial" w:hAnsi="Arial" w:cs="Arial"/>
          <w:noProof/>
          <w:lang w:val="nl-BE"/>
        </w:rPr>
      </w:pPr>
      <w:r w:rsidRPr="001C543E">
        <w:rPr>
          <w:rFonts w:ascii="Arial" w:hAnsi="Arial" w:cs="Arial"/>
          <w:noProof/>
          <w:lang w:val="nl-BE"/>
        </w:rPr>
        <w:tab/>
        <w:t>https://repository.unibos.ac.id/xmlui/handle/123456789/854</w:t>
      </w:r>
    </w:p>
    <w:p w14:paraId="28CB83E1" w14:textId="77777777"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Jamal, E., Oieris, N., Sudharma, R., &amp; Septiningsih, E. (2013). Ammonia , Nitrite and Phosphate Concentration on Fish Farming Area of Poka Coastal of Inner Ambon Bay. </w:t>
      </w:r>
      <w:r w:rsidRPr="000066C6">
        <w:rPr>
          <w:rFonts w:ascii="Arial" w:hAnsi="Arial" w:cs="Arial"/>
          <w:i/>
          <w:iCs/>
          <w:noProof/>
        </w:rPr>
        <w:t>Jurnal TRITON</w:t>
      </w:r>
      <w:r w:rsidRPr="000066C6">
        <w:rPr>
          <w:rFonts w:ascii="Arial" w:hAnsi="Arial" w:cs="Arial"/>
          <w:noProof/>
        </w:rPr>
        <w:t xml:space="preserve">, </w:t>
      </w:r>
      <w:r w:rsidRPr="000066C6">
        <w:rPr>
          <w:rFonts w:ascii="Arial" w:hAnsi="Arial" w:cs="Arial"/>
          <w:i/>
          <w:iCs/>
          <w:noProof/>
        </w:rPr>
        <w:t>9</w:t>
      </w:r>
      <w:r w:rsidRPr="000066C6">
        <w:rPr>
          <w:rFonts w:ascii="Arial" w:hAnsi="Arial" w:cs="Arial"/>
          <w:noProof/>
        </w:rPr>
        <w:t>(2), 87–93.</w:t>
      </w:r>
    </w:p>
    <w:p w14:paraId="2BF41C60" w14:textId="2E2B6E6C" w:rsidR="00A92F14" w:rsidRPr="000066C6" w:rsidRDefault="00A92F14"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t>https://ejournal.unpatti.ac.id/ppr_paperinfo_lnk.php?id=1356</w:t>
      </w:r>
    </w:p>
    <w:p w14:paraId="725A0E06" w14:textId="27D671DE" w:rsidR="00A771EF"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Junaidi, M., Diniarti, N., Dwiyanti, S., &amp; Diniariwisan, D. (2025). Culture of Spiny Lobster in Multi-level Floating Net Cage System Integrated with Snubnose Pompano and Abalone Shells. </w:t>
      </w:r>
      <w:r w:rsidRPr="000066C6">
        <w:rPr>
          <w:rFonts w:ascii="Arial" w:hAnsi="Arial" w:cs="Arial"/>
          <w:i/>
          <w:iCs/>
          <w:noProof/>
        </w:rPr>
        <w:t>Jurnal Biologi Tropis</w:t>
      </w:r>
      <w:r w:rsidRPr="000066C6">
        <w:rPr>
          <w:rFonts w:ascii="Arial" w:hAnsi="Arial" w:cs="Arial"/>
          <w:noProof/>
        </w:rPr>
        <w:t xml:space="preserve">, </w:t>
      </w:r>
      <w:r w:rsidRPr="000066C6">
        <w:rPr>
          <w:rFonts w:ascii="Arial" w:hAnsi="Arial" w:cs="Arial"/>
          <w:i/>
          <w:iCs/>
          <w:noProof/>
        </w:rPr>
        <w:t>25</w:t>
      </w:r>
      <w:r w:rsidRPr="000066C6">
        <w:rPr>
          <w:rFonts w:ascii="Arial" w:hAnsi="Arial" w:cs="Arial"/>
          <w:noProof/>
        </w:rPr>
        <w:t>(1), 1134–1142.</w:t>
      </w:r>
    </w:p>
    <w:p w14:paraId="7874976B" w14:textId="03D8DFFD" w:rsidR="00A771EF" w:rsidRPr="000066C6" w:rsidRDefault="00A771EF" w:rsidP="00C34E8E">
      <w:pPr>
        <w:widowControl w:val="0"/>
        <w:autoSpaceDE w:val="0"/>
        <w:autoSpaceDN w:val="0"/>
        <w:adjustRightInd w:val="0"/>
        <w:spacing w:line="360" w:lineRule="auto"/>
        <w:ind w:left="851" w:hanging="131"/>
        <w:jc w:val="both"/>
        <w:rPr>
          <w:rFonts w:ascii="Arial" w:hAnsi="Arial" w:cs="Arial"/>
          <w:noProof/>
        </w:rPr>
      </w:pPr>
      <w:hyperlink r:id="rId20" w:history="1">
        <w:r w:rsidRPr="000066C6">
          <w:rPr>
            <w:rStyle w:val="Hyperlink"/>
            <w:rFonts w:ascii="Arial" w:hAnsi="Arial" w:cs="Arial"/>
            <w:noProof/>
            <w:color w:val="auto"/>
            <w:u w:val="none"/>
            <w:lang w:val="en-ID"/>
          </w:rPr>
          <w:t>10.29303/jbt.v25i1.7955</w:t>
        </w:r>
      </w:hyperlink>
    </w:p>
    <w:p w14:paraId="641840DB" w14:textId="21204486"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Junaidi, M., &amp; Hamzah, M. S. (2015). </w:t>
      </w:r>
      <w:r w:rsidR="004250E7" w:rsidRPr="000066C6">
        <w:rPr>
          <w:rFonts w:ascii="Arial" w:hAnsi="Arial" w:cs="Arial"/>
          <w:noProof/>
        </w:rPr>
        <w:t xml:space="preserve">Sedimentation Rate and Dispersion of Organic Waste from Coral Shrimp Cultivation in Floating Net Cages in Ekas Bay Waters, West Nusa Tenggara Province. </w:t>
      </w:r>
      <w:r w:rsidR="004250E7" w:rsidRPr="000066C6">
        <w:rPr>
          <w:rFonts w:ascii="Arial" w:hAnsi="Arial" w:cs="Arial"/>
          <w:i/>
          <w:iCs/>
          <w:noProof/>
        </w:rPr>
        <w:t>Journal of Tropical Marine Science and Technology</w:t>
      </w:r>
      <w:r w:rsidRPr="000066C6">
        <w:rPr>
          <w:rFonts w:ascii="Arial" w:hAnsi="Arial" w:cs="Arial"/>
          <w:noProof/>
        </w:rPr>
        <w:t xml:space="preserve">, </w:t>
      </w:r>
      <w:r w:rsidRPr="000066C6">
        <w:rPr>
          <w:rFonts w:ascii="Arial" w:hAnsi="Arial" w:cs="Arial"/>
          <w:i/>
          <w:iCs/>
          <w:noProof/>
        </w:rPr>
        <w:t>7</w:t>
      </w:r>
      <w:r w:rsidRPr="000066C6">
        <w:rPr>
          <w:rFonts w:ascii="Arial" w:hAnsi="Arial" w:cs="Arial"/>
          <w:noProof/>
        </w:rPr>
        <w:t>(1), 287–298.</w:t>
      </w:r>
    </w:p>
    <w:p w14:paraId="01F6A5E7" w14:textId="15BFA5D6" w:rsidR="00A771EF" w:rsidRPr="000066C6" w:rsidRDefault="00A771EF"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r>
      <w:hyperlink r:id="rId21" w:history="1">
        <w:r w:rsidRPr="000066C6">
          <w:rPr>
            <w:rStyle w:val="Hyperlink"/>
            <w:rFonts w:ascii="Arial" w:hAnsi="Arial" w:cs="Arial"/>
            <w:noProof/>
            <w:color w:val="auto"/>
            <w:u w:val="none"/>
          </w:rPr>
          <w:t>https://doi.org/10.29244/jitkt.v7i1.9812</w:t>
        </w:r>
      </w:hyperlink>
    </w:p>
    <w:p w14:paraId="117D05A0" w14:textId="62A61B0D"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KKP. (2023). </w:t>
      </w:r>
      <w:r w:rsidR="004250E7" w:rsidRPr="000066C6">
        <w:rPr>
          <w:rFonts w:ascii="Arial" w:hAnsi="Arial" w:cs="Arial"/>
          <w:noProof/>
        </w:rPr>
        <w:t xml:space="preserve">Seaweed Market Profile. In the Directorate General of Strengthening the Competitiveness of Marine and Fisheries Products, Ministry of Marine Affairs and Fisheries of the Republic of Indonesia </w:t>
      </w:r>
      <w:r w:rsidRPr="000066C6">
        <w:rPr>
          <w:rFonts w:ascii="Arial" w:hAnsi="Arial" w:cs="Arial"/>
          <w:noProof/>
        </w:rPr>
        <w:t xml:space="preserve">(Vol. 11, Issue 1). </w:t>
      </w:r>
    </w:p>
    <w:p w14:paraId="044D8C77" w14:textId="77777777"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http://dx.doi.org/10.1016/j.regsciurbeco.</w:t>
      </w:r>
    </w:p>
    <w:p w14:paraId="2E1273B1" w14:textId="66A7972D"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KKP. (2025). </w:t>
      </w:r>
      <w:r w:rsidR="004250E7" w:rsidRPr="000066C6">
        <w:rPr>
          <w:rFonts w:ascii="Arial" w:hAnsi="Arial" w:cs="Arial"/>
          <w:i/>
          <w:iCs/>
          <w:noProof/>
        </w:rPr>
        <w:t>Data and Statistics of KKP. Ministry of Marine Affairs and Fisheries</w:t>
      </w:r>
      <w:r w:rsidRPr="000066C6">
        <w:rPr>
          <w:rFonts w:ascii="Arial" w:hAnsi="Arial" w:cs="Arial"/>
          <w:noProof/>
        </w:rPr>
        <w:t>.</w:t>
      </w:r>
    </w:p>
    <w:p w14:paraId="4F253AF9" w14:textId="1D7BDD0D" w:rsidR="00A92F14" w:rsidRPr="000066C6" w:rsidRDefault="00A92F14"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t>https://portaldata.kkp.go.id/portals/data-statistik/layer1</w:t>
      </w:r>
    </w:p>
    <w:p w14:paraId="14ED2B90" w14:textId="77777777"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Lutfiati, L., Cokrowati, N., &amp; Azhar, F. (2022). Difference Long Irradiation on the Growth Rate of </w:t>
      </w:r>
      <w:r w:rsidRPr="000066C6">
        <w:rPr>
          <w:rFonts w:ascii="Arial" w:hAnsi="Arial" w:cs="Arial"/>
          <w:i/>
          <w:iCs/>
          <w:noProof/>
        </w:rPr>
        <w:t>Kappaphycus alvarezii</w:t>
      </w:r>
      <w:r w:rsidRPr="000066C6">
        <w:rPr>
          <w:rFonts w:ascii="Arial" w:hAnsi="Arial" w:cs="Arial"/>
          <w:noProof/>
        </w:rPr>
        <w:t xml:space="preserve">. </w:t>
      </w:r>
      <w:r w:rsidRPr="000066C6">
        <w:rPr>
          <w:rFonts w:ascii="Arial" w:hAnsi="Arial" w:cs="Arial"/>
          <w:i/>
          <w:iCs/>
          <w:noProof/>
        </w:rPr>
        <w:t>Jurnal Biologi Tropis</w:t>
      </w:r>
      <w:r w:rsidRPr="000066C6">
        <w:rPr>
          <w:rFonts w:ascii="Arial" w:hAnsi="Arial" w:cs="Arial"/>
          <w:noProof/>
        </w:rPr>
        <w:t xml:space="preserve">, </w:t>
      </w:r>
      <w:r w:rsidRPr="000066C6">
        <w:rPr>
          <w:rFonts w:ascii="Arial" w:hAnsi="Arial" w:cs="Arial"/>
          <w:i/>
          <w:iCs/>
          <w:noProof/>
        </w:rPr>
        <w:t>22</w:t>
      </w:r>
      <w:r w:rsidRPr="000066C6">
        <w:rPr>
          <w:rFonts w:ascii="Arial" w:hAnsi="Arial" w:cs="Arial"/>
          <w:noProof/>
        </w:rPr>
        <w:t xml:space="preserve">(1), 121–130. </w:t>
      </w:r>
    </w:p>
    <w:p w14:paraId="69ACFA1E" w14:textId="77777777"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https://doi.org/10.29303/jbt.v22i1.3292</w:t>
      </w:r>
    </w:p>
    <w:p w14:paraId="2C0443B1" w14:textId="10359B38" w:rsidR="00C04128" w:rsidRPr="001C543E" w:rsidRDefault="00C04128" w:rsidP="00C34E8E">
      <w:pPr>
        <w:widowControl w:val="0"/>
        <w:autoSpaceDE w:val="0"/>
        <w:autoSpaceDN w:val="0"/>
        <w:adjustRightInd w:val="0"/>
        <w:spacing w:line="360" w:lineRule="auto"/>
        <w:ind w:left="851" w:hanging="993"/>
        <w:jc w:val="both"/>
        <w:rPr>
          <w:rFonts w:ascii="Arial" w:hAnsi="Arial" w:cs="Arial"/>
          <w:noProof/>
          <w:lang w:val="nl-BE"/>
        </w:rPr>
      </w:pPr>
      <w:r w:rsidRPr="000066C6">
        <w:rPr>
          <w:rFonts w:ascii="Arial" w:hAnsi="Arial" w:cs="Arial"/>
          <w:noProof/>
        </w:rPr>
        <w:t>Mustofa, A. (2015</w:t>
      </w:r>
      <w:r w:rsidR="004250E7" w:rsidRPr="000066C6">
        <w:rPr>
          <w:rFonts w:ascii="Arial" w:hAnsi="Arial" w:cs="Arial"/>
          <w:noProof/>
        </w:rPr>
        <w:t xml:space="preserve">). Nitrate and Phosphate Content as a Factor in Coastal Water Fertility Levels. </w:t>
      </w:r>
      <w:r w:rsidR="004250E7" w:rsidRPr="001C543E">
        <w:rPr>
          <w:rFonts w:ascii="Arial" w:hAnsi="Arial" w:cs="Arial"/>
          <w:noProof/>
          <w:lang w:val="nl-BE"/>
        </w:rPr>
        <w:t>Disprotek</w:t>
      </w:r>
      <w:r w:rsidRPr="001C543E">
        <w:rPr>
          <w:rFonts w:ascii="Arial" w:hAnsi="Arial" w:cs="Arial"/>
          <w:noProof/>
          <w:lang w:val="nl-BE"/>
        </w:rPr>
        <w:t xml:space="preserve">, </w:t>
      </w:r>
      <w:r w:rsidRPr="001C543E">
        <w:rPr>
          <w:rFonts w:ascii="Arial" w:hAnsi="Arial" w:cs="Arial"/>
          <w:i/>
          <w:iCs/>
          <w:noProof/>
          <w:lang w:val="nl-BE"/>
        </w:rPr>
        <w:t>6</w:t>
      </w:r>
      <w:r w:rsidRPr="001C543E">
        <w:rPr>
          <w:rFonts w:ascii="Arial" w:hAnsi="Arial" w:cs="Arial"/>
          <w:noProof/>
          <w:lang w:val="nl-BE"/>
        </w:rPr>
        <w:t>(1), 13–19.</w:t>
      </w:r>
    </w:p>
    <w:p w14:paraId="73FD0856" w14:textId="1DCCC040" w:rsidR="00A92F14" w:rsidRPr="001C543E" w:rsidRDefault="00A92F14" w:rsidP="00C34E8E">
      <w:pPr>
        <w:widowControl w:val="0"/>
        <w:autoSpaceDE w:val="0"/>
        <w:autoSpaceDN w:val="0"/>
        <w:adjustRightInd w:val="0"/>
        <w:spacing w:line="360" w:lineRule="auto"/>
        <w:ind w:left="851" w:hanging="993"/>
        <w:jc w:val="both"/>
        <w:rPr>
          <w:rFonts w:ascii="Arial" w:hAnsi="Arial" w:cs="Arial"/>
          <w:noProof/>
          <w:lang w:val="nl-BE"/>
        </w:rPr>
      </w:pPr>
      <w:r w:rsidRPr="001C543E">
        <w:rPr>
          <w:rFonts w:ascii="Arial" w:hAnsi="Arial" w:cs="Arial"/>
          <w:noProof/>
          <w:lang w:val="nl-BE"/>
        </w:rPr>
        <w:tab/>
        <w:t> </w:t>
      </w:r>
      <w:hyperlink r:id="rId22" w:history="1">
        <w:r w:rsidRPr="001C543E">
          <w:rPr>
            <w:rStyle w:val="Hyperlink"/>
            <w:rFonts w:ascii="Arial" w:hAnsi="Arial" w:cs="Arial"/>
            <w:noProof/>
            <w:color w:val="auto"/>
            <w:u w:val="none"/>
            <w:lang w:val="nl-BE"/>
          </w:rPr>
          <w:t>https://doi.org/10.34001/jdpt.v6i1.193</w:t>
        </w:r>
      </w:hyperlink>
    </w:p>
    <w:p w14:paraId="39CE7C2A" w14:textId="77777777" w:rsidR="00A771EF"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1C543E">
        <w:rPr>
          <w:rFonts w:ascii="Arial" w:hAnsi="Arial" w:cs="Arial"/>
          <w:noProof/>
          <w:lang w:val="nl-BE"/>
        </w:rPr>
        <w:t xml:space="preserve">Neori, A., Shpigel, M., &amp; Ben-Ezra, D. (2000). </w:t>
      </w:r>
      <w:r w:rsidRPr="000066C6">
        <w:rPr>
          <w:rFonts w:ascii="Arial" w:hAnsi="Arial" w:cs="Arial"/>
          <w:noProof/>
        </w:rPr>
        <w:t xml:space="preserve">A Sustainable Integrated System for Culture of Fish, Seaweed and Abalone. </w:t>
      </w:r>
      <w:r w:rsidRPr="000066C6">
        <w:rPr>
          <w:rFonts w:ascii="Arial" w:hAnsi="Arial" w:cs="Arial"/>
          <w:i/>
          <w:iCs/>
          <w:noProof/>
        </w:rPr>
        <w:t>Aquaculture</w:t>
      </w:r>
      <w:r w:rsidRPr="000066C6">
        <w:rPr>
          <w:rFonts w:ascii="Arial" w:hAnsi="Arial" w:cs="Arial"/>
          <w:noProof/>
        </w:rPr>
        <w:t xml:space="preserve">, </w:t>
      </w:r>
      <w:r w:rsidRPr="000066C6">
        <w:rPr>
          <w:rFonts w:ascii="Arial" w:hAnsi="Arial" w:cs="Arial"/>
          <w:i/>
          <w:iCs/>
          <w:noProof/>
        </w:rPr>
        <w:t>186</w:t>
      </w:r>
      <w:r w:rsidRPr="000066C6">
        <w:rPr>
          <w:rFonts w:ascii="Arial" w:hAnsi="Arial" w:cs="Arial"/>
          <w:noProof/>
        </w:rPr>
        <w:t xml:space="preserve">(3–4), 279–291. </w:t>
      </w:r>
    </w:p>
    <w:p w14:paraId="3AA59B44" w14:textId="172677CC"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https://doi.org/10.1016/S0044-8486(99)00378-6</w:t>
      </w:r>
    </w:p>
    <w:p w14:paraId="27DE69F7" w14:textId="77777777" w:rsidR="0078198E" w:rsidRPr="000066C6" w:rsidRDefault="0078198E" w:rsidP="00C34E8E">
      <w:pPr>
        <w:shd w:val="clear" w:color="auto" w:fill="FFFFFF"/>
        <w:spacing w:line="360" w:lineRule="auto"/>
        <w:ind w:left="851" w:hanging="993"/>
        <w:jc w:val="both"/>
        <w:rPr>
          <w:rFonts w:ascii="Arial" w:hAnsi="Arial" w:cs="Arial"/>
        </w:rPr>
      </w:pPr>
      <w:hyperlink r:id="rId23" w:tgtFrame="_blank" w:history="1">
        <w:r w:rsidRPr="000066C6">
          <w:rPr>
            <w:rStyle w:val="Hyperlink"/>
            <w:rFonts w:ascii="Arial" w:eastAsia="Arial Unicode MS" w:hAnsi="Arial" w:cs="Arial"/>
            <w:color w:val="auto"/>
            <w:u w:val="none"/>
            <w:bdr w:val="none" w:sz="0" w:space="0" w:color="auto" w:frame="1"/>
          </w:rPr>
          <w:t>Negi, R.K.</w:t>
        </w:r>
      </w:hyperlink>
      <w:r w:rsidRPr="000066C6">
        <w:rPr>
          <w:rFonts w:ascii="Arial" w:hAnsi="Arial" w:cs="Arial"/>
          <w:bdr w:val="none" w:sz="0" w:space="0" w:color="auto" w:frame="1"/>
        </w:rPr>
        <w:t xml:space="preserve"> </w:t>
      </w:r>
      <w:r w:rsidRPr="000066C6">
        <w:rPr>
          <w:rFonts w:ascii="Arial" w:hAnsi="Arial" w:cs="Arial"/>
        </w:rPr>
        <w:t xml:space="preserve">, </w:t>
      </w:r>
      <w:hyperlink r:id="rId24" w:tgtFrame="_blank" w:history="1">
        <w:r w:rsidRPr="000066C6">
          <w:rPr>
            <w:rStyle w:val="Hyperlink"/>
            <w:rFonts w:ascii="Arial" w:eastAsia="Arial Unicode MS" w:hAnsi="Arial" w:cs="Arial"/>
            <w:color w:val="auto"/>
            <w:u w:val="none"/>
            <w:bdr w:val="none" w:sz="0" w:space="0" w:color="auto" w:frame="1"/>
          </w:rPr>
          <w:t>Rajput, V.</w:t>
        </w:r>
      </w:hyperlink>
      <w:r w:rsidRPr="000066C6">
        <w:rPr>
          <w:rFonts w:ascii="Arial" w:hAnsi="Arial" w:cs="Arial"/>
          <w:bdr w:val="none" w:sz="0" w:space="0" w:color="auto" w:frame="1"/>
        </w:rPr>
        <w:t xml:space="preserve">, </w:t>
      </w:r>
      <w:hyperlink r:id="rId25" w:tgtFrame="_blank" w:history="1">
        <w:r w:rsidRPr="000066C6">
          <w:rPr>
            <w:rStyle w:val="Hyperlink"/>
            <w:rFonts w:ascii="Arial" w:eastAsia="Arial Unicode MS" w:hAnsi="Arial" w:cs="Arial"/>
            <w:color w:val="auto"/>
            <w:u w:val="none"/>
          </w:rPr>
          <w:t>Assessment of phytoplankton diversity in relation to abiotic factors of Nainital lake of Kumaon Himalayas of Uttarakhand State, India, </w:t>
        </w:r>
        <w:proofErr w:type="spellStart"/>
      </w:hyperlink>
      <w:r w:rsidRPr="000066C6">
        <w:rPr>
          <w:rFonts w:ascii="Arial" w:hAnsi="Arial" w:cs="Arial"/>
        </w:rPr>
        <w:t>asian</w:t>
      </w:r>
      <w:proofErr w:type="spellEnd"/>
      <w:r w:rsidRPr="000066C6">
        <w:rPr>
          <w:rFonts w:ascii="Arial" w:hAnsi="Arial" w:cs="Arial"/>
        </w:rPr>
        <w:t xml:space="preserve"> journal of scientific research, 2015, 8(2), pp. 157–164.</w:t>
      </w:r>
    </w:p>
    <w:p w14:paraId="65386BD2" w14:textId="2EF01CD5" w:rsidR="0078198E" w:rsidRPr="000066C6" w:rsidRDefault="00A92F14" w:rsidP="00C34E8E">
      <w:pPr>
        <w:widowControl w:val="0"/>
        <w:autoSpaceDE w:val="0"/>
        <w:autoSpaceDN w:val="0"/>
        <w:adjustRightInd w:val="0"/>
        <w:spacing w:line="360" w:lineRule="auto"/>
        <w:jc w:val="both"/>
        <w:rPr>
          <w:rFonts w:ascii="Arial" w:hAnsi="Arial" w:cs="Arial"/>
          <w:noProof/>
        </w:rPr>
      </w:pPr>
      <w:r w:rsidRPr="000066C6">
        <w:rPr>
          <w:rFonts w:ascii="Arial" w:hAnsi="Arial" w:cs="Arial"/>
          <w:noProof/>
        </w:rPr>
        <w:tab/>
        <w:t xml:space="preserve">  https//:doi.org/10.3923/ajsr.2015.157.164</w:t>
      </w:r>
    </w:p>
    <w:p w14:paraId="7E4261DB" w14:textId="4881822E" w:rsidR="00C04128" w:rsidRPr="000066C6" w:rsidRDefault="00C04128" w:rsidP="00C34E8E">
      <w:pPr>
        <w:pStyle w:val="DaftarPustaka"/>
        <w:spacing w:line="360" w:lineRule="auto"/>
        <w:ind w:left="851" w:hanging="993"/>
        <w:rPr>
          <w:rFonts w:ascii="Arial" w:hAnsi="Arial" w:cs="Arial"/>
          <w:sz w:val="20"/>
          <w:szCs w:val="20"/>
        </w:rPr>
      </w:pPr>
      <w:bookmarkStart w:id="9" w:name="_Hlk201756032"/>
      <w:proofErr w:type="spellStart"/>
      <w:r w:rsidRPr="000066C6">
        <w:rPr>
          <w:rFonts w:ascii="Arial" w:hAnsi="Arial" w:cs="Arial"/>
          <w:sz w:val="20"/>
          <w:szCs w:val="20"/>
        </w:rPr>
        <w:lastRenderedPageBreak/>
        <w:t>Nikhlani</w:t>
      </w:r>
      <w:proofErr w:type="spellEnd"/>
      <w:r w:rsidRPr="000066C6">
        <w:rPr>
          <w:rFonts w:ascii="Arial" w:hAnsi="Arial" w:cs="Arial"/>
          <w:sz w:val="20"/>
          <w:szCs w:val="20"/>
        </w:rPr>
        <w:t xml:space="preserve">, A., &amp; </w:t>
      </w:r>
      <w:proofErr w:type="spellStart"/>
      <w:r w:rsidRPr="000066C6">
        <w:rPr>
          <w:rFonts w:ascii="Arial" w:hAnsi="Arial" w:cs="Arial"/>
          <w:sz w:val="20"/>
          <w:szCs w:val="20"/>
        </w:rPr>
        <w:t>Kusumaningrum</w:t>
      </w:r>
      <w:proofErr w:type="spellEnd"/>
      <w:r w:rsidRPr="000066C6">
        <w:rPr>
          <w:rFonts w:ascii="Arial" w:hAnsi="Arial" w:cs="Arial"/>
          <w:sz w:val="20"/>
          <w:szCs w:val="20"/>
        </w:rPr>
        <w:t xml:space="preserve">, I. (2021). </w:t>
      </w:r>
      <w:r w:rsidR="004250E7" w:rsidRPr="000066C6">
        <w:rPr>
          <w:rFonts w:ascii="Arial" w:hAnsi="Arial" w:cs="Arial"/>
          <w:sz w:val="20"/>
          <w:szCs w:val="20"/>
        </w:rPr>
        <w:t xml:space="preserve">Analysis of Physical and Chemical Parameters of </w:t>
      </w:r>
      <w:proofErr w:type="spellStart"/>
      <w:r w:rsidR="004250E7" w:rsidRPr="000066C6">
        <w:rPr>
          <w:rFonts w:ascii="Arial" w:hAnsi="Arial" w:cs="Arial"/>
          <w:sz w:val="20"/>
          <w:szCs w:val="20"/>
        </w:rPr>
        <w:t>Tihik</w:t>
      </w:r>
      <w:proofErr w:type="spellEnd"/>
      <w:r w:rsidR="004250E7" w:rsidRPr="000066C6">
        <w:rPr>
          <w:rFonts w:ascii="Arial" w:hAnsi="Arial" w:cs="Arial"/>
          <w:sz w:val="20"/>
          <w:szCs w:val="20"/>
        </w:rPr>
        <w:t xml:space="preserve"> Waters of </w:t>
      </w:r>
      <w:proofErr w:type="spellStart"/>
      <w:r w:rsidR="004250E7" w:rsidRPr="000066C6">
        <w:rPr>
          <w:rFonts w:ascii="Arial" w:hAnsi="Arial" w:cs="Arial"/>
          <w:sz w:val="20"/>
          <w:szCs w:val="20"/>
        </w:rPr>
        <w:t>Bontang</w:t>
      </w:r>
      <w:proofErr w:type="spellEnd"/>
      <w:r w:rsidR="004250E7" w:rsidRPr="000066C6">
        <w:rPr>
          <w:rFonts w:ascii="Arial" w:hAnsi="Arial" w:cs="Arial"/>
          <w:sz w:val="20"/>
          <w:szCs w:val="20"/>
        </w:rPr>
        <w:t xml:space="preserve"> City for </w:t>
      </w:r>
      <w:proofErr w:type="spellStart"/>
      <w:r w:rsidR="004250E7" w:rsidRPr="000066C6">
        <w:rPr>
          <w:rFonts w:ascii="Arial" w:hAnsi="Arial" w:cs="Arial"/>
          <w:i/>
          <w:iCs/>
          <w:sz w:val="20"/>
          <w:szCs w:val="20"/>
        </w:rPr>
        <w:t>Kapphaphycus</w:t>
      </w:r>
      <w:proofErr w:type="spellEnd"/>
      <w:r w:rsidR="004250E7" w:rsidRPr="000066C6">
        <w:rPr>
          <w:rFonts w:ascii="Arial" w:hAnsi="Arial" w:cs="Arial"/>
          <w:i/>
          <w:iCs/>
          <w:sz w:val="20"/>
          <w:szCs w:val="20"/>
        </w:rPr>
        <w:t xml:space="preserve"> </w:t>
      </w:r>
      <w:proofErr w:type="spellStart"/>
      <w:r w:rsidR="004250E7" w:rsidRPr="000066C6">
        <w:rPr>
          <w:rFonts w:ascii="Arial" w:hAnsi="Arial" w:cs="Arial"/>
          <w:i/>
          <w:iCs/>
          <w:sz w:val="20"/>
          <w:szCs w:val="20"/>
        </w:rPr>
        <w:t>alvarezii</w:t>
      </w:r>
      <w:proofErr w:type="spellEnd"/>
      <w:r w:rsidR="004250E7" w:rsidRPr="000066C6">
        <w:rPr>
          <w:rFonts w:ascii="Arial" w:hAnsi="Arial" w:cs="Arial"/>
          <w:sz w:val="20"/>
          <w:szCs w:val="20"/>
        </w:rPr>
        <w:t xml:space="preserve"> Seaweed Cultivation. </w:t>
      </w:r>
      <w:r w:rsidR="004250E7" w:rsidRPr="000066C6">
        <w:rPr>
          <w:rFonts w:ascii="Arial" w:hAnsi="Arial" w:cs="Arial"/>
          <w:i/>
          <w:iCs/>
          <w:sz w:val="20"/>
          <w:szCs w:val="20"/>
        </w:rPr>
        <w:t>Integrated Agricultural Journal</w:t>
      </w:r>
      <w:r w:rsidRPr="000066C6">
        <w:rPr>
          <w:rFonts w:ascii="Arial" w:hAnsi="Arial" w:cs="Arial"/>
          <w:sz w:val="20"/>
          <w:szCs w:val="20"/>
        </w:rPr>
        <w:t>, 9(2), 189-200.</w:t>
      </w:r>
    </w:p>
    <w:p w14:paraId="23DF38EA" w14:textId="1B444B98" w:rsidR="00FE0241" w:rsidRPr="000066C6" w:rsidRDefault="00FE0241" w:rsidP="00C34E8E">
      <w:pPr>
        <w:pStyle w:val="DaftarPustaka"/>
        <w:spacing w:line="360" w:lineRule="auto"/>
        <w:ind w:left="851" w:hanging="993"/>
        <w:rPr>
          <w:rFonts w:ascii="Arial" w:hAnsi="Arial" w:cs="Arial"/>
          <w:sz w:val="20"/>
          <w:szCs w:val="20"/>
        </w:rPr>
      </w:pPr>
      <w:r w:rsidRPr="000066C6">
        <w:rPr>
          <w:rFonts w:ascii="Arial" w:hAnsi="Arial" w:cs="Arial"/>
          <w:sz w:val="20"/>
          <w:szCs w:val="20"/>
        </w:rPr>
        <w:tab/>
        <w:t>https://doi.org/10.36084/jpt.v9i2.328</w:t>
      </w:r>
    </w:p>
    <w:bookmarkEnd w:id="9"/>
    <w:p w14:paraId="53B10CD0" w14:textId="77777777"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Nobre, A. M., Robertson-Andersson, D., Neori, A., &amp; Sankar, K. (2010). Ecological-economic Assessment of Aquaculture Options: Comparison Between Abalone Monoculture and Integrated Multi-trophic Aquaculture of Abalone and Seaweeds. </w:t>
      </w:r>
      <w:r w:rsidRPr="000066C6">
        <w:rPr>
          <w:rFonts w:ascii="Arial" w:hAnsi="Arial" w:cs="Arial"/>
          <w:i/>
          <w:iCs/>
          <w:noProof/>
        </w:rPr>
        <w:t>Aquaculture,</w:t>
      </w:r>
      <w:r w:rsidRPr="000066C6">
        <w:rPr>
          <w:rFonts w:ascii="Arial" w:hAnsi="Arial" w:cs="Arial"/>
          <w:noProof/>
        </w:rPr>
        <w:t xml:space="preserve"> </w:t>
      </w:r>
      <w:r w:rsidRPr="000066C6">
        <w:rPr>
          <w:rFonts w:ascii="Arial" w:hAnsi="Arial" w:cs="Arial"/>
          <w:i/>
          <w:iCs/>
          <w:noProof/>
        </w:rPr>
        <w:t>306</w:t>
      </w:r>
      <w:r w:rsidRPr="000066C6">
        <w:rPr>
          <w:rFonts w:ascii="Arial" w:hAnsi="Arial" w:cs="Arial"/>
          <w:noProof/>
        </w:rPr>
        <w:t xml:space="preserve">(1–4), 116–126. </w:t>
      </w:r>
    </w:p>
    <w:p w14:paraId="4A4563F3" w14:textId="77777777"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https://doi.org/10.1016/j.aquaculture.2010.06.002</w:t>
      </w:r>
    </w:p>
    <w:p w14:paraId="631839B1" w14:textId="0F4CB7A6" w:rsidR="00C04128" w:rsidRPr="000066C6" w:rsidRDefault="00C04128" w:rsidP="00C34E8E">
      <w:pPr>
        <w:pStyle w:val="DaftarPustaka"/>
        <w:spacing w:line="360" w:lineRule="auto"/>
        <w:ind w:left="851" w:hanging="993"/>
        <w:contextualSpacing/>
        <w:rPr>
          <w:rFonts w:ascii="Arial" w:hAnsi="Arial" w:cs="Arial"/>
          <w:sz w:val="20"/>
          <w:szCs w:val="20"/>
          <w:lang w:val="id-ID"/>
        </w:rPr>
      </w:pPr>
      <w:bookmarkStart w:id="10" w:name="_Hlk201755971"/>
      <w:r w:rsidRPr="000066C6">
        <w:rPr>
          <w:rFonts w:ascii="Arial" w:hAnsi="Arial" w:cs="Arial"/>
          <w:sz w:val="20"/>
          <w:szCs w:val="20"/>
          <w:lang w:val="id-ID"/>
        </w:rPr>
        <w:t xml:space="preserve">Patty, S. I., Nurdiansah, D., &amp; Akbar, N. (2020). </w:t>
      </w:r>
      <w:r w:rsidR="004250E7" w:rsidRPr="000066C6">
        <w:rPr>
          <w:rFonts w:ascii="Arial" w:hAnsi="Arial" w:cs="Arial"/>
          <w:sz w:val="20"/>
          <w:szCs w:val="20"/>
          <w:lang w:val="id-ID"/>
        </w:rPr>
        <w:t xml:space="preserve">Distribution of Temperature, Salinity, Turbidity and Brightness in the Sea Waters of Tumbak-Bentenan, Southeast Minahasa. </w:t>
      </w:r>
      <w:r w:rsidR="004250E7" w:rsidRPr="000066C6">
        <w:rPr>
          <w:rFonts w:ascii="Arial" w:hAnsi="Arial" w:cs="Arial"/>
          <w:i/>
          <w:iCs/>
          <w:sz w:val="20"/>
          <w:szCs w:val="20"/>
          <w:lang w:val="id-ID"/>
        </w:rPr>
        <w:t>Journal of Archipelago Marine Science</w:t>
      </w:r>
      <w:r w:rsidR="004250E7" w:rsidRPr="000066C6">
        <w:rPr>
          <w:rFonts w:ascii="Arial" w:hAnsi="Arial" w:cs="Arial"/>
          <w:sz w:val="20"/>
          <w:szCs w:val="20"/>
          <w:lang w:val="id-ID"/>
        </w:rPr>
        <w:t>,</w:t>
      </w:r>
      <w:r w:rsidRPr="000066C6">
        <w:rPr>
          <w:rFonts w:ascii="Arial" w:hAnsi="Arial" w:cs="Arial"/>
          <w:sz w:val="20"/>
          <w:szCs w:val="20"/>
          <w:lang w:val="id-ID"/>
        </w:rPr>
        <w:t> </w:t>
      </w:r>
      <w:r w:rsidRPr="000066C6">
        <w:rPr>
          <w:rFonts w:ascii="Arial" w:hAnsi="Arial" w:cs="Arial"/>
          <w:i/>
          <w:iCs/>
          <w:sz w:val="20"/>
          <w:szCs w:val="20"/>
          <w:lang w:val="id-ID"/>
        </w:rPr>
        <w:t>3</w:t>
      </w:r>
      <w:r w:rsidRPr="000066C6">
        <w:rPr>
          <w:rFonts w:ascii="Arial" w:hAnsi="Arial" w:cs="Arial"/>
          <w:sz w:val="20"/>
          <w:szCs w:val="20"/>
          <w:lang w:val="id-ID"/>
        </w:rPr>
        <w:t>(1).</w:t>
      </w:r>
    </w:p>
    <w:p w14:paraId="754E9FDD" w14:textId="5EF11FE5" w:rsidR="00FE0241" w:rsidRPr="000066C6" w:rsidRDefault="00FE0241" w:rsidP="00C34E8E">
      <w:pPr>
        <w:pStyle w:val="DaftarPustaka"/>
        <w:spacing w:line="360" w:lineRule="auto"/>
        <w:ind w:left="851" w:hanging="993"/>
        <w:contextualSpacing/>
        <w:rPr>
          <w:rFonts w:ascii="Arial" w:hAnsi="Arial" w:cs="Arial"/>
          <w:sz w:val="20"/>
          <w:szCs w:val="20"/>
          <w:lang w:val="id-ID"/>
        </w:rPr>
      </w:pPr>
      <w:r w:rsidRPr="000066C6">
        <w:rPr>
          <w:rFonts w:ascii="Arial" w:hAnsi="Arial" w:cs="Arial"/>
          <w:sz w:val="20"/>
          <w:szCs w:val="20"/>
          <w:lang w:val="id-ID"/>
        </w:rPr>
        <w:tab/>
        <w:t>https://doi.org/10.33387/jikk.v3i1.1862</w:t>
      </w:r>
    </w:p>
    <w:bookmarkEnd w:id="10"/>
    <w:p w14:paraId="336A2207" w14:textId="1BECD833" w:rsidR="00C04128" w:rsidRPr="001C543E" w:rsidRDefault="00C04128" w:rsidP="00C34E8E">
      <w:pPr>
        <w:widowControl w:val="0"/>
        <w:autoSpaceDE w:val="0"/>
        <w:autoSpaceDN w:val="0"/>
        <w:adjustRightInd w:val="0"/>
        <w:spacing w:line="360" w:lineRule="auto"/>
        <w:ind w:left="851" w:hanging="993"/>
        <w:jc w:val="both"/>
        <w:rPr>
          <w:rFonts w:ascii="Arial" w:hAnsi="Arial" w:cs="Arial"/>
          <w:noProof/>
          <w:lang w:val="nl-BE"/>
        </w:rPr>
      </w:pPr>
      <w:r w:rsidRPr="000066C6">
        <w:rPr>
          <w:rFonts w:ascii="Arial" w:hAnsi="Arial" w:cs="Arial"/>
          <w:noProof/>
        </w:rPr>
        <w:t xml:space="preserve">Pong-Masak, P. R., Priono, B., &amp; Insan, I. (2011). </w:t>
      </w:r>
      <w:r w:rsidR="004250E7" w:rsidRPr="000066C6">
        <w:rPr>
          <w:rFonts w:ascii="Arial" w:hAnsi="Arial" w:cs="Arial"/>
          <w:noProof/>
        </w:rPr>
        <w:t xml:space="preserve">Selection of Seaweed Seed Clones, </w:t>
      </w:r>
      <w:r w:rsidR="004250E7" w:rsidRPr="000066C6">
        <w:rPr>
          <w:rFonts w:ascii="Arial" w:hAnsi="Arial" w:cs="Arial"/>
          <w:i/>
          <w:iCs/>
          <w:noProof/>
        </w:rPr>
        <w:t>Gracilaria verrucosa</w:t>
      </w:r>
      <w:r w:rsidR="004250E7" w:rsidRPr="000066C6">
        <w:rPr>
          <w:rFonts w:ascii="Arial" w:hAnsi="Arial" w:cs="Arial"/>
          <w:noProof/>
        </w:rPr>
        <w:t xml:space="preserve">. </w:t>
      </w:r>
      <w:r w:rsidR="004250E7" w:rsidRPr="001C543E">
        <w:rPr>
          <w:rFonts w:ascii="Arial" w:hAnsi="Arial" w:cs="Arial"/>
          <w:i/>
          <w:iCs/>
          <w:noProof/>
          <w:lang w:val="nl-BE"/>
        </w:rPr>
        <w:t>Aquaculture Media</w:t>
      </w:r>
      <w:r w:rsidR="004250E7" w:rsidRPr="001C543E">
        <w:rPr>
          <w:rFonts w:ascii="Arial" w:hAnsi="Arial" w:cs="Arial"/>
          <w:noProof/>
          <w:lang w:val="nl-BE"/>
        </w:rPr>
        <w:t>,</w:t>
      </w:r>
      <w:r w:rsidRPr="001C543E">
        <w:rPr>
          <w:rFonts w:ascii="Arial" w:hAnsi="Arial" w:cs="Arial"/>
          <w:noProof/>
          <w:lang w:val="nl-BE"/>
        </w:rPr>
        <w:t xml:space="preserve"> </w:t>
      </w:r>
      <w:r w:rsidRPr="001C543E">
        <w:rPr>
          <w:rFonts w:ascii="Arial" w:hAnsi="Arial" w:cs="Arial"/>
          <w:i/>
          <w:iCs/>
          <w:noProof/>
          <w:lang w:val="nl-BE"/>
        </w:rPr>
        <w:t>6</w:t>
      </w:r>
      <w:r w:rsidRPr="001C543E">
        <w:rPr>
          <w:rFonts w:ascii="Arial" w:hAnsi="Arial" w:cs="Arial"/>
          <w:noProof/>
          <w:lang w:val="nl-BE"/>
        </w:rPr>
        <w:t xml:space="preserve">(1), 1. </w:t>
      </w:r>
    </w:p>
    <w:p w14:paraId="09A84182" w14:textId="77777777" w:rsidR="00C04128" w:rsidRPr="001C543E" w:rsidRDefault="00C04128" w:rsidP="00C34E8E">
      <w:pPr>
        <w:widowControl w:val="0"/>
        <w:autoSpaceDE w:val="0"/>
        <w:autoSpaceDN w:val="0"/>
        <w:adjustRightInd w:val="0"/>
        <w:spacing w:line="360" w:lineRule="auto"/>
        <w:ind w:left="851"/>
        <w:jc w:val="both"/>
        <w:rPr>
          <w:rFonts w:ascii="Arial" w:hAnsi="Arial" w:cs="Arial"/>
          <w:noProof/>
          <w:lang w:val="nl-BE"/>
        </w:rPr>
      </w:pPr>
      <w:r w:rsidRPr="001C543E">
        <w:rPr>
          <w:rFonts w:ascii="Arial" w:hAnsi="Arial" w:cs="Arial"/>
          <w:noProof/>
          <w:lang w:val="nl-BE"/>
        </w:rPr>
        <w:t>https://doi.org/10.15578/ma.6.1.2011.1-12</w:t>
      </w:r>
    </w:p>
    <w:p w14:paraId="16E5DF56" w14:textId="7809CE2B"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1C543E">
        <w:rPr>
          <w:rFonts w:ascii="Arial" w:hAnsi="Arial" w:cs="Arial"/>
          <w:noProof/>
          <w:lang w:val="nl-BE"/>
        </w:rPr>
        <w:t xml:space="preserve">Radiarta, I. N., &amp; Erlania. </w:t>
      </w:r>
      <w:r w:rsidRPr="000066C6">
        <w:rPr>
          <w:rFonts w:ascii="Arial" w:hAnsi="Arial" w:cs="Arial"/>
          <w:noProof/>
        </w:rPr>
        <w:t xml:space="preserve">(2016). </w:t>
      </w:r>
      <w:r w:rsidR="004250E7" w:rsidRPr="000066C6">
        <w:rPr>
          <w:rFonts w:ascii="Arial" w:hAnsi="Arial" w:cs="Arial"/>
          <w:noProof/>
        </w:rPr>
        <w:t xml:space="preserve">Performance of Marine Cultivation Commodities in the Integrated Multi-Trophic Aquaculture (IMTA) System in Gerupuk Bay, Central Lombok, West Nusa Tenggara. </w:t>
      </w:r>
      <w:r w:rsidR="004250E7" w:rsidRPr="000066C6">
        <w:rPr>
          <w:rFonts w:ascii="Arial" w:hAnsi="Arial" w:cs="Arial"/>
          <w:i/>
          <w:iCs/>
          <w:noProof/>
        </w:rPr>
        <w:t>Electrical Engineering Journal</w:t>
      </w:r>
      <w:r w:rsidRPr="000066C6">
        <w:rPr>
          <w:rFonts w:ascii="Arial" w:hAnsi="Arial" w:cs="Arial"/>
          <w:noProof/>
        </w:rPr>
        <w:t xml:space="preserve">, </w:t>
      </w:r>
      <w:r w:rsidRPr="000066C6">
        <w:rPr>
          <w:rFonts w:ascii="Arial" w:hAnsi="Arial" w:cs="Arial"/>
          <w:i/>
          <w:iCs/>
          <w:noProof/>
        </w:rPr>
        <w:t>11</w:t>
      </w:r>
      <w:r w:rsidRPr="000066C6">
        <w:rPr>
          <w:rFonts w:ascii="Arial" w:hAnsi="Arial" w:cs="Arial"/>
          <w:noProof/>
        </w:rPr>
        <w:t>(1), 85–97. https://doi.org/10.15578/jra.11.1.2016.85-97</w:t>
      </w:r>
    </w:p>
    <w:p w14:paraId="0BB5A82F" w14:textId="2029CE2E"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Radiarta, I. N., Erlania, &amp; Sugama, K. (2014). </w:t>
      </w:r>
      <w:r w:rsidR="004250E7" w:rsidRPr="000066C6">
        <w:rPr>
          <w:rFonts w:ascii="Arial" w:hAnsi="Arial" w:cs="Arial"/>
          <w:noProof/>
        </w:rPr>
        <w:t xml:space="preserve">Integrated Seaweed Cultivation, </w:t>
      </w:r>
      <w:r w:rsidR="004250E7" w:rsidRPr="000066C6">
        <w:rPr>
          <w:rFonts w:ascii="Arial" w:hAnsi="Arial" w:cs="Arial"/>
          <w:i/>
          <w:iCs/>
          <w:noProof/>
        </w:rPr>
        <w:t xml:space="preserve">Kappaphycus alvarezii </w:t>
      </w:r>
      <w:r w:rsidR="004250E7" w:rsidRPr="000066C6">
        <w:rPr>
          <w:rFonts w:ascii="Arial" w:hAnsi="Arial" w:cs="Arial"/>
          <w:noProof/>
        </w:rPr>
        <w:t xml:space="preserve">with Grouper Fish in Gerupuk Bay, Central Lombok Regency, West Nusa Tenggara. </w:t>
      </w:r>
      <w:r w:rsidR="004250E7" w:rsidRPr="000066C6">
        <w:rPr>
          <w:rFonts w:ascii="Arial" w:hAnsi="Arial" w:cs="Arial"/>
          <w:i/>
          <w:iCs/>
          <w:noProof/>
        </w:rPr>
        <w:t>J. Ris Aquaculture</w:t>
      </w:r>
      <w:r w:rsidRPr="000066C6">
        <w:rPr>
          <w:rFonts w:ascii="Arial" w:hAnsi="Arial" w:cs="Arial"/>
          <w:noProof/>
        </w:rPr>
        <w:t xml:space="preserve">, </w:t>
      </w:r>
      <w:r w:rsidRPr="000066C6">
        <w:rPr>
          <w:rFonts w:ascii="Arial" w:hAnsi="Arial" w:cs="Arial"/>
          <w:i/>
          <w:iCs/>
          <w:noProof/>
        </w:rPr>
        <w:t>9</w:t>
      </w:r>
      <w:r w:rsidRPr="000066C6">
        <w:rPr>
          <w:rFonts w:ascii="Arial" w:hAnsi="Arial" w:cs="Arial"/>
          <w:noProof/>
        </w:rPr>
        <w:t>(1), 125–134.</w:t>
      </w:r>
    </w:p>
    <w:p w14:paraId="547726F6" w14:textId="3F7EBC09" w:rsidR="00A771EF" w:rsidRPr="000066C6" w:rsidRDefault="00A771EF"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t> </w:t>
      </w:r>
      <w:hyperlink r:id="rId26" w:history="1">
        <w:r w:rsidRPr="000066C6">
          <w:rPr>
            <w:rStyle w:val="Hyperlink"/>
            <w:rFonts w:ascii="Arial" w:hAnsi="Arial" w:cs="Arial"/>
            <w:noProof/>
            <w:color w:val="auto"/>
            <w:u w:val="none"/>
          </w:rPr>
          <w:t>http://dx.doi.org/10.15578/jra.9.1.2014.125-134</w:t>
        </w:r>
      </w:hyperlink>
    </w:p>
    <w:p w14:paraId="5301C08E" w14:textId="155167CB" w:rsidR="00C04128" w:rsidRPr="000066C6" w:rsidRDefault="00C04128" w:rsidP="00C34E8E">
      <w:pPr>
        <w:spacing w:line="360" w:lineRule="auto"/>
        <w:ind w:left="851" w:hanging="993"/>
        <w:jc w:val="both"/>
        <w:rPr>
          <w:rFonts w:ascii="Arial" w:hAnsi="Arial" w:cs="Arial"/>
          <w:shd w:val="clear" w:color="auto" w:fill="FFFFFF"/>
          <w:lang w:eastAsia="zh-CN" w:bidi="ar"/>
        </w:rPr>
      </w:pPr>
      <w:bookmarkStart w:id="11" w:name="_Hlk201755989"/>
      <w:proofErr w:type="spellStart"/>
      <w:r w:rsidRPr="000066C6">
        <w:rPr>
          <w:rFonts w:ascii="Arial" w:hAnsi="Arial" w:cs="Arial"/>
          <w:shd w:val="clear" w:color="auto" w:fill="FFFFFF"/>
          <w:lang w:eastAsia="zh-CN" w:bidi="ar"/>
        </w:rPr>
        <w:t>Rachmawati</w:t>
      </w:r>
      <w:proofErr w:type="spellEnd"/>
      <w:r w:rsidRPr="000066C6">
        <w:rPr>
          <w:rFonts w:ascii="Arial" w:hAnsi="Arial" w:cs="Arial"/>
          <w:shd w:val="clear" w:color="auto" w:fill="FFFFFF"/>
          <w:lang w:eastAsia="zh-CN" w:bidi="ar"/>
        </w:rPr>
        <w:t xml:space="preserve">, S., &amp; Abdillah, A. A. (2019). </w:t>
      </w:r>
      <w:r w:rsidR="004250E7" w:rsidRPr="000066C6">
        <w:rPr>
          <w:rFonts w:ascii="Arial" w:hAnsi="Arial" w:cs="Arial"/>
          <w:shd w:val="clear" w:color="auto" w:fill="FFFFFF"/>
          <w:lang w:eastAsia="zh-CN" w:bidi="ar"/>
        </w:rPr>
        <w:t xml:space="preserve">Growth Study of </w:t>
      </w:r>
      <w:proofErr w:type="spellStart"/>
      <w:r w:rsidR="004250E7" w:rsidRPr="000066C6">
        <w:rPr>
          <w:rFonts w:ascii="Arial" w:hAnsi="Arial" w:cs="Arial"/>
          <w:i/>
          <w:iCs/>
          <w:shd w:val="clear" w:color="auto" w:fill="FFFFFF"/>
          <w:lang w:eastAsia="zh-CN" w:bidi="ar"/>
        </w:rPr>
        <w:t>Kappaphycus</w:t>
      </w:r>
      <w:proofErr w:type="spellEnd"/>
      <w:r w:rsidR="004250E7" w:rsidRPr="000066C6">
        <w:rPr>
          <w:rFonts w:ascii="Arial" w:hAnsi="Arial" w:cs="Arial"/>
          <w:i/>
          <w:iCs/>
          <w:shd w:val="clear" w:color="auto" w:fill="FFFFFF"/>
          <w:lang w:eastAsia="zh-CN" w:bidi="ar"/>
        </w:rPr>
        <w:t xml:space="preserve"> </w:t>
      </w:r>
      <w:proofErr w:type="spellStart"/>
      <w:r w:rsidR="004250E7" w:rsidRPr="000066C6">
        <w:rPr>
          <w:rFonts w:ascii="Arial" w:hAnsi="Arial" w:cs="Arial"/>
          <w:i/>
          <w:iCs/>
          <w:shd w:val="clear" w:color="auto" w:fill="FFFFFF"/>
          <w:lang w:eastAsia="zh-CN" w:bidi="ar"/>
        </w:rPr>
        <w:t>alvarezii</w:t>
      </w:r>
      <w:proofErr w:type="spellEnd"/>
      <w:r w:rsidR="004250E7" w:rsidRPr="000066C6">
        <w:rPr>
          <w:rFonts w:ascii="Arial" w:hAnsi="Arial" w:cs="Arial"/>
          <w:shd w:val="clear" w:color="auto" w:fill="FFFFFF"/>
          <w:lang w:eastAsia="zh-CN" w:bidi="ar"/>
        </w:rPr>
        <w:t xml:space="preserve"> Seaweed Seeds from Tissue Culture Using the Longline Frame Method at the Lampung Marine Aquaculture Center. </w:t>
      </w:r>
      <w:proofErr w:type="spellStart"/>
      <w:r w:rsidR="004250E7" w:rsidRPr="000066C6">
        <w:rPr>
          <w:rFonts w:ascii="Arial" w:hAnsi="Arial" w:cs="Arial"/>
          <w:i/>
          <w:iCs/>
          <w:shd w:val="clear" w:color="auto" w:fill="FFFFFF"/>
          <w:lang w:eastAsia="zh-CN" w:bidi="ar"/>
        </w:rPr>
        <w:t>Pantura</w:t>
      </w:r>
      <w:proofErr w:type="spellEnd"/>
      <w:r w:rsidR="004250E7" w:rsidRPr="000066C6">
        <w:rPr>
          <w:rFonts w:ascii="Arial" w:hAnsi="Arial" w:cs="Arial"/>
          <w:i/>
          <w:iCs/>
          <w:shd w:val="clear" w:color="auto" w:fill="FFFFFF"/>
          <w:lang w:eastAsia="zh-CN" w:bidi="ar"/>
        </w:rPr>
        <w:t xml:space="preserve"> Fisheries Journal (JPP)</w:t>
      </w:r>
      <w:r w:rsidRPr="000066C6">
        <w:rPr>
          <w:rFonts w:ascii="Arial" w:hAnsi="Arial" w:cs="Arial"/>
          <w:i/>
          <w:iCs/>
          <w:lang w:eastAsia="zh-CN" w:bidi="ar"/>
        </w:rPr>
        <w:t>)</w:t>
      </w:r>
      <w:r w:rsidRPr="000066C6">
        <w:rPr>
          <w:rFonts w:ascii="Arial" w:hAnsi="Arial" w:cs="Arial"/>
          <w:i/>
          <w:iCs/>
          <w:shd w:val="clear" w:color="auto" w:fill="FFFFFF"/>
          <w:lang w:eastAsia="zh-CN" w:bidi="ar"/>
        </w:rPr>
        <w:t>,</w:t>
      </w:r>
      <w:r w:rsidRPr="000066C6">
        <w:rPr>
          <w:rFonts w:ascii="Arial" w:hAnsi="Arial" w:cs="Arial"/>
          <w:shd w:val="clear" w:color="auto" w:fill="FFFFFF"/>
          <w:lang w:eastAsia="zh-CN" w:bidi="ar"/>
        </w:rPr>
        <w:t> </w:t>
      </w:r>
      <w:r w:rsidRPr="000066C6">
        <w:rPr>
          <w:rFonts w:ascii="Arial" w:hAnsi="Arial" w:cs="Arial"/>
          <w:i/>
          <w:lang w:eastAsia="zh-CN" w:bidi="ar"/>
        </w:rPr>
        <w:t>2</w:t>
      </w:r>
      <w:r w:rsidRPr="000066C6">
        <w:rPr>
          <w:rFonts w:ascii="Arial" w:hAnsi="Arial" w:cs="Arial"/>
          <w:shd w:val="clear" w:color="auto" w:fill="FFFFFF"/>
          <w:lang w:eastAsia="zh-CN" w:bidi="ar"/>
        </w:rPr>
        <w:t>(1), 1-9.</w:t>
      </w:r>
    </w:p>
    <w:p w14:paraId="5D8DC591" w14:textId="4B2B14D8" w:rsidR="00FE0241" w:rsidRPr="000066C6" w:rsidRDefault="00FE0241" w:rsidP="00C34E8E">
      <w:pPr>
        <w:spacing w:line="360" w:lineRule="auto"/>
        <w:ind w:left="851" w:hanging="993"/>
        <w:jc w:val="both"/>
        <w:rPr>
          <w:rFonts w:ascii="Arial" w:hAnsi="Arial" w:cs="Arial"/>
          <w:shd w:val="clear" w:color="auto" w:fill="FFFFFF"/>
          <w:lang w:eastAsia="zh-CN" w:bidi="ar"/>
        </w:rPr>
      </w:pPr>
      <w:r w:rsidRPr="000066C6">
        <w:rPr>
          <w:rFonts w:ascii="Arial" w:hAnsi="Arial" w:cs="Arial"/>
          <w:shd w:val="clear" w:color="auto" w:fill="FFFFFF"/>
          <w:lang w:eastAsia="zh-CN" w:bidi="ar"/>
        </w:rPr>
        <w:tab/>
        <w:t>https://doi.org/10.30587/jpp.v2i1.805</w:t>
      </w:r>
    </w:p>
    <w:bookmarkEnd w:id="11"/>
    <w:p w14:paraId="0544EB3F" w14:textId="77777777"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Raj, R., Mathew, S., Sekhar Chatterji, N., &amp; Anandan, R. (2022). Seaweed and its Role in Bioremediation-A Review. </w:t>
      </w:r>
      <w:r w:rsidRPr="000066C6">
        <w:rPr>
          <w:rFonts w:ascii="Arial" w:hAnsi="Arial" w:cs="Arial"/>
          <w:i/>
          <w:iCs/>
          <w:noProof/>
        </w:rPr>
        <w:t>Fishery Technology</w:t>
      </w:r>
      <w:r w:rsidRPr="000066C6">
        <w:rPr>
          <w:rFonts w:ascii="Arial" w:hAnsi="Arial" w:cs="Arial"/>
          <w:noProof/>
        </w:rPr>
        <w:t xml:space="preserve">, </w:t>
      </w:r>
      <w:r w:rsidRPr="000066C6">
        <w:rPr>
          <w:rFonts w:ascii="Arial" w:hAnsi="Arial" w:cs="Arial"/>
          <w:i/>
          <w:iCs/>
          <w:noProof/>
        </w:rPr>
        <w:t>59</w:t>
      </w:r>
      <w:r w:rsidRPr="000066C6">
        <w:rPr>
          <w:rFonts w:ascii="Arial" w:hAnsi="Arial" w:cs="Arial"/>
          <w:noProof/>
        </w:rPr>
        <w:t xml:space="preserve">(August), 147–153. </w:t>
      </w:r>
    </w:p>
    <w:p w14:paraId="40017354" w14:textId="77777777"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https://www.researchgate.net/publication/362429923</w:t>
      </w:r>
    </w:p>
    <w:p w14:paraId="12B23423" w14:textId="77777777" w:rsidR="00C04128" w:rsidRPr="001C543E" w:rsidRDefault="00C04128" w:rsidP="00C34E8E">
      <w:pPr>
        <w:widowControl w:val="0"/>
        <w:autoSpaceDE w:val="0"/>
        <w:autoSpaceDN w:val="0"/>
        <w:adjustRightInd w:val="0"/>
        <w:spacing w:line="360" w:lineRule="auto"/>
        <w:ind w:left="851" w:hanging="993"/>
        <w:jc w:val="both"/>
        <w:rPr>
          <w:rFonts w:ascii="Arial" w:hAnsi="Arial" w:cs="Arial"/>
          <w:noProof/>
          <w:lang w:val="nl-BE"/>
        </w:rPr>
      </w:pPr>
      <w:r w:rsidRPr="000066C6">
        <w:rPr>
          <w:rFonts w:ascii="Arial" w:hAnsi="Arial" w:cs="Arial"/>
          <w:noProof/>
        </w:rPr>
        <w:t>Ramadhan, S., Tiwon, V. M. A., &amp; Said, I. (2017). The Analysis of Nitrogen (N) and Phosphorus (P) Level in Seagrass (</w:t>
      </w:r>
      <w:r w:rsidRPr="000066C6">
        <w:rPr>
          <w:rFonts w:ascii="Arial" w:hAnsi="Arial" w:cs="Arial"/>
          <w:i/>
          <w:iCs/>
          <w:noProof/>
        </w:rPr>
        <w:t>Enhalus acoroides</w:t>
      </w:r>
      <w:r w:rsidRPr="000066C6">
        <w:rPr>
          <w:rFonts w:ascii="Arial" w:hAnsi="Arial" w:cs="Arial"/>
          <w:noProof/>
        </w:rPr>
        <w:t xml:space="preserve">) in Bay Area of Kabonga Besar, Banawa District, Donggala Regency. </w:t>
      </w:r>
      <w:r w:rsidRPr="001C543E">
        <w:rPr>
          <w:rFonts w:ascii="Arial" w:hAnsi="Arial" w:cs="Arial"/>
          <w:i/>
          <w:iCs/>
          <w:noProof/>
          <w:lang w:val="nl-BE"/>
        </w:rPr>
        <w:t>Jurnal Akad Kimia</w:t>
      </w:r>
      <w:r w:rsidRPr="001C543E">
        <w:rPr>
          <w:rFonts w:ascii="Arial" w:hAnsi="Arial" w:cs="Arial"/>
          <w:noProof/>
          <w:lang w:val="nl-BE"/>
        </w:rPr>
        <w:t xml:space="preserve">, </w:t>
      </w:r>
      <w:r w:rsidRPr="001C543E">
        <w:rPr>
          <w:rFonts w:ascii="Arial" w:hAnsi="Arial" w:cs="Arial"/>
          <w:i/>
          <w:iCs/>
          <w:noProof/>
          <w:lang w:val="nl-BE"/>
        </w:rPr>
        <w:t>5</w:t>
      </w:r>
      <w:r w:rsidRPr="001C543E">
        <w:rPr>
          <w:rFonts w:ascii="Arial" w:hAnsi="Arial" w:cs="Arial"/>
          <w:noProof/>
          <w:lang w:val="nl-BE"/>
        </w:rPr>
        <w:t>(1), 37–43.</w:t>
      </w:r>
    </w:p>
    <w:p w14:paraId="16DD39C7" w14:textId="3EF4F68A" w:rsidR="00F5258C" w:rsidRPr="001C543E" w:rsidRDefault="00F5258C" w:rsidP="00C34E8E">
      <w:pPr>
        <w:widowControl w:val="0"/>
        <w:autoSpaceDE w:val="0"/>
        <w:autoSpaceDN w:val="0"/>
        <w:adjustRightInd w:val="0"/>
        <w:spacing w:line="360" w:lineRule="auto"/>
        <w:ind w:left="851" w:hanging="993"/>
        <w:jc w:val="both"/>
        <w:rPr>
          <w:rFonts w:ascii="Arial" w:hAnsi="Arial" w:cs="Arial"/>
          <w:noProof/>
          <w:lang w:val="nl-BE"/>
        </w:rPr>
      </w:pPr>
      <w:r w:rsidRPr="001C543E">
        <w:rPr>
          <w:rFonts w:ascii="Arial" w:hAnsi="Arial" w:cs="Arial"/>
          <w:noProof/>
          <w:lang w:val="nl-BE"/>
        </w:rPr>
        <w:tab/>
      </w:r>
      <w:hyperlink r:id="rId27" w:history="1">
        <w:r w:rsidRPr="001C543E">
          <w:rPr>
            <w:rStyle w:val="Hyperlink"/>
            <w:rFonts w:ascii="Arial" w:hAnsi="Arial" w:cs="Arial"/>
            <w:noProof/>
            <w:color w:val="auto"/>
            <w:u w:val="none"/>
            <w:lang w:val="nl-BE"/>
          </w:rPr>
          <w:t>https://doi.org/10.22487/j24775185.2016.v5.i1.7998</w:t>
        </w:r>
      </w:hyperlink>
    </w:p>
    <w:p w14:paraId="3EC7DC95" w14:textId="5E85FEC5" w:rsidR="0078198E" w:rsidRPr="000066C6" w:rsidRDefault="0078198E" w:rsidP="00C34E8E">
      <w:pPr>
        <w:shd w:val="clear" w:color="auto" w:fill="FFFFFF"/>
        <w:spacing w:line="360" w:lineRule="auto"/>
        <w:ind w:left="851" w:hanging="993"/>
        <w:jc w:val="both"/>
        <w:rPr>
          <w:rFonts w:ascii="Arial" w:hAnsi="Arial" w:cs="Arial"/>
          <w:shd w:val="clear" w:color="auto" w:fill="FFFFFF"/>
        </w:rPr>
      </w:pPr>
      <w:hyperlink r:id="rId28" w:tgtFrame="_blank" w:history="1">
        <w:r w:rsidRPr="001C543E">
          <w:rPr>
            <w:rStyle w:val="Hyperlink"/>
            <w:rFonts w:ascii="Arial" w:eastAsia="Arial Unicode MS" w:hAnsi="Arial" w:cs="Arial"/>
            <w:color w:val="auto"/>
            <w:u w:val="none"/>
            <w:bdr w:val="none" w:sz="0" w:space="0" w:color="auto" w:frame="1"/>
            <w:lang w:val="nl-BE"/>
          </w:rPr>
          <w:t>Rajput, V.</w:t>
        </w:r>
      </w:hyperlink>
      <w:r w:rsidRPr="001C543E">
        <w:rPr>
          <w:rFonts w:ascii="Arial" w:hAnsi="Arial" w:cs="Arial"/>
          <w:lang w:val="nl-BE"/>
        </w:rPr>
        <w:t xml:space="preserve">, </w:t>
      </w:r>
      <w:hyperlink r:id="rId29" w:tgtFrame="_blank" w:history="1">
        <w:r w:rsidRPr="001C543E">
          <w:rPr>
            <w:rStyle w:val="Hyperlink"/>
            <w:rFonts w:ascii="Arial" w:eastAsia="Arial Unicode MS" w:hAnsi="Arial" w:cs="Arial"/>
            <w:color w:val="auto"/>
            <w:u w:val="none"/>
            <w:bdr w:val="none" w:sz="0" w:space="0" w:color="auto" w:frame="1"/>
            <w:lang w:val="nl-BE"/>
          </w:rPr>
          <w:t>Kumar, V.</w:t>
        </w:r>
      </w:hyperlink>
      <w:r w:rsidRPr="001C543E">
        <w:rPr>
          <w:rFonts w:ascii="Arial" w:hAnsi="Arial" w:cs="Arial"/>
          <w:lang w:val="nl-BE"/>
        </w:rPr>
        <w:t xml:space="preserve">, </w:t>
      </w:r>
      <w:hyperlink r:id="rId30" w:tgtFrame="_blank" w:history="1">
        <w:r w:rsidRPr="001C543E">
          <w:rPr>
            <w:rStyle w:val="Hyperlink"/>
            <w:rFonts w:ascii="Arial" w:eastAsia="Arial Unicode MS" w:hAnsi="Arial" w:cs="Arial"/>
            <w:color w:val="auto"/>
            <w:u w:val="none"/>
            <w:bdr w:val="none" w:sz="0" w:space="0" w:color="auto" w:frame="1"/>
            <w:lang w:val="nl-BE"/>
          </w:rPr>
          <w:t>Jaiswal, K.K.</w:t>
        </w:r>
      </w:hyperlink>
      <w:r w:rsidRPr="001C543E">
        <w:rPr>
          <w:rFonts w:ascii="Arial" w:hAnsi="Arial" w:cs="Arial"/>
          <w:lang w:val="nl-BE"/>
        </w:rPr>
        <w:t xml:space="preserve">, ... </w:t>
      </w:r>
      <w:r>
        <w:fldChar w:fldCharType="begin"/>
      </w:r>
      <w:r w:rsidRPr="001C543E">
        <w:rPr>
          <w:lang w:val="nl-BE"/>
        </w:rPr>
        <w:instrText>HYPERLINK "https://www.scopus.com/authid/detail.uri?authorId=57196423800" \t "_blank"</w:instrText>
      </w:r>
      <w:r>
        <w:fldChar w:fldCharType="separate"/>
      </w:r>
      <w:proofErr w:type="spellStart"/>
      <w:r w:rsidRPr="000066C6">
        <w:rPr>
          <w:rStyle w:val="Hyperlink"/>
          <w:rFonts w:ascii="Arial" w:eastAsia="Arial Unicode MS" w:hAnsi="Arial" w:cs="Arial"/>
          <w:color w:val="auto"/>
          <w:u w:val="none"/>
          <w:bdr w:val="none" w:sz="0" w:space="0" w:color="auto" w:frame="1"/>
        </w:rPr>
        <w:t>Kurbatova</w:t>
      </w:r>
      <w:proofErr w:type="spellEnd"/>
      <w:r w:rsidRPr="000066C6">
        <w:rPr>
          <w:rStyle w:val="Hyperlink"/>
          <w:rFonts w:ascii="Arial" w:eastAsia="Arial Unicode MS" w:hAnsi="Arial" w:cs="Arial"/>
          <w:color w:val="auto"/>
          <w:u w:val="none"/>
          <w:bdr w:val="none" w:sz="0" w:space="0" w:color="auto" w:frame="1"/>
        </w:rPr>
        <w:t>, A.I.</w:t>
      </w:r>
      <w:r>
        <w:fldChar w:fldCharType="end"/>
      </w:r>
      <w:r w:rsidRPr="000066C6">
        <w:rPr>
          <w:rFonts w:ascii="Arial" w:hAnsi="Arial" w:cs="Arial"/>
        </w:rPr>
        <w:t xml:space="preserve">, </w:t>
      </w:r>
      <w:hyperlink r:id="rId31" w:tgtFrame="_blank" w:history="1">
        <w:proofErr w:type="spellStart"/>
        <w:r w:rsidRPr="000066C6">
          <w:rPr>
            <w:rStyle w:val="Hyperlink"/>
            <w:rFonts w:ascii="Arial" w:eastAsia="Arial Unicode MS" w:hAnsi="Arial" w:cs="Arial"/>
            <w:color w:val="auto"/>
            <w:u w:val="none"/>
            <w:bdr w:val="none" w:sz="0" w:space="0" w:color="auto" w:frame="1"/>
          </w:rPr>
          <w:t>Vlaskin</w:t>
        </w:r>
        <w:proofErr w:type="spellEnd"/>
        <w:r w:rsidRPr="000066C6">
          <w:rPr>
            <w:rStyle w:val="Hyperlink"/>
            <w:rFonts w:ascii="Arial" w:eastAsia="Arial Unicode MS" w:hAnsi="Arial" w:cs="Arial"/>
            <w:color w:val="auto"/>
            <w:u w:val="none"/>
            <w:bdr w:val="none" w:sz="0" w:space="0" w:color="auto" w:frame="1"/>
          </w:rPr>
          <w:t>, M.S.</w:t>
        </w:r>
      </w:hyperlink>
      <w:r w:rsidRPr="000066C6">
        <w:rPr>
          <w:rFonts w:ascii="Arial" w:hAnsi="Arial" w:cs="Arial"/>
        </w:rPr>
        <w:t xml:space="preserve"> </w:t>
      </w:r>
      <w:r w:rsidRPr="000066C6">
        <w:rPr>
          <w:rFonts w:ascii="Arial" w:eastAsia="Arial Unicode MS" w:hAnsi="Arial" w:cs="Arial"/>
        </w:rPr>
        <w:t>Microalgae-based bioremediation of heavy metals and emerging contaminants</w:t>
      </w:r>
      <w:r w:rsidRPr="000066C6">
        <w:rPr>
          <w:rFonts w:ascii="Arial" w:hAnsi="Arial" w:cs="Arial"/>
          <w:shd w:val="clear" w:color="auto" w:fill="FFFFFF"/>
        </w:rPr>
        <w:t xml:space="preserve"> Algal Biotechnology, 2023, pp. 183–200</w:t>
      </w:r>
    </w:p>
    <w:p w14:paraId="5C7EE459" w14:textId="644B985F" w:rsidR="0078198E" w:rsidRPr="001C543E" w:rsidRDefault="0078198E" w:rsidP="00C34E8E">
      <w:pPr>
        <w:shd w:val="clear" w:color="auto" w:fill="FFFFFF"/>
        <w:spacing w:line="360" w:lineRule="auto"/>
        <w:ind w:left="851" w:hanging="993"/>
        <w:jc w:val="both"/>
        <w:rPr>
          <w:rFonts w:ascii="Arial" w:hAnsi="Arial" w:cs="Arial"/>
          <w:lang w:val="nl-BE"/>
        </w:rPr>
      </w:pPr>
      <w:r w:rsidRPr="000066C6">
        <w:rPr>
          <w:rFonts w:ascii="Arial" w:hAnsi="Arial" w:cs="Arial"/>
          <w:shd w:val="clear" w:color="auto" w:fill="FFFFFF"/>
        </w:rPr>
        <w:tab/>
      </w:r>
      <w:hyperlink r:id="rId32" w:history="1">
        <w:r w:rsidRPr="001C543E">
          <w:rPr>
            <w:rStyle w:val="Hyperlink"/>
            <w:rFonts w:ascii="Arial" w:hAnsi="Arial" w:cs="Arial"/>
            <w:b/>
            <w:bCs/>
            <w:color w:val="auto"/>
            <w:u w:val="none"/>
            <w:shd w:val="clear" w:color="auto" w:fill="FFFFFF"/>
            <w:lang w:val="nl-BE"/>
          </w:rPr>
          <w:t>https://doi.org/10.1079/9781800621954.0013</w:t>
        </w:r>
      </w:hyperlink>
    </w:p>
    <w:p w14:paraId="00B8FEF1" w14:textId="77777777" w:rsidR="00F5258C" w:rsidRPr="000066C6" w:rsidRDefault="00F5258C" w:rsidP="00C34E8E">
      <w:pPr>
        <w:shd w:val="clear" w:color="auto" w:fill="FFFFFF"/>
        <w:spacing w:line="360" w:lineRule="auto"/>
        <w:ind w:left="851" w:hanging="993"/>
        <w:jc w:val="both"/>
        <w:rPr>
          <w:rFonts w:ascii="Arial" w:hAnsi="Arial" w:cs="Arial"/>
          <w:lang w:val="en-IN" w:eastAsia="en-IN" w:bidi="hi-IN"/>
        </w:rPr>
      </w:pPr>
      <w:r w:rsidRPr="001C543E">
        <w:rPr>
          <w:rFonts w:ascii="Arial" w:eastAsia="Arial Unicode MS" w:hAnsi="Arial" w:cs="Arial"/>
          <w:bdr w:val="none" w:sz="0" w:space="0" w:color="auto" w:frame="1"/>
          <w:lang w:val="nl-BE"/>
        </w:rPr>
        <w:t>Rajput, V.</w:t>
      </w:r>
      <w:r w:rsidRPr="001C543E">
        <w:rPr>
          <w:rFonts w:ascii="Arial" w:hAnsi="Arial" w:cs="Arial"/>
          <w:lang w:val="nl-BE"/>
        </w:rPr>
        <w:t xml:space="preserve">, </w:t>
      </w:r>
      <w:r w:rsidRPr="001C543E">
        <w:rPr>
          <w:rFonts w:ascii="Arial" w:eastAsia="Arial Unicode MS" w:hAnsi="Arial" w:cs="Arial"/>
          <w:bdr w:val="none" w:sz="0" w:space="0" w:color="auto" w:frame="1"/>
          <w:lang w:val="nl-BE"/>
        </w:rPr>
        <w:t>Kumar, V.</w:t>
      </w:r>
      <w:r w:rsidRPr="001C543E">
        <w:rPr>
          <w:rFonts w:ascii="Arial" w:hAnsi="Arial" w:cs="Arial"/>
          <w:lang w:val="nl-BE"/>
        </w:rPr>
        <w:t xml:space="preserve">, </w:t>
      </w:r>
      <w:r w:rsidRPr="001C543E">
        <w:rPr>
          <w:rFonts w:ascii="Arial" w:eastAsia="Arial Unicode MS" w:hAnsi="Arial" w:cs="Arial"/>
          <w:bdr w:val="none" w:sz="0" w:space="0" w:color="auto" w:frame="1"/>
          <w:lang w:val="nl-BE"/>
        </w:rPr>
        <w:t>Vlaskin, M.S.</w:t>
      </w:r>
      <w:r w:rsidRPr="001C543E">
        <w:rPr>
          <w:rFonts w:ascii="Arial" w:hAnsi="Arial" w:cs="Arial"/>
          <w:lang w:val="nl-BE"/>
        </w:rPr>
        <w:t xml:space="preserve">, </w:t>
      </w:r>
      <w:r w:rsidRPr="001C543E">
        <w:rPr>
          <w:rFonts w:ascii="Arial" w:eastAsia="Arial Unicode MS" w:hAnsi="Arial" w:cs="Arial"/>
          <w:bdr w:val="none" w:sz="0" w:space="0" w:color="auto" w:frame="1"/>
          <w:lang w:val="nl-BE"/>
        </w:rPr>
        <w:t>Nanda, M.</w:t>
      </w:r>
      <w:r w:rsidRPr="001C543E">
        <w:rPr>
          <w:rFonts w:ascii="Arial" w:hAnsi="Arial" w:cs="Arial"/>
          <w:lang w:val="nl-BE"/>
        </w:rPr>
        <w:t xml:space="preserve">, </w:t>
      </w:r>
      <w:hyperlink r:id="rId33" w:tgtFrame="_blank" w:history="1">
        <w:r w:rsidRPr="001C543E">
          <w:rPr>
            <w:rStyle w:val="Hyperlink"/>
            <w:rFonts w:ascii="Arial" w:eastAsia="Arial Unicode MS" w:hAnsi="Arial" w:cs="Arial"/>
            <w:color w:val="auto"/>
            <w:u w:val="none"/>
            <w:bdr w:val="none" w:sz="0" w:space="0" w:color="auto" w:frame="1"/>
            <w:lang w:val="nl-BE"/>
          </w:rPr>
          <w:t>Verma, M.</w:t>
        </w:r>
      </w:hyperlink>
      <w:r w:rsidRPr="001C543E">
        <w:rPr>
          <w:rFonts w:ascii="Arial" w:hAnsi="Arial" w:cs="Arial"/>
          <w:lang w:val="nl-BE"/>
        </w:rPr>
        <w:t> </w:t>
      </w:r>
      <w:hyperlink r:id="rId34" w:tgtFrame="_blank" w:history="1">
        <w:r w:rsidRPr="000066C6">
          <w:rPr>
            <w:rStyle w:val="Hyperlink"/>
            <w:rFonts w:ascii="Arial" w:eastAsia="Arial Unicode MS" w:hAnsi="Arial" w:cs="Arial"/>
            <w:color w:val="auto"/>
            <w:u w:val="none"/>
          </w:rPr>
          <w:t>Hydrothermal Liquefaction of Waste Agricultural Biomass for Biofuel and Biochar</w:t>
        </w:r>
      </w:hyperlink>
    </w:p>
    <w:p w14:paraId="54191741" w14:textId="5326BCB6" w:rsidR="00F5258C" w:rsidRPr="000066C6" w:rsidRDefault="00F5258C" w:rsidP="00C34E8E">
      <w:pPr>
        <w:shd w:val="clear" w:color="auto" w:fill="FFFFFF"/>
        <w:spacing w:line="360" w:lineRule="auto"/>
        <w:ind w:left="851"/>
        <w:jc w:val="both"/>
        <w:rPr>
          <w:rFonts w:ascii="Arial" w:hAnsi="Arial" w:cs="Arial"/>
        </w:rPr>
      </w:pPr>
      <w:r w:rsidRPr="000066C6">
        <w:rPr>
          <w:rFonts w:ascii="Arial" w:hAnsi="Arial" w:cs="Arial"/>
        </w:rPr>
        <w:t>Agriculture Waste Management and Bioresource the Circular Economy Perspective, 2023, pp. 238–250 </w:t>
      </w:r>
    </w:p>
    <w:p w14:paraId="1F662E77" w14:textId="14A29A8F" w:rsidR="00F5258C" w:rsidRPr="000066C6" w:rsidRDefault="0078198E"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r>
      <w:hyperlink r:id="rId35" w:history="1">
        <w:r w:rsidRPr="000066C6">
          <w:rPr>
            <w:rStyle w:val="Hyperlink"/>
            <w:rFonts w:ascii="Arial" w:hAnsi="Arial" w:cs="Arial"/>
            <w:b/>
            <w:bCs/>
            <w:noProof/>
            <w:color w:val="auto"/>
            <w:u w:val="none"/>
          </w:rPr>
          <w:t>https://doi.org/10.1002/9781119808428.ch11</w:t>
        </w:r>
      </w:hyperlink>
    </w:p>
    <w:p w14:paraId="5986D54A" w14:textId="30B3A60A"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Review, K. E., &amp; All, K. (2015). </w:t>
      </w:r>
      <w:r w:rsidR="004250E7" w:rsidRPr="000066C6">
        <w:rPr>
          <w:rFonts w:ascii="Arial" w:hAnsi="Arial" w:cs="Arial"/>
          <w:i/>
          <w:iCs/>
          <w:noProof/>
        </w:rPr>
        <w:t>Preparation and application of two-dimensional or three-dimensional graphene materials</w:t>
      </w:r>
      <w:r w:rsidRPr="000066C6">
        <w:rPr>
          <w:rFonts w:ascii="Arial" w:hAnsi="Arial" w:cs="Arial"/>
          <w:noProof/>
        </w:rPr>
        <w:t xml:space="preserve">. </w:t>
      </w:r>
      <w:r w:rsidRPr="000066C6">
        <w:rPr>
          <w:rFonts w:ascii="Arial" w:hAnsi="Arial" w:cs="Arial"/>
          <w:i/>
          <w:iCs/>
          <w:noProof/>
        </w:rPr>
        <w:t>4</w:t>
      </w:r>
      <w:r w:rsidRPr="000066C6">
        <w:rPr>
          <w:rFonts w:ascii="Arial" w:hAnsi="Arial" w:cs="Arial"/>
          <w:noProof/>
        </w:rPr>
        <w:t>(2), 1–16.</w:t>
      </w:r>
    </w:p>
    <w:p w14:paraId="446768CC" w14:textId="77777777" w:rsidR="00A771EF" w:rsidRPr="000066C6" w:rsidRDefault="00A771EF" w:rsidP="00C34E8E">
      <w:pPr>
        <w:widowControl w:val="0"/>
        <w:autoSpaceDE w:val="0"/>
        <w:autoSpaceDN w:val="0"/>
        <w:adjustRightInd w:val="0"/>
        <w:spacing w:line="360" w:lineRule="auto"/>
        <w:ind w:left="851" w:hanging="993"/>
        <w:jc w:val="both"/>
        <w:rPr>
          <w:rFonts w:ascii="Arial" w:hAnsi="Arial" w:cs="Arial"/>
          <w:b/>
          <w:bCs/>
          <w:noProof/>
          <w:lang w:val="en-ID"/>
        </w:rPr>
      </w:pPr>
      <w:r w:rsidRPr="000066C6">
        <w:rPr>
          <w:rFonts w:ascii="Arial" w:hAnsi="Arial" w:cs="Arial"/>
          <w:noProof/>
        </w:rPr>
        <w:tab/>
      </w:r>
      <w:r w:rsidRPr="000066C6">
        <w:rPr>
          <w:rFonts w:ascii="Arial" w:hAnsi="Arial" w:cs="Arial"/>
          <w:b/>
          <w:bCs/>
          <w:noProof/>
          <w:lang w:val="en-ID"/>
        </w:rPr>
        <w:t>DOI</w:t>
      </w:r>
    </w:p>
    <w:p w14:paraId="1101B82D" w14:textId="296B0E06" w:rsidR="00A771EF" w:rsidRPr="000066C6" w:rsidRDefault="00A771EF" w:rsidP="00C34E8E">
      <w:pPr>
        <w:widowControl w:val="0"/>
        <w:autoSpaceDE w:val="0"/>
        <w:autoSpaceDN w:val="0"/>
        <w:adjustRightInd w:val="0"/>
        <w:spacing w:line="360" w:lineRule="auto"/>
        <w:ind w:left="851"/>
        <w:jc w:val="both"/>
        <w:rPr>
          <w:rFonts w:ascii="Arial" w:hAnsi="Arial" w:cs="Arial"/>
          <w:noProof/>
          <w:lang w:val="en-ID"/>
        </w:rPr>
      </w:pPr>
      <w:hyperlink r:id="rId36" w:history="1">
        <w:r w:rsidRPr="00A771EF">
          <w:rPr>
            <w:rStyle w:val="Hyperlink"/>
            <w:rFonts w:ascii="Arial" w:hAnsi="Arial" w:cs="Arial"/>
            <w:noProof/>
            <w:color w:val="auto"/>
            <w:u w:val="none"/>
            <w:lang w:val="en-ID"/>
          </w:rPr>
          <w:t>https://doi.org/10.1039/C5NR00030K</w:t>
        </w:r>
      </w:hyperlink>
    </w:p>
    <w:p w14:paraId="24B16907" w14:textId="1A79BCC6"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Ruslaini. (2016). </w:t>
      </w:r>
      <w:r w:rsidR="004250E7" w:rsidRPr="000066C6">
        <w:rPr>
          <w:rFonts w:ascii="Arial" w:hAnsi="Arial" w:cs="Arial"/>
          <w:noProof/>
        </w:rPr>
        <w:t>Water Quality Study on Seaweed Growth (</w:t>
      </w:r>
      <w:r w:rsidR="004250E7" w:rsidRPr="000066C6">
        <w:rPr>
          <w:rFonts w:ascii="Arial" w:hAnsi="Arial" w:cs="Arial"/>
          <w:i/>
          <w:iCs/>
          <w:noProof/>
        </w:rPr>
        <w:t>Gracilaria verrucosa</w:t>
      </w:r>
      <w:r w:rsidR="004250E7" w:rsidRPr="000066C6">
        <w:rPr>
          <w:rFonts w:ascii="Arial" w:hAnsi="Arial" w:cs="Arial"/>
          <w:noProof/>
        </w:rPr>
        <w:t xml:space="preserve">) in Ponds with the Vertical Culture Method. Octopus: </w:t>
      </w:r>
      <w:r w:rsidR="004250E7" w:rsidRPr="000066C6">
        <w:rPr>
          <w:rFonts w:ascii="Arial" w:hAnsi="Arial" w:cs="Arial"/>
          <w:i/>
          <w:iCs/>
          <w:noProof/>
        </w:rPr>
        <w:t>Journal of Fisheries Science</w:t>
      </w:r>
      <w:r w:rsidRPr="000066C6">
        <w:rPr>
          <w:rFonts w:ascii="Arial" w:hAnsi="Arial" w:cs="Arial"/>
          <w:noProof/>
        </w:rPr>
        <w:t xml:space="preserve">, </w:t>
      </w:r>
      <w:r w:rsidRPr="000066C6">
        <w:rPr>
          <w:rFonts w:ascii="Arial" w:hAnsi="Arial" w:cs="Arial"/>
          <w:i/>
          <w:iCs/>
          <w:noProof/>
        </w:rPr>
        <w:t>5</w:t>
      </w:r>
      <w:r w:rsidRPr="000066C6">
        <w:rPr>
          <w:rFonts w:ascii="Arial" w:hAnsi="Arial" w:cs="Arial"/>
          <w:noProof/>
        </w:rPr>
        <w:t>(2), 522–527.</w:t>
      </w:r>
    </w:p>
    <w:p w14:paraId="1CE9FCDA" w14:textId="59DE87B4" w:rsidR="00A92F14" w:rsidRPr="000066C6" w:rsidRDefault="00A92F14"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r>
      <w:hyperlink r:id="rId37" w:history="1">
        <w:r w:rsidRPr="000066C6">
          <w:rPr>
            <w:rStyle w:val="Hyperlink"/>
            <w:rFonts w:ascii="Arial" w:hAnsi="Arial" w:cs="Arial"/>
            <w:noProof/>
            <w:color w:val="auto"/>
            <w:u w:val="none"/>
          </w:rPr>
          <w:t>https://doi.org/10.26618/octopus.v5i2.724</w:t>
        </w:r>
      </w:hyperlink>
    </w:p>
    <w:p w14:paraId="4516EFA9" w14:textId="08C697F0"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Serdiati, N., &amp; Widiastuti, I. M. (2010). </w:t>
      </w:r>
      <w:r w:rsidR="004250E7" w:rsidRPr="000066C6">
        <w:rPr>
          <w:rFonts w:ascii="Arial" w:hAnsi="Arial" w:cs="Arial"/>
          <w:noProof/>
        </w:rPr>
        <w:t xml:space="preserve">Growth and production of </w:t>
      </w:r>
      <w:r w:rsidR="004250E7" w:rsidRPr="000066C6">
        <w:rPr>
          <w:rFonts w:ascii="Arial" w:hAnsi="Arial" w:cs="Arial"/>
          <w:i/>
          <w:iCs/>
          <w:noProof/>
        </w:rPr>
        <w:t>Eucheuma cottonii</w:t>
      </w:r>
      <w:r w:rsidR="004250E7" w:rsidRPr="000066C6">
        <w:rPr>
          <w:rFonts w:ascii="Arial" w:hAnsi="Arial" w:cs="Arial"/>
          <w:noProof/>
        </w:rPr>
        <w:t xml:space="preserve"> seaweed at different planting depths. </w:t>
      </w:r>
      <w:r w:rsidR="004250E7" w:rsidRPr="000066C6">
        <w:rPr>
          <w:rFonts w:ascii="Arial" w:hAnsi="Arial" w:cs="Arial"/>
          <w:i/>
          <w:iCs/>
          <w:noProof/>
        </w:rPr>
        <w:t>Media Litbang Sulteng</w:t>
      </w:r>
      <w:r w:rsidRPr="000066C6">
        <w:rPr>
          <w:rFonts w:ascii="Arial" w:hAnsi="Arial" w:cs="Arial"/>
          <w:noProof/>
        </w:rPr>
        <w:t xml:space="preserve">, </w:t>
      </w:r>
      <w:r w:rsidRPr="000066C6">
        <w:rPr>
          <w:rFonts w:ascii="Arial" w:hAnsi="Arial" w:cs="Arial"/>
          <w:i/>
          <w:iCs/>
          <w:noProof/>
        </w:rPr>
        <w:t>III</w:t>
      </w:r>
      <w:r w:rsidRPr="000066C6">
        <w:rPr>
          <w:rFonts w:ascii="Arial" w:hAnsi="Arial" w:cs="Arial"/>
          <w:noProof/>
        </w:rPr>
        <w:t>(1), 21–26.</w:t>
      </w:r>
    </w:p>
    <w:p w14:paraId="0F0AB3CA" w14:textId="57839010" w:rsidR="00A771EF" w:rsidRPr="000066C6" w:rsidRDefault="00A771EF"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t> </w:t>
      </w:r>
      <w:hyperlink r:id="rId38" w:history="1">
        <w:r w:rsidRPr="000066C6">
          <w:rPr>
            <w:rStyle w:val="Hyperlink"/>
            <w:rFonts w:ascii="Arial" w:hAnsi="Arial" w:cs="Arial"/>
            <w:noProof/>
            <w:color w:val="auto"/>
            <w:u w:val="none"/>
          </w:rPr>
          <w:t>10.21608/ejabf.2024.369537</w:t>
        </w:r>
      </w:hyperlink>
    </w:p>
    <w:p w14:paraId="1BF4F020" w14:textId="122F3AD7"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Setiaji, K., Santosa, G. W., &amp; Sunaryo, S. (2012). </w:t>
      </w:r>
      <w:r w:rsidR="004250E7" w:rsidRPr="000066C6">
        <w:rPr>
          <w:rFonts w:ascii="Arial" w:hAnsi="Arial" w:cs="Arial"/>
          <w:noProof/>
        </w:rPr>
        <w:t xml:space="preserve">The Effect of Addition of NPK and Urea in Water Media Maintenance on the Growth of Seaweed </w:t>
      </w:r>
      <w:r w:rsidR="004250E7" w:rsidRPr="000066C6">
        <w:rPr>
          <w:rFonts w:ascii="Arial" w:hAnsi="Arial" w:cs="Arial"/>
          <w:i/>
          <w:iCs/>
          <w:noProof/>
        </w:rPr>
        <w:t>Caulerpa racemosa</w:t>
      </w:r>
      <w:r w:rsidR="004250E7" w:rsidRPr="000066C6">
        <w:rPr>
          <w:rFonts w:ascii="Arial" w:hAnsi="Arial" w:cs="Arial"/>
          <w:noProof/>
        </w:rPr>
        <w:t xml:space="preserve"> var. uvifera. </w:t>
      </w:r>
      <w:r w:rsidR="004250E7" w:rsidRPr="000066C6">
        <w:rPr>
          <w:rFonts w:ascii="Arial" w:hAnsi="Arial" w:cs="Arial"/>
          <w:i/>
          <w:iCs/>
          <w:noProof/>
        </w:rPr>
        <w:t>Journal of Marine Research</w:t>
      </w:r>
      <w:r w:rsidRPr="000066C6">
        <w:rPr>
          <w:rFonts w:ascii="Arial" w:hAnsi="Arial" w:cs="Arial"/>
          <w:noProof/>
        </w:rPr>
        <w:t xml:space="preserve">, </w:t>
      </w:r>
      <w:r w:rsidRPr="000066C6">
        <w:rPr>
          <w:rFonts w:ascii="Arial" w:hAnsi="Arial" w:cs="Arial"/>
          <w:i/>
          <w:iCs/>
          <w:noProof/>
        </w:rPr>
        <w:t>1</w:t>
      </w:r>
      <w:r w:rsidRPr="000066C6">
        <w:rPr>
          <w:rFonts w:ascii="Arial" w:hAnsi="Arial" w:cs="Arial"/>
          <w:noProof/>
        </w:rPr>
        <w:t>(2), 45–50.</w:t>
      </w:r>
    </w:p>
    <w:p w14:paraId="6C362C8C" w14:textId="42038B43" w:rsidR="001526A2" w:rsidRPr="000066C6" w:rsidRDefault="001526A2"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t>10.4194/AQUAST2202</w:t>
      </w:r>
    </w:p>
    <w:p w14:paraId="1EACCB47" w14:textId="19122FB1" w:rsidR="00C04128" w:rsidRPr="000066C6" w:rsidRDefault="00C04128" w:rsidP="00C34E8E">
      <w:pPr>
        <w:spacing w:line="360" w:lineRule="auto"/>
        <w:ind w:left="851" w:hanging="993"/>
        <w:jc w:val="both"/>
        <w:rPr>
          <w:rFonts w:ascii="Arial" w:hAnsi="Arial" w:cs="Arial"/>
          <w:shd w:val="clear" w:color="auto" w:fill="FFFFFF"/>
          <w:lang w:eastAsia="zh-CN" w:bidi="ar"/>
        </w:rPr>
      </w:pPr>
      <w:bookmarkStart w:id="12" w:name="_Hlk201756008"/>
      <w:r w:rsidRPr="000066C6">
        <w:rPr>
          <w:rFonts w:ascii="Arial" w:hAnsi="Arial" w:cs="Arial"/>
          <w:shd w:val="clear" w:color="auto" w:fill="FFFFFF"/>
          <w:lang w:eastAsia="zh-CN" w:bidi="ar"/>
        </w:rPr>
        <w:t xml:space="preserve">Shara, S., </w:t>
      </w:r>
      <w:proofErr w:type="spellStart"/>
      <w:r w:rsidRPr="000066C6">
        <w:rPr>
          <w:rFonts w:ascii="Arial" w:hAnsi="Arial" w:cs="Arial"/>
          <w:shd w:val="clear" w:color="auto" w:fill="FFFFFF"/>
          <w:lang w:eastAsia="zh-CN" w:bidi="ar"/>
        </w:rPr>
        <w:t>Cinnawara</w:t>
      </w:r>
      <w:proofErr w:type="spellEnd"/>
      <w:r w:rsidRPr="000066C6">
        <w:rPr>
          <w:rFonts w:ascii="Arial" w:hAnsi="Arial" w:cs="Arial"/>
          <w:shd w:val="clear" w:color="auto" w:fill="FFFFFF"/>
          <w:lang w:eastAsia="zh-CN" w:bidi="ar"/>
        </w:rPr>
        <w:t xml:space="preserve">, H. T., Baso, H. S., &amp; </w:t>
      </w:r>
      <w:proofErr w:type="spellStart"/>
      <w:r w:rsidRPr="000066C6">
        <w:rPr>
          <w:rFonts w:ascii="Arial" w:hAnsi="Arial" w:cs="Arial"/>
          <w:shd w:val="clear" w:color="auto" w:fill="FFFFFF"/>
          <w:lang w:eastAsia="zh-CN" w:bidi="ar"/>
        </w:rPr>
        <w:t>Muchlis</w:t>
      </w:r>
      <w:proofErr w:type="spellEnd"/>
      <w:r w:rsidRPr="000066C6">
        <w:rPr>
          <w:rFonts w:ascii="Arial" w:hAnsi="Arial" w:cs="Arial"/>
          <w:shd w:val="clear" w:color="auto" w:fill="FFFFFF"/>
          <w:lang w:eastAsia="zh-CN" w:bidi="ar"/>
        </w:rPr>
        <w:t xml:space="preserve">, A. M. R. (2023). </w:t>
      </w:r>
      <w:r w:rsidR="004250E7" w:rsidRPr="000066C6">
        <w:rPr>
          <w:rFonts w:ascii="Arial" w:hAnsi="Arial" w:cs="Arial"/>
          <w:shd w:val="clear" w:color="auto" w:fill="FFFFFF"/>
          <w:lang w:eastAsia="zh-CN" w:bidi="ar"/>
        </w:rPr>
        <w:t xml:space="preserve">The Effect of Using </w:t>
      </w:r>
      <w:r w:rsidR="004250E7" w:rsidRPr="000066C6">
        <w:rPr>
          <w:rFonts w:ascii="Arial" w:hAnsi="Arial" w:cs="Arial"/>
          <w:i/>
          <w:iCs/>
          <w:shd w:val="clear" w:color="auto" w:fill="FFFFFF"/>
          <w:lang w:eastAsia="zh-CN" w:bidi="ar"/>
        </w:rPr>
        <w:t xml:space="preserve">Eucheuma </w:t>
      </w:r>
      <w:proofErr w:type="spellStart"/>
      <w:r w:rsidR="004250E7" w:rsidRPr="000066C6">
        <w:rPr>
          <w:rFonts w:ascii="Arial" w:hAnsi="Arial" w:cs="Arial"/>
          <w:i/>
          <w:iCs/>
          <w:shd w:val="clear" w:color="auto" w:fill="FFFFFF"/>
          <w:lang w:eastAsia="zh-CN" w:bidi="ar"/>
        </w:rPr>
        <w:t>cottonii</w:t>
      </w:r>
      <w:proofErr w:type="spellEnd"/>
      <w:r w:rsidR="004250E7" w:rsidRPr="000066C6">
        <w:rPr>
          <w:rFonts w:ascii="Arial" w:hAnsi="Arial" w:cs="Arial"/>
          <w:shd w:val="clear" w:color="auto" w:fill="FFFFFF"/>
          <w:lang w:eastAsia="zh-CN" w:bidi="ar"/>
        </w:rPr>
        <w:t xml:space="preserve"> Seaweed Seeds from Tissue Culture Based on Different Harvest Ages on Carrageenan Content. </w:t>
      </w:r>
      <w:r w:rsidR="004250E7" w:rsidRPr="000066C6">
        <w:rPr>
          <w:rFonts w:ascii="Arial" w:hAnsi="Arial" w:cs="Arial"/>
          <w:i/>
          <w:iCs/>
          <w:shd w:val="clear" w:color="auto" w:fill="FFFFFF"/>
          <w:lang w:eastAsia="zh-CN" w:bidi="ar"/>
        </w:rPr>
        <w:t>Fisheries of Wallacea Journal</w:t>
      </w:r>
      <w:r w:rsidR="004250E7" w:rsidRPr="000066C6">
        <w:rPr>
          <w:rFonts w:ascii="Arial" w:hAnsi="Arial" w:cs="Arial"/>
          <w:shd w:val="clear" w:color="auto" w:fill="FFFFFF"/>
          <w:lang w:eastAsia="zh-CN" w:bidi="ar"/>
        </w:rPr>
        <w:t>,</w:t>
      </w:r>
      <w:r w:rsidRPr="000066C6">
        <w:rPr>
          <w:rFonts w:ascii="Arial" w:hAnsi="Arial" w:cs="Arial"/>
          <w:i/>
          <w:lang w:eastAsia="zh-CN" w:bidi="ar"/>
        </w:rPr>
        <w:t>4</w:t>
      </w:r>
      <w:r w:rsidRPr="000066C6">
        <w:rPr>
          <w:rFonts w:ascii="Arial" w:hAnsi="Arial" w:cs="Arial"/>
          <w:shd w:val="clear" w:color="auto" w:fill="FFFFFF"/>
          <w:lang w:eastAsia="zh-CN" w:bidi="ar"/>
        </w:rPr>
        <w:t>(1), 56-66.</w:t>
      </w:r>
    </w:p>
    <w:p w14:paraId="5F2B12A6" w14:textId="756C525E" w:rsidR="00A92F14" w:rsidRPr="000066C6" w:rsidRDefault="00A92F14" w:rsidP="00C34E8E">
      <w:pPr>
        <w:spacing w:line="360" w:lineRule="auto"/>
        <w:ind w:left="851" w:hanging="993"/>
        <w:jc w:val="both"/>
        <w:rPr>
          <w:rFonts w:ascii="Arial" w:hAnsi="Arial" w:cs="Arial"/>
        </w:rPr>
      </w:pPr>
      <w:r w:rsidRPr="000066C6">
        <w:rPr>
          <w:rFonts w:ascii="Arial" w:hAnsi="Arial" w:cs="Arial"/>
          <w:shd w:val="clear" w:color="auto" w:fill="FFFFFF"/>
          <w:lang w:eastAsia="zh-CN" w:bidi="ar"/>
        </w:rPr>
        <w:tab/>
        <w:t> </w:t>
      </w:r>
      <w:hyperlink r:id="rId39" w:history="1">
        <w:r w:rsidRPr="000066C6">
          <w:rPr>
            <w:rStyle w:val="Hyperlink"/>
            <w:rFonts w:ascii="Arial" w:hAnsi="Arial" w:cs="Arial"/>
            <w:color w:val="auto"/>
            <w:u w:val="none"/>
            <w:shd w:val="clear" w:color="auto" w:fill="FFFFFF"/>
            <w:lang w:eastAsia="zh-CN" w:bidi="ar"/>
          </w:rPr>
          <w:t>https://doi.org/10.55113/fwj.v4i1.1901</w:t>
        </w:r>
      </w:hyperlink>
    </w:p>
    <w:bookmarkEnd w:id="12"/>
    <w:p w14:paraId="7315BDD5" w14:textId="77777777" w:rsidR="00A56561"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Syahrir, M. (2024). The Most Efficient Seaweed Species as a Bioremediator of Intensive Pond Waste. </w:t>
      </w:r>
      <w:r w:rsidRPr="000066C6">
        <w:rPr>
          <w:rFonts w:ascii="Arial" w:hAnsi="Arial" w:cs="Arial"/>
          <w:i/>
          <w:iCs/>
          <w:noProof/>
        </w:rPr>
        <w:t>Journal of Ecological Engineering</w:t>
      </w:r>
      <w:r w:rsidRPr="000066C6">
        <w:rPr>
          <w:rFonts w:ascii="Arial" w:hAnsi="Arial" w:cs="Arial"/>
          <w:noProof/>
        </w:rPr>
        <w:t xml:space="preserve">, </w:t>
      </w:r>
      <w:r w:rsidRPr="000066C6">
        <w:rPr>
          <w:rFonts w:ascii="Arial" w:hAnsi="Arial" w:cs="Arial"/>
          <w:i/>
          <w:iCs/>
          <w:noProof/>
        </w:rPr>
        <w:t>25</w:t>
      </w:r>
      <w:r w:rsidRPr="000066C6">
        <w:rPr>
          <w:rFonts w:ascii="Arial" w:hAnsi="Arial" w:cs="Arial"/>
          <w:noProof/>
        </w:rPr>
        <w:t xml:space="preserve">(1), 108–118. </w:t>
      </w:r>
    </w:p>
    <w:p w14:paraId="0A9600FF" w14:textId="77777777" w:rsidR="00F5258C" w:rsidRPr="000066C6" w:rsidRDefault="00F5258C" w:rsidP="00C34E8E">
      <w:pPr>
        <w:widowControl w:val="0"/>
        <w:autoSpaceDE w:val="0"/>
        <w:autoSpaceDN w:val="0"/>
        <w:adjustRightInd w:val="0"/>
        <w:spacing w:line="360" w:lineRule="auto"/>
        <w:ind w:left="851"/>
        <w:jc w:val="both"/>
        <w:rPr>
          <w:rFonts w:ascii="Arial" w:hAnsi="Arial" w:cs="Arial"/>
          <w:noProof/>
        </w:rPr>
      </w:pPr>
      <w:hyperlink r:id="rId40" w:history="1">
        <w:r w:rsidRPr="000066C6">
          <w:rPr>
            <w:rStyle w:val="Hyperlink"/>
            <w:rFonts w:ascii="Arial" w:hAnsi="Arial" w:cs="Arial"/>
            <w:noProof/>
            <w:color w:val="auto"/>
            <w:u w:val="none"/>
          </w:rPr>
          <w:t>https://doi.org/10.12911/22998993/174179</w:t>
        </w:r>
      </w:hyperlink>
    </w:p>
    <w:p w14:paraId="1C0130CB" w14:textId="77777777" w:rsidR="00F5258C" w:rsidRPr="000066C6" w:rsidRDefault="00F5258C" w:rsidP="00C34E8E">
      <w:pPr>
        <w:widowControl w:val="0"/>
        <w:autoSpaceDE w:val="0"/>
        <w:autoSpaceDN w:val="0"/>
        <w:adjustRightInd w:val="0"/>
        <w:spacing w:line="360" w:lineRule="auto"/>
        <w:ind w:left="851" w:hanging="993"/>
        <w:jc w:val="both"/>
        <w:rPr>
          <w:rFonts w:ascii="Arial" w:hAnsi="Arial" w:cs="Arial"/>
          <w:bCs/>
        </w:rPr>
      </w:pPr>
      <w:r w:rsidRPr="000066C6">
        <w:rPr>
          <w:rFonts w:ascii="Arial" w:hAnsi="Arial" w:cs="Arial"/>
        </w:rPr>
        <w:t>Vishal Rajput,</w:t>
      </w:r>
      <w:r w:rsidRPr="000066C6">
        <w:rPr>
          <w:rFonts w:ascii="Arial" w:hAnsi="Arial" w:cs="Arial"/>
          <w:b/>
          <w:bCs/>
        </w:rPr>
        <w:t xml:space="preserve"> </w:t>
      </w:r>
      <w:r w:rsidRPr="000066C6">
        <w:rPr>
          <w:rFonts w:ascii="Arial" w:hAnsi="Arial" w:cs="Arial"/>
          <w:bCs/>
        </w:rPr>
        <w:t>Bindu Naik, Vivek Kumar, Vijay Kumar, Sarvesh Rustagi. (2024). Advancements in energy storage applications: harnessing the potential of fish industry waste. Discover Materials.</w:t>
      </w:r>
    </w:p>
    <w:p w14:paraId="535FBF9B" w14:textId="07845016" w:rsidR="00F5258C" w:rsidRPr="000066C6" w:rsidRDefault="00F5258C"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bCs/>
        </w:rPr>
        <w:t xml:space="preserve"> </w:t>
      </w:r>
      <w:hyperlink r:id="rId41" w:history="1">
        <w:r w:rsidRPr="000066C6">
          <w:rPr>
            <w:rStyle w:val="Hyperlink"/>
            <w:rFonts w:ascii="Arial" w:hAnsi="Arial" w:cs="Arial"/>
            <w:color w:val="auto"/>
            <w:u w:val="none"/>
          </w:rPr>
          <w:t>https://doi.org/10.1007/s43939-024-00161-y</w:t>
        </w:r>
      </w:hyperlink>
    </w:p>
    <w:p w14:paraId="208B49A0" w14:textId="06F225D4" w:rsidR="00F5258C" w:rsidRPr="000066C6" w:rsidRDefault="00F5258C" w:rsidP="00C34E8E">
      <w:pPr>
        <w:widowControl w:val="0"/>
        <w:autoSpaceDE w:val="0"/>
        <w:autoSpaceDN w:val="0"/>
        <w:adjustRightInd w:val="0"/>
        <w:spacing w:line="360" w:lineRule="auto"/>
        <w:ind w:left="851" w:hanging="993"/>
        <w:jc w:val="both"/>
        <w:rPr>
          <w:rFonts w:ascii="Arial" w:hAnsi="Arial" w:cs="Arial"/>
        </w:rPr>
      </w:pPr>
      <w:r w:rsidRPr="000066C6">
        <w:rPr>
          <w:rFonts w:ascii="Arial" w:hAnsi="Arial" w:cs="Arial"/>
        </w:rPr>
        <w:t xml:space="preserve">Vinod Kumar, Krishna Kumar Jaiswal, Mahipal Singh Tomar, </w:t>
      </w:r>
      <w:r w:rsidRPr="000066C6">
        <w:rPr>
          <w:rFonts w:ascii="Arial" w:hAnsi="Arial" w:cs="Arial"/>
          <w:bCs/>
        </w:rPr>
        <w:t>Vishal Rajput,</w:t>
      </w:r>
      <w:r w:rsidRPr="000066C6">
        <w:rPr>
          <w:rFonts w:ascii="Arial" w:hAnsi="Arial" w:cs="Arial"/>
        </w:rPr>
        <w:t xml:space="preserve"> Shuchi Upadhyay, Manisha Nanda, Mikhail S. </w:t>
      </w:r>
      <w:proofErr w:type="spellStart"/>
      <w:r w:rsidRPr="000066C6">
        <w:rPr>
          <w:rFonts w:ascii="Arial" w:hAnsi="Arial" w:cs="Arial"/>
        </w:rPr>
        <w:t>Vlaskin</w:t>
      </w:r>
      <w:proofErr w:type="spellEnd"/>
      <w:r w:rsidRPr="000066C6">
        <w:rPr>
          <w:rFonts w:ascii="Arial" w:hAnsi="Arial" w:cs="Arial"/>
        </w:rPr>
        <w:t xml:space="preserve">, Sanjay Kumar, Anna </w:t>
      </w:r>
      <w:proofErr w:type="spellStart"/>
      <w:r w:rsidRPr="000066C6">
        <w:rPr>
          <w:rFonts w:ascii="Arial" w:hAnsi="Arial" w:cs="Arial"/>
        </w:rPr>
        <w:t>Kurbatova</w:t>
      </w:r>
      <w:proofErr w:type="spellEnd"/>
      <w:r w:rsidRPr="000066C6">
        <w:rPr>
          <w:rFonts w:ascii="Arial" w:hAnsi="Arial" w:cs="Arial"/>
        </w:rPr>
        <w:t xml:space="preserve">. (2021). </w:t>
      </w:r>
      <w:r w:rsidRPr="000066C6">
        <w:rPr>
          <w:rFonts w:ascii="Arial" w:hAnsi="Arial" w:cs="Arial"/>
        </w:rPr>
        <w:lastRenderedPageBreak/>
        <w:t xml:space="preserve">Production of high </w:t>
      </w:r>
      <w:proofErr w:type="spellStart"/>
      <w:r w:rsidRPr="000066C6">
        <w:rPr>
          <w:rFonts w:ascii="Arial" w:hAnsi="Arial" w:cs="Arial"/>
        </w:rPr>
        <w:t>valueadded</w:t>
      </w:r>
      <w:proofErr w:type="spellEnd"/>
      <w:r w:rsidRPr="000066C6">
        <w:rPr>
          <w:rFonts w:ascii="Arial" w:hAnsi="Arial" w:cs="Arial"/>
        </w:rPr>
        <w:t xml:space="preserve"> biomolecules by microalgae cultivation in wastewater from anaerobic digestates of food waste: a review.  Biomass Conversion and Biorefinery</w:t>
      </w:r>
      <w:r w:rsidR="00C34E8E">
        <w:rPr>
          <w:rFonts w:ascii="Arial" w:hAnsi="Arial" w:cs="Arial"/>
        </w:rPr>
        <w:t>.</w:t>
      </w:r>
    </w:p>
    <w:p w14:paraId="662B45EE" w14:textId="2C13CB5D" w:rsidR="00F5258C" w:rsidRPr="000066C6" w:rsidRDefault="0078198E" w:rsidP="00C34E8E">
      <w:pPr>
        <w:widowControl w:val="0"/>
        <w:autoSpaceDE w:val="0"/>
        <w:autoSpaceDN w:val="0"/>
        <w:adjustRightInd w:val="0"/>
        <w:spacing w:line="360" w:lineRule="auto"/>
        <w:ind w:left="851"/>
        <w:jc w:val="both"/>
        <w:rPr>
          <w:rFonts w:ascii="Arial" w:hAnsi="Arial" w:cs="Arial"/>
          <w:noProof/>
        </w:rPr>
      </w:pPr>
      <w:hyperlink r:id="rId42" w:history="1">
        <w:r w:rsidRPr="000066C6">
          <w:rPr>
            <w:rStyle w:val="Hyperlink"/>
            <w:rFonts w:ascii="Arial" w:hAnsi="Arial" w:cs="Arial"/>
            <w:color w:val="auto"/>
            <w:u w:val="none"/>
          </w:rPr>
          <w:t>https://doi.org/10.1007/s13399-021-01906-y</w:t>
        </w:r>
      </w:hyperlink>
      <w:r w:rsidR="00F5258C" w:rsidRPr="000066C6">
        <w:rPr>
          <w:rFonts w:ascii="Arial" w:hAnsi="Arial" w:cs="Arial"/>
        </w:rPr>
        <w:t>.</w:t>
      </w:r>
    </w:p>
    <w:p w14:paraId="0681C12E" w14:textId="49629642"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Widiastuti, I. M. (2011). </w:t>
      </w:r>
      <w:r w:rsidR="004250E7" w:rsidRPr="000066C6">
        <w:rPr>
          <w:rFonts w:ascii="Arial" w:hAnsi="Arial" w:cs="Arial"/>
          <w:i/>
          <w:iCs/>
          <w:noProof/>
        </w:rPr>
        <w:t>Gracilaria verrucosa</w:t>
      </w:r>
      <w:r w:rsidR="004250E7" w:rsidRPr="000066C6">
        <w:rPr>
          <w:rFonts w:ascii="Arial" w:hAnsi="Arial" w:cs="Arial"/>
          <w:noProof/>
        </w:rPr>
        <w:t xml:space="preserve"> production cultivated in ponds with different seed weight and planting distance. </w:t>
      </w:r>
      <w:r w:rsidR="004250E7" w:rsidRPr="000066C6">
        <w:rPr>
          <w:rFonts w:ascii="Arial" w:hAnsi="Arial" w:cs="Arial"/>
          <w:i/>
          <w:iCs/>
          <w:noProof/>
        </w:rPr>
        <w:t>J. Agrisains</w:t>
      </w:r>
      <w:r w:rsidRPr="000066C6">
        <w:rPr>
          <w:rFonts w:ascii="Arial" w:hAnsi="Arial" w:cs="Arial"/>
          <w:noProof/>
        </w:rPr>
        <w:t xml:space="preserve">, </w:t>
      </w:r>
      <w:r w:rsidRPr="000066C6">
        <w:rPr>
          <w:rFonts w:ascii="Arial" w:hAnsi="Arial" w:cs="Arial"/>
          <w:i/>
          <w:iCs/>
          <w:noProof/>
        </w:rPr>
        <w:t>12</w:t>
      </w:r>
      <w:r w:rsidRPr="000066C6">
        <w:rPr>
          <w:rFonts w:ascii="Arial" w:hAnsi="Arial" w:cs="Arial"/>
          <w:noProof/>
        </w:rPr>
        <w:t>(1), 57–62.</w:t>
      </w:r>
    </w:p>
    <w:p w14:paraId="5B792227" w14:textId="574A6E29" w:rsidR="000066C6" w:rsidRPr="000066C6" w:rsidRDefault="000066C6"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r>
      <w:hyperlink r:id="rId43" w:history="1">
        <w:r w:rsidRPr="000066C6">
          <w:rPr>
            <w:rStyle w:val="Hyperlink"/>
            <w:rFonts w:ascii="Arial" w:hAnsi="Arial" w:cs="Arial"/>
            <w:noProof/>
            <w:color w:val="auto"/>
            <w:u w:val="none"/>
          </w:rPr>
          <w:t>https://download.garuda.kemdikbud.go.id</w:t>
        </w:r>
      </w:hyperlink>
      <w:r w:rsidRPr="000066C6">
        <w:rPr>
          <w:rFonts w:ascii="Arial" w:hAnsi="Arial" w:cs="Arial"/>
          <w:noProof/>
        </w:rPr>
        <w:t xml:space="preserve"> </w:t>
      </w:r>
    </w:p>
    <w:p w14:paraId="3ADCC359" w14:textId="339D9481"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Yulianto, B., Ario, R., &amp; Triono, A. (2006). </w:t>
      </w:r>
      <w:r w:rsidR="004250E7" w:rsidRPr="000066C6">
        <w:rPr>
          <w:rFonts w:ascii="Arial" w:hAnsi="Arial" w:cs="Arial"/>
          <w:noProof/>
        </w:rPr>
        <w:t>Seaweed (</w:t>
      </w:r>
      <w:r w:rsidR="004250E7" w:rsidRPr="000066C6">
        <w:rPr>
          <w:rFonts w:ascii="Arial" w:hAnsi="Arial" w:cs="Arial"/>
          <w:i/>
          <w:iCs/>
          <w:noProof/>
        </w:rPr>
        <w:t>Gracilaria</w:t>
      </w:r>
      <w:r w:rsidR="004250E7" w:rsidRPr="000066C6">
        <w:rPr>
          <w:rFonts w:ascii="Arial" w:hAnsi="Arial" w:cs="Arial"/>
          <w:noProof/>
        </w:rPr>
        <w:t xml:space="preserve"> sp.) Absorption Capacity of Heavy Metal Copper (Cu) as a Biofilter. </w:t>
      </w:r>
      <w:r w:rsidR="004250E7" w:rsidRPr="000066C6">
        <w:rPr>
          <w:rFonts w:ascii="Arial" w:hAnsi="Arial" w:cs="Arial"/>
          <w:i/>
          <w:iCs/>
          <w:noProof/>
        </w:rPr>
        <w:t>Marine Science</w:t>
      </w:r>
      <w:r w:rsidRPr="000066C6">
        <w:rPr>
          <w:rFonts w:ascii="Arial" w:hAnsi="Arial" w:cs="Arial"/>
          <w:noProof/>
        </w:rPr>
        <w:t xml:space="preserve">, </w:t>
      </w:r>
      <w:r w:rsidRPr="000066C6">
        <w:rPr>
          <w:rFonts w:ascii="Arial" w:hAnsi="Arial" w:cs="Arial"/>
          <w:i/>
          <w:iCs/>
          <w:noProof/>
        </w:rPr>
        <w:t>11</w:t>
      </w:r>
      <w:r w:rsidRPr="000066C6">
        <w:rPr>
          <w:rFonts w:ascii="Arial" w:hAnsi="Arial" w:cs="Arial"/>
          <w:noProof/>
        </w:rPr>
        <w:t>(2), 72–78.</w:t>
      </w:r>
    </w:p>
    <w:p w14:paraId="2F558EB8" w14:textId="722C031E" w:rsidR="000066C6" w:rsidRPr="000066C6" w:rsidRDefault="000066C6"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ab/>
        <w:t> </w:t>
      </w:r>
      <w:hyperlink r:id="rId44" w:history="1">
        <w:r w:rsidRPr="000066C6">
          <w:rPr>
            <w:rStyle w:val="Hyperlink"/>
            <w:rFonts w:ascii="Arial" w:hAnsi="Arial" w:cs="Arial"/>
            <w:noProof/>
            <w:color w:val="auto"/>
            <w:u w:val="none"/>
          </w:rPr>
          <w:t>https://doi.org/10.14710/ik.ijms.11.2.72-78</w:t>
        </w:r>
      </w:hyperlink>
    </w:p>
    <w:p w14:paraId="423F0BAB" w14:textId="2E925E79"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Yuniarsih, E., Nirmala, K., &amp; Radiarta, I. N. (2014b). </w:t>
      </w:r>
      <w:r w:rsidR="004250E7" w:rsidRPr="000066C6">
        <w:rPr>
          <w:rFonts w:ascii="Arial" w:hAnsi="Arial" w:cs="Arial"/>
          <w:noProof/>
        </w:rPr>
        <w:t xml:space="preserve">Nitrogen and Phosphorus Absorption Levels in Seaweed Cultivation Based on IMTA (Integrated Multi-Trophic Aquaculture) in Gerupuk Bay, Central Lombok, West Nusa Tenggara. </w:t>
      </w:r>
      <w:r w:rsidR="004250E7" w:rsidRPr="000066C6">
        <w:rPr>
          <w:rFonts w:ascii="Arial" w:hAnsi="Arial" w:cs="Arial"/>
          <w:i/>
          <w:iCs/>
          <w:noProof/>
        </w:rPr>
        <w:t>Journal of Aquaculture Research</w:t>
      </w:r>
      <w:r w:rsidRPr="000066C6">
        <w:rPr>
          <w:rFonts w:ascii="Arial" w:hAnsi="Arial" w:cs="Arial"/>
          <w:i/>
          <w:iCs/>
          <w:noProof/>
        </w:rPr>
        <w:t>,</w:t>
      </w:r>
      <w:r w:rsidRPr="000066C6">
        <w:rPr>
          <w:rFonts w:ascii="Arial" w:hAnsi="Arial" w:cs="Arial"/>
          <w:noProof/>
        </w:rPr>
        <w:t xml:space="preserve"> </w:t>
      </w:r>
      <w:r w:rsidRPr="000066C6">
        <w:rPr>
          <w:rFonts w:ascii="Arial" w:hAnsi="Arial" w:cs="Arial"/>
          <w:i/>
          <w:iCs/>
          <w:noProof/>
        </w:rPr>
        <w:t>9</w:t>
      </w:r>
      <w:r w:rsidRPr="000066C6">
        <w:rPr>
          <w:rFonts w:ascii="Arial" w:hAnsi="Arial" w:cs="Arial"/>
          <w:noProof/>
        </w:rPr>
        <w:t xml:space="preserve">(3), 487. </w:t>
      </w:r>
    </w:p>
    <w:p w14:paraId="07AF6CE7" w14:textId="77777777"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https://doi.org/10.15578/jra.9.3.2014.487-500</w:t>
      </w:r>
    </w:p>
    <w:p w14:paraId="6FF17BDC" w14:textId="77777777" w:rsidR="00C04128"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Zainuddin, F., &amp; Nofianti, T. (2022). Effect of Nutrient N And P on Seaweed Growth in Closed System Cultivation. </w:t>
      </w:r>
      <w:r w:rsidRPr="000066C6">
        <w:rPr>
          <w:rFonts w:ascii="Arial" w:hAnsi="Arial" w:cs="Arial"/>
          <w:i/>
          <w:iCs/>
          <w:noProof/>
        </w:rPr>
        <w:t>Jurnal Perikanan Unram</w:t>
      </w:r>
      <w:r w:rsidRPr="000066C6">
        <w:rPr>
          <w:rFonts w:ascii="Arial" w:hAnsi="Arial" w:cs="Arial"/>
          <w:noProof/>
        </w:rPr>
        <w:t xml:space="preserve">, </w:t>
      </w:r>
      <w:r w:rsidRPr="000066C6">
        <w:rPr>
          <w:rFonts w:ascii="Arial" w:hAnsi="Arial" w:cs="Arial"/>
          <w:i/>
          <w:iCs/>
          <w:noProof/>
        </w:rPr>
        <w:t>12</w:t>
      </w:r>
      <w:r w:rsidRPr="000066C6">
        <w:rPr>
          <w:rFonts w:ascii="Arial" w:hAnsi="Arial" w:cs="Arial"/>
          <w:noProof/>
        </w:rPr>
        <w:t xml:space="preserve">(1), 116–124. </w:t>
      </w:r>
    </w:p>
    <w:p w14:paraId="1E298BA1" w14:textId="77777777" w:rsidR="00C04128" w:rsidRPr="000066C6" w:rsidRDefault="00C04128"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https://doi.org/10.29303/jp.v12i1.279</w:t>
      </w:r>
    </w:p>
    <w:p w14:paraId="7168F5E4" w14:textId="77777777" w:rsidR="00A56561" w:rsidRPr="000066C6" w:rsidRDefault="00C04128" w:rsidP="00C34E8E">
      <w:pPr>
        <w:widowControl w:val="0"/>
        <w:autoSpaceDE w:val="0"/>
        <w:autoSpaceDN w:val="0"/>
        <w:adjustRightInd w:val="0"/>
        <w:spacing w:line="360" w:lineRule="auto"/>
        <w:ind w:left="851" w:hanging="993"/>
        <w:jc w:val="both"/>
        <w:rPr>
          <w:rFonts w:ascii="Arial" w:hAnsi="Arial" w:cs="Arial"/>
          <w:noProof/>
        </w:rPr>
      </w:pPr>
      <w:r w:rsidRPr="000066C6">
        <w:rPr>
          <w:rFonts w:ascii="Arial" w:hAnsi="Arial" w:cs="Arial"/>
          <w:noProof/>
        </w:rPr>
        <w:t xml:space="preserve">Zamroni, A., Nurlaili, N., &amp; Witomo, C. M. (2018). </w:t>
      </w:r>
      <w:r w:rsidR="004250E7" w:rsidRPr="000066C6">
        <w:rPr>
          <w:rFonts w:ascii="Arial" w:hAnsi="Arial" w:cs="Arial"/>
          <w:noProof/>
        </w:rPr>
        <w:t xml:space="preserve">Opportunities for Implementing the Blue Economy Concept in Fisheries Business in East Lombok Regency. </w:t>
      </w:r>
      <w:r w:rsidR="004250E7" w:rsidRPr="000066C6">
        <w:rPr>
          <w:rFonts w:ascii="Arial" w:hAnsi="Arial" w:cs="Arial"/>
          <w:i/>
          <w:iCs/>
          <w:noProof/>
        </w:rPr>
        <w:t>Marina Scientific Bulletin of Marine Socio-Economics and Fisheries</w:t>
      </w:r>
      <w:r w:rsidR="004250E7" w:rsidRPr="000066C6">
        <w:rPr>
          <w:rFonts w:ascii="Arial" w:hAnsi="Arial" w:cs="Arial"/>
          <w:noProof/>
        </w:rPr>
        <w:t>,</w:t>
      </w:r>
      <w:r w:rsidRPr="000066C6">
        <w:rPr>
          <w:rFonts w:ascii="Arial" w:hAnsi="Arial" w:cs="Arial"/>
          <w:noProof/>
        </w:rPr>
        <w:t xml:space="preserve"> </w:t>
      </w:r>
      <w:r w:rsidRPr="000066C6">
        <w:rPr>
          <w:rFonts w:ascii="Arial" w:hAnsi="Arial" w:cs="Arial"/>
          <w:i/>
          <w:iCs/>
          <w:noProof/>
        </w:rPr>
        <w:t>4</w:t>
      </w:r>
      <w:r w:rsidRPr="000066C6">
        <w:rPr>
          <w:rFonts w:ascii="Arial" w:hAnsi="Arial" w:cs="Arial"/>
          <w:noProof/>
        </w:rPr>
        <w:t xml:space="preserve">(2). </w:t>
      </w:r>
    </w:p>
    <w:p w14:paraId="1D8A2F2C" w14:textId="2DC68C4D" w:rsidR="0033484B" w:rsidRPr="000066C6" w:rsidRDefault="00A56561" w:rsidP="00C34E8E">
      <w:pPr>
        <w:widowControl w:val="0"/>
        <w:autoSpaceDE w:val="0"/>
        <w:autoSpaceDN w:val="0"/>
        <w:adjustRightInd w:val="0"/>
        <w:spacing w:line="360" w:lineRule="auto"/>
        <w:ind w:left="851"/>
        <w:jc w:val="both"/>
        <w:rPr>
          <w:rFonts w:ascii="Arial" w:hAnsi="Arial" w:cs="Arial"/>
          <w:noProof/>
        </w:rPr>
      </w:pPr>
      <w:r w:rsidRPr="000066C6">
        <w:rPr>
          <w:rFonts w:ascii="Arial" w:hAnsi="Arial" w:cs="Arial"/>
          <w:noProof/>
        </w:rPr>
        <w:t xml:space="preserve"> </w:t>
      </w:r>
      <w:r w:rsidR="00C04128" w:rsidRPr="000066C6">
        <w:rPr>
          <w:rFonts w:ascii="Arial" w:hAnsi="Arial" w:cs="Arial"/>
          <w:noProof/>
        </w:rPr>
        <w:t>https://doi.org/10.15578/marina.v4i2.7439</w:t>
      </w:r>
      <w:bookmarkEnd w:id="8"/>
    </w:p>
    <w:p w14:paraId="65D4EDF5" w14:textId="77777777" w:rsidR="00790ADA" w:rsidRPr="00C04128" w:rsidRDefault="00790ADA" w:rsidP="00C04128">
      <w:pPr>
        <w:pStyle w:val="Head1"/>
        <w:spacing w:after="0" w:line="360" w:lineRule="auto"/>
        <w:jc w:val="both"/>
        <w:rPr>
          <w:rFonts w:ascii="Arial" w:hAnsi="Arial" w:cs="Arial"/>
          <w:sz w:val="20"/>
        </w:rPr>
      </w:pPr>
    </w:p>
    <w:sectPr w:rsidR="00790ADA" w:rsidRPr="00C04128" w:rsidSect="0062556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6754" w14:textId="77777777" w:rsidR="00F0739C" w:rsidRDefault="00F0739C" w:rsidP="00C37E61">
      <w:r>
        <w:separator/>
      </w:r>
    </w:p>
  </w:endnote>
  <w:endnote w:type="continuationSeparator" w:id="0">
    <w:p w14:paraId="4A3674EF" w14:textId="77777777" w:rsidR="00F0739C" w:rsidRDefault="00F0739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2821" w14:textId="77777777" w:rsidR="00625564" w:rsidRDefault="00625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5E63" w14:textId="77777777" w:rsidR="00625564" w:rsidRDefault="00625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BD67" w14:textId="2F8A45DA" w:rsidR="00754C9A" w:rsidRPr="00625564" w:rsidRDefault="00754C9A" w:rsidP="00625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43C7" w14:textId="77777777" w:rsidR="00F0739C" w:rsidRDefault="00F0739C" w:rsidP="00C37E61">
      <w:r>
        <w:separator/>
      </w:r>
    </w:p>
  </w:footnote>
  <w:footnote w:type="continuationSeparator" w:id="0">
    <w:p w14:paraId="3DF46E12" w14:textId="77777777" w:rsidR="00F0739C" w:rsidRDefault="00F0739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9725" w14:textId="09449FB5" w:rsidR="00625564" w:rsidRDefault="00000000">
    <w:pPr>
      <w:pStyle w:val="Header"/>
    </w:pPr>
    <w:r>
      <w:rPr>
        <w:noProof/>
      </w:rPr>
      <w:pict w14:anchorId="40549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710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AE15" w14:textId="2FF218DD" w:rsidR="00625564" w:rsidRDefault="00000000">
    <w:pPr>
      <w:pStyle w:val="Header"/>
    </w:pPr>
    <w:r>
      <w:rPr>
        <w:noProof/>
      </w:rPr>
      <w:pict w14:anchorId="6465C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710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D9EC" w14:textId="09CD714E" w:rsidR="00296529" w:rsidRPr="00296529" w:rsidRDefault="00000000" w:rsidP="00296529">
    <w:pPr>
      <w:ind w:left="2160"/>
      <w:jc w:val="center"/>
      <w:rPr>
        <w:rFonts w:ascii="Times New Roman" w:eastAsia="Calibri" w:hAnsi="Times New Roman"/>
        <w:i/>
        <w:sz w:val="18"/>
        <w:szCs w:val="22"/>
      </w:rPr>
    </w:pPr>
    <w:r>
      <w:rPr>
        <w:noProof/>
      </w:rPr>
      <w:pict w14:anchorId="4350B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710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E2AFC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21510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2D9AE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9CA6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B5DFE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F5A9A3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431FB9"/>
    <w:multiLevelType w:val="hybridMultilevel"/>
    <w:tmpl w:val="5CAED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A11F7"/>
    <w:multiLevelType w:val="hybridMultilevel"/>
    <w:tmpl w:val="FE62C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1F2E74"/>
    <w:multiLevelType w:val="hybridMultilevel"/>
    <w:tmpl w:val="9AFA04C4"/>
    <w:lvl w:ilvl="0" w:tplc="04C0A72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15:restartNumberingAfterBreak="0">
    <w:nsid w:val="52973B06"/>
    <w:multiLevelType w:val="hybridMultilevel"/>
    <w:tmpl w:val="ACE8C00C"/>
    <w:lvl w:ilvl="0" w:tplc="E56C25B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73152"/>
    <w:multiLevelType w:val="hybridMultilevel"/>
    <w:tmpl w:val="55A28296"/>
    <w:lvl w:ilvl="0" w:tplc="011E5898">
      <w:start w:val="1"/>
      <w:numFmt w:val="decimal"/>
      <w:lvlText w:val="%1)"/>
      <w:lvlJc w:val="left"/>
      <w:pPr>
        <w:ind w:left="720" w:hanging="360"/>
      </w:pPr>
      <w:rPr>
        <w:rFonts w:ascii="Times New Roman" w:hAnsi="Times New Roman" w:cs="Times New Roman" w:hint="default"/>
        <w:b/>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719442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6008962">
    <w:abstractNumId w:val="17"/>
  </w:num>
  <w:num w:numId="3" w16cid:durableId="98836076">
    <w:abstractNumId w:val="28"/>
  </w:num>
  <w:num w:numId="4" w16cid:durableId="17629925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75787797">
    <w:abstractNumId w:val="9"/>
  </w:num>
  <w:num w:numId="6" w16cid:durableId="1634016608">
    <w:abstractNumId w:val="6"/>
  </w:num>
  <w:num w:numId="7" w16cid:durableId="240794697">
    <w:abstractNumId w:val="1"/>
  </w:num>
  <w:num w:numId="8" w16cid:durableId="1388605768">
    <w:abstractNumId w:val="14"/>
  </w:num>
  <w:num w:numId="9" w16cid:durableId="1184898155">
    <w:abstractNumId w:val="30"/>
  </w:num>
  <w:num w:numId="10" w16cid:durableId="615143053">
    <w:abstractNumId w:val="2"/>
  </w:num>
  <w:num w:numId="11" w16cid:durableId="1607692511">
    <w:abstractNumId w:val="23"/>
  </w:num>
  <w:num w:numId="12" w16cid:durableId="1681271117">
    <w:abstractNumId w:val="3"/>
  </w:num>
  <w:num w:numId="13" w16cid:durableId="108159998">
    <w:abstractNumId w:val="22"/>
  </w:num>
  <w:num w:numId="14" w16cid:durableId="722412011">
    <w:abstractNumId w:val="10"/>
  </w:num>
  <w:num w:numId="15" w16cid:durableId="853344853">
    <w:abstractNumId w:val="26"/>
  </w:num>
  <w:num w:numId="16" w16cid:durableId="1587105225">
    <w:abstractNumId w:val="5"/>
  </w:num>
  <w:num w:numId="17" w16cid:durableId="1395660209">
    <w:abstractNumId w:val="27"/>
  </w:num>
  <w:num w:numId="18" w16cid:durableId="1526821316">
    <w:abstractNumId w:val="16"/>
  </w:num>
  <w:num w:numId="19" w16cid:durableId="1156141194">
    <w:abstractNumId w:val="33"/>
  </w:num>
  <w:num w:numId="20" w16cid:durableId="1685746332">
    <w:abstractNumId w:val="13"/>
  </w:num>
  <w:num w:numId="21" w16cid:durableId="1283993839">
    <w:abstractNumId w:val="11"/>
  </w:num>
  <w:num w:numId="22" w16cid:durableId="859855426">
    <w:abstractNumId w:val="15"/>
  </w:num>
  <w:num w:numId="23" w16cid:durableId="1783499449">
    <w:abstractNumId w:val="24"/>
  </w:num>
  <w:num w:numId="24" w16cid:durableId="627471765">
    <w:abstractNumId w:val="31"/>
  </w:num>
  <w:num w:numId="25" w16cid:durableId="819150529">
    <w:abstractNumId w:val="4"/>
  </w:num>
  <w:num w:numId="26" w16cid:durableId="1350059170">
    <w:abstractNumId w:val="20"/>
  </w:num>
  <w:num w:numId="27" w16cid:durableId="1422486113">
    <w:abstractNumId w:val="25"/>
  </w:num>
  <w:num w:numId="28" w16cid:durableId="972636125">
    <w:abstractNumId w:val="32"/>
  </w:num>
  <w:num w:numId="29" w16cid:durableId="395321506">
    <w:abstractNumId w:val="29"/>
  </w:num>
  <w:num w:numId="30" w16cid:durableId="957761221">
    <w:abstractNumId w:val="12"/>
  </w:num>
  <w:num w:numId="31" w16cid:durableId="324361286">
    <w:abstractNumId w:val="18"/>
  </w:num>
  <w:num w:numId="32" w16cid:durableId="1793859929">
    <w:abstractNumId w:val="19"/>
  </w:num>
  <w:num w:numId="33" w16cid:durableId="1525553804">
    <w:abstractNumId w:val="7"/>
  </w:num>
  <w:num w:numId="34" w16cid:durableId="815992188">
    <w:abstractNumId w:val="8"/>
  </w:num>
  <w:num w:numId="35" w16cid:durableId="18050767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6C6"/>
    <w:rsid w:val="00030174"/>
    <w:rsid w:val="0004579C"/>
    <w:rsid w:val="000961C4"/>
    <w:rsid w:val="000A47FA"/>
    <w:rsid w:val="000A65D3"/>
    <w:rsid w:val="000A7929"/>
    <w:rsid w:val="000B1E33"/>
    <w:rsid w:val="000D689F"/>
    <w:rsid w:val="000E7B7B"/>
    <w:rsid w:val="000E7D62"/>
    <w:rsid w:val="00103357"/>
    <w:rsid w:val="001121F9"/>
    <w:rsid w:val="00123C9F"/>
    <w:rsid w:val="00126190"/>
    <w:rsid w:val="00130F17"/>
    <w:rsid w:val="001320BF"/>
    <w:rsid w:val="00135B8E"/>
    <w:rsid w:val="001526A2"/>
    <w:rsid w:val="00163BC4"/>
    <w:rsid w:val="00191062"/>
    <w:rsid w:val="00192B72"/>
    <w:rsid w:val="001A29D8"/>
    <w:rsid w:val="001A5CAA"/>
    <w:rsid w:val="001B0427"/>
    <w:rsid w:val="001C543E"/>
    <w:rsid w:val="001D251A"/>
    <w:rsid w:val="001D3A51"/>
    <w:rsid w:val="001E10D2"/>
    <w:rsid w:val="001E25B4"/>
    <w:rsid w:val="001E44FE"/>
    <w:rsid w:val="00200595"/>
    <w:rsid w:val="00204835"/>
    <w:rsid w:val="002056CC"/>
    <w:rsid w:val="002168A7"/>
    <w:rsid w:val="002223A5"/>
    <w:rsid w:val="00231920"/>
    <w:rsid w:val="0023195C"/>
    <w:rsid w:val="0024282C"/>
    <w:rsid w:val="002460DC"/>
    <w:rsid w:val="00250985"/>
    <w:rsid w:val="00255110"/>
    <w:rsid w:val="002556F6"/>
    <w:rsid w:val="00283105"/>
    <w:rsid w:val="00284C4C"/>
    <w:rsid w:val="00287E68"/>
    <w:rsid w:val="00296529"/>
    <w:rsid w:val="002B27FB"/>
    <w:rsid w:val="002B685A"/>
    <w:rsid w:val="002C57D2"/>
    <w:rsid w:val="002D71B7"/>
    <w:rsid w:val="002E0D56"/>
    <w:rsid w:val="00312134"/>
    <w:rsid w:val="00315186"/>
    <w:rsid w:val="0033343E"/>
    <w:rsid w:val="0033484B"/>
    <w:rsid w:val="0033634B"/>
    <w:rsid w:val="003512C2"/>
    <w:rsid w:val="00371FB6"/>
    <w:rsid w:val="003763C1"/>
    <w:rsid w:val="00376BBE"/>
    <w:rsid w:val="0039224F"/>
    <w:rsid w:val="00396B41"/>
    <w:rsid w:val="003A43A4"/>
    <w:rsid w:val="003A7E18"/>
    <w:rsid w:val="003C4C86"/>
    <w:rsid w:val="003C6258"/>
    <w:rsid w:val="003E2904"/>
    <w:rsid w:val="00401927"/>
    <w:rsid w:val="0041027F"/>
    <w:rsid w:val="00412475"/>
    <w:rsid w:val="00423789"/>
    <w:rsid w:val="004250E7"/>
    <w:rsid w:val="00432196"/>
    <w:rsid w:val="00440F43"/>
    <w:rsid w:val="00441B6F"/>
    <w:rsid w:val="00446221"/>
    <w:rsid w:val="00450E62"/>
    <w:rsid w:val="004539DB"/>
    <w:rsid w:val="00471A80"/>
    <w:rsid w:val="004B3FE0"/>
    <w:rsid w:val="004D305E"/>
    <w:rsid w:val="004D348B"/>
    <w:rsid w:val="004D4277"/>
    <w:rsid w:val="004D6F0F"/>
    <w:rsid w:val="004E47E5"/>
    <w:rsid w:val="004F6E86"/>
    <w:rsid w:val="00502516"/>
    <w:rsid w:val="00505F06"/>
    <w:rsid w:val="00506828"/>
    <w:rsid w:val="0053056E"/>
    <w:rsid w:val="00554FDA"/>
    <w:rsid w:val="0055706A"/>
    <w:rsid w:val="00562B4E"/>
    <w:rsid w:val="005A717F"/>
    <w:rsid w:val="005C784C"/>
    <w:rsid w:val="005D17F6"/>
    <w:rsid w:val="005E5539"/>
    <w:rsid w:val="005F611C"/>
    <w:rsid w:val="00602BF5"/>
    <w:rsid w:val="00617FDD"/>
    <w:rsid w:val="00625564"/>
    <w:rsid w:val="00633614"/>
    <w:rsid w:val="00633F68"/>
    <w:rsid w:val="00636EB2"/>
    <w:rsid w:val="006375B8"/>
    <w:rsid w:val="006438BA"/>
    <w:rsid w:val="0066510A"/>
    <w:rsid w:val="00670109"/>
    <w:rsid w:val="00673F9F"/>
    <w:rsid w:val="00686953"/>
    <w:rsid w:val="00687DEA"/>
    <w:rsid w:val="00687E67"/>
    <w:rsid w:val="006967F7"/>
    <w:rsid w:val="006A250C"/>
    <w:rsid w:val="006B21D3"/>
    <w:rsid w:val="006B57D0"/>
    <w:rsid w:val="006D30FF"/>
    <w:rsid w:val="006D6940"/>
    <w:rsid w:val="006F11EC"/>
    <w:rsid w:val="006F17A5"/>
    <w:rsid w:val="0070082C"/>
    <w:rsid w:val="00705353"/>
    <w:rsid w:val="0071009E"/>
    <w:rsid w:val="007369E6"/>
    <w:rsid w:val="0074272C"/>
    <w:rsid w:val="00746E59"/>
    <w:rsid w:val="00754C9A"/>
    <w:rsid w:val="0075599A"/>
    <w:rsid w:val="00761A35"/>
    <w:rsid w:val="00761D52"/>
    <w:rsid w:val="0077749E"/>
    <w:rsid w:val="0078198E"/>
    <w:rsid w:val="00790ADA"/>
    <w:rsid w:val="007A4E87"/>
    <w:rsid w:val="007D2288"/>
    <w:rsid w:val="007E088F"/>
    <w:rsid w:val="007E63B7"/>
    <w:rsid w:val="007F04CE"/>
    <w:rsid w:val="007F7B32"/>
    <w:rsid w:val="00804BC2"/>
    <w:rsid w:val="0081431A"/>
    <w:rsid w:val="008253D2"/>
    <w:rsid w:val="0083216F"/>
    <w:rsid w:val="008469E3"/>
    <w:rsid w:val="00860000"/>
    <w:rsid w:val="00860F3B"/>
    <w:rsid w:val="00863BD3"/>
    <w:rsid w:val="008641ED"/>
    <w:rsid w:val="00866D66"/>
    <w:rsid w:val="008671C6"/>
    <w:rsid w:val="00870D39"/>
    <w:rsid w:val="00875803"/>
    <w:rsid w:val="008A3EE8"/>
    <w:rsid w:val="008B459E"/>
    <w:rsid w:val="008C2625"/>
    <w:rsid w:val="008E13AE"/>
    <w:rsid w:val="008E1506"/>
    <w:rsid w:val="008E710C"/>
    <w:rsid w:val="008E71D1"/>
    <w:rsid w:val="008F69D6"/>
    <w:rsid w:val="00902823"/>
    <w:rsid w:val="00915CA6"/>
    <w:rsid w:val="00927834"/>
    <w:rsid w:val="009455E7"/>
    <w:rsid w:val="009500A6"/>
    <w:rsid w:val="00957614"/>
    <w:rsid w:val="00957C18"/>
    <w:rsid w:val="009659BA"/>
    <w:rsid w:val="00983040"/>
    <w:rsid w:val="0099206D"/>
    <w:rsid w:val="00995ABD"/>
    <w:rsid w:val="009B21AF"/>
    <w:rsid w:val="009B3FB9"/>
    <w:rsid w:val="009B53E7"/>
    <w:rsid w:val="009C2465"/>
    <w:rsid w:val="009D35A0"/>
    <w:rsid w:val="009D7EB7"/>
    <w:rsid w:val="009E048A"/>
    <w:rsid w:val="009E08E9"/>
    <w:rsid w:val="009E199F"/>
    <w:rsid w:val="009E3DB9"/>
    <w:rsid w:val="009E6E35"/>
    <w:rsid w:val="009F0EDA"/>
    <w:rsid w:val="00A03B96"/>
    <w:rsid w:val="00A05B19"/>
    <w:rsid w:val="00A1134E"/>
    <w:rsid w:val="00A24E7E"/>
    <w:rsid w:val="00A258C3"/>
    <w:rsid w:val="00A347C0"/>
    <w:rsid w:val="00A41F77"/>
    <w:rsid w:val="00A51431"/>
    <w:rsid w:val="00A539AD"/>
    <w:rsid w:val="00A56561"/>
    <w:rsid w:val="00A658C7"/>
    <w:rsid w:val="00A771EF"/>
    <w:rsid w:val="00A92F14"/>
    <w:rsid w:val="00A94063"/>
    <w:rsid w:val="00AA0210"/>
    <w:rsid w:val="00AA6219"/>
    <w:rsid w:val="00AA74E0"/>
    <w:rsid w:val="00AB703F"/>
    <w:rsid w:val="00AC3D2D"/>
    <w:rsid w:val="00AC6BB8"/>
    <w:rsid w:val="00AE008F"/>
    <w:rsid w:val="00AF3B1E"/>
    <w:rsid w:val="00B01FCD"/>
    <w:rsid w:val="00B1776C"/>
    <w:rsid w:val="00B42BC1"/>
    <w:rsid w:val="00B52583"/>
    <w:rsid w:val="00B52896"/>
    <w:rsid w:val="00B758C5"/>
    <w:rsid w:val="00B94EA7"/>
    <w:rsid w:val="00B95236"/>
    <w:rsid w:val="00B9679F"/>
    <w:rsid w:val="00B96BD9"/>
    <w:rsid w:val="00BA1B01"/>
    <w:rsid w:val="00BA2641"/>
    <w:rsid w:val="00BB37AA"/>
    <w:rsid w:val="00BC53A0"/>
    <w:rsid w:val="00BD4B81"/>
    <w:rsid w:val="00BE62AD"/>
    <w:rsid w:val="00BF121F"/>
    <w:rsid w:val="00BF1F80"/>
    <w:rsid w:val="00C04128"/>
    <w:rsid w:val="00C166EF"/>
    <w:rsid w:val="00C17EB0"/>
    <w:rsid w:val="00C27F5F"/>
    <w:rsid w:val="00C30A0F"/>
    <w:rsid w:val="00C34E8E"/>
    <w:rsid w:val="00C37E61"/>
    <w:rsid w:val="00C70F1B"/>
    <w:rsid w:val="00C71A47"/>
    <w:rsid w:val="00C7464C"/>
    <w:rsid w:val="00C83087"/>
    <w:rsid w:val="00C85588"/>
    <w:rsid w:val="00CA4ADB"/>
    <w:rsid w:val="00CB379B"/>
    <w:rsid w:val="00CD53AA"/>
    <w:rsid w:val="00CD6755"/>
    <w:rsid w:val="00CD6856"/>
    <w:rsid w:val="00CE0089"/>
    <w:rsid w:val="00CE793C"/>
    <w:rsid w:val="00CF193C"/>
    <w:rsid w:val="00D173F1"/>
    <w:rsid w:val="00D42CCA"/>
    <w:rsid w:val="00D74CB0"/>
    <w:rsid w:val="00D8295D"/>
    <w:rsid w:val="00DA428F"/>
    <w:rsid w:val="00DC2A65"/>
    <w:rsid w:val="00DE15F0"/>
    <w:rsid w:val="00DE5663"/>
    <w:rsid w:val="00DE78AA"/>
    <w:rsid w:val="00E053D0"/>
    <w:rsid w:val="00E15994"/>
    <w:rsid w:val="00E3114E"/>
    <w:rsid w:val="00E31A70"/>
    <w:rsid w:val="00E35B02"/>
    <w:rsid w:val="00E620CF"/>
    <w:rsid w:val="00E66496"/>
    <w:rsid w:val="00E66B35"/>
    <w:rsid w:val="00E66E10"/>
    <w:rsid w:val="00E769F6"/>
    <w:rsid w:val="00E8407C"/>
    <w:rsid w:val="00E84F3C"/>
    <w:rsid w:val="00EA012C"/>
    <w:rsid w:val="00EC04B8"/>
    <w:rsid w:val="00EC13D1"/>
    <w:rsid w:val="00EC6A55"/>
    <w:rsid w:val="00ED0288"/>
    <w:rsid w:val="00ED3520"/>
    <w:rsid w:val="00EE52CB"/>
    <w:rsid w:val="00EF581D"/>
    <w:rsid w:val="00EF7FD8"/>
    <w:rsid w:val="00F06F59"/>
    <w:rsid w:val="00F0739C"/>
    <w:rsid w:val="00F11A1D"/>
    <w:rsid w:val="00F17988"/>
    <w:rsid w:val="00F469F0"/>
    <w:rsid w:val="00F5258C"/>
    <w:rsid w:val="00F53273"/>
    <w:rsid w:val="00F63355"/>
    <w:rsid w:val="00F72DA8"/>
    <w:rsid w:val="00F755E4"/>
    <w:rsid w:val="00F76E58"/>
    <w:rsid w:val="00F77D02"/>
    <w:rsid w:val="00FB3A86"/>
    <w:rsid w:val="00FD36C8"/>
    <w:rsid w:val="00FE0241"/>
    <w:rsid w:val="00FF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7AD5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AF3B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FootnoteReference">
    <w:name w:val="footnote reference"/>
    <w:basedOn w:val="DefaultParagraphFont"/>
    <w:uiPriority w:val="99"/>
    <w:semiHidden/>
    <w:unhideWhenUsed/>
    <w:rsid w:val="005F611C"/>
    <w:rPr>
      <w:vertAlign w:val="superscript"/>
    </w:rPr>
  </w:style>
  <w:style w:type="character" w:customStyle="1" w:styleId="Heading2Char">
    <w:name w:val="Heading 2 Char"/>
    <w:basedOn w:val="DefaultParagraphFont"/>
    <w:link w:val="Heading2"/>
    <w:semiHidden/>
    <w:rsid w:val="00AF3B1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33484B"/>
    <w:pPr>
      <w:spacing w:after="120"/>
    </w:pPr>
  </w:style>
  <w:style w:type="character" w:customStyle="1" w:styleId="BodyTextChar">
    <w:name w:val="Body Text Char"/>
    <w:basedOn w:val="DefaultParagraphFont"/>
    <w:link w:val="BodyText"/>
    <w:rsid w:val="0033484B"/>
    <w:rPr>
      <w:rFonts w:ascii="Helvetica" w:hAnsi="Helvetica"/>
    </w:rPr>
  </w:style>
  <w:style w:type="character" w:customStyle="1" w:styleId="DaftarPustakaChar">
    <w:name w:val="Daftar Pustaka Char"/>
    <w:link w:val="DaftarPustaka"/>
    <w:rsid w:val="00FF11F4"/>
    <w:rPr>
      <w:sz w:val="24"/>
      <w:szCs w:val="24"/>
      <w:lang w:eastAsia="ja-JP"/>
    </w:rPr>
  </w:style>
  <w:style w:type="paragraph" w:customStyle="1" w:styleId="DaftarPustaka">
    <w:name w:val="Daftar Pustaka"/>
    <w:basedOn w:val="Normal"/>
    <w:link w:val="DaftarPustakaChar"/>
    <w:qFormat/>
    <w:rsid w:val="00FF11F4"/>
    <w:pPr>
      <w:ind w:left="284" w:hanging="284"/>
      <w:jc w:val="both"/>
    </w:pPr>
    <w:rPr>
      <w:rFonts w:ascii="Times New Roman" w:hAnsi="Times New Roman"/>
      <w:sz w:val="24"/>
      <w:szCs w:val="24"/>
      <w:lang w:eastAsia="ja-JP"/>
    </w:rPr>
  </w:style>
  <w:style w:type="paragraph" w:styleId="ListParagraph">
    <w:name w:val="List Paragraph"/>
    <w:basedOn w:val="Normal"/>
    <w:link w:val="ListParagraphChar"/>
    <w:uiPriority w:val="34"/>
    <w:qFormat/>
    <w:rsid w:val="002D71B7"/>
    <w:pPr>
      <w:spacing w:after="160" w:line="259" w:lineRule="auto"/>
      <w:ind w:left="720"/>
      <w:contextualSpacing/>
    </w:pPr>
    <w:rPr>
      <w:rFonts w:ascii="Times New Roman" w:eastAsia="SimSun" w:hAnsi="Times New Roman"/>
      <w:sz w:val="22"/>
      <w:szCs w:val="22"/>
      <w:lang w:val="id-ID"/>
    </w:rPr>
  </w:style>
  <w:style w:type="character" w:customStyle="1" w:styleId="ListParagraphChar">
    <w:name w:val="List Paragraph Char"/>
    <w:link w:val="ListParagraph"/>
    <w:uiPriority w:val="34"/>
    <w:rsid w:val="002D71B7"/>
    <w:rPr>
      <w:rFonts w:eastAsia="SimSun"/>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17584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189383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10076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1909371">
      <w:bodyDiv w:val="1"/>
      <w:marLeft w:val="0"/>
      <w:marRight w:val="0"/>
      <w:marTop w:val="0"/>
      <w:marBottom w:val="0"/>
      <w:divBdr>
        <w:top w:val="none" w:sz="0" w:space="0" w:color="auto"/>
        <w:left w:val="none" w:sz="0" w:space="0" w:color="auto"/>
        <w:bottom w:val="none" w:sz="0" w:space="0" w:color="auto"/>
        <w:right w:val="none" w:sz="0" w:space="0" w:color="auto"/>
      </w:divBdr>
    </w:div>
    <w:div w:id="92283628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8929283">
      <w:bodyDiv w:val="1"/>
      <w:marLeft w:val="0"/>
      <w:marRight w:val="0"/>
      <w:marTop w:val="0"/>
      <w:marBottom w:val="0"/>
      <w:divBdr>
        <w:top w:val="none" w:sz="0" w:space="0" w:color="auto"/>
        <w:left w:val="none" w:sz="0" w:space="0" w:color="auto"/>
        <w:bottom w:val="none" w:sz="0" w:space="0" w:color="auto"/>
        <w:right w:val="none" w:sz="0" w:space="0" w:color="auto"/>
      </w:divBdr>
    </w:div>
    <w:div w:id="1448233182">
      <w:bodyDiv w:val="1"/>
      <w:marLeft w:val="0"/>
      <w:marRight w:val="0"/>
      <w:marTop w:val="0"/>
      <w:marBottom w:val="0"/>
      <w:divBdr>
        <w:top w:val="none" w:sz="0" w:space="0" w:color="auto"/>
        <w:left w:val="none" w:sz="0" w:space="0" w:color="auto"/>
        <w:bottom w:val="none" w:sz="0" w:space="0" w:color="auto"/>
        <w:right w:val="none" w:sz="0" w:space="0" w:color="auto"/>
      </w:divBdr>
    </w:div>
    <w:div w:id="154050574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yperlink" Target="http://dx.doi.org/10.15578/jra.9.1.2014.125-134" TargetMode="External"/><Relationship Id="rId39" Type="http://schemas.openxmlformats.org/officeDocument/2006/relationships/hyperlink" Target="https://doi.org/10.55113/fwj.v4i1.1901" TargetMode="External"/><Relationship Id="rId21" Type="http://schemas.openxmlformats.org/officeDocument/2006/relationships/hyperlink" Target="https://doi.org/10.29244/jitkt.v7i1.9812" TargetMode="External"/><Relationship Id="rId34" Type="http://schemas.openxmlformats.org/officeDocument/2006/relationships/hyperlink" Target="https://www.scopus.com/record/display.uri?eid=2-s2.0-85169005306&amp;origin=recordpage" TargetMode="External"/><Relationship Id="rId42" Type="http://schemas.openxmlformats.org/officeDocument/2006/relationships/hyperlink" Target="https://doi.org/10.1007/s13399-021-01906-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https://www.scopus.com/authid/detail.uri?authorId=57205552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opus.com/authid/detail.uri?authorId=57243856400" TargetMode="External"/><Relationship Id="rId32" Type="http://schemas.openxmlformats.org/officeDocument/2006/relationships/hyperlink" Target="https://doi.org/10.1079/9781800621954.0013" TargetMode="External"/><Relationship Id="rId37" Type="http://schemas.openxmlformats.org/officeDocument/2006/relationships/hyperlink" Target="https://doi.org/10.26618/octopus.v5i2.724" TargetMode="External"/><Relationship Id="rId40" Type="http://schemas.openxmlformats.org/officeDocument/2006/relationships/hyperlink" Target="https://doi.org/10.12911/22998993/17417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www.scopus.com/authid/detail.uri?authorId=36008882200" TargetMode="External"/><Relationship Id="rId28" Type="http://schemas.openxmlformats.org/officeDocument/2006/relationships/hyperlink" Target="https://www.scopus.com/authid/detail.uri?authorId=57243856400" TargetMode="External"/><Relationship Id="rId36" Type="http://schemas.openxmlformats.org/officeDocument/2006/relationships/hyperlink" Target="https://doi.org/10.1039/C5NR00030K" TargetMode="External"/><Relationship Id="rId10" Type="http://schemas.openxmlformats.org/officeDocument/2006/relationships/footer" Target="footer1.xml"/><Relationship Id="rId19" Type="http://schemas.openxmlformats.org/officeDocument/2006/relationships/hyperlink" Target="https://doi.org/10.29244/jppt.v5i2.38719" TargetMode="External"/><Relationship Id="rId31" Type="http://schemas.openxmlformats.org/officeDocument/2006/relationships/hyperlink" Target="https://www.scopus.com/authid/detail.uri?authorId=25628784900" TargetMode="External"/><Relationship Id="rId44" Type="http://schemas.openxmlformats.org/officeDocument/2006/relationships/hyperlink" Target="https://doi.org/10.14710/ik.ijms.11.2.72-7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s://doi.org/10.34001/jdpt.v6i1.193" TargetMode="External"/><Relationship Id="rId27" Type="http://schemas.openxmlformats.org/officeDocument/2006/relationships/hyperlink" Target="https://doi.org/10.22487/j24775185.2016.v5.i1.7998" TargetMode="External"/><Relationship Id="rId30" Type="http://schemas.openxmlformats.org/officeDocument/2006/relationships/hyperlink" Target="https://www.scopus.com/authid/detail.uri?authorId=56763998200" TargetMode="External"/><Relationship Id="rId35" Type="http://schemas.openxmlformats.org/officeDocument/2006/relationships/hyperlink" Target="https://doi.org/10.1002/9781119808428.ch11" TargetMode="External"/><Relationship Id="rId43" Type="http://schemas.openxmlformats.org/officeDocument/2006/relationships/hyperlink" Target="https://download.garuda.kemdikbud.go.id"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yperlink" Target="https://www.scopus.com/record/display.uri?eid=2-s2.0-84930150566&amp;origin=recordpage" TargetMode="External"/><Relationship Id="rId33" Type="http://schemas.openxmlformats.org/officeDocument/2006/relationships/hyperlink" Target="https://www.scopus.com/authid/detail.uri?authorId=56399005800" TargetMode="External"/><Relationship Id="rId38" Type="http://schemas.openxmlformats.org/officeDocument/2006/relationships/hyperlink" Target="https://dx.doi.org/10.21608/ejabf.2024.369537" TargetMode="External"/><Relationship Id="rId46" Type="http://schemas.openxmlformats.org/officeDocument/2006/relationships/theme" Target="theme/theme1.xml"/><Relationship Id="rId20" Type="http://schemas.openxmlformats.org/officeDocument/2006/relationships/hyperlink" Target="https://doi.org/10.29303/jbt.v25i1.7955" TargetMode="External"/><Relationship Id="rId41" Type="http://schemas.openxmlformats.org/officeDocument/2006/relationships/hyperlink" Target="https://doi.org/10.1007/s43939-024-00161-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B560-299B-4CBA-9816-F833D24C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321</TotalTime>
  <Pages>16</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41806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20</cp:revision>
  <cp:lastPrinted>1999-07-06T11:00:00Z</cp:lastPrinted>
  <dcterms:created xsi:type="dcterms:W3CDTF">2025-05-20T08:57:00Z</dcterms:created>
  <dcterms:modified xsi:type="dcterms:W3CDTF">2025-07-07T08:34:00Z</dcterms:modified>
</cp:coreProperties>
</file>