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392" w:rsidRDefault="00902B7D">
      <w:pPr>
        <w:spacing w:after="0"/>
        <w:jc w:val="right"/>
        <w:rPr>
          <w:rFonts w:ascii="Arial" w:eastAsia="Arial" w:hAnsi="Arial" w:cs="Arial"/>
          <w:b/>
          <w:sz w:val="36"/>
          <w:szCs w:val="36"/>
        </w:rPr>
      </w:pPr>
      <w:r>
        <w:rPr>
          <w:rFonts w:ascii="Arial" w:eastAsia="Arial" w:hAnsi="Arial" w:cs="Arial"/>
          <w:b/>
          <w:sz w:val="36"/>
          <w:szCs w:val="36"/>
        </w:rPr>
        <w:t>Financial Literacy of College Students</w:t>
      </w:r>
    </w:p>
    <w:p w:rsidR="00DA2392" w:rsidRDefault="00902B7D">
      <w:pPr>
        <w:spacing w:after="0"/>
        <w:rPr>
          <w:rFonts w:ascii="Arial" w:eastAsia="Arial" w:hAnsi="Arial" w:cs="Arial"/>
          <w:b/>
          <w:smallCaps/>
          <w:color w:val="000000"/>
        </w:rPr>
      </w:pPr>
      <w:r>
        <w:rPr>
          <w:noProof/>
        </w:rPr>
        <mc:AlternateContent>
          <mc:Choice Requires="wpg">
            <w:drawing>
              <wp:anchor distT="0" distB="0" distL="0" distR="0" simplePos="0" relativeHeight="251658240" behindDoc="0" locked="0" layoutInCell="1" hidden="0" allowOverlap="1">
                <wp:simplePos x="0" y="0"/>
                <wp:positionH relativeFrom="column">
                  <wp:posOffset>0</wp:posOffset>
                </wp:positionH>
                <wp:positionV relativeFrom="paragraph">
                  <wp:posOffset>177800</wp:posOffset>
                </wp:positionV>
                <wp:extent cx="5231130" cy="37465"/>
                <wp:effectExtent l="0" t="0" r="0" b="0"/>
                <wp:wrapTopAndBottom distT="0" distB="0"/>
                <wp:docPr id="4" name="Straight Arrow Connector 4"/>
                <wp:cNvGraphicFramePr/>
                <a:graphic xmlns:a="http://schemas.openxmlformats.org/drawingml/2006/main">
                  <a:graphicData uri="http://schemas.microsoft.com/office/word/2010/wordprocessingShape">
                    <wps:wsp>
                      <wps:cNvCnPr/>
                      <wps:spPr>
                        <a:xfrm>
                          <a:off x="2739960" y="3770793"/>
                          <a:ext cx="5212080" cy="18415"/>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5231130" cy="37465"/>
                <wp:effectExtent b="0" l="0" r="0" t="0"/>
                <wp:wrapTopAndBottom distB="0" distT="0"/>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231130" cy="37465"/>
                        </a:xfrm>
                        <a:prstGeom prst="rect"/>
                        <a:ln/>
                      </pic:spPr>
                    </pic:pic>
                  </a:graphicData>
                </a:graphic>
              </wp:anchor>
            </w:drawing>
          </mc:Fallback>
        </mc:AlternateContent>
      </w:r>
    </w:p>
    <w:p w:rsidR="00DA2392" w:rsidRDefault="00DA2392">
      <w:pPr>
        <w:spacing w:after="0"/>
        <w:rPr>
          <w:rFonts w:ascii="Arial" w:eastAsia="Arial" w:hAnsi="Arial" w:cs="Arial"/>
          <w:b/>
          <w:smallCaps/>
          <w:color w:val="000000"/>
        </w:rPr>
      </w:pPr>
    </w:p>
    <w:p w:rsidR="00DA2392" w:rsidRDefault="00902B7D">
      <w:pPr>
        <w:spacing w:after="0"/>
        <w:rPr>
          <w:rFonts w:ascii="Arial" w:eastAsia="Arial" w:hAnsi="Arial" w:cs="Arial"/>
          <w:color w:val="000000"/>
          <w:sz w:val="16"/>
          <w:szCs w:val="16"/>
        </w:rPr>
      </w:pPr>
      <w:r>
        <w:rPr>
          <w:rFonts w:ascii="Arial" w:eastAsia="Arial" w:hAnsi="Arial" w:cs="Arial"/>
          <w:b/>
          <w:smallCaps/>
          <w:color w:val="000000"/>
        </w:rPr>
        <w:t>ABSTRACT</w:t>
      </w:r>
      <w:r>
        <w:rPr>
          <w:rFonts w:ascii="Arial" w:eastAsia="Arial" w:hAnsi="Arial" w:cs="Arial"/>
          <w:color w:val="000000"/>
          <w:sz w:val="16"/>
          <w:szCs w:val="16"/>
        </w:rPr>
        <w:t xml:space="preserve"> </w:t>
      </w:r>
    </w:p>
    <w:p w:rsidR="00DA2392" w:rsidRDefault="00DA2392">
      <w:pPr>
        <w:spacing w:after="0"/>
        <w:rPr>
          <w:rFonts w:ascii="Arial" w:eastAsia="Arial" w:hAnsi="Arial" w:cs="Arial"/>
          <w:color w:val="000000"/>
          <w:sz w:val="16"/>
          <w:szCs w:val="16"/>
        </w:rPr>
      </w:pPr>
    </w:p>
    <w:tbl>
      <w:tblPr>
        <w:tblStyle w:val="a"/>
        <w:tblW w:w="81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8"/>
      </w:tblGrid>
      <w:tr w:rsidR="00DA2392">
        <w:tc>
          <w:tcPr>
            <w:tcW w:w="8198" w:type="dxa"/>
            <w:shd w:val="clear" w:color="auto" w:fill="F2F2F2"/>
          </w:tcPr>
          <w:p w:rsidR="00DA2392" w:rsidRDefault="00902B7D">
            <w:pPr>
              <w:spacing w:after="0"/>
              <w:jc w:val="both"/>
              <w:rPr>
                <w:rFonts w:ascii="Arial" w:eastAsia="Arial" w:hAnsi="Arial" w:cs="Arial"/>
                <w:sz w:val="20"/>
                <w:szCs w:val="20"/>
              </w:rPr>
            </w:pPr>
            <w:r>
              <w:rPr>
                <w:rFonts w:ascii="Arial" w:eastAsia="Arial" w:hAnsi="Arial" w:cs="Arial"/>
                <w:sz w:val="20"/>
                <w:szCs w:val="20"/>
              </w:rPr>
              <w:t xml:space="preserve">This study aimed to determine the level of financial literacy among students at the Davao Oriental State University </w:t>
            </w:r>
            <w:proofErr w:type="spellStart"/>
            <w:r>
              <w:rPr>
                <w:rFonts w:ascii="Arial" w:eastAsia="Arial" w:hAnsi="Arial" w:cs="Arial"/>
                <w:sz w:val="20"/>
                <w:szCs w:val="20"/>
              </w:rPr>
              <w:t>Cateel</w:t>
            </w:r>
            <w:proofErr w:type="spellEnd"/>
            <w:r>
              <w:rPr>
                <w:rFonts w:ascii="Arial" w:eastAsia="Arial" w:hAnsi="Arial" w:cs="Arial"/>
                <w:sz w:val="20"/>
                <w:szCs w:val="20"/>
              </w:rPr>
              <w:t xml:space="preserve"> Extension Campus (DORSU-CEC). The research employed a descriptive survey design to collect data from 90 randomly selected 2nd and 3rd-year students. The findings revealed that most respondents were female, aged 18-23, living in their homes, and non-working students. The financial literacy assessment showed that students had a moderate knowledge of financial literacy overall, exhibiting responsible spending habits, consistent saving behaviors, and advanced financial knowledge. However, significant differences in financial literacy were found when students were grouped by academic program. Students from different programs, such as BEED, BAT/BSA, BSC, BSAM, and BSBA, demonstrated varying levels of financial literacy. In contrast, no significant differences were observed when students were grouped by sex, age, living accommodation, or working status. The study recommends developing tailored financial literacy programs, regular financial literacy workshops, and financial counseling services to address the unique needs and challenges students from different academic backgrounds face. This would help enhance the overall financial literacy of DORSU-CEC students.</w:t>
            </w:r>
          </w:p>
        </w:tc>
      </w:tr>
    </w:tbl>
    <w:p w:rsidR="00DA2392" w:rsidRDefault="00DA2392">
      <w:pPr>
        <w:spacing w:after="0"/>
        <w:rPr>
          <w:rFonts w:ascii="Arial" w:eastAsia="Arial" w:hAnsi="Arial" w:cs="Arial"/>
          <w:b/>
          <w:sz w:val="36"/>
          <w:szCs w:val="36"/>
        </w:rPr>
      </w:pPr>
    </w:p>
    <w:p w:rsidR="00DA2392" w:rsidRDefault="00902B7D">
      <w:pPr>
        <w:spacing w:after="0"/>
        <w:rPr>
          <w:rFonts w:ascii="Arial" w:eastAsia="Arial" w:hAnsi="Arial" w:cs="Arial"/>
          <w:i/>
          <w:sz w:val="32"/>
          <w:szCs w:val="32"/>
        </w:rPr>
      </w:pPr>
      <w:r>
        <w:rPr>
          <w:rFonts w:ascii="Arial" w:eastAsia="Arial" w:hAnsi="Arial" w:cs="Arial"/>
          <w:i/>
          <w:sz w:val="20"/>
          <w:szCs w:val="20"/>
        </w:rPr>
        <w:t>Keywords: financial literacy, financial knowledge, saving habits, spending habits, students</w:t>
      </w:r>
    </w:p>
    <w:p w:rsidR="00DA2392" w:rsidRDefault="00DA2392">
      <w:pPr>
        <w:spacing w:after="0"/>
        <w:rPr>
          <w:rFonts w:ascii="Arial" w:eastAsia="Arial" w:hAnsi="Arial" w:cs="Arial"/>
          <w:sz w:val="20"/>
          <w:szCs w:val="20"/>
        </w:rPr>
      </w:pPr>
    </w:p>
    <w:p w:rsidR="00DA2392" w:rsidRDefault="00902B7D">
      <w:pPr>
        <w:spacing w:after="0"/>
        <w:rPr>
          <w:rFonts w:ascii="Arial" w:eastAsia="Arial" w:hAnsi="Arial" w:cs="Arial"/>
          <w:b/>
          <w:smallCaps/>
          <w:color w:val="000000"/>
        </w:rPr>
      </w:pPr>
      <w:r>
        <w:rPr>
          <w:rFonts w:ascii="Arial" w:eastAsia="Arial" w:hAnsi="Arial" w:cs="Arial"/>
          <w:b/>
          <w:smallCaps/>
          <w:color w:val="000000"/>
        </w:rPr>
        <w:t xml:space="preserve">1. INTRODUCTION   </w:t>
      </w:r>
    </w:p>
    <w:p w:rsidR="00DA2392" w:rsidRDefault="00DA2392">
      <w:pPr>
        <w:spacing w:after="0"/>
        <w:rPr>
          <w:rFonts w:ascii="Arial" w:eastAsia="Arial" w:hAnsi="Arial" w:cs="Arial"/>
          <w:b/>
          <w:smallCaps/>
          <w:color w:val="000000"/>
        </w:rPr>
      </w:pPr>
    </w:p>
    <w:p w:rsidR="00DA2392" w:rsidRDefault="00902B7D">
      <w:pPr>
        <w:spacing w:after="0"/>
        <w:ind w:firstLine="720"/>
        <w:jc w:val="both"/>
        <w:rPr>
          <w:rFonts w:ascii="Arial" w:eastAsia="Arial" w:hAnsi="Arial" w:cs="Arial"/>
          <w:sz w:val="20"/>
          <w:szCs w:val="20"/>
        </w:rPr>
      </w:pPr>
      <w:r>
        <w:rPr>
          <w:rFonts w:ascii="Arial" w:eastAsia="Arial" w:hAnsi="Arial" w:cs="Arial"/>
          <w:sz w:val="20"/>
          <w:szCs w:val="20"/>
        </w:rPr>
        <w:t xml:space="preserve">As the national financial system becomes increasingly complex, placing even more responsibility on individuals to manage the details of their finances, there is mounting evidence that the burden is too much for many individuals. </w:t>
      </w:r>
      <w:proofErr w:type="spellStart"/>
      <w:r>
        <w:rPr>
          <w:rFonts w:ascii="Arial" w:eastAsia="Arial" w:hAnsi="Arial" w:cs="Arial"/>
          <w:sz w:val="20"/>
          <w:szCs w:val="20"/>
        </w:rPr>
        <w:t>Dewanthy</w:t>
      </w:r>
      <w:proofErr w:type="spellEnd"/>
      <w:r>
        <w:rPr>
          <w:rFonts w:ascii="Arial" w:eastAsia="Arial" w:hAnsi="Arial" w:cs="Arial"/>
          <w:sz w:val="20"/>
          <w:szCs w:val="20"/>
        </w:rPr>
        <w:t xml:space="preserve"> &amp; </w:t>
      </w:r>
      <w:proofErr w:type="spellStart"/>
      <w:r>
        <w:rPr>
          <w:rFonts w:ascii="Arial" w:eastAsia="Arial" w:hAnsi="Arial" w:cs="Arial"/>
          <w:sz w:val="20"/>
          <w:szCs w:val="20"/>
        </w:rPr>
        <w:t>Isbanah</w:t>
      </w:r>
      <w:proofErr w:type="spellEnd"/>
      <w:r>
        <w:rPr>
          <w:rFonts w:ascii="Arial" w:eastAsia="Arial" w:hAnsi="Arial" w:cs="Arial"/>
          <w:sz w:val="20"/>
          <w:szCs w:val="20"/>
        </w:rPr>
        <w:t xml:space="preserve"> (2018) posit it as a pivotal factor in economic improvement, while Ali, Anderson, McRae, and Ramsay (2014) underscore its growing recognition within consumer protection mechanisms. This acknowledgment extends to disclosure practices, offering substantial benefits, such as reducing the necessity for regulatory intervention and fostering increased economic participation. Moreover, </w:t>
      </w:r>
      <w:proofErr w:type="spellStart"/>
      <w:r>
        <w:rPr>
          <w:rFonts w:ascii="Arial" w:eastAsia="Arial" w:hAnsi="Arial" w:cs="Arial"/>
          <w:sz w:val="20"/>
          <w:szCs w:val="20"/>
        </w:rPr>
        <w:t>Agawarlla</w:t>
      </w:r>
      <w:proofErr w:type="spellEnd"/>
      <w:r>
        <w:rPr>
          <w:rFonts w:ascii="Arial" w:eastAsia="Arial" w:hAnsi="Arial" w:cs="Arial"/>
          <w:sz w:val="20"/>
          <w:szCs w:val="20"/>
        </w:rPr>
        <w:t xml:space="preserve">, </w:t>
      </w:r>
      <w:proofErr w:type="spellStart"/>
      <w:r>
        <w:rPr>
          <w:rFonts w:ascii="Arial" w:eastAsia="Arial" w:hAnsi="Arial" w:cs="Arial"/>
          <w:sz w:val="20"/>
          <w:szCs w:val="20"/>
        </w:rPr>
        <w:t>Barua</w:t>
      </w:r>
      <w:proofErr w:type="spellEnd"/>
      <w:r>
        <w:rPr>
          <w:rFonts w:ascii="Arial" w:eastAsia="Arial" w:hAnsi="Arial" w:cs="Arial"/>
          <w:sz w:val="20"/>
          <w:szCs w:val="20"/>
        </w:rPr>
        <w:t xml:space="preserve">, Jacob, and Varma (2015) contribute to the discourse by defining financial literacy as a holistic blend of awareness, knowledge, abilities, attitudes, and behaviors essential for effective financial decision-making. </w:t>
      </w:r>
      <w:proofErr w:type="spellStart"/>
      <w:r>
        <w:rPr>
          <w:rFonts w:ascii="Arial" w:eastAsia="Arial" w:hAnsi="Arial" w:cs="Arial"/>
          <w:sz w:val="20"/>
          <w:szCs w:val="20"/>
        </w:rPr>
        <w:t>Galdonez</w:t>
      </w:r>
      <w:proofErr w:type="spellEnd"/>
      <w:r>
        <w:rPr>
          <w:rFonts w:ascii="Arial" w:eastAsia="Arial" w:hAnsi="Arial" w:cs="Arial"/>
          <w:sz w:val="20"/>
          <w:szCs w:val="20"/>
        </w:rPr>
        <w:t xml:space="preserve"> et al. (2023) become a vital voice in this narrative, emphasizing the influential role of financial literacy in shaping practices and behaviors. As this exploration unfolds, a comprehensive understanding of financial literacy emerges, setting the stage for a nuanced investigation into its implications and applications. Additionally, recent perspectives, such as those presented by Smith and Jones (2014), further enrich the ongoing dialogue surrounding financial literacy.</w:t>
      </w:r>
    </w:p>
    <w:p w:rsidR="00DA2392" w:rsidRDefault="00DA2392">
      <w:pPr>
        <w:spacing w:after="0"/>
        <w:ind w:firstLine="720"/>
        <w:jc w:val="both"/>
        <w:rPr>
          <w:rFonts w:ascii="Arial" w:eastAsia="Arial" w:hAnsi="Arial" w:cs="Arial"/>
          <w:sz w:val="20"/>
          <w:szCs w:val="20"/>
        </w:rPr>
      </w:pPr>
    </w:p>
    <w:p w:rsidR="00DA2392" w:rsidRDefault="00902B7D">
      <w:pPr>
        <w:spacing w:after="0"/>
        <w:ind w:firstLine="720"/>
        <w:jc w:val="both"/>
        <w:rPr>
          <w:rFonts w:ascii="Arial" w:eastAsia="Arial" w:hAnsi="Arial" w:cs="Arial"/>
          <w:sz w:val="20"/>
          <w:szCs w:val="20"/>
        </w:rPr>
      </w:pPr>
      <w:r>
        <w:rPr>
          <w:rFonts w:ascii="Arial" w:eastAsia="Arial" w:hAnsi="Arial" w:cs="Arial"/>
          <w:sz w:val="20"/>
          <w:szCs w:val="20"/>
        </w:rPr>
        <w:t xml:space="preserve">As individuals progress through life stages, their requirements shift, necessitating access to various goods such as food or educational resources, which may vary in cost. Those pursuing higher education, especially students, encounter diverse financial needs, including tuition fees, textbooks, and living expenses. Many students rely on financial assistance, scholarships, or part-time employment for financial support (Baum, 2023). Despite this, young </w:t>
      </w:r>
      <w:r>
        <w:rPr>
          <w:rFonts w:ascii="Arial" w:eastAsia="Arial" w:hAnsi="Arial" w:cs="Arial"/>
          <w:sz w:val="20"/>
          <w:szCs w:val="20"/>
        </w:rPr>
        <w:lastRenderedPageBreak/>
        <w:t>adults often underestimate the financial hurdles of managing their finances. Factors like family financial background, lifestyle choices, and local living costs shape students' spending behaviors. Nonetheless, many students grapple with budgeting and possess limited savings, as highlighted by research on student debt and financial literacy (</w:t>
      </w:r>
      <w:proofErr w:type="spellStart"/>
      <w:r>
        <w:rPr>
          <w:rFonts w:ascii="Arial" w:eastAsia="Arial" w:hAnsi="Arial" w:cs="Arial"/>
          <w:sz w:val="20"/>
          <w:szCs w:val="20"/>
        </w:rPr>
        <w:t>Geddie</w:t>
      </w:r>
      <w:proofErr w:type="spellEnd"/>
      <w:r>
        <w:rPr>
          <w:rFonts w:ascii="Arial" w:eastAsia="Arial" w:hAnsi="Arial" w:cs="Arial"/>
          <w:sz w:val="20"/>
          <w:szCs w:val="20"/>
        </w:rPr>
        <w:t xml:space="preserve">, 2013). However, many </w:t>
      </w:r>
      <w:proofErr w:type="gramStart"/>
      <w:r>
        <w:rPr>
          <w:rFonts w:ascii="Arial" w:eastAsia="Arial" w:hAnsi="Arial" w:cs="Arial"/>
          <w:sz w:val="20"/>
          <w:szCs w:val="20"/>
        </w:rPr>
        <w:t>need</w:t>
      </w:r>
      <w:proofErr w:type="gramEnd"/>
      <w:r>
        <w:rPr>
          <w:rFonts w:ascii="Arial" w:eastAsia="Arial" w:hAnsi="Arial" w:cs="Arial"/>
          <w:sz w:val="20"/>
          <w:szCs w:val="20"/>
        </w:rPr>
        <w:t xml:space="preserve"> help with budgeting, as evidenced by a significant portion of American youth's savings of less than one thousand dollars (Morduch &amp; Schneider, 2017).</w:t>
      </w:r>
    </w:p>
    <w:p w:rsidR="00DA2392" w:rsidRDefault="00DA2392">
      <w:pPr>
        <w:spacing w:after="0"/>
        <w:ind w:firstLine="720"/>
        <w:jc w:val="both"/>
        <w:rPr>
          <w:rFonts w:ascii="Arial" w:eastAsia="Arial" w:hAnsi="Arial" w:cs="Arial"/>
          <w:sz w:val="20"/>
          <w:szCs w:val="20"/>
        </w:rPr>
      </w:pPr>
    </w:p>
    <w:p w:rsidR="00DA2392" w:rsidRDefault="00902B7D">
      <w:pPr>
        <w:spacing w:after="0"/>
        <w:ind w:firstLine="720"/>
        <w:jc w:val="both"/>
        <w:rPr>
          <w:rFonts w:ascii="Arial" w:eastAsia="Arial" w:hAnsi="Arial" w:cs="Arial"/>
          <w:sz w:val="20"/>
          <w:szCs w:val="20"/>
        </w:rPr>
      </w:pPr>
      <w:r>
        <w:rPr>
          <w:rFonts w:ascii="Arial" w:eastAsia="Arial" w:hAnsi="Arial" w:cs="Arial"/>
          <w:sz w:val="20"/>
          <w:szCs w:val="20"/>
        </w:rPr>
        <w:t>Personal finance literacy involves critical financial aspects such as savings, borrowing, interest rates, budgeting, and financial knowledge (Danes et al., 2013). Research indicates that Americans prioritize consumption over savings, resulting in a negative national savings rate (</w:t>
      </w:r>
      <w:proofErr w:type="spellStart"/>
      <w:r>
        <w:rPr>
          <w:rFonts w:ascii="Arial" w:eastAsia="Arial" w:hAnsi="Arial" w:cs="Arial"/>
          <w:sz w:val="20"/>
          <w:szCs w:val="20"/>
        </w:rPr>
        <w:t>Nababan</w:t>
      </w:r>
      <w:proofErr w:type="spellEnd"/>
      <w:r>
        <w:rPr>
          <w:rFonts w:ascii="Arial" w:eastAsia="Arial" w:hAnsi="Arial" w:cs="Arial"/>
          <w:sz w:val="20"/>
          <w:szCs w:val="20"/>
        </w:rPr>
        <w:t xml:space="preserve">, 2012). This underscores the necessity for the United States government to promote financial literacy among its citizens. Consequently, educators, policymakers, and university officials have increasingly focused on college students' financial behavior. Numerous studies have explored college students' credit card usage, revealing a tendency to accumulate significant debt, which poses a risk of financial challenges post-graduation (Shih &amp; </w:t>
      </w:r>
      <w:proofErr w:type="spellStart"/>
      <w:r>
        <w:rPr>
          <w:rFonts w:ascii="Arial" w:eastAsia="Arial" w:hAnsi="Arial" w:cs="Arial"/>
          <w:sz w:val="20"/>
          <w:szCs w:val="20"/>
        </w:rPr>
        <w:t>Ke</w:t>
      </w:r>
      <w:proofErr w:type="spellEnd"/>
      <w:r>
        <w:rPr>
          <w:rFonts w:ascii="Arial" w:eastAsia="Arial" w:hAnsi="Arial" w:cs="Arial"/>
          <w:sz w:val="20"/>
          <w:szCs w:val="20"/>
        </w:rPr>
        <w:t>, 2014). A European survey by Peachey in 2018 highlights variances in spending on hygiene and beauty products based on age. In India, youth's spending and savings patterns shifted due to Westernization and increased purchasing power. There has also been increased spending among Indian youth, particularly on branded items. In the Philippines, notes that compulsive buying influences students, leading to gadget ownership but delayed tuition payments (</w:t>
      </w:r>
      <w:proofErr w:type="spellStart"/>
      <w:r>
        <w:rPr>
          <w:rFonts w:ascii="Arial" w:eastAsia="Arial" w:hAnsi="Arial" w:cs="Arial"/>
          <w:sz w:val="20"/>
          <w:szCs w:val="20"/>
        </w:rPr>
        <w:t>Birari</w:t>
      </w:r>
      <w:proofErr w:type="spellEnd"/>
      <w:r>
        <w:rPr>
          <w:rFonts w:ascii="Arial" w:eastAsia="Arial" w:hAnsi="Arial" w:cs="Arial"/>
          <w:sz w:val="20"/>
          <w:szCs w:val="20"/>
        </w:rPr>
        <w:t xml:space="preserve"> &amp; Patil, 2016).</w:t>
      </w:r>
    </w:p>
    <w:p w:rsidR="00DA2392" w:rsidRDefault="00DA2392">
      <w:pPr>
        <w:spacing w:after="0"/>
        <w:ind w:firstLine="720"/>
        <w:jc w:val="both"/>
        <w:rPr>
          <w:rFonts w:ascii="Arial" w:eastAsia="Arial" w:hAnsi="Arial" w:cs="Arial"/>
          <w:sz w:val="20"/>
          <w:szCs w:val="20"/>
        </w:rPr>
      </w:pPr>
    </w:p>
    <w:p w:rsidR="00DA2392" w:rsidRDefault="00902B7D">
      <w:pPr>
        <w:spacing w:after="0"/>
        <w:ind w:firstLine="720"/>
        <w:jc w:val="both"/>
        <w:rPr>
          <w:rFonts w:ascii="Arial" w:eastAsia="Arial" w:hAnsi="Arial" w:cs="Arial"/>
          <w:sz w:val="20"/>
          <w:szCs w:val="20"/>
        </w:rPr>
      </w:pPr>
      <w:r>
        <w:rPr>
          <w:rFonts w:ascii="Arial" w:eastAsia="Arial" w:hAnsi="Arial" w:cs="Arial"/>
          <w:sz w:val="20"/>
          <w:szCs w:val="20"/>
        </w:rPr>
        <w:t xml:space="preserve">With the importance of financial literacy in a person's daily living and opposing factors affecting it, this study aims to look at financial literacy among </w:t>
      </w:r>
      <w:proofErr w:type="spellStart"/>
      <w:r>
        <w:rPr>
          <w:rFonts w:ascii="Arial" w:eastAsia="Arial" w:hAnsi="Arial" w:cs="Arial"/>
          <w:sz w:val="20"/>
          <w:szCs w:val="20"/>
        </w:rPr>
        <w:t>DOrSU</w:t>
      </w:r>
      <w:proofErr w:type="spellEnd"/>
      <w:r>
        <w:rPr>
          <w:rFonts w:ascii="Arial" w:eastAsia="Arial" w:hAnsi="Arial" w:cs="Arial"/>
          <w:sz w:val="20"/>
          <w:szCs w:val="20"/>
        </w:rPr>
        <w:t>-CEC Students. This study aims to fill this gap by examining the level of financial literacy among DORSU-CEC Students. In this global world of late, students can never hide from personal financial literacy and decision-making. In light of the above circumstances, this study seeks to explore the level of financial literacy among university students in DORSU and the factors that impact the students' competency in the field.</w:t>
      </w:r>
    </w:p>
    <w:p w:rsidR="00DA2392" w:rsidRDefault="00DA2392">
      <w:pPr>
        <w:spacing w:after="0"/>
        <w:jc w:val="both"/>
        <w:rPr>
          <w:rFonts w:ascii="Arial" w:eastAsia="Arial" w:hAnsi="Arial" w:cs="Arial"/>
          <w:sz w:val="20"/>
          <w:szCs w:val="20"/>
        </w:rPr>
      </w:pPr>
    </w:p>
    <w:p w:rsidR="00DA2392" w:rsidRDefault="00902B7D">
      <w:pPr>
        <w:spacing w:after="0"/>
        <w:jc w:val="both"/>
        <w:rPr>
          <w:rFonts w:ascii="Arial" w:eastAsia="Arial" w:hAnsi="Arial" w:cs="Arial"/>
          <w:b/>
          <w:smallCaps/>
          <w:color w:val="000000"/>
        </w:rPr>
      </w:pPr>
      <w:r>
        <w:rPr>
          <w:rFonts w:ascii="Arial" w:eastAsia="Arial" w:hAnsi="Arial" w:cs="Arial"/>
          <w:b/>
          <w:smallCaps/>
          <w:color w:val="000000"/>
        </w:rPr>
        <w:t>2. OBJECTIVES</w:t>
      </w:r>
    </w:p>
    <w:p w:rsidR="00DA2392" w:rsidRDefault="00902B7D">
      <w:pPr>
        <w:spacing w:after="0"/>
        <w:jc w:val="both"/>
        <w:rPr>
          <w:rFonts w:ascii="Arial" w:eastAsia="Arial" w:hAnsi="Arial" w:cs="Arial"/>
          <w:sz w:val="20"/>
          <w:szCs w:val="20"/>
        </w:rPr>
      </w:pPr>
      <w:r>
        <w:rPr>
          <w:rFonts w:ascii="Arial" w:eastAsia="Arial" w:hAnsi="Arial" w:cs="Arial"/>
          <w:sz w:val="20"/>
          <w:szCs w:val="20"/>
        </w:rPr>
        <w:t xml:space="preserve">  </w:t>
      </w:r>
    </w:p>
    <w:p w:rsidR="00DA2392" w:rsidRDefault="00902B7D">
      <w:pPr>
        <w:spacing w:after="0"/>
        <w:jc w:val="both"/>
        <w:rPr>
          <w:rFonts w:ascii="Arial" w:eastAsia="Arial" w:hAnsi="Arial" w:cs="Arial"/>
          <w:sz w:val="20"/>
          <w:szCs w:val="20"/>
        </w:rPr>
      </w:pPr>
      <w:r>
        <w:rPr>
          <w:rFonts w:ascii="Arial" w:eastAsia="Arial" w:hAnsi="Arial" w:cs="Arial"/>
          <w:sz w:val="20"/>
          <w:szCs w:val="20"/>
        </w:rPr>
        <w:t xml:space="preserve">     The main objective of this study is to determine the level of financial literacy among </w:t>
      </w:r>
      <w:proofErr w:type="spellStart"/>
      <w:r>
        <w:rPr>
          <w:rFonts w:ascii="Arial" w:eastAsia="Arial" w:hAnsi="Arial" w:cs="Arial"/>
          <w:sz w:val="20"/>
          <w:szCs w:val="20"/>
        </w:rPr>
        <w:t>DOrSU</w:t>
      </w:r>
      <w:proofErr w:type="spellEnd"/>
      <w:r>
        <w:rPr>
          <w:rFonts w:ascii="Arial" w:eastAsia="Arial" w:hAnsi="Arial" w:cs="Arial"/>
          <w:sz w:val="20"/>
          <w:szCs w:val="20"/>
        </w:rPr>
        <w:t xml:space="preserve"> CEC students, which was cascaded as follows:</w:t>
      </w:r>
    </w:p>
    <w:p w:rsidR="00DA2392" w:rsidRDefault="00902B7D">
      <w:pPr>
        <w:spacing w:after="0"/>
        <w:ind w:firstLine="400"/>
        <w:jc w:val="both"/>
        <w:rPr>
          <w:rFonts w:ascii="Arial" w:eastAsia="Arial" w:hAnsi="Arial" w:cs="Arial"/>
          <w:sz w:val="20"/>
          <w:szCs w:val="20"/>
        </w:rPr>
      </w:pPr>
      <w:r>
        <w:rPr>
          <w:rFonts w:ascii="Arial" w:eastAsia="Arial" w:hAnsi="Arial" w:cs="Arial"/>
          <w:sz w:val="20"/>
          <w:szCs w:val="20"/>
        </w:rPr>
        <w:t>1. To determine the profile of the respondents in terms of:</w:t>
      </w:r>
    </w:p>
    <w:p w:rsidR="00DA2392" w:rsidRDefault="00902B7D">
      <w:pPr>
        <w:spacing w:after="0"/>
        <w:jc w:val="both"/>
        <w:rPr>
          <w:rFonts w:ascii="Arial" w:eastAsia="Arial" w:hAnsi="Arial" w:cs="Arial"/>
          <w:sz w:val="20"/>
          <w:szCs w:val="20"/>
        </w:rPr>
      </w:pPr>
      <w:r>
        <w:rPr>
          <w:rFonts w:ascii="Arial" w:eastAsia="Arial" w:hAnsi="Arial" w:cs="Arial"/>
          <w:sz w:val="20"/>
          <w:szCs w:val="20"/>
        </w:rPr>
        <w:t xml:space="preserve">                  1.1 Sex;</w:t>
      </w:r>
    </w:p>
    <w:p w:rsidR="00DA2392" w:rsidRDefault="00902B7D">
      <w:pPr>
        <w:spacing w:after="0"/>
        <w:jc w:val="both"/>
        <w:rPr>
          <w:rFonts w:ascii="Arial" w:eastAsia="Arial" w:hAnsi="Arial" w:cs="Arial"/>
          <w:sz w:val="20"/>
          <w:szCs w:val="20"/>
        </w:rPr>
      </w:pPr>
      <w:r>
        <w:rPr>
          <w:rFonts w:ascii="Arial" w:eastAsia="Arial" w:hAnsi="Arial" w:cs="Arial"/>
          <w:sz w:val="20"/>
          <w:szCs w:val="20"/>
        </w:rPr>
        <w:t xml:space="preserve">                  1.2 Age;</w:t>
      </w:r>
    </w:p>
    <w:p w:rsidR="00DA2392" w:rsidRDefault="00902B7D">
      <w:pPr>
        <w:spacing w:after="0"/>
        <w:jc w:val="both"/>
        <w:rPr>
          <w:rFonts w:ascii="Arial" w:eastAsia="Arial" w:hAnsi="Arial" w:cs="Arial"/>
          <w:sz w:val="20"/>
          <w:szCs w:val="20"/>
        </w:rPr>
      </w:pPr>
      <w:r>
        <w:rPr>
          <w:rFonts w:ascii="Arial" w:eastAsia="Arial" w:hAnsi="Arial" w:cs="Arial"/>
          <w:sz w:val="20"/>
          <w:szCs w:val="20"/>
        </w:rPr>
        <w:t xml:space="preserve">                  1.3 Program;</w:t>
      </w:r>
    </w:p>
    <w:p w:rsidR="00DA2392" w:rsidRDefault="00902B7D">
      <w:pPr>
        <w:spacing w:after="0"/>
        <w:jc w:val="both"/>
        <w:rPr>
          <w:rFonts w:ascii="Arial" w:eastAsia="Arial" w:hAnsi="Arial" w:cs="Arial"/>
          <w:sz w:val="20"/>
          <w:szCs w:val="20"/>
        </w:rPr>
      </w:pPr>
      <w:r>
        <w:rPr>
          <w:rFonts w:ascii="Arial" w:eastAsia="Arial" w:hAnsi="Arial" w:cs="Arial"/>
          <w:sz w:val="20"/>
          <w:szCs w:val="20"/>
        </w:rPr>
        <w:t xml:space="preserve">                  1.4 Living Accommodation; and</w:t>
      </w:r>
    </w:p>
    <w:p w:rsidR="00DA2392" w:rsidRDefault="00902B7D">
      <w:pPr>
        <w:spacing w:after="0"/>
        <w:jc w:val="both"/>
        <w:rPr>
          <w:rFonts w:ascii="Arial" w:eastAsia="Arial" w:hAnsi="Arial" w:cs="Arial"/>
          <w:sz w:val="20"/>
          <w:szCs w:val="20"/>
        </w:rPr>
      </w:pPr>
      <w:r>
        <w:rPr>
          <w:rFonts w:ascii="Arial" w:eastAsia="Arial" w:hAnsi="Arial" w:cs="Arial"/>
          <w:sz w:val="20"/>
          <w:szCs w:val="20"/>
        </w:rPr>
        <w:t xml:space="preserve">                  1.5 Students working status.</w:t>
      </w:r>
    </w:p>
    <w:p w:rsidR="00DA2392" w:rsidRDefault="00902B7D">
      <w:pPr>
        <w:spacing w:after="0"/>
        <w:jc w:val="both"/>
        <w:rPr>
          <w:rFonts w:ascii="Arial" w:eastAsia="Arial" w:hAnsi="Arial" w:cs="Arial"/>
          <w:sz w:val="20"/>
          <w:szCs w:val="20"/>
        </w:rPr>
      </w:pPr>
      <w:r>
        <w:rPr>
          <w:rFonts w:ascii="Arial" w:eastAsia="Arial" w:hAnsi="Arial" w:cs="Arial"/>
          <w:sz w:val="20"/>
          <w:szCs w:val="20"/>
        </w:rPr>
        <w:t xml:space="preserve">       2. To determine the level of financial literacy among </w:t>
      </w:r>
      <w:proofErr w:type="spellStart"/>
      <w:r>
        <w:rPr>
          <w:rFonts w:ascii="Arial" w:eastAsia="Arial" w:hAnsi="Arial" w:cs="Arial"/>
          <w:sz w:val="20"/>
          <w:szCs w:val="20"/>
        </w:rPr>
        <w:t>DOrSU</w:t>
      </w:r>
      <w:proofErr w:type="spellEnd"/>
      <w:r>
        <w:rPr>
          <w:rFonts w:ascii="Arial" w:eastAsia="Arial" w:hAnsi="Arial" w:cs="Arial"/>
          <w:sz w:val="20"/>
          <w:szCs w:val="20"/>
        </w:rPr>
        <w:t xml:space="preserve"> CEC students in terms of:</w:t>
      </w:r>
    </w:p>
    <w:p w:rsidR="00DA2392" w:rsidRDefault="00902B7D">
      <w:pPr>
        <w:spacing w:after="0"/>
        <w:jc w:val="both"/>
        <w:rPr>
          <w:rFonts w:ascii="Arial" w:eastAsia="Arial" w:hAnsi="Arial" w:cs="Arial"/>
          <w:sz w:val="20"/>
          <w:szCs w:val="20"/>
        </w:rPr>
      </w:pPr>
      <w:r>
        <w:rPr>
          <w:rFonts w:ascii="Arial" w:eastAsia="Arial" w:hAnsi="Arial" w:cs="Arial"/>
          <w:sz w:val="20"/>
          <w:szCs w:val="20"/>
        </w:rPr>
        <w:t xml:space="preserve">                   2.1 Spending Habits;</w:t>
      </w:r>
    </w:p>
    <w:p w:rsidR="00DA2392" w:rsidRDefault="00902B7D">
      <w:pPr>
        <w:spacing w:after="0"/>
        <w:jc w:val="both"/>
        <w:rPr>
          <w:rFonts w:ascii="Arial" w:eastAsia="Arial" w:hAnsi="Arial" w:cs="Arial"/>
          <w:sz w:val="20"/>
          <w:szCs w:val="20"/>
        </w:rPr>
      </w:pPr>
      <w:r>
        <w:rPr>
          <w:rFonts w:ascii="Arial" w:eastAsia="Arial" w:hAnsi="Arial" w:cs="Arial"/>
          <w:sz w:val="20"/>
          <w:szCs w:val="20"/>
        </w:rPr>
        <w:t xml:space="preserve">                   2.2 Saving Habits; and</w:t>
      </w:r>
    </w:p>
    <w:p w:rsidR="00DA2392" w:rsidRDefault="00902B7D">
      <w:pPr>
        <w:spacing w:after="0"/>
        <w:jc w:val="both"/>
        <w:rPr>
          <w:rFonts w:ascii="Arial" w:eastAsia="Arial" w:hAnsi="Arial" w:cs="Arial"/>
          <w:sz w:val="20"/>
          <w:szCs w:val="20"/>
        </w:rPr>
      </w:pPr>
      <w:r>
        <w:rPr>
          <w:rFonts w:ascii="Arial" w:eastAsia="Arial" w:hAnsi="Arial" w:cs="Arial"/>
          <w:sz w:val="20"/>
          <w:szCs w:val="20"/>
        </w:rPr>
        <w:t xml:space="preserve">                   2.3 Financial Knowledge.</w:t>
      </w:r>
    </w:p>
    <w:p w:rsidR="00DA2392" w:rsidRDefault="00902B7D">
      <w:pPr>
        <w:spacing w:after="0"/>
        <w:jc w:val="both"/>
        <w:rPr>
          <w:rFonts w:ascii="Arial" w:eastAsia="Arial" w:hAnsi="Arial" w:cs="Arial"/>
          <w:sz w:val="20"/>
          <w:szCs w:val="20"/>
        </w:rPr>
      </w:pPr>
      <w:r>
        <w:rPr>
          <w:rFonts w:ascii="Arial" w:eastAsia="Arial" w:hAnsi="Arial" w:cs="Arial"/>
          <w:sz w:val="20"/>
          <w:szCs w:val="20"/>
        </w:rPr>
        <w:t xml:space="preserve">      3. To determine any significant difference in the level of financial literacy among </w:t>
      </w:r>
      <w:proofErr w:type="spellStart"/>
      <w:r>
        <w:rPr>
          <w:rFonts w:ascii="Arial" w:eastAsia="Arial" w:hAnsi="Arial" w:cs="Arial"/>
          <w:sz w:val="20"/>
          <w:szCs w:val="20"/>
        </w:rPr>
        <w:t>DOrSU</w:t>
      </w:r>
      <w:proofErr w:type="spellEnd"/>
      <w:r>
        <w:rPr>
          <w:rFonts w:ascii="Arial" w:eastAsia="Arial" w:hAnsi="Arial" w:cs="Arial"/>
          <w:sz w:val="20"/>
          <w:szCs w:val="20"/>
        </w:rPr>
        <w:t>-CEC students when grouped according to profile.</w:t>
      </w:r>
    </w:p>
    <w:p w:rsidR="00DA2392" w:rsidRDefault="00DA2392">
      <w:pPr>
        <w:spacing w:after="0"/>
        <w:jc w:val="both"/>
        <w:rPr>
          <w:rFonts w:ascii="Arial" w:eastAsia="Arial" w:hAnsi="Arial" w:cs="Arial"/>
          <w:sz w:val="20"/>
          <w:szCs w:val="20"/>
        </w:rPr>
      </w:pPr>
    </w:p>
    <w:p w:rsidR="00DA2392" w:rsidRDefault="00902B7D">
      <w:pPr>
        <w:spacing w:after="0"/>
        <w:jc w:val="both"/>
        <w:rPr>
          <w:rFonts w:ascii="Arial" w:eastAsia="Arial" w:hAnsi="Arial" w:cs="Arial"/>
          <w:b/>
          <w:smallCaps/>
          <w:color w:val="000000"/>
          <w:sz w:val="20"/>
          <w:szCs w:val="20"/>
        </w:rPr>
      </w:pPr>
      <w:r>
        <w:rPr>
          <w:rFonts w:ascii="Arial" w:eastAsia="Arial" w:hAnsi="Arial" w:cs="Arial"/>
          <w:b/>
          <w:smallCaps/>
          <w:color w:val="000000"/>
          <w:sz w:val="20"/>
          <w:szCs w:val="20"/>
        </w:rPr>
        <w:t>3. MATERIALS AND METHODS</w:t>
      </w:r>
    </w:p>
    <w:p w:rsidR="00DA2392" w:rsidRDefault="00DA2392">
      <w:pPr>
        <w:spacing w:after="0"/>
        <w:jc w:val="both"/>
        <w:rPr>
          <w:rFonts w:ascii="Arial" w:eastAsia="Arial" w:hAnsi="Arial" w:cs="Arial"/>
          <w:b/>
          <w:smallCaps/>
          <w:color w:val="000000"/>
          <w:sz w:val="20"/>
          <w:szCs w:val="20"/>
        </w:rPr>
      </w:pPr>
    </w:p>
    <w:p w:rsidR="00DA2392" w:rsidRDefault="00902B7D">
      <w:pPr>
        <w:spacing w:after="0"/>
        <w:jc w:val="both"/>
        <w:rPr>
          <w:rFonts w:ascii="Arial" w:eastAsia="Arial" w:hAnsi="Arial" w:cs="Arial"/>
          <w:b/>
          <w:sz w:val="20"/>
          <w:szCs w:val="20"/>
        </w:rPr>
      </w:pPr>
      <w:r>
        <w:rPr>
          <w:rFonts w:ascii="Arial" w:eastAsia="Arial" w:hAnsi="Arial" w:cs="Arial"/>
          <w:b/>
          <w:sz w:val="20"/>
          <w:szCs w:val="20"/>
        </w:rPr>
        <w:lastRenderedPageBreak/>
        <w:t>Research Design</w:t>
      </w:r>
    </w:p>
    <w:p w:rsidR="00DA2392" w:rsidRDefault="00902B7D">
      <w:pPr>
        <w:spacing w:after="0"/>
        <w:ind w:firstLine="720"/>
        <w:jc w:val="both"/>
        <w:rPr>
          <w:rFonts w:ascii="Arial" w:eastAsia="Arial" w:hAnsi="Arial" w:cs="Arial"/>
          <w:sz w:val="20"/>
          <w:szCs w:val="20"/>
        </w:rPr>
      </w:pPr>
      <w:r>
        <w:rPr>
          <w:rFonts w:ascii="Arial" w:eastAsia="Arial" w:hAnsi="Arial" w:cs="Arial"/>
          <w:sz w:val="20"/>
          <w:szCs w:val="20"/>
        </w:rPr>
        <w:t>This study adopted a descriptive survey research design. Data regarding the level of financial literacy was collected from a selected sample of respondents. This research method was chosen because of its focus on gathering information about prevailing conditions or situations for description and interpretation. It described the situation as it existed by examining the differences in levels of financial literacy. This approach was used to describe variables, and it provided the researcher with appropriate techniques for the systematic collection of extensive data from a large group of respondents through the administration of questionnaires.</w:t>
      </w:r>
    </w:p>
    <w:p w:rsidR="00DA2392" w:rsidRDefault="00DA2392">
      <w:pPr>
        <w:spacing w:after="0"/>
        <w:ind w:firstLine="720"/>
        <w:jc w:val="both"/>
        <w:rPr>
          <w:rFonts w:ascii="Arial" w:eastAsia="Arial" w:hAnsi="Arial" w:cs="Arial"/>
          <w:sz w:val="20"/>
          <w:szCs w:val="20"/>
        </w:rPr>
      </w:pPr>
    </w:p>
    <w:p w:rsidR="00DA2392" w:rsidRDefault="00902B7D">
      <w:pPr>
        <w:spacing w:after="0"/>
        <w:jc w:val="both"/>
        <w:rPr>
          <w:rFonts w:ascii="Arial" w:eastAsia="Arial" w:hAnsi="Arial" w:cs="Arial"/>
          <w:b/>
          <w:sz w:val="20"/>
          <w:szCs w:val="20"/>
        </w:rPr>
      </w:pPr>
      <w:r>
        <w:rPr>
          <w:rFonts w:ascii="Arial" w:eastAsia="Arial" w:hAnsi="Arial" w:cs="Arial"/>
          <w:b/>
          <w:sz w:val="20"/>
          <w:szCs w:val="20"/>
        </w:rPr>
        <w:t>Research Instrument</w:t>
      </w:r>
    </w:p>
    <w:p w:rsidR="00DA2392" w:rsidRDefault="00902B7D">
      <w:pPr>
        <w:spacing w:after="0"/>
        <w:ind w:firstLine="720"/>
        <w:jc w:val="both"/>
        <w:rPr>
          <w:rFonts w:ascii="Arial" w:eastAsia="Arial" w:hAnsi="Arial" w:cs="Arial"/>
          <w:sz w:val="20"/>
          <w:szCs w:val="20"/>
        </w:rPr>
      </w:pPr>
      <w:r>
        <w:rPr>
          <w:rFonts w:ascii="Arial" w:eastAsia="Arial" w:hAnsi="Arial" w:cs="Arial"/>
          <w:sz w:val="20"/>
          <w:szCs w:val="20"/>
        </w:rPr>
        <w:t xml:space="preserve">The primary tool for data collection was an adopted survey questionnaire. The questionnaire was anchored on the study of </w:t>
      </w:r>
      <w:proofErr w:type="spellStart"/>
      <w:r>
        <w:rPr>
          <w:rFonts w:ascii="Arial" w:eastAsia="Arial" w:hAnsi="Arial" w:cs="Arial"/>
          <w:sz w:val="20"/>
          <w:szCs w:val="20"/>
        </w:rPr>
        <w:t>Binobo</w:t>
      </w:r>
      <w:proofErr w:type="spellEnd"/>
      <w:r>
        <w:rPr>
          <w:rFonts w:ascii="Arial" w:eastAsia="Arial" w:hAnsi="Arial" w:cs="Arial"/>
          <w:sz w:val="20"/>
          <w:szCs w:val="20"/>
        </w:rPr>
        <w:t xml:space="preserve"> et al. (2019), which adopted financial literacy variables introduced by other researchers. These variables included spending habits, saving habits, and financial knowledge. A Likert scale was used to interpret the respondents' responses and quantify their level of personal financial literacy.</w:t>
      </w:r>
    </w:p>
    <w:p w:rsidR="00DA2392" w:rsidRDefault="00DA2392">
      <w:pPr>
        <w:spacing w:after="0"/>
        <w:jc w:val="both"/>
        <w:rPr>
          <w:rFonts w:ascii="Arial" w:eastAsia="Arial" w:hAnsi="Arial" w:cs="Arial"/>
          <w:sz w:val="20"/>
          <w:szCs w:val="20"/>
        </w:rPr>
      </w:pPr>
    </w:p>
    <w:p w:rsidR="00DA2392" w:rsidRDefault="00902B7D">
      <w:pPr>
        <w:spacing w:after="0"/>
        <w:jc w:val="both"/>
        <w:rPr>
          <w:rFonts w:ascii="Arial" w:eastAsia="Arial" w:hAnsi="Arial" w:cs="Arial"/>
          <w:b/>
          <w:sz w:val="20"/>
          <w:szCs w:val="20"/>
        </w:rPr>
      </w:pPr>
      <w:r>
        <w:rPr>
          <w:rFonts w:ascii="Arial" w:eastAsia="Arial" w:hAnsi="Arial" w:cs="Arial"/>
          <w:b/>
          <w:color w:val="000000"/>
          <w:sz w:val="20"/>
          <w:szCs w:val="20"/>
          <w:highlight w:val="white"/>
        </w:rPr>
        <w:t>Respondents of the Study</w:t>
      </w:r>
    </w:p>
    <w:p w:rsidR="00DA2392" w:rsidRDefault="00902B7D">
      <w:pPr>
        <w:spacing w:after="0"/>
        <w:ind w:firstLine="720"/>
        <w:jc w:val="both"/>
        <w:rPr>
          <w:rFonts w:ascii="Arial" w:eastAsia="Arial" w:hAnsi="Arial" w:cs="Arial"/>
          <w:sz w:val="20"/>
          <w:szCs w:val="20"/>
        </w:rPr>
      </w:pPr>
      <w:r>
        <w:rPr>
          <w:rFonts w:ascii="Arial" w:eastAsia="Arial" w:hAnsi="Arial" w:cs="Arial"/>
          <w:sz w:val="20"/>
          <w:szCs w:val="20"/>
        </w:rPr>
        <w:t xml:space="preserve">The target respondents of this study were selected </w:t>
      </w:r>
      <w:proofErr w:type="spellStart"/>
      <w:r>
        <w:rPr>
          <w:rFonts w:ascii="Arial" w:eastAsia="Arial" w:hAnsi="Arial" w:cs="Arial"/>
          <w:sz w:val="20"/>
          <w:szCs w:val="20"/>
        </w:rPr>
        <w:t>DOrSU</w:t>
      </w:r>
      <w:proofErr w:type="spellEnd"/>
      <w:r>
        <w:rPr>
          <w:rFonts w:ascii="Arial" w:eastAsia="Arial" w:hAnsi="Arial" w:cs="Arial"/>
          <w:sz w:val="20"/>
          <w:szCs w:val="20"/>
        </w:rPr>
        <w:t xml:space="preserve">- CEC 2nd and 3rd-year students for the year 2023. </w:t>
      </w:r>
      <w:proofErr w:type="spellStart"/>
      <w:r>
        <w:rPr>
          <w:rFonts w:ascii="Arial" w:eastAsia="Arial" w:hAnsi="Arial" w:cs="Arial"/>
          <w:sz w:val="20"/>
          <w:szCs w:val="20"/>
        </w:rPr>
        <w:t>Slovin's</w:t>
      </w:r>
      <w:proofErr w:type="spellEnd"/>
      <w:r>
        <w:rPr>
          <w:rFonts w:ascii="Arial" w:eastAsia="Arial" w:hAnsi="Arial" w:cs="Arial"/>
          <w:sz w:val="20"/>
          <w:szCs w:val="20"/>
        </w:rPr>
        <w:t xml:space="preserve"> formula was used with a 0.10 margin of error and 90% confidence level. The initial sample size calculated using the formula was 89, but it was adjusted to 90 for accuracy in sampling, and the additional respondents were selected from the BAT program.</w:t>
      </w:r>
    </w:p>
    <w:p w:rsidR="00DA2392" w:rsidRDefault="00DA2392">
      <w:pPr>
        <w:spacing w:after="0"/>
        <w:jc w:val="both"/>
        <w:rPr>
          <w:rFonts w:ascii="Arial" w:eastAsia="Arial" w:hAnsi="Arial" w:cs="Arial"/>
          <w:sz w:val="20"/>
          <w:szCs w:val="20"/>
        </w:rPr>
      </w:pPr>
    </w:p>
    <w:tbl>
      <w:tblPr>
        <w:tblStyle w:val="a0"/>
        <w:tblW w:w="8220" w:type="dxa"/>
        <w:tblInd w:w="0" w:type="dxa"/>
        <w:tblLayout w:type="fixed"/>
        <w:tblLook w:val="0400" w:firstRow="0" w:lastRow="0" w:firstColumn="0" w:lastColumn="0" w:noHBand="0" w:noVBand="1"/>
      </w:tblPr>
      <w:tblGrid>
        <w:gridCol w:w="1530"/>
        <w:gridCol w:w="105"/>
        <w:gridCol w:w="1365"/>
        <w:gridCol w:w="1245"/>
        <w:gridCol w:w="1395"/>
        <w:gridCol w:w="1410"/>
        <w:gridCol w:w="1170"/>
      </w:tblGrid>
      <w:tr w:rsidR="00DA2392">
        <w:trPr>
          <w:trHeight w:val="523"/>
        </w:trPr>
        <w:tc>
          <w:tcPr>
            <w:tcW w:w="1635" w:type="dxa"/>
            <w:gridSpan w:val="2"/>
            <w:tcBorders>
              <w:top w:val="single" w:sz="4" w:space="0" w:color="000000"/>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Department (2nd year)</w:t>
            </w:r>
          </w:p>
        </w:tc>
        <w:tc>
          <w:tcPr>
            <w:tcW w:w="1365" w:type="dxa"/>
            <w:tcBorders>
              <w:top w:val="single" w:sz="4" w:space="0" w:color="000000"/>
              <w:bottom w:val="single" w:sz="4" w:space="0" w:color="000000"/>
            </w:tcBorders>
            <w:tcMar>
              <w:top w:w="0" w:type="dxa"/>
              <w:left w:w="108" w:type="dxa"/>
              <w:bottom w:w="0" w:type="dxa"/>
              <w:right w:w="108" w:type="dxa"/>
            </w:tcMar>
          </w:tcPr>
          <w:p w:rsidR="00DA2392" w:rsidRDefault="00902B7D">
            <w:pPr>
              <w:spacing w:line="240" w:lineRule="auto"/>
              <w:jc w:val="both"/>
              <w:rPr>
                <w:rFonts w:ascii="Arial" w:eastAsia="Arial" w:hAnsi="Arial" w:cs="Arial"/>
                <w:sz w:val="20"/>
                <w:szCs w:val="20"/>
              </w:rPr>
            </w:pPr>
            <w:r>
              <w:rPr>
                <w:rFonts w:ascii="Arial" w:eastAsia="Arial" w:hAnsi="Arial" w:cs="Arial"/>
                <w:b/>
                <w:sz w:val="20"/>
                <w:szCs w:val="20"/>
              </w:rPr>
              <w:t>Population</w:t>
            </w:r>
          </w:p>
        </w:tc>
        <w:tc>
          <w:tcPr>
            <w:tcW w:w="1245" w:type="dxa"/>
            <w:tcBorders>
              <w:top w:val="single" w:sz="4" w:space="0" w:color="000000"/>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Sample size</w:t>
            </w:r>
          </w:p>
        </w:tc>
        <w:tc>
          <w:tcPr>
            <w:tcW w:w="1395" w:type="dxa"/>
            <w:tcBorders>
              <w:top w:val="single" w:sz="4" w:space="0" w:color="000000"/>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Department (3rd year)</w:t>
            </w:r>
          </w:p>
        </w:tc>
        <w:tc>
          <w:tcPr>
            <w:tcW w:w="1410" w:type="dxa"/>
            <w:tcBorders>
              <w:top w:val="single" w:sz="4" w:space="0" w:color="000000"/>
              <w:bottom w:val="single" w:sz="4" w:space="0" w:color="000000"/>
            </w:tcBorders>
            <w:tcMar>
              <w:top w:w="0" w:type="dxa"/>
              <w:left w:w="108" w:type="dxa"/>
              <w:bottom w:w="0" w:type="dxa"/>
              <w:right w:w="108" w:type="dxa"/>
            </w:tcMar>
          </w:tcPr>
          <w:p w:rsidR="00DA2392" w:rsidRDefault="00902B7D">
            <w:pPr>
              <w:spacing w:line="240" w:lineRule="auto"/>
              <w:jc w:val="both"/>
              <w:rPr>
                <w:rFonts w:ascii="Arial" w:eastAsia="Arial" w:hAnsi="Arial" w:cs="Arial"/>
                <w:sz w:val="20"/>
                <w:szCs w:val="20"/>
              </w:rPr>
            </w:pPr>
            <w:r>
              <w:rPr>
                <w:rFonts w:ascii="Arial" w:eastAsia="Arial" w:hAnsi="Arial" w:cs="Arial"/>
                <w:b/>
                <w:sz w:val="20"/>
                <w:szCs w:val="20"/>
              </w:rPr>
              <w:t>Population</w:t>
            </w:r>
          </w:p>
        </w:tc>
        <w:tc>
          <w:tcPr>
            <w:tcW w:w="1170" w:type="dxa"/>
            <w:tcBorders>
              <w:top w:val="single" w:sz="4" w:space="0" w:color="000000"/>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Sample Size</w:t>
            </w:r>
          </w:p>
        </w:tc>
      </w:tr>
      <w:tr w:rsidR="00DA2392">
        <w:tc>
          <w:tcPr>
            <w:tcW w:w="1530" w:type="dxa"/>
            <w:tcBorders>
              <w:top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BEED</w:t>
            </w:r>
          </w:p>
        </w:tc>
        <w:tc>
          <w:tcPr>
            <w:tcW w:w="1470" w:type="dxa"/>
            <w:gridSpan w:val="2"/>
            <w:tcBorders>
              <w:top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54</w:t>
            </w:r>
          </w:p>
        </w:tc>
        <w:tc>
          <w:tcPr>
            <w:tcW w:w="1245" w:type="dxa"/>
            <w:tcBorders>
              <w:top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6</w:t>
            </w:r>
          </w:p>
        </w:tc>
        <w:tc>
          <w:tcPr>
            <w:tcW w:w="1395" w:type="dxa"/>
            <w:tcBorders>
              <w:top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BEED</w:t>
            </w:r>
          </w:p>
        </w:tc>
        <w:tc>
          <w:tcPr>
            <w:tcW w:w="1410" w:type="dxa"/>
            <w:tcBorders>
              <w:top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61</w:t>
            </w:r>
          </w:p>
        </w:tc>
        <w:tc>
          <w:tcPr>
            <w:tcW w:w="1170" w:type="dxa"/>
            <w:tcBorders>
              <w:top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7</w:t>
            </w:r>
          </w:p>
        </w:tc>
      </w:tr>
      <w:tr w:rsidR="00DA2392">
        <w:tc>
          <w:tcPr>
            <w:tcW w:w="1530"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 xml:space="preserve">BSA </w:t>
            </w:r>
          </w:p>
        </w:tc>
        <w:tc>
          <w:tcPr>
            <w:tcW w:w="1470" w:type="dxa"/>
            <w:gridSpan w:val="2"/>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18</w:t>
            </w:r>
          </w:p>
        </w:tc>
        <w:tc>
          <w:tcPr>
            <w:tcW w:w="1245"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2</w:t>
            </w:r>
          </w:p>
        </w:tc>
        <w:tc>
          <w:tcPr>
            <w:tcW w:w="1395"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BAT</w:t>
            </w:r>
          </w:p>
        </w:tc>
        <w:tc>
          <w:tcPr>
            <w:tcW w:w="1410"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68</w:t>
            </w:r>
          </w:p>
        </w:tc>
        <w:tc>
          <w:tcPr>
            <w:tcW w:w="1170"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9</w:t>
            </w:r>
          </w:p>
        </w:tc>
      </w:tr>
      <w:tr w:rsidR="00DA2392">
        <w:tc>
          <w:tcPr>
            <w:tcW w:w="1530"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BSAM</w:t>
            </w:r>
          </w:p>
        </w:tc>
        <w:tc>
          <w:tcPr>
            <w:tcW w:w="1470" w:type="dxa"/>
            <w:gridSpan w:val="2"/>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54</w:t>
            </w:r>
          </w:p>
        </w:tc>
        <w:tc>
          <w:tcPr>
            <w:tcW w:w="1245"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6</w:t>
            </w:r>
          </w:p>
        </w:tc>
        <w:tc>
          <w:tcPr>
            <w:tcW w:w="1395"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BSAM</w:t>
            </w:r>
          </w:p>
        </w:tc>
        <w:tc>
          <w:tcPr>
            <w:tcW w:w="1410"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46</w:t>
            </w:r>
          </w:p>
        </w:tc>
        <w:tc>
          <w:tcPr>
            <w:tcW w:w="1170"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5</w:t>
            </w:r>
          </w:p>
        </w:tc>
      </w:tr>
      <w:tr w:rsidR="00DA2392">
        <w:tc>
          <w:tcPr>
            <w:tcW w:w="1530"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BSC</w:t>
            </w:r>
          </w:p>
        </w:tc>
        <w:tc>
          <w:tcPr>
            <w:tcW w:w="1470" w:type="dxa"/>
            <w:gridSpan w:val="2"/>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78</w:t>
            </w:r>
          </w:p>
        </w:tc>
        <w:tc>
          <w:tcPr>
            <w:tcW w:w="1245"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9</w:t>
            </w:r>
          </w:p>
        </w:tc>
        <w:tc>
          <w:tcPr>
            <w:tcW w:w="1395"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BSC</w:t>
            </w:r>
          </w:p>
        </w:tc>
        <w:tc>
          <w:tcPr>
            <w:tcW w:w="1410"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89</w:t>
            </w:r>
          </w:p>
        </w:tc>
        <w:tc>
          <w:tcPr>
            <w:tcW w:w="1170"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10</w:t>
            </w:r>
          </w:p>
        </w:tc>
      </w:tr>
      <w:tr w:rsidR="00DA2392">
        <w:tc>
          <w:tcPr>
            <w:tcW w:w="1530"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BSBA</w:t>
            </w:r>
          </w:p>
        </w:tc>
        <w:tc>
          <w:tcPr>
            <w:tcW w:w="1470" w:type="dxa"/>
            <w:gridSpan w:val="2"/>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153</w:t>
            </w:r>
          </w:p>
        </w:tc>
        <w:tc>
          <w:tcPr>
            <w:tcW w:w="1245"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17</w:t>
            </w:r>
          </w:p>
        </w:tc>
        <w:tc>
          <w:tcPr>
            <w:tcW w:w="1395"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BSBA</w:t>
            </w:r>
          </w:p>
        </w:tc>
        <w:tc>
          <w:tcPr>
            <w:tcW w:w="1410"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165</w:t>
            </w:r>
          </w:p>
        </w:tc>
        <w:tc>
          <w:tcPr>
            <w:tcW w:w="1170"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19</w:t>
            </w:r>
          </w:p>
        </w:tc>
      </w:tr>
      <w:tr w:rsidR="00DA2392">
        <w:tc>
          <w:tcPr>
            <w:tcW w:w="1530" w:type="dxa"/>
            <w:tcBorders>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Total</w:t>
            </w:r>
          </w:p>
        </w:tc>
        <w:tc>
          <w:tcPr>
            <w:tcW w:w="1470" w:type="dxa"/>
            <w:gridSpan w:val="2"/>
            <w:tcBorders>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357</w:t>
            </w:r>
          </w:p>
        </w:tc>
        <w:tc>
          <w:tcPr>
            <w:tcW w:w="1245" w:type="dxa"/>
            <w:tcBorders>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40</w:t>
            </w:r>
          </w:p>
        </w:tc>
        <w:tc>
          <w:tcPr>
            <w:tcW w:w="1395" w:type="dxa"/>
            <w:tcBorders>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Total</w:t>
            </w:r>
          </w:p>
        </w:tc>
        <w:tc>
          <w:tcPr>
            <w:tcW w:w="1410" w:type="dxa"/>
            <w:tcBorders>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429</w:t>
            </w:r>
          </w:p>
        </w:tc>
        <w:tc>
          <w:tcPr>
            <w:tcW w:w="1170" w:type="dxa"/>
            <w:tcBorders>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50</w:t>
            </w:r>
          </w:p>
        </w:tc>
      </w:tr>
    </w:tbl>
    <w:p w:rsidR="00DA2392" w:rsidRDefault="00902B7D">
      <w:pPr>
        <w:spacing w:after="0"/>
        <w:jc w:val="both"/>
        <w:rPr>
          <w:rFonts w:ascii="Arial" w:eastAsia="Arial" w:hAnsi="Arial" w:cs="Arial"/>
          <w:sz w:val="20"/>
          <w:szCs w:val="20"/>
        </w:rPr>
      </w:pPr>
      <w:r>
        <w:rPr>
          <w:rFonts w:ascii="Arial" w:eastAsia="Arial" w:hAnsi="Arial" w:cs="Arial"/>
          <w:b/>
          <w:sz w:val="20"/>
          <w:szCs w:val="20"/>
        </w:rPr>
        <w:t>Table 1</w:t>
      </w:r>
      <w:r>
        <w:rPr>
          <w:rFonts w:ascii="Arial" w:eastAsia="Arial" w:hAnsi="Arial" w:cs="Arial"/>
          <w:sz w:val="20"/>
          <w:szCs w:val="20"/>
        </w:rPr>
        <w:t>. Distribution of Respondents in different departments</w:t>
      </w:r>
    </w:p>
    <w:p w:rsidR="00DA2392" w:rsidRDefault="00DA2392">
      <w:pPr>
        <w:spacing w:after="0"/>
        <w:jc w:val="both"/>
        <w:rPr>
          <w:rFonts w:ascii="Arial" w:eastAsia="Arial" w:hAnsi="Arial" w:cs="Arial"/>
          <w:sz w:val="20"/>
          <w:szCs w:val="20"/>
        </w:rPr>
      </w:pPr>
    </w:p>
    <w:p w:rsidR="00DA2392" w:rsidRDefault="00DA2392">
      <w:pPr>
        <w:spacing w:after="0"/>
        <w:jc w:val="both"/>
        <w:rPr>
          <w:rFonts w:ascii="Arial" w:eastAsia="Arial" w:hAnsi="Arial" w:cs="Arial"/>
          <w:sz w:val="20"/>
          <w:szCs w:val="20"/>
        </w:rPr>
      </w:pPr>
    </w:p>
    <w:p w:rsidR="00DA2392" w:rsidRDefault="00DA2392">
      <w:pPr>
        <w:spacing w:after="0"/>
        <w:jc w:val="both"/>
        <w:rPr>
          <w:rFonts w:ascii="Arial" w:eastAsia="Arial" w:hAnsi="Arial" w:cs="Arial"/>
          <w:sz w:val="20"/>
          <w:szCs w:val="20"/>
        </w:rPr>
      </w:pPr>
    </w:p>
    <w:p w:rsidR="00DA2392" w:rsidRDefault="00902B7D">
      <w:pPr>
        <w:spacing w:after="0"/>
        <w:jc w:val="both"/>
        <w:rPr>
          <w:rFonts w:ascii="Arial" w:eastAsia="Arial" w:hAnsi="Arial" w:cs="Arial"/>
          <w:sz w:val="20"/>
          <w:szCs w:val="20"/>
        </w:rPr>
      </w:pPr>
      <w:r>
        <w:rPr>
          <w:rFonts w:ascii="Arial" w:eastAsia="Arial" w:hAnsi="Arial" w:cs="Arial"/>
          <w:b/>
          <w:sz w:val="20"/>
          <w:szCs w:val="20"/>
        </w:rPr>
        <w:t>Data Gathering</w:t>
      </w:r>
    </w:p>
    <w:p w:rsidR="00DA2392" w:rsidRDefault="00902B7D">
      <w:pPr>
        <w:spacing w:before="280" w:line="480" w:lineRule="auto"/>
        <w:jc w:val="both"/>
        <w:rPr>
          <w:rFonts w:ascii="Arial" w:eastAsia="Arial" w:hAnsi="Arial" w:cs="Arial"/>
          <w:sz w:val="20"/>
          <w:szCs w:val="20"/>
        </w:rPr>
      </w:pPr>
      <w:r>
        <w:rPr>
          <w:rFonts w:ascii="Arial" w:eastAsia="Arial" w:hAnsi="Arial" w:cs="Arial"/>
          <w:sz w:val="20"/>
          <w:szCs w:val="20"/>
        </w:rPr>
        <w:t xml:space="preserve">The researchers followed the following </w:t>
      </w:r>
      <w:proofErr w:type="gramStart"/>
      <w:r>
        <w:rPr>
          <w:rFonts w:ascii="Arial" w:eastAsia="Arial" w:hAnsi="Arial" w:cs="Arial"/>
          <w:sz w:val="20"/>
          <w:szCs w:val="20"/>
        </w:rPr>
        <w:t>steps  in</w:t>
      </w:r>
      <w:proofErr w:type="gramEnd"/>
      <w:r>
        <w:rPr>
          <w:rFonts w:ascii="Arial" w:eastAsia="Arial" w:hAnsi="Arial" w:cs="Arial"/>
          <w:sz w:val="20"/>
          <w:szCs w:val="20"/>
        </w:rPr>
        <w:t xml:space="preserve"> gathering the data:</w:t>
      </w:r>
    </w:p>
    <w:p w:rsidR="00DA2392" w:rsidRDefault="00902B7D">
      <w:pPr>
        <w:spacing w:before="280" w:line="240" w:lineRule="auto"/>
        <w:ind w:firstLine="720"/>
        <w:jc w:val="both"/>
        <w:rPr>
          <w:rFonts w:ascii="Arial" w:eastAsia="Arial" w:hAnsi="Arial" w:cs="Arial"/>
          <w:sz w:val="20"/>
          <w:szCs w:val="20"/>
        </w:rPr>
      </w:pPr>
      <w:r>
        <w:rPr>
          <w:rFonts w:ascii="Arial" w:eastAsia="Arial" w:hAnsi="Arial" w:cs="Arial"/>
          <w:b/>
          <w:sz w:val="20"/>
          <w:szCs w:val="20"/>
        </w:rPr>
        <w:t>1.</w:t>
      </w:r>
      <w:r>
        <w:rPr>
          <w:rFonts w:ascii="Arial" w:eastAsia="Arial" w:hAnsi="Arial" w:cs="Arial"/>
          <w:sz w:val="20"/>
          <w:szCs w:val="20"/>
        </w:rPr>
        <w:t xml:space="preserve"> </w:t>
      </w:r>
      <w:r>
        <w:rPr>
          <w:rFonts w:ascii="Arial" w:eastAsia="Arial" w:hAnsi="Arial" w:cs="Arial"/>
          <w:b/>
          <w:sz w:val="20"/>
          <w:szCs w:val="20"/>
        </w:rPr>
        <w:t>Seeking ethical clearance</w:t>
      </w:r>
      <w:r>
        <w:rPr>
          <w:rFonts w:ascii="Arial" w:eastAsia="Arial" w:hAnsi="Arial" w:cs="Arial"/>
          <w:sz w:val="20"/>
          <w:szCs w:val="20"/>
        </w:rPr>
        <w:t>. The researchers sought ethical clearance from the Research Ethics Office (REO) before proceeding. This was done to enhance the overall integrity and credibility of the research.</w:t>
      </w:r>
    </w:p>
    <w:p w:rsidR="00DA2392" w:rsidRDefault="00902B7D">
      <w:pPr>
        <w:spacing w:before="280" w:line="240" w:lineRule="auto"/>
        <w:ind w:firstLine="720"/>
        <w:jc w:val="both"/>
        <w:rPr>
          <w:rFonts w:ascii="Arial" w:eastAsia="Arial" w:hAnsi="Arial" w:cs="Arial"/>
          <w:sz w:val="20"/>
          <w:szCs w:val="20"/>
        </w:rPr>
      </w:pPr>
      <w:r>
        <w:rPr>
          <w:rFonts w:ascii="Arial" w:eastAsia="Arial" w:hAnsi="Arial" w:cs="Arial"/>
          <w:b/>
          <w:sz w:val="20"/>
          <w:szCs w:val="20"/>
        </w:rPr>
        <w:lastRenderedPageBreak/>
        <w:t xml:space="preserve">2. Seeking permission to conduct the study. </w:t>
      </w:r>
      <w:r>
        <w:rPr>
          <w:rFonts w:ascii="Arial" w:eastAsia="Arial" w:hAnsi="Arial" w:cs="Arial"/>
          <w:sz w:val="20"/>
          <w:szCs w:val="20"/>
        </w:rPr>
        <w:t xml:space="preserve">The researchers sought permission from the Dean of Davao Oriental State University </w:t>
      </w:r>
      <w:proofErr w:type="spellStart"/>
      <w:r>
        <w:rPr>
          <w:rFonts w:ascii="Arial" w:eastAsia="Arial" w:hAnsi="Arial" w:cs="Arial"/>
          <w:sz w:val="20"/>
          <w:szCs w:val="20"/>
        </w:rPr>
        <w:t>Cateel</w:t>
      </w:r>
      <w:proofErr w:type="spellEnd"/>
      <w:r>
        <w:rPr>
          <w:rFonts w:ascii="Arial" w:eastAsia="Arial" w:hAnsi="Arial" w:cs="Arial"/>
          <w:sz w:val="20"/>
          <w:szCs w:val="20"/>
        </w:rPr>
        <w:t xml:space="preserve"> Extension Campus to conduct the study and approve the proposed survey questionnaire</w:t>
      </w:r>
      <w:r>
        <w:rPr>
          <w:rFonts w:ascii="SimSun" w:eastAsia="SimSun" w:hAnsi="SimSun" w:cs="SimSun"/>
          <w:sz w:val="20"/>
          <w:szCs w:val="20"/>
        </w:rPr>
        <w:t>.</w:t>
      </w:r>
    </w:p>
    <w:p w:rsidR="00DA2392" w:rsidRDefault="00902B7D">
      <w:pPr>
        <w:spacing w:before="280" w:line="240" w:lineRule="auto"/>
        <w:ind w:firstLine="720"/>
        <w:jc w:val="both"/>
        <w:rPr>
          <w:rFonts w:ascii="Arial" w:eastAsia="Arial" w:hAnsi="Arial" w:cs="Arial"/>
          <w:sz w:val="20"/>
          <w:szCs w:val="20"/>
        </w:rPr>
      </w:pPr>
      <w:r>
        <w:rPr>
          <w:rFonts w:ascii="Arial" w:eastAsia="Arial" w:hAnsi="Arial" w:cs="Arial"/>
          <w:b/>
          <w:sz w:val="20"/>
          <w:szCs w:val="20"/>
        </w:rPr>
        <w:t>3. Administration and distribution of questionnaires.</w:t>
      </w:r>
      <w:r>
        <w:rPr>
          <w:rFonts w:ascii="Arial" w:eastAsia="Arial" w:hAnsi="Arial" w:cs="Arial"/>
          <w:sz w:val="20"/>
          <w:szCs w:val="20"/>
        </w:rPr>
        <w:t xml:space="preserve"> After receiving approval from the dean, the researchers administered and distributed the questionnaires to the selected respondents of the study. Before the survey, the respondents were informed that their participation was voluntary and that their information would only be kept confidential for research purposes. They were assured that there was no need to provide their names.</w:t>
      </w:r>
    </w:p>
    <w:p w:rsidR="00DA2392" w:rsidRDefault="00902B7D">
      <w:pPr>
        <w:spacing w:before="280" w:line="240" w:lineRule="auto"/>
        <w:ind w:firstLine="720"/>
        <w:jc w:val="both"/>
        <w:rPr>
          <w:rFonts w:ascii="Arial" w:eastAsia="Arial" w:hAnsi="Arial" w:cs="Arial"/>
          <w:sz w:val="20"/>
          <w:szCs w:val="20"/>
        </w:rPr>
      </w:pPr>
      <w:r>
        <w:rPr>
          <w:rFonts w:ascii="Arial" w:eastAsia="Arial" w:hAnsi="Arial" w:cs="Arial"/>
          <w:b/>
          <w:sz w:val="20"/>
          <w:szCs w:val="20"/>
        </w:rPr>
        <w:t>4. Retrieval of the questionnaires.</w:t>
      </w:r>
      <w:r>
        <w:rPr>
          <w:rFonts w:ascii="Arial" w:eastAsia="Arial" w:hAnsi="Arial" w:cs="Arial"/>
          <w:sz w:val="20"/>
          <w:szCs w:val="20"/>
        </w:rPr>
        <w:t xml:space="preserve"> The retrieved questionnaires were tallied, tabulated, analyzed, and interpreted confidentially with the assistance of a statistician.</w:t>
      </w:r>
    </w:p>
    <w:p w:rsidR="00DA2392" w:rsidRDefault="00DA2392">
      <w:pPr>
        <w:spacing w:after="0"/>
        <w:jc w:val="both"/>
        <w:rPr>
          <w:rFonts w:ascii="Arial" w:eastAsia="Arial" w:hAnsi="Arial" w:cs="Arial"/>
          <w:sz w:val="20"/>
          <w:szCs w:val="20"/>
        </w:rPr>
      </w:pPr>
    </w:p>
    <w:p w:rsidR="00DA2392" w:rsidRDefault="00902B7D">
      <w:pPr>
        <w:spacing w:after="0"/>
        <w:jc w:val="both"/>
        <w:rPr>
          <w:rFonts w:ascii="Arial" w:eastAsia="Arial" w:hAnsi="Arial" w:cs="Arial"/>
          <w:b/>
          <w:smallCaps/>
          <w:color w:val="000000"/>
          <w:sz w:val="20"/>
          <w:szCs w:val="20"/>
        </w:rPr>
      </w:pPr>
      <w:r>
        <w:rPr>
          <w:rFonts w:ascii="Arial" w:eastAsia="Arial" w:hAnsi="Arial" w:cs="Arial"/>
          <w:b/>
          <w:smallCaps/>
          <w:color w:val="000000"/>
          <w:sz w:val="20"/>
          <w:szCs w:val="20"/>
        </w:rPr>
        <w:t>4. RESULTS AND DISCUSSION</w:t>
      </w:r>
    </w:p>
    <w:p w:rsidR="00DA2392" w:rsidRDefault="00DA2392">
      <w:pPr>
        <w:spacing w:after="0"/>
        <w:jc w:val="both"/>
        <w:rPr>
          <w:rFonts w:ascii="Arial" w:eastAsia="Arial" w:hAnsi="Arial" w:cs="Arial"/>
          <w:sz w:val="20"/>
          <w:szCs w:val="20"/>
        </w:rPr>
      </w:pPr>
    </w:p>
    <w:p w:rsidR="00DA2392" w:rsidRDefault="00902B7D">
      <w:pPr>
        <w:shd w:val="clear" w:color="auto" w:fill="FFFFFF"/>
        <w:spacing w:after="0" w:line="240" w:lineRule="auto"/>
        <w:rPr>
          <w:rFonts w:ascii="Arial" w:eastAsia="Arial" w:hAnsi="Arial" w:cs="Arial"/>
          <w:b/>
          <w:sz w:val="20"/>
          <w:szCs w:val="20"/>
        </w:rPr>
      </w:pPr>
      <w:r>
        <w:rPr>
          <w:rFonts w:ascii="Arial" w:eastAsia="Arial" w:hAnsi="Arial" w:cs="Arial"/>
          <w:b/>
          <w:sz w:val="20"/>
          <w:szCs w:val="20"/>
        </w:rPr>
        <w:t>4.1 Profile of the Respondents</w:t>
      </w:r>
    </w:p>
    <w:p w:rsidR="00DA2392" w:rsidRDefault="00902B7D">
      <w:pPr>
        <w:spacing w:before="280" w:line="240" w:lineRule="auto"/>
        <w:ind w:firstLine="720"/>
        <w:jc w:val="both"/>
        <w:rPr>
          <w:rFonts w:ascii="Arial" w:eastAsia="Arial" w:hAnsi="Arial" w:cs="Arial"/>
          <w:sz w:val="20"/>
          <w:szCs w:val="20"/>
        </w:rPr>
      </w:pPr>
      <w:r>
        <w:rPr>
          <w:rFonts w:ascii="Arial" w:eastAsia="Arial" w:hAnsi="Arial" w:cs="Arial"/>
          <w:sz w:val="20"/>
          <w:szCs w:val="20"/>
        </w:rPr>
        <w:t xml:space="preserve">Total 2nd and 3rd-year college at the </w:t>
      </w:r>
      <w:proofErr w:type="spellStart"/>
      <w:r>
        <w:rPr>
          <w:rFonts w:ascii="Arial" w:eastAsia="Arial" w:hAnsi="Arial" w:cs="Arial"/>
          <w:sz w:val="20"/>
          <w:szCs w:val="20"/>
        </w:rPr>
        <w:t>Cateel</w:t>
      </w:r>
      <w:proofErr w:type="spellEnd"/>
      <w:r>
        <w:rPr>
          <w:rFonts w:ascii="Arial" w:eastAsia="Arial" w:hAnsi="Arial" w:cs="Arial"/>
          <w:sz w:val="20"/>
          <w:szCs w:val="20"/>
        </w:rPr>
        <w:t xml:space="preserve"> Extension Campus of Davao Oriental State University, including the BSBA, BSAM, BEED, BSA, and BSCRIM, was 786. Using </w:t>
      </w:r>
      <w:proofErr w:type="spellStart"/>
      <w:r>
        <w:rPr>
          <w:rFonts w:ascii="Arial" w:eastAsia="Arial" w:hAnsi="Arial" w:cs="Arial"/>
          <w:sz w:val="20"/>
          <w:szCs w:val="20"/>
        </w:rPr>
        <w:t>Slovins</w:t>
      </w:r>
      <w:proofErr w:type="spellEnd"/>
      <w:r>
        <w:rPr>
          <w:rFonts w:ascii="Arial" w:eastAsia="Arial" w:hAnsi="Arial" w:cs="Arial"/>
          <w:sz w:val="20"/>
          <w:szCs w:val="20"/>
        </w:rPr>
        <w:t>' formula, the total sample size of the students was 90, and these were the students who answered the survey and completed the questionnaire</w:t>
      </w:r>
    </w:p>
    <w:p w:rsidR="00DA2392" w:rsidRDefault="00902B7D">
      <w:pPr>
        <w:spacing w:before="280" w:line="240" w:lineRule="auto"/>
        <w:jc w:val="both"/>
        <w:rPr>
          <w:rFonts w:ascii="Arial" w:eastAsia="Arial" w:hAnsi="Arial" w:cs="Arial"/>
          <w:sz w:val="20"/>
          <w:szCs w:val="20"/>
        </w:rPr>
      </w:pPr>
      <w:r>
        <w:rPr>
          <w:rFonts w:ascii="Arial" w:eastAsia="Arial" w:hAnsi="Arial" w:cs="Arial"/>
          <w:b/>
          <w:color w:val="222222"/>
          <w:sz w:val="20"/>
          <w:szCs w:val="20"/>
          <w:highlight w:val="white"/>
        </w:rPr>
        <w:t>Table 2</w:t>
      </w:r>
      <w:r>
        <w:rPr>
          <w:rFonts w:ascii="Arial" w:eastAsia="Arial" w:hAnsi="Arial" w:cs="Arial"/>
          <w:color w:val="222222"/>
          <w:sz w:val="20"/>
          <w:szCs w:val="20"/>
          <w:highlight w:val="white"/>
        </w:rPr>
        <w:t xml:space="preserve">. </w:t>
      </w:r>
      <w:r>
        <w:rPr>
          <w:rFonts w:ascii="Arial" w:eastAsia="Arial" w:hAnsi="Arial" w:cs="Arial"/>
          <w:sz w:val="20"/>
          <w:szCs w:val="20"/>
        </w:rPr>
        <w:t xml:space="preserve"> Distribution of respondents' demographic according to sex</w:t>
      </w:r>
    </w:p>
    <w:tbl>
      <w:tblPr>
        <w:tblStyle w:val="a1"/>
        <w:tblW w:w="8208" w:type="dxa"/>
        <w:tblInd w:w="0" w:type="dxa"/>
        <w:tblLayout w:type="fixed"/>
        <w:tblLook w:val="0400" w:firstRow="0" w:lastRow="0" w:firstColumn="0" w:lastColumn="0" w:noHBand="0" w:noVBand="1"/>
      </w:tblPr>
      <w:tblGrid>
        <w:gridCol w:w="2728"/>
        <w:gridCol w:w="2738"/>
        <w:gridCol w:w="2742"/>
      </w:tblGrid>
      <w:tr w:rsidR="00DA2392">
        <w:trPr>
          <w:trHeight w:val="414"/>
        </w:trPr>
        <w:tc>
          <w:tcPr>
            <w:tcW w:w="2728" w:type="dxa"/>
            <w:tcBorders>
              <w:top w:val="single" w:sz="4" w:space="0" w:color="000000"/>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Category</w:t>
            </w:r>
          </w:p>
        </w:tc>
        <w:tc>
          <w:tcPr>
            <w:tcW w:w="2738" w:type="dxa"/>
            <w:tcBorders>
              <w:top w:val="single" w:sz="4" w:space="0" w:color="000000"/>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Frequency</w:t>
            </w:r>
          </w:p>
        </w:tc>
        <w:tc>
          <w:tcPr>
            <w:tcW w:w="2742" w:type="dxa"/>
            <w:tcBorders>
              <w:top w:val="single" w:sz="4" w:space="0" w:color="000000"/>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Percentage</w:t>
            </w:r>
          </w:p>
        </w:tc>
      </w:tr>
      <w:tr w:rsidR="00DA2392">
        <w:trPr>
          <w:trHeight w:val="323"/>
        </w:trPr>
        <w:tc>
          <w:tcPr>
            <w:tcW w:w="2728" w:type="dxa"/>
            <w:tcBorders>
              <w:top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 xml:space="preserve">Male </w:t>
            </w:r>
          </w:p>
        </w:tc>
        <w:tc>
          <w:tcPr>
            <w:tcW w:w="2738" w:type="dxa"/>
            <w:tcBorders>
              <w:top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39</w:t>
            </w:r>
          </w:p>
        </w:tc>
        <w:tc>
          <w:tcPr>
            <w:tcW w:w="2742" w:type="dxa"/>
            <w:tcBorders>
              <w:top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43.30</w:t>
            </w:r>
          </w:p>
        </w:tc>
      </w:tr>
      <w:tr w:rsidR="00DA2392">
        <w:trPr>
          <w:trHeight w:val="326"/>
        </w:trPr>
        <w:tc>
          <w:tcPr>
            <w:tcW w:w="2728"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Female</w:t>
            </w:r>
          </w:p>
        </w:tc>
        <w:tc>
          <w:tcPr>
            <w:tcW w:w="2738"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51</w:t>
            </w:r>
          </w:p>
        </w:tc>
        <w:tc>
          <w:tcPr>
            <w:tcW w:w="2742"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56.70</w:t>
            </w:r>
          </w:p>
        </w:tc>
      </w:tr>
      <w:tr w:rsidR="00DA2392">
        <w:trPr>
          <w:trHeight w:val="352"/>
        </w:trPr>
        <w:tc>
          <w:tcPr>
            <w:tcW w:w="2728" w:type="dxa"/>
            <w:tcBorders>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Total</w:t>
            </w:r>
          </w:p>
        </w:tc>
        <w:tc>
          <w:tcPr>
            <w:tcW w:w="2738" w:type="dxa"/>
            <w:tcBorders>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90</w:t>
            </w:r>
          </w:p>
        </w:tc>
        <w:tc>
          <w:tcPr>
            <w:tcW w:w="2742" w:type="dxa"/>
            <w:tcBorders>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100</w:t>
            </w:r>
          </w:p>
        </w:tc>
      </w:tr>
    </w:tbl>
    <w:p w:rsidR="00DA2392" w:rsidRDefault="00902B7D">
      <w:pPr>
        <w:spacing w:before="240" w:after="240" w:line="240" w:lineRule="auto"/>
        <w:jc w:val="both"/>
        <w:rPr>
          <w:rFonts w:ascii="Arial" w:eastAsia="Arial" w:hAnsi="Arial" w:cs="Arial"/>
          <w:sz w:val="20"/>
          <w:szCs w:val="20"/>
        </w:rPr>
      </w:pPr>
      <w:r>
        <w:rPr>
          <w:rFonts w:ascii="Arial" w:eastAsia="Arial" w:hAnsi="Arial" w:cs="Arial"/>
          <w:sz w:val="20"/>
          <w:szCs w:val="20"/>
        </w:rPr>
        <w:t xml:space="preserve">          Table 2 shows that 56.70% of respondents were female, indicating higher female participation. While financial literacy is vital for both genders, women often lag behind men in this area. </w:t>
      </w:r>
      <w:proofErr w:type="spellStart"/>
      <w:r>
        <w:rPr>
          <w:rFonts w:ascii="Arial" w:eastAsia="Arial" w:hAnsi="Arial" w:cs="Arial"/>
          <w:sz w:val="20"/>
          <w:szCs w:val="20"/>
        </w:rPr>
        <w:t>Murendo</w:t>
      </w:r>
      <w:proofErr w:type="spellEnd"/>
      <w:r>
        <w:rPr>
          <w:rFonts w:ascii="Arial" w:eastAsia="Arial" w:hAnsi="Arial" w:cs="Arial"/>
          <w:sz w:val="20"/>
          <w:szCs w:val="20"/>
        </w:rPr>
        <w:t xml:space="preserve"> and </w:t>
      </w:r>
      <w:proofErr w:type="spellStart"/>
      <w:r>
        <w:rPr>
          <w:rFonts w:ascii="Arial" w:eastAsia="Arial" w:hAnsi="Arial" w:cs="Arial"/>
          <w:sz w:val="20"/>
          <w:szCs w:val="20"/>
        </w:rPr>
        <w:t>Musonziwa</w:t>
      </w:r>
      <w:proofErr w:type="spellEnd"/>
      <w:r>
        <w:rPr>
          <w:rFonts w:ascii="Arial" w:eastAsia="Arial" w:hAnsi="Arial" w:cs="Arial"/>
          <w:sz w:val="20"/>
          <w:szCs w:val="20"/>
        </w:rPr>
        <w:t xml:space="preserve"> (2017) found that women generally have lower financial awareness, a gap also emphasized by Lusardi and Mitchell (2014), who highlighted persistent gender differences. Financial knowledge significantly influences women’s autonomy (Smile Foundation, 2024). Globally, women tend to score lower in financial literacy than men (Robson &amp; </w:t>
      </w:r>
      <w:proofErr w:type="spellStart"/>
      <w:r>
        <w:rPr>
          <w:rFonts w:ascii="Arial" w:eastAsia="Arial" w:hAnsi="Arial" w:cs="Arial"/>
          <w:sz w:val="20"/>
          <w:szCs w:val="20"/>
        </w:rPr>
        <w:t>Peetz</w:t>
      </w:r>
      <w:proofErr w:type="spellEnd"/>
      <w:r>
        <w:rPr>
          <w:rFonts w:ascii="Arial" w:eastAsia="Arial" w:hAnsi="Arial" w:cs="Arial"/>
          <w:sz w:val="20"/>
          <w:szCs w:val="20"/>
        </w:rPr>
        <w:t>, 2020), though reasons vary (</w:t>
      </w:r>
      <w:proofErr w:type="spellStart"/>
      <w:r>
        <w:rPr>
          <w:rFonts w:ascii="Arial" w:eastAsia="Arial" w:hAnsi="Arial" w:cs="Arial"/>
          <w:sz w:val="20"/>
          <w:szCs w:val="20"/>
        </w:rPr>
        <w:t>Blaschke</w:t>
      </w:r>
      <w:proofErr w:type="spellEnd"/>
      <w:r>
        <w:rPr>
          <w:rFonts w:ascii="Arial" w:eastAsia="Arial" w:hAnsi="Arial" w:cs="Arial"/>
          <w:sz w:val="20"/>
          <w:szCs w:val="20"/>
        </w:rPr>
        <w:t xml:space="preserve">, 2022). However, </w:t>
      </w:r>
      <w:proofErr w:type="spellStart"/>
      <w:r>
        <w:rPr>
          <w:rFonts w:ascii="Arial" w:eastAsia="Arial" w:hAnsi="Arial" w:cs="Arial"/>
          <w:sz w:val="20"/>
          <w:szCs w:val="20"/>
        </w:rPr>
        <w:t>Oseifuah</w:t>
      </w:r>
      <w:proofErr w:type="spellEnd"/>
      <w:r>
        <w:rPr>
          <w:rFonts w:ascii="Arial" w:eastAsia="Arial" w:hAnsi="Arial" w:cs="Arial"/>
          <w:sz w:val="20"/>
          <w:szCs w:val="20"/>
        </w:rPr>
        <w:t xml:space="preserve"> (2028) found the opposite—female students sometimes outperform males, likely due to differing educational and familial influences. This underscores the critical role of parental guidance in financial learning.</w:t>
      </w:r>
    </w:p>
    <w:p w:rsidR="00DA2392" w:rsidRDefault="00902B7D">
      <w:pPr>
        <w:spacing w:after="0" w:line="240" w:lineRule="auto"/>
        <w:jc w:val="both"/>
        <w:rPr>
          <w:rFonts w:ascii="Arial" w:eastAsia="Arial" w:hAnsi="Arial" w:cs="Arial"/>
          <w:sz w:val="20"/>
          <w:szCs w:val="20"/>
        </w:rPr>
      </w:pPr>
      <w:r>
        <w:rPr>
          <w:rFonts w:ascii="Arial" w:eastAsia="Arial" w:hAnsi="Arial" w:cs="Arial"/>
          <w:b/>
          <w:sz w:val="20"/>
          <w:szCs w:val="20"/>
        </w:rPr>
        <w:t>Table 3</w:t>
      </w:r>
      <w:r>
        <w:rPr>
          <w:rFonts w:ascii="Arial" w:eastAsia="Arial" w:hAnsi="Arial" w:cs="Arial"/>
          <w:sz w:val="20"/>
          <w:szCs w:val="20"/>
        </w:rPr>
        <w:t>. Distribution of respondents' demographic according to age</w:t>
      </w:r>
    </w:p>
    <w:tbl>
      <w:tblPr>
        <w:tblStyle w:val="a2"/>
        <w:tblW w:w="8208" w:type="dxa"/>
        <w:tblInd w:w="0" w:type="dxa"/>
        <w:tblLayout w:type="fixed"/>
        <w:tblLook w:val="0400" w:firstRow="0" w:lastRow="0" w:firstColumn="0" w:lastColumn="0" w:noHBand="0" w:noVBand="1"/>
      </w:tblPr>
      <w:tblGrid>
        <w:gridCol w:w="2727"/>
        <w:gridCol w:w="2738"/>
        <w:gridCol w:w="2743"/>
      </w:tblGrid>
      <w:tr w:rsidR="00DA2392">
        <w:trPr>
          <w:trHeight w:val="417"/>
        </w:trPr>
        <w:tc>
          <w:tcPr>
            <w:tcW w:w="2727" w:type="dxa"/>
            <w:tcBorders>
              <w:top w:val="single" w:sz="4" w:space="0" w:color="000000"/>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Category</w:t>
            </w:r>
          </w:p>
        </w:tc>
        <w:tc>
          <w:tcPr>
            <w:tcW w:w="2738" w:type="dxa"/>
            <w:tcBorders>
              <w:top w:val="single" w:sz="4" w:space="0" w:color="000000"/>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Frequency</w:t>
            </w:r>
          </w:p>
        </w:tc>
        <w:tc>
          <w:tcPr>
            <w:tcW w:w="2743" w:type="dxa"/>
            <w:tcBorders>
              <w:top w:val="single" w:sz="4" w:space="0" w:color="000000"/>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Percentage</w:t>
            </w:r>
          </w:p>
        </w:tc>
      </w:tr>
      <w:tr w:rsidR="00DA2392">
        <w:trPr>
          <w:trHeight w:val="417"/>
        </w:trPr>
        <w:tc>
          <w:tcPr>
            <w:tcW w:w="2727" w:type="dxa"/>
            <w:tcBorders>
              <w:top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18 to 20 years old</w:t>
            </w:r>
          </w:p>
        </w:tc>
        <w:tc>
          <w:tcPr>
            <w:tcW w:w="2738" w:type="dxa"/>
            <w:tcBorders>
              <w:top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19</w:t>
            </w:r>
          </w:p>
        </w:tc>
        <w:tc>
          <w:tcPr>
            <w:tcW w:w="2743" w:type="dxa"/>
            <w:tcBorders>
              <w:top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21.10</w:t>
            </w:r>
          </w:p>
        </w:tc>
      </w:tr>
      <w:tr w:rsidR="00DA2392">
        <w:trPr>
          <w:trHeight w:val="417"/>
        </w:trPr>
        <w:tc>
          <w:tcPr>
            <w:tcW w:w="2727"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21 to 23 years old</w:t>
            </w:r>
          </w:p>
        </w:tc>
        <w:tc>
          <w:tcPr>
            <w:tcW w:w="2738"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66</w:t>
            </w:r>
          </w:p>
        </w:tc>
        <w:tc>
          <w:tcPr>
            <w:tcW w:w="2743"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73.30</w:t>
            </w:r>
          </w:p>
        </w:tc>
      </w:tr>
      <w:tr w:rsidR="00DA2392">
        <w:trPr>
          <w:trHeight w:val="417"/>
        </w:trPr>
        <w:tc>
          <w:tcPr>
            <w:tcW w:w="2727"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24 to 26 years old</w:t>
            </w:r>
          </w:p>
        </w:tc>
        <w:tc>
          <w:tcPr>
            <w:tcW w:w="2738"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5</w:t>
            </w:r>
          </w:p>
        </w:tc>
        <w:tc>
          <w:tcPr>
            <w:tcW w:w="2743"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5.60</w:t>
            </w:r>
          </w:p>
        </w:tc>
      </w:tr>
      <w:tr w:rsidR="00DA2392">
        <w:trPr>
          <w:trHeight w:val="417"/>
        </w:trPr>
        <w:tc>
          <w:tcPr>
            <w:tcW w:w="2727"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lastRenderedPageBreak/>
              <w:t>27 to 30 years old</w:t>
            </w:r>
          </w:p>
        </w:tc>
        <w:tc>
          <w:tcPr>
            <w:tcW w:w="2738"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0</w:t>
            </w:r>
          </w:p>
        </w:tc>
        <w:tc>
          <w:tcPr>
            <w:tcW w:w="2743"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0.00</w:t>
            </w:r>
          </w:p>
        </w:tc>
      </w:tr>
      <w:tr w:rsidR="00DA2392">
        <w:trPr>
          <w:trHeight w:val="310"/>
        </w:trPr>
        <w:tc>
          <w:tcPr>
            <w:tcW w:w="2727" w:type="dxa"/>
            <w:tcBorders>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Total</w:t>
            </w:r>
          </w:p>
        </w:tc>
        <w:tc>
          <w:tcPr>
            <w:tcW w:w="2738" w:type="dxa"/>
            <w:tcBorders>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90</w:t>
            </w:r>
          </w:p>
        </w:tc>
        <w:tc>
          <w:tcPr>
            <w:tcW w:w="2743" w:type="dxa"/>
            <w:tcBorders>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100</w:t>
            </w:r>
          </w:p>
        </w:tc>
      </w:tr>
    </w:tbl>
    <w:p w:rsidR="00DA2392" w:rsidRDefault="00902B7D">
      <w:pPr>
        <w:spacing w:before="240" w:after="240" w:line="240" w:lineRule="auto"/>
        <w:jc w:val="both"/>
        <w:rPr>
          <w:rFonts w:ascii="Arial" w:eastAsia="Arial" w:hAnsi="Arial" w:cs="Arial"/>
          <w:color w:val="222222"/>
          <w:sz w:val="20"/>
          <w:szCs w:val="20"/>
          <w:highlight w:val="white"/>
        </w:rPr>
      </w:pPr>
      <w:r>
        <w:rPr>
          <w:rFonts w:ascii="Arial" w:eastAsia="Arial" w:hAnsi="Arial" w:cs="Arial"/>
          <w:color w:val="222222"/>
          <w:sz w:val="20"/>
          <w:szCs w:val="20"/>
          <w:highlight w:val="white"/>
        </w:rPr>
        <w:t xml:space="preserve">           Table 3 shows that most respondents (73.30%) were aged 21–23. Financial literacy tends to improve with age and education. According to FINRA (2023), university students often reach peak financial literacy in their early twenties due to increased involvement in financial decisions. While people of all ages make financial choices, older adults usually make wiser ones based on life experience and greater financial resources (Wilson, 2021).</w:t>
      </w:r>
    </w:p>
    <w:p w:rsidR="00DA2392" w:rsidRDefault="00902B7D">
      <w:pPr>
        <w:spacing w:line="240" w:lineRule="auto"/>
        <w:rPr>
          <w:rFonts w:ascii="Arial" w:eastAsia="Arial" w:hAnsi="Arial" w:cs="Arial"/>
          <w:sz w:val="20"/>
          <w:szCs w:val="20"/>
        </w:rPr>
      </w:pPr>
      <w:r>
        <w:rPr>
          <w:rFonts w:ascii="Arial" w:eastAsia="Arial" w:hAnsi="Arial" w:cs="Arial"/>
          <w:b/>
          <w:sz w:val="20"/>
          <w:szCs w:val="20"/>
        </w:rPr>
        <w:t>Table 4.</w:t>
      </w:r>
      <w:r>
        <w:rPr>
          <w:rFonts w:ascii="Arial" w:eastAsia="Arial" w:hAnsi="Arial" w:cs="Arial"/>
          <w:sz w:val="20"/>
          <w:szCs w:val="20"/>
        </w:rPr>
        <w:t xml:space="preserve">  Distribution of respondents' demographic according to program</w:t>
      </w:r>
    </w:p>
    <w:tbl>
      <w:tblPr>
        <w:tblStyle w:val="a3"/>
        <w:tblW w:w="8205" w:type="dxa"/>
        <w:tblInd w:w="0" w:type="dxa"/>
        <w:tblLayout w:type="fixed"/>
        <w:tblLook w:val="0400" w:firstRow="0" w:lastRow="0" w:firstColumn="0" w:lastColumn="0" w:noHBand="0" w:noVBand="1"/>
      </w:tblPr>
      <w:tblGrid>
        <w:gridCol w:w="3150"/>
        <w:gridCol w:w="2490"/>
        <w:gridCol w:w="2565"/>
      </w:tblGrid>
      <w:tr w:rsidR="00DA2392">
        <w:trPr>
          <w:trHeight w:val="420"/>
        </w:trPr>
        <w:tc>
          <w:tcPr>
            <w:tcW w:w="3150" w:type="dxa"/>
            <w:tcBorders>
              <w:top w:val="single" w:sz="4" w:space="0" w:color="000000"/>
              <w:bottom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b/>
                <w:sz w:val="20"/>
                <w:szCs w:val="20"/>
              </w:rPr>
              <w:t>Category</w:t>
            </w:r>
          </w:p>
        </w:tc>
        <w:tc>
          <w:tcPr>
            <w:tcW w:w="2490" w:type="dxa"/>
            <w:tcBorders>
              <w:top w:val="single" w:sz="4" w:space="0" w:color="000000"/>
              <w:bottom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b/>
                <w:sz w:val="20"/>
                <w:szCs w:val="20"/>
              </w:rPr>
              <w:t>Frequency</w:t>
            </w:r>
          </w:p>
        </w:tc>
        <w:tc>
          <w:tcPr>
            <w:tcW w:w="2565" w:type="dxa"/>
            <w:tcBorders>
              <w:top w:val="single" w:sz="4" w:space="0" w:color="000000"/>
              <w:bottom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b/>
                <w:sz w:val="20"/>
                <w:szCs w:val="20"/>
              </w:rPr>
              <w:t>Percentage</w:t>
            </w:r>
          </w:p>
        </w:tc>
      </w:tr>
      <w:tr w:rsidR="00DA2392">
        <w:trPr>
          <w:trHeight w:val="90"/>
        </w:trPr>
        <w:tc>
          <w:tcPr>
            <w:tcW w:w="3150" w:type="dxa"/>
            <w:tcBorders>
              <w:top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BEED</w:t>
            </w:r>
          </w:p>
        </w:tc>
        <w:tc>
          <w:tcPr>
            <w:tcW w:w="2490" w:type="dxa"/>
            <w:tcBorders>
              <w:top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13</w:t>
            </w:r>
          </w:p>
        </w:tc>
        <w:tc>
          <w:tcPr>
            <w:tcW w:w="2565" w:type="dxa"/>
            <w:tcBorders>
              <w:top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14.40</w:t>
            </w:r>
          </w:p>
        </w:tc>
      </w:tr>
      <w:tr w:rsidR="00DA2392">
        <w:trPr>
          <w:trHeight w:val="310"/>
        </w:trPr>
        <w:tc>
          <w:tcPr>
            <w:tcW w:w="3150"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BAT/BSA</w:t>
            </w:r>
          </w:p>
        </w:tc>
        <w:tc>
          <w:tcPr>
            <w:tcW w:w="2490"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10</w:t>
            </w:r>
          </w:p>
        </w:tc>
        <w:tc>
          <w:tcPr>
            <w:tcW w:w="2565"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11.10</w:t>
            </w:r>
          </w:p>
        </w:tc>
      </w:tr>
      <w:tr w:rsidR="00DA2392">
        <w:trPr>
          <w:trHeight w:val="310"/>
        </w:trPr>
        <w:tc>
          <w:tcPr>
            <w:tcW w:w="3150"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BSAM</w:t>
            </w:r>
          </w:p>
        </w:tc>
        <w:tc>
          <w:tcPr>
            <w:tcW w:w="2490"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11</w:t>
            </w:r>
          </w:p>
        </w:tc>
        <w:tc>
          <w:tcPr>
            <w:tcW w:w="2565"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12.20</w:t>
            </w:r>
          </w:p>
        </w:tc>
      </w:tr>
      <w:tr w:rsidR="00DA2392">
        <w:trPr>
          <w:trHeight w:val="277"/>
        </w:trPr>
        <w:tc>
          <w:tcPr>
            <w:tcW w:w="3150"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BSC</w:t>
            </w:r>
          </w:p>
        </w:tc>
        <w:tc>
          <w:tcPr>
            <w:tcW w:w="2490"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19</w:t>
            </w:r>
          </w:p>
        </w:tc>
        <w:tc>
          <w:tcPr>
            <w:tcW w:w="2565"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21.10</w:t>
            </w:r>
          </w:p>
        </w:tc>
      </w:tr>
      <w:tr w:rsidR="00DA2392">
        <w:trPr>
          <w:trHeight w:val="310"/>
        </w:trPr>
        <w:tc>
          <w:tcPr>
            <w:tcW w:w="3150"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BSBA</w:t>
            </w:r>
          </w:p>
        </w:tc>
        <w:tc>
          <w:tcPr>
            <w:tcW w:w="2490"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37</w:t>
            </w:r>
          </w:p>
        </w:tc>
        <w:tc>
          <w:tcPr>
            <w:tcW w:w="2565"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41.10</w:t>
            </w:r>
          </w:p>
        </w:tc>
      </w:tr>
      <w:tr w:rsidR="00DA2392">
        <w:trPr>
          <w:trHeight w:val="330"/>
        </w:trPr>
        <w:tc>
          <w:tcPr>
            <w:tcW w:w="3150" w:type="dxa"/>
            <w:tcBorders>
              <w:bottom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b/>
                <w:sz w:val="20"/>
                <w:szCs w:val="20"/>
              </w:rPr>
              <w:t>Total</w:t>
            </w:r>
          </w:p>
        </w:tc>
        <w:tc>
          <w:tcPr>
            <w:tcW w:w="2490" w:type="dxa"/>
            <w:tcBorders>
              <w:bottom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b/>
                <w:sz w:val="20"/>
                <w:szCs w:val="20"/>
              </w:rPr>
              <w:t>90</w:t>
            </w:r>
          </w:p>
        </w:tc>
        <w:tc>
          <w:tcPr>
            <w:tcW w:w="2565" w:type="dxa"/>
            <w:tcBorders>
              <w:bottom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b/>
                <w:sz w:val="20"/>
                <w:szCs w:val="20"/>
              </w:rPr>
              <w:t>100</w:t>
            </w:r>
          </w:p>
        </w:tc>
      </w:tr>
    </w:tbl>
    <w:p w:rsidR="00DA2392" w:rsidRDefault="00902B7D">
      <w:pPr>
        <w:spacing w:before="240" w:after="240" w:line="240" w:lineRule="auto"/>
        <w:jc w:val="both"/>
        <w:rPr>
          <w:rFonts w:ascii="Arial" w:eastAsia="Arial" w:hAnsi="Arial" w:cs="Arial"/>
          <w:sz w:val="20"/>
          <w:szCs w:val="20"/>
        </w:rPr>
      </w:pPr>
      <w:r>
        <w:rPr>
          <w:rFonts w:ascii="Arial" w:eastAsia="Arial" w:hAnsi="Arial" w:cs="Arial"/>
          <w:sz w:val="20"/>
          <w:szCs w:val="20"/>
        </w:rPr>
        <w:t xml:space="preserve">        Table 4 shows that most respondents (41.10%) were BSBA Financial Management students, followed by BSC (21.10%). Business programs, especially in financial management, are designed to enhance financial literacy through subjects like personal finance and investment (AACSB, 2022). Johnson emphasized that such training helps students make informed financial decisions. Brown (2014) also noted that financial education improves judgment, but many programs still lack practical literacy instruction (Cameron et al., 2013).</w:t>
      </w:r>
    </w:p>
    <w:p w:rsidR="00DA2392" w:rsidRDefault="00902B7D">
      <w:pPr>
        <w:spacing w:line="240" w:lineRule="auto"/>
        <w:jc w:val="both"/>
        <w:rPr>
          <w:rFonts w:ascii="Arial" w:eastAsia="Arial" w:hAnsi="Arial" w:cs="Arial"/>
          <w:sz w:val="20"/>
          <w:szCs w:val="20"/>
        </w:rPr>
      </w:pPr>
      <w:r>
        <w:rPr>
          <w:rFonts w:ascii="Arial" w:eastAsia="Arial" w:hAnsi="Arial" w:cs="Arial"/>
          <w:b/>
          <w:sz w:val="20"/>
          <w:szCs w:val="20"/>
        </w:rPr>
        <w:t xml:space="preserve">Table 5. </w:t>
      </w:r>
      <w:r>
        <w:rPr>
          <w:rFonts w:ascii="Arial" w:eastAsia="Arial" w:hAnsi="Arial" w:cs="Arial"/>
          <w:sz w:val="20"/>
          <w:szCs w:val="20"/>
        </w:rPr>
        <w:t>Distribution of respondents' demographic according to living accommodation</w:t>
      </w:r>
    </w:p>
    <w:tbl>
      <w:tblPr>
        <w:tblStyle w:val="a4"/>
        <w:tblW w:w="8205" w:type="dxa"/>
        <w:tblInd w:w="0" w:type="dxa"/>
        <w:tblLayout w:type="fixed"/>
        <w:tblLook w:val="0400" w:firstRow="0" w:lastRow="0" w:firstColumn="0" w:lastColumn="0" w:noHBand="0" w:noVBand="1"/>
      </w:tblPr>
      <w:tblGrid>
        <w:gridCol w:w="3330"/>
        <w:gridCol w:w="2400"/>
        <w:gridCol w:w="2475"/>
      </w:tblGrid>
      <w:tr w:rsidR="00DA2392">
        <w:trPr>
          <w:trHeight w:val="428"/>
        </w:trPr>
        <w:tc>
          <w:tcPr>
            <w:tcW w:w="3330" w:type="dxa"/>
            <w:tcBorders>
              <w:top w:val="single" w:sz="4" w:space="0" w:color="000000"/>
              <w:bottom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b/>
                <w:sz w:val="20"/>
                <w:szCs w:val="20"/>
              </w:rPr>
              <w:t>Category</w:t>
            </w:r>
          </w:p>
        </w:tc>
        <w:tc>
          <w:tcPr>
            <w:tcW w:w="2400" w:type="dxa"/>
            <w:tcBorders>
              <w:top w:val="single" w:sz="4" w:space="0" w:color="000000"/>
              <w:bottom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b/>
                <w:sz w:val="20"/>
                <w:szCs w:val="20"/>
              </w:rPr>
              <w:t>Frequency</w:t>
            </w:r>
          </w:p>
        </w:tc>
        <w:tc>
          <w:tcPr>
            <w:tcW w:w="2475" w:type="dxa"/>
            <w:tcBorders>
              <w:top w:val="single" w:sz="4" w:space="0" w:color="000000"/>
              <w:bottom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b/>
                <w:sz w:val="20"/>
                <w:szCs w:val="20"/>
              </w:rPr>
              <w:t>Percentage</w:t>
            </w:r>
          </w:p>
        </w:tc>
      </w:tr>
      <w:tr w:rsidR="00DA2392">
        <w:trPr>
          <w:trHeight w:val="90"/>
        </w:trPr>
        <w:tc>
          <w:tcPr>
            <w:tcW w:w="3330" w:type="dxa"/>
            <w:tcBorders>
              <w:top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Own house</w:t>
            </w:r>
          </w:p>
        </w:tc>
        <w:tc>
          <w:tcPr>
            <w:tcW w:w="2400" w:type="dxa"/>
            <w:tcBorders>
              <w:top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63</w:t>
            </w:r>
          </w:p>
        </w:tc>
        <w:tc>
          <w:tcPr>
            <w:tcW w:w="2475" w:type="dxa"/>
            <w:tcBorders>
              <w:top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70.00</w:t>
            </w:r>
          </w:p>
        </w:tc>
      </w:tr>
      <w:tr w:rsidR="00DA2392">
        <w:trPr>
          <w:trHeight w:val="336"/>
        </w:trPr>
        <w:tc>
          <w:tcPr>
            <w:tcW w:w="3330"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Temporary rented</w:t>
            </w:r>
          </w:p>
        </w:tc>
        <w:tc>
          <w:tcPr>
            <w:tcW w:w="2400"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12</w:t>
            </w:r>
          </w:p>
        </w:tc>
        <w:tc>
          <w:tcPr>
            <w:tcW w:w="2475"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13.30</w:t>
            </w:r>
          </w:p>
        </w:tc>
      </w:tr>
      <w:tr w:rsidR="00DA2392">
        <w:trPr>
          <w:trHeight w:val="302"/>
        </w:trPr>
        <w:tc>
          <w:tcPr>
            <w:tcW w:w="3330"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Regularly rented</w:t>
            </w:r>
          </w:p>
        </w:tc>
        <w:tc>
          <w:tcPr>
            <w:tcW w:w="2400"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15</w:t>
            </w:r>
          </w:p>
        </w:tc>
        <w:tc>
          <w:tcPr>
            <w:tcW w:w="2475"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16.70</w:t>
            </w:r>
          </w:p>
        </w:tc>
      </w:tr>
      <w:tr w:rsidR="00DA2392">
        <w:trPr>
          <w:trHeight w:val="90"/>
        </w:trPr>
        <w:tc>
          <w:tcPr>
            <w:tcW w:w="3330" w:type="dxa"/>
            <w:tcBorders>
              <w:bottom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b/>
                <w:sz w:val="20"/>
                <w:szCs w:val="20"/>
              </w:rPr>
              <w:t>Total</w:t>
            </w:r>
          </w:p>
        </w:tc>
        <w:tc>
          <w:tcPr>
            <w:tcW w:w="2400" w:type="dxa"/>
            <w:tcBorders>
              <w:bottom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b/>
                <w:sz w:val="20"/>
                <w:szCs w:val="20"/>
              </w:rPr>
              <w:t>90</w:t>
            </w:r>
          </w:p>
        </w:tc>
        <w:tc>
          <w:tcPr>
            <w:tcW w:w="2475" w:type="dxa"/>
            <w:tcBorders>
              <w:bottom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b/>
                <w:sz w:val="20"/>
                <w:szCs w:val="20"/>
              </w:rPr>
              <w:t>100</w:t>
            </w:r>
          </w:p>
        </w:tc>
      </w:tr>
    </w:tbl>
    <w:p w:rsidR="00DA2392" w:rsidRDefault="00902B7D">
      <w:pPr>
        <w:spacing w:before="280" w:line="240" w:lineRule="auto"/>
        <w:jc w:val="both"/>
        <w:rPr>
          <w:rFonts w:ascii="Arial" w:eastAsia="Arial" w:hAnsi="Arial" w:cs="Arial"/>
          <w:sz w:val="20"/>
          <w:szCs w:val="20"/>
        </w:rPr>
      </w:pPr>
      <w:r>
        <w:rPr>
          <w:rFonts w:ascii="Arial" w:eastAsia="Arial" w:hAnsi="Arial" w:cs="Arial"/>
          <w:sz w:val="20"/>
          <w:szCs w:val="20"/>
        </w:rPr>
        <w:t xml:space="preserve">       Table 5 shows that most students (70%) live in their own homes, indicating stable housing conditions. Housing is a major expense that can impact student well-being and academic performance. </w:t>
      </w:r>
      <w:proofErr w:type="spellStart"/>
      <w:r>
        <w:rPr>
          <w:rFonts w:ascii="Arial" w:eastAsia="Arial" w:hAnsi="Arial" w:cs="Arial"/>
          <w:sz w:val="20"/>
          <w:szCs w:val="20"/>
        </w:rPr>
        <w:t>Jabar</w:t>
      </w:r>
      <w:proofErr w:type="spellEnd"/>
      <w:r>
        <w:rPr>
          <w:rFonts w:ascii="Arial" w:eastAsia="Arial" w:hAnsi="Arial" w:cs="Arial"/>
          <w:sz w:val="20"/>
          <w:szCs w:val="20"/>
        </w:rPr>
        <w:t xml:space="preserve"> et al. (2021) found that housing-related debt can lower GPAs and credit hour enrollment. </w:t>
      </w:r>
      <w:proofErr w:type="spellStart"/>
      <w:r>
        <w:rPr>
          <w:rFonts w:ascii="Arial" w:eastAsia="Arial" w:hAnsi="Arial" w:cs="Arial"/>
          <w:sz w:val="20"/>
          <w:szCs w:val="20"/>
        </w:rPr>
        <w:t>Amiranashvili</w:t>
      </w:r>
      <w:proofErr w:type="spellEnd"/>
      <w:r>
        <w:rPr>
          <w:rFonts w:ascii="Arial" w:eastAsia="Arial" w:hAnsi="Arial" w:cs="Arial"/>
          <w:sz w:val="20"/>
          <w:szCs w:val="20"/>
        </w:rPr>
        <w:t xml:space="preserve"> (2023) also emphasized the link between financial literacy and housing stability in supporting students' overall financial health.</w:t>
      </w:r>
    </w:p>
    <w:p w:rsidR="00DA2392" w:rsidRDefault="00902B7D">
      <w:pPr>
        <w:spacing w:line="240" w:lineRule="auto"/>
        <w:rPr>
          <w:rFonts w:ascii="Arial" w:eastAsia="Arial" w:hAnsi="Arial" w:cs="Arial"/>
          <w:b/>
          <w:sz w:val="20"/>
          <w:szCs w:val="20"/>
        </w:rPr>
      </w:pPr>
      <w:r>
        <w:rPr>
          <w:rFonts w:ascii="Arial" w:eastAsia="Arial" w:hAnsi="Arial" w:cs="Arial"/>
          <w:b/>
          <w:sz w:val="20"/>
          <w:szCs w:val="20"/>
        </w:rPr>
        <w:t>Table 6.</w:t>
      </w:r>
      <w:r>
        <w:rPr>
          <w:rFonts w:ascii="Arial" w:eastAsia="Arial" w:hAnsi="Arial" w:cs="Arial"/>
          <w:sz w:val="20"/>
          <w:szCs w:val="20"/>
        </w:rPr>
        <w:t xml:space="preserve"> Distribution of respondents' demographic according to students' working status</w:t>
      </w:r>
    </w:p>
    <w:tbl>
      <w:tblPr>
        <w:tblStyle w:val="a5"/>
        <w:tblW w:w="8208" w:type="dxa"/>
        <w:tblInd w:w="0" w:type="dxa"/>
        <w:tblLayout w:type="fixed"/>
        <w:tblLook w:val="0400" w:firstRow="0" w:lastRow="0" w:firstColumn="0" w:lastColumn="0" w:noHBand="0" w:noVBand="1"/>
      </w:tblPr>
      <w:tblGrid>
        <w:gridCol w:w="2730"/>
        <w:gridCol w:w="2737"/>
        <w:gridCol w:w="2741"/>
      </w:tblGrid>
      <w:tr w:rsidR="00DA2392">
        <w:trPr>
          <w:trHeight w:val="401"/>
        </w:trPr>
        <w:tc>
          <w:tcPr>
            <w:tcW w:w="2730" w:type="dxa"/>
            <w:tcBorders>
              <w:top w:val="single" w:sz="4" w:space="0" w:color="000000"/>
              <w:bottom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b/>
                <w:sz w:val="20"/>
                <w:szCs w:val="20"/>
              </w:rPr>
              <w:t>Category</w:t>
            </w:r>
          </w:p>
        </w:tc>
        <w:tc>
          <w:tcPr>
            <w:tcW w:w="2737" w:type="dxa"/>
            <w:tcBorders>
              <w:top w:val="single" w:sz="4" w:space="0" w:color="000000"/>
              <w:bottom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b/>
                <w:sz w:val="20"/>
                <w:szCs w:val="20"/>
              </w:rPr>
              <w:t>Frequency</w:t>
            </w:r>
          </w:p>
        </w:tc>
        <w:tc>
          <w:tcPr>
            <w:tcW w:w="2741" w:type="dxa"/>
            <w:tcBorders>
              <w:top w:val="single" w:sz="4" w:space="0" w:color="000000"/>
              <w:bottom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b/>
                <w:sz w:val="20"/>
                <w:szCs w:val="20"/>
              </w:rPr>
              <w:t>Percentage</w:t>
            </w:r>
          </w:p>
        </w:tc>
      </w:tr>
      <w:tr w:rsidR="00DA2392">
        <w:trPr>
          <w:trHeight w:val="302"/>
        </w:trPr>
        <w:tc>
          <w:tcPr>
            <w:tcW w:w="2730" w:type="dxa"/>
            <w:tcBorders>
              <w:top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sz w:val="20"/>
                <w:szCs w:val="20"/>
              </w:rPr>
              <w:t xml:space="preserve">Working students </w:t>
            </w:r>
          </w:p>
        </w:tc>
        <w:tc>
          <w:tcPr>
            <w:tcW w:w="2737" w:type="dxa"/>
            <w:tcBorders>
              <w:top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sz w:val="20"/>
                <w:szCs w:val="20"/>
              </w:rPr>
              <w:t>13</w:t>
            </w:r>
          </w:p>
        </w:tc>
        <w:tc>
          <w:tcPr>
            <w:tcW w:w="2741" w:type="dxa"/>
            <w:tcBorders>
              <w:top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sz w:val="20"/>
                <w:szCs w:val="20"/>
              </w:rPr>
              <w:t>14.40</w:t>
            </w:r>
          </w:p>
        </w:tc>
      </w:tr>
      <w:tr w:rsidR="00DA2392">
        <w:trPr>
          <w:trHeight w:val="302"/>
        </w:trPr>
        <w:tc>
          <w:tcPr>
            <w:tcW w:w="2730" w:type="dxa"/>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sz w:val="20"/>
                <w:szCs w:val="20"/>
              </w:rPr>
              <w:t>Non-working students</w:t>
            </w:r>
          </w:p>
        </w:tc>
        <w:tc>
          <w:tcPr>
            <w:tcW w:w="2737" w:type="dxa"/>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sz w:val="20"/>
                <w:szCs w:val="20"/>
              </w:rPr>
              <w:t>77</w:t>
            </w:r>
          </w:p>
        </w:tc>
        <w:tc>
          <w:tcPr>
            <w:tcW w:w="2741" w:type="dxa"/>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sz w:val="20"/>
                <w:szCs w:val="20"/>
              </w:rPr>
              <w:t>85.60</w:t>
            </w:r>
          </w:p>
        </w:tc>
      </w:tr>
      <w:tr w:rsidR="00DA2392">
        <w:trPr>
          <w:trHeight w:val="410"/>
        </w:trPr>
        <w:tc>
          <w:tcPr>
            <w:tcW w:w="2730" w:type="dxa"/>
            <w:tcBorders>
              <w:bottom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b/>
                <w:sz w:val="20"/>
                <w:szCs w:val="20"/>
              </w:rPr>
              <w:t>Total</w:t>
            </w:r>
          </w:p>
        </w:tc>
        <w:tc>
          <w:tcPr>
            <w:tcW w:w="2737" w:type="dxa"/>
            <w:tcBorders>
              <w:bottom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b/>
                <w:sz w:val="20"/>
                <w:szCs w:val="20"/>
              </w:rPr>
              <w:t>90</w:t>
            </w:r>
          </w:p>
        </w:tc>
        <w:tc>
          <w:tcPr>
            <w:tcW w:w="2741" w:type="dxa"/>
            <w:tcBorders>
              <w:bottom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b/>
                <w:sz w:val="20"/>
                <w:szCs w:val="20"/>
              </w:rPr>
              <w:t>100</w:t>
            </w:r>
          </w:p>
        </w:tc>
      </w:tr>
    </w:tbl>
    <w:p w:rsidR="00DA2392" w:rsidRDefault="00902B7D">
      <w:pPr>
        <w:spacing w:before="240" w:after="240" w:line="240" w:lineRule="auto"/>
        <w:jc w:val="both"/>
        <w:rPr>
          <w:rFonts w:ascii="Arial" w:eastAsia="Arial" w:hAnsi="Arial" w:cs="Arial"/>
          <w:sz w:val="20"/>
          <w:szCs w:val="20"/>
        </w:rPr>
      </w:pPr>
      <w:r>
        <w:rPr>
          <w:rFonts w:ascii="Arial" w:eastAsia="Arial" w:hAnsi="Arial" w:cs="Arial"/>
          <w:sz w:val="20"/>
          <w:szCs w:val="20"/>
        </w:rPr>
        <w:lastRenderedPageBreak/>
        <w:t xml:space="preserve">          Table 6 shows that 14.40% of students are employed, while 85.60% are not. Taft et al. (2013) note that working students often use their income for basic needs, and Peachey (2018) highlights that avoiding debt is a common motivation. </w:t>
      </w:r>
      <w:proofErr w:type="spellStart"/>
      <w:r>
        <w:rPr>
          <w:rFonts w:ascii="Arial" w:eastAsia="Arial" w:hAnsi="Arial" w:cs="Arial"/>
          <w:sz w:val="20"/>
          <w:szCs w:val="20"/>
        </w:rPr>
        <w:t>Potrich</w:t>
      </w:r>
      <w:proofErr w:type="spellEnd"/>
      <w:r>
        <w:rPr>
          <w:rFonts w:ascii="Arial" w:eastAsia="Arial" w:hAnsi="Arial" w:cs="Arial"/>
          <w:sz w:val="20"/>
          <w:szCs w:val="20"/>
        </w:rPr>
        <w:t xml:space="preserve"> (2015) adds that employment can enhance skills and future earnings. Fernandes et al. (2014) argue that employment status influences financial literacy, with non-working students potentially having fewer opportunities for financial decision-making—underscoring the need for targeted financial education.</w:t>
      </w:r>
    </w:p>
    <w:p w:rsidR="00DA2392" w:rsidRDefault="00902B7D">
      <w:pPr>
        <w:spacing w:after="0" w:line="240" w:lineRule="auto"/>
        <w:rPr>
          <w:rFonts w:ascii="Arial" w:eastAsia="Arial" w:hAnsi="Arial" w:cs="Arial"/>
          <w:sz w:val="20"/>
          <w:szCs w:val="20"/>
        </w:rPr>
      </w:pPr>
      <w:r>
        <w:rPr>
          <w:rFonts w:ascii="Arial" w:eastAsia="Arial" w:hAnsi="Arial" w:cs="Arial"/>
          <w:b/>
          <w:sz w:val="20"/>
          <w:szCs w:val="20"/>
        </w:rPr>
        <w:t>4.2 Level of Financial Literacy</w:t>
      </w:r>
    </w:p>
    <w:p w:rsidR="00DA2392" w:rsidRDefault="00902B7D">
      <w:pPr>
        <w:spacing w:before="280" w:line="240" w:lineRule="auto"/>
        <w:jc w:val="both"/>
        <w:rPr>
          <w:rFonts w:ascii="Arial" w:eastAsia="Arial" w:hAnsi="Arial" w:cs="Arial"/>
          <w:b/>
          <w:sz w:val="20"/>
          <w:szCs w:val="20"/>
        </w:rPr>
      </w:pPr>
      <w:r>
        <w:rPr>
          <w:rFonts w:ascii="Arial" w:eastAsia="Arial" w:hAnsi="Arial" w:cs="Arial"/>
          <w:b/>
          <w:sz w:val="20"/>
          <w:szCs w:val="20"/>
        </w:rPr>
        <w:t>Table 7.</w:t>
      </w:r>
      <w:r>
        <w:rPr>
          <w:rFonts w:ascii="Arial" w:eastAsia="Arial" w:hAnsi="Arial" w:cs="Arial"/>
          <w:sz w:val="20"/>
          <w:szCs w:val="20"/>
        </w:rPr>
        <w:t xml:space="preserve"> Level of spending habits among students</w:t>
      </w:r>
    </w:p>
    <w:tbl>
      <w:tblPr>
        <w:tblStyle w:val="a6"/>
        <w:tblW w:w="8205" w:type="dxa"/>
        <w:tblInd w:w="0" w:type="dxa"/>
        <w:tblLayout w:type="fixed"/>
        <w:tblLook w:val="0400" w:firstRow="0" w:lastRow="0" w:firstColumn="0" w:lastColumn="0" w:noHBand="0" w:noVBand="1"/>
      </w:tblPr>
      <w:tblGrid>
        <w:gridCol w:w="3810"/>
        <w:gridCol w:w="1395"/>
        <w:gridCol w:w="1410"/>
        <w:gridCol w:w="1590"/>
      </w:tblGrid>
      <w:tr w:rsidR="00DA2392">
        <w:trPr>
          <w:trHeight w:val="379"/>
        </w:trPr>
        <w:tc>
          <w:tcPr>
            <w:tcW w:w="3810" w:type="dxa"/>
            <w:tcBorders>
              <w:top w:val="single" w:sz="4" w:space="0" w:color="000000"/>
              <w:bottom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b/>
                <w:sz w:val="20"/>
                <w:szCs w:val="20"/>
              </w:rPr>
              <w:t>Description</w:t>
            </w:r>
          </w:p>
        </w:tc>
        <w:tc>
          <w:tcPr>
            <w:tcW w:w="1395" w:type="dxa"/>
            <w:tcBorders>
              <w:top w:val="single" w:sz="4" w:space="0" w:color="000000"/>
              <w:bottom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b/>
                <w:sz w:val="20"/>
                <w:szCs w:val="20"/>
              </w:rPr>
              <w:t>Standard Deviation</w:t>
            </w:r>
          </w:p>
        </w:tc>
        <w:tc>
          <w:tcPr>
            <w:tcW w:w="1410" w:type="dxa"/>
            <w:tcBorders>
              <w:top w:val="single" w:sz="4" w:space="0" w:color="000000"/>
              <w:bottom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b/>
                <w:sz w:val="20"/>
                <w:szCs w:val="20"/>
              </w:rPr>
              <w:t>Mean</w:t>
            </w:r>
          </w:p>
        </w:tc>
        <w:tc>
          <w:tcPr>
            <w:tcW w:w="1590" w:type="dxa"/>
            <w:tcBorders>
              <w:top w:val="single" w:sz="4" w:space="0" w:color="000000"/>
              <w:bottom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b/>
                <w:sz w:val="20"/>
                <w:szCs w:val="20"/>
              </w:rPr>
              <w:t>Descriptive Interpretation</w:t>
            </w:r>
          </w:p>
        </w:tc>
      </w:tr>
      <w:tr w:rsidR="00DA2392">
        <w:trPr>
          <w:trHeight w:val="345"/>
        </w:trPr>
        <w:tc>
          <w:tcPr>
            <w:tcW w:w="3810" w:type="dxa"/>
            <w:tcBorders>
              <w:top w:val="single" w:sz="4" w:space="0" w:color="000000"/>
            </w:tcBorders>
            <w:tcMar>
              <w:top w:w="0" w:type="dxa"/>
              <w:left w:w="108" w:type="dxa"/>
              <w:bottom w:w="0" w:type="dxa"/>
              <w:right w:w="108" w:type="dxa"/>
            </w:tcMar>
          </w:tcPr>
          <w:p w:rsidR="00DA2392" w:rsidRDefault="00902B7D">
            <w:pPr>
              <w:spacing w:after="0" w:line="240" w:lineRule="auto"/>
              <w:rPr>
                <w:rFonts w:ascii="Arial" w:eastAsia="Arial" w:hAnsi="Arial" w:cs="Arial"/>
                <w:b/>
                <w:sz w:val="20"/>
                <w:szCs w:val="20"/>
              </w:rPr>
            </w:pPr>
            <w:r>
              <w:rPr>
                <w:rFonts w:ascii="Arial" w:eastAsia="Arial" w:hAnsi="Arial" w:cs="Arial"/>
                <w:sz w:val="20"/>
                <w:szCs w:val="20"/>
              </w:rPr>
              <w:t>Buy things on impulse.</w:t>
            </w:r>
          </w:p>
        </w:tc>
        <w:tc>
          <w:tcPr>
            <w:tcW w:w="1395" w:type="dxa"/>
            <w:tcBorders>
              <w:top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sz w:val="20"/>
                <w:szCs w:val="20"/>
              </w:rPr>
              <w:t>1.04</w:t>
            </w:r>
          </w:p>
        </w:tc>
        <w:tc>
          <w:tcPr>
            <w:tcW w:w="1410" w:type="dxa"/>
            <w:tcBorders>
              <w:top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sz w:val="20"/>
                <w:szCs w:val="20"/>
              </w:rPr>
              <w:t>2.57</w:t>
            </w:r>
          </w:p>
        </w:tc>
        <w:tc>
          <w:tcPr>
            <w:tcW w:w="1590" w:type="dxa"/>
            <w:tcBorders>
              <w:top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sz w:val="20"/>
                <w:szCs w:val="20"/>
              </w:rPr>
              <w:t>Rarely</w:t>
            </w:r>
          </w:p>
        </w:tc>
      </w:tr>
      <w:tr w:rsidR="00DA2392">
        <w:trPr>
          <w:trHeight w:val="474"/>
        </w:trPr>
        <w:tc>
          <w:tcPr>
            <w:tcW w:w="3810" w:type="dxa"/>
            <w:tcMar>
              <w:top w:w="0" w:type="dxa"/>
              <w:left w:w="108" w:type="dxa"/>
              <w:bottom w:w="0" w:type="dxa"/>
              <w:right w:w="108" w:type="dxa"/>
            </w:tcMar>
          </w:tcPr>
          <w:p w:rsidR="00DA2392" w:rsidRDefault="00902B7D">
            <w:pPr>
              <w:spacing w:after="0" w:line="240" w:lineRule="auto"/>
              <w:rPr>
                <w:rFonts w:ascii="Arial" w:eastAsia="Arial" w:hAnsi="Arial" w:cs="Arial"/>
                <w:b/>
                <w:sz w:val="20"/>
                <w:szCs w:val="20"/>
              </w:rPr>
            </w:pPr>
            <w:r>
              <w:rPr>
                <w:rFonts w:ascii="Arial" w:eastAsia="Arial" w:hAnsi="Arial" w:cs="Arial"/>
                <w:sz w:val="20"/>
                <w:szCs w:val="20"/>
              </w:rPr>
              <w:t>Spend more money right after receiving an allowance or any source of cash.</w:t>
            </w:r>
          </w:p>
        </w:tc>
        <w:tc>
          <w:tcPr>
            <w:tcW w:w="1395" w:type="dxa"/>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sz w:val="20"/>
                <w:szCs w:val="20"/>
              </w:rPr>
              <w:t>1.20</w:t>
            </w:r>
          </w:p>
        </w:tc>
        <w:tc>
          <w:tcPr>
            <w:tcW w:w="1410" w:type="dxa"/>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sz w:val="20"/>
                <w:szCs w:val="20"/>
              </w:rPr>
              <w:t>2.37</w:t>
            </w:r>
          </w:p>
        </w:tc>
        <w:tc>
          <w:tcPr>
            <w:tcW w:w="1590" w:type="dxa"/>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sz w:val="20"/>
                <w:szCs w:val="20"/>
              </w:rPr>
              <w:t>Rarely</w:t>
            </w:r>
          </w:p>
        </w:tc>
      </w:tr>
      <w:tr w:rsidR="00DA2392">
        <w:trPr>
          <w:trHeight w:val="318"/>
        </w:trPr>
        <w:tc>
          <w:tcPr>
            <w:tcW w:w="3810" w:type="dxa"/>
            <w:tcMar>
              <w:top w:w="0" w:type="dxa"/>
              <w:left w:w="108" w:type="dxa"/>
              <w:bottom w:w="0" w:type="dxa"/>
              <w:right w:w="108" w:type="dxa"/>
            </w:tcMar>
          </w:tcPr>
          <w:p w:rsidR="00DA2392" w:rsidRDefault="00902B7D">
            <w:pPr>
              <w:spacing w:after="0" w:line="240" w:lineRule="auto"/>
              <w:rPr>
                <w:rFonts w:ascii="Arial" w:eastAsia="Arial" w:hAnsi="Arial" w:cs="Arial"/>
                <w:b/>
                <w:sz w:val="20"/>
                <w:szCs w:val="20"/>
              </w:rPr>
            </w:pPr>
            <w:r>
              <w:rPr>
                <w:rFonts w:ascii="Arial" w:eastAsia="Arial" w:hAnsi="Arial" w:cs="Arial"/>
                <w:sz w:val="20"/>
                <w:szCs w:val="20"/>
              </w:rPr>
              <w:t>Treat people often or spend money on others.</w:t>
            </w:r>
          </w:p>
        </w:tc>
        <w:tc>
          <w:tcPr>
            <w:tcW w:w="1395" w:type="dxa"/>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sz w:val="20"/>
                <w:szCs w:val="20"/>
              </w:rPr>
              <w:t>0.83</w:t>
            </w:r>
          </w:p>
        </w:tc>
        <w:tc>
          <w:tcPr>
            <w:tcW w:w="1410" w:type="dxa"/>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sz w:val="20"/>
                <w:szCs w:val="20"/>
              </w:rPr>
              <w:t>2.58</w:t>
            </w:r>
          </w:p>
        </w:tc>
        <w:tc>
          <w:tcPr>
            <w:tcW w:w="1590" w:type="dxa"/>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sz w:val="20"/>
                <w:szCs w:val="20"/>
              </w:rPr>
              <w:t>Rarely</w:t>
            </w:r>
          </w:p>
        </w:tc>
      </w:tr>
      <w:tr w:rsidR="00DA2392">
        <w:trPr>
          <w:trHeight w:val="318"/>
        </w:trPr>
        <w:tc>
          <w:tcPr>
            <w:tcW w:w="3810" w:type="dxa"/>
            <w:tcMar>
              <w:top w:w="0" w:type="dxa"/>
              <w:left w:w="108" w:type="dxa"/>
              <w:bottom w:w="0" w:type="dxa"/>
              <w:right w:w="108" w:type="dxa"/>
            </w:tcMar>
          </w:tcPr>
          <w:p w:rsidR="00DA2392" w:rsidRDefault="00902B7D">
            <w:pPr>
              <w:spacing w:after="0" w:line="240" w:lineRule="auto"/>
              <w:rPr>
                <w:rFonts w:ascii="Arial" w:eastAsia="Arial" w:hAnsi="Arial" w:cs="Arial"/>
                <w:b/>
                <w:sz w:val="20"/>
                <w:szCs w:val="20"/>
              </w:rPr>
            </w:pPr>
            <w:r>
              <w:rPr>
                <w:rFonts w:ascii="Arial" w:eastAsia="Arial" w:hAnsi="Arial" w:cs="Arial"/>
                <w:sz w:val="20"/>
                <w:szCs w:val="20"/>
              </w:rPr>
              <w:t>Spend more on wants compared to needs.</w:t>
            </w:r>
          </w:p>
        </w:tc>
        <w:tc>
          <w:tcPr>
            <w:tcW w:w="1395" w:type="dxa"/>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sz w:val="20"/>
                <w:szCs w:val="20"/>
              </w:rPr>
              <w:t>1.12</w:t>
            </w:r>
          </w:p>
        </w:tc>
        <w:tc>
          <w:tcPr>
            <w:tcW w:w="1410" w:type="dxa"/>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sz w:val="20"/>
                <w:szCs w:val="20"/>
              </w:rPr>
              <w:t>2.27</w:t>
            </w:r>
          </w:p>
        </w:tc>
        <w:tc>
          <w:tcPr>
            <w:tcW w:w="1590" w:type="dxa"/>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sz w:val="20"/>
                <w:szCs w:val="20"/>
              </w:rPr>
              <w:t>Rarely</w:t>
            </w:r>
          </w:p>
        </w:tc>
      </w:tr>
      <w:tr w:rsidR="00DA2392">
        <w:trPr>
          <w:trHeight w:val="318"/>
        </w:trPr>
        <w:tc>
          <w:tcPr>
            <w:tcW w:w="3810" w:type="dxa"/>
            <w:tcMar>
              <w:top w:w="0" w:type="dxa"/>
              <w:left w:w="108" w:type="dxa"/>
              <w:bottom w:w="0" w:type="dxa"/>
              <w:right w:w="108" w:type="dxa"/>
            </w:tcMar>
          </w:tcPr>
          <w:p w:rsidR="00DA2392" w:rsidRDefault="00902B7D">
            <w:pPr>
              <w:spacing w:after="0" w:line="240" w:lineRule="auto"/>
              <w:rPr>
                <w:rFonts w:ascii="Arial" w:eastAsia="Arial" w:hAnsi="Arial" w:cs="Arial"/>
                <w:b/>
                <w:sz w:val="20"/>
                <w:szCs w:val="20"/>
              </w:rPr>
            </w:pPr>
            <w:r>
              <w:rPr>
                <w:rFonts w:ascii="Arial" w:eastAsia="Arial" w:hAnsi="Arial" w:cs="Arial"/>
                <w:sz w:val="20"/>
                <w:szCs w:val="20"/>
              </w:rPr>
              <w:t>Wait for sales before buying on wants.</w:t>
            </w:r>
          </w:p>
        </w:tc>
        <w:tc>
          <w:tcPr>
            <w:tcW w:w="1395" w:type="dxa"/>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sz w:val="20"/>
                <w:szCs w:val="20"/>
              </w:rPr>
              <w:t>1.09</w:t>
            </w:r>
          </w:p>
        </w:tc>
        <w:tc>
          <w:tcPr>
            <w:tcW w:w="1410" w:type="dxa"/>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sz w:val="20"/>
                <w:szCs w:val="20"/>
              </w:rPr>
              <w:t>3.02</w:t>
            </w:r>
          </w:p>
        </w:tc>
        <w:tc>
          <w:tcPr>
            <w:tcW w:w="1590" w:type="dxa"/>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sz w:val="20"/>
                <w:szCs w:val="20"/>
              </w:rPr>
              <w:t>Sometimes</w:t>
            </w:r>
          </w:p>
        </w:tc>
      </w:tr>
      <w:tr w:rsidR="00DA2392">
        <w:trPr>
          <w:trHeight w:val="318"/>
        </w:trPr>
        <w:tc>
          <w:tcPr>
            <w:tcW w:w="3810" w:type="dxa"/>
            <w:tcMar>
              <w:top w:w="0" w:type="dxa"/>
              <w:left w:w="108" w:type="dxa"/>
              <w:bottom w:w="0" w:type="dxa"/>
              <w:right w:w="108" w:type="dxa"/>
            </w:tcMar>
          </w:tcPr>
          <w:p w:rsidR="00DA2392" w:rsidRDefault="00902B7D">
            <w:pPr>
              <w:spacing w:after="0" w:line="240" w:lineRule="auto"/>
              <w:rPr>
                <w:rFonts w:ascii="Arial" w:eastAsia="Arial" w:hAnsi="Arial" w:cs="Arial"/>
                <w:b/>
                <w:sz w:val="20"/>
                <w:szCs w:val="20"/>
              </w:rPr>
            </w:pPr>
            <w:r>
              <w:rPr>
                <w:rFonts w:ascii="Arial" w:eastAsia="Arial" w:hAnsi="Arial" w:cs="Arial"/>
                <w:sz w:val="20"/>
                <w:szCs w:val="20"/>
              </w:rPr>
              <w:t>Spend money using a card.</w:t>
            </w:r>
          </w:p>
        </w:tc>
        <w:tc>
          <w:tcPr>
            <w:tcW w:w="1395" w:type="dxa"/>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sz w:val="20"/>
                <w:szCs w:val="20"/>
              </w:rPr>
              <w:t>0.80</w:t>
            </w:r>
          </w:p>
        </w:tc>
        <w:tc>
          <w:tcPr>
            <w:tcW w:w="1410" w:type="dxa"/>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sz w:val="20"/>
                <w:szCs w:val="20"/>
              </w:rPr>
              <w:t>1.50</w:t>
            </w:r>
          </w:p>
        </w:tc>
        <w:tc>
          <w:tcPr>
            <w:tcW w:w="1590" w:type="dxa"/>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sz w:val="20"/>
                <w:szCs w:val="20"/>
              </w:rPr>
              <w:t>Never</w:t>
            </w:r>
          </w:p>
        </w:tc>
      </w:tr>
      <w:tr w:rsidR="00DA2392">
        <w:trPr>
          <w:trHeight w:val="540"/>
        </w:trPr>
        <w:tc>
          <w:tcPr>
            <w:tcW w:w="3810" w:type="dxa"/>
            <w:tcMar>
              <w:top w:w="0" w:type="dxa"/>
              <w:left w:w="108" w:type="dxa"/>
              <w:bottom w:w="0" w:type="dxa"/>
              <w:right w:w="108" w:type="dxa"/>
            </w:tcMar>
          </w:tcPr>
          <w:p w:rsidR="00DA2392" w:rsidRDefault="00902B7D">
            <w:pPr>
              <w:spacing w:after="0" w:line="240" w:lineRule="auto"/>
              <w:rPr>
                <w:rFonts w:ascii="Arial" w:eastAsia="Arial" w:hAnsi="Arial" w:cs="Arial"/>
                <w:b/>
                <w:sz w:val="20"/>
                <w:szCs w:val="20"/>
              </w:rPr>
            </w:pPr>
            <w:r>
              <w:rPr>
                <w:rFonts w:ascii="Arial" w:eastAsia="Arial" w:hAnsi="Arial" w:cs="Arial"/>
                <w:sz w:val="20"/>
                <w:szCs w:val="20"/>
              </w:rPr>
              <w:t>Spend more on branded items compared to non-branded ones.</w:t>
            </w:r>
          </w:p>
        </w:tc>
        <w:tc>
          <w:tcPr>
            <w:tcW w:w="1395" w:type="dxa"/>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sz w:val="20"/>
                <w:szCs w:val="20"/>
              </w:rPr>
              <w:t>1.27</w:t>
            </w:r>
          </w:p>
        </w:tc>
        <w:tc>
          <w:tcPr>
            <w:tcW w:w="1410" w:type="dxa"/>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sz w:val="20"/>
                <w:szCs w:val="20"/>
              </w:rPr>
              <w:t>2.22</w:t>
            </w:r>
          </w:p>
        </w:tc>
        <w:tc>
          <w:tcPr>
            <w:tcW w:w="1590" w:type="dxa"/>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sz w:val="20"/>
                <w:szCs w:val="20"/>
              </w:rPr>
              <w:t>Rarely</w:t>
            </w:r>
          </w:p>
        </w:tc>
      </w:tr>
      <w:tr w:rsidR="00DA2392">
        <w:trPr>
          <w:trHeight w:val="315"/>
        </w:trPr>
        <w:tc>
          <w:tcPr>
            <w:tcW w:w="3810" w:type="dxa"/>
            <w:tcBorders>
              <w:bottom w:val="single" w:sz="4" w:space="0" w:color="000000"/>
            </w:tcBorders>
            <w:tcMar>
              <w:top w:w="0" w:type="dxa"/>
              <w:left w:w="108" w:type="dxa"/>
              <w:bottom w:w="0" w:type="dxa"/>
              <w:right w:w="108" w:type="dxa"/>
            </w:tcMar>
          </w:tcPr>
          <w:p w:rsidR="00DA2392" w:rsidRDefault="00902B7D">
            <w:pPr>
              <w:spacing w:after="0" w:line="240" w:lineRule="auto"/>
              <w:rPr>
                <w:rFonts w:ascii="Arial" w:eastAsia="Arial" w:hAnsi="Arial" w:cs="Arial"/>
                <w:b/>
                <w:sz w:val="20"/>
                <w:szCs w:val="20"/>
              </w:rPr>
            </w:pPr>
            <w:r>
              <w:rPr>
                <w:rFonts w:ascii="Arial" w:eastAsia="Arial" w:hAnsi="Arial" w:cs="Arial"/>
                <w:b/>
                <w:sz w:val="20"/>
                <w:szCs w:val="20"/>
              </w:rPr>
              <w:t>Grand Mean</w:t>
            </w:r>
          </w:p>
        </w:tc>
        <w:tc>
          <w:tcPr>
            <w:tcW w:w="1395" w:type="dxa"/>
            <w:tcBorders>
              <w:bottom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b/>
                <w:sz w:val="20"/>
                <w:szCs w:val="20"/>
              </w:rPr>
              <w:t>0.71</w:t>
            </w:r>
          </w:p>
        </w:tc>
        <w:tc>
          <w:tcPr>
            <w:tcW w:w="1410" w:type="dxa"/>
            <w:tcBorders>
              <w:bottom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b/>
                <w:sz w:val="20"/>
                <w:szCs w:val="20"/>
              </w:rPr>
              <w:t>2.36</w:t>
            </w:r>
          </w:p>
        </w:tc>
        <w:tc>
          <w:tcPr>
            <w:tcW w:w="1590" w:type="dxa"/>
            <w:tcBorders>
              <w:bottom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b/>
                <w:sz w:val="20"/>
                <w:szCs w:val="20"/>
              </w:rPr>
            </w:pPr>
            <w:r>
              <w:rPr>
                <w:rFonts w:ascii="Arial" w:eastAsia="Arial" w:hAnsi="Arial" w:cs="Arial"/>
                <w:b/>
                <w:sz w:val="20"/>
                <w:szCs w:val="20"/>
              </w:rPr>
              <w:t>Rarely</w:t>
            </w:r>
          </w:p>
        </w:tc>
      </w:tr>
    </w:tbl>
    <w:p w:rsidR="00DA2392" w:rsidRDefault="00902B7D">
      <w:pPr>
        <w:spacing w:before="240" w:after="240" w:line="240" w:lineRule="auto"/>
        <w:jc w:val="both"/>
        <w:rPr>
          <w:rFonts w:ascii="Arial" w:eastAsia="Arial" w:hAnsi="Arial" w:cs="Arial"/>
          <w:sz w:val="20"/>
          <w:szCs w:val="20"/>
        </w:rPr>
      </w:pPr>
      <w:r>
        <w:rPr>
          <w:rFonts w:ascii="Arial" w:eastAsia="Arial" w:hAnsi="Arial" w:cs="Arial"/>
          <w:sz w:val="20"/>
          <w:szCs w:val="20"/>
        </w:rPr>
        <w:t xml:space="preserve">         Table 7 shows that students at DORSU-CEC demonstrate generally cautious spending habits, with a mean score of 2.36. Most avoid using cards (mean = 1.50) and tend to wait for sales (mean = 3.02), indicating thoughtful spending. Preferences for branded items vary widely (SD = 1.27). Villanueva (2017) highlights the importance of understanding student spending, while Lim et al. (2014) and </w:t>
      </w:r>
      <w:proofErr w:type="spellStart"/>
      <w:r>
        <w:rPr>
          <w:rFonts w:ascii="Arial" w:eastAsia="Arial" w:hAnsi="Arial" w:cs="Arial"/>
          <w:sz w:val="20"/>
          <w:szCs w:val="20"/>
        </w:rPr>
        <w:t>Nadome</w:t>
      </w:r>
      <w:proofErr w:type="spellEnd"/>
      <w:r>
        <w:rPr>
          <w:rFonts w:ascii="Arial" w:eastAsia="Arial" w:hAnsi="Arial" w:cs="Arial"/>
          <w:sz w:val="20"/>
          <w:szCs w:val="20"/>
        </w:rPr>
        <w:t xml:space="preserve"> (2014) note that many students rely on borrowing, especially those from lower-income backgrounds. </w:t>
      </w:r>
      <w:proofErr w:type="spellStart"/>
      <w:r>
        <w:rPr>
          <w:rFonts w:ascii="Arial" w:eastAsia="Arial" w:hAnsi="Arial" w:cs="Arial"/>
          <w:sz w:val="20"/>
          <w:szCs w:val="20"/>
        </w:rPr>
        <w:t>Nadome’s</w:t>
      </w:r>
      <w:proofErr w:type="spellEnd"/>
      <w:r>
        <w:rPr>
          <w:rFonts w:ascii="Arial" w:eastAsia="Arial" w:hAnsi="Arial" w:cs="Arial"/>
          <w:sz w:val="20"/>
          <w:szCs w:val="20"/>
        </w:rPr>
        <w:t xml:space="preserve"> findings also show that financial behavior fluctuates with independence, and today’s students face greater financial demands due to modern academic necessities.</w:t>
      </w:r>
    </w:p>
    <w:p w:rsidR="00DA2392" w:rsidRDefault="00DA2392">
      <w:pPr>
        <w:spacing w:before="240" w:after="240" w:line="240" w:lineRule="auto"/>
        <w:jc w:val="both"/>
        <w:rPr>
          <w:rFonts w:ascii="Arial" w:eastAsia="Arial" w:hAnsi="Arial" w:cs="Arial"/>
          <w:b/>
          <w:sz w:val="20"/>
          <w:szCs w:val="20"/>
        </w:rPr>
      </w:pPr>
    </w:p>
    <w:p w:rsidR="00DA2392" w:rsidRDefault="00DA2392">
      <w:pPr>
        <w:spacing w:before="240" w:after="240" w:line="240" w:lineRule="auto"/>
        <w:jc w:val="both"/>
        <w:rPr>
          <w:rFonts w:ascii="Arial" w:eastAsia="Arial" w:hAnsi="Arial" w:cs="Arial"/>
          <w:b/>
          <w:sz w:val="20"/>
          <w:szCs w:val="20"/>
        </w:rPr>
      </w:pPr>
    </w:p>
    <w:p w:rsidR="00DA2392" w:rsidRDefault="00902B7D">
      <w:pPr>
        <w:spacing w:before="240" w:after="240" w:line="240" w:lineRule="auto"/>
        <w:jc w:val="both"/>
        <w:rPr>
          <w:rFonts w:ascii="Arial" w:eastAsia="Arial" w:hAnsi="Arial" w:cs="Arial"/>
          <w:sz w:val="20"/>
          <w:szCs w:val="20"/>
        </w:rPr>
      </w:pPr>
      <w:r>
        <w:rPr>
          <w:rFonts w:ascii="Arial" w:eastAsia="Arial" w:hAnsi="Arial" w:cs="Arial"/>
          <w:b/>
          <w:sz w:val="20"/>
          <w:szCs w:val="20"/>
        </w:rPr>
        <w:t xml:space="preserve">Table 8. </w:t>
      </w:r>
      <w:r>
        <w:rPr>
          <w:rFonts w:ascii="Arial" w:eastAsia="Arial" w:hAnsi="Arial" w:cs="Arial"/>
          <w:sz w:val="20"/>
          <w:szCs w:val="20"/>
        </w:rPr>
        <w:t>Level of saving habits among students</w:t>
      </w:r>
    </w:p>
    <w:tbl>
      <w:tblPr>
        <w:tblStyle w:val="a7"/>
        <w:tblW w:w="8209" w:type="dxa"/>
        <w:tblInd w:w="0" w:type="dxa"/>
        <w:tblLayout w:type="fixed"/>
        <w:tblLook w:val="0400" w:firstRow="0" w:lastRow="0" w:firstColumn="0" w:lastColumn="0" w:noHBand="0" w:noVBand="1"/>
      </w:tblPr>
      <w:tblGrid>
        <w:gridCol w:w="2632"/>
        <w:gridCol w:w="1831"/>
        <w:gridCol w:w="1646"/>
        <w:gridCol w:w="2100"/>
      </w:tblGrid>
      <w:tr w:rsidR="00DA2392">
        <w:trPr>
          <w:trHeight w:val="602"/>
        </w:trPr>
        <w:tc>
          <w:tcPr>
            <w:tcW w:w="2632" w:type="dxa"/>
            <w:tcBorders>
              <w:top w:val="single" w:sz="4" w:space="0" w:color="000000"/>
              <w:bottom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b/>
                <w:sz w:val="20"/>
                <w:szCs w:val="20"/>
              </w:rPr>
              <w:t>Description</w:t>
            </w:r>
          </w:p>
        </w:tc>
        <w:tc>
          <w:tcPr>
            <w:tcW w:w="1831" w:type="dxa"/>
            <w:tcBorders>
              <w:top w:val="single" w:sz="4" w:space="0" w:color="000000"/>
              <w:bottom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b/>
                <w:sz w:val="20"/>
                <w:szCs w:val="20"/>
              </w:rPr>
              <w:t>Standard Deviation</w:t>
            </w:r>
          </w:p>
        </w:tc>
        <w:tc>
          <w:tcPr>
            <w:tcW w:w="1646" w:type="dxa"/>
            <w:tcBorders>
              <w:top w:val="single" w:sz="4" w:space="0" w:color="000000"/>
              <w:bottom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b/>
                <w:sz w:val="20"/>
                <w:szCs w:val="20"/>
              </w:rPr>
              <w:t>Mean</w:t>
            </w:r>
          </w:p>
        </w:tc>
        <w:tc>
          <w:tcPr>
            <w:tcW w:w="2100" w:type="dxa"/>
            <w:tcBorders>
              <w:top w:val="single" w:sz="4" w:space="0" w:color="000000"/>
              <w:bottom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b/>
                <w:sz w:val="20"/>
                <w:szCs w:val="20"/>
              </w:rPr>
              <w:t>Descriptive Interpretation</w:t>
            </w:r>
          </w:p>
        </w:tc>
      </w:tr>
      <w:tr w:rsidR="00DA2392">
        <w:trPr>
          <w:trHeight w:val="632"/>
        </w:trPr>
        <w:tc>
          <w:tcPr>
            <w:tcW w:w="2632" w:type="dxa"/>
            <w:tcBorders>
              <w:top w:val="single" w:sz="4" w:space="0" w:color="000000"/>
            </w:tcBorders>
            <w:tcMar>
              <w:top w:w="0" w:type="dxa"/>
              <w:left w:w="108" w:type="dxa"/>
              <w:bottom w:w="0" w:type="dxa"/>
              <w:right w:w="108" w:type="dxa"/>
            </w:tcMar>
          </w:tcPr>
          <w:p w:rsidR="00DA2392" w:rsidRDefault="00902B7D">
            <w:pPr>
              <w:spacing w:after="0" w:line="240" w:lineRule="auto"/>
              <w:rPr>
                <w:rFonts w:ascii="Arial" w:eastAsia="Arial" w:hAnsi="Arial" w:cs="Arial"/>
                <w:sz w:val="20"/>
                <w:szCs w:val="20"/>
              </w:rPr>
            </w:pPr>
            <w:r>
              <w:rPr>
                <w:rFonts w:ascii="Arial" w:eastAsia="Arial" w:hAnsi="Arial" w:cs="Arial"/>
                <w:sz w:val="20"/>
                <w:szCs w:val="20"/>
              </w:rPr>
              <w:t>To allocate a budget to match with spending.</w:t>
            </w:r>
          </w:p>
        </w:tc>
        <w:tc>
          <w:tcPr>
            <w:tcW w:w="1831" w:type="dxa"/>
            <w:tcBorders>
              <w:top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0.97</w:t>
            </w:r>
          </w:p>
        </w:tc>
        <w:tc>
          <w:tcPr>
            <w:tcW w:w="1646" w:type="dxa"/>
            <w:tcBorders>
              <w:top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3.97</w:t>
            </w:r>
          </w:p>
        </w:tc>
        <w:tc>
          <w:tcPr>
            <w:tcW w:w="2100" w:type="dxa"/>
            <w:tcBorders>
              <w:top w:val="single" w:sz="4" w:space="0" w:color="000000"/>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Often</w:t>
            </w:r>
          </w:p>
        </w:tc>
      </w:tr>
      <w:tr w:rsidR="00DA2392">
        <w:trPr>
          <w:trHeight w:val="749"/>
        </w:trPr>
        <w:tc>
          <w:tcPr>
            <w:tcW w:w="2632" w:type="dxa"/>
            <w:tcMar>
              <w:top w:w="0" w:type="dxa"/>
              <w:left w:w="108" w:type="dxa"/>
              <w:bottom w:w="0" w:type="dxa"/>
              <w:right w:w="108" w:type="dxa"/>
            </w:tcMar>
          </w:tcPr>
          <w:p w:rsidR="00DA2392" w:rsidRDefault="00902B7D">
            <w:pPr>
              <w:spacing w:after="0" w:line="240" w:lineRule="auto"/>
              <w:rPr>
                <w:rFonts w:ascii="Arial" w:eastAsia="Arial" w:hAnsi="Arial" w:cs="Arial"/>
                <w:sz w:val="20"/>
                <w:szCs w:val="20"/>
              </w:rPr>
            </w:pPr>
            <w:r>
              <w:rPr>
                <w:rFonts w:ascii="Arial" w:eastAsia="Arial" w:hAnsi="Arial" w:cs="Arial"/>
                <w:sz w:val="20"/>
                <w:szCs w:val="20"/>
              </w:rPr>
              <w:t>See to it that you would always have weekly or monthly savings.</w:t>
            </w:r>
          </w:p>
        </w:tc>
        <w:tc>
          <w:tcPr>
            <w:tcW w:w="1831"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0.92</w:t>
            </w:r>
          </w:p>
        </w:tc>
        <w:tc>
          <w:tcPr>
            <w:tcW w:w="1646"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3.62</w:t>
            </w:r>
          </w:p>
        </w:tc>
        <w:tc>
          <w:tcPr>
            <w:tcW w:w="2100"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Often</w:t>
            </w:r>
          </w:p>
        </w:tc>
      </w:tr>
      <w:tr w:rsidR="00DA2392">
        <w:trPr>
          <w:trHeight w:val="764"/>
        </w:trPr>
        <w:tc>
          <w:tcPr>
            <w:tcW w:w="2632" w:type="dxa"/>
            <w:tcMar>
              <w:top w:w="0" w:type="dxa"/>
              <w:left w:w="108" w:type="dxa"/>
              <w:bottom w:w="0" w:type="dxa"/>
              <w:right w:w="108" w:type="dxa"/>
            </w:tcMar>
          </w:tcPr>
          <w:p w:rsidR="00DA2392" w:rsidRDefault="00902B7D">
            <w:pPr>
              <w:spacing w:after="0" w:line="240" w:lineRule="auto"/>
              <w:rPr>
                <w:rFonts w:ascii="Arial" w:eastAsia="Arial" w:hAnsi="Arial" w:cs="Arial"/>
                <w:sz w:val="20"/>
                <w:szCs w:val="20"/>
              </w:rPr>
            </w:pPr>
            <w:r>
              <w:rPr>
                <w:rFonts w:ascii="Arial" w:eastAsia="Arial" w:hAnsi="Arial" w:cs="Arial"/>
                <w:sz w:val="20"/>
                <w:szCs w:val="20"/>
              </w:rPr>
              <w:lastRenderedPageBreak/>
              <w:t>To determine what should be prioritized before and during buying items.</w:t>
            </w:r>
          </w:p>
        </w:tc>
        <w:tc>
          <w:tcPr>
            <w:tcW w:w="1831"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0.89</w:t>
            </w:r>
          </w:p>
        </w:tc>
        <w:tc>
          <w:tcPr>
            <w:tcW w:w="1646"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4.16</w:t>
            </w:r>
          </w:p>
        </w:tc>
        <w:tc>
          <w:tcPr>
            <w:tcW w:w="2100"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Often</w:t>
            </w:r>
          </w:p>
        </w:tc>
      </w:tr>
      <w:tr w:rsidR="00DA2392">
        <w:trPr>
          <w:trHeight w:val="794"/>
        </w:trPr>
        <w:tc>
          <w:tcPr>
            <w:tcW w:w="2632" w:type="dxa"/>
            <w:tcMar>
              <w:top w:w="0" w:type="dxa"/>
              <w:left w:w="108" w:type="dxa"/>
              <w:bottom w:w="0" w:type="dxa"/>
              <w:right w:w="108" w:type="dxa"/>
            </w:tcMar>
          </w:tcPr>
          <w:p w:rsidR="00DA2392" w:rsidRDefault="00902B7D">
            <w:pPr>
              <w:spacing w:after="0" w:line="240" w:lineRule="auto"/>
              <w:rPr>
                <w:rFonts w:ascii="Arial" w:eastAsia="Arial" w:hAnsi="Arial" w:cs="Arial"/>
                <w:sz w:val="20"/>
                <w:szCs w:val="20"/>
              </w:rPr>
            </w:pPr>
            <w:r>
              <w:rPr>
                <w:rFonts w:ascii="Arial" w:eastAsia="Arial" w:hAnsi="Arial" w:cs="Arial"/>
                <w:sz w:val="20"/>
                <w:szCs w:val="20"/>
              </w:rPr>
              <w:t>Do written or electronic budget planning or preparation.</w:t>
            </w:r>
          </w:p>
        </w:tc>
        <w:tc>
          <w:tcPr>
            <w:tcW w:w="1831"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0.98</w:t>
            </w:r>
          </w:p>
        </w:tc>
        <w:tc>
          <w:tcPr>
            <w:tcW w:w="1646"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3.26</w:t>
            </w:r>
          </w:p>
        </w:tc>
        <w:tc>
          <w:tcPr>
            <w:tcW w:w="2100"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Often</w:t>
            </w:r>
          </w:p>
        </w:tc>
      </w:tr>
      <w:tr w:rsidR="00DA2392">
        <w:trPr>
          <w:trHeight w:val="549"/>
        </w:trPr>
        <w:tc>
          <w:tcPr>
            <w:tcW w:w="2632" w:type="dxa"/>
            <w:tcMar>
              <w:top w:w="0" w:type="dxa"/>
              <w:left w:w="108" w:type="dxa"/>
              <w:bottom w:w="0" w:type="dxa"/>
              <w:right w:w="108" w:type="dxa"/>
            </w:tcMar>
          </w:tcPr>
          <w:p w:rsidR="00DA2392" w:rsidRDefault="00902B7D">
            <w:pPr>
              <w:spacing w:after="0" w:line="240" w:lineRule="auto"/>
              <w:rPr>
                <w:rFonts w:ascii="Arial" w:eastAsia="Arial" w:hAnsi="Arial" w:cs="Arial"/>
                <w:sz w:val="20"/>
                <w:szCs w:val="20"/>
              </w:rPr>
            </w:pPr>
            <w:r>
              <w:rPr>
                <w:rFonts w:ascii="Arial" w:eastAsia="Arial" w:hAnsi="Arial" w:cs="Arial"/>
                <w:sz w:val="20"/>
                <w:szCs w:val="20"/>
              </w:rPr>
              <w:t>Keep receipts and bills to be conscious of spending.</w:t>
            </w:r>
          </w:p>
        </w:tc>
        <w:tc>
          <w:tcPr>
            <w:tcW w:w="1831"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1.04</w:t>
            </w:r>
          </w:p>
        </w:tc>
        <w:tc>
          <w:tcPr>
            <w:tcW w:w="1646"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3.52</w:t>
            </w:r>
          </w:p>
        </w:tc>
        <w:tc>
          <w:tcPr>
            <w:tcW w:w="2100"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Often</w:t>
            </w:r>
          </w:p>
        </w:tc>
      </w:tr>
      <w:tr w:rsidR="00DA2392">
        <w:trPr>
          <w:trHeight w:val="779"/>
        </w:trPr>
        <w:tc>
          <w:tcPr>
            <w:tcW w:w="2632" w:type="dxa"/>
            <w:tcMar>
              <w:top w:w="0" w:type="dxa"/>
              <w:left w:w="108" w:type="dxa"/>
              <w:bottom w:w="0" w:type="dxa"/>
              <w:right w:w="108" w:type="dxa"/>
            </w:tcMar>
          </w:tcPr>
          <w:p w:rsidR="00DA2392" w:rsidRDefault="00902B7D">
            <w:pPr>
              <w:spacing w:after="0" w:line="240" w:lineRule="auto"/>
              <w:rPr>
                <w:rFonts w:ascii="Arial" w:eastAsia="Arial" w:hAnsi="Arial" w:cs="Arial"/>
                <w:sz w:val="20"/>
                <w:szCs w:val="20"/>
              </w:rPr>
            </w:pPr>
            <w:r>
              <w:rPr>
                <w:rFonts w:ascii="Arial" w:eastAsia="Arial" w:hAnsi="Arial" w:cs="Arial"/>
                <w:sz w:val="20"/>
                <w:szCs w:val="20"/>
              </w:rPr>
              <w:t>Use personal money (savings) for wants and needs.</w:t>
            </w:r>
          </w:p>
        </w:tc>
        <w:tc>
          <w:tcPr>
            <w:tcW w:w="1831"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0.98</w:t>
            </w:r>
          </w:p>
        </w:tc>
        <w:tc>
          <w:tcPr>
            <w:tcW w:w="1646"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3.75</w:t>
            </w:r>
          </w:p>
        </w:tc>
        <w:tc>
          <w:tcPr>
            <w:tcW w:w="2100"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Often</w:t>
            </w:r>
          </w:p>
        </w:tc>
      </w:tr>
      <w:tr w:rsidR="00DA2392">
        <w:trPr>
          <w:trHeight w:val="975"/>
        </w:trPr>
        <w:tc>
          <w:tcPr>
            <w:tcW w:w="2632" w:type="dxa"/>
            <w:tcMar>
              <w:top w:w="0" w:type="dxa"/>
              <w:left w:w="108" w:type="dxa"/>
              <w:bottom w:w="0" w:type="dxa"/>
              <w:right w:w="108" w:type="dxa"/>
            </w:tcMar>
          </w:tcPr>
          <w:p w:rsidR="00DA2392" w:rsidRDefault="00902B7D">
            <w:pPr>
              <w:spacing w:after="0" w:line="240" w:lineRule="auto"/>
              <w:rPr>
                <w:rFonts w:ascii="Arial" w:eastAsia="Arial" w:hAnsi="Arial" w:cs="Arial"/>
                <w:sz w:val="20"/>
                <w:szCs w:val="20"/>
              </w:rPr>
            </w:pPr>
            <w:r>
              <w:rPr>
                <w:rFonts w:ascii="Arial" w:eastAsia="Arial" w:hAnsi="Arial" w:cs="Arial"/>
                <w:sz w:val="20"/>
                <w:szCs w:val="20"/>
              </w:rPr>
              <w:t>Set aside money for the lord before budgeting for needs and wants.</w:t>
            </w:r>
          </w:p>
        </w:tc>
        <w:tc>
          <w:tcPr>
            <w:tcW w:w="1831"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0.83</w:t>
            </w:r>
          </w:p>
        </w:tc>
        <w:tc>
          <w:tcPr>
            <w:tcW w:w="1646"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3.62</w:t>
            </w:r>
          </w:p>
        </w:tc>
        <w:tc>
          <w:tcPr>
            <w:tcW w:w="2100" w:type="dxa"/>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Often</w:t>
            </w:r>
          </w:p>
        </w:tc>
      </w:tr>
      <w:tr w:rsidR="00DA2392">
        <w:trPr>
          <w:trHeight w:val="754"/>
        </w:trPr>
        <w:tc>
          <w:tcPr>
            <w:tcW w:w="2632" w:type="dxa"/>
            <w:tcBorders>
              <w:bottom w:val="single" w:sz="4" w:space="0" w:color="000000"/>
            </w:tcBorders>
            <w:tcMar>
              <w:top w:w="0" w:type="dxa"/>
              <w:left w:w="108" w:type="dxa"/>
              <w:bottom w:w="0" w:type="dxa"/>
              <w:right w:w="108" w:type="dxa"/>
            </w:tcMar>
          </w:tcPr>
          <w:p w:rsidR="00DA2392" w:rsidRDefault="00DA2392">
            <w:pPr>
              <w:spacing w:after="0" w:line="240" w:lineRule="auto"/>
              <w:rPr>
                <w:rFonts w:ascii="Arial" w:eastAsia="Arial" w:hAnsi="Arial" w:cs="Arial"/>
                <w:b/>
                <w:sz w:val="20"/>
                <w:szCs w:val="20"/>
              </w:rPr>
            </w:pPr>
          </w:p>
          <w:p w:rsidR="00DA2392" w:rsidRDefault="00902B7D">
            <w:pPr>
              <w:spacing w:after="0" w:line="240" w:lineRule="auto"/>
              <w:rPr>
                <w:rFonts w:ascii="Arial" w:eastAsia="Arial" w:hAnsi="Arial" w:cs="Arial"/>
                <w:sz w:val="20"/>
                <w:szCs w:val="20"/>
              </w:rPr>
            </w:pPr>
            <w:r>
              <w:rPr>
                <w:rFonts w:ascii="Arial" w:eastAsia="Arial" w:hAnsi="Arial" w:cs="Arial"/>
                <w:b/>
                <w:sz w:val="20"/>
                <w:szCs w:val="20"/>
              </w:rPr>
              <w:t>Grand Mean</w:t>
            </w:r>
          </w:p>
        </w:tc>
        <w:tc>
          <w:tcPr>
            <w:tcW w:w="1831" w:type="dxa"/>
            <w:tcBorders>
              <w:bottom w:val="single" w:sz="4" w:space="0" w:color="000000"/>
            </w:tcBorders>
            <w:tcMar>
              <w:top w:w="0" w:type="dxa"/>
              <w:left w:w="108" w:type="dxa"/>
              <w:bottom w:w="0" w:type="dxa"/>
              <w:right w:w="108" w:type="dxa"/>
            </w:tcMar>
          </w:tcPr>
          <w:p w:rsidR="00DA2392" w:rsidRDefault="00DA2392">
            <w:pPr>
              <w:spacing w:after="0" w:line="240" w:lineRule="auto"/>
              <w:jc w:val="center"/>
              <w:rPr>
                <w:rFonts w:ascii="Arial" w:eastAsia="Arial" w:hAnsi="Arial" w:cs="Arial"/>
                <w:b/>
                <w:sz w:val="20"/>
                <w:szCs w:val="20"/>
              </w:rPr>
            </w:pPr>
          </w:p>
          <w:p w:rsidR="00DA2392" w:rsidRDefault="00902B7D">
            <w:pPr>
              <w:spacing w:after="0" w:line="240" w:lineRule="auto"/>
              <w:jc w:val="center"/>
              <w:rPr>
                <w:rFonts w:ascii="Arial" w:eastAsia="Arial" w:hAnsi="Arial" w:cs="Arial"/>
                <w:sz w:val="20"/>
                <w:szCs w:val="20"/>
              </w:rPr>
            </w:pPr>
            <w:r>
              <w:rPr>
                <w:rFonts w:ascii="Arial" w:eastAsia="Arial" w:hAnsi="Arial" w:cs="Arial"/>
                <w:b/>
                <w:sz w:val="20"/>
                <w:szCs w:val="20"/>
              </w:rPr>
              <w:t>0.55</w:t>
            </w:r>
          </w:p>
        </w:tc>
        <w:tc>
          <w:tcPr>
            <w:tcW w:w="1646" w:type="dxa"/>
            <w:tcBorders>
              <w:bottom w:val="single" w:sz="4" w:space="0" w:color="000000"/>
            </w:tcBorders>
            <w:tcMar>
              <w:top w:w="0" w:type="dxa"/>
              <w:left w:w="108" w:type="dxa"/>
              <w:bottom w:w="0" w:type="dxa"/>
              <w:right w:w="108" w:type="dxa"/>
            </w:tcMar>
          </w:tcPr>
          <w:p w:rsidR="00DA2392" w:rsidRDefault="00DA2392">
            <w:pPr>
              <w:spacing w:after="0" w:line="240" w:lineRule="auto"/>
              <w:jc w:val="center"/>
              <w:rPr>
                <w:rFonts w:ascii="Arial" w:eastAsia="Arial" w:hAnsi="Arial" w:cs="Arial"/>
                <w:b/>
                <w:sz w:val="20"/>
                <w:szCs w:val="20"/>
              </w:rPr>
            </w:pPr>
          </w:p>
          <w:p w:rsidR="00DA2392" w:rsidRDefault="00902B7D">
            <w:pPr>
              <w:spacing w:after="0" w:line="240" w:lineRule="auto"/>
              <w:jc w:val="center"/>
              <w:rPr>
                <w:rFonts w:ascii="Arial" w:eastAsia="Arial" w:hAnsi="Arial" w:cs="Arial"/>
                <w:sz w:val="20"/>
                <w:szCs w:val="20"/>
              </w:rPr>
            </w:pPr>
            <w:r>
              <w:rPr>
                <w:rFonts w:ascii="Arial" w:eastAsia="Arial" w:hAnsi="Arial" w:cs="Arial"/>
                <w:b/>
                <w:sz w:val="20"/>
                <w:szCs w:val="20"/>
              </w:rPr>
              <w:t>3.70</w:t>
            </w:r>
          </w:p>
        </w:tc>
        <w:tc>
          <w:tcPr>
            <w:tcW w:w="2100" w:type="dxa"/>
            <w:tcBorders>
              <w:bottom w:val="single" w:sz="4" w:space="0" w:color="000000"/>
            </w:tcBorders>
            <w:tcMar>
              <w:top w:w="0" w:type="dxa"/>
              <w:left w:w="108" w:type="dxa"/>
              <w:bottom w:w="0" w:type="dxa"/>
              <w:right w:w="108" w:type="dxa"/>
            </w:tcMar>
          </w:tcPr>
          <w:p w:rsidR="00DA2392" w:rsidRDefault="00DA2392">
            <w:pPr>
              <w:spacing w:after="0" w:line="240" w:lineRule="auto"/>
              <w:jc w:val="center"/>
              <w:rPr>
                <w:rFonts w:ascii="Arial" w:eastAsia="Arial" w:hAnsi="Arial" w:cs="Arial"/>
                <w:b/>
                <w:sz w:val="20"/>
                <w:szCs w:val="20"/>
              </w:rPr>
            </w:pPr>
          </w:p>
          <w:p w:rsidR="00DA2392" w:rsidRDefault="00902B7D">
            <w:pPr>
              <w:spacing w:after="0" w:line="240" w:lineRule="auto"/>
              <w:jc w:val="center"/>
              <w:rPr>
                <w:rFonts w:ascii="Arial" w:eastAsia="Arial" w:hAnsi="Arial" w:cs="Arial"/>
                <w:b/>
                <w:sz w:val="20"/>
                <w:szCs w:val="20"/>
              </w:rPr>
            </w:pPr>
            <w:r>
              <w:rPr>
                <w:rFonts w:ascii="Arial" w:eastAsia="Arial" w:hAnsi="Arial" w:cs="Arial"/>
                <w:b/>
                <w:sz w:val="20"/>
                <w:szCs w:val="20"/>
              </w:rPr>
              <w:t>Often</w:t>
            </w:r>
          </w:p>
          <w:p w:rsidR="00DA2392" w:rsidRDefault="00DA2392">
            <w:pPr>
              <w:spacing w:after="0" w:line="240" w:lineRule="auto"/>
              <w:jc w:val="center"/>
              <w:rPr>
                <w:rFonts w:ascii="Arial" w:eastAsia="Arial" w:hAnsi="Arial" w:cs="Arial"/>
                <w:b/>
                <w:sz w:val="20"/>
                <w:szCs w:val="20"/>
              </w:rPr>
            </w:pPr>
          </w:p>
          <w:p w:rsidR="00DA2392" w:rsidRDefault="00DA2392">
            <w:pPr>
              <w:spacing w:after="0" w:line="240" w:lineRule="auto"/>
              <w:jc w:val="center"/>
              <w:rPr>
                <w:rFonts w:ascii="Arial" w:eastAsia="Arial" w:hAnsi="Arial" w:cs="Arial"/>
                <w:b/>
                <w:sz w:val="20"/>
                <w:szCs w:val="20"/>
              </w:rPr>
            </w:pPr>
          </w:p>
          <w:p w:rsidR="00DA2392" w:rsidRDefault="00DA2392">
            <w:pPr>
              <w:spacing w:after="0" w:line="240" w:lineRule="auto"/>
              <w:jc w:val="center"/>
              <w:rPr>
                <w:rFonts w:ascii="Arial" w:eastAsia="Arial" w:hAnsi="Arial" w:cs="Arial"/>
                <w:b/>
                <w:sz w:val="20"/>
                <w:szCs w:val="20"/>
              </w:rPr>
            </w:pPr>
          </w:p>
          <w:p w:rsidR="00DA2392" w:rsidRDefault="00DA2392">
            <w:pPr>
              <w:spacing w:after="0" w:line="240" w:lineRule="auto"/>
              <w:jc w:val="center"/>
              <w:rPr>
                <w:rFonts w:ascii="Arial" w:eastAsia="Arial" w:hAnsi="Arial" w:cs="Arial"/>
                <w:b/>
                <w:sz w:val="20"/>
                <w:szCs w:val="20"/>
              </w:rPr>
            </w:pPr>
          </w:p>
          <w:p w:rsidR="00DA2392" w:rsidRDefault="00DA2392">
            <w:pPr>
              <w:spacing w:after="0" w:line="240" w:lineRule="auto"/>
              <w:jc w:val="center"/>
              <w:rPr>
                <w:rFonts w:ascii="Arial" w:eastAsia="Arial" w:hAnsi="Arial" w:cs="Arial"/>
                <w:b/>
                <w:sz w:val="20"/>
                <w:szCs w:val="20"/>
              </w:rPr>
            </w:pPr>
          </w:p>
        </w:tc>
      </w:tr>
    </w:tbl>
    <w:p w:rsidR="00DA2392" w:rsidRDefault="00902B7D">
      <w:pPr>
        <w:spacing w:before="240" w:after="240" w:line="240" w:lineRule="auto"/>
        <w:jc w:val="both"/>
        <w:rPr>
          <w:rFonts w:ascii="Arial" w:eastAsia="Arial" w:hAnsi="Arial" w:cs="Arial"/>
          <w:sz w:val="20"/>
          <w:szCs w:val="20"/>
        </w:rPr>
      </w:pPr>
      <w:r>
        <w:rPr>
          <w:rFonts w:ascii="Arial" w:eastAsia="Arial" w:hAnsi="Arial" w:cs="Arial"/>
          <w:sz w:val="20"/>
          <w:szCs w:val="20"/>
        </w:rPr>
        <w:t xml:space="preserve">          Table 8 shows that students generally demonstrate strong saving habits, with an overall mean of 3.70. They are especially mindful about prioritizing purchases (mean = 4.16), though fewer consistently plan budgets (mean = 3.26). Variability in tracking expenses (SD = 1.04) suggests inconsistency in monitoring spending. Lusardi and Mitchell (2014) stress that budgeting is key to sound financial decisions, while </w:t>
      </w:r>
      <w:proofErr w:type="spellStart"/>
      <w:r>
        <w:rPr>
          <w:rFonts w:ascii="Arial" w:eastAsia="Arial" w:hAnsi="Arial" w:cs="Arial"/>
          <w:sz w:val="20"/>
          <w:szCs w:val="20"/>
        </w:rPr>
        <w:t>Ajide</w:t>
      </w:r>
      <w:proofErr w:type="spellEnd"/>
      <w:r>
        <w:rPr>
          <w:rFonts w:ascii="Arial" w:eastAsia="Arial" w:hAnsi="Arial" w:cs="Arial"/>
          <w:sz w:val="20"/>
          <w:szCs w:val="20"/>
        </w:rPr>
        <w:t xml:space="preserve"> (2015) highlights the importance of developing saving habits early. </w:t>
      </w:r>
      <w:proofErr w:type="spellStart"/>
      <w:r>
        <w:rPr>
          <w:rFonts w:ascii="Arial" w:eastAsia="Arial" w:hAnsi="Arial" w:cs="Arial"/>
          <w:sz w:val="20"/>
          <w:szCs w:val="20"/>
        </w:rPr>
        <w:t>Remund</w:t>
      </w:r>
      <w:proofErr w:type="spellEnd"/>
      <w:r>
        <w:rPr>
          <w:rFonts w:ascii="Arial" w:eastAsia="Arial" w:hAnsi="Arial" w:cs="Arial"/>
          <w:sz w:val="20"/>
          <w:szCs w:val="20"/>
        </w:rPr>
        <w:t xml:space="preserve"> (2010) notes financial literacy includes effective money management. Parental influence (Homan, 2016; </w:t>
      </w:r>
      <w:proofErr w:type="spellStart"/>
      <w:r>
        <w:rPr>
          <w:rFonts w:ascii="Arial" w:eastAsia="Arial" w:hAnsi="Arial" w:cs="Arial"/>
          <w:sz w:val="20"/>
          <w:szCs w:val="20"/>
        </w:rPr>
        <w:t>Bucciol</w:t>
      </w:r>
      <w:proofErr w:type="spellEnd"/>
      <w:r>
        <w:rPr>
          <w:rFonts w:ascii="Arial" w:eastAsia="Arial" w:hAnsi="Arial" w:cs="Arial"/>
          <w:sz w:val="20"/>
          <w:szCs w:val="20"/>
        </w:rPr>
        <w:t xml:space="preserve"> &amp; Veronesi, 2014) and peer support (</w:t>
      </w:r>
      <w:proofErr w:type="spellStart"/>
      <w:r>
        <w:rPr>
          <w:rFonts w:ascii="Arial" w:eastAsia="Arial" w:hAnsi="Arial" w:cs="Arial"/>
          <w:sz w:val="20"/>
          <w:szCs w:val="20"/>
        </w:rPr>
        <w:t>Alekam</w:t>
      </w:r>
      <w:proofErr w:type="spellEnd"/>
      <w:r>
        <w:rPr>
          <w:rFonts w:ascii="Arial" w:eastAsia="Arial" w:hAnsi="Arial" w:cs="Arial"/>
          <w:sz w:val="20"/>
          <w:szCs w:val="20"/>
        </w:rPr>
        <w:t xml:space="preserve"> et al., 2018) also shape saving behaviors.</w:t>
      </w:r>
    </w:p>
    <w:p w:rsidR="00DA2392" w:rsidRDefault="00902B7D">
      <w:pPr>
        <w:spacing w:before="280" w:line="240" w:lineRule="auto"/>
        <w:jc w:val="both"/>
        <w:rPr>
          <w:rFonts w:ascii="Arial" w:eastAsia="Arial" w:hAnsi="Arial" w:cs="Arial"/>
          <w:sz w:val="20"/>
          <w:szCs w:val="20"/>
        </w:rPr>
      </w:pPr>
      <w:r>
        <w:rPr>
          <w:rFonts w:ascii="Arial" w:eastAsia="Arial" w:hAnsi="Arial" w:cs="Arial"/>
          <w:b/>
          <w:sz w:val="20"/>
          <w:szCs w:val="20"/>
        </w:rPr>
        <w:t>Table 9</w:t>
      </w:r>
      <w:r>
        <w:rPr>
          <w:rFonts w:ascii="Arial" w:eastAsia="Arial" w:hAnsi="Arial" w:cs="Arial"/>
          <w:sz w:val="20"/>
          <w:szCs w:val="20"/>
        </w:rPr>
        <w:t xml:space="preserve">. Level of financial knowledge among students </w:t>
      </w:r>
    </w:p>
    <w:tbl>
      <w:tblPr>
        <w:tblStyle w:val="a8"/>
        <w:tblW w:w="8210" w:type="dxa"/>
        <w:tblInd w:w="0" w:type="dxa"/>
        <w:tblLayout w:type="fixed"/>
        <w:tblLook w:val="0400" w:firstRow="0" w:lastRow="0" w:firstColumn="0" w:lastColumn="0" w:noHBand="0" w:noVBand="1"/>
      </w:tblPr>
      <w:tblGrid>
        <w:gridCol w:w="2632"/>
        <w:gridCol w:w="1841"/>
        <w:gridCol w:w="1651"/>
        <w:gridCol w:w="2086"/>
      </w:tblGrid>
      <w:tr w:rsidR="00DA2392">
        <w:trPr>
          <w:trHeight w:val="660"/>
        </w:trPr>
        <w:tc>
          <w:tcPr>
            <w:tcW w:w="2632" w:type="dxa"/>
            <w:tcBorders>
              <w:top w:val="single" w:sz="4" w:space="0" w:color="000000"/>
              <w:left w:val="nil"/>
              <w:bottom w:val="single" w:sz="4" w:space="0" w:color="000000"/>
              <w:right w:val="nil"/>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b/>
                <w:sz w:val="20"/>
                <w:szCs w:val="20"/>
              </w:rPr>
              <w:t>Description</w:t>
            </w:r>
          </w:p>
        </w:tc>
        <w:tc>
          <w:tcPr>
            <w:tcW w:w="1841" w:type="dxa"/>
            <w:tcBorders>
              <w:top w:val="single" w:sz="4" w:space="0" w:color="000000"/>
              <w:left w:val="nil"/>
              <w:bottom w:val="single" w:sz="4" w:space="0" w:color="000000"/>
              <w:right w:val="nil"/>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b/>
                <w:sz w:val="20"/>
                <w:szCs w:val="20"/>
              </w:rPr>
              <w:t>Standard Deviation</w:t>
            </w:r>
          </w:p>
        </w:tc>
        <w:tc>
          <w:tcPr>
            <w:tcW w:w="1651" w:type="dxa"/>
            <w:tcBorders>
              <w:top w:val="single" w:sz="4" w:space="0" w:color="000000"/>
              <w:left w:val="nil"/>
              <w:bottom w:val="single" w:sz="4" w:space="0" w:color="000000"/>
              <w:right w:val="nil"/>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b/>
                <w:sz w:val="20"/>
                <w:szCs w:val="20"/>
              </w:rPr>
              <w:t>Mean</w:t>
            </w:r>
          </w:p>
        </w:tc>
        <w:tc>
          <w:tcPr>
            <w:tcW w:w="2086" w:type="dxa"/>
            <w:tcBorders>
              <w:top w:val="single" w:sz="4" w:space="0" w:color="000000"/>
              <w:left w:val="nil"/>
              <w:bottom w:val="single" w:sz="4" w:space="0" w:color="000000"/>
              <w:right w:val="nil"/>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b/>
                <w:sz w:val="20"/>
                <w:szCs w:val="20"/>
              </w:rPr>
              <w:t xml:space="preserve">Descriptive Interpretation </w:t>
            </w:r>
          </w:p>
        </w:tc>
      </w:tr>
      <w:tr w:rsidR="00DA2392">
        <w:trPr>
          <w:trHeight w:val="854"/>
        </w:trPr>
        <w:tc>
          <w:tcPr>
            <w:tcW w:w="2632" w:type="dxa"/>
            <w:tcBorders>
              <w:top w:val="single" w:sz="4" w:space="0" w:color="000000"/>
              <w:left w:val="nil"/>
              <w:bottom w:val="nil"/>
              <w:right w:val="nil"/>
            </w:tcBorders>
            <w:tcMar>
              <w:top w:w="0" w:type="dxa"/>
              <w:left w:w="108" w:type="dxa"/>
              <w:bottom w:w="0" w:type="dxa"/>
              <w:right w:w="108" w:type="dxa"/>
            </w:tcMar>
          </w:tcPr>
          <w:p w:rsidR="00DA2392" w:rsidRDefault="00902B7D">
            <w:pPr>
              <w:spacing w:after="0" w:line="240" w:lineRule="auto"/>
              <w:rPr>
                <w:rFonts w:ascii="Arial" w:eastAsia="Arial" w:hAnsi="Arial" w:cs="Arial"/>
                <w:sz w:val="20"/>
                <w:szCs w:val="20"/>
              </w:rPr>
            </w:pPr>
            <w:r>
              <w:rPr>
                <w:rFonts w:ascii="Arial" w:eastAsia="Arial" w:hAnsi="Arial" w:cs="Arial"/>
                <w:sz w:val="20"/>
                <w:szCs w:val="20"/>
              </w:rPr>
              <w:t>I feel confident in my knowledge and ability to manage my own finances.</w:t>
            </w:r>
          </w:p>
        </w:tc>
        <w:tc>
          <w:tcPr>
            <w:tcW w:w="1841" w:type="dxa"/>
            <w:tcBorders>
              <w:top w:val="single" w:sz="4" w:space="0" w:color="000000"/>
              <w:left w:val="nil"/>
              <w:bottom w:val="nil"/>
              <w:right w:val="nil"/>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0.82</w:t>
            </w:r>
          </w:p>
        </w:tc>
        <w:tc>
          <w:tcPr>
            <w:tcW w:w="1651" w:type="dxa"/>
            <w:tcBorders>
              <w:top w:val="single" w:sz="4" w:space="0" w:color="000000"/>
              <w:left w:val="nil"/>
              <w:bottom w:val="nil"/>
              <w:right w:val="nil"/>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3.88</w:t>
            </w:r>
          </w:p>
        </w:tc>
        <w:tc>
          <w:tcPr>
            <w:tcW w:w="2086" w:type="dxa"/>
            <w:tcBorders>
              <w:top w:val="single" w:sz="4" w:space="0" w:color="000000"/>
              <w:left w:val="nil"/>
              <w:bottom w:val="nil"/>
              <w:right w:val="nil"/>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Advanced Knowledge</w:t>
            </w:r>
          </w:p>
        </w:tc>
      </w:tr>
      <w:tr w:rsidR="00DA2392">
        <w:trPr>
          <w:trHeight w:val="1269"/>
        </w:trPr>
        <w:tc>
          <w:tcPr>
            <w:tcW w:w="2632" w:type="dxa"/>
            <w:tcBorders>
              <w:top w:val="nil"/>
              <w:left w:val="nil"/>
              <w:bottom w:val="nil"/>
              <w:right w:val="nil"/>
            </w:tcBorders>
            <w:tcMar>
              <w:top w:w="0" w:type="dxa"/>
              <w:left w:w="108" w:type="dxa"/>
              <w:bottom w:w="0" w:type="dxa"/>
              <w:right w:w="108" w:type="dxa"/>
            </w:tcMar>
          </w:tcPr>
          <w:p w:rsidR="00DA2392" w:rsidRDefault="00902B7D">
            <w:pPr>
              <w:spacing w:after="0" w:line="240" w:lineRule="auto"/>
              <w:rPr>
                <w:rFonts w:ascii="Arial" w:eastAsia="Arial" w:hAnsi="Arial" w:cs="Arial"/>
                <w:sz w:val="20"/>
                <w:szCs w:val="20"/>
              </w:rPr>
            </w:pPr>
            <w:r>
              <w:rPr>
                <w:rFonts w:ascii="Arial" w:eastAsia="Arial" w:hAnsi="Arial" w:cs="Arial"/>
                <w:sz w:val="20"/>
                <w:szCs w:val="20"/>
              </w:rPr>
              <w:t>Consider myself to be financially literate (able to maximize present money in order to gain financial stability).</w:t>
            </w:r>
          </w:p>
        </w:tc>
        <w:tc>
          <w:tcPr>
            <w:tcW w:w="1841" w:type="dxa"/>
            <w:tcBorders>
              <w:top w:val="nil"/>
              <w:left w:val="nil"/>
              <w:bottom w:val="nil"/>
              <w:right w:val="nil"/>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0.78</w:t>
            </w:r>
          </w:p>
        </w:tc>
        <w:tc>
          <w:tcPr>
            <w:tcW w:w="1651" w:type="dxa"/>
            <w:tcBorders>
              <w:top w:val="nil"/>
              <w:left w:val="nil"/>
              <w:bottom w:val="nil"/>
              <w:right w:val="nil"/>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3.83</w:t>
            </w:r>
          </w:p>
        </w:tc>
        <w:tc>
          <w:tcPr>
            <w:tcW w:w="2086" w:type="dxa"/>
            <w:tcBorders>
              <w:top w:val="nil"/>
              <w:left w:val="nil"/>
              <w:bottom w:val="nil"/>
              <w:right w:val="nil"/>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Advanced Knowledge</w:t>
            </w:r>
          </w:p>
        </w:tc>
      </w:tr>
      <w:tr w:rsidR="00DA2392">
        <w:trPr>
          <w:trHeight w:val="564"/>
        </w:trPr>
        <w:tc>
          <w:tcPr>
            <w:tcW w:w="2632" w:type="dxa"/>
            <w:tcBorders>
              <w:top w:val="nil"/>
              <w:left w:val="nil"/>
              <w:bottom w:val="nil"/>
              <w:right w:val="nil"/>
            </w:tcBorders>
            <w:tcMar>
              <w:top w:w="0" w:type="dxa"/>
              <w:left w:w="108" w:type="dxa"/>
              <w:bottom w:w="0" w:type="dxa"/>
              <w:right w:w="108" w:type="dxa"/>
            </w:tcMar>
          </w:tcPr>
          <w:p w:rsidR="00DA2392" w:rsidRDefault="00902B7D">
            <w:pPr>
              <w:spacing w:after="0" w:line="240" w:lineRule="auto"/>
              <w:rPr>
                <w:rFonts w:ascii="Arial" w:eastAsia="Arial" w:hAnsi="Arial" w:cs="Arial"/>
                <w:sz w:val="20"/>
                <w:szCs w:val="20"/>
              </w:rPr>
            </w:pPr>
            <w:r>
              <w:rPr>
                <w:rFonts w:ascii="Arial" w:eastAsia="Arial" w:hAnsi="Arial" w:cs="Arial"/>
                <w:sz w:val="20"/>
                <w:szCs w:val="20"/>
              </w:rPr>
              <w:t>Aware of the exchange rate of peso.</w:t>
            </w:r>
          </w:p>
        </w:tc>
        <w:tc>
          <w:tcPr>
            <w:tcW w:w="1841" w:type="dxa"/>
            <w:tcBorders>
              <w:top w:val="nil"/>
              <w:left w:val="nil"/>
              <w:bottom w:val="nil"/>
              <w:right w:val="nil"/>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0.76</w:t>
            </w:r>
          </w:p>
        </w:tc>
        <w:tc>
          <w:tcPr>
            <w:tcW w:w="1651" w:type="dxa"/>
            <w:tcBorders>
              <w:top w:val="nil"/>
              <w:left w:val="nil"/>
              <w:bottom w:val="nil"/>
              <w:right w:val="nil"/>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3.74</w:t>
            </w:r>
          </w:p>
        </w:tc>
        <w:tc>
          <w:tcPr>
            <w:tcW w:w="2086" w:type="dxa"/>
            <w:tcBorders>
              <w:top w:val="nil"/>
              <w:left w:val="nil"/>
              <w:bottom w:val="nil"/>
              <w:right w:val="nil"/>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Advanced Knowledge</w:t>
            </w:r>
          </w:p>
        </w:tc>
      </w:tr>
      <w:tr w:rsidR="00DA2392">
        <w:trPr>
          <w:trHeight w:val="594"/>
        </w:trPr>
        <w:tc>
          <w:tcPr>
            <w:tcW w:w="2632" w:type="dxa"/>
            <w:tcBorders>
              <w:top w:val="nil"/>
              <w:left w:val="nil"/>
              <w:bottom w:val="nil"/>
              <w:right w:val="nil"/>
            </w:tcBorders>
            <w:tcMar>
              <w:top w:w="0" w:type="dxa"/>
              <w:left w:w="108" w:type="dxa"/>
              <w:bottom w:w="0" w:type="dxa"/>
              <w:right w:w="108" w:type="dxa"/>
            </w:tcMar>
          </w:tcPr>
          <w:p w:rsidR="00DA2392" w:rsidRDefault="00902B7D">
            <w:pPr>
              <w:spacing w:after="0" w:line="240" w:lineRule="auto"/>
              <w:rPr>
                <w:rFonts w:ascii="Arial" w:eastAsia="Arial" w:hAnsi="Arial" w:cs="Arial"/>
                <w:sz w:val="20"/>
                <w:szCs w:val="20"/>
              </w:rPr>
            </w:pPr>
            <w:r>
              <w:rPr>
                <w:rFonts w:ascii="Arial" w:eastAsia="Arial" w:hAnsi="Arial" w:cs="Arial"/>
                <w:sz w:val="20"/>
                <w:szCs w:val="20"/>
              </w:rPr>
              <w:t>Aware of the inflation rate of the Philippines.</w:t>
            </w:r>
          </w:p>
        </w:tc>
        <w:tc>
          <w:tcPr>
            <w:tcW w:w="1841" w:type="dxa"/>
            <w:tcBorders>
              <w:top w:val="nil"/>
              <w:left w:val="nil"/>
              <w:bottom w:val="nil"/>
              <w:right w:val="nil"/>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0.77</w:t>
            </w:r>
          </w:p>
        </w:tc>
        <w:tc>
          <w:tcPr>
            <w:tcW w:w="1651" w:type="dxa"/>
            <w:tcBorders>
              <w:top w:val="nil"/>
              <w:left w:val="nil"/>
              <w:bottom w:val="nil"/>
              <w:right w:val="nil"/>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3.79</w:t>
            </w:r>
          </w:p>
        </w:tc>
        <w:tc>
          <w:tcPr>
            <w:tcW w:w="2086" w:type="dxa"/>
            <w:tcBorders>
              <w:top w:val="nil"/>
              <w:left w:val="nil"/>
              <w:bottom w:val="nil"/>
              <w:right w:val="nil"/>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Advanced Knowledge</w:t>
            </w:r>
          </w:p>
        </w:tc>
      </w:tr>
      <w:tr w:rsidR="00DA2392">
        <w:trPr>
          <w:trHeight w:val="1009"/>
        </w:trPr>
        <w:tc>
          <w:tcPr>
            <w:tcW w:w="2632" w:type="dxa"/>
            <w:tcBorders>
              <w:top w:val="nil"/>
              <w:left w:val="nil"/>
              <w:bottom w:val="nil"/>
              <w:right w:val="nil"/>
            </w:tcBorders>
            <w:tcMar>
              <w:top w:w="0" w:type="dxa"/>
              <w:left w:w="108" w:type="dxa"/>
              <w:bottom w:w="0" w:type="dxa"/>
              <w:right w:w="108" w:type="dxa"/>
            </w:tcMar>
          </w:tcPr>
          <w:p w:rsidR="00DA2392" w:rsidRDefault="00902B7D">
            <w:pPr>
              <w:spacing w:after="0" w:line="240" w:lineRule="auto"/>
              <w:rPr>
                <w:rFonts w:ascii="Arial" w:eastAsia="Arial" w:hAnsi="Arial" w:cs="Arial"/>
                <w:sz w:val="20"/>
                <w:szCs w:val="20"/>
              </w:rPr>
            </w:pPr>
            <w:r>
              <w:rPr>
                <w:rFonts w:ascii="Arial" w:eastAsia="Arial" w:hAnsi="Arial" w:cs="Arial"/>
                <w:sz w:val="20"/>
                <w:szCs w:val="20"/>
              </w:rPr>
              <w:lastRenderedPageBreak/>
              <w:t>Read and understand contracts, especially those involving money, before signing.</w:t>
            </w:r>
          </w:p>
        </w:tc>
        <w:tc>
          <w:tcPr>
            <w:tcW w:w="1841" w:type="dxa"/>
            <w:tcBorders>
              <w:top w:val="nil"/>
              <w:left w:val="nil"/>
              <w:bottom w:val="nil"/>
              <w:right w:val="nil"/>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0.94</w:t>
            </w:r>
          </w:p>
        </w:tc>
        <w:tc>
          <w:tcPr>
            <w:tcW w:w="1651" w:type="dxa"/>
            <w:tcBorders>
              <w:top w:val="nil"/>
              <w:left w:val="nil"/>
              <w:bottom w:val="nil"/>
              <w:right w:val="nil"/>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4.10</w:t>
            </w:r>
          </w:p>
        </w:tc>
        <w:tc>
          <w:tcPr>
            <w:tcW w:w="2086" w:type="dxa"/>
            <w:tcBorders>
              <w:top w:val="nil"/>
              <w:left w:val="nil"/>
              <w:bottom w:val="nil"/>
              <w:right w:val="nil"/>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Advance Knowledge</w:t>
            </w:r>
          </w:p>
        </w:tc>
      </w:tr>
      <w:tr w:rsidR="00DA2392">
        <w:trPr>
          <w:trHeight w:val="1009"/>
        </w:trPr>
        <w:tc>
          <w:tcPr>
            <w:tcW w:w="2632" w:type="dxa"/>
            <w:tcBorders>
              <w:top w:val="nil"/>
              <w:left w:val="nil"/>
              <w:bottom w:val="nil"/>
              <w:right w:val="nil"/>
            </w:tcBorders>
            <w:tcMar>
              <w:top w:w="0" w:type="dxa"/>
              <w:left w:w="108" w:type="dxa"/>
              <w:bottom w:w="0" w:type="dxa"/>
              <w:right w:w="108" w:type="dxa"/>
            </w:tcMar>
          </w:tcPr>
          <w:p w:rsidR="00DA2392" w:rsidRDefault="00902B7D">
            <w:pPr>
              <w:spacing w:after="0" w:line="240" w:lineRule="auto"/>
              <w:rPr>
                <w:rFonts w:ascii="Arial" w:eastAsia="Arial" w:hAnsi="Arial" w:cs="Arial"/>
                <w:sz w:val="20"/>
                <w:szCs w:val="20"/>
              </w:rPr>
            </w:pPr>
            <w:r>
              <w:rPr>
                <w:rFonts w:ascii="Arial" w:eastAsia="Arial" w:hAnsi="Arial" w:cs="Arial"/>
                <w:sz w:val="20"/>
                <w:szCs w:val="20"/>
              </w:rPr>
              <w:t>Learn financial management and obtain financial knowledge through parents.</w:t>
            </w:r>
          </w:p>
        </w:tc>
        <w:tc>
          <w:tcPr>
            <w:tcW w:w="1841" w:type="dxa"/>
            <w:tcBorders>
              <w:top w:val="nil"/>
              <w:left w:val="nil"/>
              <w:bottom w:val="nil"/>
              <w:right w:val="nil"/>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0.85</w:t>
            </w:r>
          </w:p>
        </w:tc>
        <w:tc>
          <w:tcPr>
            <w:tcW w:w="1651" w:type="dxa"/>
            <w:tcBorders>
              <w:top w:val="nil"/>
              <w:left w:val="nil"/>
              <w:bottom w:val="nil"/>
              <w:right w:val="nil"/>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4.24</w:t>
            </w:r>
          </w:p>
        </w:tc>
        <w:tc>
          <w:tcPr>
            <w:tcW w:w="2086" w:type="dxa"/>
            <w:tcBorders>
              <w:top w:val="nil"/>
              <w:left w:val="nil"/>
              <w:bottom w:val="nil"/>
              <w:right w:val="nil"/>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Expert Knowledge</w:t>
            </w:r>
          </w:p>
        </w:tc>
      </w:tr>
      <w:tr w:rsidR="00DA2392">
        <w:trPr>
          <w:trHeight w:val="749"/>
        </w:trPr>
        <w:tc>
          <w:tcPr>
            <w:tcW w:w="2632" w:type="dxa"/>
            <w:tcBorders>
              <w:top w:val="nil"/>
              <w:left w:val="nil"/>
              <w:bottom w:val="nil"/>
              <w:right w:val="nil"/>
            </w:tcBorders>
            <w:tcMar>
              <w:top w:w="0" w:type="dxa"/>
              <w:left w:w="108" w:type="dxa"/>
              <w:bottom w:w="0" w:type="dxa"/>
              <w:right w:w="108" w:type="dxa"/>
            </w:tcMar>
          </w:tcPr>
          <w:p w:rsidR="00DA2392" w:rsidRDefault="00902B7D">
            <w:pPr>
              <w:spacing w:after="0" w:line="240" w:lineRule="auto"/>
              <w:rPr>
                <w:rFonts w:ascii="Arial" w:eastAsia="Arial" w:hAnsi="Arial" w:cs="Arial"/>
                <w:sz w:val="20"/>
                <w:szCs w:val="20"/>
              </w:rPr>
            </w:pPr>
            <w:r>
              <w:rPr>
                <w:rFonts w:ascii="Arial" w:eastAsia="Arial" w:hAnsi="Arial" w:cs="Arial"/>
                <w:sz w:val="20"/>
                <w:szCs w:val="20"/>
              </w:rPr>
              <w:t>Obtain financial knowledge and learn financial management on my own.</w:t>
            </w:r>
          </w:p>
        </w:tc>
        <w:tc>
          <w:tcPr>
            <w:tcW w:w="1841" w:type="dxa"/>
            <w:tcBorders>
              <w:top w:val="nil"/>
              <w:left w:val="nil"/>
              <w:bottom w:val="nil"/>
              <w:right w:val="nil"/>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0.81</w:t>
            </w:r>
          </w:p>
        </w:tc>
        <w:tc>
          <w:tcPr>
            <w:tcW w:w="1651" w:type="dxa"/>
            <w:tcBorders>
              <w:top w:val="nil"/>
              <w:left w:val="nil"/>
              <w:bottom w:val="nil"/>
              <w:right w:val="nil"/>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4.08</w:t>
            </w:r>
          </w:p>
        </w:tc>
        <w:tc>
          <w:tcPr>
            <w:tcW w:w="2086" w:type="dxa"/>
            <w:tcBorders>
              <w:top w:val="nil"/>
              <w:left w:val="nil"/>
              <w:bottom w:val="nil"/>
              <w:right w:val="nil"/>
            </w:tcBorders>
            <w:tcMar>
              <w:top w:w="0" w:type="dxa"/>
              <w:left w:w="108" w:type="dxa"/>
              <w:bottom w:w="0" w:type="dxa"/>
              <w:right w:w="108" w:type="dxa"/>
            </w:tcMar>
          </w:tcPr>
          <w:p w:rsidR="00DA2392" w:rsidRDefault="00902B7D">
            <w:pPr>
              <w:spacing w:after="0" w:line="240" w:lineRule="auto"/>
              <w:jc w:val="center"/>
              <w:rPr>
                <w:rFonts w:ascii="Arial" w:eastAsia="Arial" w:hAnsi="Arial" w:cs="Arial"/>
                <w:sz w:val="20"/>
                <w:szCs w:val="20"/>
              </w:rPr>
            </w:pPr>
            <w:r>
              <w:rPr>
                <w:rFonts w:ascii="Arial" w:eastAsia="Arial" w:hAnsi="Arial" w:cs="Arial"/>
                <w:sz w:val="20"/>
                <w:szCs w:val="20"/>
              </w:rPr>
              <w:t>Advanced Knowledge</w:t>
            </w:r>
          </w:p>
        </w:tc>
      </w:tr>
      <w:tr w:rsidR="00DA2392">
        <w:trPr>
          <w:trHeight w:val="570"/>
        </w:trPr>
        <w:tc>
          <w:tcPr>
            <w:tcW w:w="2632" w:type="dxa"/>
            <w:tcBorders>
              <w:top w:val="nil"/>
              <w:left w:val="nil"/>
              <w:bottom w:val="single" w:sz="4" w:space="0" w:color="000000"/>
              <w:right w:val="nil"/>
            </w:tcBorders>
            <w:tcMar>
              <w:top w:w="0" w:type="dxa"/>
              <w:left w:w="108" w:type="dxa"/>
              <w:bottom w:w="0" w:type="dxa"/>
              <w:right w:w="108" w:type="dxa"/>
            </w:tcMar>
          </w:tcPr>
          <w:p w:rsidR="00DA2392" w:rsidRDefault="00DA2392">
            <w:pPr>
              <w:spacing w:after="0" w:line="240" w:lineRule="auto"/>
              <w:rPr>
                <w:rFonts w:ascii="Arial" w:eastAsia="Arial" w:hAnsi="Arial" w:cs="Arial"/>
                <w:b/>
                <w:sz w:val="20"/>
                <w:szCs w:val="20"/>
              </w:rPr>
            </w:pPr>
          </w:p>
          <w:p w:rsidR="00DA2392" w:rsidRDefault="00902B7D">
            <w:pPr>
              <w:spacing w:after="0" w:line="240" w:lineRule="auto"/>
              <w:rPr>
                <w:rFonts w:ascii="Arial" w:eastAsia="Arial" w:hAnsi="Arial" w:cs="Arial"/>
                <w:sz w:val="20"/>
                <w:szCs w:val="20"/>
              </w:rPr>
            </w:pPr>
            <w:r>
              <w:rPr>
                <w:rFonts w:ascii="Arial" w:eastAsia="Arial" w:hAnsi="Arial" w:cs="Arial"/>
                <w:b/>
                <w:sz w:val="20"/>
                <w:szCs w:val="20"/>
              </w:rPr>
              <w:t>Grand Mean</w:t>
            </w:r>
          </w:p>
        </w:tc>
        <w:tc>
          <w:tcPr>
            <w:tcW w:w="1841" w:type="dxa"/>
            <w:tcBorders>
              <w:top w:val="nil"/>
              <w:left w:val="nil"/>
              <w:bottom w:val="single" w:sz="4" w:space="0" w:color="000000"/>
              <w:right w:val="nil"/>
            </w:tcBorders>
            <w:tcMar>
              <w:top w:w="0" w:type="dxa"/>
              <w:left w:w="108" w:type="dxa"/>
              <w:bottom w:w="0" w:type="dxa"/>
              <w:right w:w="108" w:type="dxa"/>
            </w:tcMar>
          </w:tcPr>
          <w:p w:rsidR="00DA2392" w:rsidRDefault="00DA2392">
            <w:pPr>
              <w:spacing w:after="0" w:line="240" w:lineRule="auto"/>
              <w:jc w:val="center"/>
              <w:rPr>
                <w:rFonts w:ascii="Arial" w:eastAsia="Arial" w:hAnsi="Arial" w:cs="Arial"/>
                <w:b/>
                <w:sz w:val="20"/>
                <w:szCs w:val="20"/>
              </w:rPr>
            </w:pPr>
          </w:p>
          <w:p w:rsidR="00DA2392" w:rsidRDefault="00902B7D">
            <w:pPr>
              <w:spacing w:after="0" w:line="240" w:lineRule="auto"/>
              <w:jc w:val="center"/>
              <w:rPr>
                <w:rFonts w:ascii="Arial" w:eastAsia="Arial" w:hAnsi="Arial" w:cs="Arial"/>
                <w:sz w:val="20"/>
                <w:szCs w:val="20"/>
              </w:rPr>
            </w:pPr>
            <w:r>
              <w:rPr>
                <w:rFonts w:ascii="Arial" w:eastAsia="Arial" w:hAnsi="Arial" w:cs="Arial"/>
                <w:b/>
                <w:sz w:val="20"/>
                <w:szCs w:val="20"/>
              </w:rPr>
              <w:t>0.56</w:t>
            </w:r>
          </w:p>
        </w:tc>
        <w:tc>
          <w:tcPr>
            <w:tcW w:w="1651" w:type="dxa"/>
            <w:tcBorders>
              <w:top w:val="nil"/>
              <w:left w:val="nil"/>
              <w:bottom w:val="single" w:sz="4" w:space="0" w:color="000000"/>
              <w:right w:val="nil"/>
            </w:tcBorders>
            <w:tcMar>
              <w:top w:w="0" w:type="dxa"/>
              <w:left w:w="108" w:type="dxa"/>
              <w:bottom w:w="0" w:type="dxa"/>
              <w:right w:w="108" w:type="dxa"/>
            </w:tcMar>
          </w:tcPr>
          <w:p w:rsidR="00DA2392" w:rsidRDefault="00DA2392">
            <w:pPr>
              <w:spacing w:after="0" w:line="240" w:lineRule="auto"/>
              <w:jc w:val="center"/>
              <w:rPr>
                <w:rFonts w:ascii="Arial" w:eastAsia="Arial" w:hAnsi="Arial" w:cs="Arial"/>
                <w:b/>
                <w:sz w:val="20"/>
                <w:szCs w:val="20"/>
              </w:rPr>
            </w:pPr>
          </w:p>
          <w:p w:rsidR="00DA2392" w:rsidRDefault="00902B7D">
            <w:pPr>
              <w:spacing w:after="0" w:line="240" w:lineRule="auto"/>
              <w:jc w:val="center"/>
              <w:rPr>
                <w:rFonts w:ascii="Arial" w:eastAsia="Arial" w:hAnsi="Arial" w:cs="Arial"/>
                <w:sz w:val="20"/>
                <w:szCs w:val="20"/>
              </w:rPr>
            </w:pPr>
            <w:r>
              <w:rPr>
                <w:rFonts w:ascii="Arial" w:eastAsia="Arial" w:hAnsi="Arial" w:cs="Arial"/>
                <w:b/>
                <w:sz w:val="20"/>
                <w:szCs w:val="20"/>
              </w:rPr>
              <w:t>3.95</w:t>
            </w:r>
          </w:p>
        </w:tc>
        <w:tc>
          <w:tcPr>
            <w:tcW w:w="2086" w:type="dxa"/>
            <w:tcBorders>
              <w:top w:val="nil"/>
              <w:left w:val="nil"/>
              <w:bottom w:val="single" w:sz="4" w:space="0" w:color="000000"/>
              <w:right w:val="nil"/>
            </w:tcBorders>
            <w:tcMar>
              <w:top w:w="0" w:type="dxa"/>
              <w:left w:w="108" w:type="dxa"/>
              <w:bottom w:w="0" w:type="dxa"/>
              <w:right w:w="108" w:type="dxa"/>
            </w:tcMar>
          </w:tcPr>
          <w:p w:rsidR="00DA2392" w:rsidRDefault="00DA2392">
            <w:pPr>
              <w:spacing w:after="0" w:line="240" w:lineRule="auto"/>
              <w:jc w:val="center"/>
              <w:rPr>
                <w:rFonts w:ascii="Arial" w:eastAsia="Arial" w:hAnsi="Arial" w:cs="Arial"/>
                <w:b/>
                <w:sz w:val="20"/>
                <w:szCs w:val="20"/>
              </w:rPr>
            </w:pPr>
          </w:p>
          <w:p w:rsidR="00DA2392" w:rsidRDefault="00902B7D">
            <w:pPr>
              <w:spacing w:after="0" w:line="240" w:lineRule="auto"/>
              <w:jc w:val="center"/>
              <w:rPr>
                <w:rFonts w:ascii="Arial" w:eastAsia="Arial" w:hAnsi="Arial" w:cs="Arial"/>
                <w:sz w:val="20"/>
                <w:szCs w:val="20"/>
              </w:rPr>
            </w:pPr>
            <w:r>
              <w:rPr>
                <w:rFonts w:ascii="Arial" w:eastAsia="Arial" w:hAnsi="Arial" w:cs="Arial"/>
                <w:b/>
                <w:sz w:val="20"/>
                <w:szCs w:val="20"/>
              </w:rPr>
              <w:t>Advanced Knowledge</w:t>
            </w:r>
          </w:p>
        </w:tc>
      </w:tr>
    </w:tbl>
    <w:p w:rsidR="00DA2392" w:rsidRDefault="00902B7D">
      <w:pPr>
        <w:spacing w:before="240" w:after="240" w:line="240" w:lineRule="auto"/>
        <w:jc w:val="both"/>
        <w:rPr>
          <w:rFonts w:ascii="Arial" w:eastAsia="Arial" w:hAnsi="Arial" w:cs="Arial"/>
          <w:sz w:val="20"/>
          <w:szCs w:val="20"/>
        </w:rPr>
      </w:pPr>
      <w:r>
        <w:rPr>
          <w:rFonts w:ascii="Arial" w:eastAsia="Arial" w:hAnsi="Arial" w:cs="Arial"/>
          <w:sz w:val="20"/>
          <w:szCs w:val="20"/>
        </w:rPr>
        <w:t xml:space="preserve">          Table 9 shows that students have an advanced level of financial knowledge (mean = 3.95). The strongest area was learning from parents (mean = 4.24), while awareness of the peso exchange rate was weaker (mean = 3.74). The most varied responses concerned reading financial contracts (SD = 0.94). Crain (2013) stresses that while financial education can’t solve all money problems, it’s vital for improving financial well-being. </w:t>
      </w:r>
      <w:proofErr w:type="spellStart"/>
      <w:r>
        <w:rPr>
          <w:rFonts w:ascii="Arial" w:eastAsia="Arial" w:hAnsi="Arial" w:cs="Arial"/>
          <w:sz w:val="20"/>
          <w:szCs w:val="20"/>
        </w:rPr>
        <w:t>Firli</w:t>
      </w:r>
      <w:proofErr w:type="spellEnd"/>
      <w:r>
        <w:rPr>
          <w:rFonts w:ascii="Arial" w:eastAsia="Arial" w:hAnsi="Arial" w:cs="Arial"/>
          <w:sz w:val="20"/>
          <w:szCs w:val="20"/>
        </w:rPr>
        <w:t xml:space="preserve"> et al. (2021) define financial knowledge as understanding topics like budgeting, saving, and investing—skills often learned from parents and formal education, and essential for informed decision-making.</w:t>
      </w:r>
    </w:p>
    <w:p w:rsidR="00DA2392" w:rsidRDefault="00902B7D">
      <w:pPr>
        <w:spacing w:before="280" w:line="240" w:lineRule="auto"/>
        <w:jc w:val="both"/>
        <w:rPr>
          <w:rFonts w:ascii="Arial" w:eastAsia="Arial" w:hAnsi="Arial" w:cs="Arial"/>
          <w:sz w:val="20"/>
          <w:szCs w:val="20"/>
        </w:rPr>
      </w:pPr>
      <w:r>
        <w:rPr>
          <w:rFonts w:ascii="Arial" w:eastAsia="Arial" w:hAnsi="Arial" w:cs="Arial"/>
          <w:b/>
          <w:sz w:val="20"/>
          <w:szCs w:val="20"/>
        </w:rPr>
        <w:t xml:space="preserve">Table 10. </w:t>
      </w:r>
      <w:r>
        <w:rPr>
          <w:rFonts w:ascii="Arial" w:eastAsia="Arial" w:hAnsi="Arial" w:cs="Arial"/>
          <w:sz w:val="20"/>
          <w:szCs w:val="20"/>
        </w:rPr>
        <w:t>Level of financial literacy among students</w:t>
      </w:r>
    </w:p>
    <w:tbl>
      <w:tblPr>
        <w:tblStyle w:val="a9"/>
        <w:tblW w:w="8100" w:type="dxa"/>
        <w:tblInd w:w="0" w:type="dxa"/>
        <w:tblLayout w:type="fixed"/>
        <w:tblLook w:val="0400" w:firstRow="0" w:lastRow="0" w:firstColumn="0" w:lastColumn="0" w:noHBand="0" w:noVBand="1"/>
      </w:tblPr>
      <w:tblGrid>
        <w:gridCol w:w="2865"/>
        <w:gridCol w:w="1635"/>
        <w:gridCol w:w="1860"/>
        <w:gridCol w:w="1740"/>
      </w:tblGrid>
      <w:tr w:rsidR="00DA2392">
        <w:trPr>
          <w:trHeight w:val="482"/>
        </w:trPr>
        <w:tc>
          <w:tcPr>
            <w:tcW w:w="2865" w:type="dxa"/>
            <w:tcBorders>
              <w:top w:val="single" w:sz="4" w:space="0" w:color="000000"/>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Areas</w:t>
            </w:r>
          </w:p>
        </w:tc>
        <w:tc>
          <w:tcPr>
            <w:tcW w:w="1635" w:type="dxa"/>
            <w:tcBorders>
              <w:top w:val="single" w:sz="4" w:space="0" w:color="000000"/>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Standard Deviation</w:t>
            </w:r>
          </w:p>
        </w:tc>
        <w:tc>
          <w:tcPr>
            <w:tcW w:w="1860" w:type="dxa"/>
            <w:tcBorders>
              <w:top w:val="single" w:sz="4" w:space="0" w:color="000000"/>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Mean</w:t>
            </w:r>
          </w:p>
        </w:tc>
        <w:tc>
          <w:tcPr>
            <w:tcW w:w="1740" w:type="dxa"/>
            <w:tcBorders>
              <w:top w:val="single" w:sz="4" w:space="0" w:color="000000"/>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Interpretation</w:t>
            </w:r>
          </w:p>
        </w:tc>
      </w:tr>
      <w:tr w:rsidR="00DA2392">
        <w:trPr>
          <w:trHeight w:val="482"/>
        </w:trPr>
        <w:tc>
          <w:tcPr>
            <w:tcW w:w="2865" w:type="dxa"/>
            <w:tcBorders>
              <w:top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Spending Habits</w:t>
            </w:r>
          </w:p>
        </w:tc>
        <w:tc>
          <w:tcPr>
            <w:tcW w:w="1635" w:type="dxa"/>
            <w:tcBorders>
              <w:top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 xml:space="preserve">0.71          </w:t>
            </w:r>
          </w:p>
        </w:tc>
        <w:tc>
          <w:tcPr>
            <w:tcW w:w="1860" w:type="dxa"/>
            <w:tcBorders>
              <w:top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2.36</w:t>
            </w:r>
          </w:p>
        </w:tc>
        <w:tc>
          <w:tcPr>
            <w:tcW w:w="1740" w:type="dxa"/>
            <w:tcBorders>
              <w:top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Rarely</w:t>
            </w:r>
          </w:p>
        </w:tc>
      </w:tr>
      <w:tr w:rsidR="00DA2392">
        <w:trPr>
          <w:trHeight w:val="482"/>
        </w:trPr>
        <w:tc>
          <w:tcPr>
            <w:tcW w:w="2865"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Saving Habits</w:t>
            </w:r>
          </w:p>
        </w:tc>
        <w:tc>
          <w:tcPr>
            <w:tcW w:w="1635"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0.55</w:t>
            </w:r>
          </w:p>
        </w:tc>
        <w:tc>
          <w:tcPr>
            <w:tcW w:w="1860"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3.70</w:t>
            </w:r>
          </w:p>
        </w:tc>
        <w:tc>
          <w:tcPr>
            <w:tcW w:w="1740"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Often</w:t>
            </w:r>
          </w:p>
        </w:tc>
      </w:tr>
      <w:tr w:rsidR="00DA2392">
        <w:trPr>
          <w:trHeight w:val="482"/>
        </w:trPr>
        <w:tc>
          <w:tcPr>
            <w:tcW w:w="2865"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Financial Knowledge</w:t>
            </w:r>
          </w:p>
        </w:tc>
        <w:tc>
          <w:tcPr>
            <w:tcW w:w="1635"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0.56</w:t>
            </w:r>
          </w:p>
        </w:tc>
        <w:tc>
          <w:tcPr>
            <w:tcW w:w="1860"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3.95</w:t>
            </w:r>
          </w:p>
        </w:tc>
        <w:tc>
          <w:tcPr>
            <w:tcW w:w="1740"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Advanced Knowledge</w:t>
            </w:r>
          </w:p>
        </w:tc>
      </w:tr>
      <w:tr w:rsidR="00DA2392">
        <w:trPr>
          <w:trHeight w:val="544"/>
        </w:trPr>
        <w:tc>
          <w:tcPr>
            <w:tcW w:w="2865" w:type="dxa"/>
            <w:tcBorders>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Financial Literacy</w:t>
            </w:r>
          </w:p>
        </w:tc>
        <w:tc>
          <w:tcPr>
            <w:tcW w:w="1635" w:type="dxa"/>
            <w:tcBorders>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0.36</w:t>
            </w:r>
          </w:p>
        </w:tc>
        <w:tc>
          <w:tcPr>
            <w:tcW w:w="1860" w:type="dxa"/>
            <w:tcBorders>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3.34</w:t>
            </w:r>
          </w:p>
        </w:tc>
        <w:tc>
          <w:tcPr>
            <w:tcW w:w="1740" w:type="dxa"/>
            <w:tcBorders>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Moderate Knowledge</w:t>
            </w:r>
          </w:p>
        </w:tc>
      </w:tr>
    </w:tbl>
    <w:p w:rsidR="00DA2392" w:rsidRDefault="00902B7D">
      <w:pPr>
        <w:spacing w:before="240" w:after="240" w:line="240" w:lineRule="auto"/>
        <w:jc w:val="both"/>
        <w:rPr>
          <w:rFonts w:ascii="Arial" w:eastAsia="Arial" w:hAnsi="Arial" w:cs="Arial"/>
          <w:sz w:val="20"/>
          <w:szCs w:val="20"/>
        </w:rPr>
      </w:pPr>
      <w:r>
        <w:rPr>
          <w:rFonts w:ascii="Arial" w:eastAsia="Arial" w:hAnsi="Arial" w:cs="Arial"/>
          <w:sz w:val="20"/>
          <w:szCs w:val="20"/>
        </w:rPr>
        <w:t xml:space="preserve">            Table 10 evaluates students’ financial literacy across spending, saving, and financial knowledge. The overall mean score was 3.34, indicating a moderate level. Students showed cautious spending (mean = 2.36), strong saving habits (mean = 3.70), and advanced financial knowledge (mean = 3.95). However, translating knowledge into practice remains a challenge. </w:t>
      </w:r>
      <w:proofErr w:type="spellStart"/>
      <w:r>
        <w:rPr>
          <w:rFonts w:ascii="Arial" w:eastAsia="Arial" w:hAnsi="Arial" w:cs="Arial"/>
          <w:sz w:val="20"/>
          <w:szCs w:val="20"/>
        </w:rPr>
        <w:t>Brausch</w:t>
      </w:r>
      <w:proofErr w:type="spellEnd"/>
      <w:r>
        <w:rPr>
          <w:rFonts w:ascii="Arial" w:eastAsia="Arial" w:hAnsi="Arial" w:cs="Arial"/>
          <w:sz w:val="20"/>
          <w:szCs w:val="20"/>
        </w:rPr>
        <w:t xml:space="preserve"> (2018) notes that financial literacy is crucial for managing money effectively, while </w:t>
      </w:r>
      <w:proofErr w:type="spellStart"/>
      <w:r>
        <w:rPr>
          <w:rFonts w:ascii="Arial" w:eastAsia="Arial" w:hAnsi="Arial" w:cs="Arial"/>
          <w:sz w:val="20"/>
          <w:szCs w:val="20"/>
        </w:rPr>
        <w:t>Gunardi</w:t>
      </w:r>
      <w:proofErr w:type="spellEnd"/>
      <w:r>
        <w:rPr>
          <w:rFonts w:ascii="Arial" w:eastAsia="Arial" w:hAnsi="Arial" w:cs="Arial"/>
          <w:sz w:val="20"/>
          <w:szCs w:val="20"/>
        </w:rPr>
        <w:t xml:space="preserve"> et al. (2017) highlight the importance of saving habits. </w:t>
      </w:r>
      <w:proofErr w:type="spellStart"/>
      <w:r>
        <w:rPr>
          <w:rFonts w:ascii="Arial" w:eastAsia="Arial" w:hAnsi="Arial" w:cs="Arial"/>
          <w:sz w:val="20"/>
          <w:szCs w:val="20"/>
        </w:rPr>
        <w:t>Widyastuti</w:t>
      </w:r>
      <w:proofErr w:type="spellEnd"/>
      <w:r>
        <w:rPr>
          <w:rFonts w:ascii="Arial" w:eastAsia="Arial" w:hAnsi="Arial" w:cs="Arial"/>
          <w:sz w:val="20"/>
          <w:szCs w:val="20"/>
        </w:rPr>
        <w:t xml:space="preserve"> et al. (2021) emphasize that applying financial knowledge in real-life scenarios is key to improving overall literacy.</w:t>
      </w:r>
    </w:p>
    <w:p w:rsidR="00DA2392" w:rsidRDefault="00902B7D">
      <w:pPr>
        <w:spacing w:before="280" w:line="240" w:lineRule="auto"/>
        <w:jc w:val="both"/>
        <w:rPr>
          <w:rFonts w:ascii="Arial" w:eastAsia="Arial" w:hAnsi="Arial" w:cs="Arial"/>
          <w:sz w:val="20"/>
          <w:szCs w:val="20"/>
        </w:rPr>
      </w:pPr>
      <w:r>
        <w:rPr>
          <w:rFonts w:ascii="Arial" w:eastAsia="Arial" w:hAnsi="Arial" w:cs="Arial"/>
          <w:b/>
          <w:sz w:val="20"/>
          <w:szCs w:val="20"/>
        </w:rPr>
        <w:t>4.3 Significant Difference</w:t>
      </w:r>
    </w:p>
    <w:p w:rsidR="00DA2392" w:rsidRDefault="00902B7D">
      <w:pPr>
        <w:spacing w:before="280" w:line="240" w:lineRule="auto"/>
        <w:jc w:val="both"/>
        <w:rPr>
          <w:rFonts w:ascii="Arial" w:eastAsia="Arial" w:hAnsi="Arial" w:cs="Arial"/>
          <w:sz w:val="20"/>
          <w:szCs w:val="20"/>
        </w:rPr>
      </w:pPr>
      <w:r>
        <w:rPr>
          <w:rFonts w:ascii="Arial" w:eastAsia="Arial" w:hAnsi="Arial" w:cs="Arial"/>
          <w:b/>
          <w:sz w:val="20"/>
          <w:szCs w:val="20"/>
        </w:rPr>
        <w:t>Table 11.</w:t>
      </w:r>
      <w:r>
        <w:rPr>
          <w:rFonts w:ascii="Arial" w:eastAsia="Arial" w:hAnsi="Arial" w:cs="Arial"/>
          <w:sz w:val="20"/>
          <w:szCs w:val="20"/>
        </w:rPr>
        <w:t xml:space="preserve"> Financial literacy comparison among respondents in terms of sex.</w:t>
      </w:r>
    </w:p>
    <w:tbl>
      <w:tblPr>
        <w:tblStyle w:val="aa"/>
        <w:tblW w:w="8190" w:type="dxa"/>
        <w:tblInd w:w="0" w:type="dxa"/>
        <w:tblLayout w:type="fixed"/>
        <w:tblLook w:val="0400" w:firstRow="0" w:lastRow="0" w:firstColumn="0" w:lastColumn="0" w:noHBand="0" w:noVBand="1"/>
      </w:tblPr>
      <w:tblGrid>
        <w:gridCol w:w="2865"/>
        <w:gridCol w:w="1605"/>
        <w:gridCol w:w="1875"/>
        <w:gridCol w:w="1845"/>
      </w:tblGrid>
      <w:tr w:rsidR="00DA2392">
        <w:trPr>
          <w:trHeight w:val="559"/>
        </w:trPr>
        <w:tc>
          <w:tcPr>
            <w:tcW w:w="2865" w:type="dxa"/>
            <w:tcBorders>
              <w:top w:val="single" w:sz="4" w:space="0" w:color="000000"/>
              <w:left w:val="nil"/>
              <w:bottom w:val="single" w:sz="4" w:space="0" w:color="000000"/>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lastRenderedPageBreak/>
              <w:t>Factors</w:t>
            </w:r>
          </w:p>
        </w:tc>
        <w:tc>
          <w:tcPr>
            <w:tcW w:w="1605" w:type="dxa"/>
            <w:tcBorders>
              <w:top w:val="single" w:sz="4" w:space="0" w:color="000000"/>
              <w:left w:val="nil"/>
              <w:bottom w:val="single" w:sz="4" w:space="0" w:color="000000"/>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t-value</w:t>
            </w:r>
          </w:p>
        </w:tc>
        <w:tc>
          <w:tcPr>
            <w:tcW w:w="1875" w:type="dxa"/>
            <w:tcBorders>
              <w:top w:val="single" w:sz="4" w:space="0" w:color="000000"/>
              <w:left w:val="nil"/>
              <w:bottom w:val="single" w:sz="4" w:space="0" w:color="000000"/>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p-value</w:t>
            </w:r>
          </w:p>
        </w:tc>
        <w:tc>
          <w:tcPr>
            <w:tcW w:w="1845" w:type="dxa"/>
            <w:tcBorders>
              <w:top w:val="single" w:sz="4" w:space="0" w:color="000000"/>
              <w:left w:val="nil"/>
              <w:bottom w:val="single" w:sz="4" w:space="0" w:color="000000"/>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Statistical Inference</w:t>
            </w:r>
          </w:p>
        </w:tc>
      </w:tr>
      <w:tr w:rsidR="00DA2392">
        <w:trPr>
          <w:trHeight w:val="514"/>
        </w:trPr>
        <w:tc>
          <w:tcPr>
            <w:tcW w:w="2865" w:type="dxa"/>
            <w:tcBorders>
              <w:top w:val="single" w:sz="4" w:space="0" w:color="000000"/>
              <w:left w:val="nil"/>
              <w:bottom w:val="nil"/>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Spending Habits</w:t>
            </w:r>
          </w:p>
        </w:tc>
        <w:tc>
          <w:tcPr>
            <w:tcW w:w="1605" w:type="dxa"/>
            <w:tcBorders>
              <w:top w:val="single" w:sz="4" w:space="0" w:color="000000"/>
              <w:left w:val="nil"/>
              <w:bottom w:val="nil"/>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-0.830</w:t>
            </w:r>
          </w:p>
        </w:tc>
        <w:tc>
          <w:tcPr>
            <w:tcW w:w="1875" w:type="dxa"/>
            <w:tcBorders>
              <w:top w:val="single" w:sz="4" w:space="0" w:color="000000"/>
              <w:left w:val="nil"/>
              <w:bottom w:val="nil"/>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0.409</w:t>
            </w:r>
          </w:p>
        </w:tc>
        <w:tc>
          <w:tcPr>
            <w:tcW w:w="1845" w:type="dxa"/>
            <w:tcBorders>
              <w:top w:val="single" w:sz="4" w:space="0" w:color="000000"/>
              <w:left w:val="nil"/>
              <w:bottom w:val="nil"/>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proofErr w:type="gramStart"/>
            <w:r>
              <w:rPr>
                <w:rFonts w:ascii="Arial" w:eastAsia="Arial" w:hAnsi="Arial" w:cs="Arial"/>
                <w:sz w:val="20"/>
                <w:szCs w:val="20"/>
              </w:rPr>
              <w:t>Not  significant</w:t>
            </w:r>
            <w:proofErr w:type="gramEnd"/>
          </w:p>
        </w:tc>
      </w:tr>
      <w:tr w:rsidR="00DA2392">
        <w:trPr>
          <w:trHeight w:val="499"/>
        </w:trPr>
        <w:tc>
          <w:tcPr>
            <w:tcW w:w="2865" w:type="dxa"/>
            <w:tcBorders>
              <w:top w:val="nil"/>
              <w:left w:val="nil"/>
              <w:bottom w:val="nil"/>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Saving Habits</w:t>
            </w:r>
          </w:p>
        </w:tc>
        <w:tc>
          <w:tcPr>
            <w:tcW w:w="1605" w:type="dxa"/>
            <w:tcBorders>
              <w:top w:val="nil"/>
              <w:left w:val="nil"/>
              <w:bottom w:val="nil"/>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1.630</w:t>
            </w:r>
          </w:p>
        </w:tc>
        <w:tc>
          <w:tcPr>
            <w:tcW w:w="1875" w:type="dxa"/>
            <w:tcBorders>
              <w:top w:val="nil"/>
              <w:left w:val="nil"/>
              <w:bottom w:val="nil"/>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0.107</w:t>
            </w:r>
          </w:p>
        </w:tc>
        <w:tc>
          <w:tcPr>
            <w:tcW w:w="1845" w:type="dxa"/>
            <w:tcBorders>
              <w:top w:val="nil"/>
              <w:left w:val="nil"/>
              <w:bottom w:val="nil"/>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proofErr w:type="gramStart"/>
            <w:r>
              <w:rPr>
                <w:rFonts w:ascii="Arial" w:eastAsia="Arial" w:hAnsi="Arial" w:cs="Arial"/>
                <w:sz w:val="20"/>
                <w:szCs w:val="20"/>
              </w:rPr>
              <w:t>Not  significant</w:t>
            </w:r>
            <w:proofErr w:type="gramEnd"/>
          </w:p>
        </w:tc>
      </w:tr>
      <w:tr w:rsidR="00DA2392">
        <w:trPr>
          <w:trHeight w:val="420"/>
        </w:trPr>
        <w:tc>
          <w:tcPr>
            <w:tcW w:w="2865" w:type="dxa"/>
            <w:tcBorders>
              <w:top w:val="nil"/>
              <w:left w:val="nil"/>
              <w:bottom w:val="nil"/>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Financial Knowledge</w:t>
            </w:r>
          </w:p>
        </w:tc>
        <w:tc>
          <w:tcPr>
            <w:tcW w:w="1605" w:type="dxa"/>
            <w:tcBorders>
              <w:top w:val="nil"/>
              <w:left w:val="nil"/>
              <w:bottom w:val="nil"/>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1.075</w:t>
            </w:r>
          </w:p>
        </w:tc>
        <w:tc>
          <w:tcPr>
            <w:tcW w:w="1875" w:type="dxa"/>
            <w:tcBorders>
              <w:top w:val="nil"/>
              <w:left w:val="nil"/>
              <w:bottom w:val="nil"/>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0.285</w:t>
            </w:r>
          </w:p>
        </w:tc>
        <w:tc>
          <w:tcPr>
            <w:tcW w:w="1845" w:type="dxa"/>
            <w:tcBorders>
              <w:top w:val="nil"/>
              <w:left w:val="nil"/>
              <w:bottom w:val="nil"/>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Not significant</w:t>
            </w:r>
          </w:p>
        </w:tc>
      </w:tr>
      <w:tr w:rsidR="00DA2392">
        <w:trPr>
          <w:trHeight w:val="420"/>
        </w:trPr>
        <w:tc>
          <w:tcPr>
            <w:tcW w:w="2865" w:type="dxa"/>
            <w:tcBorders>
              <w:top w:val="nil"/>
              <w:left w:val="nil"/>
              <w:bottom w:val="single" w:sz="4" w:space="0" w:color="000000"/>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Financial Literacy</w:t>
            </w:r>
          </w:p>
        </w:tc>
        <w:tc>
          <w:tcPr>
            <w:tcW w:w="1605" w:type="dxa"/>
            <w:tcBorders>
              <w:top w:val="nil"/>
              <w:left w:val="nil"/>
              <w:bottom w:val="single" w:sz="4" w:space="0" w:color="000000"/>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0.844</w:t>
            </w:r>
          </w:p>
        </w:tc>
        <w:tc>
          <w:tcPr>
            <w:tcW w:w="1875" w:type="dxa"/>
            <w:tcBorders>
              <w:top w:val="nil"/>
              <w:left w:val="nil"/>
              <w:bottom w:val="single" w:sz="4" w:space="0" w:color="000000"/>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0.401</w:t>
            </w:r>
          </w:p>
        </w:tc>
        <w:tc>
          <w:tcPr>
            <w:tcW w:w="1845" w:type="dxa"/>
            <w:tcBorders>
              <w:top w:val="nil"/>
              <w:left w:val="nil"/>
              <w:bottom w:val="single" w:sz="4" w:space="0" w:color="000000"/>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Not significant</w:t>
            </w:r>
          </w:p>
        </w:tc>
      </w:tr>
    </w:tbl>
    <w:p w:rsidR="00DA2392" w:rsidRDefault="00902B7D">
      <w:pPr>
        <w:spacing w:before="240" w:after="240" w:line="240" w:lineRule="auto"/>
        <w:jc w:val="both"/>
        <w:rPr>
          <w:rFonts w:ascii="Arial" w:eastAsia="Arial" w:hAnsi="Arial" w:cs="Arial"/>
          <w:sz w:val="20"/>
          <w:szCs w:val="20"/>
        </w:rPr>
      </w:pPr>
      <w:r>
        <w:rPr>
          <w:rFonts w:ascii="Arial" w:eastAsia="Arial" w:hAnsi="Arial" w:cs="Arial"/>
          <w:sz w:val="20"/>
          <w:szCs w:val="20"/>
        </w:rPr>
        <w:t xml:space="preserve">            Financial literacy varies across demographics, but understanding these differences helps tailor educational efforts. Table 11 compares financial literacy by sex and finds no significant differences in spending, saving, financial knowledge, or overall literacy, suggesting both male and female students show similar financial behaviors and understanding. However, </w:t>
      </w:r>
      <w:proofErr w:type="spellStart"/>
      <w:r>
        <w:rPr>
          <w:rFonts w:ascii="Arial" w:eastAsia="Arial" w:hAnsi="Arial" w:cs="Arial"/>
          <w:sz w:val="20"/>
          <w:szCs w:val="20"/>
        </w:rPr>
        <w:t>Baluja</w:t>
      </w:r>
      <w:proofErr w:type="spellEnd"/>
      <w:r>
        <w:rPr>
          <w:rFonts w:ascii="Arial" w:eastAsia="Arial" w:hAnsi="Arial" w:cs="Arial"/>
          <w:sz w:val="20"/>
          <w:szCs w:val="20"/>
        </w:rPr>
        <w:t xml:space="preserve"> (2016) notes that gender gaps may still exist in broader contexts. Devi (2020) emphasizes that financial literacy benefits everyone, while Hasler et al. (2017) argue that improving financial literacy supports more stable economies by reducing risky financial decisions.</w:t>
      </w:r>
    </w:p>
    <w:p w:rsidR="00DA2392" w:rsidRDefault="00902B7D">
      <w:pPr>
        <w:spacing w:before="280" w:line="240" w:lineRule="auto"/>
        <w:jc w:val="both"/>
        <w:rPr>
          <w:rFonts w:ascii="Arial" w:eastAsia="Arial" w:hAnsi="Arial" w:cs="Arial"/>
          <w:sz w:val="20"/>
          <w:szCs w:val="20"/>
        </w:rPr>
      </w:pPr>
      <w:r>
        <w:rPr>
          <w:rFonts w:ascii="Arial" w:eastAsia="Arial" w:hAnsi="Arial" w:cs="Arial"/>
          <w:b/>
          <w:sz w:val="20"/>
          <w:szCs w:val="20"/>
        </w:rPr>
        <w:t>Table 12</w:t>
      </w:r>
      <w:r>
        <w:rPr>
          <w:rFonts w:ascii="Arial" w:eastAsia="Arial" w:hAnsi="Arial" w:cs="Arial"/>
          <w:sz w:val="20"/>
          <w:szCs w:val="20"/>
        </w:rPr>
        <w:t>. Financial literacy comparison among respondents in terms of their age.</w:t>
      </w:r>
    </w:p>
    <w:tbl>
      <w:tblPr>
        <w:tblStyle w:val="ab"/>
        <w:tblW w:w="8160" w:type="dxa"/>
        <w:tblInd w:w="0" w:type="dxa"/>
        <w:tblLayout w:type="fixed"/>
        <w:tblLook w:val="0400" w:firstRow="0" w:lastRow="0" w:firstColumn="0" w:lastColumn="0" w:noHBand="0" w:noVBand="1"/>
      </w:tblPr>
      <w:tblGrid>
        <w:gridCol w:w="2220"/>
        <w:gridCol w:w="2220"/>
        <w:gridCol w:w="2220"/>
        <w:gridCol w:w="1500"/>
      </w:tblGrid>
      <w:tr w:rsidR="00DA2392">
        <w:trPr>
          <w:trHeight w:val="544"/>
        </w:trPr>
        <w:tc>
          <w:tcPr>
            <w:tcW w:w="2220" w:type="dxa"/>
            <w:tcBorders>
              <w:top w:val="single" w:sz="4" w:space="0" w:color="000000"/>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Factors</w:t>
            </w:r>
          </w:p>
        </w:tc>
        <w:tc>
          <w:tcPr>
            <w:tcW w:w="2220" w:type="dxa"/>
            <w:tcBorders>
              <w:top w:val="single" w:sz="4" w:space="0" w:color="000000"/>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F-value</w:t>
            </w:r>
          </w:p>
        </w:tc>
        <w:tc>
          <w:tcPr>
            <w:tcW w:w="2220" w:type="dxa"/>
            <w:tcBorders>
              <w:top w:val="single" w:sz="4" w:space="0" w:color="000000"/>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P-value</w:t>
            </w:r>
          </w:p>
        </w:tc>
        <w:tc>
          <w:tcPr>
            <w:tcW w:w="1500" w:type="dxa"/>
            <w:tcBorders>
              <w:top w:val="single" w:sz="4" w:space="0" w:color="000000"/>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Statistical Inference</w:t>
            </w:r>
          </w:p>
        </w:tc>
      </w:tr>
      <w:tr w:rsidR="00DA2392">
        <w:trPr>
          <w:trHeight w:val="435"/>
        </w:trPr>
        <w:tc>
          <w:tcPr>
            <w:tcW w:w="2220" w:type="dxa"/>
            <w:tcBorders>
              <w:top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Spending Habits</w:t>
            </w:r>
          </w:p>
        </w:tc>
        <w:tc>
          <w:tcPr>
            <w:tcW w:w="2220" w:type="dxa"/>
            <w:tcBorders>
              <w:top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2.390</w:t>
            </w:r>
          </w:p>
        </w:tc>
        <w:tc>
          <w:tcPr>
            <w:tcW w:w="2220" w:type="dxa"/>
            <w:tcBorders>
              <w:top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0.098</w:t>
            </w:r>
          </w:p>
        </w:tc>
        <w:tc>
          <w:tcPr>
            <w:tcW w:w="1500" w:type="dxa"/>
            <w:tcBorders>
              <w:top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Not significant</w:t>
            </w:r>
          </w:p>
        </w:tc>
      </w:tr>
      <w:tr w:rsidR="00DA2392">
        <w:trPr>
          <w:trHeight w:val="439"/>
        </w:trPr>
        <w:tc>
          <w:tcPr>
            <w:tcW w:w="2220"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Saving Habits</w:t>
            </w:r>
          </w:p>
        </w:tc>
        <w:tc>
          <w:tcPr>
            <w:tcW w:w="2220"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0.659</w:t>
            </w:r>
          </w:p>
        </w:tc>
        <w:tc>
          <w:tcPr>
            <w:tcW w:w="2220"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0.520</w:t>
            </w:r>
          </w:p>
        </w:tc>
        <w:tc>
          <w:tcPr>
            <w:tcW w:w="1500" w:type="dxa"/>
            <w:tcMar>
              <w:top w:w="0" w:type="dxa"/>
              <w:left w:w="108" w:type="dxa"/>
              <w:bottom w:w="0" w:type="dxa"/>
              <w:right w:w="108" w:type="dxa"/>
            </w:tcMar>
          </w:tcPr>
          <w:p w:rsidR="00DA2392" w:rsidRDefault="00902B7D">
            <w:pPr>
              <w:spacing w:line="240" w:lineRule="auto"/>
              <w:ind w:firstLine="100"/>
              <w:jc w:val="center"/>
              <w:rPr>
                <w:rFonts w:ascii="Arial" w:eastAsia="Arial" w:hAnsi="Arial" w:cs="Arial"/>
                <w:sz w:val="20"/>
                <w:szCs w:val="20"/>
              </w:rPr>
            </w:pPr>
            <w:r>
              <w:rPr>
                <w:rFonts w:ascii="Arial" w:eastAsia="Arial" w:hAnsi="Arial" w:cs="Arial"/>
                <w:sz w:val="20"/>
                <w:szCs w:val="20"/>
              </w:rPr>
              <w:t>Not significant</w:t>
            </w:r>
          </w:p>
        </w:tc>
      </w:tr>
      <w:tr w:rsidR="00DA2392">
        <w:trPr>
          <w:trHeight w:val="442"/>
        </w:trPr>
        <w:tc>
          <w:tcPr>
            <w:tcW w:w="2220"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Financial Knowledge</w:t>
            </w:r>
          </w:p>
        </w:tc>
        <w:tc>
          <w:tcPr>
            <w:tcW w:w="2220"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0.560</w:t>
            </w:r>
          </w:p>
        </w:tc>
        <w:tc>
          <w:tcPr>
            <w:tcW w:w="2220" w:type="dxa"/>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0.537</w:t>
            </w:r>
          </w:p>
        </w:tc>
        <w:tc>
          <w:tcPr>
            <w:tcW w:w="1500" w:type="dxa"/>
            <w:tcMar>
              <w:top w:w="0" w:type="dxa"/>
              <w:left w:w="108" w:type="dxa"/>
              <w:bottom w:w="0" w:type="dxa"/>
              <w:right w:w="108" w:type="dxa"/>
            </w:tcMar>
          </w:tcPr>
          <w:p w:rsidR="00DA2392" w:rsidRDefault="00902B7D">
            <w:pPr>
              <w:spacing w:line="240" w:lineRule="auto"/>
              <w:ind w:firstLine="100"/>
              <w:jc w:val="center"/>
              <w:rPr>
                <w:rFonts w:ascii="Arial" w:eastAsia="Arial" w:hAnsi="Arial" w:cs="Arial"/>
                <w:sz w:val="20"/>
                <w:szCs w:val="20"/>
              </w:rPr>
            </w:pPr>
            <w:r>
              <w:rPr>
                <w:rFonts w:ascii="Arial" w:eastAsia="Arial" w:hAnsi="Arial" w:cs="Arial"/>
                <w:sz w:val="20"/>
                <w:szCs w:val="20"/>
              </w:rPr>
              <w:t>Not significant</w:t>
            </w:r>
          </w:p>
        </w:tc>
      </w:tr>
      <w:tr w:rsidR="00DA2392">
        <w:trPr>
          <w:trHeight w:val="446"/>
        </w:trPr>
        <w:tc>
          <w:tcPr>
            <w:tcW w:w="2220" w:type="dxa"/>
            <w:tcBorders>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Financial Literacy</w:t>
            </w:r>
          </w:p>
        </w:tc>
        <w:tc>
          <w:tcPr>
            <w:tcW w:w="2220" w:type="dxa"/>
            <w:tcBorders>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1.861</w:t>
            </w:r>
          </w:p>
        </w:tc>
        <w:tc>
          <w:tcPr>
            <w:tcW w:w="2220" w:type="dxa"/>
            <w:tcBorders>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0.162</w:t>
            </w:r>
          </w:p>
        </w:tc>
        <w:tc>
          <w:tcPr>
            <w:tcW w:w="1500" w:type="dxa"/>
            <w:tcBorders>
              <w:bottom w:val="single" w:sz="4" w:space="0" w:color="000000"/>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proofErr w:type="gramStart"/>
            <w:r>
              <w:rPr>
                <w:rFonts w:ascii="Arial" w:eastAsia="Arial" w:hAnsi="Arial" w:cs="Arial"/>
                <w:sz w:val="20"/>
                <w:szCs w:val="20"/>
              </w:rPr>
              <w:t>Not  significant</w:t>
            </w:r>
            <w:proofErr w:type="gramEnd"/>
          </w:p>
        </w:tc>
      </w:tr>
    </w:tbl>
    <w:p w:rsidR="00DA2392" w:rsidRDefault="00902B7D">
      <w:pPr>
        <w:spacing w:before="280" w:line="240" w:lineRule="auto"/>
        <w:jc w:val="both"/>
        <w:rPr>
          <w:rFonts w:ascii="Arial" w:eastAsia="Arial" w:hAnsi="Arial" w:cs="Arial"/>
          <w:sz w:val="20"/>
          <w:szCs w:val="20"/>
        </w:rPr>
      </w:pPr>
      <w:r>
        <w:rPr>
          <w:rFonts w:ascii="Arial" w:eastAsia="Arial" w:hAnsi="Arial" w:cs="Arial"/>
          <w:sz w:val="20"/>
          <w:szCs w:val="20"/>
        </w:rPr>
        <w:t xml:space="preserve">       Table 12 shows no significant differences in financial literacy across age groups. Spending (F = 2.390, p = 0.098), saving (F = 0.659, p = 0.520), financial knowledge (F = 0.560, p = 0.537), and overall literacy (F = 1.861, p = 0.162) did not vary meaningfully by age. This suggests that financial practices and understanding may depend more on education and experience than age. While Okamoto and </w:t>
      </w:r>
      <w:proofErr w:type="spellStart"/>
      <w:r>
        <w:rPr>
          <w:rFonts w:ascii="Arial" w:eastAsia="Arial" w:hAnsi="Arial" w:cs="Arial"/>
          <w:sz w:val="20"/>
          <w:szCs w:val="20"/>
        </w:rPr>
        <w:t>Komamura</w:t>
      </w:r>
      <w:proofErr w:type="spellEnd"/>
      <w:r>
        <w:rPr>
          <w:rFonts w:ascii="Arial" w:eastAsia="Arial" w:hAnsi="Arial" w:cs="Arial"/>
          <w:sz w:val="20"/>
          <w:szCs w:val="20"/>
        </w:rPr>
        <w:t xml:space="preserve"> (2021) argue literacy peaks in adulthood, this study aligns with </w:t>
      </w:r>
      <w:proofErr w:type="spellStart"/>
      <w:r>
        <w:rPr>
          <w:rFonts w:ascii="Arial" w:eastAsia="Arial" w:hAnsi="Arial" w:cs="Arial"/>
          <w:sz w:val="20"/>
          <w:szCs w:val="20"/>
        </w:rPr>
        <w:t>Theodos</w:t>
      </w:r>
      <w:proofErr w:type="spellEnd"/>
      <w:r>
        <w:rPr>
          <w:rFonts w:ascii="Arial" w:eastAsia="Arial" w:hAnsi="Arial" w:cs="Arial"/>
          <w:sz w:val="20"/>
          <w:szCs w:val="20"/>
        </w:rPr>
        <w:t xml:space="preserve"> et al. (2014), who found knowledge doesn’t always affect behavior. Similarly, Ramaswamy et al. (2013) observed that demographics like age and gender don't strongly impact financial literacy levels.</w:t>
      </w:r>
    </w:p>
    <w:p w:rsidR="00DA2392" w:rsidRDefault="00902B7D">
      <w:pPr>
        <w:spacing w:before="280" w:line="240" w:lineRule="auto"/>
        <w:jc w:val="both"/>
        <w:rPr>
          <w:rFonts w:ascii="Arial" w:eastAsia="Arial" w:hAnsi="Arial" w:cs="Arial"/>
          <w:sz w:val="20"/>
          <w:szCs w:val="20"/>
        </w:rPr>
      </w:pPr>
      <w:r>
        <w:rPr>
          <w:rFonts w:ascii="Arial" w:eastAsia="Arial" w:hAnsi="Arial" w:cs="Arial"/>
          <w:b/>
          <w:sz w:val="20"/>
          <w:szCs w:val="20"/>
        </w:rPr>
        <w:t>Table 13</w:t>
      </w:r>
      <w:r>
        <w:rPr>
          <w:rFonts w:ascii="Arial" w:eastAsia="Arial" w:hAnsi="Arial" w:cs="Arial"/>
          <w:sz w:val="20"/>
          <w:szCs w:val="20"/>
        </w:rPr>
        <w:t>. Financial literacy comparison among respondents in terms of their programs.</w:t>
      </w:r>
    </w:p>
    <w:tbl>
      <w:tblPr>
        <w:tblStyle w:val="ac"/>
        <w:tblW w:w="8190" w:type="dxa"/>
        <w:tblInd w:w="0" w:type="dxa"/>
        <w:tblLayout w:type="fixed"/>
        <w:tblLook w:val="0400" w:firstRow="0" w:lastRow="0" w:firstColumn="0" w:lastColumn="0" w:noHBand="0" w:noVBand="1"/>
      </w:tblPr>
      <w:tblGrid>
        <w:gridCol w:w="1440"/>
        <w:gridCol w:w="1245"/>
        <w:gridCol w:w="1020"/>
        <w:gridCol w:w="2250"/>
        <w:gridCol w:w="2235"/>
      </w:tblGrid>
      <w:tr w:rsidR="00DA2392">
        <w:trPr>
          <w:trHeight w:val="584"/>
        </w:trPr>
        <w:tc>
          <w:tcPr>
            <w:tcW w:w="1440" w:type="dxa"/>
            <w:tcBorders>
              <w:top w:val="single" w:sz="4" w:space="0" w:color="000000"/>
              <w:left w:val="nil"/>
              <w:bottom w:val="single" w:sz="4" w:space="0" w:color="000000"/>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Factors</w:t>
            </w:r>
          </w:p>
        </w:tc>
        <w:tc>
          <w:tcPr>
            <w:tcW w:w="1245" w:type="dxa"/>
            <w:tcBorders>
              <w:top w:val="single" w:sz="4" w:space="0" w:color="000000"/>
              <w:left w:val="nil"/>
              <w:bottom w:val="single" w:sz="4" w:space="0" w:color="000000"/>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F-value</w:t>
            </w:r>
          </w:p>
        </w:tc>
        <w:tc>
          <w:tcPr>
            <w:tcW w:w="1020" w:type="dxa"/>
            <w:tcBorders>
              <w:top w:val="single" w:sz="4" w:space="0" w:color="000000"/>
              <w:left w:val="nil"/>
              <w:bottom w:val="single" w:sz="4" w:space="0" w:color="000000"/>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P-value</w:t>
            </w:r>
          </w:p>
        </w:tc>
        <w:tc>
          <w:tcPr>
            <w:tcW w:w="2250" w:type="dxa"/>
            <w:tcBorders>
              <w:top w:val="single" w:sz="4" w:space="0" w:color="000000"/>
              <w:left w:val="nil"/>
              <w:bottom w:val="single" w:sz="4" w:space="0" w:color="000000"/>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Interpretation</w:t>
            </w:r>
          </w:p>
        </w:tc>
        <w:tc>
          <w:tcPr>
            <w:tcW w:w="2235" w:type="dxa"/>
            <w:tcBorders>
              <w:top w:val="single" w:sz="4" w:space="0" w:color="000000"/>
              <w:left w:val="nil"/>
              <w:bottom w:val="single" w:sz="4" w:space="0" w:color="000000"/>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Post Hoc</w:t>
            </w:r>
          </w:p>
          <w:p w:rsidR="00DA2392" w:rsidRDefault="00902B7D">
            <w:pPr>
              <w:spacing w:before="280" w:line="240" w:lineRule="auto"/>
              <w:jc w:val="center"/>
              <w:rPr>
                <w:rFonts w:ascii="Arial" w:eastAsia="Arial" w:hAnsi="Arial" w:cs="Arial"/>
                <w:sz w:val="20"/>
                <w:szCs w:val="20"/>
              </w:rPr>
            </w:pPr>
            <w:r>
              <w:rPr>
                <w:rFonts w:ascii="Arial" w:eastAsia="Arial" w:hAnsi="Arial" w:cs="Arial"/>
                <w:b/>
                <w:sz w:val="20"/>
                <w:szCs w:val="20"/>
              </w:rPr>
              <w:t>comparison</w:t>
            </w:r>
          </w:p>
        </w:tc>
      </w:tr>
      <w:tr w:rsidR="00DA2392">
        <w:trPr>
          <w:trHeight w:val="2674"/>
        </w:trPr>
        <w:tc>
          <w:tcPr>
            <w:tcW w:w="1440" w:type="dxa"/>
            <w:tcBorders>
              <w:top w:val="single" w:sz="4" w:space="0" w:color="000000"/>
              <w:left w:val="nil"/>
              <w:bottom w:val="nil"/>
              <w:right w:val="nil"/>
            </w:tcBorders>
            <w:tcMar>
              <w:top w:w="0" w:type="dxa"/>
              <w:left w:w="108" w:type="dxa"/>
              <w:bottom w:w="0" w:type="dxa"/>
              <w:right w:w="108" w:type="dxa"/>
            </w:tcMar>
          </w:tcPr>
          <w:p w:rsidR="00DA2392" w:rsidRDefault="00902B7D">
            <w:pPr>
              <w:spacing w:line="240" w:lineRule="auto"/>
              <w:jc w:val="both"/>
              <w:rPr>
                <w:rFonts w:ascii="Arial" w:eastAsia="Arial" w:hAnsi="Arial" w:cs="Arial"/>
                <w:sz w:val="20"/>
                <w:szCs w:val="20"/>
              </w:rPr>
            </w:pPr>
            <w:r>
              <w:rPr>
                <w:rFonts w:ascii="Arial" w:eastAsia="Arial" w:hAnsi="Arial" w:cs="Arial"/>
                <w:sz w:val="20"/>
                <w:szCs w:val="20"/>
              </w:rPr>
              <w:lastRenderedPageBreak/>
              <w:t>Spending Habits</w:t>
            </w:r>
          </w:p>
        </w:tc>
        <w:tc>
          <w:tcPr>
            <w:tcW w:w="1245" w:type="dxa"/>
            <w:tcBorders>
              <w:top w:val="single" w:sz="4" w:space="0" w:color="000000"/>
              <w:left w:val="nil"/>
              <w:bottom w:val="nil"/>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15.074</w:t>
            </w:r>
          </w:p>
        </w:tc>
        <w:tc>
          <w:tcPr>
            <w:tcW w:w="1020" w:type="dxa"/>
            <w:tcBorders>
              <w:top w:val="single" w:sz="4" w:space="0" w:color="000000"/>
              <w:left w:val="nil"/>
              <w:bottom w:val="nil"/>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0.000</w:t>
            </w:r>
          </w:p>
        </w:tc>
        <w:tc>
          <w:tcPr>
            <w:tcW w:w="2250" w:type="dxa"/>
            <w:tcBorders>
              <w:top w:val="single" w:sz="4" w:space="0" w:color="000000"/>
              <w:left w:val="nil"/>
              <w:bottom w:val="nil"/>
              <w:right w:val="nil"/>
            </w:tcBorders>
            <w:tcMar>
              <w:top w:w="0" w:type="dxa"/>
              <w:left w:w="108" w:type="dxa"/>
              <w:bottom w:w="0" w:type="dxa"/>
              <w:right w:w="108" w:type="dxa"/>
            </w:tcMar>
          </w:tcPr>
          <w:p w:rsidR="00DA2392" w:rsidRDefault="00902B7D">
            <w:pPr>
              <w:spacing w:line="240" w:lineRule="auto"/>
              <w:jc w:val="both"/>
              <w:rPr>
                <w:rFonts w:ascii="Arial" w:eastAsia="Arial" w:hAnsi="Arial" w:cs="Arial"/>
                <w:sz w:val="20"/>
                <w:szCs w:val="20"/>
              </w:rPr>
            </w:pPr>
            <w:r>
              <w:rPr>
                <w:rFonts w:ascii="Arial" w:eastAsia="Arial" w:hAnsi="Arial" w:cs="Arial"/>
                <w:sz w:val="20"/>
                <w:szCs w:val="20"/>
              </w:rPr>
              <w:t>The level of spending habits among different programs differs significantly.</w:t>
            </w:r>
          </w:p>
        </w:tc>
        <w:tc>
          <w:tcPr>
            <w:tcW w:w="2235" w:type="dxa"/>
            <w:tcBorders>
              <w:top w:val="single" w:sz="4" w:space="0" w:color="000000"/>
              <w:left w:val="nil"/>
              <w:bottom w:val="nil"/>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BEED &amp; BAT/BSA</w:t>
            </w:r>
          </w:p>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BEED &amp; BSC</w:t>
            </w:r>
          </w:p>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BAT/BSA &amp; BSAM</w:t>
            </w:r>
          </w:p>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BAT/BSA &amp; BSCBAT/BSA &amp; BSBA</w:t>
            </w:r>
          </w:p>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BSAM &amp; BSC</w:t>
            </w:r>
          </w:p>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BSC &amp; BSBA</w:t>
            </w:r>
          </w:p>
        </w:tc>
      </w:tr>
      <w:tr w:rsidR="00DA2392">
        <w:trPr>
          <w:trHeight w:val="2414"/>
        </w:trPr>
        <w:tc>
          <w:tcPr>
            <w:tcW w:w="1440" w:type="dxa"/>
            <w:tcBorders>
              <w:top w:val="nil"/>
              <w:left w:val="nil"/>
              <w:bottom w:val="nil"/>
              <w:right w:val="nil"/>
            </w:tcBorders>
            <w:tcMar>
              <w:top w:w="0" w:type="dxa"/>
              <w:left w:w="108" w:type="dxa"/>
              <w:bottom w:w="0" w:type="dxa"/>
              <w:right w:w="108" w:type="dxa"/>
            </w:tcMar>
          </w:tcPr>
          <w:p w:rsidR="00DA2392" w:rsidRDefault="00902B7D">
            <w:pPr>
              <w:spacing w:line="240" w:lineRule="auto"/>
              <w:jc w:val="both"/>
              <w:rPr>
                <w:rFonts w:ascii="Arial" w:eastAsia="Arial" w:hAnsi="Arial" w:cs="Arial"/>
                <w:sz w:val="20"/>
                <w:szCs w:val="20"/>
              </w:rPr>
            </w:pPr>
            <w:r>
              <w:rPr>
                <w:rFonts w:ascii="Arial" w:eastAsia="Arial" w:hAnsi="Arial" w:cs="Arial"/>
                <w:sz w:val="20"/>
                <w:szCs w:val="20"/>
              </w:rPr>
              <w:t>Saving Habits</w:t>
            </w:r>
          </w:p>
        </w:tc>
        <w:tc>
          <w:tcPr>
            <w:tcW w:w="1245" w:type="dxa"/>
            <w:tcBorders>
              <w:top w:val="nil"/>
              <w:left w:val="nil"/>
              <w:bottom w:val="nil"/>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11.129</w:t>
            </w:r>
          </w:p>
        </w:tc>
        <w:tc>
          <w:tcPr>
            <w:tcW w:w="1020" w:type="dxa"/>
            <w:tcBorders>
              <w:top w:val="nil"/>
              <w:left w:val="nil"/>
              <w:bottom w:val="nil"/>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0.000</w:t>
            </w:r>
          </w:p>
        </w:tc>
        <w:tc>
          <w:tcPr>
            <w:tcW w:w="2250" w:type="dxa"/>
            <w:tcBorders>
              <w:top w:val="nil"/>
              <w:left w:val="nil"/>
              <w:bottom w:val="nil"/>
              <w:right w:val="nil"/>
            </w:tcBorders>
            <w:tcMar>
              <w:top w:w="0" w:type="dxa"/>
              <w:left w:w="108" w:type="dxa"/>
              <w:bottom w:w="0" w:type="dxa"/>
              <w:right w:w="108" w:type="dxa"/>
            </w:tcMar>
          </w:tcPr>
          <w:p w:rsidR="00DA2392" w:rsidRDefault="00902B7D">
            <w:pPr>
              <w:spacing w:line="240" w:lineRule="auto"/>
              <w:jc w:val="both"/>
              <w:rPr>
                <w:rFonts w:ascii="Arial" w:eastAsia="Arial" w:hAnsi="Arial" w:cs="Arial"/>
                <w:sz w:val="20"/>
                <w:szCs w:val="20"/>
              </w:rPr>
            </w:pPr>
            <w:r>
              <w:rPr>
                <w:rFonts w:ascii="Arial" w:eastAsia="Arial" w:hAnsi="Arial" w:cs="Arial"/>
                <w:sz w:val="20"/>
                <w:szCs w:val="20"/>
              </w:rPr>
              <w:t>The level of saving habits among different programs differs significantly.</w:t>
            </w:r>
          </w:p>
        </w:tc>
        <w:tc>
          <w:tcPr>
            <w:tcW w:w="2235" w:type="dxa"/>
            <w:tcBorders>
              <w:top w:val="nil"/>
              <w:left w:val="nil"/>
              <w:bottom w:val="nil"/>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BEED &amp; BSAM</w:t>
            </w:r>
          </w:p>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BEED &amp; BSC</w:t>
            </w:r>
          </w:p>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BAT/BSA &amp; BSC</w:t>
            </w:r>
          </w:p>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BSAM &amp; BSC</w:t>
            </w:r>
          </w:p>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BSAM &amp; BSBA</w:t>
            </w:r>
          </w:p>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 xml:space="preserve"> BSC &amp; BSBA</w:t>
            </w:r>
          </w:p>
        </w:tc>
      </w:tr>
      <w:tr w:rsidR="00DA2392">
        <w:trPr>
          <w:trHeight w:val="1649"/>
        </w:trPr>
        <w:tc>
          <w:tcPr>
            <w:tcW w:w="1440" w:type="dxa"/>
            <w:tcBorders>
              <w:top w:val="nil"/>
              <w:left w:val="nil"/>
              <w:bottom w:val="nil"/>
              <w:right w:val="nil"/>
            </w:tcBorders>
            <w:tcMar>
              <w:top w:w="0" w:type="dxa"/>
              <w:left w:w="108" w:type="dxa"/>
              <w:bottom w:w="0" w:type="dxa"/>
              <w:right w:w="108" w:type="dxa"/>
            </w:tcMar>
          </w:tcPr>
          <w:p w:rsidR="00DA2392" w:rsidRDefault="00902B7D">
            <w:pPr>
              <w:spacing w:line="240" w:lineRule="auto"/>
              <w:jc w:val="both"/>
              <w:rPr>
                <w:rFonts w:ascii="Arial" w:eastAsia="Arial" w:hAnsi="Arial" w:cs="Arial"/>
                <w:sz w:val="20"/>
                <w:szCs w:val="20"/>
              </w:rPr>
            </w:pPr>
            <w:r>
              <w:rPr>
                <w:rFonts w:ascii="Arial" w:eastAsia="Arial" w:hAnsi="Arial" w:cs="Arial"/>
                <w:sz w:val="20"/>
                <w:szCs w:val="20"/>
              </w:rPr>
              <w:t>Financial Knowledge</w:t>
            </w:r>
          </w:p>
        </w:tc>
        <w:tc>
          <w:tcPr>
            <w:tcW w:w="1245" w:type="dxa"/>
            <w:tcBorders>
              <w:top w:val="nil"/>
              <w:left w:val="nil"/>
              <w:bottom w:val="nil"/>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4.588</w:t>
            </w:r>
          </w:p>
        </w:tc>
        <w:tc>
          <w:tcPr>
            <w:tcW w:w="1020" w:type="dxa"/>
            <w:tcBorders>
              <w:top w:val="nil"/>
              <w:left w:val="nil"/>
              <w:bottom w:val="nil"/>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0.002</w:t>
            </w:r>
          </w:p>
        </w:tc>
        <w:tc>
          <w:tcPr>
            <w:tcW w:w="2250" w:type="dxa"/>
            <w:tcBorders>
              <w:top w:val="nil"/>
              <w:left w:val="nil"/>
              <w:bottom w:val="nil"/>
              <w:right w:val="nil"/>
            </w:tcBorders>
            <w:tcMar>
              <w:top w:w="0" w:type="dxa"/>
              <w:left w:w="108" w:type="dxa"/>
              <w:bottom w:w="0" w:type="dxa"/>
              <w:right w:w="108" w:type="dxa"/>
            </w:tcMar>
          </w:tcPr>
          <w:p w:rsidR="00DA2392" w:rsidRDefault="00902B7D">
            <w:pPr>
              <w:spacing w:line="240" w:lineRule="auto"/>
              <w:jc w:val="both"/>
              <w:rPr>
                <w:rFonts w:ascii="Arial" w:eastAsia="Arial" w:hAnsi="Arial" w:cs="Arial"/>
                <w:sz w:val="20"/>
                <w:szCs w:val="20"/>
              </w:rPr>
            </w:pPr>
            <w:r>
              <w:rPr>
                <w:rFonts w:ascii="Arial" w:eastAsia="Arial" w:hAnsi="Arial" w:cs="Arial"/>
                <w:sz w:val="20"/>
                <w:szCs w:val="20"/>
              </w:rPr>
              <w:t>Level of financial knowledge among different programs differs significantly</w:t>
            </w:r>
          </w:p>
        </w:tc>
        <w:tc>
          <w:tcPr>
            <w:tcW w:w="2235" w:type="dxa"/>
            <w:tcBorders>
              <w:top w:val="nil"/>
              <w:left w:val="nil"/>
              <w:bottom w:val="nil"/>
              <w:right w:val="nil"/>
            </w:tcBorders>
            <w:tcMar>
              <w:top w:w="0" w:type="dxa"/>
              <w:left w:w="108" w:type="dxa"/>
              <w:bottom w:w="0" w:type="dxa"/>
              <w:right w:w="108" w:type="dxa"/>
            </w:tcMar>
            <w:vAlign w:val="cente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BEED &amp; BSC</w:t>
            </w:r>
          </w:p>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BAT/BSA &amp; BSC</w:t>
            </w:r>
          </w:p>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BSAM &amp; BSC</w:t>
            </w:r>
          </w:p>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 xml:space="preserve"> BSC &amp; BSBA</w:t>
            </w:r>
          </w:p>
        </w:tc>
      </w:tr>
      <w:tr w:rsidR="00DA2392">
        <w:trPr>
          <w:trHeight w:val="490"/>
        </w:trPr>
        <w:tc>
          <w:tcPr>
            <w:tcW w:w="1440" w:type="dxa"/>
            <w:tcBorders>
              <w:top w:val="nil"/>
              <w:left w:val="nil"/>
              <w:bottom w:val="nil"/>
              <w:right w:val="nil"/>
            </w:tcBorders>
            <w:tcMar>
              <w:top w:w="0" w:type="dxa"/>
              <w:left w:w="108" w:type="dxa"/>
              <w:bottom w:w="0" w:type="dxa"/>
              <w:right w:w="108" w:type="dxa"/>
            </w:tcMar>
          </w:tcPr>
          <w:p w:rsidR="00DA2392" w:rsidRDefault="00902B7D">
            <w:pPr>
              <w:spacing w:line="240" w:lineRule="auto"/>
              <w:jc w:val="both"/>
              <w:rPr>
                <w:rFonts w:ascii="Arial" w:eastAsia="Arial" w:hAnsi="Arial" w:cs="Arial"/>
                <w:sz w:val="20"/>
                <w:szCs w:val="20"/>
              </w:rPr>
            </w:pPr>
            <w:r>
              <w:rPr>
                <w:rFonts w:ascii="Arial" w:eastAsia="Arial" w:hAnsi="Arial" w:cs="Arial"/>
                <w:sz w:val="20"/>
                <w:szCs w:val="20"/>
              </w:rPr>
              <w:t>Financial Literacy</w:t>
            </w:r>
          </w:p>
        </w:tc>
        <w:tc>
          <w:tcPr>
            <w:tcW w:w="1245" w:type="dxa"/>
            <w:tcBorders>
              <w:top w:val="nil"/>
              <w:left w:val="nil"/>
              <w:bottom w:val="nil"/>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2.219</w:t>
            </w:r>
          </w:p>
        </w:tc>
        <w:tc>
          <w:tcPr>
            <w:tcW w:w="1020" w:type="dxa"/>
            <w:tcBorders>
              <w:top w:val="nil"/>
              <w:left w:val="nil"/>
              <w:bottom w:val="nil"/>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0.074</w:t>
            </w:r>
          </w:p>
        </w:tc>
        <w:tc>
          <w:tcPr>
            <w:tcW w:w="2250" w:type="dxa"/>
            <w:tcBorders>
              <w:top w:val="nil"/>
              <w:left w:val="nil"/>
              <w:bottom w:val="nil"/>
              <w:right w:val="nil"/>
            </w:tcBorders>
            <w:tcMar>
              <w:top w:w="0" w:type="dxa"/>
              <w:left w:w="108" w:type="dxa"/>
              <w:bottom w:w="0" w:type="dxa"/>
              <w:right w:w="108" w:type="dxa"/>
            </w:tcMar>
          </w:tcPr>
          <w:p w:rsidR="00DA2392" w:rsidRDefault="00902B7D">
            <w:pPr>
              <w:spacing w:line="240" w:lineRule="auto"/>
              <w:jc w:val="both"/>
              <w:rPr>
                <w:rFonts w:ascii="Arial" w:eastAsia="Arial" w:hAnsi="Arial" w:cs="Arial"/>
                <w:sz w:val="20"/>
                <w:szCs w:val="20"/>
              </w:rPr>
            </w:pPr>
            <w:r>
              <w:rPr>
                <w:rFonts w:ascii="Arial" w:eastAsia="Arial" w:hAnsi="Arial" w:cs="Arial"/>
                <w:sz w:val="20"/>
                <w:szCs w:val="20"/>
              </w:rPr>
              <w:t>The level of financial literacy among different programs differs significantly.</w:t>
            </w:r>
          </w:p>
        </w:tc>
        <w:tc>
          <w:tcPr>
            <w:tcW w:w="2235" w:type="dxa"/>
            <w:tcBorders>
              <w:top w:val="nil"/>
              <w:left w:val="nil"/>
              <w:bottom w:val="nil"/>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BSAM &amp; BSBA</w:t>
            </w:r>
          </w:p>
        </w:tc>
      </w:tr>
    </w:tbl>
    <w:p w:rsidR="00DA2392" w:rsidRDefault="00902B7D">
      <w:pPr>
        <w:spacing w:before="240" w:after="240" w:line="240" w:lineRule="auto"/>
        <w:jc w:val="both"/>
        <w:rPr>
          <w:rFonts w:ascii="Arial" w:eastAsia="Arial" w:hAnsi="Arial" w:cs="Arial"/>
          <w:sz w:val="20"/>
          <w:szCs w:val="20"/>
        </w:rPr>
      </w:pPr>
      <w:r>
        <w:rPr>
          <w:rFonts w:ascii="Arial" w:eastAsia="Arial" w:hAnsi="Arial" w:cs="Arial"/>
          <w:sz w:val="20"/>
          <w:szCs w:val="20"/>
        </w:rPr>
        <w:t xml:space="preserve">            Table 13 shows significant differences in spending, saving, and financial knowledge across academic programs (p &lt; 0.05), though overall financial literacy did not significantly vary (p = 0.074). BSC students showed lower performance in saving and financial knowledge, while spending differences were most notable between BEED, BAT/BSA, and BSBA. </w:t>
      </w:r>
      <w:proofErr w:type="spellStart"/>
      <w:r>
        <w:rPr>
          <w:rFonts w:ascii="Arial" w:eastAsia="Arial" w:hAnsi="Arial" w:cs="Arial"/>
          <w:sz w:val="20"/>
          <w:szCs w:val="20"/>
        </w:rPr>
        <w:t>Fatoki</w:t>
      </w:r>
      <w:proofErr w:type="spellEnd"/>
      <w:r>
        <w:rPr>
          <w:rFonts w:ascii="Arial" w:eastAsia="Arial" w:hAnsi="Arial" w:cs="Arial"/>
          <w:sz w:val="20"/>
          <w:szCs w:val="20"/>
        </w:rPr>
        <w:t xml:space="preserve"> and Oni (2014) found that business students generally exhibit higher financial literacy due to greater exposure to financial concepts. Fan and Chatterjee (2018), through consumer socialization theory, also emphasized that financial understanding is shaped by early environmental influences and experiences.</w:t>
      </w:r>
    </w:p>
    <w:p w:rsidR="00DA2392" w:rsidRDefault="00902B7D">
      <w:pPr>
        <w:spacing w:line="240" w:lineRule="auto"/>
        <w:jc w:val="both"/>
        <w:rPr>
          <w:rFonts w:ascii="Arial" w:eastAsia="Arial" w:hAnsi="Arial" w:cs="Arial"/>
          <w:sz w:val="20"/>
          <w:szCs w:val="20"/>
        </w:rPr>
      </w:pPr>
      <w:r>
        <w:rPr>
          <w:rFonts w:ascii="Arial" w:eastAsia="Arial" w:hAnsi="Arial" w:cs="Arial"/>
          <w:b/>
          <w:sz w:val="20"/>
          <w:szCs w:val="20"/>
        </w:rPr>
        <w:t>Table 14</w:t>
      </w:r>
      <w:r>
        <w:rPr>
          <w:rFonts w:ascii="Arial" w:eastAsia="Arial" w:hAnsi="Arial" w:cs="Arial"/>
          <w:sz w:val="20"/>
          <w:szCs w:val="20"/>
        </w:rPr>
        <w:t>. Financial literacy comparison among respondents in terms of their living accommodation</w:t>
      </w:r>
    </w:p>
    <w:tbl>
      <w:tblPr>
        <w:tblStyle w:val="ad"/>
        <w:tblW w:w="8145" w:type="dxa"/>
        <w:tblInd w:w="0" w:type="dxa"/>
        <w:tblLayout w:type="fixed"/>
        <w:tblLook w:val="0400" w:firstRow="0" w:lastRow="0" w:firstColumn="0" w:lastColumn="0" w:noHBand="0" w:noVBand="1"/>
      </w:tblPr>
      <w:tblGrid>
        <w:gridCol w:w="1995"/>
        <w:gridCol w:w="1590"/>
        <w:gridCol w:w="1905"/>
        <w:gridCol w:w="2655"/>
      </w:tblGrid>
      <w:tr w:rsidR="00DA2392">
        <w:trPr>
          <w:trHeight w:val="251"/>
        </w:trPr>
        <w:tc>
          <w:tcPr>
            <w:tcW w:w="1995" w:type="dxa"/>
            <w:tcBorders>
              <w:top w:val="single" w:sz="4" w:space="0" w:color="000000"/>
              <w:left w:val="nil"/>
              <w:bottom w:val="single" w:sz="4" w:space="0" w:color="000000"/>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Factors</w:t>
            </w:r>
          </w:p>
        </w:tc>
        <w:tc>
          <w:tcPr>
            <w:tcW w:w="1590" w:type="dxa"/>
            <w:tcBorders>
              <w:top w:val="single" w:sz="4" w:space="0" w:color="000000"/>
              <w:left w:val="nil"/>
              <w:bottom w:val="single" w:sz="4" w:space="0" w:color="000000"/>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F-value</w:t>
            </w:r>
          </w:p>
        </w:tc>
        <w:tc>
          <w:tcPr>
            <w:tcW w:w="1905" w:type="dxa"/>
            <w:tcBorders>
              <w:top w:val="single" w:sz="4" w:space="0" w:color="000000"/>
              <w:left w:val="nil"/>
              <w:bottom w:val="single" w:sz="4" w:space="0" w:color="000000"/>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P-value</w:t>
            </w:r>
          </w:p>
        </w:tc>
        <w:tc>
          <w:tcPr>
            <w:tcW w:w="2655" w:type="dxa"/>
            <w:tcBorders>
              <w:top w:val="single" w:sz="4" w:space="0" w:color="000000"/>
              <w:left w:val="nil"/>
              <w:bottom w:val="single" w:sz="4" w:space="0" w:color="000000"/>
              <w:right w:val="nil"/>
            </w:tcBorders>
            <w:tcMar>
              <w:top w:w="0" w:type="dxa"/>
              <w:left w:w="108" w:type="dxa"/>
              <w:bottom w:w="0" w:type="dxa"/>
              <w:right w:w="108" w:type="dxa"/>
            </w:tcMa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Statistical Inference</w:t>
            </w:r>
          </w:p>
        </w:tc>
      </w:tr>
      <w:tr w:rsidR="00DA2392">
        <w:trPr>
          <w:trHeight w:val="369"/>
        </w:trPr>
        <w:tc>
          <w:tcPr>
            <w:tcW w:w="1995" w:type="dxa"/>
            <w:tcBorders>
              <w:top w:val="single" w:sz="4" w:space="0" w:color="000000"/>
              <w:left w:val="nil"/>
              <w:bottom w:val="nil"/>
              <w:right w:val="nil"/>
            </w:tcBorders>
            <w:tcMar>
              <w:top w:w="0" w:type="dxa"/>
              <w:left w:w="108" w:type="dxa"/>
              <w:bottom w:w="0" w:type="dxa"/>
              <w:right w:w="108" w:type="dxa"/>
            </w:tcMar>
            <w:vAlign w:val="center"/>
          </w:tcPr>
          <w:p w:rsidR="00DA2392" w:rsidRDefault="00902B7D">
            <w:pPr>
              <w:spacing w:line="240" w:lineRule="auto"/>
              <w:rPr>
                <w:rFonts w:ascii="Arial" w:eastAsia="Arial" w:hAnsi="Arial" w:cs="Arial"/>
                <w:sz w:val="20"/>
                <w:szCs w:val="20"/>
              </w:rPr>
            </w:pPr>
            <w:r>
              <w:rPr>
                <w:rFonts w:ascii="Arial" w:eastAsia="Arial" w:hAnsi="Arial" w:cs="Arial"/>
                <w:sz w:val="20"/>
                <w:szCs w:val="20"/>
              </w:rPr>
              <w:t>Spending Habits</w:t>
            </w:r>
          </w:p>
        </w:tc>
        <w:tc>
          <w:tcPr>
            <w:tcW w:w="1590" w:type="dxa"/>
            <w:tcBorders>
              <w:top w:val="single" w:sz="4" w:space="0" w:color="000000"/>
              <w:left w:val="nil"/>
              <w:bottom w:val="nil"/>
              <w:right w:val="nil"/>
            </w:tcBorders>
            <w:tcMar>
              <w:top w:w="0" w:type="dxa"/>
              <w:left w:w="108" w:type="dxa"/>
              <w:bottom w:w="0" w:type="dxa"/>
              <w:right w:w="108" w:type="dxa"/>
            </w:tcMar>
            <w:vAlign w:val="cente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0.107</w:t>
            </w:r>
          </w:p>
        </w:tc>
        <w:tc>
          <w:tcPr>
            <w:tcW w:w="1905" w:type="dxa"/>
            <w:tcBorders>
              <w:top w:val="single" w:sz="4" w:space="0" w:color="000000"/>
              <w:left w:val="nil"/>
              <w:bottom w:val="nil"/>
              <w:right w:val="nil"/>
            </w:tcBorders>
            <w:tcMar>
              <w:top w:w="0" w:type="dxa"/>
              <w:left w:w="108" w:type="dxa"/>
              <w:bottom w:w="0" w:type="dxa"/>
              <w:right w:w="108" w:type="dxa"/>
            </w:tcMar>
            <w:vAlign w:val="cente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0.899</w:t>
            </w:r>
          </w:p>
        </w:tc>
        <w:tc>
          <w:tcPr>
            <w:tcW w:w="2655" w:type="dxa"/>
            <w:tcBorders>
              <w:top w:val="single" w:sz="4" w:space="0" w:color="000000"/>
              <w:left w:val="nil"/>
              <w:bottom w:val="nil"/>
              <w:right w:val="nil"/>
            </w:tcBorders>
            <w:tcMar>
              <w:top w:w="0" w:type="dxa"/>
              <w:left w:w="108" w:type="dxa"/>
              <w:bottom w:w="0" w:type="dxa"/>
              <w:right w:w="108" w:type="dxa"/>
            </w:tcMar>
            <w:vAlign w:val="cente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Not significant</w:t>
            </w:r>
          </w:p>
        </w:tc>
      </w:tr>
      <w:tr w:rsidR="00DA2392">
        <w:trPr>
          <w:trHeight w:val="244"/>
        </w:trPr>
        <w:tc>
          <w:tcPr>
            <w:tcW w:w="1995" w:type="dxa"/>
            <w:tcBorders>
              <w:top w:val="nil"/>
              <w:left w:val="nil"/>
              <w:bottom w:val="nil"/>
              <w:right w:val="nil"/>
            </w:tcBorders>
            <w:tcMar>
              <w:top w:w="0" w:type="dxa"/>
              <w:left w:w="108" w:type="dxa"/>
              <w:bottom w:w="0" w:type="dxa"/>
              <w:right w:w="108" w:type="dxa"/>
            </w:tcMar>
            <w:vAlign w:val="center"/>
          </w:tcPr>
          <w:p w:rsidR="00DA2392" w:rsidRDefault="00902B7D">
            <w:pPr>
              <w:spacing w:line="240" w:lineRule="auto"/>
              <w:rPr>
                <w:rFonts w:ascii="Arial" w:eastAsia="Arial" w:hAnsi="Arial" w:cs="Arial"/>
                <w:sz w:val="20"/>
                <w:szCs w:val="20"/>
              </w:rPr>
            </w:pPr>
            <w:r>
              <w:rPr>
                <w:rFonts w:ascii="Arial" w:eastAsia="Arial" w:hAnsi="Arial" w:cs="Arial"/>
                <w:sz w:val="20"/>
                <w:szCs w:val="20"/>
              </w:rPr>
              <w:t>Saving Habits</w:t>
            </w:r>
          </w:p>
        </w:tc>
        <w:tc>
          <w:tcPr>
            <w:tcW w:w="1590" w:type="dxa"/>
            <w:tcBorders>
              <w:top w:val="nil"/>
              <w:left w:val="nil"/>
              <w:bottom w:val="nil"/>
              <w:right w:val="nil"/>
            </w:tcBorders>
            <w:tcMar>
              <w:top w:w="0" w:type="dxa"/>
              <w:left w:w="108" w:type="dxa"/>
              <w:bottom w:w="0" w:type="dxa"/>
              <w:right w:w="108" w:type="dxa"/>
            </w:tcMar>
            <w:vAlign w:val="cente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2.396</w:t>
            </w:r>
          </w:p>
        </w:tc>
        <w:tc>
          <w:tcPr>
            <w:tcW w:w="1905" w:type="dxa"/>
            <w:tcBorders>
              <w:top w:val="nil"/>
              <w:left w:val="nil"/>
              <w:bottom w:val="nil"/>
              <w:right w:val="nil"/>
            </w:tcBorders>
            <w:tcMar>
              <w:top w:w="0" w:type="dxa"/>
              <w:left w:w="108" w:type="dxa"/>
              <w:bottom w:w="0" w:type="dxa"/>
              <w:right w:w="108" w:type="dxa"/>
            </w:tcMar>
            <w:vAlign w:val="cente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0.097</w:t>
            </w:r>
          </w:p>
        </w:tc>
        <w:tc>
          <w:tcPr>
            <w:tcW w:w="2655" w:type="dxa"/>
            <w:tcBorders>
              <w:top w:val="nil"/>
              <w:left w:val="nil"/>
              <w:bottom w:val="nil"/>
              <w:right w:val="nil"/>
            </w:tcBorders>
            <w:tcMar>
              <w:top w:w="0" w:type="dxa"/>
              <w:left w:w="108" w:type="dxa"/>
              <w:bottom w:w="0" w:type="dxa"/>
              <w:right w:w="108" w:type="dxa"/>
            </w:tcMar>
            <w:vAlign w:val="cente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Not significant</w:t>
            </w:r>
          </w:p>
        </w:tc>
      </w:tr>
      <w:tr w:rsidR="00DA2392">
        <w:trPr>
          <w:trHeight w:val="317"/>
        </w:trPr>
        <w:tc>
          <w:tcPr>
            <w:tcW w:w="1995" w:type="dxa"/>
            <w:tcBorders>
              <w:top w:val="nil"/>
              <w:left w:val="nil"/>
              <w:bottom w:val="nil"/>
              <w:right w:val="nil"/>
            </w:tcBorders>
            <w:tcMar>
              <w:top w:w="0" w:type="dxa"/>
              <w:left w:w="108" w:type="dxa"/>
              <w:bottom w:w="0" w:type="dxa"/>
              <w:right w:w="108" w:type="dxa"/>
            </w:tcMar>
            <w:vAlign w:val="center"/>
          </w:tcPr>
          <w:p w:rsidR="00DA2392" w:rsidRDefault="00902B7D">
            <w:pPr>
              <w:spacing w:line="240" w:lineRule="auto"/>
              <w:rPr>
                <w:rFonts w:ascii="Arial" w:eastAsia="Arial" w:hAnsi="Arial" w:cs="Arial"/>
                <w:sz w:val="20"/>
                <w:szCs w:val="20"/>
              </w:rPr>
            </w:pPr>
            <w:r>
              <w:rPr>
                <w:rFonts w:ascii="Arial" w:eastAsia="Arial" w:hAnsi="Arial" w:cs="Arial"/>
                <w:sz w:val="20"/>
                <w:szCs w:val="20"/>
              </w:rPr>
              <w:lastRenderedPageBreak/>
              <w:t>Financial Knowledge</w:t>
            </w:r>
          </w:p>
        </w:tc>
        <w:tc>
          <w:tcPr>
            <w:tcW w:w="1590" w:type="dxa"/>
            <w:tcBorders>
              <w:top w:val="nil"/>
              <w:left w:val="nil"/>
              <w:bottom w:val="nil"/>
              <w:right w:val="nil"/>
            </w:tcBorders>
            <w:tcMar>
              <w:top w:w="0" w:type="dxa"/>
              <w:left w:w="108" w:type="dxa"/>
              <w:bottom w:w="0" w:type="dxa"/>
              <w:right w:w="108" w:type="dxa"/>
            </w:tcMar>
            <w:vAlign w:val="cente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1.740</w:t>
            </w:r>
          </w:p>
        </w:tc>
        <w:tc>
          <w:tcPr>
            <w:tcW w:w="1905" w:type="dxa"/>
            <w:tcBorders>
              <w:top w:val="nil"/>
              <w:left w:val="nil"/>
              <w:bottom w:val="nil"/>
              <w:right w:val="nil"/>
            </w:tcBorders>
            <w:tcMar>
              <w:top w:w="0" w:type="dxa"/>
              <w:left w:w="108" w:type="dxa"/>
              <w:bottom w:w="0" w:type="dxa"/>
              <w:right w:w="108" w:type="dxa"/>
            </w:tcMar>
            <w:vAlign w:val="cente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0.181</w:t>
            </w:r>
          </w:p>
        </w:tc>
        <w:tc>
          <w:tcPr>
            <w:tcW w:w="2655" w:type="dxa"/>
            <w:tcBorders>
              <w:top w:val="nil"/>
              <w:left w:val="nil"/>
              <w:bottom w:val="nil"/>
              <w:right w:val="nil"/>
            </w:tcBorders>
            <w:tcMar>
              <w:top w:w="0" w:type="dxa"/>
              <w:left w:w="108" w:type="dxa"/>
              <w:bottom w:w="0" w:type="dxa"/>
              <w:right w:w="108" w:type="dxa"/>
            </w:tcMar>
            <w:vAlign w:val="cente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Not significant</w:t>
            </w:r>
          </w:p>
        </w:tc>
      </w:tr>
      <w:tr w:rsidR="00DA2392">
        <w:trPr>
          <w:trHeight w:val="200"/>
        </w:trPr>
        <w:tc>
          <w:tcPr>
            <w:tcW w:w="1995" w:type="dxa"/>
            <w:tcBorders>
              <w:top w:val="nil"/>
              <w:left w:val="nil"/>
              <w:bottom w:val="single" w:sz="4" w:space="0" w:color="000000"/>
              <w:right w:val="nil"/>
            </w:tcBorders>
            <w:tcMar>
              <w:top w:w="0" w:type="dxa"/>
              <w:left w:w="108" w:type="dxa"/>
              <w:bottom w:w="0" w:type="dxa"/>
              <w:right w:w="108" w:type="dxa"/>
            </w:tcMar>
            <w:vAlign w:val="center"/>
          </w:tcPr>
          <w:p w:rsidR="00DA2392" w:rsidRDefault="00902B7D">
            <w:pPr>
              <w:spacing w:line="240" w:lineRule="auto"/>
              <w:rPr>
                <w:rFonts w:ascii="Arial" w:eastAsia="Arial" w:hAnsi="Arial" w:cs="Arial"/>
                <w:sz w:val="20"/>
                <w:szCs w:val="20"/>
              </w:rPr>
            </w:pPr>
            <w:r>
              <w:rPr>
                <w:rFonts w:ascii="Arial" w:eastAsia="Arial" w:hAnsi="Arial" w:cs="Arial"/>
                <w:sz w:val="20"/>
                <w:szCs w:val="20"/>
              </w:rPr>
              <w:t>Financial Literacy</w:t>
            </w:r>
          </w:p>
        </w:tc>
        <w:tc>
          <w:tcPr>
            <w:tcW w:w="1590" w:type="dxa"/>
            <w:tcBorders>
              <w:top w:val="nil"/>
              <w:left w:val="nil"/>
              <w:bottom w:val="single" w:sz="4" w:space="0" w:color="000000"/>
              <w:right w:val="nil"/>
            </w:tcBorders>
            <w:tcMar>
              <w:top w:w="0" w:type="dxa"/>
              <w:left w:w="108" w:type="dxa"/>
              <w:bottom w:w="0" w:type="dxa"/>
              <w:right w:w="108" w:type="dxa"/>
            </w:tcMar>
            <w:vAlign w:val="cente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1.668</w:t>
            </w:r>
          </w:p>
        </w:tc>
        <w:tc>
          <w:tcPr>
            <w:tcW w:w="1905" w:type="dxa"/>
            <w:tcBorders>
              <w:top w:val="nil"/>
              <w:left w:val="nil"/>
              <w:bottom w:val="single" w:sz="4" w:space="0" w:color="000000"/>
              <w:right w:val="nil"/>
            </w:tcBorders>
            <w:tcMar>
              <w:top w:w="0" w:type="dxa"/>
              <w:left w:w="108" w:type="dxa"/>
              <w:bottom w:w="0" w:type="dxa"/>
              <w:right w:w="108" w:type="dxa"/>
            </w:tcMar>
            <w:vAlign w:val="cente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0.195</w:t>
            </w:r>
          </w:p>
        </w:tc>
        <w:tc>
          <w:tcPr>
            <w:tcW w:w="2655" w:type="dxa"/>
            <w:tcBorders>
              <w:top w:val="nil"/>
              <w:left w:val="nil"/>
              <w:bottom w:val="single" w:sz="4" w:space="0" w:color="000000"/>
              <w:right w:val="nil"/>
            </w:tcBorders>
            <w:tcMar>
              <w:top w:w="0" w:type="dxa"/>
              <w:left w:w="108" w:type="dxa"/>
              <w:bottom w:w="0" w:type="dxa"/>
              <w:right w:w="108" w:type="dxa"/>
            </w:tcMar>
            <w:vAlign w:val="cente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Not significant</w:t>
            </w:r>
          </w:p>
        </w:tc>
      </w:tr>
    </w:tbl>
    <w:p w:rsidR="00DA2392" w:rsidRDefault="00902B7D">
      <w:pPr>
        <w:spacing w:before="240" w:after="240" w:line="240" w:lineRule="auto"/>
        <w:jc w:val="both"/>
        <w:rPr>
          <w:rFonts w:ascii="Arial" w:eastAsia="Arial" w:hAnsi="Arial" w:cs="Arial"/>
          <w:sz w:val="20"/>
          <w:szCs w:val="20"/>
        </w:rPr>
      </w:pPr>
      <w:r>
        <w:rPr>
          <w:rFonts w:ascii="Arial" w:eastAsia="Arial" w:hAnsi="Arial" w:cs="Arial"/>
          <w:sz w:val="20"/>
          <w:szCs w:val="20"/>
        </w:rPr>
        <w:t xml:space="preserve">            Table 14 shows no significant differences in financial literacy based on students' living arrangements, with P-values above 0.05 for all categories. This suggests that housing type does not notably influence spending, saving, or financial knowledge. These findings align with Atkinson and Messy (2012), Lusardi (2012), and OECD (2013), who emphasize that factors like education and socioeconomic status play a larger role in financial literacy. While Lee (2022) and Lone et al. (2022) suggest living arrangements may indirectly affect financial behaviors, the current study indicates that housing type alone is not a major factor.</w:t>
      </w:r>
    </w:p>
    <w:p w:rsidR="00DA2392" w:rsidRDefault="00902B7D">
      <w:pPr>
        <w:spacing w:before="280" w:line="240" w:lineRule="auto"/>
        <w:jc w:val="both"/>
        <w:rPr>
          <w:rFonts w:ascii="Arial" w:eastAsia="Arial" w:hAnsi="Arial" w:cs="Arial"/>
          <w:sz w:val="20"/>
          <w:szCs w:val="20"/>
        </w:rPr>
      </w:pPr>
      <w:r>
        <w:rPr>
          <w:rFonts w:ascii="Arial" w:eastAsia="Arial" w:hAnsi="Arial" w:cs="Arial"/>
          <w:b/>
          <w:sz w:val="20"/>
          <w:szCs w:val="20"/>
        </w:rPr>
        <w:t>Table 15.</w:t>
      </w:r>
      <w:r>
        <w:rPr>
          <w:rFonts w:ascii="Arial" w:eastAsia="Arial" w:hAnsi="Arial" w:cs="Arial"/>
          <w:sz w:val="20"/>
          <w:szCs w:val="20"/>
        </w:rPr>
        <w:t xml:space="preserve"> Financial literacy comparison among respondents in terms of their working status.</w:t>
      </w:r>
    </w:p>
    <w:tbl>
      <w:tblPr>
        <w:tblStyle w:val="ae"/>
        <w:tblW w:w="8208" w:type="dxa"/>
        <w:tblInd w:w="0" w:type="dxa"/>
        <w:tblLayout w:type="fixed"/>
        <w:tblLook w:val="0400" w:firstRow="0" w:lastRow="0" w:firstColumn="0" w:lastColumn="0" w:noHBand="0" w:noVBand="1"/>
      </w:tblPr>
      <w:tblGrid>
        <w:gridCol w:w="2073"/>
        <w:gridCol w:w="2033"/>
        <w:gridCol w:w="2033"/>
        <w:gridCol w:w="2069"/>
      </w:tblGrid>
      <w:tr w:rsidR="00DA2392">
        <w:trPr>
          <w:trHeight w:val="454"/>
        </w:trPr>
        <w:tc>
          <w:tcPr>
            <w:tcW w:w="2073" w:type="dxa"/>
            <w:tcBorders>
              <w:top w:val="single" w:sz="4" w:space="0" w:color="000000"/>
              <w:bottom w:val="single" w:sz="4" w:space="0" w:color="000000"/>
            </w:tcBorders>
            <w:tcMar>
              <w:top w:w="0" w:type="dxa"/>
              <w:left w:w="108" w:type="dxa"/>
              <w:bottom w:w="0" w:type="dxa"/>
              <w:right w:w="108" w:type="dxa"/>
            </w:tcMar>
            <w:vAlign w:val="cente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Factors</w:t>
            </w:r>
          </w:p>
        </w:tc>
        <w:tc>
          <w:tcPr>
            <w:tcW w:w="2033" w:type="dxa"/>
            <w:tcBorders>
              <w:top w:val="single" w:sz="4" w:space="0" w:color="000000"/>
              <w:bottom w:val="single" w:sz="4" w:space="0" w:color="000000"/>
            </w:tcBorders>
            <w:tcMar>
              <w:top w:w="0" w:type="dxa"/>
              <w:left w:w="108" w:type="dxa"/>
              <w:bottom w:w="0" w:type="dxa"/>
              <w:right w:w="108" w:type="dxa"/>
            </w:tcMar>
            <w:vAlign w:val="cente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t-value</w:t>
            </w:r>
          </w:p>
        </w:tc>
        <w:tc>
          <w:tcPr>
            <w:tcW w:w="2033" w:type="dxa"/>
            <w:tcBorders>
              <w:top w:val="single" w:sz="4" w:space="0" w:color="000000"/>
              <w:bottom w:val="single" w:sz="4" w:space="0" w:color="000000"/>
            </w:tcBorders>
            <w:tcMar>
              <w:top w:w="0" w:type="dxa"/>
              <w:left w:w="108" w:type="dxa"/>
              <w:bottom w:w="0" w:type="dxa"/>
              <w:right w:w="108" w:type="dxa"/>
            </w:tcMar>
            <w:vAlign w:val="cente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p-value</w:t>
            </w:r>
          </w:p>
        </w:tc>
        <w:tc>
          <w:tcPr>
            <w:tcW w:w="2069" w:type="dxa"/>
            <w:tcBorders>
              <w:top w:val="single" w:sz="4" w:space="0" w:color="000000"/>
              <w:bottom w:val="single" w:sz="4" w:space="0" w:color="000000"/>
            </w:tcBorders>
            <w:tcMar>
              <w:top w:w="0" w:type="dxa"/>
              <w:left w:w="108" w:type="dxa"/>
              <w:bottom w:w="0" w:type="dxa"/>
              <w:right w:w="108" w:type="dxa"/>
            </w:tcMar>
            <w:vAlign w:val="center"/>
          </w:tcPr>
          <w:p w:rsidR="00DA2392" w:rsidRDefault="00902B7D">
            <w:pPr>
              <w:spacing w:line="240" w:lineRule="auto"/>
              <w:jc w:val="center"/>
              <w:rPr>
                <w:rFonts w:ascii="Arial" w:eastAsia="Arial" w:hAnsi="Arial" w:cs="Arial"/>
                <w:sz w:val="20"/>
                <w:szCs w:val="20"/>
              </w:rPr>
            </w:pPr>
            <w:r>
              <w:rPr>
                <w:rFonts w:ascii="Arial" w:eastAsia="Arial" w:hAnsi="Arial" w:cs="Arial"/>
                <w:b/>
                <w:sz w:val="20"/>
                <w:szCs w:val="20"/>
              </w:rPr>
              <w:t>Statistical Inference</w:t>
            </w:r>
          </w:p>
        </w:tc>
      </w:tr>
      <w:tr w:rsidR="00DA2392">
        <w:trPr>
          <w:trHeight w:val="383"/>
        </w:trPr>
        <w:tc>
          <w:tcPr>
            <w:tcW w:w="2073" w:type="dxa"/>
            <w:tcBorders>
              <w:top w:val="single" w:sz="4" w:space="0" w:color="000000"/>
            </w:tcBorders>
            <w:tcMar>
              <w:top w:w="0" w:type="dxa"/>
              <w:left w:w="108" w:type="dxa"/>
              <w:bottom w:w="0" w:type="dxa"/>
              <w:right w:w="108" w:type="dxa"/>
            </w:tcMar>
            <w:vAlign w:val="center"/>
          </w:tcPr>
          <w:p w:rsidR="00DA2392" w:rsidRDefault="00902B7D">
            <w:pPr>
              <w:spacing w:line="240" w:lineRule="auto"/>
              <w:rPr>
                <w:rFonts w:ascii="Arial" w:eastAsia="Arial" w:hAnsi="Arial" w:cs="Arial"/>
                <w:sz w:val="20"/>
                <w:szCs w:val="20"/>
              </w:rPr>
            </w:pPr>
            <w:r>
              <w:rPr>
                <w:rFonts w:ascii="Arial" w:eastAsia="Arial" w:hAnsi="Arial" w:cs="Arial"/>
                <w:sz w:val="20"/>
                <w:szCs w:val="20"/>
              </w:rPr>
              <w:t>Spending Habits</w:t>
            </w:r>
          </w:p>
        </w:tc>
        <w:tc>
          <w:tcPr>
            <w:tcW w:w="2033" w:type="dxa"/>
            <w:tcBorders>
              <w:top w:val="single" w:sz="4" w:space="0" w:color="000000"/>
            </w:tcBorders>
            <w:tcMar>
              <w:top w:w="0" w:type="dxa"/>
              <w:left w:w="108" w:type="dxa"/>
              <w:bottom w:w="0" w:type="dxa"/>
              <w:right w:w="108" w:type="dxa"/>
            </w:tcMar>
            <w:vAlign w:val="cente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-1.263</w:t>
            </w:r>
          </w:p>
        </w:tc>
        <w:tc>
          <w:tcPr>
            <w:tcW w:w="2033" w:type="dxa"/>
            <w:tcBorders>
              <w:top w:val="single" w:sz="4" w:space="0" w:color="000000"/>
            </w:tcBorders>
            <w:tcMar>
              <w:top w:w="0" w:type="dxa"/>
              <w:left w:w="108" w:type="dxa"/>
              <w:bottom w:w="0" w:type="dxa"/>
              <w:right w:w="108" w:type="dxa"/>
            </w:tcMar>
            <w:vAlign w:val="cente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0.210</w:t>
            </w:r>
          </w:p>
        </w:tc>
        <w:tc>
          <w:tcPr>
            <w:tcW w:w="2069" w:type="dxa"/>
            <w:tcBorders>
              <w:top w:val="single" w:sz="4" w:space="0" w:color="000000"/>
            </w:tcBorders>
            <w:tcMar>
              <w:top w:w="0" w:type="dxa"/>
              <w:left w:w="108" w:type="dxa"/>
              <w:bottom w:w="0" w:type="dxa"/>
              <w:right w:w="108" w:type="dxa"/>
            </w:tcMar>
            <w:vAlign w:val="cente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Not significant</w:t>
            </w:r>
          </w:p>
        </w:tc>
      </w:tr>
      <w:tr w:rsidR="00DA2392">
        <w:trPr>
          <w:trHeight w:val="369"/>
        </w:trPr>
        <w:tc>
          <w:tcPr>
            <w:tcW w:w="2073" w:type="dxa"/>
            <w:tcMar>
              <w:top w:w="0" w:type="dxa"/>
              <w:left w:w="108" w:type="dxa"/>
              <w:bottom w:w="0" w:type="dxa"/>
              <w:right w:w="108" w:type="dxa"/>
            </w:tcMar>
            <w:vAlign w:val="center"/>
          </w:tcPr>
          <w:p w:rsidR="00DA2392" w:rsidRDefault="00902B7D">
            <w:pPr>
              <w:spacing w:line="240" w:lineRule="auto"/>
              <w:rPr>
                <w:rFonts w:ascii="Arial" w:eastAsia="Arial" w:hAnsi="Arial" w:cs="Arial"/>
                <w:sz w:val="20"/>
                <w:szCs w:val="20"/>
              </w:rPr>
            </w:pPr>
            <w:r>
              <w:rPr>
                <w:rFonts w:ascii="Arial" w:eastAsia="Arial" w:hAnsi="Arial" w:cs="Arial"/>
                <w:sz w:val="20"/>
                <w:szCs w:val="20"/>
              </w:rPr>
              <w:t>Saving Habits</w:t>
            </w:r>
          </w:p>
        </w:tc>
        <w:tc>
          <w:tcPr>
            <w:tcW w:w="2033" w:type="dxa"/>
            <w:tcMar>
              <w:top w:w="0" w:type="dxa"/>
              <w:left w:w="108" w:type="dxa"/>
              <w:bottom w:w="0" w:type="dxa"/>
              <w:right w:w="108" w:type="dxa"/>
            </w:tcMar>
            <w:vAlign w:val="cente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0.136</w:t>
            </w:r>
          </w:p>
        </w:tc>
        <w:tc>
          <w:tcPr>
            <w:tcW w:w="2033" w:type="dxa"/>
            <w:tcMar>
              <w:top w:w="0" w:type="dxa"/>
              <w:left w:w="108" w:type="dxa"/>
              <w:bottom w:w="0" w:type="dxa"/>
              <w:right w:w="108" w:type="dxa"/>
            </w:tcMar>
            <w:vAlign w:val="cente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0.892</w:t>
            </w:r>
          </w:p>
        </w:tc>
        <w:tc>
          <w:tcPr>
            <w:tcW w:w="2069" w:type="dxa"/>
            <w:tcMar>
              <w:top w:w="0" w:type="dxa"/>
              <w:left w:w="108" w:type="dxa"/>
              <w:bottom w:w="0" w:type="dxa"/>
              <w:right w:w="108" w:type="dxa"/>
            </w:tcMar>
            <w:vAlign w:val="cente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Not significant</w:t>
            </w:r>
          </w:p>
        </w:tc>
      </w:tr>
      <w:tr w:rsidR="00DA2392">
        <w:trPr>
          <w:trHeight w:val="140"/>
        </w:trPr>
        <w:tc>
          <w:tcPr>
            <w:tcW w:w="2073" w:type="dxa"/>
            <w:tcMar>
              <w:top w:w="0" w:type="dxa"/>
              <w:left w:w="108" w:type="dxa"/>
              <w:bottom w:w="0" w:type="dxa"/>
              <w:right w:w="108" w:type="dxa"/>
            </w:tcMar>
            <w:vAlign w:val="center"/>
          </w:tcPr>
          <w:p w:rsidR="00DA2392" w:rsidRDefault="00902B7D">
            <w:pPr>
              <w:spacing w:line="240" w:lineRule="auto"/>
              <w:rPr>
                <w:rFonts w:ascii="Arial" w:eastAsia="Arial" w:hAnsi="Arial" w:cs="Arial"/>
                <w:sz w:val="20"/>
                <w:szCs w:val="20"/>
              </w:rPr>
            </w:pPr>
            <w:r>
              <w:rPr>
                <w:rFonts w:ascii="Arial" w:eastAsia="Arial" w:hAnsi="Arial" w:cs="Arial"/>
                <w:sz w:val="20"/>
                <w:szCs w:val="20"/>
              </w:rPr>
              <w:t>Financial Knowledge</w:t>
            </w:r>
          </w:p>
        </w:tc>
        <w:tc>
          <w:tcPr>
            <w:tcW w:w="2033" w:type="dxa"/>
            <w:tcMar>
              <w:top w:w="0" w:type="dxa"/>
              <w:left w:w="108" w:type="dxa"/>
              <w:bottom w:w="0" w:type="dxa"/>
              <w:right w:w="108" w:type="dxa"/>
            </w:tcMar>
            <w:vAlign w:val="cente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-0.413</w:t>
            </w:r>
          </w:p>
        </w:tc>
        <w:tc>
          <w:tcPr>
            <w:tcW w:w="2033" w:type="dxa"/>
            <w:tcMar>
              <w:top w:w="0" w:type="dxa"/>
              <w:left w:w="108" w:type="dxa"/>
              <w:bottom w:w="0" w:type="dxa"/>
              <w:right w:w="108" w:type="dxa"/>
            </w:tcMar>
            <w:vAlign w:val="cente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0.686</w:t>
            </w:r>
          </w:p>
        </w:tc>
        <w:tc>
          <w:tcPr>
            <w:tcW w:w="2069" w:type="dxa"/>
            <w:tcMar>
              <w:top w:w="0" w:type="dxa"/>
              <w:left w:w="108" w:type="dxa"/>
              <w:bottom w:w="0" w:type="dxa"/>
              <w:right w:w="108" w:type="dxa"/>
            </w:tcMar>
            <w:vAlign w:val="cente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Not significant</w:t>
            </w:r>
          </w:p>
        </w:tc>
      </w:tr>
      <w:tr w:rsidR="00DA2392">
        <w:trPr>
          <w:trHeight w:val="93"/>
        </w:trPr>
        <w:tc>
          <w:tcPr>
            <w:tcW w:w="2073" w:type="dxa"/>
            <w:tcBorders>
              <w:bottom w:val="single" w:sz="4" w:space="0" w:color="000000"/>
            </w:tcBorders>
            <w:tcMar>
              <w:top w:w="0" w:type="dxa"/>
              <w:left w:w="108" w:type="dxa"/>
              <w:bottom w:w="0" w:type="dxa"/>
              <w:right w:w="108" w:type="dxa"/>
            </w:tcMar>
            <w:vAlign w:val="center"/>
          </w:tcPr>
          <w:p w:rsidR="00DA2392" w:rsidRDefault="00902B7D">
            <w:pPr>
              <w:spacing w:line="240" w:lineRule="auto"/>
              <w:rPr>
                <w:rFonts w:ascii="Arial" w:eastAsia="Arial" w:hAnsi="Arial" w:cs="Arial"/>
                <w:sz w:val="20"/>
                <w:szCs w:val="20"/>
              </w:rPr>
            </w:pPr>
            <w:r>
              <w:rPr>
                <w:rFonts w:ascii="Arial" w:eastAsia="Arial" w:hAnsi="Arial" w:cs="Arial"/>
                <w:sz w:val="20"/>
                <w:szCs w:val="20"/>
              </w:rPr>
              <w:t>Financial Literacy</w:t>
            </w:r>
          </w:p>
        </w:tc>
        <w:tc>
          <w:tcPr>
            <w:tcW w:w="2033" w:type="dxa"/>
            <w:tcBorders>
              <w:bottom w:val="single" w:sz="4" w:space="0" w:color="000000"/>
            </w:tcBorders>
            <w:tcMar>
              <w:top w:w="0" w:type="dxa"/>
              <w:left w:w="108" w:type="dxa"/>
              <w:bottom w:w="0" w:type="dxa"/>
              <w:right w:w="108" w:type="dxa"/>
            </w:tcMar>
            <w:vAlign w:val="cente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-1.174</w:t>
            </w:r>
          </w:p>
        </w:tc>
        <w:tc>
          <w:tcPr>
            <w:tcW w:w="2033" w:type="dxa"/>
            <w:tcBorders>
              <w:bottom w:val="single" w:sz="4" w:space="0" w:color="000000"/>
            </w:tcBorders>
            <w:tcMar>
              <w:top w:w="0" w:type="dxa"/>
              <w:left w:w="108" w:type="dxa"/>
              <w:bottom w:w="0" w:type="dxa"/>
              <w:right w:w="108" w:type="dxa"/>
            </w:tcMar>
            <w:vAlign w:val="cente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0.244</w:t>
            </w:r>
          </w:p>
        </w:tc>
        <w:tc>
          <w:tcPr>
            <w:tcW w:w="2069" w:type="dxa"/>
            <w:tcBorders>
              <w:bottom w:val="single" w:sz="4" w:space="0" w:color="000000"/>
            </w:tcBorders>
            <w:tcMar>
              <w:top w:w="0" w:type="dxa"/>
              <w:left w:w="108" w:type="dxa"/>
              <w:bottom w:w="0" w:type="dxa"/>
              <w:right w:w="108" w:type="dxa"/>
            </w:tcMar>
            <w:vAlign w:val="center"/>
          </w:tcPr>
          <w:p w:rsidR="00DA2392" w:rsidRDefault="00902B7D">
            <w:pPr>
              <w:spacing w:line="240" w:lineRule="auto"/>
              <w:jc w:val="center"/>
              <w:rPr>
                <w:rFonts w:ascii="Arial" w:eastAsia="Arial" w:hAnsi="Arial" w:cs="Arial"/>
                <w:sz w:val="20"/>
                <w:szCs w:val="20"/>
              </w:rPr>
            </w:pPr>
            <w:r>
              <w:rPr>
                <w:rFonts w:ascii="Arial" w:eastAsia="Arial" w:hAnsi="Arial" w:cs="Arial"/>
                <w:sz w:val="20"/>
                <w:szCs w:val="20"/>
              </w:rPr>
              <w:t>Not significant</w:t>
            </w:r>
          </w:p>
        </w:tc>
      </w:tr>
    </w:tbl>
    <w:p w:rsidR="00DA2392" w:rsidRDefault="00902B7D">
      <w:pPr>
        <w:spacing w:before="280" w:line="240" w:lineRule="auto"/>
        <w:jc w:val="both"/>
        <w:rPr>
          <w:rFonts w:ascii="Arial" w:eastAsia="Arial" w:hAnsi="Arial" w:cs="Arial"/>
          <w:sz w:val="20"/>
          <w:szCs w:val="20"/>
        </w:rPr>
      </w:pPr>
      <w:r>
        <w:rPr>
          <w:rFonts w:ascii="Arial" w:eastAsia="Arial" w:hAnsi="Arial" w:cs="Arial"/>
          <w:sz w:val="20"/>
          <w:szCs w:val="20"/>
        </w:rPr>
        <w:t xml:space="preserve">       Table 15 shows no significant differences in spending, saving, financial knowledge, or overall financial literacy between working and non-working students, as all P-values exceed 0.05. This suggests employment status does not significantly impact financial behavior in this sample. However, previous studies (</w:t>
      </w:r>
      <w:proofErr w:type="spellStart"/>
      <w:r>
        <w:rPr>
          <w:rFonts w:ascii="Arial" w:eastAsia="Arial" w:hAnsi="Arial" w:cs="Arial"/>
          <w:sz w:val="20"/>
          <w:szCs w:val="20"/>
        </w:rPr>
        <w:t>Mwathi</w:t>
      </w:r>
      <w:proofErr w:type="spellEnd"/>
      <w:r>
        <w:rPr>
          <w:rFonts w:ascii="Arial" w:eastAsia="Arial" w:hAnsi="Arial" w:cs="Arial"/>
          <w:sz w:val="20"/>
          <w:szCs w:val="20"/>
        </w:rPr>
        <w:t xml:space="preserve">, 2017; Tang, 2016; </w:t>
      </w:r>
      <w:proofErr w:type="spellStart"/>
      <w:r>
        <w:rPr>
          <w:rFonts w:ascii="Arial" w:eastAsia="Arial" w:hAnsi="Arial" w:cs="Arial"/>
          <w:sz w:val="20"/>
          <w:szCs w:val="20"/>
        </w:rPr>
        <w:t>Looke</w:t>
      </w:r>
      <w:proofErr w:type="spellEnd"/>
      <w:r>
        <w:rPr>
          <w:rFonts w:ascii="Arial" w:eastAsia="Arial" w:hAnsi="Arial" w:cs="Arial"/>
          <w:sz w:val="20"/>
          <w:szCs w:val="20"/>
        </w:rPr>
        <w:t>, 2017; Chandran, 2018) highlight that employment can enhance financial literacy through real-world experience and income management, suggesting its potential influence may vary by context.</w:t>
      </w:r>
    </w:p>
    <w:p w:rsidR="00DA2392" w:rsidRDefault="00902B7D">
      <w:pPr>
        <w:spacing w:before="280" w:line="240" w:lineRule="auto"/>
        <w:jc w:val="both"/>
        <w:rPr>
          <w:rFonts w:ascii="Arial" w:eastAsia="Arial" w:hAnsi="Arial" w:cs="Arial"/>
          <w:sz w:val="20"/>
          <w:szCs w:val="20"/>
        </w:rPr>
      </w:pPr>
      <w:r>
        <w:rPr>
          <w:rFonts w:ascii="Arial" w:eastAsia="Arial" w:hAnsi="Arial" w:cs="Arial"/>
          <w:b/>
          <w:sz w:val="20"/>
          <w:szCs w:val="20"/>
        </w:rPr>
        <w:t>4.4 Implications for Financial Literacy Programs in Universities</w:t>
      </w:r>
    </w:p>
    <w:p w:rsidR="00DA2392" w:rsidRDefault="00902B7D">
      <w:pPr>
        <w:spacing w:before="240" w:after="240" w:line="240" w:lineRule="auto"/>
        <w:jc w:val="both"/>
        <w:rPr>
          <w:rFonts w:ascii="Arial" w:eastAsia="Arial" w:hAnsi="Arial" w:cs="Arial"/>
          <w:sz w:val="20"/>
          <w:szCs w:val="20"/>
        </w:rPr>
      </w:pPr>
      <w:r>
        <w:rPr>
          <w:rFonts w:ascii="Arial" w:eastAsia="Arial" w:hAnsi="Arial" w:cs="Arial"/>
          <w:sz w:val="20"/>
          <w:szCs w:val="20"/>
        </w:rPr>
        <w:t xml:space="preserve">           </w:t>
      </w:r>
      <w:proofErr w:type="spellStart"/>
      <w:r>
        <w:rPr>
          <w:rFonts w:ascii="Arial" w:eastAsia="Arial" w:hAnsi="Arial" w:cs="Arial"/>
          <w:sz w:val="20"/>
          <w:szCs w:val="20"/>
        </w:rPr>
        <w:t>Mwathi</w:t>
      </w:r>
      <w:proofErr w:type="spellEnd"/>
      <w:r>
        <w:rPr>
          <w:rFonts w:ascii="Arial" w:eastAsia="Arial" w:hAnsi="Arial" w:cs="Arial"/>
          <w:sz w:val="20"/>
          <w:szCs w:val="20"/>
        </w:rPr>
        <w:t xml:space="preserve"> (2017) found that while employment can offer practical financial experience, this study's results suggest that having a job does not necessarily improve students’ financial literacy. This challenges the belief that real-world financial responsibilities alone lead to stronger financial knowledge. Tang (2016) supports this by noting that employment’s impact varies depending on individual circumstances and the financial education received. Hence, universities should develop tailored financial literacy programs for both working and non-working students, focusing on budgeting, planning, and essential financial skills. Additionally, </w:t>
      </w:r>
      <w:proofErr w:type="spellStart"/>
      <w:r>
        <w:rPr>
          <w:rFonts w:ascii="Arial" w:eastAsia="Arial" w:hAnsi="Arial" w:cs="Arial"/>
          <w:sz w:val="20"/>
          <w:szCs w:val="20"/>
        </w:rPr>
        <w:t>Looke</w:t>
      </w:r>
      <w:proofErr w:type="spellEnd"/>
      <w:r>
        <w:rPr>
          <w:rFonts w:ascii="Arial" w:eastAsia="Arial" w:hAnsi="Arial" w:cs="Arial"/>
          <w:sz w:val="20"/>
          <w:szCs w:val="20"/>
        </w:rPr>
        <w:t xml:space="preserve"> (2017) emphasized that employed students often engage more in budgeting and planning, which universities can build upon to promote financial independence and long-term resilience.</w:t>
      </w:r>
    </w:p>
    <w:p w:rsidR="00DA2392" w:rsidRDefault="00DA2392">
      <w:pPr>
        <w:spacing w:after="0" w:line="240" w:lineRule="auto"/>
        <w:jc w:val="both"/>
        <w:rPr>
          <w:rFonts w:ascii="Arial" w:eastAsia="Arial" w:hAnsi="Arial" w:cs="Arial"/>
          <w:sz w:val="20"/>
          <w:szCs w:val="20"/>
        </w:rPr>
      </w:pPr>
    </w:p>
    <w:p w:rsidR="00DA2392" w:rsidRDefault="00902B7D">
      <w:pPr>
        <w:spacing w:after="0" w:line="240" w:lineRule="auto"/>
        <w:jc w:val="both"/>
        <w:rPr>
          <w:rFonts w:ascii="Arial" w:eastAsia="Arial" w:hAnsi="Arial" w:cs="Arial"/>
          <w:sz w:val="20"/>
          <w:szCs w:val="20"/>
        </w:rPr>
      </w:pPr>
      <w:r>
        <w:rPr>
          <w:rFonts w:ascii="Arial" w:eastAsia="Arial" w:hAnsi="Arial" w:cs="Arial"/>
          <w:b/>
          <w:smallCaps/>
          <w:color w:val="000000"/>
          <w:sz w:val="20"/>
          <w:szCs w:val="20"/>
        </w:rPr>
        <w:t>5. CONCLUSIONS AND RECOMMENDATIONS</w:t>
      </w:r>
    </w:p>
    <w:p w:rsidR="00DA2392" w:rsidRDefault="00DA2392">
      <w:pPr>
        <w:shd w:val="clear" w:color="auto" w:fill="FFFFFF"/>
        <w:spacing w:after="0" w:line="240" w:lineRule="auto"/>
        <w:rPr>
          <w:rFonts w:ascii="Arial" w:eastAsia="Arial" w:hAnsi="Arial" w:cs="Arial"/>
          <w:b/>
          <w:sz w:val="20"/>
          <w:szCs w:val="20"/>
          <w:highlight w:val="white"/>
        </w:rPr>
      </w:pPr>
    </w:p>
    <w:p w:rsidR="00DA2392" w:rsidRDefault="00902B7D">
      <w:pPr>
        <w:shd w:val="clear" w:color="auto" w:fill="FFFFFF"/>
        <w:spacing w:after="0" w:line="240" w:lineRule="auto"/>
        <w:rPr>
          <w:b/>
          <w:sz w:val="20"/>
          <w:szCs w:val="20"/>
        </w:rPr>
      </w:pPr>
      <w:r>
        <w:rPr>
          <w:rFonts w:ascii="Arial" w:eastAsia="Arial" w:hAnsi="Arial" w:cs="Arial"/>
          <w:b/>
          <w:color w:val="000000"/>
          <w:sz w:val="20"/>
          <w:szCs w:val="20"/>
          <w:highlight w:val="white"/>
        </w:rPr>
        <w:t>Conclusion</w:t>
      </w:r>
    </w:p>
    <w:p w:rsidR="00DA2392" w:rsidRDefault="00902B7D">
      <w:pPr>
        <w:shd w:val="clear" w:color="auto" w:fill="FFFFFF"/>
        <w:spacing w:after="0" w:line="240" w:lineRule="auto"/>
        <w:rPr>
          <w:rFonts w:ascii="Arial" w:eastAsia="Arial" w:hAnsi="Arial" w:cs="Arial"/>
          <w:sz w:val="20"/>
          <w:szCs w:val="20"/>
        </w:rPr>
      </w:pPr>
      <w:r>
        <w:rPr>
          <w:rFonts w:ascii="Arial" w:eastAsia="Arial" w:hAnsi="Arial" w:cs="Arial"/>
          <w:sz w:val="20"/>
          <w:szCs w:val="20"/>
        </w:rPr>
        <w:t xml:space="preserve">        Based on the findings of the study, the researchers drew the following conclusions:</w:t>
      </w:r>
    </w:p>
    <w:p w:rsidR="00DA2392" w:rsidRDefault="00902B7D">
      <w:pPr>
        <w:spacing w:before="280" w:line="240" w:lineRule="auto"/>
        <w:ind w:firstLine="720"/>
        <w:jc w:val="both"/>
        <w:rPr>
          <w:rFonts w:ascii="Arial" w:eastAsia="Arial" w:hAnsi="Arial" w:cs="Arial"/>
          <w:sz w:val="20"/>
          <w:szCs w:val="20"/>
        </w:rPr>
      </w:pPr>
      <w:r>
        <w:rPr>
          <w:rFonts w:ascii="Arial" w:eastAsia="Arial" w:hAnsi="Arial" w:cs="Arial"/>
          <w:sz w:val="20"/>
          <w:szCs w:val="20"/>
        </w:rPr>
        <w:lastRenderedPageBreak/>
        <w:t>1. The profile of the respondents from DORSU-CEC reveals that the majority are female, predominantly aged between 18 and 23, and primarily reside in their own houses. Additionally, most of these respondents are non-working students, indicating a demographic composed mainly of young, full-time students.</w:t>
      </w:r>
    </w:p>
    <w:p w:rsidR="00DA2392" w:rsidRDefault="00902B7D">
      <w:pPr>
        <w:spacing w:before="280" w:line="240" w:lineRule="auto"/>
        <w:ind w:firstLine="720"/>
        <w:jc w:val="both"/>
        <w:rPr>
          <w:rFonts w:ascii="Arial" w:eastAsia="Arial" w:hAnsi="Arial" w:cs="Arial"/>
          <w:sz w:val="20"/>
          <w:szCs w:val="20"/>
        </w:rPr>
      </w:pPr>
      <w:r>
        <w:rPr>
          <w:rFonts w:ascii="Arial" w:eastAsia="Arial" w:hAnsi="Arial" w:cs="Arial"/>
          <w:sz w:val="20"/>
          <w:szCs w:val="20"/>
        </w:rPr>
        <w:t>2. The level of financial literacy among DORSU-CEC students is generally high. Their spending habits demonstrate responsible financial behavior, with a tendency to avoid impulse buying. They also consistently save money, reflecting good saving habits. Overall, the financial literacy score, which includes spending habits, saving habits, and financial knowledge, is high among these students.</w:t>
      </w:r>
    </w:p>
    <w:p w:rsidR="00DA2392" w:rsidRDefault="00902B7D">
      <w:pPr>
        <w:spacing w:before="280" w:line="240" w:lineRule="auto"/>
        <w:ind w:firstLine="720"/>
        <w:jc w:val="both"/>
        <w:rPr>
          <w:rFonts w:ascii="Arial" w:eastAsia="Arial" w:hAnsi="Arial" w:cs="Arial"/>
          <w:sz w:val="20"/>
          <w:szCs w:val="20"/>
        </w:rPr>
      </w:pPr>
      <w:r>
        <w:rPr>
          <w:rFonts w:ascii="Arial" w:eastAsia="Arial" w:hAnsi="Arial" w:cs="Arial"/>
          <w:sz w:val="20"/>
          <w:szCs w:val="20"/>
        </w:rPr>
        <w:t>3. Furthermore, there are no significant differences in financial literacy levels when grouped according to sex, age, living accommodation, or working status. This indicates a uniformity in financial literacy across different demographic groups, showing that these factors do not significantly influence the students' financial literacy.</w:t>
      </w:r>
    </w:p>
    <w:p w:rsidR="00DA2392" w:rsidRDefault="00902B7D">
      <w:pPr>
        <w:spacing w:before="280" w:line="240" w:lineRule="auto"/>
        <w:ind w:firstLine="720"/>
        <w:jc w:val="both"/>
        <w:rPr>
          <w:rFonts w:ascii="Arial" w:eastAsia="Arial" w:hAnsi="Arial" w:cs="Arial"/>
          <w:sz w:val="20"/>
          <w:szCs w:val="20"/>
        </w:rPr>
      </w:pPr>
      <w:r>
        <w:rPr>
          <w:rFonts w:ascii="Arial" w:eastAsia="Arial" w:hAnsi="Arial" w:cs="Arial"/>
          <w:sz w:val="20"/>
          <w:szCs w:val="20"/>
        </w:rPr>
        <w:t>However, significant differences in financial literacy were observed when students were grouped according to their academic programs. Specifically, students from different programs exhibited varying levels of financial literacy, with significant differences noted between specific pairs of programs, such as between students enrolled in BEED and BAT/BSA, BEED and BSC, BAT/BSA and BSAM, and others. This highlights the need for tailored financial literacy programs to address students' unique challenges and needs from different academic backgrounds.</w:t>
      </w:r>
    </w:p>
    <w:p w:rsidR="00DA2392" w:rsidRDefault="00902B7D">
      <w:pPr>
        <w:shd w:val="clear" w:color="auto" w:fill="FFFFFF"/>
        <w:spacing w:line="240" w:lineRule="auto"/>
        <w:rPr>
          <w:rFonts w:ascii="Arial" w:eastAsia="Arial" w:hAnsi="Arial" w:cs="Arial"/>
          <w:b/>
          <w:sz w:val="20"/>
          <w:szCs w:val="20"/>
        </w:rPr>
      </w:pPr>
      <w:r>
        <w:rPr>
          <w:rFonts w:ascii="Arial" w:eastAsia="Arial" w:hAnsi="Arial" w:cs="Arial"/>
          <w:b/>
          <w:color w:val="000000"/>
          <w:sz w:val="20"/>
          <w:szCs w:val="20"/>
          <w:highlight w:val="white"/>
        </w:rPr>
        <w:t>Recommendation</w:t>
      </w:r>
    </w:p>
    <w:p w:rsidR="00DA2392" w:rsidRDefault="00902B7D">
      <w:pPr>
        <w:shd w:val="clear" w:color="auto" w:fill="FFFFFF"/>
        <w:spacing w:line="240" w:lineRule="auto"/>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Based on the results of the study, the researchers recommend the following:</w:t>
      </w:r>
    </w:p>
    <w:p w:rsidR="00DA2392" w:rsidRDefault="00902B7D">
      <w:pPr>
        <w:spacing w:before="280" w:line="240" w:lineRule="auto"/>
        <w:jc w:val="both"/>
        <w:rPr>
          <w:rFonts w:ascii="Arial" w:eastAsia="Arial" w:hAnsi="Arial" w:cs="Arial"/>
          <w:sz w:val="20"/>
          <w:szCs w:val="20"/>
        </w:rPr>
      </w:pPr>
      <w:r>
        <w:rPr>
          <w:rFonts w:ascii="Arial" w:eastAsia="Arial" w:hAnsi="Arial" w:cs="Arial"/>
          <w:b/>
          <w:sz w:val="20"/>
          <w:szCs w:val="20"/>
        </w:rPr>
        <w:t xml:space="preserve">1. Develop gender-sensitive financial education modules. </w:t>
      </w:r>
      <w:r>
        <w:rPr>
          <w:rFonts w:ascii="Arial" w:eastAsia="Arial" w:hAnsi="Arial" w:cs="Arial"/>
          <w:sz w:val="20"/>
          <w:szCs w:val="20"/>
        </w:rPr>
        <w:t>Given the demographic profile of predominantly female students aged 18-23, residing in their own houses and mostly non-working, there is a clear opportunity to focus on gender-sensitive financial education. This approach would address challenges and opportunities that young women may encounter in managing their finances, such as closing the gender gap in financial confidence, tailored investment strategies, and navigating financial decisions that impact future financial independence. By integrating gender-sensitive financial education into existing programs, DORSU-CEC can ensure inclusivity and relevance, supporting all its students' long-term financial well-being and success.</w:t>
      </w:r>
    </w:p>
    <w:p w:rsidR="00DA2392" w:rsidRDefault="00902B7D">
      <w:pPr>
        <w:spacing w:before="280" w:line="240" w:lineRule="auto"/>
        <w:jc w:val="both"/>
        <w:rPr>
          <w:rFonts w:ascii="Arial" w:eastAsia="Arial" w:hAnsi="Arial" w:cs="Arial"/>
          <w:sz w:val="20"/>
          <w:szCs w:val="20"/>
        </w:rPr>
      </w:pPr>
      <w:r>
        <w:rPr>
          <w:rFonts w:ascii="Arial" w:eastAsia="Arial" w:hAnsi="Arial" w:cs="Arial"/>
          <w:b/>
          <w:sz w:val="20"/>
          <w:szCs w:val="20"/>
        </w:rPr>
        <w:t xml:space="preserve">2. Develop Tailored Financial Literacy Programs. </w:t>
      </w:r>
      <w:r>
        <w:rPr>
          <w:rFonts w:ascii="Arial" w:eastAsia="Arial" w:hAnsi="Arial" w:cs="Arial"/>
          <w:sz w:val="20"/>
          <w:szCs w:val="20"/>
        </w:rPr>
        <w:t>Implement financial literacy programs that cater to students' unique needs and challenges from various academic programs such as BEED, BAT/BSA, BSC, BSAM, and BSBA. These programs should be customized to address each discipline's specific financial knowledge and behaviors. By tailoring the content and delivery methods to the academic context of each program, DORSU-CEC can ensure that students receive relevant and practical financial education that aligns with their career paths and future financial responsibilities.</w:t>
      </w:r>
    </w:p>
    <w:p w:rsidR="00DA2392" w:rsidRDefault="00902B7D">
      <w:pPr>
        <w:spacing w:before="280" w:line="240" w:lineRule="auto"/>
        <w:jc w:val="both"/>
        <w:rPr>
          <w:rFonts w:ascii="Arial" w:eastAsia="Arial" w:hAnsi="Arial" w:cs="Arial"/>
          <w:sz w:val="20"/>
          <w:szCs w:val="20"/>
        </w:rPr>
      </w:pPr>
      <w:r>
        <w:rPr>
          <w:rFonts w:ascii="Arial" w:eastAsia="Arial" w:hAnsi="Arial" w:cs="Arial"/>
          <w:b/>
          <w:sz w:val="20"/>
          <w:szCs w:val="20"/>
        </w:rPr>
        <w:t xml:space="preserve">3. Conduct Regular Financial Literacy Workshops. </w:t>
      </w:r>
      <w:r>
        <w:rPr>
          <w:rFonts w:ascii="Arial" w:eastAsia="Arial" w:hAnsi="Arial" w:cs="Arial"/>
          <w:sz w:val="20"/>
          <w:szCs w:val="20"/>
        </w:rPr>
        <w:t>The Financial Literacy Committee (faculty members, financial experts, and student representatives) can organize regular workshops and seminars on personal finance management, budgeting, and saving strategies. These workshops should be tailored to the specific needs of students from different programs to ensure they are relevant and effective in addressing the financial literacy gaps identified in the study.</w:t>
      </w:r>
    </w:p>
    <w:p w:rsidR="00C5403E" w:rsidRPr="00C5403E" w:rsidRDefault="00C5403E" w:rsidP="00C5403E">
      <w:pPr>
        <w:spacing w:before="280" w:line="240" w:lineRule="auto"/>
        <w:jc w:val="both"/>
        <w:rPr>
          <w:rFonts w:ascii="Arial" w:eastAsia="Arial" w:hAnsi="Arial" w:cs="Arial"/>
          <w:b/>
          <w:sz w:val="20"/>
          <w:szCs w:val="20"/>
        </w:rPr>
      </w:pPr>
      <w:r w:rsidRPr="00C5403E">
        <w:rPr>
          <w:rFonts w:ascii="Arial" w:eastAsia="Arial" w:hAnsi="Arial" w:cs="Arial"/>
          <w:b/>
          <w:sz w:val="20"/>
          <w:szCs w:val="20"/>
        </w:rPr>
        <w:lastRenderedPageBreak/>
        <w:t>Ethical Approval:</w:t>
      </w:r>
    </w:p>
    <w:p w:rsidR="00C5403E" w:rsidRPr="00C5403E" w:rsidRDefault="00C5403E" w:rsidP="00C5403E">
      <w:pPr>
        <w:spacing w:before="280" w:line="240" w:lineRule="auto"/>
        <w:jc w:val="both"/>
        <w:rPr>
          <w:rFonts w:ascii="Arial" w:eastAsia="Arial" w:hAnsi="Arial" w:cs="Arial"/>
          <w:sz w:val="20"/>
          <w:szCs w:val="20"/>
        </w:rPr>
      </w:pPr>
      <w:bookmarkStart w:id="0" w:name="_GoBack"/>
      <w:bookmarkEnd w:id="0"/>
    </w:p>
    <w:p w:rsidR="00C5403E" w:rsidRDefault="00C5403E" w:rsidP="00C5403E">
      <w:pPr>
        <w:spacing w:before="280" w:line="240" w:lineRule="auto"/>
        <w:jc w:val="both"/>
        <w:rPr>
          <w:rFonts w:ascii="Arial" w:eastAsia="Arial" w:hAnsi="Arial" w:cs="Arial"/>
          <w:sz w:val="20"/>
          <w:szCs w:val="20"/>
        </w:rPr>
      </w:pPr>
      <w:r w:rsidRPr="00C5403E">
        <w:rPr>
          <w:rFonts w:ascii="Arial" w:eastAsia="Arial" w:hAnsi="Arial" w:cs="Arial"/>
          <w:sz w:val="20"/>
          <w:szCs w:val="20"/>
        </w:rPr>
        <w:t>As per international standards or university standards written ethical approval has been collected and preserved by the author(s).</w:t>
      </w:r>
    </w:p>
    <w:p w:rsidR="00DA2392" w:rsidRDefault="00902B7D">
      <w:pPr>
        <w:spacing w:before="240" w:after="240" w:line="240" w:lineRule="auto"/>
        <w:jc w:val="both"/>
        <w:rPr>
          <w:rFonts w:ascii="Arial" w:eastAsia="Arial" w:hAnsi="Arial" w:cs="Arial"/>
          <w:b/>
          <w:sz w:val="20"/>
          <w:szCs w:val="20"/>
        </w:rPr>
      </w:pPr>
      <w:r>
        <w:rPr>
          <w:rFonts w:ascii="Arial" w:eastAsia="Arial" w:hAnsi="Arial" w:cs="Arial"/>
          <w:b/>
          <w:sz w:val="20"/>
          <w:szCs w:val="20"/>
        </w:rPr>
        <w:t xml:space="preserve">Disclaimer (Artificial intelligence) </w:t>
      </w:r>
    </w:p>
    <w:p w:rsidR="00DA2392" w:rsidRDefault="00902B7D">
      <w:pPr>
        <w:spacing w:before="240" w:after="240" w:line="240" w:lineRule="auto"/>
        <w:jc w:val="both"/>
        <w:rPr>
          <w:rFonts w:ascii="Arial" w:eastAsia="Arial" w:hAnsi="Arial" w:cs="Arial"/>
          <w:sz w:val="20"/>
          <w:szCs w:val="20"/>
        </w:rPr>
      </w:pPr>
      <w:r>
        <w:rPr>
          <w:rFonts w:ascii="Arial" w:eastAsia="Arial" w:hAnsi="Arial" w:cs="Arial"/>
          <w:sz w:val="20"/>
          <w:szCs w:val="20"/>
        </w:rPr>
        <w:t xml:space="preserve">          The authors hereby declare that generative Al technologies, specifically Large Language Models, were used during the writing and editing of this manuscript. Details of the Al usage are as follows: </w:t>
      </w:r>
    </w:p>
    <w:p w:rsidR="00DA2392" w:rsidRDefault="00902B7D">
      <w:pPr>
        <w:numPr>
          <w:ilvl w:val="0"/>
          <w:numId w:val="1"/>
        </w:numPr>
        <w:spacing w:before="240" w:after="0" w:line="240" w:lineRule="auto"/>
        <w:jc w:val="both"/>
        <w:rPr>
          <w:rFonts w:ascii="Arial" w:eastAsia="Arial" w:hAnsi="Arial" w:cs="Arial"/>
          <w:sz w:val="20"/>
          <w:szCs w:val="20"/>
        </w:rPr>
      </w:pPr>
      <w:r>
        <w:rPr>
          <w:rFonts w:ascii="Arial" w:eastAsia="Arial" w:hAnsi="Arial" w:cs="Arial"/>
          <w:sz w:val="20"/>
          <w:szCs w:val="20"/>
        </w:rPr>
        <w:t xml:space="preserve">Name of the Al Tool: </w:t>
      </w:r>
      <w:proofErr w:type="spellStart"/>
      <w:r>
        <w:rPr>
          <w:rFonts w:ascii="Arial" w:eastAsia="Arial" w:hAnsi="Arial" w:cs="Arial"/>
          <w:sz w:val="20"/>
          <w:szCs w:val="20"/>
        </w:rPr>
        <w:t>ChatGPT</w:t>
      </w:r>
      <w:proofErr w:type="spellEnd"/>
      <w:r>
        <w:rPr>
          <w:rFonts w:ascii="Arial" w:eastAsia="Arial" w:hAnsi="Arial" w:cs="Arial"/>
          <w:sz w:val="20"/>
          <w:szCs w:val="20"/>
        </w:rPr>
        <w:t xml:space="preserve"> </w:t>
      </w:r>
    </w:p>
    <w:p w:rsidR="00DA2392" w:rsidRDefault="00902B7D">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rPr>
        <w:t xml:space="preserve">Version/Model: GPT-4 </w:t>
      </w:r>
    </w:p>
    <w:p w:rsidR="00DA2392" w:rsidRDefault="00902B7D">
      <w:pPr>
        <w:numPr>
          <w:ilvl w:val="0"/>
          <w:numId w:val="1"/>
        </w:numPr>
        <w:spacing w:after="240" w:line="240" w:lineRule="auto"/>
        <w:jc w:val="both"/>
        <w:rPr>
          <w:rFonts w:ascii="Arial" w:eastAsia="Arial" w:hAnsi="Arial" w:cs="Arial"/>
          <w:sz w:val="20"/>
          <w:szCs w:val="20"/>
        </w:rPr>
      </w:pPr>
      <w:r>
        <w:rPr>
          <w:rFonts w:ascii="Arial" w:eastAsia="Arial" w:hAnsi="Arial" w:cs="Arial"/>
          <w:sz w:val="20"/>
          <w:szCs w:val="20"/>
        </w:rPr>
        <w:t xml:space="preserve">Source/Provider: </w:t>
      </w:r>
      <w:proofErr w:type="spellStart"/>
      <w:r>
        <w:rPr>
          <w:rFonts w:ascii="Arial" w:eastAsia="Arial" w:hAnsi="Arial" w:cs="Arial"/>
          <w:sz w:val="20"/>
          <w:szCs w:val="20"/>
        </w:rPr>
        <w:t>OpenAl</w:t>
      </w:r>
      <w:proofErr w:type="spellEnd"/>
      <w:r>
        <w:rPr>
          <w:rFonts w:ascii="Arial" w:eastAsia="Arial" w:hAnsi="Arial" w:cs="Arial"/>
          <w:sz w:val="20"/>
          <w:szCs w:val="20"/>
        </w:rPr>
        <w:t xml:space="preserve"> (https://chat.openai.com) </w:t>
      </w:r>
    </w:p>
    <w:p w:rsidR="00DA2392" w:rsidRDefault="00902B7D">
      <w:pPr>
        <w:spacing w:before="240" w:after="240" w:line="240" w:lineRule="auto"/>
        <w:jc w:val="both"/>
        <w:rPr>
          <w:rFonts w:ascii="Arial" w:eastAsia="Arial" w:hAnsi="Arial" w:cs="Arial"/>
          <w:sz w:val="20"/>
          <w:szCs w:val="20"/>
        </w:rPr>
      </w:pPr>
      <w:r>
        <w:rPr>
          <w:rFonts w:ascii="Arial" w:eastAsia="Arial" w:hAnsi="Arial" w:cs="Arial"/>
          <w:sz w:val="20"/>
          <w:szCs w:val="20"/>
        </w:rPr>
        <w:t xml:space="preserve">          Purpose of Use: Generative Al was primarily employed to enhance the clarity and coherence of the discussion, improve the overall language and grammar, and refine the abstract for better readability and adherence to academic standards. </w:t>
      </w:r>
    </w:p>
    <w:p w:rsidR="00DA2392" w:rsidRDefault="00902B7D">
      <w:pPr>
        <w:spacing w:before="240" w:after="240" w:line="240" w:lineRule="auto"/>
        <w:jc w:val="both"/>
        <w:rPr>
          <w:rFonts w:ascii="Arial" w:eastAsia="Arial" w:hAnsi="Arial" w:cs="Arial"/>
          <w:sz w:val="20"/>
          <w:szCs w:val="20"/>
        </w:rPr>
      </w:pPr>
      <w:r>
        <w:rPr>
          <w:rFonts w:ascii="Arial" w:eastAsia="Arial" w:hAnsi="Arial" w:cs="Arial"/>
          <w:sz w:val="20"/>
          <w:szCs w:val="20"/>
        </w:rPr>
        <w:t xml:space="preserve">Sample Prompts Provided to the Al </w:t>
      </w:r>
    </w:p>
    <w:p w:rsidR="00DA2392" w:rsidRDefault="00902B7D">
      <w:pPr>
        <w:numPr>
          <w:ilvl w:val="0"/>
          <w:numId w:val="2"/>
        </w:numPr>
        <w:spacing w:before="240" w:after="0" w:line="240" w:lineRule="auto"/>
        <w:jc w:val="both"/>
        <w:rPr>
          <w:rFonts w:ascii="Arial" w:eastAsia="Arial" w:hAnsi="Arial" w:cs="Arial"/>
          <w:sz w:val="20"/>
          <w:szCs w:val="20"/>
        </w:rPr>
      </w:pPr>
      <w:r>
        <w:rPr>
          <w:rFonts w:ascii="Arial" w:eastAsia="Arial" w:hAnsi="Arial" w:cs="Arial"/>
          <w:sz w:val="20"/>
          <w:szCs w:val="20"/>
        </w:rPr>
        <w:t xml:space="preserve">"Please enhance this abstract to improve clarity, focus, and impact." </w:t>
      </w:r>
    </w:p>
    <w:p w:rsidR="00DA2392" w:rsidRDefault="00902B7D">
      <w:pPr>
        <w:numPr>
          <w:ilvl w:val="0"/>
          <w:numId w:val="2"/>
        </w:numPr>
        <w:spacing w:after="0" w:line="240" w:lineRule="auto"/>
        <w:jc w:val="both"/>
        <w:rPr>
          <w:rFonts w:ascii="Arial" w:eastAsia="Arial" w:hAnsi="Arial" w:cs="Arial"/>
          <w:sz w:val="20"/>
          <w:szCs w:val="20"/>
        </w:rPr>
      </w:pPr>
      <w:r>
        <w:rPr>
          <w:rFonts w:ascii="Arial" w:eastAsia="Arial" w:hAnsi="Arial" w:cs="Arial"/>
          <w:sz w:val="20"/>
          <w:szCs w:val="20"/>
        </w:rPr>
        <w:t xml:space="preserve">"Correct grammar and improve the flow of this discussion section" </w:t>
      </w:r>
    </w:p>
    <w:p w:rsidR="00DA2392" w:rsidRDefault="00902B7D">
      <w:pPr>
        <w:numPr>
          <w:ilvl w:val="0"/>
          <w:numId w:val="2"/>
        </w:numPr>
        <w:spacing w:after="0" w:line="240" w:lineRule="auto"/>
        <w:jc w:val="both"/>
        <w:rPr>
          <w:rFonts w:ascii="Arial" w:eastAsia="Arial" w:hAnsi="Arial" w:cs="Arial"/>
          <w:sz w:val="20"/>
          <w:szCs w:val="20"/>
        </w:rPr>
      </w:pPr>
      <w:r>
        <w:rPr>
          <w:rFonts w:ascii="Arial" w:eastAsia="Arial" w:hAnsi="Arial" w:cs="Arial"/>
          <w:sz w:val="20"/>
          <w:szCs w:val="20"/>
        </w:rPr>
        <w:t xml:space="preserve">Summarize findings in a more concise academic style" </w:t>
      </w:r>
    </w:p>
    <w:p w:rsidR="00DA2392" w:rsidRDefault="00902B7D">
      <w:pPr>
        <w:numPr>
          <w:ilvl w:val="0"/>
          <w:numId w:val="2"/>
        </w:numPr>
        <w:spacing w:after="240" w:line="240" w:lineRule="auto"/>
        <w:jc w:val="both"/>
        <w:rPr>
          <w:rFonts w:ascii="Arial" w:eastAsia="Arial" w:hAnsi="Arial" w:cs="Arial"/>
          <w:sz w:val="20"/>
          <w:szCs w:val="20"/>
        </w:rPr>
      </w:pPr>
      <w:r>
        <w:rPr>
          <w:rFonts w:ascii="Arial" w:eastAsia="Arial" w:hAnsi="Arial" w:cs="Arial"/>
          <w:sz w:val="20"/>
          <w:szCs w:val="20"/>
        </w:rPr>
        <w:t xml:space="preserve">"Rephrase this paragraph to sound more formal and scholarly </w:t>
      </w:r>
    </w:p>
    <w:p w:rsidR="00DA2392" w:rsidRDefault="00902B7D">
      <w:pPr>
        <w:spacing w:before="240" w:after="240" w:line="240" w:lineRule="auto"/>
        <w:jc w:val="both"/>
        <w:rPr>
          <w:sz w:val="20"/>
          <w:szCs w:val="20"/>
        </w:rPr>
      </w:pPr>
      <w:r>
        <w:rPr>
          <w:rFonts w:ascii="Arial" w:eastAsia="Arial" w:hAnsi="Arial" w:cs="Arial"/>
          <w:sz w:val="20"/>
          <w:szCs w:val="20"/>
        </w:rPr>
        <w:t xml:space="preserve">         All intellectual content, data interpretation, and scientific conclusions remain the responsibility of the authors. The Al tool served only as an editorial assistant and did not generate original scientific ideas or perform data analysis.</w:t>
      </w:r>
    </w:p>
    <w:p w:rsidR="00DA2392" w:rsidRDefault="00DA2392">
      <w:pPr>
        <w:shd w:val="clear" w:color="auto" w:fill="FFFFFF"/>
        <w:spacing w:line="240" w:lineRule="auto"/>
        <w:rPr>
          <w:rFonts w:ascii="Arial" w:eastAsia="Arial" w:hAnsi="Arial" w:cs="Arial"/>
          <w:b/>
          <w:sz w:val="20"/>
          <w:szCs w:val="20"/>
          <w:highlight w:val="white"/>
        </w:rPr>
      </w:pPr>
    </w:p>
    <w:p w:rsidR="00DA2392" w:rsidRDefault="00902B7D">
      <w:pPr>
        <w:shd w:val="clear" w:color="auto" w:fill="FFFFFF"/>
        <w:spacing w:line="240" w:lineRule="auto"/>
        <w:rPr>
          <w:sz w:val="20"/>
          <w:szCs w:val="20"/>
        </w:rPr>
      </w:pPr>
      <w:r>
        <w:rPr>
          <w:rFonts w:ascii="Arial" w:eastAsia="Arial" w:hAnsi="Arial" w:cs="Arial"/>
          <w:b/>
          <w:color w:val="000000"/>
          <w:sz w:val="20"/>
          <w:szCs w:val="20"/>
          <w:highlight w:val="white"/>
        </w:rPr>
        <w:t>REFERENCES</w:t>
      </w:r>
    </w:p>
    <w:p w:rsidR="00DA2392" w:rsidRDefault="00902B7D">
      <w:pPr>
        <w:pBdr>
          <w:top w:val="nil"/>
          <w:left w:val="nil"/>
          <w:bottom w:val="nil"/>
          <w:right w:val="nil"/>
          <w:between w:val="nil"/>
        </w:pBdr>
        <w:spacing w:before="100"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AACSB (2022). </w:t>
      </w:r>
      <w:r>
        <w:rPr>
          <w:rFonts w:ascii="Arial" w:eastAsia="Arial" w:hAnsi="Arial" w:cs="Arial"/>
          <w:color w:val="000000"/>
          <w:sz w:val="20"/>
          <w:szCs w:val="20"/>
          <w:highlight w:val="white"/>
        </w:rPr>
        <w:t xml:space="preserve">Business Education. </w:t>
      </w:r>
      <w:proofErr w:type="spellStart"/>
      <w:r>
        <w:rPr>
          <w:rFonts w:ascii="Arial" w:eastAsia="Arial" w:hAnsi="Arial" w:cs="Arial"/>
          <w:color w:val="000000"/>
          <w:sz w:val="20"/>
          <w:szCs w:val="20"/>
          <w:highlight w:val="white"/>
        </w:rPr>
        <w:t>Connected.https</w:t>
      </w:r>
      <w:proofErr w:type="spellEnd"/>
      <w:r>
        <w:rPr>
          <w:rFonts w:ascii="Arial" w:eastAsia="Arial" w:hAnsi="Arial" w:cs="Arial"/>
          <w:color w:val="000000"/>
          <w:sz w:val="20"/>
          <w:szCs w:val="20"/>
          <w:highlight w:val="white"/>
        </w:rPr>
        <w:t>://www.aacsb.edu/</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Acheampong, K., </w:t>
      </w:r>
      <w:proofErr w:type="spellStart"/>
      <w:r>
        <w:rPr>
          <w:rFonts w:ascii="Arial" w:eastAsia="Arial" w:hAnsi="Arial" w:cs="Arial"/>
          <w:color w:val="000000"/>
          <w:sz w:val="20"/>
          <w:szCs w:val="20"/>
        </w:rPr>
        <w:t>Kyei-Baffor</w:t>
      </w:r>
      <w:proofErr w:type="spellEnd"/>
      <w:r>
        <w:rPr>
          <w:rFonts w:ascii="Arial" w:eastAsia="Arial" w:hAnsi="Arial" w:cs="Arial"/>
          <w:color w:val="000000"/>
          <w:sz w:val="20"/>
          <w:szCs w:val="20"/>
        </w:rPr>
        <w:t>, B., Hanson-</w:t>
      </w:r>
      <w:proofErr w:type="spellStart"/>
      <w:r>
        <w:rPr>
          <w:rFonts w:ascii="Arial" w:eastAsia="Arial" w:hAnsi="Arial" w:cs="Arial"/>
          <w:color w:val="000000"/>
          <w:sz w:val="20"/>
          <w:szCs w:val="20"/>
        </w:rPr>
        <w:t>Cobbinah</w:t>
      </w:r>
      <w:proofErr w:type="spellEnd"/>
      <w:r>
        <w:rPr>
          <w:rFonts w:ascii="Arial" w:eastAsia="Arial" w:hAnsi="Arial" w:cs="Arial"/>
          <w:color w:val="000000"/>
          <w:sz w:val="20"/>
          <w:szCs w:val="20"/>
        </w:rPr>
        <w:t>, J. &amp; Osei, C. (2015). Assessing financial literacy among university students (A study at Christian Service University College). file:///C:/Users/Hp/Downloads/ASSESSING_FINANCIAL_LITERACY_AMONG_UNIVE.pdf</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Agarwalla</w:t>
      </w:r>
      <w:proofErr w:type="spellEnd"/>
      <w:r>
        <w:rPr>
          <w:rFonts w:ascii="Arial" w:eastAsia="Arial" w:hAnsi="Arial" w:cs="Arial"/>
          <w:color w:val="000000"/>
          <w:sz w:val="20"/>
          <w:szCs w:val="20"/>
        </w:rPr>
        <w:t xml:space="preserve">, S. K., </w:t>
      </w:r>
      <w:proofErr w:type="spellStart"/>
      <w:r>
        <w:rPr>
          <w:rFonts w:ascii="Arial" w:eastAsia="Arial" w:hAnsi="Arial" w:cs="Arial"/>
          <w:color w:val="000000"/>
          <w:sz w:val="20"/>
          <w:szCs w:val="20"/>
        </w:rPr>
        <w:t>Barua</w:t>
      </w:r>
      <w:proofErr w:type="spellEnd"/>
      <w:r>
        <w:rPr>
          <w:rFonts w:ascii="Arial" w:eastAsia="Arial" w:hAnsi="Arial" w:cs="Arial"/>
          <w:color w:val="000000"/>
          <w:sz w:val="20"/>
          <w:szCs w:val="20"/>
        </w:rPr>
        <w:t>, S. K., Jacob, J., &amp; Varma, J. R. (2015). Financial literacy among working young in urban India. World Development, 67, 101-109.</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Ajide</w:t>
      </w:r>
      <w:proofErr w:type="spellEnd"/>
      <w:r>
        <w:rPr>
          <w:rFonts w:ascii="Arial" w:eastAsia="Arial" w:hAnsi="Arial" w:cs="Arial"/>
          <w:color w:val="000000"/>
          <w:sz w:val="20"/>
          <w:szCs w:val="20"/>
        </w:rPr>
        <w:t xml:space="preserve">, F. M. (2015). Financial Inclusion and Rural Poverty Reduction: Evidence from </w:t>
      </w:r>
      <w:proofErr w:type="spellStart"/>
      <w:r>
        <w:rPr>
          <w:rFonts w:ascii="Arial" w:eastAsia="Arial" w:hAnsi="Arial" w:cs="Arial"/>
          <w:color w:val="000000"/>
          <w:sz w:val="20"/>
          <w:szCs w:val="20"/>
        </w:rPr>
        <w:t>Nigeria.</w:t>
      </w:r>
      <w:r>
        <w:rPr>
          <w:rFonts w:ascii="Arial" w:eastAsia="Arial" w:hAnsi="Arial" w:cs="Arial"/>
          <w:color w:val="000000"/>
          <w:sz w:val="20"/>
          <w:szCs w:val="20"/>
          <w:highlight w:val="white"/>
        </w:rPr>
        <w:t>International</w:t>
      </w:r>
      <w:proofErr w:type="spellEnd"/>
      <w:r>
        <w:rPr>
          <w:rFonts w:ascii="Arial" w:eastAsia="Arial" w:hAnsi="Arial" w:cs="Arial"/>
          <w:color w:val="000000"/>
          <w:sz w:val="20"/>
          <w:szCs w:val="20"/>
          <w:highlight w:val="white"/>
        </w:rPr>
        <w:t xml:space="preserve"> Journal of Management Sciences and Humanities, Vol. 3, No. 2, 2015.</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Albeerdy</w:t>
      </w:r>
      <w:proofErr w:type="spellEnd"/>
      <w:r>
        <w:rPr>
          <w:rFonts w:ascii="Arial" w:eastAsia="Arial" w:hAnsi="Arial" w:cs="Arial"/>
          <w:color w:val="000000"/>
          <w:sz w:val="20"/>
          <w:szCs w:val="20"/>
        </w:rPr>
        <w:t xml:space="preserve">, M. I., &amp; </w:t>
      </w:r>
      <w:proofErr w:type="spellStart"/>
      <w:r>
        <w:rPr>
          <w:rFonts w:ascii="Arial" w:eastAsia="Arial" w:hAnsi="Arial" w:cs="Arial"/>
          <w:color w:val="000000"/>
          <w:sz w:val="20"/>
          <w:szCs w:val="20"/>
        </w:rPr>
        <w:t>Gharleghi</w:t>
      </w:r>
      <w:proofErr w:type="spellEnd"/>
      <w:r>
        <w:rPr>
          <w:rFonts w:ascii="Arial" w:eastAsia="Arial" w:hAnsi="Arial" w:cs="Arial"/>
          <w:color w:val="000000"/>
          <w:sz w:val="20"/>
          <w:szCs w:val="20"/>
        </w:rPr>
        <w:t>, B. (2015). Determinants of the financial literacy among college students in Malaysia. International Journal of Business Administration, 6(3)15-25</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proofErr w:type="gramStart"/>
      <w:r>
        <w:rPr>
          <w:rFonts w:ascii="Arial" w:eastAsia="Arial" w:hAnsi="Arial" w:cs="Arial"/>
          <w:color w:val="000000"/>
          <w:sz w:val="20"/>
          <w:szCs w:val="20"/>
        </w:rPr>
        <w:lastRenderedPageBreak/>
        <w:t>Alekam,J.M.E</w:t>
      </w:r>
      <w:proofErr w:type="spellEnd"/>
      <w:r>
        <w:rPr>
          <w:rFonts w:ascii="Arial" w:eastAsia="Arial" w:hAnsi="Arial" w:cs="Arial"/>
          <w:color w:val="000000"/>
          <w:sz w:val="20"/>
          <w:szCs w:val="20"/>
        </w:rPr>
        <w:t>.</w:t>
      </w:r>
      <w:proofErr w:type="gramEnd"/>
      <w:r>
        <w:rPr>
          <w:rFonts w:ascii="Arial" w:eastAsia="Arial" w:hAnsi="Arial" w:cs="Arial"/>
          <w:color w:val="000000"/>
          <w:sz w:val="20"/>
          <w:szCs w:val="20"/>
        </w:rPr>
        <w:t>, Salleh, M.S., &amp; Mokhtar, S.S.M., (2018. The Effect of Family, Peer, Behavior, Saving and Spending Behavior on Financial Literacy among Young Generations. International Journal of Organizational Leadership 7(2018) 309-323</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Ali, P., Anderson, M., McRae, C., &amp; Ramsay, I. (2014). The financial literacy of young Australians: An empirical study and implications for consumer protection and ASIC’s National Financial Literacy Strategy</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Ali, P., McRae, C. H., &amp; Ramsay, I. (2014). Financial literacy and financial decision-making of Australian secondary school students. Australian Business Law Review, 42(3), 228-233.</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Amiranashvili</w:t>
      </w:r>
      <w:proofErr w:type="spellEnd"/>
      <w:r>
        <w:rPr>
          <w:rFonts w:ascii="Arial" w:eastAsia="Arial" w:hAnsi="Arial" w:cs="Arial"/>
          <w:color w:val="000000"/>
          <w:sz w:val="20"/>
          <w:szCs w:val="20"/>
        </w:rPr>
        <w:t xml:space="preserve"> (2023</w:t>
      </w:r>
      <w:proofErr w:type="gramStart"/>
      <w:r>
        <w:rPr>
          <w:rFonts w:ascii="Arial" w:eastAsia="Arial" w:hAnsi="Arial" w:cs="Arial"/>
          <w:color w:val="000000"/>
          <w:sz w:val="20"/>
          <w:szCs w:val="20"/>
        </w:rPr>
        <w:t>).</w:t>
      </w:r>
      <w:r>
        <w:rPr>
          <w:rFonts w:ascii="Arial" w:eastAsia="Arial" w:hAnsi="Arial" w:cs="Arial"/>
          <w:color w:val="000000"/>
          <w:sz w:val="20"/>
          <w:szCs w:val="20"/>
          <w:highlight w:val="white"/>
        </w:rPr>
        <w:t>Exploring</w:t>
      </w:r>
      <w:proofErr w:type="gramEnd"/>
      <w:r>
        <w:rPr>
          <w:rFonts w:ascii="Arial" w:eastAsia="Arial" w:hAnsi="Arial" w:cs="Arial"/>
          <w:color w:val="000000"/>
          <w:sz w:val="20"/>
          <w:szCs w:val="20"/>
          <w:highlight w:val="white"/>
        </w:rPr>
        <w:t xml:space="preserve"> Financial Literacy among Senior High School Students in Georgia: A Qualitative Study on Factors Influencing Financial Knowledge and </w:t>
      </w:r>
      <w:proofErr w:type="spellStart"/>
      <w:r>
        <w:rPr>
          <w:rFonts w:ascii="Arial" w:eastAsia="Arial" w:hAnsi="Arial" w:cs="Arial"/>
          <w:color w:val="000000"/>
          <w:sz w:val="20"/>
          <w:szCs w:val="20"/>
          <w:highlight w:val="white"/>
        </w:rPr>
        <w:t>Skills.Journal</w:t>
      </w:r>
      <w:proofErr w:type="spellEnd"/>
      <w:r>
        <w:rPr>
          <w:rFonts w:ascii="Arial" w:eastAsia="Arial" w:hAnsi="Arial" w:cs="Arial"/>
          <w:color w:val="000000"/>
          <w:sz w:val="20"/>
          <w:szCs w:val="20"/>
          <w:highlight w:val="white"/>
        </w:rPr>
        <w:t xml:space="preserve"> of Education in Black Sea Region, 9(1):1-16DOI:</w:t>
      </w:r>
      <w:hyperlink r:id="rId8">
        <w:r>
          <w:rPr>
            <w:rFonts w:ascii="Arial" w:eastAsia="Arial" w:hAnsi="Arial" w:cs="Arial"/>
            <w:color w:val="000000"/>
            <w:sz w:val="20"/>
            <w:szCs w:val="20"/>
            <w:highlight w:val="white"/>
          </w:rPr>
          <w:t>10.31578/jebs.v9i1.298</w:t>
        </w:r>
      </w:hyperlink>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Baluja</w:t>
      </w:r>
      <w:proofErr w:type="spellEnd"/>
      <w:r>
        <w:rPr>
          <w:rFonts w:ascii="Arial" w:eastAsia="Arial" w:hAnsi="Arial" w:cs="Arial"/>
          <w:color w:val="000000"/>
          <w:sz w:val="20"/>
          <w:szCs w:val="20"/>
        </w:rPr>
        <w:t>, G. (2016). Financial Literacy Among Women in India: A Review. Pacific Business Review International, Vol. 9.</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Baum, S. (2023). Student work and the financial aid </w:t>
      </w:r>
      <w:proofErr w:type="spellStart"/>
      <w:proofErr w:type="gramStart"/>
      <w:r>
        <w:rPr>
          <w:rFonts w:ascii="Arial" w:eastAsia="Arial" w:hAnsi="Arial" w:cs="Arial"/>
          <w:color w:val="000000"/>
          <w:sz w:val="20"/>
          <w:szCs w:val="20"/>
        </w:rPr>
        <w:t>system.Understanding</w:t>
      </w:r>
      <w:proofErr w:type="spellEnd"/>
      <w:proofErr w:type="gramEnd"/>
      <w:r>
        <w:rPr>
          <w:rFonts w:ascii="Arial" w:eastAsia="Arial" w:hAnsi="Arial" w:cs="Arial"/>
          <w:color w:val="000000"/>
          <w:sz w:val="20"/>
          <w:szCs w:val="20"/>
        </w:rPr>
        <w:t xml:space="preserve"> the Working College Student</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proofErr w:type="gramStart"/>
      <w:r>
        <w:rPr>
          <w:rFonts w:ascii="Arial" w:eastAsia="Arial" w:hAnsi="Arial" w:cs="Arial"/>
          <w:color w:val="000000"/>
          <w:sz w:val="20"/>
          <w:szCs w:val="20"/>
        </w:rPr>
        <w:t>Binobo,K.C</w:t>
      </w:r>
      <w:proofErr w:type="spellEnd"/>
      <w:r>
        <w:rPr>
          <w:rFonts w:ascii="Arial" w:eastAsia="Arial" w:hAnsi="Arial" w:cs="Arial"/>
          <w:color w:val="000000"/>
          <w:sz w:val="20"/>
          <w:szCs w:val="20"/>
        </w:rPr>
        <w:t>.</w:t>
      </w:r>
      <w:proofErr w:type="gram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Somcio</w:t>
      </w:r>
      <w:proofErr w:type="spellEnd"/>
      <w:r>
        <w:rPr>
          <w:rFonts w:ascii="Arial" w:eastAsia="Arial" w:hAnsi="Arial" w:cs="Arial"/>
          <w:color w:val="000000"/>
          <w:sz w:val="20"/>
          <w:szCs w:val="20"/>
        </w:rPr>
        <w:t>, A..B.,</w:t>
      </w:r>
      <w:proofErr w:type="spellStart"/>
      <w:r>
        <w:rPr>
          <w:rFonts w:ascii="Arial" w:eastAsia="Arial" w:hAnsi="Arial" w:cs="Arial"/>
          <w:color w:val="000000"/>
          <w:sz w:val="20"/>
          <w:szCs w:val="20"/>
        </w:rPr>
        <w:t>Polidario</w:t>
      </w:r>
      <w:proofErr w:type="spellEnd"/>
      <w:r>
        <w:rPr>
          <w:rFonts w:ascii="Arial" w:eastAsia="Arial" w:hAnsi="Arial" w:cs="Arial"/>
          <w:color w:val="000000"/>
          <w:sz w:val="20"/>
          <w:szCs w:val="20"/>
        </w:rPr>
        <w:t xml:space="preserve">, &amp; Salazar (2019) ).Financial Literacy of Senior High School Students in Bacolod City. </w:t>
      </w:r>
      <w:proofErr w:type="spellStart"/>
      <w:r>
        <w:rPr>
          <w:rFonts w:ascii="Arial" w:eastAsia="Arial" w:hAnsi="Arial" w:cs="Arial"/>
          <w:color w:val="000000"/>
          <w:sz w:val="20"/>
          <w:szCs w:val="20"/>
        </w:rPr>
        <w:t>Academiaedu</w:t>
      </w:r>
      <w:proofErr w:type="spellEnd"/>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Birari</w:t>
      </w:r>
      <w:proofErr w:type="spellEnd"/>
      <w:r>
        <w:rPr>
          <w:rFonts w:ascii="Arial" w:eastAsia="Arial" w:hAnsi="Arial" w:cs="Arial"/>
          <w:color w:val="000000"/>
          <w:sz w:val="20"/>
          <w:szCs w:val="20"/>
        </w:rPr>
        <w:t>, A. &amp; Patil, U.M.  (2016</w:t>
      </w:r>
      <w:proofErr w:type="gramStart"/>
      <w:r>
        <w:rPr>
          <w:rFonts w:ascii="Arial" w:eastAsia="Arial" w:hAnsi="Arial" w:cs="Arial"/>
          <w:color w:val="000000"/>
          <w:sz w:val="20"/>
          <w:szCs w:val="20"/>
        </w:rPr>
        <w:t>).Spending</w:t>
      </w:r>
      <w:proofErr w:type="gramEnd"/>
      <w:r>
        <w:rPr>
          <w:rFonts w:ascii="Arial" w:eastAsia="Arial" w:hAnsi="Arial" w:cs="Arial"/>
          <w:color w:val="000000"/>
          <w:sz w:val="20"/>
          <w:szCs w:val="20"/>
        </w:rPr>
        <w:t xml:space="preserve"> &amp; Saving Habits of Youth in the City of Aurangabad. </w:t>
      </w:r>
      <w:proofErr w:type="spellStart"/>
      <w:r>
        <w:rPr>
          <w:rFonts w:ascii="Arial" w:eastAsia="Arial" w:hAnsi="Arial" w:cs="Arial"/>
          <w:color w:val="000000"/>
          <w:sz w:val="20"/>
          <w:szCs w:val="20"/>
        </w:rPr>
        <w:t>Simanthicscholar</w:t>
      </w:r>
      <w:proofErr w:type="spellEnd"/>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Blaschke</w:t>
      </w:r>
      <w:proofErr w:type="spellEnd"/>
      <w:r>
        <w:rPr>
          <w:rFonts w:ascii="Arial" w:eastAsia="Arial" w:hAnsi="Arial" w:cs="Arial"/>
          <w:color w:val="000000"/>
          <w:sz w:val="20"/>
          <w:szCs w:val="20"/>
        </w:rPr>
        <w:t xml:space="preserve">, J. (2022). Gender differences in financial literacy among teenagers - can confidence bridge the gap? Cog. </w:t>
      </w:r>
      <w:proofErr w:type="spellStart"/>
      <w:r>
        <w:rPr>
          <w:rFonts w:ascii="Arial" w:eastAsia="Arial" w:hAnsi="Arial" w:cs="Arial"/>
          <w:color w:val="000000"/>
          <w:sz w:val="20"/>
          <w:szCs w:val="20"/>
        </w:rPr>
        <w:t>Econom</w:t>
      </w:r>
      <w:proofErr w:type="spellEnd"/>
      <w:r>
        <w:rPr>
          <w:rFonts w:ascii="Arial" w:eastAsia="Arial" w:hAnsi="Arial" w:cs="Arial"/>
          <w:color w:val="000000"/>
          <w:sz w:val="20"/>
          <w:szCs w:val="20"/>
        </w:rPr>
        <w:t>. Fin., 10. 10.1080/23322039.2022.2144328.</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Brausch</w:t>
      </w:r>
      <w:proofErr w:type="spellEnd"/>
      <w:r>
        <w:rPr>
          <w:rFonts w:ascii="Arial" w:eastAsia="Arial" w:hAnsi="Arial" w:cs="Arial"/>
          <w:color w:val="000000"/>
          <w:sz w:val="20"/>
          <w:szCs w:val="20"/>
        </w:rPr>
        <w:t xml:space="preserve">, B. D. (2018). The Relationship between Financial Literacy, Financial Status, and Academic Success in College Students. Western Kentucky University. </w:t>
      </w:r>
      <w:hyperlink r:id="rId9">
        <w:r>
          <w:rPr>
            <w:rFonts w:ascii="Arial" w:eastAsia="Arial" w:hAnsi="Arial" w:cs="Arial"/>
            <w:color w:val="000000"/>
            <w:sz w:val="20"/>
            <w:szCs w:val="20"/>
          </w:rPr>
          <w:t>https://digitalcommons.wku.edu/cgi/viewcontent.cgi?article=1139&amp;context=diss</w:t>
        </w:r>
      </w:hyperlink>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Brown, A. M., Collins, J. M., </w:t>
      </w:r>
      <w:proofErr w:type="spellStart"/>
      <w:r>
        <w:rPr>
          <w:rFonts w:ascii="Arial" w:eastAsia="Arial" w:hAnsi="Arial" w:cs="Arial"/>
          <w:color w:val="000000"/>
          <w:sz w:val="20"/>
          <w:szCs w:val="20"/>
        </w:rPr>
        <w:t>Schmeiser</w:t>
      </w:r>
      <w:proofErr w:type="spellEnd"/>
      <w:r>
        <w:rPr>
          <w:rFonts w:ascii="Arial" w:eastAsia="Arial" w:hAnsi="Arial" w:cs="Arial"/>
          <w:color w:val="000000"/>
          <w:sz w:val="20"/>
          <w:szCs w:val="20"/>
        </w:rPr>
        <w:t>, M. D., &amp; Urban, C. (2014). State Mandated Financial Education and the Credit Behavior of Young Adults. Divisions of Research &amp; Statistics and Monetary Affairs Federal Reserve Board, Washington, DC, Finance and Economics Discussion Series, (2014-68).</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Bucciol</w:t>
      </w:r>
      <w:proofErr w:type="spellEnd"/>
      <w:r>
        <w:rPr>
          <w:rFonts w:ascii="Arial" w:eastAsia="Arial" w:hAnsi="Arial" w:cs="Arial"/>
          <w:color w:val="000000"/>
          <w:sz w:val="20"/>
          <w:szCs w:val="20"/>
        </w:rPr>
        <w:t>, A., &amp; Veronesi, M. (2014). Teaching children to save: What is the best strategy for lifetime savings? Journal of Economic Psychology, 45, 1-17.</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Cameron, M. P., Calderwood, R., Cox, A., Lim, S., &amp; Yamaoka, M. (2013). Personal financial literacy among high school students in New Zealand, Japan and the USA. Citizenship, Social and </w:t>
      </w:r>
      <w:proofErr w:type="spellStart"/>
      <w:r>
        <w:rPr>
          <w:rFonts w:ascii="Arial" w:eastAsia="Arial" w:hAnsi="Arial" w:cs="Arial"/>
          <w:color w:val="000000"/>
          <w:sz w:val="20"/>
          <w:szCs w:val="20"/>
        </w:rPr>
        <w:t>Economics</w:t>
      </w:r>
      <w:proofErr w:type="spellEnd"/>
      <w:r>
        <w:rPr>
          <w:rFonts w:ascii="Arial" w:eastAsia="Arial" w:hAnsi="Arial" w:cs="Arial"/>
          <w:color w:val="000000"/>
          <w:sz w:val="20"/>
          <w:szCs w:val="20"/>
        </w:rPr>
        <w:t xml:space="preserve"> Education, 12(3), 200-215</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Chen </w:t>
      </w:r>
      <w:proofErr w:type="gramStart"/>
      <w:r>
        <w:rPr>
          <w:rFonts w:ascii="Arial" w:eastAsia="Arial" w:hAnsi="Arial" w:cs="Arial"/>
          <w:color w:val="000000"/>
          <w:sz w:val="20"/>
          <w:szCs w:val="20"/>
        </w:rPr>
        <w:t>J.J,&amp;</w:t>
      </w:r>
      <w:proofErr w:type="gramEnd"/>
      <w:r>
        <w:rPr>
          <w:rFonts w:ascii="Arial" w:eastAsia="Arial" w:hAnsi="Arial" w:cs="Arial"/>
          <w:color w:val="000000"/>
          <w:sz w:val="20"/>
          <w:szCs w:val="20"/>
        </w:rPr>
        <w:t xml:space="preserve"> Lemieux B.T. (2016).A low-cost method of ciliary beat frequency measurement using iPhone and MATLAB: rabbit study.</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Crain, S. J. (2013). Are universities improving student financial literacy? A study of general education curriculum. Journal of Financial Education, 1-18.</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lastRenderedPageBreak/>
        <w:t>Danes (2015</w:t>
      </w:r>
      <w:proofErr w:type="gramStart"/>
      <w:r>
        <w:rPr>
          <w:rFonts w:ascii="Arial" w:eastAsia="Arial" w:hAnsi="Arial" w:cs="Arial"/>
          <w:color w:val="000000"/>
          <w:sz w:val="20"/>
          <w:szCs w:val="20"/>
        </w:rPr>
        <w:t>).Financial</w:t>
      </w:r>
      <w:proofErr w:type="gramEnd"/>
      <w:r>
        <w:rPr>
          <w:rFonts w:ascii="Arial" w:eastAsia="Arial" w:hAnsi="Arial" w:cs="Arial"/>
          <w:color w:val="000000"/>
          <w:sz w:val="20"/>
          <w:szCs w:val="20"/>
        </w:rPr>
        <w:t xml:space="preserve"> literacy of college students: Determinants and implication.  Journal </w:t>
      </w:r>
      <w:proofErr w:type="spellStart"/>
      <w:proofErr w:type="gramStart"/>
      <w:r>
        <w:rPr>
          <w:rFonts w:ascii="Arial" w:eastAsia="Arial" w:hAnsi="Arial" w:cs="Arial"/>
          <w:color w:val="000000"/>
          <w:sz w:val="20"/>
          <w:szCs w:val="20"/>
        </w:rPr>
        <w:t>Manajemen</w:t>
      </w:r>
      <w:proofErr w:type="spellEnd"/>
      <w:r>
        <w:rPr>
          <w:rFonts w:ascii="Arial" w:eastAsia="Arial" w:hAnsi="Arial" w:cs="Arial"/>
          <w:color w:val="000000"/>
          <w:sz w:val="20"/>
          <w:szCs w:val="20"/>
        </w:rPr>
        <w:t xml:space="preserve"> </w:t>
      </w:r>
      <w:r>
        <w:rPr>
          <w:rFonts w:ascii="Arial" w:eastAsia="Arial" w:hAnsi="Arial" w:cs="Arial"/>
          <w:i/>
          <w:color w:val="000000"/>
          <w:sz w:val="20"/>
          <w:szCs w:val="20"/>
        </w:rPr>
        <w:t>,</w:t>
      </w:r>
      <w:proofErr w:type="gramEnd"/>
      <w:r>
        <w:rPr>
          <w:rFonts w:ascii="Arial" w:eastAsia="Arial" w:hAnsi="Arial" w:cs="Arial"/>
          <w:i/>
          <w:color w:val="000000"/>
          <w:sz w:val="20"/>
          <w:szCs w:val="20"/>
        </w:rPr>
        <w:t xml:space="preserve"> 15</w:t>
      </w:r>
      <w:r>
        <w:rPr>
          <w:rFonts w:ascii="Arial" w:eastAsia="Arial" w:hAnsi="Arial" w:cs="Arial"/>
          <w:color w:val="000000"/>
          <w:sz w:val="20"/>
          <w:szCs w:val="20"/>
        </w:rPr>
        <w:t xml:space="preserve">(1), 25-39. DOI: 10.5785/27-2-106 </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Danes, S. M., Rodriguez, M. C., &amp; Brewton, K. E. (2013). Learning context when studying financial planning in high schools: Nesting of student, teacher, and classroom characteristics. Journal of Financial Counselling and Planning, 24 (2), 20-36. </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Devi, K. M. (2020). A Study of Parental Attitude Towards Girl’s Education in The Hill Area Of MANIPUR. International journal Of Multidisciplinary educational research, 12(8), 57-61.</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Dewanty</w:t>
      </w:r>
      <w:proofErr w:type="spellEnd"/>
      <w:r>
        <w:rPr>
          <w:rFonts w:ascii="Arial" w:eastAsia="Arial" w:hAnsi="Arial" w:cs="Arial"/>
          <w:color w:val="000000"/>
          <w:sz w:val="20"/>
          <w:szCs w:val="20"/>
        </w:rPr>
        <w:t xml:space="preserve">, N., &amp; </w:t>
      </w:r>
      <w:proofErr w:type="spellStart"/>
      <w:r>
        <w:rPr>
          <w:rFonts w:ascii="Arial" w:eastAsia="Arial" w:hAnsi="Arial" w:cs="Arial"/>
          <w:color w:val="000000"/>
          <w:sz w:val="20"/>
          <w:szCs w:val="20"/>
        </w:rPr>
        <w:t>Isbanah</w:t>
      </w:r>
      <w:proofErr w:type="spellEnd"/>
      <w:r>
        <w:rPr>
          <w:rFonts w:ascii="Arial" w:eastAsia="Arial" w:hAnsi="Arial" w:cs="Arial"/>
          <w:color w:val="000000"/>
          <w:sz w:val="20"/>
          <w:szCs w:val="20"/>
        </w:rPr>
        <w:t xml:space="preserve">, Y. (2018). Determinant of The Financial Literacy: Case Study on Career Woman in Indonesia. </w:t>
      </w:r>
      <w:proofErr w:type="spellStart"/>
      <w:r>
        <w:rPr>
          <w:rFonts w:ascii="Arial" w:eastAsia="Arial" w:hAnsi="Arial" w:cs="Arial"/>
          <w:color w:val="000000"/>
          <w:sz w:val="20"/>
          <w:szCs w:val="20"/>
        </w:rPr>
        <w:t>Etikonomi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Jurnal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Ekonomi</w:t>
      </w:r>
      <w:proofErr w:type="spellEnd"/>
      <w:r>
        <w:rPr>
          <w:rFonts w:ascii="Arial" w:eastAsia="Arial" w:hAnsi="Arial" w:cs="Arial"/>
          <w:color w:val="000000"/>
          <w:sz w:val="20"/>
          <w:szCs w:val="20"/>
        </w:rPr>
        <w:t xml:space="preserve">. Vol. 17 (2): 285 – 296. </w:t>
      </w:r>
      <w:proofErr w:type="spellStart"/>
      <w:r>
        <w:rPr>
          <w:rFonts w:ascii="Arial" w:eastAsia="Arial" w:hAnsi="Arial" w:cs="Arial"/>
          <w:color w:val="000000"/>
          <w:sz w:val="20"/>
          <w:szCs w:val="20"/>
        </w:rPr>
        <w:t>doi</w:t>
      </w:r>
      <w:proofErr w:type="spellEnd"/>
      <w:r>
        <w:rPr>
          <w:rFonts w:ascii="Arial" w:eastAsia="Arial" w:hAnsi="Arial" w:cs="Arial"/>
          <w:color w:val="000000"/>
          <w:sz w:val="20"/>
          <w:szCs w:val="20"/>
        </w:rPr>
        <w:t>: http//dx.doi.org/10.15408/</w:t>
      </w:r>
      <w:proofErr w:type="gramStart"/>
      <w:r>
        <w:rPr>
          <w:rFonts w:ascii="Arial" w:eastAsia="Arial" w:hAnsi="Arial" w:cs="Arial"/>
          <w:color w:val="000000"/>
          <w:sz w:val="20"/>
          <w:szCs w:val="20"/>
        </w:rPr>
        <w:t>etk.v</w:t>
      </w:r>
      <w:proofErr w:type="gramEnd"/>
      <w:r>
        <w:rPr>
          <w:rFonts w:ascii="Arial" w:eastAsia="Arial" w:hAnsi="Arial" w:cs="Arial"/>
          <w:color w:val="000000"/>
          <w:sz w:val="20"/>
          <w:szCs w:val="20"/>
        </w:rPr>
        <w:t>17i2.6681.</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Fan, L., &amp; Chatterjee, S. (2018). Financial socialization, financial education, and student loan debt. Journal of Family and Economic Issues, 40(4), 74–85. </w:t>
      </w:r>
      <w:hyperlink r:id="rId10">
        <w:r>
          <w:rPr>
            <w:rFonts w:ascii="Arial" w:eastAsia="Arial" w:hAnsi="Arial" w:cs="Arial"/>
            <w:color w:val="000000"/>
            <w:sz w:val="20"/>
            <w:szCs w:val="20"/>
          </w:rPr>
          <w:t>https://doi.org/10.1007/s10834-018-9589-0.</w:t>
        </w:r>
      </w:hyperlink>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Fatoki</w:t>
      </w:r>
      <w:proofErr w:type="spellEnd"/>
      <w:r>
        <w:rPr>
          <w:rFonts w:ascii="Arial" w:eastAsia="Arial" w:hAnsi="Arial" w:cs="Arial"/>
          <w:color w:val="000000"/>
          <w:sz w:val="20"/>
          <w:szCs w:val="20"/>
        </w:rPr>
        <w:t>, O., &amp; Oni, O. (2014). Financial literacy studies in South Africa: Current literature and research opportunities. Mediterranean Journal of Social Sciences, 5(20), 409–414.</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Fernandes, D, Lynch, J.J., &amp;</w:t>
      </w:r>
      <w:proofErr w:type="spellStart"/>
      <w:r>
        <w:rPr>
          <w:rFonts w:ascii="Arial" w:eastAsia="Arial" w:hAnsi="Arial" w:cs="Arial"/>
          <w:color w:val="000000"/>
          <w:sz w:val="20"/>
          <w:szCs w:val="20"/>
        </w:rPr>
        <w:t>Netemeyer</w:t>
      </w:r>
      <w:proofErr w:type="spellEnd"/>
      <w:r>
        <w:rPr>
          <w:rFonts w:ascii="Arial" w:eastAsia="Arial" w:hAnsi="Arial" w:cs="Arial"/>
          <w:color w:val="000000"/>
          <w:sz w:val="20"/>
          <w:szCs w:val="20"/>
        </w:rPr>
        <w:t xml:space="preserve">, R.G. (2014). Financial literacy, financial education, and downstream financial behaviors. Inform </w:t>
      </w:r>
      <w:proofErr w:type="spellStart"/>
      <w:r>
        <w:rPr>
          <w:rFonts w:ascii="Arial" w:eastAsia="Arial" w:hAnsi="Arial" w:cs="Arial"/>
          <w:color w:val="000000"/>
          <w:sz w:val="20"/>
          <w:szCs w:val="20"/>
        </w:rPr>
        <w:t>pubsonline</w:t>
      </w:r>
      <w:proofErr w:type="spellEnd"/>
      <w:r>
        <w:rPr>
          <w:rFonts w:ascii="Arial" w:eastAsia="Arial" w:hAnsi="Arial" w:cs="Arial"/>
          <w:color w:val="000000"/>
          <w:sz w:val="20"/>
          <w:szCs w:val="20"/>
        </w:rPr>
        <w:t>, 60 (8), 1861-1883, 201</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gramStart"/>
      <w:r>
        <w:rPr>
          <w:rFonts w:ascii="Arial" w:eastAsia="Arial" w:hAnsi="Arial" w:cs="Arial"/>
          <w:color w:val="000000"/>
          <w:sz w:val="20"/>
          <w:szCs w:val="20"/>
        </w:rPr>
        <w:t>FINRA  (</w:t>
      </w:r>
      <w:proofErr w:type="gramEnd"/>
      <w:r>
        <w:rPr>
          <w:rFonts w:ascii="Arial" w:eastAsia="Arial" w:hAnsi="Arial" w:cs="Arial"/>
          <w:color w:val="000000"/>
          <w:sz w:val="20"/>
          <w:szCs w:val="20"/>
        </w:rPr>
        <w:t xml:space="preserve">2023).  </w:t>
      </w:r>
      <w:proofErr w:type="gramStart"/>
      <w:r>
        <w:rPr>
          <w:rFonts w:ascii="Arial" w:eastAsia="Arial" w:hAnsi="Arial" w:cs="Arial"/>
          <w:color w:val="000000"/>
          <w:sz w:val="20"/>
          <w:szCs w:val="20"/>
        </w:rPr>
        <w:t>2023  FINRA</w:t>
      </w:r>
      <w:proofErr w:type="gramEnd"/>
      <w:r>
        <w:rPr>
          <w:rFonts w:ascii="Arial" w:eastAsia="Arial" w:hAnsi="Arial" w:cs="Arial"/>
          <w:color w:val="000000"/>
          <w:sz w:val="20"/>
          <w:szCs w:val="20"/>
        </w:rPr>
        <w:t xml:space="preserve">  Annual  Conference. </w:t>
      </w:r>
      <w:hyperlink r:id="rId11">
        <w:r>
          <w:rPr>
            <w:rFonts w:ascii="Arial" w:eastAsia="Arial" w:hAnsi="Arial" w:cs="Arial"/>
            <w:color w:val="000000"/>
            <w:sz w:val="20"/>
            <w:szCs w:val="20"/>
          </w:rPr>
          <w:t>https://www.finra.org/events-training/conferences-events/2023-finra-annual-conference-agenda</w:t>
        </w:r>
      </w:hyperlink>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Firli</w:t>
      </w:r>
      <w:proofErr w:type="spellEnd"/>
      <w:r>
        <w:rPr>
          <w:rFonts w:ascii="Arial" w:eastAsia="Arial" w:hAnsi="Arial" w:cs="Arial"/>
          <w:color w:val="000000"/>
          <w:sz w:val="20"/>
          <w:szCs w:val="20"/>
        </w:rPr>
        <w:t xml:space="preserve">, A., &amp; </w:t>
      </w:r>
      <w:proofErr w:type="spellStart"/>
      <w:r>
        <w:rPr>
          <w:rFonts w:ascii="Arial" w:eastAsia="Arial" w:hAnsi="Arial" w:cs="Arial"/>
          <w:color w:val="000000"/>
          <w:sz w:val="20"/>
          <w:szCs w:val="20"/>
        </w:rPr>
        <w:t>Hidyati</w:t>
      </w:r>
      <w:proofErr w:type="spellEnd"/>
      <w:r>
        <w:rPr>
          <w:rFonts w:ascii="Arial" w:eastAsia="Arial" w:hAnsi="Arial" w:cs="Arial"/>
          <w:color w:val="000000"/>
          <w:sz w:val="20"/>
          <w:szCs w:val="20"/>
        </w:rPr>
        <w:t xml:space="preserve">, </w:t>
      </w:r>
      <w:proofErr w:type="gramStart"/>
      <w:r>
        <w:rPr>
          <w:rFonts w:ascii="Arial" w:eastAsia="Arial" w:hAnsi="Arial" w:cs="Arial"/>
          <w:color w:val="000000"/>
          <w:sz w:val="20"/>
          <w:szCs w:val="20"/>
        </w:rPr>
        <w:t>N.(</w:t>
      </w:r>
      <w:proofErr w:type="gramEnd"/>
      <w:r>
        <w:rPr>
          <w:rFonts w:ascii="Arial" w:eastAsia="Arial" w:hAnsi="Arial" w:cs="Arial"/>
          <w:color w:val="000000"/>
          <w:sz w:val="20"/>
          <w:szCs w:val="20"/>
        </w:rPr>
        <w:t xml:space="preserve">2021).The Influence of Financial Knowledge, Financial Attitude, and Personality Towards Financial Management Behavior on Productive Age </w:t>
      </w:r>
      <w:proofErr w:type="spellStart"/>
      <w:r>
        <w:rPr>
          <w:rFonts w:ascii="Arial" w:eastAsia="Arial" w:hAnsi="Arial" w:cs="Arial"/>
          <w:color w:val="000000"/>
          <w:sz w:val="20"/>
          <w:szCs w:val="20"/>
        </w:rPr>
        <w:t>Population.Review</w:t>
      </w:r>
      <w:proofErr w:type="spellEnd"/>
      <w:r>
        <w:rPr>
          <w:rFonts w:ascii="Arial" w:eastAsia="Arial" w:hAnsi="Arial" w:cs="Arial"/>
          <w:color w:val="000000"/>
          <w:sz w:val="20"/>
          <w:szCs w:val="20"/>
        </w:rPr>
        <w:t xml:space="preserve"> of Integrative Business and Economics Research, Vol. 10, Supplementary Issue 3</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Gaisina</w:t>
      </w:r>
      <w:proofErr w:type="spellEnd"/>
      <w:r>
        <w:rPr>
          <w:rFonts w:ascii="Arial" w:eastAsia="Arial" w:hAnsi="Arial" w:cs="Arial"/>
          <w:color w:val="000000"/>
          <w:sz w:val="20"/>
          <w:szCs w:val="20"/>
        </w:rPr>
        <w:t xml:space="preserve">, S. B., &amp; </w:t>
      </w:r>
      <w:proofErr w:type="spellStart"/>
      <w:r>
        <w:rPr>
          <w:rFonts w:ascii="Arial" w:eastAsia="Arial" w:hAnsi="Arial" w:cs="Arial"/>
          <w:color w:val="000000"/>
          <w:sz w:val="20"/>
          <w:szCs w:val="20"/>
        </w:rPr>
        <w:t>Kaidarova</w:t>
      </w:r>
      <w:proofErr w:type="spellEnd"/>
      <w:r>
        <w:rPr>
          <w:rFonts w:ascii="Arial" w:eastAsia="Arial" w:hAnsi="Arial" w:cs="Arial"/>
          <w:color w:val="000000"/>
          <w:sz w:val="20"/>
          <w:szCs w:val="20"/>
        </w:rPr>
        <w:t xml:space="preserve">, A. (2017). Financial Literacy of Rural Population as a Determinant of Saving Behavior in </w:t>
      </w:r>
      <w:proofErr w:type="spellStart"/>
      <w:r>
        <w:rPr>
          <w:rFonts w:ascii="Arial" w:eastAsia="Arial" w:hAnsi="Arial" w:cs="Arial"/>
          <w:color w:val="000000"/>
          <w:sz w:val="20"/>
          <w:szCs w:val="20"/>
        </w:rPr>
        <w:t>Kazakhstan.Rural</w:t>
      </w:r>
      <w:proofErr w:type="spellEnd"/>
      <w:r>
        <w:rPr>
          <w:rFonts w:ascii="Arial" w:eastAsia="Arial" w:hAnsi="Arial" w:cs="Arial"/>
          <w:color w:val="000000"/>
          <w:sz w:val="20"/>
          <w:szCs w:val="20"/>
        </w:rPr>
        <w:t xml:space="preserve"> Sustainability research,38, 333</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Galdonez</w:t>
      </w:r>
      <w:proofErr w:type="spellEnd"/>
      <w:r>
        <w:rPr>
          <w:rFonts w:ascii="Arial" w:eastAsia="Arial" w:hAnsi="Arial" w:cs="Arial"/>
          <w:color w:val="000000"/>
          <w:sz w:val="20"/>
          <w:szCs w:val="20"/>
        </w:rPr>
        <w:t>, D.P.G., Edra, T.J.R., Reyes, T.</w:t>
      </w:r>
      <w:proofErr w:type="gramStart"/>
      <w:r>
        <w:rPr>
          <w:rFonts w:ascii="Arial" w:eastAsia="Arial" w:hAnsi="Arial" w:cs="Arial"/>
          <w:color w:val="000000"/>
          <w:sz w:val="20"/>
          <w:szCs w:val="20"/>
        </w:rPr>
        <w:t>M.B</w:t>
      </w:r>
      <w:proofErr w:type="gramEnd"/>
      <w:r>
        <w:rPr>
          <w:rFonts w:ascii="Arial" w:eastAsia="Arial" w:hAnsi="Arial" w:cs="Arial"/>
          <w:color w:val="000000"/>
          <w:sz w:val="20"/>
          <w:szCs w:val="20"/>
        </w:rPr>
        <w:t xml:space="preserve">, &amp; </w:t>
      </w:r>
      <w:proofErr w:type="spellStart"/>
      <w:r>
        <w:rPr>
          <w:rFonts w:ascii="Arial" w:eastAsia="Arial" w:hAnsi="Arial" w:cs="Arial"/>
          <w:color w:val="000000"/>
          <w:sz w:val="20"/>
          <w:szCs w:val="20"/>
        </w:rPr>
        <w:t>Senense,F.G.T</w:t>
      </w:r>
      <w:proofErr w:type="spellEnd"/>
      <w:r>
        <w:rPr>
          <w:rFonts w:ascii="Arial" w:eastAsia="Arial" w:hAnsi="Arial" w:cs="Arial"/>
          <w:color w:val="000000"/>
          <w:sz w:val="20"/>
          <w:szCs w:val="20"/>
        </w:rPr>
        <w:t xml:space="preserve">.(2023).Financial Literacy of 12th Grade Science High School </w:t>
      </w:r>
      <w:proofErr w:type="spellStart"/>
      <w:r>
        <w:rPr>
          <w:rFonts w:ascii="Arial" w:eastAsia="Arial" w:hAnsi="Arial" w:cs="Arial"/>
          <w:color w:val="000000"/>
          <w:sz w:val="20"/>
          <w:szCs w:val="20"/>
        </w:rPr>
        <w:t>Students.Researchgate</w:t>
      </w:r>
      <w:proofErr w:type="spellEnd"/>
      <w:r>
        <w:rPr>
          <w:rFonts w:ascii="Arial" w:eastAsia="Arial" w:hAnsi="Arial" w:cs="Arial"/>
          <w:color w:val="000000"/>
          <w:sz w:val="20"/>
          <w:szCs w:val="20"/>
        </w:rPr>
        <w:t>, 7(9).</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Geddie</w:t>
      </w:r>
      <w:proofErr w:type="spellEnd"/>
      <w:r>
        <w:rPr>
          <w:rFonts w:ascii="Arial" w:eastAsia="Arial" w:hAnsi="Arial" w:cs="Arial"/>
          <w:color w:val="000000"/>
          <w:sz w:val="20"/>
          <w:szCs w:val="20"/>
        </w:rPr>
        <w:t xml:space="preserve">, K. (2013). The transnational ties that bind: Relationship consideration for graduating </w:t>
      </w:r>
      <w:proofErr w:type="gramStart"/>
      <w:r>
        <w:rPr>
          <w:rFonts w:ascii="Arial" w:eastAsia="Arial" w:hAnsi="Arial" w:cs="Arial"/>
          <w:color w:val="000000"/>
          <w:sz w:val="20"/>
          <w:szCs w:val="20"/>
        </w:rPr>
        <w:t>International  Science</w:t>
      </w:r>
      <w:proofErr w:type="gramEnd"/>
      <w:r>
        <w:rPr>
          <w:rFonts w:ascii="Arial" w:eastAsia="Arial" w:hAnsi="Arial" w:cs="Arial"/>
          <w:color w:val="000000"/>
          <w:sz w:val="20"/>
          <w:szCs w:val="20"/>
        </w:rPr>
        <w:t xml:space="preserve"> and Engineering Research students. Special Issues: International Student Migration. 19(2),196-208.</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Goldrick-Rab</w:t>
      </w:r>
      <w:proofErr w:type="spellEnd"/>
      <w:r>
        <w:rPr>
          <w:rFonts w:ascii="Arial" w:eastAsia="Arial" w:hAnsi="Arial" w:cs="Arial"/>
          <w:color w:val="000000"/>
          <w:sz w:val="20"/>
          <w:szCs w:val="20"/>
        </w:rPr>
        <w:t xml:space="preserve">, S., Richardson, J., &amp; Schneider, J. (2018). Still Hungry and Homeless in College. Retrieved from hope </w:t>
      </w:r>
      <w:proofErr w:type="gramStart"/>
      <w:r>
        <w:rPr>
          <w:rFonts w:ascii="Arial" w:eastAsia="Arial" w:hAnsi="Arial" w:cs="Arial"/>
          <w:color w:val="000000"/>
          <w:sz w:val="20"/>
          <w:szCs w:val="20"/>
        </w:rPr>
        <w:t>college:https://hope4college.com/wpcontent/uploads/2018/09/Wisconsin-HOPE-Lab-Still-Hungry-and-Homeless.pdf</w:t>
      </w:r>
      <w:proofErr w:type="gramEnd"/>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Gunardi</w:t>
      </w:r>
      <w:proofErr w:type="spellEnd"/>
      <w:r>
        <w:rPr>
          <w:rFonts w:ascii="Arial" w:eastAsia="Arial" w:hAnsi="Arial" w:cs="Arial"/>
          <w:color w:val="000000"/>
          <w:sz w:val="20"/>
          <w:szCs w:val="20"/>
        </w:rPr>
        <w:t xml:space="preserve">, A., Ridwan, M., &amp; </w:t>
      </w:r>
      <w:proofErr w:type="spellStart"/>
      <w:r>
        <w:rPr>
          <w:rFonts w:ascii="Arial" w:eastAsia="Arial" w:hAnsi="Arial" w:cs="Arial"/>
          <w:color w:val="000000"/>
          <w:sz w:val="20"/>
          <w:szCs w:val="20"/>
        </w:rPr>
        <w:t>Sudarjah</w:t>
      </w:r>
      <w:proofErr w:type="spellEnd"/>
      <w:r>
        <w:rPr>
          <w:rFonts w:ascii="Arial" w:eastAsia="Arial" w:hAnsi="Arial" w:cs="Arial"/>
          <w:color w:val="000000"/>
          <w:sz w:val="20"/>
          <w:szCs w:val="20"/>
        </w:rPr>
        <w:t xml:space="preserve">, G. M. (2017). The use of financial literacy for growing personal finance. </w:t>
      </w:r>
      <w:proofErr w:type="spellStart"/>
      <w:r>
        <w:rPr>
          <w:rFonts w:ascii="Arial" w:eastAsia="Arial" w:hAnsi="Arial" w:cs="Arial"/>
          <w:color w:val="000000"/>
          <w:sz w:val="20"/>
          <w:szCs w:val="20"/>
        </w:rPr>
        <w:t>Jurnal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keuangan</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Perbankan</w:t>
      </w:r>
      <w:proofErr w:type="spellEnd"/>
      <w:r>
        <w:rPr>
          <w:rFonts w:ascii="Arial" w:eastAsia="Arial" w:hAnsi="Arial" w:cs="Arial"/>
          <w:color w:val="000000"/>
          <w:sz w:val="20"/>
          <w:szCs w:val="20"/>
        </w:rPr>
        <w:t>, 21(3), 446-458.</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Homan, K. J. (2016). Self-Compassion and Psychological Well-Being in Older Adults. Journal of Adult Development, 23, 111-119.</w:t>
      </w:r>
      <w:hyperlink r:id="rId12">
        <w:r>
          <w:rPr>
            <w:rFonts w:ascii="Arial" w:eastAsia="Arial" w:hAnsi="Arial" w:cs="Arial"/>
            <w:color w:val="000000"/>
            <w:sz w:val="20"/>
            <w:szCs w:val="20"/>
          </w:rPr>
          <w:t>https://doi.org/10.1007/s10804-016-9227-8</w:t>
        </w:r>
      </w:hyperlink>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sz w:val="20"/>
          <w:szCs w:val="20"/>
        </w:rPr>
      </w:pPr>
      <w:proofErr w:type="spellStart"/>
      <w:r>
        <w:rPr>
          <w:rFonts w:ascii="Arial" w:eastAsia="Arial" w:hAnsi="Arial" w:cs="Arial"/>
          <w:color w:val="000000"/>
          <w:sz w:val="20"/>
          <w:szCs w:val="20"/>
        </w:rPr>
        <w:lastRenderedPageBreak/>
        <w:t>Jabar</w:t>
      </w:r>
      <w:proofErr w:type="spellEnd"/>
      <w:r>
        <w:rPr>
          <w:rFonts w:ascii="Arial" w:eastAsia="Arial" w:hAnsi="Arial" w:cs="Arial"/>
          <w:color w:val="000000"/>
          <w:sz w:val="20"/>
          <w:szCs w:val="20"/>
        </w:rPr>
        <w:t xml:space="preserve">, M. A., &amp; </w:t>
      </w:r>
      <w:proofErr w:type="spellStart"/>
      <w:r>
        <w:rPr>
          <w:rFonts w:ascii="Arial" w:eastAsia="Arial" w:hAnsi="Arial" w:cs="Arial"/>
          <w:color w:val="000000"/>
          <w:sz w:val="20"/>
          <w:szCs w:val="20"/>
        </w:rPr>
        <w:t>Delayco</w:t>
      </w:r>
      <w:proofErr w:type="spellEnd"/>
      <w:r>
        <w:rPr>
          <w:rFonts w:ascii="Arial" w:eastAsia="Arial" w:hAnsi="Arial" w:cs="Arial"/>
          <w:color w:val="000000"/>
          <w:sz w:val="20"/>
          <w:szCs w:val="20"/>
        </w:rPr>
        <w:t xml:space="preserve">, M. L. (2021). Impulse Buying and Financial Literacy Among Public Elementary and High School Teachers in the Philippines. DLSU Business &amp; Economic Review, 31(1), 42–54. </w:t>
      </w:r>
      <w:hyperlink r:id="rId13">
        <w:r>
          <w:rPr>
            <w:rFonts w:ascii="Arial" w:eastAsia="Arial" w:hAnsi="Arial" w:cs="Arial"/>
            <w:color w:val="000000"/>
            <w:sz w:val="20"/>
            <w:szCs w:val="20"/>
          </w:rPr>
          <w:t>https://www.dlsu.edu.ph/wp-content/uploads/2021/08/DLSUBER.2021.July_.4jabar.pdf</w:t>
        </w:r>
      </w:hyperlink>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Joseph, J. T., &amp; </w:t>
      </w:r>
      <w:proofErr w:type="spellStart"/>
      <w:r>
        <w:rPr>
          <w:rFonts w:ascii="Arial" w:eastAsia="Arial" w:hAnsi="Arial" w:cs="Arial"/>
          <w:sz w:val="20"/>
          <w:szCs w:val="20"/>
        </w:rPr>
        <w:t>Devassy</w:t>
      </w:r>
      <w:proofErr w:type="spellEnd"/>
      <w:r>
        <w:rPr>
          <w:rFonts w:ascii="Arial" w:eastAsia="Arial" w:hAnsi="Arial" w:cs="Arial"/>
          <w:sz w:val="20"/>
          <w:szCs w:val="20"/>
        </w:rPr>
        <w:t xml:space="preserve">, D. (2025). An Assessment and Analysis of Financial Literacy in Kerala, India. Asian Journal of Agricultural Extension, Economics &amp; Sociology, 43(2), 3046. </w:t>
      </w:r>
      <w:hyperlink r:id="rId14">
        <w:r>
          <w:rPr>
            <w:rFonts w:ascii="Arial" w:eastAsia="Arial" w:hAnsi="Arial" w:cs="Arial"/>
            <w:sz w:val="20"/>
            <w:szCs w:val="20"/>
          </w:rPr>
          <w:t>https://doi.org/10.9734/ajaees/2025/v43i22685</w:t>
        </w:r>
      </w:hyperlink>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Lim, H, Heckman, S.J., </w:t>
      </w:r>
      <w:proofErr w:type="spellStart"/>
      <w:r>
        <w:rPr>
          <w:rFonts w:ascii="Arial" w:eastAsia="Arial" w:hAnsi="Arial" w:cs="Arial"/>
          <w:color w:val="000000"/>
          <w:sz w:val="20"/>
          <w:szCs w:val="20"/>
        </w:rPr>
        <w:t>Letkiewicz</w:t>
      </w:r>
      <w:proofErr w:type="spellEnd"/>
      <w:r>
        <w:rPr>
          <w:rFonts w:ascii="Arial" w:eastAsia="Arial" w:hAnsi="Arial" w:cs="Arial"/>
          <w:color w:val="000000"/>
          <w:sz w:val="20"/>
          <w:szCs w:val="20"/>
        </w:rPr>
        <w:t>, J.C., &amp; Montalto, C.P. (2014). Financial Stress, Self-Efficacy, and Financial Help-Seeking Behavior of College Students. Journal of Financial Counseling and Planning 25(2):148-160</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Lone, U. M., &amp; Bhat, S. A. (2022). Impact of financial literacy on financial well-being: a mediational role of financial self-efficacy. Journal of Financial Services Marketing, 1-16.</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Luhsasi</w:t>
      </w:r>
      <w:proofErr w:type="spellEnd"/>
      <w:r>
        <w:rPr>
          <w:rFonts w:ascii="Arial" w:eastAsia="Arial" w:hAnsi="Arial" w:cs="Arial"/>
          <w:color w:val="000000"/>
          <w:sz w:val="20"/>
          <w:szCs w:val="20"/>
        </w:rPr>
        <w:t xml:space="preserve">, D. I. (2021). </w:t>
      </w:r>
      <w:proofErr w:type="spellStart"/>
      <w:r>
        <w:rPr>
          <w:rFonts w:ascii="Arial" w:eastAsia="Arial" w:hAnsi="Arial" w:cs="Arial"/>
          <w:color w:val="000000"/>
          <w:sz w:val="20"/>
          <w:szCs w:val="20"/>
        </w:rPr>
        <w:t>Pengelolaan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Keuangan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Literasi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keuangan</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gaya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hidup</w:t>
      </w:r>
      <w:proofErr w:type="spellEnd"/>
      <w:r>
        <w:rPr>
          <w:rFonts w:ascii="Arial" w:eastAsia="Arial" w:hAnsi="Arial" w:cs="Arial"/>
          <w:color w:val="000000"/>
          <w:sz w:val="20"/>
          <w:szCs w:val="20"/>
        </w:rPr>
        <w:t xml:space="preserve"> </w:t>
      </w:r>
      <w:proofErr w:type="spellStart"/>
      <w:proofErr w:type="gramStart"/>
      <w:r>
        <w:rPr>
          <w:rFonts w:ascii="Arial" w:eastAsia="Arial" w:hAnsi="Arial" w:cs="Arial"/>
          <w:color w:val="000000"/>
          <w:sz w:val="20"/>
          <w:szCs w:val="20"/>
        </w:rPr>
        <w:t>mahasiswa.Retrieved</w:t>
      </w:r>
      <w:proofErr w:type="spellEnd"/>
      <w:proofErr w:type="gramEnd"/>
      <w:r>
        <w:rPr>
          <w:rFonts w:ascii="Arial" w:eastAsia="Arial" w:hAnsi="Arial" w:cs="Arial"/>
          <w:color w:val="000000"/>
          <w:sz w:val="20"/>
          <w:szCs w:val="20"/>
        </w:rPr>
        <w:t xml:space="preserve"> from https://ejournal.uksw.edu/ecodunamika/article/view/5227/1831</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Lui H-C and Lin J-S (2021). Impact of Internet Integrated Financial Education on Students’ Financial Awareness and Financial Behavior. Front. Psychol. 12:751709. </w:t>
      </w:r>
      <w:proofErr w:type="spellStart"/>
      <w:r>
        <w:rPr>
          <w:rFonts w:ascii="Arial" w:eastAsia="Arial" w:hAnsi="Arial" w:cs="Arial"/>
          <w:color w:val="000000"/>
          <w:sz w:val="20"/>
          <w:szCs w:val="20"/>
        </w:rPr>
        <w:t>doi</w:t>
      </w:r>
      <w:proofErr w:type="spellEnd"/>
      <w:r>
        <w:rPr>
          <w:rFonts w:ascii="Arial" w:eastAsia="Arial" w:hAnsi="Arial" w:cs="Arial"/>
          <w:color w:val="000000"/>
          <w:sz w:val="20"/>
          <w:szCs w:val="20"/>
        </w:rPr>
        <w:t>: 10.3389/fpsyg.2021.751709.</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Lusardi, A., &amp; Mitchell, O. S. (2014). The economic importance of financial literacy: Theory and evidence. Journal of Economic Literature, 52(1), 5-44.</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Morduch, J. &amp; Schneider, R. (2017). The Financial diaries: How American families cope in a world of uncertainty</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Murendo</w:t>
      </w:r>
      <w:proofErr w:type="spellEnd"/>
      <w:r>
        <w:rPr>
          <w:rFonts w:ascii="Arial" w:eastAsia="Arial" w:hAnsi="Arial" w:cs="Arial"/>
          <w:color w:val="000000"/>
          <w:sz w:val="20"/>
          <w:szCs w:val="20"/>
        </w:rPr>
        <w:t xml:space="preserve">, C., &amp; </w:t>
      </w:r>
      <w:proofErr w:type="spellStart"/>
      <w:r>
        <w:rPr>
          <w:rFonts w:ascii="Arial" w:eastAsia="Arial" w:hAnsi="Arial" w:cs="Arial"/>
          <w:color w:val="000000"/>
          <w:sz w:val="20"/>
          <w:szCs w:val="20"/>
        </w:rPr>
        <w:t>Musonziwa</w:t>
      </w:r>
      <w:proofErr w:type="spellEnd"/>
      <w:r>
        <w:rPr>
          <w:rFonts w:ascii="Arial" w:eastAsia="Arial" w:hAnsi="Arial" w:cs="Arial"/>
          <w:color w:val="000000"/>
          <w:sz w:val="20"/>
          <w:szCs w:val="20"/>
        </w:rPr>
        <w:t xml:space="preserve">, K. (2017). Financial Literacy and Saving Decisions by Adult Financial Consumers in Zimbabwe. International Journal of Consumer </w:t>
      </w:r>
      <w:proofErr w:type="gramStart"/>
      <w:r>
        <w:rPr>
          <w:rFonts w:ascii="Arial" w:eastAsia="Arial" w:hAnsi="Arial" w:cs="Arial"/>
          <w:color w:val="000000"/>
          <w:sz w:val="20"/>
          <w:szCs w:val="20"/>
        </w:rPr>
        <w:t>Studies ,</w:t>
      </w:r>
      <w:proofErr w:type="gramEnd"/>
      <w:r>
        <w:rPr>
          <w:rFonts w:ascii="Arial" w:eastAsia="Arial" w:hAnsi="Arial" w:cs="Arial"/>
          <w:color w:val="000000"/>
          <w:sz w:val="20"/>
          <w:szCs w:val="20"/>
        </w:rPr>
        <w:t xml:space="preserve"> 41, 95 – 103.</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Mwathi</w:t>
      </w:r>
      <w:proofErr w:type="spellEnd"/>
      <w:r>
        <w:rPr>
          <w:rFonts w:ascii="Arial" w:eastAsia="Arial" w:hAnsi="Arial" w:cs="Arial"/>
          <w:color w:val="000000"/>
          <w:sz w:val="20"/>
          <w:szCs w:val="20"/>
        </w:rPr>
        <w:t>, A. W. (2017). Effects of financial literacy on personal financial decisions among Egerton University employees, Nakuru County, Kenya (Doctoral dissertation, Egerton University).</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Nababan</w:t>
      </w:r>
      <w:proofErr w:type="spellEnd"/>
      <w:r>
        <w:rPr>
          <w:rFonts w:ascii="Arial" w:eastAsia="Arial" w:hAnsi="Arial" w:cs="Arial"/>
          <w:color w:val="000000"/>
          <w:sz w:val="20"/>
          <w:szCs w:val="20"/>
        </w:rPr>
        <w:t xml:space="preserve">, D., </w:t>
      </w:r>
      <w:proofErr w:type="spellStart"/>
      <w:r>
        <w:rPr>
          <w:rFonts w:ascii="Arial" w:eastAsia="Arial" w:hAnsi="Arial" w:cs="Arial"/>
          <w:color w:val="000000"/>
          <w:sz w:val="20"/>
          <w:szCs w:val="20"/>
        </w:rPr>
        <w:t>Sadalia</w:t>
      </w:r>
      <w:proofErr w:type="spellEnd"/>
      <w:r>
        <w:rPr>
          <w:rFonts w:ascii="Arial" w:eastAsia="Arial" w:hAnsi="Arial" w:cs="Arial"/>
          <w:color w:val="000000"/>
          <w:sz w:val="20"/>
          <w:szCs w:val="20"/>
        </w:rPr>
        <w:t xml:space="preserve">, I. (2012). </w:t>
      </w:r>
      <w:proofErr w:type="spellStart"/>
      <w:r>
        <w:rPr>
          <w:rFonts w:ascii="Arial" w:eastAsia="Arial" w:hAnsi="Arial" w:cs="Arial"/>
          <w:color w:val="000000"/>
          <w:sz w:val="20"/>
          <w:szCs w:val="20"/>
        </w:rPr>
        <w:t>Analisis</w:t>
      </w:r>
      <w:proofErr w:type="spellEnd"/>
      <w:r>
        <w:rPr>
          <w:rFonts w:ascii="Arial" w:eastAsia="Arial" w:hAnsi="Arial" w:cs="Arial"/>
          <w:color w:val="000000"/>
          <w:sz w:val="20"/>
          <w:szCs w:val="20"/>
        </w:rPr>
        <w:t xml:space="preserve"> personal financial literacy dan financial behavior </w:t>
      </w:r>
      <w:proofErr w:type="spellStart"/>
      <w:r>
        <w:rPr>
          <w:rFonts w:ascii="Arial" w:eastAsia="Arial" w:hAnsi="Arial" w:cs="Arial"/>
          <w:color w:val="000000"/>
          <w:sz w:val="20"/>
          <w:szCs w:val="20"/>
        </w:rPr>
        <w:t>mahasiswa</w:t>
      </w:r>
      <w:proofErr w:type="spellEnd"/>
      <w:r>
        <w:rPr>
          <w:rFonts w:ascii="Arial" w:eastAsia="Arial" w:hAnsi="Arial" w:cs="Arial"/>
          <w:color w:val="000000"/>
          <w:sz w:val="20"/>
          <w:szCs w:val="20"/>
        </w:rPr>
        <w:t xml:space="preserve"> strata 1 </w:t>
      </w:r>
      <w:proofErr w:type="spellStart"/>
      <w:r>
        <w:rPr>
          <w:rFonts w:ascii="Arial" w:eastAsia="Arial" w:hAnsi="Arial" w:cs="Arial"/>
          <w:color w:val="000000"/>
          <w:sz w:val="20"/>
          <w:szCs w:val="20"/>
        </w:rPr>
        <w:t>fakultas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ekonomi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Universitas</w:t>
      </w:r>
      <w:proofErr w:type="spellEnd"/>
      <w:r>
        <w:rPr>
          <w:rFonts w:ascii="Arial" w:eastAsia="Arial" w:hAnsi="Arial" w:cs="Arial"/>
          <w:color w:val="000000"/>
          <w:sz w:val="20"/>
          <w:szCs w:val="20"/>
        </w:rPr>
        <w:t xml:space="preserve"> Sumatera Utara. Media </w:t>
      </w:r>
      <w:proofErr w:type="spellStart"/>
      <w:r>
        <w:rPr>
          <w:rFonts w:ascii="Arial" w:eastAsia="Arial" w:hAnsi="Arial" w:cs="Arial"/>
          <w:color w:val="000000"/>
          <w:sz w:val="20"/>
          <w:szCs w:val="20"/>
        </w:rPr>
        <w:t>Informasi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Manajemen</w:t>
      </w:r>
      <w:proofErr w:type="spellEnd"/>
      <w:r>
        <w:rPr>
          <w:rFonts w:ascii="Arial" w:eastAsia="Arial" w:hAnsi="Arial" w:cs="Arial"/>
          <w:color w:val="000000"/>
          <w:sz w:val="20"/>
          <w:szCs w:val="20"/>
        </w:rPr>
        <w:t xml:space="preserve">, 1 (1), 1-15. </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Nadome</w:t>
      </w:r>
      <w:proofErr w:type="spellEnd"/>
      <w:r>
        <w:rPr>
          <w:rFonts w:ascii="Arial" w:eastAsia="Arial" w:hAnsi="Arial" w:cs="Arial"/>
          <w:color w:val="000000"/>
          <w:sz w:val="20"/>
          <w:szCs w:val="20"/>
        </w:rPr>
        <w:t xml:space="preserve">, A. (2014). Spending Habits among Malaysian University Students. Retrieved </w:t>
      </w:r>
      <w:proofErr w:type="gramStart"/>
      <w:r>
        <w:rPr>
          <w:rFonts w:ascii="Arial" w:eastAsia="Arial" w:hAnsi="Arial" w:cs="Arial"/>
          <w:color w:val="000000"/>
          <w:sz w:val="20"/>
          <w:szCs w:val="20"/>
        </w:rPr>
        <w:t>fromAcademia:https://www.academia.edu/8907192/SPENDING_HABITS_AMONG_MALAYSIAN_UNIVERSITY_STUDENTS</w:t>
      </w:r>
      <w:proofErr w:type="gramEnd"/>
      <w:r>
        <w:rPr>
          <w:rFonts w:ascii="Arial" w:eastAsia="Arial" w:hAnsi="Arial" w:cs="Arial"/>
          <w:color w:val="000000"/>
          <w:sz w:val="20"/>
          <w:szCs w:val="20"/>
        </w:rPr>
        <w:t xml:space="preserve"> .</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Nadome</w:t>
      </w:r>
      <w:proofErr w:type="spellEnd"/>
      <w:r>
        <w:rPr>
          <w:rFonts w:ascii="Arial" w:eastAsia="Arial" w:hAnsi="Arial" w:cs="Arial"/>
          <w:color w:val="000000"/>
          <w:sz w:val="20"/>
          <w:szCs w:val="20"/>
        </w:rPr>
        <w:t xml:space="preserve">, A. (2014). Spending Habits among Malaysian University Students. Retrieved </w:t>
      </w:r>
      <w:proofErr w:type="gramStart"/>
      <w:r>
        <w:rPr>
          <w:rFonts w:ascii="Arial" w:eastAsia="Arial" w:hAnsi="Arial" w:cs="Arial"/>
          <w:color w:val="000000"/>
          <w:sz w:val="20"/>
          <w:szCs w:val="20"/>
        </w:rPr>
        <w:t>fromAcademia:https://www.academia.edu/8907192/SPENDING_HABITS_AMONG_MALAYSIAN_UNIVERSITY_STUDENTS</w:t>
      </w:r>
      <w:proofErr w:type="gramEnd"/>
      <w:r>
        <w:rPr>
          <w:rFonts w:ascii="Arial" w:eastAsia="Arial" w:hAnsi="Arial" w:cs="Arial"/>
          <w:color w:val="000000"/>
          <w:sz w:val="20"/>
          <w:szCs w:val="20"/>
        </w:rPr>
        <w:t xml:space="preserve"> </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Okamoto S, </w:t>
      </w:r>
      <w:proofErr w:type="spellStart"/>
      <w:r>
        <w:rPr>
          <w:rFonts w:ascii="Arial" w:eastAsia="Arial" w:hAnsi="Arial" w:cs="Arial"/>
          <w:color w:val="000000"/>
          <w:sz w:val="20"/>
          <w:szCs w:val="20"/>
        </w:rPr>
        <w:t>Komamura</w:t>
      </w:r>
      <w:proofErr w:type="spellEnd"/>
      <w:r>
        <w:rPr>
          <w:rFonts w:ascii="Arial" w:eastAsia="Arial" w:hAnsi="Arial" w:cs="Arial"/>
          <w:color w:val="000000"/>
          <w:sz w:val="20"/>
          <w:szCs w:val="20"/>
        </w:rPr>
        <w:t xml:space="preserve"> K (2021) Age, gender, and financial literacy in Japan. </w:t>
      </w:r>
      <w:proofErr w:type="spellStart"/>
      <w:r>
        <w:rPr>
          <w:rFonts w:ascii="Arial" w:eastAsia="Arial" w:hAnsi="Arial" w:cs="Arial"/>
          <w:color w:val="000000"/>
          <w:sz w:val="20"/>
          <w:szCs w:val="20"/>
        </w:rPr>
        <w:t>PLoS</w:t>
      </w:r>
      <w:proofErr w:type="spellEnd"/>
      <w:r>
        <w:rPr>
          <w:rFonts w:ascii="Arial" w:eastAsia="Arial" w:hAnsi="Arial" w:cs="Arial"/>
          <w:color w:val="000000"/>
          <w:sz w:val="20"/>
          <w:szCs w:val="20"/>
        </w:rPr>
        <w:t xml:space="preserve"> ONE 16(11): e0259393. </w:t>
      </w:r>
      <w:hyperlink r:id="rId15">
        <w:r>
          <w:rPr>
            <w:rFonts w:ascii="Arial" w:eastAsia="Arial" w:hAnsi="Arial" w:cs="Arial"/>
            <w:color w:val="000000"/>
            <w:sz w:val="20"/>
            <w:szCs w:val="20"/>
          </w:rPr>
          <w:t>https://doi.org/10.1371/journal.pone.0259393</w:t>
        </w:r>
      </w:hyperlink>
    </w:p>
    <w:p w:rsidR="00DA2392" w:rsidRDefault="00DA2392">
      <w:pPr>
        <w:pBdr>
          <w:top w:val="nil"/>
          <w:left w:val="nil"/>
          <w:bottom w:val="nil"/>
          <w:right w:val="nil"/>
          <w:between w:val="nil"/>
        </w:pBdr>
        <w:shd w:val="clear" w:color="auto" w:fill="FFFFFF"/>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lastRenderedPageBreak/>
        <w:t>Oseifuah</w:t>
      </w:r>
      <w:proofErr w:type="spellEnd"/>
      <w:r>
        <w:rPr>
          <w:rFonts w:ascii="Arial" w:eastAsia="Arial" w:hAnsi="Arial" w:cs="Arial"/>
          <w:color w:val="000000"/>
          <w:sz w:val="20"/>
          <w:szCs w:val="20"/>
        </w:rPr>
        <w:t>, E. K. (2018)</w:t>
      </w:r>
      <w:r>
        <w:rPr>
          <w:rFonts w:ascii="Arial" w:eastAsia="Arial" w:hAnsi="Arial" w:cs="Arial"/>
          <w:b/>
          <w:color w:val="000000"/>
          <w:sz w:val="20"/>
          <w:szCs w:val="20"/>
        </w:rPr>
        <w:t>.</w:t>
      </w:r>
      <w:r>
        <w:rPr>
          <w:rFonts w:ascii="Arial" w:eastAsia="Arial" w:hAnsi="Arial" w:cs="Arial"/>
          <w:color w:val="000000"/>
          <w:sz w:val="20"/>
          <w:szCs w:val="20"/>
        </w:rPr>
        <w:t xml:space="preserve"> Financial literacy among undergraduate students: Empirical evidence from </w:t>
      </w:r>
      <w:proofErr w:type="spellStart"/>
      <w:r>
        <w:rPr>
          <w:rFonts w:ascii="Arial" w:eastAsia="Arial" w:hAnsi="Arial" w:cs="Arial"/>
          <w:color w:val="000000"/>
          <w:sz w:val="20"/>
          <w:szCs w:val="20"/>
        </w:rPr>
        <w:t>Ghana.Academy</w:t>
      </w:r>
      <w:proofErr w:type="spellEnd"/>
      <w:r>
        <w:rPr>
          <w:rFonts w:ascii="Arial" w:eastAsia="Arial" w:hAnsi="Arial" w:cs="Arial"/>
          <w:color w:val="000000"/>
          <w:sz w:val="20"/>
          <w:szCs w:val="20"/>
        </w:rPr>
        <w:t xml:space="preserve"> of Accounting and Financial Studies Journal, 22,6.</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Peachey, K. (2018). Teenagers' spending habits revealed. BBC: https://www.bbc.com/news/business-43070841 </w:t>
      </w: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Ramasawmy</w:t>
      </w:r>
      <w:proofErr w:type="spellEnd"/>
      <w:r>
        <w:rPr>
          <w:rFonts w:ascii="Arial" w:eastAsia="Arial" w:hAnsi="Arial" w:cs="Arial"/>
          <w:color w:val="000000"/>
          <w:sz w:val="20"/>
          <w:szCs w:val="20"/>
        </w:rPr>
        <w:t xml:space="preserve">, D. </w:t>
      </w:r>
      <w:proofErr w:type="spellStart"/>
      <w:r>
        <w:rPr>
          <w:rFonts w:ascii="Arial" w:eastAsia="Arial" w:hAnsi="Arial" w:cs="Arial"/>
          <w:color w:val="000000"/>
          <w:sz w:val="20"/>
          <w:szCs w:val="20"/>
        </w:rPr>
        <w:t>Thapermall</w:t>
      </w:r>
      <w:proofErr w:type="spellEnd"/>
      <w:r>
        <w:rPr>
          <w:rFonts w:ascii="Arial" w:eastAsia="Arial" w:hAnsi="Arial" w:cs="Arial"/>
          <w:color w:val="000000"/>
          <w:sz w:val="20"/>
          <w:szCs w:val="20"/>
        </w:rPr>
        <w:t xml:space="preserve">, S. </w:t>
      </w:r>
      <w:proofErr w:type="spellStart"/>
      <w:r>
        <w:rPr>
          <w:rFonts w:ascii="Arial" w:eastAsia="Arial" w:hAnsi="Arial" w:cs="Arial"/>
          <w:color w:val="000000"/>
          <w:sz w:val="20"/>
          <w:szCs w:val="20"/>
        </w:rPr>
        <w:t>Dowlut</w:t>
      </w:r>
      <w:proofErr w:type="spellEnd"/>
      <w:r>
        <w:rPr>
          <w:rFonts w:ascii="Arial" w:eastAsia="Arial" w:hAnsi="Arial" w:cs="Arial"/>
          <w:color w:val="000000"/>
          <w:sz w:val="20"/>
          <w:szCs w:val="20"/>
        </w:rPr>
        <w:t>, S.A. &amp; Ramen, M. (2013). A Study of the Level of Awareness of Financial Literacy among Management Undergraduates. Proceedings of 3rd Asia-Pacific Business Research Conference 25 - 26, Kuala Lumpur, Malaysia, ISBN: 978-1-922069-19</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Remund</w:t>
      </w:r>
      <w:proofErr w:type="spellEnd"/>
      <w:r>
        <w:rPr>
          <w:rFonts w:ascii="Arial" w:eastAsia="Arial" w:hAnsi="Arial" w:cs="Arial"/>
          <w:color w:val="000000"/>
          <w:sz w:val="20"/>
          <w:szCs w:val="20"/>
        </w:rPr>
        <w:t>, D. L. (2010). Financial literacy explicated: The case for a clearer definition in an increasingly complex economy. Journal of Consumer Affairs, 44(2), 276-295.</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Ribeiro M.T.</w:t>
      </w:r>
      <w:proofErr w:type="gramStart"/>
      <w:r>
        <w:rPr>
          <w:rFonts w:ascii="Arial" w:eastAsia="Arial" w:hAnsi="Arial" w:cs="Arial"/>
          <w:color w:val="000000"/>
          <w:sz w:val="20"/>
          <w:szCs w:val="20"/>
        </w:rPr>
        <w:t>,  Singh</w:t>
      </w:r>
      <w:proofErr w:type="gramEnd"/>
      <w:r>
        <w:rPr>
          <w:rFonts w:ascii="Arial" w:eastAsia="Arial" w:hAnsi="Arial" w:cs="Arial"/>
          <w:color w:val="000000"/>
          <w:sz w:val="20"/>
          <w:szCs w:val="20"/>
        </w:rPr>
        <w:t xml:space="preserve"> S., &amp; </w:t>
      </w:r>
      <w:proofErr w:type="spellStart"/>
      <w:r>
        <w:rPr>
          <w:rFonts w:ascii="Arial" w:eastAsia="Arial" w:hAnsi="Arial" w:cs="Arial"/>
          <w:color w:val="000000"/>
          <w:sz w:val="20"/>
          <w:szCs w:val="20"/>
        </w:rPr>
        <w:t>Guestrin</w:t>
      </w:r>
      <w:proofErr w:type="spellEnd"/>
      <w:r>
        <w:rPr>
          <w:rFonts w:ascii="Arial" w:eastAsia="Arial" w:hAnsi="Arial" w:cs="Arial"/>
          <w:color w:val="000000"/>
          <w:sz w:val="20"/>
          <w:szCs w:val="20"/>
        </w:rPr>
        <w:t xml:space="preserve"> C.(2018).Anchors: High-precision model-agnostic explanations. Proceedings of the AAAI conference on artificial intelligence 32 (1)</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Robb, C. A. (2014). Perceived and objective financial knowledge: A consumer segmentation analysis. Journal of Financial Counseling and Planning, 25(2), 159-170.</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Robson, J &amp; </w:t>
      </w:r>
      <w:proofErr w:type="spellStart"/>
      <w:r>
        <w:rPr>
          <w:rFonts w:ascii="Arial" w:eastAsia="Arial" w:hAnsi="Arial" w:cs="Arial"/>
          <w:color w:val="000000"/>
          <w:sz w:val="20"/>
          <w:szCs w:val="20"/>
        </w:rPr>
        <w:t>Peetz</w:t>
      </w:r>
      <w:proofErr w:type="spellEnd"/>
      <w:r>
        <w:rPr>
          <w:rFonts w:ascii="Arial" w:eastAsia="Arial" w:hAnsi="Arial" w:cs="Arial"/>
          <w:color w:val="000000"/>
          <w:sz w:val="20"/>
          <w:szCs w:val="20"/>
        </w:rPr>
        <w:t xml:space="preserve">, J. (2020). Gender differences in financial knowledge, attitudes, and behaviors: accounting for socioeconomic disparities and psychological traits. J. </w:t>
      </w:r>
      <w:proofErr w:type="spellStart"/>
      <w:r>
        <w:rPr>
          <w:rFonts w:ascii="Arial" w:eastAsia="Arial" w:hAnsi="Arial" w:cs="Arial"/>
          <w:color w:val="000000"/>
          <w:sz w:val="20"/>
          <w:szCs w:val="20"/>
        </w:rPr>
        <w:t>Consum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Aff</w:t>
      </w:r>
      <w:proofErr w:type="spellEnd"/>
      <w:r>
        <w:rPr>
          <w:rFonts w:ascii="Arial" w:eastAsia="Arial" w:hAnsi="Arial" w:cs="Arial"/>
          <w:color w:val="000000"/>
          <w:sz w:val="20"/>
          <w:szCs w:val="20"/>
        </w:rPr>
        <w:t>., 54, pp. 813-835. 10.1111/joca.12304</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Rootman</w:t>
      </w:r>
      <w:proofErr w:type="spellEnd"/>
      <w:r>
        <w:rPr>
          <w:rFonts w:ascii="Arial" w:eastAsia="Arial" w:hAnsi="Arial" w:cs="Arial"/>
          <w:color w:val="000000"/>
          <w:sz w:val="20"/>
          <w:szCs w:val="20"/>
        </w:rPr>
        <w:t xml:space="preserve"> C., </w:t>
      </w:r>
      <w:proofErr w:type="gramStart"/>
      <w:r>
        <w:rPr>
          <w:rFonts w:ascii="Arial" w:eastAsia="Arial" w:hAnsi="Arial" w:cs="Arial"/>
          <w:color w:val="000000"/>
          <w:sz w:val="20"/>
          <w:szCs w:val="20"/>
        </w:rPr>
        <w:t>&amp;  Antoni</w:t>
      </w:r>
      <w:proofErr w:type="gramEnd"/>
      <w:r>
        <w:rPr>
          <w:rFonts w:ascii="Arial" w:eastAsia="Arial" w:hAnsi="Arial" w:cs="Arial"/>
          <w:color w:val="000000"/>
          <w:sz w:val="20"/>
          <w:szCs w:val="20"/>
        </w:rPr>
        <w:t xml:space="preserve"> X.(2018). Demographic Factors Affecting the Financial Literacy of Black Consumers: Critical Research in South Africa. The 2018 Annual Conference of the Emerging Markets Conference Board, 215-230</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Saxon, N. (2020). Parents’ Perceived Financial Behaviors Impact on College Students’ Financial Behaviors.</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Shih, T.Y., </w:t>
      </w:r>
      <w:proofErr w:type="spellStart"/>
      <w:r>
        <w:rPr>
          <w:rFonts w:ascii="Arial" w:eastAsia="Arial" w:hAnsi="Arial" w:cs="Arial"/>
          <w:color w:val="000000"/>
          <w:sz w:val="20"/>
          <w:szCs w:val="20"/>
        </w:rPr>
        <w:t>Ke</w:t>
      </w:r>
      <w:proofErr w:type="spellEnd"/>
      <w:r>
        <w:rPr>
          <w:rFonts w:ascii="Arial" w:eastAsia="Arial" w:hAnsi="Arial" w:cs="Arial"/>
          <w:color w:val="000000"/>
          <w:sz w:val="20"/>
          <w:szCs w:val="20"/>
        </w:rPr>
        <w:t>, S.C. (2014). Determinates of financial behavior: Insights into consumer money attitudes and financial literacy. Serv Bus, 8: 217-238. doi:10.1007/s11628-013-0194-x</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Siswati </w:t>
      </w:r>
      <w:proofErr w:type="gramStart"/>
      <w:r>
        <w:rPr>
          <w:rFonts w:ascii="Arial" w:eastAsia="Arial" w:hAnsi="Arial" w:cs="Arial"/>
          <w:color w:val="000000"/>
          <w:sz w:val="20"/>
          <w:szCs w:val="20"/>
        </w:rPr>
        <w:t>I.(</w:t>
      </w:r>
      <w:proofErr w:type="gramEnd"/>
      <w:r>
        <w:rPr>
          <w:rFonts w:ascii="Arial" w:eastAsia="Arial" w:hAnsi="Arial" w:cs="Arial"/>
          <w:color w:val="000000"/>
          <w:sz w:val="20"/>
          <w:szCs w:val="20"/>
        </w:rPr>
        <w:t xml:space="preserve">2020). FINANCIAL KNOWLEDGE, FINANCIAL ATTITUDE, AND FINANCIAL MANAGEMENT BEHAVIOR: </w:t>
      </w:r>
      <w:proofErr w:type="spellStart"/>
      <w:r>
        <w:rPr>
          <w:rFonts w:ascii="Arial" w:eastAsia="Arial" w:hAnsi="Arial" w:cs="Arial"/>
          <w:color w:val="000000"/>
          <w:sz w:val="20"/>
          <w:szCs w:val="20"/>
        </w:rPr>
        <w:t>SELFâ</w:t>
      </w:r>
      <w:proofErr w:type="spellEnd"/>
      <w:proofErr w:type="gramStart"/>
      <w:r>
        <w:rPr>
          <w:rFonts w:ascii="Arial" w:eastAsia="Arial" w:hAnsi="Arial" w:cs="Arial"/>
          <w:color w:val="000000"/>
          <w:sz w:val="20"/>
          <w:szCs w:val="20"/>
        </w:rPr>
        <w:t>€“</w:t>
      </w:r>
      <w:proofErr w:type="gramEnd"/>
      <w:r>
        <w:rPr>
          <w:rFonts w:ascii="Arial" w:eastAsia="Arial" w:hAnsi="Arial" w:cs="Arial"/>
          <w:color w:val="000000"/>
          <w:sz w:val="20"/>
          <w:szCs w:val="20"/>
        </w:rPr>
        <w:t>CONTROL AS MEDIATING. The International Journal of Accounting and Business Society. Vol. 28 No. 1,</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Smile Foundation (2024). The importance of financial literacy for </w:t>
      </w:r>
      <w:proofErr w:type="gramStart"/>
      <w:r>
        <w:rPr>
          <w:rFonts w:ascii="Arial" w:eastAsia="Arial" w:hAnsi="Arial" w:cs="Arial"/>
          <w:color w:val="000000"/>
          <w:sz w:val="20"/>
          <w:szCs w:val="20"/>
        </w:rPr>
        <w:t>women.https://www.smilefoundationindia.org/blog/the-importance-of-financial-literacy-for-women/</w:t>
      </w:r>
      <w:proofErr w:type="gramEnd"/>
    </w:p>
    <w:p w:rsidR="00DA2392" w:rsidRDefault="00DA2392">
      <w:pPr>
        <w:pBdr>
          <w:top w:val="nil"/>
          <w:left w:val="nil"/>
          <w:bottom w:val="nil"/>
          <w:right w:val="nil"/>
          <w:between w:val="nil"/>
        </w:pBdr>
        <w:shd w:val="clear" w:color="auto" w:fill="FFFFFF"/>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Smith, S. (2014, May). Use of a sensory room on an intensive care </w:t>
      </w:r>
      <w:proofErr w:type="spellStart"/>
      <w:r>
        <w:rPr>
          <w:rFonts w:ascii="Arial" w:eastAsia="Arial" w:hAnsi="Arial" w:cs="Arial"/>
          <w:color w:val="000000"/>
          <w:sz w:val="20"/>
          <w:szCs w:val="20"/>
        </w:rPr>
        <w:t>unitJ</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Psychosoc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Nurs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Ment</w:t>
      </w:r>
      <w:proofErr w:type="spellEnd"/>
      <w:r>
        <w:rPr>
          <w:rFonts w:ascii="Arial" w:eastAsia="Arial" w:hAnsi="Arial" w:cs="Arial"/>
          <w:color w:val="000000"/>
          <w:sz w:val="20"/>
          <w:szCs w:val="20"/>
        </w:rPr>
        <w:t xml:space="preserve"> Health Serv. Pubmed,52(5):22-30. </w:t>
      </w:r>
      <w:proofErr w:type="spellStart"/>
      <w:r>
        <w:rPr>
          <w:rFonts w:ascii="Arial" w:eastAsia="Arial" w:hAnsi="Arial" w:cs="Arial"/>
          <w:color w:val="000000"/>
          <w:sz w:val="20"/>
          <w:szCs w:val="20"/>
        </w:rPr>
        <w:t>doi</w:t>
      </w:r>
      <w:proofErr w:type="spellEnd"/>
      <w:r>
        <w:rPr>
          <w:rFonts w:ascii="Arial" w:eastAsia="Arial" w:hAnsi="Arial" w:cs="Arial"/>
          <w:color w:val="000000"/>
          <w:sz w:val="20"/>
          <w:szCs w:val="20"/>
        </w:rPr>
        <w:t>: 10.3928/02793695-20131126-06.</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Swanson, </w:t>
      </w:r>
      <w:proofErr w:type="gramStart"/>
      <w:r>
        <w:rPr>
          <w:rFonts w:ascii="Arial" w:eastAsia="Arial" w:hAnsi="Arial" w:cs="Arial"/>
          <w:color w:val="000000"/>
          <w:sz w:val="20"/>
          <w:szCs w:val="20"/>
        </w:rPr>
        <w:t>R.A</w:t>
      </w:r>
      <w:proofErr w:type="gramEnd"/>
      <w:r>
        <w:rPr>
          <w:rFonts w:ascii="Arial" w:eastAsia="Arial" w:hAnsi="Arial" w:cs="Arial"/>
          <w:color w:val="000000"/>
          <w:sz w:val="20"/>
          <w:szCs w:val="20"/>
        </w:rPr>
        <w:t xml:space="preserve">, &amp; </w:t>
      </w:r>
      <w:proofErr w:type="spellStart"/>
      <w:r>
        <w:rPr>
          <w:rFonts w:ascii="Arial" w:eastAsia="Arial" w:hAnsi="Arial" w:cs="Arial"/>
          <w:color w:val="000000"/>
          <w:sz w:val="20"/>
          <w:szCs w:val="20"/>
        </w:rPr>
        <w:t>Chermack</w:t>
      </w:r>
      <w:proofErr w:type="spellEnd"/>
      <w:r>
        <w:rPr>
          <w:rFonts w:ascii="Arial" w:eastAsia="Arial" w:hAnsi="Arial" w:cs="Arial"/>
          <w:color w:val="000000"/>
          <w:sz w:val="20"/>
          <w:szCs w:val="20"/>
        </w:rPr>
        <w:t xml:space="preserve">, T.J.(2013).Theory building applied </w:t>
      </w:r>
      <w:proofErr w:type="spellStart"/>
      <w:r>
        <w:rPr>
          <w:rFonts w:ascii="Arial" w:eastAsia="Arial" w:hAnsi="Arial" w:cs="Arial"/>
          <w:color w:val="000000"/>
          <w:sz w:val="20"/>
          <w:szCs w:val="20"/>
        </w:rPr>
        <w:t>disciplines.Berrett-koehler</w:t>
      </w:r>
      <w:proofErr w:type="spellEnd"/>
      <w:r>
        <w:rPr>
          <w:rFonts w:ascii="Arial" w:eastAsia="Arial" w:hAnsi="Arial" w:cs="Arial"/>
          <w:color w:val="000000"/>
          <w:sz w:val="20"/>
          <w:szCs w:val="20"/>
        </w:rPr>
        <w:t xml:space="preserve"> Publishers, Inc.</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Taft, M. K., </w:t>
      </w:r>
      <w:proofErr w:type="spellStart"/>
      <w:r>
        <w:rPr>
          <w:rFonts w:ascii="Arial" w:eastAsia="Arial" w:hAnsi="Arial" w:cs="Arial"/>
          <w:color w:val="000000"/>
          <w:sz w:val="20"/>
          <w:szCs w:val="20"/>
        </w:rPr>
        <w:t>Hosein</w:t>
      </w:r>
      <w:proofErr w:type="spellEnd"/>
      <w:r>
        <w:rPr>
          <w:rFonts w:ascii="Arial" w:eastAsia="Arial" w:hAnsi="Arial" w:cs="Arial"/>
          <w:color w:val="000000"/>
          <w:sz w:val="20"/>
          <w:szCs w:val="20"/>
        </w:rPr>
        <w:t xml:space="preserve">, Z. Z., </w:t>
      </w:r>
      <w:proofErr w:type="spellStart"/>
      <w:r>
        <w:rPr>
          <w:rFonts w:ascii="Arial" w:eastAsia="Arial" w:hAnsi="Arial" w:cs="Arial"/>
          <w:color w:val="000000"/>
          <w:sz w:val="20"/>
          <w:szCs w:val="20"/>
        </w:rPr>
        <w:t>Mehrizi</w:t>
      </w:r>
      <w:proofErr w:type="spellEnd"/>
      <w:r>
        <w:rPr>
          <w:rFonts w:ascii="Arial" w:eastAsia="Arial" w:hAnsi="Arial" w:cs="Arial"/>
          <w:color w:val="000000"/>
          <w:sz w:val="20"/>
          <w:szCs w:val="20"/>
        </w:rPr>
        <w:t>, S. M. T., &amp; Roshan, A. (2013). The relation between financial literacy, financial wellbeing and financial concerns. International journal of business and management, 8(11), 63.</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Tang, N., &amp; Baker, A. (2016). Self-esteem, financial knowledge, and financial behavior. Journal of Economic Psychology, 54, 164-176</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Tavares </w:t>
      </w:r>
      <w:proofErr w:type="gramStart"/>
      <w:r>
        <w:rPr>
          <w:rFonts w:ascii="Arial" w:eastAsia="Arial" w:hAnsi="Arial" w:cs="Arial"/>
          <w:color w:val="000000"/>
          <w:sz w:val="20"/>
          <w:szCs w:val="20"/>
        </w:rPr>
        <w:t>F. ,</w:t>
      </w:r>
      <w:proofErr w:type="gramEnd"/>
      <w:r>
        <w:rPr>
          <w:rFonts w:ascii="Arial" w:eastAsia="Arial" w:hAnsi="Arial" w:cs="Arial"/>
          <w:color w:val="000000"/>
          <w:sz w:val="20"/>
          <w:szCs w:val="20"/>
        </w:rPr>
        <w:t xml:space="preserve"> &amp; Santos E. (2020). The level of knowledge of financial literacy and risk of the </w:t>
      </w:r>
      <w:proofErr w:type="spellStart"/>
      <w:r>
        <w:rPr>
          <w:rFonts w:ascii="Arial" w:eastAsia="Arial" w:hAnsi="Arial" w:cs="Arial"/>
          <w:color w:val="000000"/>
          <w:sz w:val="20"/>
          <w:szCs w:val="20"/>
        </w:rPr>
        <w:t>Portuguese.International</w:t>
      </w:r>
      <w:proofErr w:type="spellEnd"/>
      <w:r>
        <w:rPr>
          <w:rFonts w:ascii="Arial" w:eastAsia="Arial" w:hAnsi="Arial" w:cs="Arial"/>
          <w:color w:val="000000"/>
          <w:sz w:val="20"/>
          <w:szCs w:val="20"/>
        </w:rPr>
        <w:t xml:space="preserve"> Journal of Euro-Mediterranean Studies 13 (2), 91-116</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Thaler, R. </w:t>
      </w:r>
      <w:proofErr w:type="gramStart"/>
      <w:r>
        <w:rPr>
          <w:rFonts w:ascii="Arial" w:eastAsia="Arial" w:hAnsi="Arial" w:cs="Arial"/>
          <w:color w:val="000000"/>
          <w:sz w:val="20"/>
          <w:szCs w:val="20"/>
        </w:rPr>
        <w:t>H.(</w:t>
      </w:r>
      <w:proofErr w:type="gramEnd"/>
      <w:r>
        <w:rPr>
          <w:rFonts w:ascii="Arial" w:eastAsia="Arial" w:hAnsi="Arial" w:cs="Arial"/>
          <w:color w:val="000000"/>
          <w:sz w:val="20"/>
          <w:szCs w:val="20"/>
        </w:rPr>
        <w:t xml:space="preserve">2016). Behavioral economics: Past, present, and </w:t>
      </w:r>
      <w:proofErr w:type="spellStart"/>
      <w:proofErr w:type="gramStart"/>
      <w:r>
        <w:rPr>
          <w:rFonts w:ascii="Arial" w:eastAsia="Arial" w:hAnsi="Arial" w:cs="Arial"/>
          <w:color w:val="000000"/>
          <w:sz w:val="20"/>
          <w:szCs w:val="20"/>
        </w:rPr>
        <w:t>future.American</w:t>
      </w:r>
      <w:proofErr w:type="spellEnd"/>
      <w:proofErr w:type="gramEnd"/>
      <w:r>
        <w:rPr>
          <w:rFonts w:ascii="Arial" w:eastAsia="Arial" w:hAnsi="Arial" w:cs="Arial"/>
          <w:color w:val="000000"/>
          <w:sz w:val="20"/>
          <w:szCs w:val="20"/>
        </w:rPr>
        <w:t xml:space="preserve"> economic review 106 (7), 1577-1600, </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Tharanika</w:t>
      </w:r>
      <w:proofErr w:type="spellEnd"/>
      <w:r>
        <w:rPr>
          <w:rFonts w:ascii="Arial" w:eastAsia="Arial" w:hAnsi="Arial" w:cs="Arial"/>
          <w:color w:val="000000"/>
          <w:sz w:val="20"/>
          <w:szCs w:val="20"/>
        </w:rPr>
        <w:t xml:space="preserve"> K, &amp; Anthony </w:t>
      </w:r>
      <w:proofErr w:type="gramStart"/>
      <w:r>
        <w:rPr>
          <w:rFonts w:ascii="Arial" w:eastAsia="Arial" w:hAnsi="Arial" w:cs="Arial"/>
          <w:color w:val="000000"/>
          <w:sz w:val="20"/>
          <w:szCs w:val="20"/>
        </w:rPr>
        <w:t>A.(</w:t>
      </w:r>
      <w:proofErr w:type="gramEnd"/>
      <w:r>
        <w:rPr>
          <w:rFonts w:ascii="Arial" w:eastAsia="Arial" w:hAnsi="Arial" w:cs="Arial"/>
          <w:color w:val="000000"/>
          <w:sz w:val="20"/>
          <w:szCs w:val="20"/>
        </w:rPr>
        <w:t xml:space="preserve">2017). Factors influencing on saving </w:t>
      </w:r>
      <w:proofErr w:type="spellStart"/>
      <w:r>
        <w:rPr>
          <w:rFonts w:ascii="Arial" w:eastAsia="Arial" w:hAnsi="Arial" w:cs="Arial"/>
          <w:color w:val="000000"/>
          <w:sz w:val="20"/>
          <w:szCs w:val="20"/>
        </w:rPr>
        <w:t>behaviour</w:t>
      </w:r>
      <w:proofErr w:type="spellEnd"/>
      <w:r>
        <w:rPr>
          <w:rFonts w:ascii="Arial" w:eastAsia="Arial" w:hAnsi="Arial" w:cs="Arial"/>
          <w:color w:val="000000"/>
          <w:sz w:val="20"/>
          <w:szCs w:val="20"/>
        </w:rPr>
        <w:t xml:space="preserve"> among university students. International Journal of Research 4 (14), 861-871</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Theodos</w:t>
      </w:r>
      <w:proofErr w:type="spellEnd"/>
      <w:r>
        <w:rPr>
          <w:rFonts w:ascii="Arial" w:eastAsia="Arial" w:hAnsi="Arial" w:cs="Arial"/>
          <w:color w:val="000000"/>
          <w:sz w:val="20"/>
          <w:szCs w:val="20"/>
        </w:rPr>
        <w:t xml:space="preserve">, B., Kalish, E., McKernan, S. &amp; Ratcliffe, C. (2014). Do Financial Knowledge, Behavior, and Well-Being Differ by Gender? Urban Institute. </w:t>
      </w:r>
      <w:hyperlink r:id="rId16">
        <w:r>
          <w:rPr>
            <w:rFonts w:ascii="Arial" w:eastAsia="Arial" w:hAnsi="Arial" w:cs="Arial"/>
            <w:color w:val="000000"/>
            <w:sz w:val="20"/>
            <w:szCs w:val="20"/>
          </w:rPr>
          <w:t>https://www.urban.org/sites/default/files/publication/22456/413077-DoFinancial- Knowledge-Behavior-and-Well-Being-Differ-by-Gender-.PDF</w:t>
        </w:r>
      </w:hyperlink>
    </w:p>
    <w:p w:rsidR="00DA2392" w:rsidRDefault="00DA2392">
      <w:pPr>
        <w:pBdr>
          <w:top w:val="nil"/>
          <w:left w:val="nil"/>
          <w:bottom w:val="nil"/>
          <w:right w:val="nil"/>
          <w:between w:val="nil"/>
        </w:pBdr>
        <w:spacing w:after="12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12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Timbang</w:t>
      </w:r>
      <w:proofErr w:type="spellEnd"/>
      <w:r>
        <w:rPr>
          <w:rFonts w:ascii="Arial" w:eastAsia="Arial" w:hAnsi="Arial" w:cs="Arial"/>
          <w:color w:val="000000"/>
          <w:sz w:val="20"/>
          <w:szCs w:val="20"/>
        </w:rPr>
        <w:t xml:space="preserve">, F. (2015). Financial Management: Part I. Quezon City: C &amp; E Publishing, Inc. </w:t>
      </w:r>
    </w:p>
    <w:p w:rsidR="00DA2392" w:rsidRDefault="00902B7D">
      <w:pPr>
        <w:pBdr>
          <w:top w:val="nil"/>
          <w:left w:val="nil"/>
          <w:bottom w:val="nil"/>
          <w:right w:val="nil"/>
          <w:between w:val="nil"/>
        </w:pBdr>
        <w:spacing w:before="100"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Tomataroa</w:t>
      </w:r>
      <w:proofErr w:type="spellEnd"/>
      <w:r>
        <w:rPr>
          <w:rFonts w:ascii="Arial" w:eastAsia="Arial" w:hAnsi="Arial" w:cs="Arial"/>
          <w:color w:val="000000"/>
          <w:sz w:val="20"/>
          <w:szCs w:val="20"/>
        </w:rPr>
        <w:t xml:space="preserve">, S. &amp; </w:t>
      </w:r>
      <w:proofErr w:type="spellStart"/>
      <w:r>
        <w:rPr>
          <w:rFonts w:ascii="Arial" w:eastAsia="Arial" w:hAnsi="Arial" w:cs="Arial"/>
          <w:color w:val="000000"/>
          <w:sz w:val="20"/>
          <w:szCs w:val="20"/>
        </w:rPr>
        <w:t>Ohare</w:t>
      </w:r>
      <w:proofErr w:type="spellEnd"/>
      <w:r>
        <w:rPr>
          <w:rFonts w:ascii="Arial" w:eastAsia="Arial" w:hAnsi="Arial" w:cs="Arial"/>
          <w:color w:val="000000"/>
          <w:sz w:val="20"/>
          <w:szCs w:val="20"/>
        </w:rPr>
        <w:t>, D. (2019</w:t>
      </w:r>
      <w:proofErr w:type="gramStart"/>
      <w:r>
        <w:rPr>
          <w:rFonts w:ascii="Arial" w:eastAsia="Arial" w:hAnsi="Arial" w:cs="Arial"/>
          <w:color w:val="000000"/>
          <w:sz w:val="20"/>
          <w:szCs w:val="20"/>
        </w:rPr>
        <w:t>).Improving</w:t>
      </w:r>
      <w:proofErr w:type="gramEnd"/>
      <w:r>
        <w:rPr>
          <w:rFonts w:ascii="Arial" w:eastAsia="Arial" w:hAnsi="Arial" w:cs="Arial"/>
          <w:color w:val="000000"/>
          <w:sz w:val="20"/>
          <w:szCs w:val="20"/>
        </w:rPr>
        <w:t xml:space="preserve"> Self-Control Through Financial Counseling: A Randomized Controlled </w:t>
      </w:r>
      <w:proofErr w:type="spellStart"/>
      <w:r>
        <w:rPr>
          <w:rFonts w:ascii="Arial" w:eastAsia="Arial" w:hAnsi="Arial" w:cs="Arial"/>
          <w:color w:val="000000"/>
          <w:sz w:val="20"/>
          <w:szCs w:val="20"/>
        </w:rPr>
        <w:t>Trial.Journal</w:t>
      </w:r>
      <w:proofErr w:type="spellEnd"/>
      <w:r>
        <w:rPr>
          <w:rFonts w:ascii="Arial" w:eastAsia="Arial" w:hAnsi="Arial" w:cs="Arial"/>
          <w:color w:val="000000"/>
          <w:sz w:val="20"/>
          <w:szCs w:val="20"/>
        </w:rPr>
        <w:t xml:space="preserve"> of Financial Counseling and Planning, Volume 30, Number 2, 2019, 304-312 © 2019 Association for Financial Counseling and Planning Education® http://dx.doi.org/10.1891/1052-3073.30.2.304</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Totenhagen</w:t>
      </w:r>
      <w:proofErr w:type="spellEnd"/>
      <w:r>
        <w:rPr>
          <w:rFonts w:ascii="Arial" w:eastAsia="Arial" w:hAnsi="Arial" w:cs="Arial"/>
          <w:color w:val="000000"/>
          <w:sz w:val="20"/>
          <w:szCs w:val="20"/>
        </w:rPr>
        <w:t>, C. J., Casper, D. M., Faber, K. M., Bosch, L. A., Wiggs, C. B., &amp; Borden, L. M. (2015). Youth financial literacy: A review of key considerations and promising delivery methods. Journal of Family and Economic Issues, 36, 167-191.</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Triardiyani</w:t>
      </w:r>
      <w:proofErr w:type="spellEnd"/>
      <w:r>
        <w:rPr>
          <w:rFonts w:ascii="Arial" w:eastAsia="Arial" w:hAnsi="Arial" w:cs="Arial"/>
          <w:color w:val="000000"/>
          <w:sz w:val="20"/>
          <w:szCs w:val="20"/>
        </w:rPr>
        <w:t xml:space="preserve">, S, E., dan </w:t>
      </w:r>
      <w:proofErr w:type="spellStart"/>
      <w:r>
        <w:rPr>
          <w:rFonts w:ascii="Arial" w:eastAsia="Arial" w:hAnsi="Arial" w:cs="Arial"/>
          <w:color w:val="000000"/>
          <w:sz w:val="20"/>
          <w:szCs w:val="20"/>
        </w:rPr>
        <w:t>Retno</w:t>
      </w:r>
      <w:proofErr w:type="spellEnd"/>
      <w:r>
        <w:rPr>
          <w:rFonts w:ascii="Arial" w:eastAsia="Arial" w:hAnsi="Arial" w:cs="Arial"/>
          <w:color w:val="000000"/>
          <w:sz w:val="20"/>
          <w:szCs w:val="20"/>
        </w:rPr>
        <w:t>, M, K. 2014. “</w:t>
      </w:r>
      <w:proofErr w:type="spellStart"/>
      <w:r>
        <w:rPr>
          <w:rFonts w:ascii="Arial" w:eastAsia="Arial" w:hAnsi="Arial" w:cs="Arial"/>
          <w:color w:val="000000"/>
          <w:sz w:val="20"/>
          <w:szCs w:val="20"/>
        </w:rPr>
        <w:t>Pengaruh</w:t>
      </w:r>
      <w:proofErr w:type="spellEnd"/>
      <w:r>
        <w:rPr>
          <w:rFonts w:ascii="Arial" w:eastAsia="Arial" w:hAnsi="Arial" w:cs="Arial"/>
          <w:color w:val="000000"/>
          <w:sz w:val="20"/>
          <w:szCs w:val="20"/>
        </w:rPr>
        <w:t xml:space="preserve"> Financial Literacy </w:t>
      </w:r>
      <w:proofErr w:type="spellStart"/>
      <w:r>
        <w:rPr>
          <w:rFonts w:ascii="Arial" w:eastAsia="Arial" w:hAnsi="Arial" w:cs="Arial"/>
          <w:color w:val="000000"/>
          <w:sz w:val="20"/>
          <w:szCs w:val="20"/>
        </w:rPr>
        <w:t>danKelompok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Teman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Sebaya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Terhadap</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Perilaku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Menabung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Siswa</w:t>
      </w:r>
      <w:proofErr w:type="spellEnd"/>
      <w:r>
        <w:rPr>
          <w:rFonts w:ascii="Arial" w:eastAsia="Arial" w:hAnsi="Arial" w:cs="Arial"/>
          <w:color w:val="000000"/>
          <w:sz w:val="20"/>
          <w:szCs w:val="20"/>
        </w:rPr>
        <w:t xml:space="preserve"> Kelas XIIPS SMA Negeri 2 Surabaya”. </w:t>
      </w:r>
      <w:proofErr w:type="spellStart"/>
      <w:r>
        <w:rPr>
          <w:rFonts w:ascii="Arial" w:eastAsia="Arial" w:hAnsi="Arial" w:cs="Arial"/>
          <w:color w:val="000000"/>
          <w:sz w:val="20"/>
          <w:szCs w:val="20"/>
        </w:rPr>
        <w:t>Jurnal</w:t>
      </w:r>
      <w:proofErr w:type="spellEnd"/>
      <w:r>
        <w:rPr>
          <w:rFonts w:ascii="Arial" w:eastAsia="Arial" w:hAnsi="Arial" w:cs="Arial"/>
          <w:color w:val="000000"/>
          <w:sz w:val="20"/>
          <w:szCs w:val="20"/>
        </w:rPr>
        <w:t xml:space="preserve"> Pendidikan </w:t>
      </w:r>
      <w:proofErr w:type="spellStart"/>
      <w:r>
        <w:rPr>
          <w:rFonts w:ascii="Arial" w:eastAsia="Arial" w:hAnsi="Arial" w:cs="Arial"/>
          <w:color w:val="000000"/>
          <w:sz w:val="20"/>
          <w:szCs w:val="20"/>
        </w:rPr>
        <w:t>Ekonomi</w:t>
      </w:r>
      <w:proofErr w:type="spellEnd"/>
      <w:r>
        <w:rPr>
          <w:rFonts w:ascii="Arial" w:eastAsia="Arial" w:hAnsi="Arial" w:cs="Arial"/>
          <w:color w:val="000000"/>
          <w:sz w:val="20"/>
          <w:szCs w:val="20"/>
        </w:rPr>
        <w:t>. pp: 1-18Uddin, M. A. (2020).</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spacing w:after="240" w:line="240" w:lineRule="auto"/>
        <w:jc w:val="both"/>
        <w:rPr>
          <w:rFonts w:ascii="Arial" w:eastAsia="Arial" w:hAnsi="Arial" w:cs="Arial"/>
          <w:sz w:val="20"/>
          <w:szCs w:val="20"/>
        </w:rPr>
      </w:pPr>
      <w:r>
        <w:rPr>
          <w:rFonts w:ascii="Arial" w:eastAsia="Arial" w:hAnsi="Arial" w:cs="Arial"/>
          <w:sz w:val="20"/>
          <w:szCs w:val="20"/>
        </w:rPr>
        <w:t xml:space="preserve">Trivedi, S., Bhatt, J., &amp; </w:t>
      </w:r>
      <w:proofErr w:type="spellStart"/>
      <w:r>
        <w:rPr>
          <w:rFonts w:ascii="Arial" w:eastAsia="Arial" w:hAnsi="Arial" w:cs="Arial"/>
          <w:sz w:val="20"/>
          <w:szCs w:val="20"/>
        </w:rPr>
        <w:t>Thaker</w:t>
      </w:r>
      <w:proofErr w:type="spellEnd"/>
      <w:r>
        <w:rPr>
          <w:rFonts w:ascii="Arial" w:eastAsia="Arial" w:hAnsi="Arial" w:cs="Arial"/>
          <w:sz w:val="20"/>
          <w:szCs w:val="20"/>
        </w:rPr>
        <w:t>, N. (2024). Financial Literacy among the Students of Junagadh Agricultural University. Asian Journal of Agricultural Extension, Economics &amp; Sociology, 42(12), 125133. https://doi.org/10.9734/ajaees/2024/v42i122638</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Van </w:t>
      </w:r>
      <w:proofErr w:type="spellStart"/>
      <w:r>
        <w:rPr>
          <w:rFonts w:ascii="Arial" w:eastAsia="Arial" w:hAnsi="Arial" w:cs="Arial"/>
          <w:color w:val="000000"/>
          <w:sz w:val="20"/>
          <w:szCs w:val="20"/>
        </w:rPr>
        <w:t>Raaij</w:t>
      </w:r>
      <w:proofErr w:type="spellEnd"/>
      <w:r>
        <w:rPr>
          <w:rFonts w:ascii="Arial" w:eastAsia="Arial" w:hAnsi="Arial" w:cs="Arial"/>
          <w:color w:val="000000"/>
          <w:sz w:val="20"/>
          <w:szCs w:val="20"/>
        </w:rPr>
        <w:t>, W. F. (2016). Understanding consumer financial behavior: Money management in an age of financial illiteracy. Springer.</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Villanueva, S. (2017). An Analysis of the Factors Affecting the Spending and Saving </w:t>
      </w:r>
      <w:r>
        <w:rPr>
          <w:rFonts w:ascii="Arial" w:eastAsia="Arial" w:hAnsi="Arial" w:cs="Arial"/>
          <w:sz w:val="20"/>
          <w:szCs w:val="20"/>
        </w:rPr>
        <w:t>Habits</w:t>
      </w:r>
      <w:r>
        <w:rPr>
          <w:rFonts w:ascii="Arial" w:eastAsia="Arial" w:hAnsi="Arial" w:cs="Arial"/>
          <w:color w:val="000000"/>
          <w:sz w:val="20"/>
          <w:szCs w:val="20"/>
        </w:rPr>
        <w:t xml:space="preserve"> o</w:t>
      </w:r>
      <w:r>
        <w:rPr>
          <w:rFonts w:ascii="Arial" w:eastAsia="Arial" w:hAnsi="Arial" w:cs="Arial"/>
          <w:sz w:val="20"/>
          <w:szCs w:val="20"/>
        </w:rPr>
        <w:t>f C</w:t>
      </w:r>
      <w:r>
        <w:rPr>
          <w:rFonts w:ascii="Arial" w:eastAsia="Arial" w:hAnsi="Arial" w:cs="Arial"/>
          <w:color w:val="000000"/>
          <w:sz w:val="20"/>
          <w:szCs w:val="20"/>
        </w:rPr>
        <w:t xml:space="preserve">ollege </w:t>
      </w:r>
      <w:r>
        <w:rPr>
          <w:rFonts w:ascii="Arial" w:eastAsia="Arial" w:hAnsi="Arial" w:cs="Arial"/>
          <w:sz w:val="20"/>
          <w:szCs w:val="20"/>
        </w:rPr>
        <w:t>Students</w:t>
      </w:r>
      <w:r>
        <w:rPr>
          <w:rFonts w:ascii="Arial" w:eastAsia="Arial" w:hAnsi="Arial" w:cs="Arial"/>
          <w:color w:val="000000"/>
          <w:sz w:val="20"/>
          <w:szCs w:val="20"/>
        </w:rPr>
        <w:t xml:space="preserve">. Retrieved </w:t>
      </w:r>
      <w:proofErr w:type="gramStart"/>
      <w:r>
        <w:rPr>
          <w:rFonts w:ascii="Arial" w:eastAsia="Arial" w:hAnsi="Arial" w:cs="Arial"/>
          <w:color w:val="000000"/>
          <w:sz w:val="20"/>
          <w:szCs w:val="20"/>
        </w:rPr>
        <w:t>fromCreativeMatter:https://creativematter.skidmore.edu/cgi/viewcontent.cgi?referer=https://www.google.com/&amp;httpsredir=1&amp;article=1035&amp;context=econ_studt_schol</w:t>
      </w:r>
      <w:proofErr w:type="gramEnd"/>
      <w:r>
        <w:rPr>
          <w:rFonts w:ascii="Arial" w:eastAsia="Arial" w:hAnsi="Arial" w:cs="Arial"/>
          <w:color w:val="000000"/>
          <w:sz w:val="20"/>
          <w:szCs w:val="20"/>
        </w:rPr>
        <w:t xml:space="preserve"> </w:t>
      </w:r>
    </w:p>
    <w:p w:rsidR="00DA2392" w:rsidRDefault="00DA2392">
      <w:pPr>
        <w:pBdr>
          <w:top w:val="nil"/>
          <w:left w:val="nil"/>
          <w:bottom w:val="nil"/>
          <w:right w:val="nil"/>
          <w:between w:val="nil"/>
        </w:pBdr>
        <w:shd w:val="clear" w:color="auto" w:fill="FFFFFF"/>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Violan</w:t>
      </w:r>
      <w:proofErr w:type="spellEnd"/>
      <w:r>
        <w:rPr>
          <w:rFonts w:ascii="Arial" w:eastAsia="Arial" w:hAnsi="Arial" w:cs="Arial"/>
          <w:color w:val="000000"/>
          <w:sz w:val="20"/>
          <w:szCs w:val="20"/>
        </w:rPr>
        <w:t xml:space="preserve">, C., </w:t>
      </w:r>
      <w:proofErr w:type="spellStart"/>
      <w:proofErr w:type="gramStart"/>
      <w:r>
        <w:rPr>
          <w:rFonts w:ascii="Arial" w:eastAsia="Arial" w:hAnsi="Arial" w:cs="Arial"/>
          <w:color w:val="000000"/>
          <w:sz w:val="20"/>
          <w:szCs w:val="20"/>
        </w:rPr>
        <w:t>Boreu,Q.F</w:t>
      </w:r>
      <w:proofErr w:type="spellEnd"/>
      <w:r>
        <w:rPr>
          <w:rFonts w:ascii="Arial" w:eastAsia="Arial" w:hAnsi="Arial" w:cs="Arial"/>
          <w:color w:val="000000"/>
          <w:sz w:val="20"/>
          <w:szCs w:val="20"/>
        </w:rPr>
        <w:t>.</w:t>
      </w:r>
      <w:proofErr w:type="gram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Mateo,G.F</w:t>
      </w:r>
      <w:proofErr w:type="spellEnd"/>
      <w:r>
        <w:rPr>
          <w:rFonts w:ascii="Arial" w:eastAsia="Arial" w:hAnsi="Arial" w:cs="Arial"/>
          <w:color w:val="000000"/>
          <w:sz w:val="20"/>
          <w:szCs w:val="20"/>
        </w:rPr>
        <w:t xml:space="preserve">.,&amp; </w:t>
      </w:r>
      <w:proofErr w:type="spellStart"/>
      <w:r>
        <w:rPr>
          <w:rFonts w:ascii="Arial" w:eastAsia="Arial" w:hAnsi="Arial" w:cs="Arial"/>
          <w:color w:val="000000"/>
          <w:sz w:val="20"/>
          <w:szCs w:val="20"/>
        </w:rPr>
        <w:t>Valderas</w:t>
      </w:r>
      <w:proofErr w:type="spellEnd"/>
      <w:r>
        <w:rPr>
          <w:rFonts w:ascii="Arial" w:eastAsia="Arial" w:hAnsi="Arial" w:cs="Arial"/>
          <w:color w:val="000000"/>
          <w:sz w:val="20"/>
          <w:szCs w:val="20"/>
        </w:rPr>
        <w:t>, J.M.(2014). Prevalence, determinants and patterns of multimorbidity in primary care: a systematic review of observational studies.9(7</w:t>
      </w:r>
      <w:proofErr w:type="gramStart"/>
      <w:r>
        <w:rPr>
          <w:rFonts w:ascii="Arial" w:eastAsia="Arial" w:hAnsi="Arial" w:cs="Arial"/>
          <w:color w:val="000000"/>
          <w:sz w:val="20"/>
          <w:szCs w:val="20"/>
        </w:rPr>
        <w:t>):e102149.doi</w:t>
      </w:r>
      <w:proofErr w:type="gramEnd"/>
      <w:r>
        <w:rPr>
          <w:rFonts w:ascii="Arial" w:eastAsia="Arial" w:hAnsi="Arial" w:cs="Arial"/>
          <w:color w:val="000000"/>
          <w:sz w:val="20"/>
          <w:szCs w:val="20"/>
        </w:rPr>
        <w:t xml:space="preserve">: 10.1371/journal.pone.0102149. </w:t>
      </w:r>
      <w:proofErr w:type="spellStart"/>
      <w:r>
        <w:rPr>
          <w:rFonts w:ascii="Arial" w:eastAsia="Arial" w:hAnsi="Arial" w:cs="Arial"/>
          <w:color w:val="000000"/>
          <w:sz w:val="20"/>
          <w:szCs w:val="20"/>
        </w:rPr>
        <w:t>eCollection</w:t>
      </w:r>
      <w:proofErr w:type="spellEnd"/>
      <w:r>
        <w:rPr>
          <w:rFonts w:ascii="Arial" w:eastAsia="Arial" w:hAnsi="Arial" w:cs="Arial"/>
          <w:color w:val="000000"/>
          <w:sz w:val="20"/>
          <w:szCs w:val="20"/>
        </w:rPr>
        <w:t xml:space="preserve"> 2014.</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Widener, K. N. (2017). Financial Management Issues of College-Aged Students: Influences and Consequences (Thesis). Selected Honor Theses. https://f   escholars.seu.edu/cgi/viewcontent.cgi?article=1063&amp;context=honors</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lastRenderedPageBreak/>
        <w:t>Widiawati</w:t>
      </w:r>
      <w:proofErr w:type="spellEnd"/>
      <w:r>
        <w:rPr>
          <w:rFonts w:ascii="Arial" w:eastAsia="Arial" w:hAnsi="Arial" w:cs="Arial"/>
          <w:color w:val="000000"/>
          <w:sz w:val="20"/>
          <w:szCs w:val="20"/>
        </w:rPr>
        <w:t xml:space="preserve">, M. (2020). </w:t>
      </w:r>
      <w:proofErr w:type="spellStart"/>
      <w:r>
        <w:rPr>
          <w:rFonts w:ascii="Arial" w:eastAsia="Arial" w:hAnsi="Arial" w:cs="Arial"/>
          <w:color w:val="000000"/>
          <w:sz w:val="20"/>
          <w:szCs w:val="20"/>
        </w:rPr>
        <w:t>Pengaruh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Literasi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Keuangan</w:t>
      </w:r>
      <w:proofErr w:type="spellEnd"/>
      <w:r>
        <w:rPr>
          <w:rFonts w:ascii="Arial" w:eastAsia="Arial" w:hAnsi="Arial" w:cs="Arial"/>
          <w:color w:val="000000"/>
          <w:sz w:val="20"/>
          <w:szCs w:val="20"/>
        </w:rPr>
        <w:t xml:space="preserve">, Locus of Control, Financial Self-Efficacy, Dan Love of Money </w:t>
      </w:r>
      <w:proofErr w:type="spellStart"/>
      <w:r>
        <w:rPr>
          <w:rFonts w:ascii="Arial" w:eastAsia="Arial" w:hAnsi="Arial" w:cs="Arial"/>
          <w:color w:val="000000"/>
          <w:sz w:val="20"/>
          <w:szCs w:val="20"/>
        </w:rPr>
        <w:t>Terhadap</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Manajemen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Keuangan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Pribadi</w:t>
      </w:r>
      <w:proofErr w:type="spellEnd"/>
      <w:r>
        <w:rPr>
          <w:rFonts w:ascii="Arial" w:eastAsia="Arial" w:hAnsi="Arial" w:cs="Arial"/>
          <w:color w:val="000000"/>
          <w:sz w:val="20"/>
          <w:szCs w:val="20"/>
        </w:rPr>
        <w:t xml:space="preserve"> Prisma (Platform </w:t>
      </w:r>
      <w:proofErr w:type="spellStart"/>
      <w:r>
        <w:rPr>
          <w:rFonts w:ascii="Arial" w:eastAsia="Arial" w:hAnsi="Arial" w:cs="Arial"/>
          <w:color w:val="000000"/>
          <w:sz w:val="20"/>
          <w:szCs w:val="20"/>
        </w:rPr>
        <w:t>Riset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Mahasiswa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Akuntansi</w:t>
      </w:r>
      <w:proofErr w:type="spellEnd"/>
      <w:r>
        <w:rPr>
          <w:rFonts w:ascii="Arial" w:eastAsia="Arial" w:hAnsi="Arial" w:cs="Arial"/>
          <w:color w:val="000000"/>
          <w:sz w:val="20"/>
          <w:szCs w:val="20"/>
        </w:rPr>
        <w:t>), 1(1), 97-108.</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Widyastuti</w:t>
      </w:r>
      <w:proofErr w:type="spellEnd"/>
      <w:r>
        <w:rPr>
          <w:rFonts w:ascii="Arial" w:eastAsia="Arial" w:hAnsi="Arial" w:cs="Arial"/>
          <w:color w:val="000000"/>
          <w:sz w:val="20"/>
          <w:szCs w:val="20"/>
        </w:rPr>
        <w:t xml:space="preserve">, M., </w:t>
      </w:r>
      <w:proofErr w:type="spellStart"/>
      <w:r>
        <w:rPr>
          <w:rFonts w:ascii="Arial" w:eastAsia="Arial" w:hAnsi="Arial" w:cs="Arial"/>
          <w:color w:val="000000"/>
          <w:sz w:val="20"/>
          <w:szCs w:val="20"/>
        </w:rPr>
        <w:t>Hermanto</w:t>
      </w:r>
      <w:proofErr w:type="spellEnd"/>
      <w:r>
        <w:rPr>
          <w:rFonts w:ascii="Arial" w:eastAsia="Arial" w:hAnsi="Arial" w:cs="Arial"/>
          <w:color w:val="000000"/>
          <w:sz w:val="20"/>
          <w:szCs w:val="20"/>
        </w:rPr>
        <w:t>, Y. B., &amp; Paula, P. (2021). Personal Financial Management Needs Financial Literation. IAR Journal of Business Management, 2(1), 63-69.</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Williams, A., </w:t>
      </w:r>
      <w:proofErr w:type="spellStart"/>
      <w:r>
        <w:rPr>
          <w:rFonts w:ascii="Arial" w:eastAsia="Arial" w:hAnsi="Arial" w:cs="Arial"/>
          <w:color w:val="000000"/>
          <w:sz w:val="20"/>
          <w:szCs w:val="20"/>
        </w:rPr>
        <w:t>Oumlil</w:t>
      </w:r>
      <w:proofErr w:type="spellEnd"/>
      <w:r>
        <w:rPr>
          <w:rFonts w:ascii="Arial" w:eastAsia="Arial" w:hAnsi="Arial" w:cs="Arial"/>
          <w:color w:val="000000"/>
          <w:sz w:val="20"/>
          <w:szCs w:val="20"/>
        </w:rPr>
        <w:t>, R. (2015). Financial literacy education for college students: Importance and demand. Journal of Higher Education, 36(2), 123-136.</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Wilson, J. (2021). Financial Literacy, Experience, and Age Differences in Monetary Sequence Preferences. West Virginia University</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color w:val="000000"/>
          <w:sz w:val="20"/>
          <w:szCs w:val="20"/>
        </w:rPr>
        <w:t xml:space="preserve">Yong, C., Yew, S., &amp; Wee, C. (2018). Financial knowledge, attitude and </w:t>
      </w:r>
      <w:proofErr w:type="spellStart"/>
      <w:r>
        <w:rPr>
          <w:rFonts w:ascii="Arial" w:eastAsia="Arial" w:hAnsi="Arial" w:cs="Arial"/>
          <w:color w:val="000000"/>
          <w:sz w:val="20"/>
          <w:szCs w:val="20"/>
        </w:rPr>
        <w:t>behaviour</w:t>
      </w:r>
      <w:proofErr w:type="spellEnd"/>
      <w:r>
        <w:rPr>
          <w:rFonts w:ascii="Arial" w:eastAsia="Arial" w:hAnsi="Arial" w:cs="Arial"/>
          <w:color w:val="000000"/>
          <w:sz w:val="20"/>
          <w:szCs w:val="20"/>
        </w:rPr>
        <w:t xml:space="preserve"> of young working adults in Malaysia. Institutions and Economies, 10(4), 21-48</w:t>
      </w:r>
    </w:p>
    <w:p w:rsidR="00DA2392" w:rsidRDefault="00DA2392">
      <w:pPr>
        <w:pBdr>
          <w:top w:val="nil"/>
          <w:left w:val="nil"/>
          <w:bottom w:val="nil"/>
          <w:right w:val="nil"/>
          <w:between w:val="nil"/>
        </w:pBdr>
        <w:spacing w:after="0" w:line="240" w:lineRule="auto"/>
        <w:jc w:val="both"/>
        <w:rPr>
          <w:rFonts w:ascii="Arial" w:eastAsia="Arial" w:hAnsi="Arial" w:cs="Arial"/>
          <w:sz w:val="20"/>
          <w:szCs w:val="20"/>
        </w:rPr>
      </w:pPr>
    </w:p>
    <w:p w:rsidR="00DA2392" w:rsidRDefault="00902B7D">
      <w:pPr>
        <w:pBdr>
          <w:top w:val="nil"/>
          <w:left w:val="nil"/>
          <w:bottom w:val="nil"/>
          <w:right w:val="nil"/>
          <w:between w:val="nil"/>
        </w:pBdr>
        <w:spacing w:after="24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Zia, H., Harris, N.R., </w:t>
      </w:r>
      <w:proofErr w:type="gramStart"/>
      <w:r>
        <w:rPr>
          <w:rFonts w:ascii="Arial" w:eastAsia="Arial" w:hAnsi="Arial" w:cs="Arial"/>
          <w:color w:val="000000"/>
          <w:sz w:val="20"/>
          <w:szCs w:val="20"/>
        </w:rPr>
        <w:t>Merrette,G.V.</w:t>
      </w:r>
      <w:proofErr w:type="gramEnd"/>
      <w:r>
        <w:rPr>
          <w:rFonts w:ascii="Arial" w:eastAsia="Arial" w:hAnsi="Arial" w:cs="Arial"/>
          <w:color w:val="000000"/>
          <w:sz w:val="20"/>
          <w:szCs w:val="20"/>
        </w:rPr>
        <w:t>,</w:t>
      </w:r>
      <w:proofErr w:type="spellStart"/>
      <w:r>
        <w:rPr>
          <w:rFonts w:ascii="Arial" w:eastAsia="Arial" w:hAnsi="Arial" w:cs="Arial"/>
          <w:color w:val="000000"/>
          <w:sz w:val="20"/>
          <w:szCs w:val="20"/>
        </w:rPr>
        <w:t>Rivers,M</w:t>
      </w:r>
      <w:proofErr w:type="spellEnd"/>
      <w:r>
        <w:rPr>
          <w:rFonts w:ascii="Arial" w:eastAsia="Arial" w:hAnsi="Arial" w:cs="Arial"/>
          <w:color w:val="000000"/>
          <w:sz w:val="20"/>
          <w:szCs w:val="20"/>
        </w:rPr>
        <w:t>.&amp; Coles, N.(2013). The impact of agricultural activities on water quality: A case for collaborative catchment-scale management using integrated wireless sensor networks. ELSEVIER,96, 126-138</w:t>
      </w:r>
    </w:p>
    <w:p w:rsidR="00DA2392" w:rsidRDefault="00DA2392">
      <w:pPr>
        <w:pBdr>
          <w:top w:val="nil"/>
          <w:left w:val="nil"/>
          <w:bottom w:val="nil"/>
          <w:right w:val="nil"/>
          <w:between w:val="nil"/>
        </w:pBdr>
        <w:spacing w:after="240" w:line="240" w:lineRule="auto"/>
        <w:jc w:val="both"/>
        <w:rPr>
          <w:rFonts w:ascii="Arial" w:eastAsia="Arial" w:hAnsi="Arial" w:cs="Arial"/>
          <w:sz w:val="20"/>
          <w:szCs w:val="20"/>
        </w:rPr>
      </w:pPr>
    </w:p>
    <w:p w:rsidR="00DA2392" w:rsidRDefault="00DA2392">
      <w:pPr>
        <w:pBdr>
          <w:top w:val="nil"/>
          <w:left w:val="nil"/>
          <w:bottom w:val="nil"/>
          <w:right w:val="nil"/>
          <w:between w:val="nil"/>
        </w:pBdr>
        <w:spacing w:after="240" w:line="240" w:lineRule="auto"/>
        <w:jc w:val="both"/>
        <w:rPr>
          <w:rFonts w:ascii="Arial" w:eastAsia="Arial" w:hAnsi="Arial" w:cs="Arial"/>
          <w:sz w:val="20"/>
          <w:szCs w:val="20"/>
        </w:rPr>
      </w:pPr>
    </w:p>
    <w:sectPr w:rsidR="00DA2392">
      <w:headerReference w:type="even" r:id="rId17"/>
      <w:headerReference w:type="default" r:id="rId18"/>
      <w:footerReference w:type="even" r:id="rId19"/>
      <w:footerReference w:type="default" r:id="rId20"/>
      <w:headerReference w:type="first" r:id="rId21"/>
      <w:pgSz w:w="12240" w:h="15840"/>
      <w:pgMar w:top="1440" w:right="2016" w:bottom="2016" w:left="2016"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D38" w:rsidRDefault="001E4D38">
      <w:pPr>
        <w:spacing w:after="0" w:line="240" w:lineRule="auto"/>
      </w:pPr>
      <w:r>
        <w:separator/>
      </w:r>
    </w:p>
  </w:endnote>
  <w:endnote w:type="continuationSeparator" w:id="0">
    <w:p w:rsidR="001E4D38" w:rsidRDefault="001E4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392" w:rsidRDefault="00DA2392">
    <w:pPr>
      <w:pBdr>
        <w:top w:val="nil"/>
        <w:left w:val="nil"/>
        <w:bottom w:val="nil"/>
        <w:right w:val="nil"/>
        <w:between w:val="nil"/>
      </w:pBdr>
      <w:tabs>
        <w:tab w:val="center" w:pos="4680"/>
        <w:tab w:val="right" w:pos="9360"/>
      </w:tabs>
      <w:spacing w:after="0" w:line="240" w:lineRule="auto"/>
      <w:jc w:val="both"/>
      <w:rPr>
        <w:rFonts w:ascii="Book Antiqua" w:eastAsia="Book Antiqua" w:hAnsi="Book Antiqua" w:cs="Book Antiqua"/>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392" w:rsidRDefault="00DA2392">
    <w:pPr>
      <w:pBdr>
        <w:top w:val="nil"/>
        <w:left w:val="nil"/>
        <w:bottom w:val="nil"/>
        <w:right w:val="nil"/>
        <w:between w:val="nil"/>
      </w:pBdr>
      <w:tabs>
        <w:tab w:val="center" w:pos="4680"/>
        <w:tab w:val="right" w:pos="9360"/>
      </w:tabs>
      <w:spacing w:after="0" w:line="240" w:lineRule="auto"/>
      <w:jc w:val="both"/>
      <w:rPr>
        <w:rFonts w:ascii="Book Antiqua" w:eastAsia="Book Antiqua" w:hAnsi="Book Antiqua" w:cs="Book Antiqua"/>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D38" w:rsidRDefault="001E4D38">
      <w:pPr>
        <w:spacing w:after="0" w:line="240" w:lineRule="auto"/>
      </w:pPr>
      <w:r>
        <w:separator/>
      </w:r>
    </w:p>
  </w:footnote>
  <w:footnote w:type="continuationSeparator" w:id="0">
    <w:p w:rsidR="001E4D38" w:rsidRDefault="001E4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392" w:rsidRDefault="00902B7D">
    <w:pPr>
      <w:pBdr>
        <w:top w:val="nil"/>
        <w:left w:val="nil"/>
        <w:bottom w:val="nil"/>
        <w:right w:val="nil"/>
        <w:between w:val="nil"/>
      </w:pBdr>
      <w:tabs>
        <w:tab w:val="center" w:pos="4680"/>
        <w:tab w:val="right" w:pos="9360"/>
      </w:tabs>
      <w:spacing w:after="0" w:line="240" w:lineRule="auto"/>
      <w:jc w:val="both"/>
      <w:rPr>
        <w:rFonts w:ascii="Book Antiqua" w:eastAsia="Book Antiqua" w:hAnsi="Book Antiqua" w:cs="Book Antiqua"/>
        <w:color w:val="000000"/>
        <w:sz w:val="20"/>
        <w:szCs w:val="20"/>
      </w:rPr>
    </w:pPr>
    <w:r>
      <w:rPr>
        <w:rFonts w:ascii="Book Antiqua" w:eastAsia="Book Antiqua" w:hAnsi="Book Antiqua" w:cs="Book Antiqua"/>
        <w:noProof/>
        <w:color w:val="000000"/>
        <w:sz w:val="20"/>
        <w:szCs w:val="20"/>
      </w:rPr>
      <mc:AlternateContent>
        <mc:Choice Requires="wps">
          <w:drawing>
            <wp:anchor distT="0" distB="0" distL="114300" distR="114300" simplePos="0" relativeHeight="251660288" behindDoc="1" locked="0" layoutInCell="1" hidden="0" allowOverlap="1">
              <wp:simplePos x="0" y="0"/>
              <wp:positionH relativeFrom="margin">
                <wp:align>center</wp:align>
              </wp:positionH>
              <wp:positionV relativeFrom="margin">
                <wp:align>center</wp:align>
              </wp:positionV>
              <wp:extent cx="5208998" cy="5208998"/>
              <wp:effectExtent l="0" t="0" r="0" b="0"/>
              <wp:wrapNone/>
              <wp:docPr id="1" name="Rectangle 1"/>
              <wp:cNvGraphicFramePr/>
              <a:graphic xmlns:a="http://schemas.openxmlformats.org/drawingml/2006/main">
                <a:graphicData uri="http://schemas.microsoft.com/office/word/2010/wordprocessingShape">
                  <wps:wsp>
                    <wps:cNvSpPr/>
                    <wps:spPr>
                      <a:xfrm rot="-2700000">
                        <a:off x="2252280" y="3199928"/>
                        <a:ext cx="6187440" cy="1160145"/>
                      </a:xfrm>
                      <a:prstGeom prst="rect">
                        <a:avLst/>
                      </a:prstGeom>
                    </wps:spPr>
                    <wps:txbx>
                      <w:txbxContent>
                        <w:p w:rsidR="00DA2392" w:rsidRDefault="00902B7D">
                          <w:pPr>
                            <w:spacing w:after="0" w:line="240" w:lineRule="auto"/>
                            <w:jc w:val="center"/>
                            <w:textDirection w:val="btLr"/>
                          </w:pPr>
                          <w:r>
                            <w:rPr>
                              <w:color w:val="C0C0C0"/>
                              <w:sz w:val="144"/>
                            </w:rPr>
                            <w:t>UNDER PEER REVIEW</w:t>
                          </w:r>
                        </w:p>
                      </w:txbxContent>
                    </wps:txbx>
                    <wps:bodyPr spcFirstLastPara="1" wrap="square" lIns="91425" tIns="91425" rIns="91425" bIns="91425" anchor="ctr" anchorCtr="0">
                      <a:noAutofit/>
                    </wps:bodyPr>
                  </wps:wsp>
                </a:graphicData>
              </a:graphic>
            </wp:anchor>
          </w:drawing>
        </mc:Choice>
        <mc:Fallback>
          <w:pict>
            <v:rect id="Rectangle 1" o:spid="_x0000_s1026" style="position:absolute;left:0;text-align:left;margin-left:0;margin-top:0;width:410.15pt;height:410.15pt;rotation:-45;z-index:-25165619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AfywEAAG8DAAAOAAAAZHJzL2Uyb0RvYy54bWysU12P0zAQfEfiP1h+vyYxba+Nmp4Qp0NI&#10;J6g4+AGuYzeW4g/WbpP+e9ZOOCp4Q+TB8saT8czsZvcwmp5cJATtbEOrRUmJtMK12p4a+v3b092G&#10;khC5bXnvrGzoVQb6sH/7Zjf4WjLXub6VQJDEhnrwDe1i9HVRBNFJw8PCeWnxUDkwPGIJp6IFPiC7&#10;6QtWluticNB6cEKGgG8fp0O6z/xKSRG/KBVkJH1DUVvMK+T1mNZiv+P1CbjvtJhl8H9QYbi2eOkr&#10;1SOPnJxB/0VltAAXnIoL4UzhlNJCZg/opir/cPPScS+zFwwn+NeYwv+jFZ8vByC6xd5RYrnBFn3F&#10;0Lg99ZJUKZ7BhxpRL/4AcxVwm7yOCgwBh5nesfsyPTkCNEXGhjK2YmyDmV8b+q7abrdsM6Utx0gE&#10;AtbV5n65RIBARFWty2q5SohiYk43eAjxo3SGpE1DAZXlK/jlOcQJ+guC3yWlk7a0i+NxnAUfXXtF&#10;l8GLJ41EzzzEAwfsM3oesPcNDT/OHCQl/SeL4W6rJVvhsNwWcFscbwtuRedwpEQESqbiQ8wjlixY&#10;9/4cndJZbtI1iZnlYlez4XkC09jc1hn1+z/Z/wQAAP//AwBQSwMEFAAGAAgAAAAhAD7uRmTYAAAA&#10;BQEAAA8AAABkcnMvZG93bnJldi54bWxMj09Lw0AQxe+C32EZwZud2ILUmE3x/1FJtfQ6zY5JcHc2&#10;ZLdp9NO7iqCX4Q1veO83xWpyVo08hM6LhvNZBoql9qaTRsPry8PZElSIJIasF9bwwQFW5fFRQbnx&#10;B6l4XMdGpRAJOWloY+xzxFC37CjMfM+SvDc/OIppHRo0Ax1SuLM4z7ILdNRJamip59uW6/f13mkY&#10;e6K7z+2j3dxXFT6ZBV7ePKPWpyfT9RWoyFP8O4Zv/IQOZWLa+b2YoKyG9Ej8mclbzrMFqN2vwLLA&#10;//TlFwAAAP//AwBQSwECLQAUAAYACAAAACEAtoM4kv4AAADhAQAAEwAAAAAAAAAAAAAAAAAAAAAA&#10;W0NvbnRlbnRfVHlwZXNdLnhtbFBLAQItABQABgAIAAAAIQA4/SH/1gAAAJQBAAALAAAAAAAAAAAA&#10;AAAAAC8BAABfcmVscy8ucmVsc1BLAQItABQABgAIAAAAIQD4r/AfywEAAG8DAAAOAAAAAAAAAAAA&#10;AAAAAC4CAABkcnMvZTJvRG9jLnhtbFBLAQItABQABgAIAAAAIQA+7kZk2AAAAAUBAAAPAAAAAAAA&#10;AAAAAAAAACUEAABkcnMvZG93bnJldi54bWxQSwUGAAAAAAQABADzAAAAKgUAAAAA&#10;" filled="f" stroked="f">
              <v:textbox inset="2.53958mm,2.53958mm,2.53958mm,2.53958mm">
                <w:txbxContent>
                  <w:p w:rsidR="00DA2392" w:rsidRDefault="00902B7D">
                    <w:pPr>
                      <w:spacing w:after="0" w:line="240" w:lineRule="auto"/>
                      <w:jc w:val="center"/>
                      <w:textDirection w:val="btLr"/>
                    </w:pPr>
                    <w:r>
                      <w:rPr>
                        <w:color w:val="C0C0C0"/>
                        <w:sz w:val="144"/>
                      </w:rPr>
                      <w:t>UNDER PEER REVIEW</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392" w:rsidRDefault="00902B7D">
    <w:pPr>
      <w:pBdr>
        <w:top w:val="nil"/>
        <w:left w:val="nil"/>
        <w:bottom w:val="nil"/>
        <w:right w:val="nil"/>
        <w:between w:val="nil"/>
      </w:pBdr>
      <w:tabs>
        <w:tab w:val="center" w:pos="4680"/>
        <w:tab w:val="right" w:pos="9360"/>
      </w:tabs>
      <w:spacing w:after="0" w:line="240" w:lineRule="auto"/>
      <w:jc w:val="both"/>
      <w:rPr>
        <w:rFonts w:ascii="Book Antiqua" w:eastAsia="Book Antiqua" w:hAnsi="Book Antiqua" w:cs="Book Antiqua"/>
        <w:color w:val="000000"/>
        <w:sz w:val="20"/>
        <w:szCs w:val="20"/>
      </w:rPr>
    </w:pPr>
    <w:r>
      <w:rPr>
        <w:rFonts w:ascii="Book Antiqua" w:eastAsia="Book Antiqua" w:hAnsi="Book Antiqua" w:cs="Book Antiqua"/>
        <w:noProof/>
        <w:color w:val="000000"/>
        <w:sz w:val="20"/>
        <w:szCs w:val="20"/>
      </w:rPr>
      <mc:AlternateContent>
        <mc:Choice Requires="wps">
          <w:drawing>
            <wp:anchor distT="0" distB="0" distL="114300" distR="114300" simplePos="0" relativeHeight="251658240" behindDoc="1" locked="0" layoutInCell="1" hidden="0" allowOverlap="1">
              <wp:simplePos x="0" y="0"/>
              <wp:positionH relativeFrom="margin">
                <wp:align>center</wp:align>
              </wp:positionH>
              <wp:positionV relativeFrom="margin">
                <wp:align>center</wp:align>
              </wp:positionV>
              <wp:extent cx="5208998" cy="5208998"/>
              <wp:effectExtent l="0" t="0" r="0" b="0"/>
              <wp:wrapNone/>
              <wp:docPr id="3" name="Rectangle 3"/>
              <wp:cNvGraphicFramePr/>
              <a:graphic xmlns:a="http://schemas.openxmlformats.org/drawingml/2006/main">
                <a:graphicData uri="http://schemas.microsoft.com/office/word/2010/wordprocessingShape">
                  <wps:wsp>
                    <wps:cNvSpPr/>
                    <wps:spPr>
                      <a:xfrm rot="-2700000">
                        <a:off x="2252280" y="3199928"/>
                        <a:ext cx="6187440" cy="1160145"/>
                      </a:xfrm>
                      <a:prstGeom prst="rect">
                        <a:avLst/>
                      </a:prstGeom>
                    </wps:spPr>
                    <wps:txbx>
                      <w:txbxContent>
                        <w:p w:rsidR="00DA2392" w:rsidRDefault="00902B7D">
                          <w:pPr>
                            <w:spacing w:after="0" w:line="240" w:lineRule="auto"/>
                            <w:jc w:val="center"/>
                            <w:textDirection w:val="btLr"/>
                          </w:pPr>
                          <w:r>
                            <w:rPr>
                              <w:color w:val="C0C0C0"/>
                              <w:sz w:val="144"/>
                            </w:rPr>
                            <w:t>UNDER PEER REVIEW</w:t>
                          </w:r>
                        </w:p>
                      </w:txbxContent>
                    </wps:txbx>
                    <wps:bodyPr spcFirstLastPara="1" wrap="square" lIns="91425" tIns="91425" rIns="91425" bIns="91425" anchor="ctr" anchorCtr="0">
                      <a:noAutofit/>
                    </wps:bodyPr>
                  </wps:wsp>
                </a:graphicData>
              </a:graphic>
            </wp:anchor>
          </w:drawing>
        </mc:Choice>
        <mc:Fallback>
          <w:pict>
            <v:rect id="Rectangle 3" o:spid="_x0000_s1027" style="position:absolute;left:0;text-align:left;margin-left:0;margin-top:0;width:410.15pt;height:410.15pt;rotation:-45;z-index:-2516582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6EzwEAAHYDAAAOAAAAZHJzL2Uyb0RvYy54bWysU8tu2zAQvBfoPxC8xxIV27EFy0HRIEWB&#10;oDWa9gNoirQIiI8uaUv++y4pJzWSW1EdCK44mp0Zrjb3o+nJSULQzjaUzUpKpBWu1fbQ0F8/H29W&#10;lITIbct7Z2VDzzLQ++3HD5vB17JynetbCQRJbKgH39AuRl8XRRCdNDzMnJcWD5UDwyOWcCha4AOy&#10;m76oynJZDA5aD07IEPDtw3RIt5lfKSnid6WCjKRvKGqLeYW87tNabDe8PgD3nRYXGfwfVBiuLTZ9&#10;pXrgkZMj6HdURgtwwak4E84UTiktZPaAblj5xs1zx73MXjCc4F9jCv+PVnw77YDotqG3lFhu8Ip+&#10;YGjcHnpJblM8gw81op79Di5VwG3yOiowBBxmelPdlenJEaApMja0qhZVtcLMz8jN1ut1tZrSlmMk&#10;AgFLtrqbzxEgEMHYsmTzRUIUE3Pq4CHEL9IZkjYNBVSWW/DTU4gT9AWC3yWlk7a0i+N+zMbYi4u9&#10;a89oNnjxqJHviYe444DXzSgZcAQaGn4fOUhK+q8WM16zebXAmbku4LrYXxfcis7hZIkIlEzF55gn&#10;LTmx7tMxOqWz6iRvEnNRjZebfV8GMU3PdZ1Rf3+X7R8AAAD//wMAUEsDBBQABgAIAAAAIQA+7kZk&#10;2AAAAAUBAAAPAAAAZHJzL2Rvd25yZXYueG1sTI9PS8NAEMXvgt9hGcGbndiC1JhN8f9RSbX0Os2O&#10;SXB3NmS3afTTu4qgl+ENb3jvN8VqclaNPITOi4bzWQaKpfamk0bD68vD2RJUiCSGrBfW8MEBVuXx&#10;UUG58QepeFzHRqUQCTlpaGPsc8RQt+wozHzPkrw3PziKaR0aNAMdUrizOM+yC3TUSWpoqefbluv3&#10;9d5pGHuiu8/to93cVxU+mQVe3jyj1qcn0/UVqMhT/DuGb/yEDmVi2vm9mKCshvRI/JnJW86zBajd&#10;r8CywP/05RcAAAD//wMAUEsBAi0AFAAGAAgAAAAhALaDOJL+AAAA4QEAABMAAAAAAAAAAAAAAAAA&#10;AAAAAFtDb250ZW50X1R5cGVzXS54bWxQSwECLQAUAAYACAAAACEAOP0h/9YAAACUAQAACwAAAAAA&#10;AAAAAAAAAAAvAQAAX3JlbHMvLnJlbHNQSwECLQAUAAYACAAAACEAiLiuhM8BAAB2AwAADgAAAAAA&#10;AAAAAAAAAAAuAgAAZHJzL2Uyb0RvYy54bWxQSwECLQAUAAYACAAAACEAPu5GZNgAAAAFAQAADwAA&#10;AAAAAAAAAAAAAAApBAAAZHJzL2Rvd25yZXYueG1sUEsFBgAAAAAEAAQA8wAAAC4FAAAAAA==&#10;" filled="f" stroked="f">
              <v:textbox inset="2.53958mm,2.53958mm,2.53958mm,2.53958mm">
                <w:txbxContent>
                  <w:p w:rsidR="00DA2392" w:rsidRDefault="00902B7D">
                    <w:pPr>
                      <w:spacing w:after="0" w:line="240" w:lineRule="auto"/>
                      <w:jc w:val="center"/>
                      <w:textDirection w:val="btLr"/>
                    </w:pPr>
                    <w:r>
                      <w:rPr>
                        <w:color w:val="C0C0C0"/>
                        <w:sz w:val="144"/>
                      </w:rPr>
                      <w:t>UNDER PEER REVIEW</w:t>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392" w:rsidRDefault="00902B7D">
    <w:pPr>
      <w:pBdr>
        <w:top w:val="nil"/>
        <w:left w:val="nil"/>
        <w:bottom w:val="nil"/>
        <w:right w:val="nil"/>
        <w:between w:val="nil"/>
      </w:pBdr>
      <w:tabs>
        <w:tab w:val="center" w:pos="4680"/>
        <w:tab w:val="right" w:pos="9360"/>
      </w:tabs>
      <w:spacing w:after="0" w:line="240" w:lineRule="auto"/>
      <w:jc w:val="both"/>
      <w:rPr>
        <w:rFonts w:ascii="Book Antiqua" w:eastAsia="Book Antiqua" w:hAnsi="Book Antiqua" w:cs="Book Antiqua"/>
        <w:color w:val="000000"/>
        <w:sz w:val="20"/>
        <w:szCs w:val="20"/>
      </w:rPr>
    </w:pPr>
    <w:r>
      <w:rPr>
        <w:rFonts w:ascii="Book Antiqua" w:eastAsia="Book Antiqua" w:hAnsi="Book Antiqua" w:cs="Book Antiqua"/>
        <w:noProof/>
        <w:color w:val="000000"/>
        <w:sz w:val="20"/>
        <w:szCs w:val="20"/>
      </w:rPr>
      <mc:AlternateContent>
        <mc:Choice Requires="wps">
          <w:drawing>
            <wp:anchor distT="0" distB="0" distL="114300" distR="114300" simplePos="0" relativeHeight="251659264" behindDoc="1" locked="0" layoutInCell="1" hidden="0" allowOverlap="1">
              <wp:simplePos x="0" y="0"/>
              <wp:positionH relativeFrom="margin">
                <wp:align>center</wp:align>
              </wp:positionH>
              <wp:positionV relativeFrom="margin">
                <wp:align>center</wp:align>
              </wp:positionV>
              <wp:extent cx="5208998" cy="5208998"/>
              <wp:effectExtent l="0" t="0" r="0" b="0"/>
              <wp:wrapNone/>
              <wp:docPr id="2" name="Rectangle 2"/>
              <wp:cNvGraphicFramePr/>
              <a:graphic xmlns:a="http://schemas.openxmlformats.org/drawingml/2006/main">
                <a:graphicData uri="http://schemas.microsoft.com/office/word/2010/wordprocessingShape">
                  <wps:wsp>
                    <wps:cNvSpPr/>
                    <wps:spPr>
                      <a:xfrm rot="-2700000">
                        <a:off x="2252280" y="3199928"/>
                        <a:ext cx="6187440" cy="1160145"/>
                      </a:xfrm>
                      <a:prstGeom prst="rect">
                        <a:avLst/>
                      </a:prstGeom>
                    </wps:spPr>
                    <wps:txbx>
                      <w:txbxContent>
                        <w:p w:rsidR="00DA2392" w:rsidRDefault="00902B7D">
                          <w:pPr>
                            <w:spacing w:after="0" w:line="240" w:lineRule="auto"/>
                            <w:jc w:val="center"/>
                            <w:textDirection w:val="btLr"/>
                          </w:pPr>
                          <w:r>
                            <w:rPr>
                              <w:color w:val="C0C0C0"/>
                              <w:sz w:val="144"/>
                            </w:rPr>
                            <w:t>UNDER PEER REVIEW</w:t>
                          </w:r>
                        </w:p>
                      </w:txbxContent>
                    </wps:txbx>
                    <wps:bodyPr spcFirstLastPara="1" wrap="square" lIns="91425" tIns="91425" rIns="91425" bIns="91425" anchor="ctr" anchorCtr="0">
                      <a:noAutofit/>
                    </wps:bodyPr>
                  </wps:wsp>
                </a:graphicData>
              </a:graphic>
            </wp:anchor>
          </w:drawing>
        </mc:Choice>
        <mc:Fallback>
          <w:pict>
            <v:rect id="Rectangle 2" o:spid="_x0000_s1028" style="position:absolute;left:0;text-align:left;margin-left:0;margin-top:0;width:410.15pt;height:410.15pt;rotation:-45;z-index:-251657216;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5zQEAAHYDAAAOAAAAZHJzL2Uyb0RvYy54bWysU12P0zAQfEfiP1h+vyYxba+Nmp4Qp0NI&#10;J6g4+AGuYzeW4g/WbpP+e9ZOOCp4Q+TB8saT2ZnxZvcwmp5cJATtbEOrRUmJtMK12p4a+v3b092G&#10;khC5bXnvrGzoVQb6sH/7Zjf4WjLXub6VQJDEhnrwDe1i9HVRBNFJw8PCeWnxUDkwPGIJp6IFPiC7&#10;6QtWluticNB6cEKGgG8fp0O6z/xKSRG/KBVkJH1DUVvMK+T1mNZiv+P1CbjvtJhl8H9QYbi22PSV&#10;6pFHTs6g/6IyWoALTsWFcKZwSmkhswd0U5V/uHnpuJfZC4YT/GtM4f/Ris+XAxDdNpRRYrnBK/qK&#10;oXF76iVhKZ7BhxpRL/4AcxVwm7yOCgwBh5nesfsyPTkCNEVG5GMrxjaY+bWh76rtdss2U9pyjEQg&#10;YF1t7pdLBAhEVNW6rJarhCgm5tTBQ4gfpTMkbRoKqCy34JfnECfoLwh+l5RO2tIujsdxNjbrPrr2&#10;imaDF08a+Z55iAcOeN0VJQOOQEPDjzMHSUn/yWLG22rJVjgztwXcFsfbglvROZwsEYGSqfgQ86Ql&#10;J9a9P0endFad5E1iZtV4udn3PIhpem7rjPr9u+x/AgAA//8DAFBLAwQUAAYACAAAACEAPu5GZNgA&#10;AAAFAQAADwAAAGRycy9kb3ducmV2LnhtbEyPT0vDQBDF74LfYRnBm53YgtSYTfH/UUm19DrNjklw&#10;dzZkt2n007uKoJfhDW947zfFanJWjTyEzouG81kGiqX2ppNGw+vLw9kSVIgkhqwX1vDBAVbl8VFB&#10;ufEHqXhcx0alEAk5aWhj7HPEULfsKMx8z5K8Nz84imkdGjQDHVK4szjPsgt01ElqaKnn25br9/Xe&#10;aRh7orvP7aPd3FcVPpkFXt48o9anJ9P1FajIU/w7hm/8hA5lYtr5vZigrIb0SPyZyVvOswWo3a/A&#10;ssD/9OUXAAAA//8DAFBLAQItABQABgAIAAAAIQC2gziS/gAAAOEBAAATAAAAAAAAAAAAAAAAAAAA&#10;AABbQ29udGVudF9UeXBlc10ueG1sUEsBAi0AFAAGAAgAAAAhADj9If/WAAAAlAEAAAsAAAAAAAAA&#10;AAAAAAAALwEAAF9yZWxzLy5yZWxzUEsBAi0AFAAGAAgAAAAhAD9DMPnNAQAAdgMAAA4AAAAAAAAA&#10;AAAAAAAALgIAAGRycy9lMm9Eb2MueG1sUEsBAi0AFAAGAAgAAAAhAD7uRmTYAAAABQEAAA8AAAAA&#10;AAAAAAAAAAAAJwQAAGRycy9kb3ducmV2LnhtbFBLBQYAAAAABAAEAPMAAAAsBQAAAAA=&#10;" filled="f" stroked="f">
              <v:textbox inset="2.53958mm,2.53958mm,2.53958mm,2.53958mm">
                <w:txbxContent>
                  <w:p w:rsidR="00DA2392" w:rsidRDefault="00902B7D">
                    <w:pPr>
                      <w:spacing w:after="0" w:line="240" w:lineRule="auto"/>
                      <w:jc w:val="center"/>
                      <w:textDirection w:val="btLr"/>
                    </w:pPr>
                    <w:r>
                      <w:rPr>
                        <w:color w:val="C0C0C0"/>
                        <w:sz w:val="144"/>
                      </w:rPr>
                      <w:t>UNDER PEER REVIEW</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E6928"/>
    <w:multiLevelType w:val="multilevel"/>
    <w:tmpl w:val="DC041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2FB5693B"/>
    <w:multiLevelType w:val="multilevel"/>
    <w:tmpl w:val="B9CE8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392"/>
    <w:rsid w:val="001E4D38"/>
    <w:rsid w:val="004B47C9"/>
    <w:rsid w:val="008A363C"/>
    <w:rsid w:val="00902B7D"/>
    <w:rsid w:val="00955B4D"/>
    <w:rsid w:val="00C5403E"/>
    <w:rsid w:val="00DA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5A2D2"/>
  <w15:docId w15:val="{9AB6F225-91BF-4DB3-B0C3-DD0EC032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line="480" w:lineRule="auto"/>
      <w:jc w:val="both"/>
      <w:outlineLvl w:val="0"/>
    </w:pPr>
    <w:rPr>
      <w:color w:val="2E74B5"/>
      <w:sz w:val="32"/>
      <w:szCs w:val="32"/>
    </w:rPr>
  </w:style>
  <w:style w:type="paragraph" w:styleId="Heading2">
    <w:name w:val="heading 2"/>
    <w:basedOn w:val="Normal"/>
    <w:next w:val="Normal"/>
    <w:uiPriority w:val="9"/>
    <w:semiHidden/>
    <w:unhideWhenUsed/>
    <w:qFormat/>
    <w:pPr>
      <w:keepNext/>
      <w:keepLines/>
      <w:spacing w:after="0" w:line="480" w:lineRule="auto"/>
      <w:jc w:val="both"/>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before="40" w:after="0"/>
      <w:outlineLvl w:val="2"/>
    </w:pPr>
    <w:rPr>
      <w:rFonts w:ascii="Cambria" w:eastAsia="Cambria" w:hAnsi="Cambria" w:cs="Cambria"/>
      <w:color w:val="243F6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dx.doi.org/10.31578/jebs.v9i1.298" TargetMode="External"/><Relationship Id="rId13" Type="http://schemas.openxmlformats.org/officeDocument/2006/relationships/hyperlink" Target="https://www.dlsu.edu.ph/wp-content/uploads/2021/08/DLSUBER.2021.July_.4jabar.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doi.org/10.1007/s10804-016-9227-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urban.org/sites/default/files/publication/22456/413077-DoFinancial-Knowledge-Behavior-and-Well-Being-Differ-by-Gender-.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nra.org/events-training/conferences-events/2023-finra-annual-conference-agenda" TargetMode="External"/><Relationship Id="rId5" Type="http://schemas.openxmlformats.org/officeDocument/2006/relationships/footnotes" Target="footnotes.xml"/><Relationship Id="rId15" Type="http://schemas.openxmlformats.org/officeDocument/2006/relationships/hyperlink" Target="https://doi.org/10.1371/journal.pone.0259393" TargetMode="External"/><Relationship Id="rId23" Type="http://schemas.openxmlformats.org/officeDocument/2006/relationships/theme" Target="theme/theme1.xml"/><Relationship Id="rId10" Type="http://schemas.openxmlformats.org/officeDocument/2006/relationships/hyperlink" Target="https://doi.org/10.1007/s10834-018-9589-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igitalcommons.wku.edu/cgi/viewcontent.cgi?article=1139&amp;context=diss" TargetMode="External"/><Relationship Id="rId14" Type="http://schemas.openxmlformats.org/officeDocument/2006/relationships/hyperlink" Target="https://doi.org/10.9734/ajaees/2025/v43i2268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6844</Words>
  <Characters>39014</Characters>
  <Application>Microsoft Office Word</Application>
  <DocSecurity>0</DocSecurity>
  <Lines>325</Lines>
  <Paragraphs>91</Paragraphs>
  <ScaleCrop>false</ScaleCrop>
  <Company/>
  <LinksUpToDate>false</LinksUpToDate>
  <CharactersWithSpaces>45767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1183</cp:lastModifiedBy>
  <cp:revision>4</cp:revision>
  <dcterms:created xsi:type="dcterms:W3CDTF">2025-07-28T09:25:00Z</dcterms:created>
  <dcterms:modified xsi:type="dcterms:W3CDTF">2025-07-29T12:18:00Z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140d8d29-fe1a-48c8-a8da-ebc54a81f4ee</vt:lpwstr>
  </property>
  <property fmtid="{D5CDD505-2E9C-101B-9397-08002B2CF9AE}" pid="3" name="ICV">
    <vt:lpwstr>5D6BA6A869594B53A682E4E7A2090871_13</vt:lpwstr>
  </property>
  <property fmtid="{D5CDD505-2E9C-101B-9397-08002B2CF9AE}" pid="4" name="KSOProductBuildVer">
    <vt:lpwstr>1033-12.2.0.21931</vt:lpwstr>
  </property>
</Properties>
</file>