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5DBDD" w14:textId="20963F7D" w:rsidR="003A5728" w:rsidRDefault="003A5728" w:rsidP="003A5728">
      <w:pPr>
        <w:spacing w:after="0"/>
        <w:jc w:val="right"/>
        <w:rPr>
          <w:rFonts w:ascii="Arial" w:hAnsi="Arial" w:cs="Arial"/>
          <w:b/>
          <w:sz w:val="36"/>
          <w:szCs w:val="36"/>
        </w:rPr>
      </w:pPr>
      <w:r>
        <w:rPr>
          <w:rFonts w:ascii="Arial" w:hAnsi="Arial" w:cs="Arial"/>
          <w:b/>
          <w:sz w:val="36"/>
          <w:szCs w:val="36"/>
        </w:rPr>
        <w:t xml:space="preserve">Credit and Collection Practices on Loan Repayment among Home Appliance Dealers in </w:t>
      </w:r>
      <w:proofErr w:type="spellStart"/>
      <w:r>
        <w:rPr>
          <w:rFonts w:ascii="Arial" w:hAnsi="Arial" w:cs="Arial"/>
          <w:b/>
          <w:sz w:val="36"/>
          <w:szCs w:val="36"/>
        </w:rPr>
        <w:t>Cat</w:t>
      </w:r>
      <w:bookmarkStart w:id="0" w:name="_GoBack"/>
      <w:bookmarkEnd w:id="0"/>
      <w:r>
        <w:rPr>
          <w:rFonts w:ascii="Arial" w:hAnsi="Arial" w:cs="Arial"/>
          <w:b/>
          <w:sz w:val="36"/>
          <w:szCs w:val="36"/>
        </w:rPr>
        <w:t>eel</w:t>
      </w:r>
      <w:proofErr w:type="spellEnd"/>
      <w:r w:rsidR="009054DE">
        <w:rPr>
          <w:rFonts w:ascii="Arial" w:hAnsi="Arial" w:cs="Arial"/>
          <w:b/>
          <w:sz w:val="36"/>
          <w:szCs w:val="36"/>
        </w:rPr>
        <w:t>:</w:t>
      </w:r>
      <w:r>
        <w:rPr>
          <w:rFonts w:ascii="Arial" w:hAnsi="Arial" w:cs="Arial"/>
          <w:b/>
          <w:sz w:val="36"/>
          <w:szCs w:val="36"/>
        </w:rPr>
        <w:t xml:space="preserve"> A Correlational Study</w:t>
      </w:r>
    </w:p>
    <w:p w14:paraId="279448BC" w14:textId="77777777" w:rsidR="00804B23" w:rsidRDefault="00804B23" w:rsidP="008E389C">
      <w:pPr>
        <w:spacing w:after="0"/>
        <w:ind w:left="1440"/>
        <w:jc w:val="right"/>
        <w:rPr>
          <w:rFonts w:ascii="Arial" w:hAnsi="Arial" w:cs="Arial"/>
          <w:b/>
          <w:sz w:val="36"/>
          <w:szCs w:val="36"/>
        </w:rPr>
      </w:pPr>
    </w:p>
    <w:p w14:paraId="6BFFC8C9" w14:textId="77777777" w:rsidR="003D5167" w:rsidRDefault="00E705CD" w:rsidP="003D5167">
      <w:pPr>
        <w:spacing w:after="0"/>
        <w:rPr>
          <w:rFonts w:ascii="Arial" w:eastAsia="Arial" w:hAnsi="Arial" w:cs="Arial"/>
          <w:b/>
          <w:smallCaps/>
          <w:color w:val="000000"/>
          <w:lang w:val="en-US" w:eastAsia="en-PH"/>
        </w:rPr>
      </w:pPr>
      <w:r w:rsidRPr="00FA3ACF">
        <w:rPr>
          <w:rFonts w:ascii="Arial" w:eastAsia="Arial" w:hAnsi="Arial" w:cs="Arial"/>
          <w:noProof/>
          <w:color w:val="000000"/>
          <w:sz w:val="16"/>
          <w:szCs w:val="16"/>
          <w:lang w:eastAsia="en-PH"/>
        </w:rPr>
        <mc:AlternateContent>
          <mc:Choice Requires="wps">
            <w:drawing>
              <wp:anchor distT="0" distB="0" distL="114300" distR="114300" simplePos="0" relativeHeight="251658240" behindDoc="0" locked="0" layoutInCell="1" allowOverlap="1" wp14:anchorId="71C37906" wp14:editId="7306C5A6">
                <wp:simplePos x="0" y="0"/>
                <wp:positionH relativeFrom="column">
                  <wp:posOffset>19685</wp:posOffset>
                </wp:positionH>
                <wp:positionV relativeFrom="paragraph">
                  <wp:posOffset>191770</wp:posOffset>
                </wp:positionV>
                <wp:extent cx="5212080" cy="18415"/>
                <wp:effectExtent l="0" t="0" r="26670" b="19685"/>
                <wp:wrapTopAndBottom/>
                <wp:docPr id="2" name="Straight Arrow Connector 2"/>
                <wp:cNvGraphicFramePr/>
                <a:graphic xmlns:a="http://schemas.openxmlformats.org/drawingml/2006/main">
                  <a:graphicData uri="http://schemas.microsoft.com/office/word/2010/wordprocessingShape">
                    <wps:wsp>
                      <wps:cNvCnPr/>
                      <wps:spPr>
                        <a:xfrm>
                          <a:off x="0" y="0"/>
                          <a:ext cx="5212080" cy="18415"/>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shapetype w14:anchorId="341A75BF" id="_x0000_t32" coordsize="21600,21600" o:spt="32" o:oned="t" path="m,l21600,21600e" filled="f">
                <v:path arrowok="t" fillok="f" o:connecttype="none"/>
                <o:lock v:ext="edit" shapetype="t"/>
              </v:shapetype>
              <v:shape id="Straight Arrow Connector 2" o:spid="_x0000_s1026" type="#_x0000_t32" style="position:absolute;margin-left:1.55pt;margin-top:15.1pt;width:410.4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" strokeweight="1.5pt">
                <w10:wrap type="topAndBottom"/>
              </v:shape>
            </w:pict>
          </mc:Fallback>
        </mc:AlternateContent>
      </w:r>
      <w:r w:rsidR="003D5167" w:rsidRPr="003D5167">
        <w:rPr>
          <w:rFonts w:ascii="Arial" w:eastAsia="Arial" w:hAnsi="Arial" w:cs="Arial"/>
          <w:b/>
          <w:smallCaps/>
          <w:color w:val="000000"/>
          <w:lang w:val="en-US" w:eastAsia="en-PH"/>
        </w:rPr>
        <w:t xml:space="preserve"> </w:t>
      </w:r>
    </w:p>
    <w:p w14:paraId="4EC6C041" w14:textId="77777777" w:rsidR="003D5167" w:rsidRDefault="003D5167" w:rsidP="003D5167">
      <w:pPr>
        <w:spacing w:after="0"/>
        <w:rPr>
          <w:rFonts w:ascii="Arial" w:eastAsia="Arial" w:hAnsi="Arial" w:cs="Arial"/>
          <w:b/>
          <w:smallCaps/>
          <w:color w:val="000000"/>
          <w:lang w:val="en-US" w:eastAsia="en-PH"/>
        </w:rPr>
      </w:pPr>
    </w:p>
    <w:p w14:paraId="39CA538F" w14:textId="77777777" w:rsidR="00FA3ACF" w:rsidRDefault="003D5167" w:rsidP="003D5167">
      <w:pPr>
        <w:spacing w:after="0"/>
        <w:rPr>
          <w:rFonts w:ascii="Arial" w:eastAsia="Arial" w:hAnsi="Arial" w:cs="Arial"/>
          <w:noProof/>
          <w:color w:val="000000"/>
          <w:sz w:val="16"/>
          <w:szCs w:val="16"/>
          <w:lang w:eastAsia="en-PH"/>
        </w:rPr>
      </w:pPr>
      <w:r w:rsidRPr="003D5167">
        <w:rPr>
          <w:rFonts w:ascii="Arial" w:eastAsia="Arial" w:hAnsi="Arial" w:cs="Arial"/>
          <w:b/>
          <w:smallCaps/>
          <w:color w:val="000000"/>
          <w:lang w:val="en-US" w:eastAsia="en-PH"/>
        </w:rPr>
        <w:t>ABSTRACT</w:t>
      </w:r>
      <w:r w:rsidRPr="00FA3ACF">
        <w:rPr>
          <w:rFonts w:ascii="Arial" w:eastAsia="Arial" w:hAnsi="Arial" w:cs="Arial"/>
          <w:noProof/>
          <w:color w:val="000000"/>
          <w:sz w:val="16"/>
          <w:szCs w:val="16"/>
          <w:lang w:eastAsia="en-PH"/>
        </w:rPr>
        <w:t xml:space="preserve"> </w:t>
      </w:r>
    </w:p>
    <w:p w14:paraId="21F4558A" w14:textId="77777777" w:rsidR="00597F5E" w:rsidRDefault="00597F5E" w:rsidP="003D5167">
      <w:pPr>
        <w:spacing w:after="0"/>
        <w:rPr>
          <w:rFonts w:ascii="Arial" w:eastAsia="Arial" w:hAnsi="Arial" w:cs="Arial"/>
          <w:noProof/>
          <w:color w:val="000000"/>
          <w:sz w:val="16"/>
          <w:szCs w:val="16"/>
          <w:lang w:eastAsia="en-PH"/>
        </w:rPr>
      </w:pPr>
    </w:p>
    <w:tbl>
      <w:tblPr>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3D5167" w14:paraId="648F4652" w14:textId="77777777" w:rsidTr="007C2C1D">
        <w:tc>
          <w:tcPr>
            <w:tcW w:w="8198" w:type="dxa"/>
            <w:shd w:val="clear" w:color="auto" w:fill="F2F2F2"/>
          </w:tcPr>
          <w:p w14:paraId="358258A3" w14:textId="0760E3CB" w:rsidR="003D5167" w:rsidRPr="00883684" w:rsidRDefault="003A5728" w:rsidP="002507A8">
            <w:pPr>
              <w:spacing w:after="0"/>
              <w:jc w:val="both"/>
              <w:rPr>
                <w:rFonts w:ascii="Arial" w:eastAsia="Arial" w:hAnsi="Arial" w:cs="Arial"/>
                <w:sz w:val="20"/>
              </w:rPr>
            </w:pPr>
            <w:r w:rsidRPr="008C493D">
              <w:rPr>
                <w:rFonts w:ascii="Arial" w:hAnsi="Arial" w:cs="Arial"/>
                <w:color w:val="000000" w:themeColor="text1"/>
                <w:sz w:val="20"/>
                <w:szCs w:val="20"/>
              </w:rPr>
              <w:t xml:space="preserve">This study examined the impact of credit and collection practices on loan repayment behaviors among home appliance dealers in </w:t>
            </w:r>
            <w:proofErr w:type="spellStart"/>
            <w:r w:rsidRPr="008C493D">
              <w:rPr>
                <w:rFonts w:ascii="Arial" w:hAnsi="Arial" w:cs="Arial"/>
                <w:color w:val="000000" w:themeColor="text1"/>
                <w:sz w:val="20"/>
                <w:szCs w:val="20"/>
              </w:rPr>
              <w:t>Cateel</w:t>
            </w:r>
            <w:proofErr w:type="spellEnd"/>
            <w:r w:rsidRPr="008C493D">
              <w:rPr>
                <w:rFonts w:ascii="Arial" w:hAnsi="Arial" w:cs="Arial"/>
                <w:color w:val="000000" w:themeColor="text1"/>
                <w:sz w:val="20"/>
                <w:szCs w:val="20"/>
              </w:rPr>
              <w:t>, Davao Oriental, addressing the financial challenges these dealers faced due to customer defaults. Anchored on Credit Risk Theory, it explored how effective credit and collection strategies could mitigate risks and enhance repayment outcomes in a region marked by economic and environmental vulnerabilities. A quantitative descriptive correlational design was employed, involving 150 debtors from home appliance dealerships, selected through purposive quota sampling. Data were collected via a survey questionnaire that assessed credit practices (character, capacity, cash flow, collateral, condition, control), collection practices (documentation, manpower, procedures), and loan repayment factors (information, financial literacy, generation/reinvestment, social influence, perceived risk/value, self-control). Findings revealed that credit practices (</w:t>
            </w:r>
            <w:r w:rsidRPr="008C493D">
              <w:rPr>
                <w:rFonts w:ascii="Arial" w:hAnsi="Arial" w:cs="Arial"/>
                <w:sz w:val="20"/>
                <w:szCs w:val="20"/>
                <w:shd w:val="clear" w:color="auto" w:fill="FFFFFF"/>
              </w:rPr>
              <w:t>x̄</w:t>
            </w:r>
            <w:r w:rsidRPr="008C493D">
              <w:rPr>
                <w:rFonts w:ascii="Arial" w:hAnsi="Arial" w:cs="Arial"/>
                <w:color w:val="000000" w:themeColor="text1"/>
                <w:sz w:val="20"/>
                <w:szCs w:val="20"/>
              </w:rPr>
              <w:t xml:space="preserve"> = 3.89, s = 0.37) and collection practices (</w:t>
            </w:r>
            <w:r w:rsidRPr="008C493D">
              <w:rPr>
                <w:rFonts w:ascii="Arial" w:hAnsi="Arial" w:cs="Arial"/>
                <w:sz w:val="20"/>
                <w:szCs w:val="20"/>
                <w:shd w:val="clear" w:color="auto" w:fill="FFFFFF"/>
              </w:rPr>
              <w:t>x̄</w:t>
            </w:r>
            <w:r w:rsidRPr="008C493D">
              <w:rPr>
                <w:rFonts w:ascii="Arial" w:hAnsi="Arial" w:cs="Arial"/>
                <w:color w:val="4D5156"/>
                <w:sz w:val="20"/>
                <w:szCs w:val="20"/>
                <w:shd w:val="clear" w:color="auto" w:fill="FFFFFF"/>
              </w:rPr>
              <w:t xml:space="preserve"> </w:t>
            </w:r>
            <w:r w:rsidRPr="008C493D">
              <w:rPr>
                <w:rFonts w:ascii="Arial" w:hAnsi="Arial" w:cs="Arial"/>
                <w:color w:val="000000" w:themeColor="text1"/>
                <w:sz w:val="20"/>
                <w:szCs w:val="20"/>
              </w:rPr>
              <w:t>= 4.41, s = 0.51) were generally robust, although inconsistencies existed in collateral and cash flow assessments. Loan repayment behaviors were strong (</w:t>
            </w:r>
            <w:r w:rsidRPr="008C493D">
              <w:rPr>
                <w:rFonts w:ascii="Arial" w:hAnsi="Arial" w:cs="Arial"/>
                <w:sz w:val="20"/>
                <w:szCs w:val="20"/>
                <w:shd w:val="clear" w:color="auto" w:fill="FFFFFF"/>
              </w:rPr>
              <w:t>x̄</w:t>
            </w:r>
            <w:r w:rsidRPr="008C493D">
              <w:rPr>
                <w:rFonts w:ascii="Arial" w:hAnsi="Arial" w:cs="Arial"/>
                <w:color w:val="4D5156"/>
                <w:sz w:val="20"/>
                <w:szCs w:val="20"/>
                <w:shd w:val="clear" w:color="auto" w:fill="FFFFFF"/>
              </w:rPr>
              <w:t xml:space="preserve"> </w:t>
            </w:r>
            <w:r w:rsidRPr="008C493D">
              <w:rPr>
                <w:rFonts w:ascii="Arial" w:hAnsi="Arial" w:cs="Arial"/>
                <w:color w:val="000000" w:themeColor="text1"/>
                <w:sz w:val="20"/>
                <w:szCs w:val="20"/>
              </w:rPr>
              <w:t>= 4.10, s = 0.85), with social influence being the weakest factor among them. Regression analysis revealed that credit practices (β = 0.439, p &lt; 0.000) and collection practices (β = 0.437, p &lt; 0.000) significantly predicted repayment, accounting for 37.5% of the variance, with credit practices being slightly more influential. The study concluded that while credit and collection practices significantly enhanced loan repayment, addressing weaker areas, such as collateral evaluation and peer-related social influence, could further improve outcomes. Recommendations included stricter collateral policies, formal communication in collections, and community support programs to bolster repayment consistency</w:t>
            </w:r>
          </w:p>
        </w:tc>
      </w:tr>
    </w:tbl>
    <w:p w14:paraId="6C9F8387" w14:textId="592CA716" w:rsidR="003A5728" w:rsidRPr="003A5728" w:rsidRDefault="00883684" w:rsidP="003A5728">
      <w:pPr>
        <w:spacing w:after="0"/>
        <w:rPr>
          <w:rFonts w:ascii="Arial" w:hAnsi="Arial" w:cs="Arial"/>
          <w:i/>
          <w:iCs/>
          <w:color w:val="000000" w:themeColor="text1"/>
          <w:sz w:val="20"/>
        </w:rPr>
      </w:pPr>
      <w:r w:rsidRPr="00883684">
        <w:rPr>
          <w:rFonts w:ascii="Arial" w:hAnsi="Arial" w:cs="Arial"/>
          <w:i/>
          <w:sz w:val="20"/>
          <w:szCs w:val="36"/>
        </w:rPr>
        <w:t>Keywords:</w:t>
      </w:r>
      <w:r>
        <w:rPr>
          <w:rFonts w:ascii="Arial" w:hAnsi="Arial" w:cs="Arial"/>
          <w:i/>
          <w:sz w:val="20"/>
          <w:szCs w:val="36"/>
        </w:rPr>
        <w:t xml:space="preserve"> </w:t>
      </w:r>
      <w:r w:rsidR="003A5728" w:rsidRPr="008C493D">
        <w:rPr>
          <w:rFonts w:ascii="Arial" w:hAnsi="Arial" w:cs="Arial"/>
          <w:i/>
          <w:iCs/>
          <w:color w:val="000000" w:themeColor="text1"/>
          <w:sz w:val="20"/>
        </w:rPr>
        <w:t>credit practices, collection practices, loan repayment, credit risk theory, debtors’ behavior.</w:t>
      </w:r>
    </w:p>
    <w:p w14:paraId="008AF6E5" w14:textId="77777777" w:rsidR="00580FBF" w:rsidRDefault="00580FBF" w:rsidP="003D5167">
      <w:pPr>
        <w:spacing w:after="0"/>
        <w:rPr>
          <w:rFonts w:ascii="Arial" w:hAnsi="Arial" w:cs="Arial"/>
          <w:sz w:val="20"/>
          <w:szCs w:val="36"/>
        </w:rPr>
      </w:pPr>
    </w:p>
    <w:p w14:paraId="0416311A" w14:textId="32E8B4A0" w:rsidR="00597F5E" w:rsidRDefault="00580FBF" w:rsidP="003D5167">
      <w:pPr>
        <w:spacing w:after="0"/>
        <w:rPr>
          <w:rFonts w:ascii="Arial" w:eastAsia="Arial" w:hAnsi="Arial" w:cs="Arial"/>
          <w:b/>
          <w:smallCaps/>
          <w:color w:val="000000"/>
          <w:lang w:val="en-US" w:eastAsia="en-PH"/>
        </w:rPr>
      </w:pPr>
      <w:r w:rsidRPr="00580FBF">
        <w:rPr>
          <w:rFonts w:ascii="Arial" w:eastAsia="Arial" w:hAnsi="Arial" w:cs="Arial"/>
          <w:b/>
          <w:smallCaps/>
          <w:color w:val="000000"/>
          <w:lang w:val="en-US" w:eastAsia="en-PH"/>
        </w:rPr>
        <w:t>1. INTRODUCTION</w:t>
      </w:r>
      <w:r>
        <w:rPr>
          <w:rFonts w:ascii="Arial" w:eastAsia="Arial" w:hAnsi="Arial" w:cs="Arial"/>
          <w:b/>
          <w:smallCaps/>
          <w:color w:val="000000"/>
          <w:lang w:val="en-US" w:eastAsia="en-PH"/>
        </w:rPr>
        <w:t xml:space="preserve">   </w:t>
      </w:r>
    </w:p>
    <w:p w14:paraId="7DE4E42F" w14:textId="77777777" w:rsidR="003A5728" w:rsidRDefault="003A5728" w:rsidP="003A5728">
      <w:pPr>
        <w:ind w:firstLine="720"/>
        <w:jc w:val="both"/>
        <w:rPr>
          <w:rFonts w:ascii="Arial" w:hAnsi="Arial" w:cs="Arial"/>
          <w:sz w:val="20"/>
          <w:szCs w:val="20"/>
        </w:rPr>
      </w:pPr>
      <w:r w:rsidRPr="00FB77BA">
        <w:rPr>
          <w:rFonts w:ascii="Arial" w:hAnsi="Arial" w:cs="Arial"/>
          <w:sz w:val="20"/>
          <w:szCs w:val="20"/>
        </w:rPr>
        <w:t>Home appliances are those things that make a house into a home. With the increasing reliance on credit as a means of facilitating consumer purchases, understanding credit and collection practices has become paramount (</w:t>
      </w:r>
      <w:proofErr w:type="spellStart"/>
      <w:r w:rsidRPr="00FB77BA">
        <w:rPr>
          <w:rFonts w:ascii="Arial" w:hAnsi="Arial" w:cs="Arial"/>
          <w:sz w:val="20"/>
          <w:szCs w:val="20"/>
        </w:rPr>
        <w:t>Uzir</w:t>
      </w:r>
      <w:proofErr w:type="spellEnd"/>
      <w:r w:rsidRPr="00FB77BA">
        <w:rPr>
          <w:rFonts w:ascii="Arial" w:hAnsi="Arial" w:cs="Arial"/>
          <w:sz w:val="20"/>
          <w:szCs w:val="20"/>
        </w:rPr>
        <w:t xml:space="preserve"> et al., 2021</w:t>
      </w:r>
      <w:r w:rsidRPr="00FB77BA">
        <w:rPr>
          <w:rFonts w:ascii="Arial" w:hAnsi="Arial" w:cs="Arial"/>
          <w:color w:val="222222"/>
          <w:sz w:val="20"/>
          <w:szCs w:val="20"/>
          <w:shd w:val="clear" w:color="auto" w:fill="FFFFFF"/>
        </w:rPr>
        <w:t xml:space="preserve">). According </w:t>
      </w:r>
      <w:r w:rsidRPr="00FB77BA">
        <w:rPr>
          <w:rFonts w:ascii="Arial" w:hAnsi="Arial" w:cs="Arial"/>
          <w:sz w:val="20"/>
          <w:szCs w:val="20"/>
        </w:rPr>
        <w:t>to Murali and </w:t>
      </w:r>
      <w:proofErr w:type="spellStart"/>
      <w:r w:rsidRPr="00FB77BA">
        <w:rPr>
          <w:rFonts w:ascii="Arial" w:hAnsi="Arial" w:cs="Arial"/>
          <w:sz w:val="20"/>
          <w:szCs w:val="20"/>
        </w:rPr>
        <w:t>Pugazhendhi</w:t>
      </w:r>
      <w:proofErr w:type="spellEnd"/>
      <w:r w:rsidRPr="00FB77BA">
        <w:rPr>
          <w:rFonts w:ascii="Arial" w:hAnsi="Arial" w:cs="Arial"/>
          <w:sz w:val="20"/>
          <w:szCs w:val="20"/>
        </w:rPr>
        <w:t xml:space="preserve"> (2016),</w:t>
      </w:r>
      <w:r w:rsidRPr="00FB77BA">
        <w:rPr>
          <w:rFonts w:ascii="Arial" w:hAnsi="Arial" w:cs="Arial"/>
          <w:sz w:val="20"/>
          <w:szCs w:val="20"/>
          <w:shd w:val="clear" w:color="auto" w:fill="FFFFFF"/>
        </w:rPr>
        <w:t xml:space="preserve"> </w:t>
      </w:r>
      <w:r w:rsidRPr="00FB77BA">
        <w:rPr>
          <w:rFonts w:ascii="Arial" w:hAnsi="Arial" w:cs="Arial"/>
          <w:sz w:val="20"/>
          <w:szCs w:val="20"/>
        </w:rPr>
        <w:t xml:space="preserve">credit practices within the home appliance sector can significantly affect both sales volume and customer satisfaction. </w:t>
      </w:r>
    </w:p>
    <w:p w14:paraId="4A794CC1" w14:textId="05C551EF" w:rsidR="003A5728" w:rsidRDefault="003A5728" w:rsidP="003A5728">
      <w:pPr>
        <w:ind w:firstLine="720"/>
        <w:jc w:val="both"/>
        <w:rPr>
          <w:rFonts w:ascii="Arial" w:hAnsi="Arial" w:cs="Arial"/>
          <w:sz w:val="20"/>
          <w:szCs w:val="20"/>
        </w:rPr>
      </w:pPr>
      <w:r w:rsidRPr="00FB77BA">
        <w:rPr>
          <w:rFonts w:ascii="Arial" w:hAnsi="Arial" w:cs="Arial"/>
          <w:sz w:val="20"/>
          <w:szCs w:val="20"/>
        </w:rPr>
        <w:t>Additionally, Zywicki (2015)</w:t>
      </w:r>
      <w:r w:rsidRPr="00FB77BA">
        <w:rPr>
          <w:rFonts w:ascii="Arial" w:hAnsi="Arial" w:cs="Arial"/>
          <w:sz w:val="20"/>
          <w:szCs w:val="20"/>
          <w:shd w:val="clear" w:color="auto" w:fill="FFFFFF"/>
        </w:rPr>
        <w:t xml:space="preserve"> </w:t>
      </w:r>
      <w:r w:rsidRPr="00FB77BA">
        <w:rPr>
          <w:rFonts w:ascii="Arial" w:hAnsi="Arial" w:cs="Arial"/>
          <w:color w:val="222222"/>
          <w:sz w:val="20"/>
          <w:szCs w:val="20"/>
          <w:shd w:val="clear" w:color="auto" w:fill="FFFFFF"/>
        </w:rPr>
        <w:t>noted that</w:t>
      </w:r>
      <w:r w:rsidRPr="00FB77BA">
        <w:rPr>
          <w:rFonts w:ascii="Arial" w:hAnsi="Arial" w:cs="Arial"/>
          <w:sz w:val="20"/>
          <w:szCs w:val="20"/>
        </w:rPr>
        <w:t xml:space="preserve"> home appliance dealers frequently encounter challenges in collecting payments, particularly when customers fail to meet their credit terms or delay payment. Inefficient collection processes can lead to higher operational costs and can strain the dealer's liquidity (</w:t>
      </w:r>
      <w:proofErr w:type="spellStart"/>
      <w:r w:rsidRPr="00FB77BA">
        <w:rPr>
          <w:rFonts w:ascii="Arial" w:hAnsi="Arial" w:cs="Arial"/>
          <w:sz w:val="20"/>
          <w:szCs w:val="20"/>
        </w:rPr>
        <w:t>Ciulla</w:t>
      </w:r>
      <w:proofErr w:type="spellEnd"/>
      <w:r w:rsidRPr="00FB77BA">
        <w:rPr>
          <w:rFonts w:ascii="Arial" w:hAnsi="Arial" w:cs="Arial"/>
          <w:sz w:val="20"/>
          <w:szCs w:val="20"/>
        </w:rPr>
        <w:t xml:space="preserve"> et al., 2016)</w:t>
      </w:r>
      <w:r w:rsidRPr="00FB77BA">
        <w:rPr>
          <w:rFonts w:ascii="Arial" w:hAnsi="Arial" w:cs="Arial"/>
          <w:color w:val="222222"/>
          <w:sz w:val="20"/>
          <w:szCs w:val="20"/>
          <w:shd w:val="clear" w:color="auto" w:fill="FFFFFF"/>
        </w:rPr>
        <w:t xml:space="preserve">. </w:t>
      </w:r>
      <w:r w:rsidRPr="00FB77BA">
        <w:rPr>
          <w:rFonts w:ascii="Arial" w:hAnsi="Arial" w:cs="Arial"/>
          <w:sz w:val="20"/>
          <w:szCs w:val="20"/>
        </w:rPr>
        <w:t>A practical collection strategy is crucial for mitigating financial risks and ensuring the business's sustainability (</w:t>
      </w:r>
      <w:proofErr w:type="spellStart"/>
      <w:r w:rsidRPr="00FB77BA">
        <w:rPr>
          <w:rFonts w:ascii="Arial" w:hAnsi="Arial" w:cs="Arial"/>
          <w:sz w:val="20"/>
          <w:szCs w:val="20"/>
        </w:rPr>
        <w:t>Gaustad</w:t>
      </w:r>
      <w:proofErr w:type="spellEnd"/>
      <w:r w:rsidRPr="00FB77BA">
        <w:rPr>
          <w:rFonts w:ascii="Arial" w:hAnsi="Arial" w:cs="Arial"/>
          <w:sz w:val="20"/>
          <w:szCs w:val="20"/>
        </w:rPr>
        <w:t xml:space="preserve"> et al., 2018</w:t>
      </w:r>
      <w:r w:rsidRPr="00FB77BA">
        <w:rPr>
          <w:rFonts w:ascii="Arial" w:hAnsi="Arial" w:cs="Arial"/>
          <w:color w:val="222222"/>
          <w:sz w:val="20"/>
          <w:szCs w:val="20"/>
          <w:shd w:val="clear" w:color="auto" w:fill="FFFFFF"/>
        </w:rPr>
        <w:t xml:space="preserve">). </w:t>
      </w:r>
      <w:r w:rsidRPr="00FB77BA">
        <w:rPr>
          <w:rFonts w:ascii="Arial" w:hAnsi="Arial" w:cs="Arial"/>
          <w:sz w:val="20"/>
          <w:szCs w:val="20"/>
        </w:rPr>
        <w:t xml:space="preserve">The regulatory frameworks are designed to protect both businesses and consumers, ensuring that </w:t>
      </w:r>
      <w:r w:rsidRPr="00FB77BA">
        <w:rPr>
          <w:rFonts w:ascii="Arial" w:hAnsi="Arial" w:cs="Arial"/>
          <w:sz w:val="20"/>
          <w:szCs w:val="20"/>
        </w:rPr>
        <w:lastRenderedPageBreak/>
        <w:t>credit terms are fair and collection practices are transparent (Mishra &amp; Varshney, 2024). Dealers must navigate these regulations carefully to avoid legal pitfalls while maximizing financial returns</w:t>
      </w:r>
      <w:r w:rsidRPr="00FB77BA">
        <w:rPr>
          <w:rFonts w:ascii="Arial" w:hAnsi="Arial" w:cs="Arial"/>
          <w:b/>
          <w:sz w:val="20"/>
          <w:szCs w:val="20"/>
        </w:rPr>
        <w:t xml:space="preserve"> </w:t>
      </w:r>
      <w:r w:rsidRPr="00FB77BA">
        <w:rPr>
          <w:rFonts w:ascii="Arial" w:hAnsi="Arial" w:cs="Arial"/>
          <w:bCs/>
          <w:sz w:val="20"/>
          <w:szCs w:val="20"/>
        </w:rPr>
        <w:t>(</w:t>
      </w:r>
      <w:r w:rsidRPr="00FB77BA">
        <w:rPr>
          <w:rFonts w:ascii="Arial" w:hAnsi="Arial" w:cs="Arial"/>
          <w:sz w:val="20"/>
          <w:szCs w:val="20"/>
        </w:rPr>
        <w:t>Cox et al., 2019</w:t>
      </w:r>
      <w:r w:rsidRPr="00FB77BA">
        <w:rPr>
          <w:rFonts w:ascii="Arial" w:hAnsi="Arial" w:cs="Arial"/>
          <w:color w:val="222222"/>
          <w:sz w:val="20"/>
          <w:szCs w:val="20"/>
          <w:shd w:val="clear" w:color="auto" w:fill="FFFFFF"/>
        </w:rPr>
        <w:t xml:space="preserve">). </w:t>
      </w:r>
      <w:r w:rsidRPr="00FB77BA">
        <w:rPr>
          <w:rFonts w:ascii="Arial" w:hAnsi="Arial" w:cs="Arial"/>
          <w:sz w:val="20"/>
          <w:szCs w:val="20"/>
        </w:rPr>
        <w:t>Dealers must ensure that their collection practices are both fair and effective, avoiding overly aggressive tactics that could damage customer relationships (Pope, 2017</w:t>
      </w:r>
      <w:r w:rsidRPr="00FB77BA">
        <w:rPr>
          <w:rFonts w:ascii="Arial" w:hAnsi="Arial" w:cs="Arial"/>
          <w:color w:val="222222"/>
          <w:sz w:val="20"/>
          <w:szCs w:val="20"/>
          <w:shd w:val="clear" w:color="auto" w:fill="FFFFFF"/>
        </w:rPr>
        <w:t>)</w:t>
      </w:r>
      <w:r w:rsidRPr="00FB77BA">
        <w:rPr>
          <w:rFonts w:ascii="Arial" w:hAnsi="Arial" w:cs="Arial"/>
          <w:sz w:val="20"/>
          <w:szCs w:val="20"/>
        </w:rPr>
        <w:t xml:space="preserve">. </w:t>
      </w:r>
    </w:p>
    <w:p w14:paraId="4256CE98" w14:textId="77777777" w:rsidR="003A5728" w:rsidRPr="00FB77BA" w:rsidRDefault="003A5728" w:rsidP="003A5728">
      <w:pPr>
        <w:jc w:val="both"/>
        <w:rPr>
          <w:rFonts w:ascii="Arial" w:hAnsi="Arial" w:cs="Arial"/>
          <w:sz w:val="20"/>
          <w:szCs w:val="20"/>
        </w:rPr>
      </w:pPr>
      <w:r w:rsidRPr="00FB77BA">
        <w:rPr>
          <w:rFonts w:ascii="Arial" w:hAnsi="Arial" w:cs="Arial"/>
          <w:sz w:val="20"/>
          <w:szCs w:val="20"/>
          <w:shd w:val="clear" w:color="auto" w:fill="FFFFFF"/>
        </w:rPr>
        <w:tab/>
      </w:r>
      <w:r w:rsidRPr="00FB77BA">
        <w:rPr>
          <w:rFonts w:ascii="Arial" w:hAnsi="Arial" w:cs="Arial"/>
          <w:color w:val="000000" w:themeColor="text1"/>
          <w:sz w:val="20"/>
          <w:szCs w:val="20"/>
        </w:rPr>
        <w:t>Home appliance dealers often extend credit to attract more customers and boost sales, especially for high-cost items. However, when creditors (customers) fail to meet their repayment obligations, it creates significant financial strain on these dealers. (Dominguez Martin, 2023). The resulting cash flow issues may prevent dealers from paying their suppliers, maintaining inventory, and covering operational expenses, which can ultimately threaten the business's sustainability (</w:t>
      </w:r>
      <w:proofErr w:type="spellStart"/>
      <w:r w:rsidRPr="00FB77BA">
        <w:rPr>
          <w:rFonts w:ascii="Arial" w:hAnsi="Arial" w:cs="Arial"/>
          <w:color w:val="000000" w:themeColor="text1"/>
          <w:sz w:val="20"/>
          <w:szCs w:val="20"/>
        </w:rPr>
        <w:t>Xueyan</w:t>
      </w:r>
      <w:proofErr w:type="spellEnd"/>
      <w:r w:rsidRPr="00FB77BA">
        <w:rPr>
          <w:rFonts w:ascii="Arial" w:hAnsi="Arial" w:cs="Arial"/>
          <w:color w:val="000000" w:themeColor="text1"/>
          <w:sz w:val="20"/>
          <w:szCs w:val="20"/>
        </w:rPr>
        <w:t xml:space="preserve">, 2020). A lack of rigorous credit assessment, inadequate follow-up mechanisms, and insufficient collateral requirements exacerbate this problem. </w:t>
      </w:r>
    </w:p>
    <w:p w14:paraId="48E4386C" w14:textId="77777777" w:rsidR="003A5728" w:rsidRPr="00FB77BA" w:rsidRDefault="003A5728" w:rsidP="003A5728">
      <w:pPr>
        <w:jc w:val="both"/>
        <w:rPr>
          <w:rFonts w:ascii="Arial" w:hAnsi="Arial" w:cs="Arial"/>
          <w:sz w:val="20"/>
          <w:szCs w:val="20"/>
        </w:rPr>
      </w:pPr>
      <w:r w:rsidRPr="00FB77BA">
        <w:rPr>
          <w:rFonts w:ascii="Arial" w:hAnsi="Arial" w:cs="Arial"/>
          <w:sz w:val="20"/>
          <w:szCs w:val="20"/>
        </w:rPr>
        <w:t xml:space="preserve">          Furthermore, according to the National Economic Development Authority (2022), many home appliance dealers in the Davao region are small businesses that struggle to secure loans with reasonable interest rates. This limits their capacity to expand their inventory or upgrade their stores to attract more customers, putting them at a disadvantage compared to larger competitors. Additionally, rural areas, which are common in the Davao region, often have lower household incomes and higher unemployment rates, making it challenging for residents to purchase goods on credit and maintain regular repayments (</w:t>
      </w:r>
      <w:proofErr w:type="spellStart"/>
      <w:r w:rsidRPr="00FB77BA">
        <w:rPr>
          <w:rFonts w:ascii="Arial" w:hAnsi="Arial" w:cs="Arial"/>
          <w:sz w:val="20"/>
          <w:szCs w:val="20"/>
        </w:rPr>
        <w:t>Malaque</w:t>
      </w:r>
      <w:proofErr w:type="spellEnd"/>
      <w:r w:rsidRPr="00FB77BA">
        <w:rPr>
          <w:rFonts w:ascii="Arial" w:hAnsi="Arial" w:cs="Arial"/>
          <w:sz w:val="20"/>
          <w:szCs w:val="20"/>
        </w:rPr>
        <w:t>, 2017). This results in a higher default risk for creditors, who may then become more cautious in offering credit to these communities, further restricting local economic growth. Furthermore, natural disasters, including typhoons and flash floods, pose significant threats to the region, causing extensive damage to property and disrupting economic activity (</w:t>
      </w:r>
      <w:proofErr w:type="spellStart"/>
      <w:r w:rsidRPr="00FB77BA">
        <w:rPr>
          <w:rFonts w:ascii="Arial" w:hAnsi="Arial" w:cs="Arial"/>
          <w:sz w:val="20"/>
          <w:szCs w:val="20"/>
        </w:rPr>
        <w:t>Pelone</w:t>
      </w:r>
      <w:proofErr w:type="spellEnd"/>
      <w:r w:rsidRPr="00FB77BA">
        <w:rPr>
          <w:rFonts w:ascii="Arial" w:hAnsi="Arial" w:cs="Arial"/>
          <w:sz w:val="20"/>
          <w:szCs w:val="20"/>
        </w:rPr>
        <w:t xml:space="preserve"> &amp; Arellano, 2024). For home appliance dealers, these events can result in damaged inventory, store closures, and reduced foot traffic, all of which directly impact sales. For creditors, natural disasters increase the likelihood of loan defaults as borrowers face unexpected financial hardships, forcing some creditors to offer loan restructuring options that may impact profitability (Avril, 2023). Despite these challenges, the home appliance sector remains heavily reliant on credit sales to drive revenue (Huang et al., 2021). </w:t>
      </w:r>
    </w:p>
    <w:p w14:paraId="3D18DB16" w14:textId="0818BD20" w:rsidR="00580FBF" w:rsidRPr="003A5728" w:rsidRDefault="003A5728" w:rsidP="003A5728">
      <w:pPr>
        <w:ind w:firstLine="720"/>
        <w:jc w:val="both"/>
        <w:rPr>
          <w:rFonts w:ascii="Arial" w:hAnsi="Arial" w:cs="Arial"/>
          <w:color w:val="000000" w:themeColor="text1"/>
          <w:sz w:val="20"/>
          <w:szCs w:val="20"/>
        </w:rPr>
      </w:pPr>
      <w:r w:rsidRPr="00FB77BA">
        <w:rPr>
          <w:rFonts w:ascii="Arial" w:hAnsi="Arial" w:cs="Arial"/>
          <w:color w:val="000000" w:themeColor="text1"/>
          <w:sz w:val="20"/>
          <w:szCs w:val="20"/>
        </w:rPr>
        <w:t xml:space="preserve">While much research has been conducted on credit and collection practices in financial institutions, particularly banks and microfinance organizations, there is a notable lack of literature focusing on how home appliance dealers apply these practices. Existing studies primarily examine the impact of credit risk management, loan defaults, and repayment behavior within traditional banking systems, often overlooking the specific challenges faced by non-financial institutions, such as appliance dealers, that extend credit to customers. Additionally, this study examines the distinct challenges faced by home appliance dealers, highlighting how creditor repayment issues affect their cash flow, liquidity, and overall financial stability. These challenges, compounded by limited access to affordable loans, low household incomes in rural areas, and external risks such as economic instability, inflation, and fluctuating interest rates, underscore the critical need for effective credit and collection practices to mitigate financial vulnerabilities and sustain business operations. With this, the researchers aimed to understand how credit and collection practices affect loan repayment among home appliance dealers in </w:t>
      </w:r>
      <w:proofErr w:type="spellStart"/>
      <w:r w:rsidRPr="00FB77BA">
        <w:rPr>
          <w:rFonts w:ascii="Arial" w:hAnsi="Arial" w:cs="Arial"/>
          <w:color w:val="000000" w:themeColor="text1"/>
          <w:sz w:val="20"/>
          <w:szCs w:val="20"/>
        </w:rPr>
        <w:t>Cateel</w:t>
      </w:r>
      <w:proofErr w:type="spellEnd"/>
      <w:r w:rsidRPr="00FB77BA">
        <w:rPr>
          <w:rFonts w:ascii="Arial" w:hAnsi="Arial" w:cs="Arial"/>
          <w:color w:val="000000" w:themeColor="text1"/>
          <w:sz w:val="20"/>
          <w:szCs w:val="20"/>
        </w:rPr>
        <w:t>, Davao Oriental. This study aimed to address these gaps by focusing specifically on the appliance dealership industry, providing an in-depth analysis of how credit and collection practices influence loan repayment among customers in this unique retail sector.</w:t>
      </w:r>
    </w:p>
    <w:p w14:paraId="0A42BD82" w14:textId="6FB82DD7" w:rsidR="00690128" w:rsidRDefault="00690128" w:rsidP="00580FBF">
      <w:pPr>
        <w:spacing w:after="0"/>
        <w:jc w:val="both"/>
        <w:rPr>
          <w:rFonts w:ascii="Arial" w:eastAsia="Arial" w:hAnsi="Arial" w:cs="Arial"/>
          <w:b/>
          <w:smallCaps/>
          <w:color w:val="000000"/>
          <w:lang w:val="en-US" w:eastAsia="en-PH"/>
        </w:rPr>
      </w:pPr>
      <w:r w:rsidRPr="00690128">
        <w:rPr>
          <w:rFonts w:ascii="Arial" w:eastAsia="Arial" w:hAnsi="Arial" w:cs="Arial"/>
          <w:b/>
          <w:smallCaps/>
          <w:color w:val="000000"/>
          <w:lang w:val="en-US" w:eastAsia="en-PH"/>
        </w:rPr>
        <w:t>2. OBJECTIVES</w:t>
      </w:r>
    </w:p>
    <w:p w14:paraId="6B800762" w14:textId="77777777" w:rsidR="00CE26BE" w:rsidRDefault="00CE26BE" w:rsidP="00580FBF">
      <w:pPr>
        <w:spacing w:after="0"/>
        <w:jc w:val="both"/>
        <w:rPr>
          <w:rFonts w:ascii="Arial" w:eastAsia="Arial" w:hAnsi="Arial" w:cs="Arial"/>
          <w:b/>
          <w:smallCaps/>
          <w:color w:val="000000"/>
          <w:lang w:val="en-US" w:eastAsia="en-PH"/>
        </w:rPr>
      </w:pPr>
    </w:p>
    <w:p w14:paraId="52E10092" w14:textId="77777777" w:rsidR="003A5728" w:rsidRPr="00FB77BA" w:rsidRDefault="003A5728" w:rsidP="003A5728">
      <w:pPr>
        <w:ind w:firstLine="360"/>
        <w:jc w:val="both"/>
        <w:rPr>
          <w:rFonts w:ascii="Arial" w:hAnsi="Arial" w:cs="Arial"/>
          <w:bCs/>
          <w:sz w:val="20"/>
          <w:szCs w:val="20"/>
        </w:rPr>
      </w:pPr>
      <w:r w:rsidRPr="00FB77BA">
        <w:rPr>
          <w:rFonts w:ascii="Arial" w:hAnsi="Arial" w:cs="Arial"/>
          <w:bCs/>
          <w:sz w:val="20"/>
          <w:szCs w:val="20"/>
        </w:rPr>
        <w:t>The primary objective of this study is to examine the impact of credit and collection practices on loan repayment behaviors among home appliance dealers. Specifically, this study aims to:</w:t>
      </w:r>
    </w:p>
    <w:p w14:paraId="1CDFB1E4" w14:textId="77777777" w:rsidR="003A5728" w:rsidRPr="00FB77BA" w:rsidRDefault="003A5728" w:rsidP="003A5728">
      <w:pPr>
        <w:spacing w:after="0"/>
        <w:jc w:val="both"/>
        <w:rPr>
          <w:rFonts w:ascii="Arial" w:eastAsia="Times New Roman" w:hAnsi="Arial" w:cs="Arial"/>
          <w:sz w:val="20"/>
          <w:szCs w:val="20"/>
        </w:rPr>
      </w:pPr>
      <w:r w:rsidRPr="00FB77BA">
        <w:rPr>
          <w:rFonts w:ascii="Arial" w:eastAsia="Times New Roman" w:hAnsi="Arial" w:cs="Arial"/>
          <w:sz w:val="20"/>
          <w:szCs w:val="20"/>
        </w:rPr>
        <w:t xml:space="preserve">      1. To assess the level of credit practices among home appliance dealers in terms of: </w:t>
      </w:r>
    </w:p>
    <w:p w14:paraId="4CB82AEE" w14:textId="77777777" w:rsidR="003A5728" w:rsidRPr="00FB77BA" w:rsidRDefault="003A5728" w:rsidP="003A5728">
      <w:pPr>
        <w:spacing w:after="0"/>
        <w:ind w:left="720"/>
        <w:jc w:val="both"/>
        <w:rPr>
          <w:rFonts w:ascii="Arial" w:eastAsia="Times New Roman" w:hAnsi="Arial" w:cs="Arial"/>
          <w:sz w:val="20"/>
          <w:szCs w:val="20"/>
        </w:rPr>
      </w:pPr>
      <w:r w:rsidRPr="00FB77BA">
        <w:rPr>
          <w:rFonts w:ascii="Arial" w:eastAsia="Times New Roman" w:hAnsi="Arial" w:cs="Arial"/>
          <w:sz w:val="20"/>
          <w:szCs w:val="20"/>
        </w:rPr>
        <w:t xml:space="preserve">     a. character,</w:t>
      </w:r>
    </w:p>
    <w:p w14:paraId="5053C1A7" w14:textId="77777777" w:rsidR="003A5728" w:rsidRPr="00FB77BA" w:rsidRDefault="003A5728" w:rsidP="003A5728">
      <w:pPr>
        <w:spacing w:after="0"/>
        <w:ind w:firstLine="720"/>
        <w:jc w:val="both"/>
        <w:rPr>
          <w:rFonts w:ascii="Arial" w:eastAsia="Times New Roman" w:hAnsi="Arial" w:cs="Arial"/>
          <w:sz w:val="20"/>
          <w:szCs w:val="20"/>
        </w:rPr>
      </w:pPr>
      <w:r w:rsidRPr="00FB77BA">
        <w:rPr>
          <w:rFonts w:ascii="Arial" w:eastAsia="Times New Roman" w:hAnsi="Arial" w:cs="Arial"/>
          <w:sz w:val="20"/>
          <w:szCs w:val="20"/>
        </w:rPr>
        <w:t xml:space="preserve">     b. capacity,</w:t>
      </w:r>
    </w:p>
    <w:p w14:paraId="383911AA" w14:textId="77777777" w:rsidR="003A5728" w:rsidRPr="00FB77BA" w:rsidRDefault="003A5728" w:rsidP="003A5728">
      <w:pPr>
        <w:spacing w:after="0"/>
        <w:ind w:firstLine="720"/>
        <w:jc w:val="both"/>
        <w:rPr>
          <w:rFonts w:ascii="Arial" w:eastAsia="Times New Roman" w:hAnsi="Arial" w:cs="Arial"/>
          <w:sz w:val="20"/>
          <w:szCs w:val="20"/>
        </w:rPr>
      </w:pPr>
      <w:r w:rsidRPr="00FB77BA">
        <w:rPr>
          <w:rFonts w:ascii="Arial" w:eastAsia="Times New Roman" w:hAnsi="Arial" w:cs="Arial"/>
          <w:sz w:val="20"/>
          <w:szCs w:val="20"/>
        </w:rPr>
        <w:t xml:space="preserve">     c. cash flow,</w:t>
      </w:r>
    </w:p>
    <w:p w14:paraId="0067731D" w14:textId="6AAFDACF" w:rsidR="003A5728" w:rsidRPr="00FB77BA" w:rsidRDefault="003A5728" w:rsidP="003A5728">
      <w:pPr>
        <w:spacing w:after="0"/>
        <w:ind w:firstLine="720"/>
        <w:jc w:val="both"/>
        <w:rPr>
          <w:rFonts w:ascii="Arial" w:eastAsia="Times New Roman" w:hAnsi="Arial" w:cs="Arial"/>
          <w:sz w:val="20"/>
          <w:szCs w:val="20"/>
        </w:rPr>
      </w:pPr>
      <w:r w:rsidRPr="00FB77BA">
        <w:rPr>
          <w:rFonts w:ascii="Arial" w:eastAsia="Times New Roman" w:hAnsi="Arial" w:cs="Arial"/>
          <w:sz w:val="20"/>
          <w:szCs w:val="20"/>
        </w:rPr>
        <w:t xml:space="preserve">    </w:t>
      </w:r>
      <w:r w:rsidR="00620CF3">
        <w:rPr>
          <w:rFonts w:ascii="Arial" w:eastAsia="Times New Roman" w:hAnsi="Arial" w:cs="Arial"/>
          <w:sz w:val="20"/>
          <w:szCs w:val="20"/>
        </w:rPr>
        <w:t xml:space="preserve"> </w:t>
      </w:r>
      <w:r w:rsidRPr="00FB77BA">
        <w:rPr>
          <w:rFonts w:ascii="Arial" w:eastAsia="Times New Roman" w:hAnsi="Arial" w:cs="Arial"/>
          <w:sz w:val="20"/>
          <w:szCs w:val="20"/>
        </w:rPr>
        <w:t>d. collateral,</w:t>
      </w:r>
    </w:p>
    <w:p w14:paraId="1BB7D689" w14:textId="77777777" w:rsidR="003A5728" w:rsidRPr="00FB77BA" w:rsidRDefault="003A5728" w:rsidP="003A5728">
      <w:pPr>
        <w:spacing w:after="0"/>
        <w:ind w:firstLine="720"/>
        <w:jc w:val="both"/>
        <w:rPr>
          <w:rFonts w:ascii="Arial" w:eastAsia="Times New Roman" w:hAnsi="Arial" w:cs="Arial"/>
          <w:sz w:val="20"/>
          <w:szCs w:val="20"/>
        </w:rPr>
      </w:pPr>
      <w:r w:rsidRPr="00FB77BA">
        <w:rPr>
          <w:rFonts w:ascii="Arial" w:eastAsia="Times New Roman" w:hAnsi="Arial" w:cs="Arial"/>
          <w:sz w:val="20"/>
          <w:szCs w:val="20"/>
        </w:rPr>
        <w:t xml:space="preserve">     e. condition, and</w:t>
      </w:r>
    </w:p>
    <w:p w14:paraId="35B8492E" w14:textId="3AB50CC2" w:rsidR="003A5728" w:rsidRDefault="003A5728" w:rsidP="003A5728">
      <w:pPr>
        <w:spacing w:after="0"/>
        <w:jc w:val="both"/>
        <w:rPr>
          <w:rFonts w:ascii="Arial" w:eastAsia="Times New Roman" w:hAnsi="Arial" w:cs="Arial"/>
          <w:sz w:val="20"/>
          <w:szCs w:val="20"/>
        </w:rPr>
      </w:pPr>
      <w:r w:rsidRPr="00FB77BA">
        <w:rPr>
          <w:rFonts w:ascii="Arial" w:eastAsia="Times New Roman" w:hAnsi="Arial" w:cs="Arial"/>
          <w:sz w:val="20"/>
          <w:szCs w:val="20"/>
        </w:rPr>
        <w:t xml:space="preserve">           </w:t>
      </w:r>
      <w:r w:rsidR="00CE26BE">
        <w:rPr>
          <w:rFonts w:ascii="Arial" w:eastAsia="Times New Roman" w:hAnsi="Arial" w:cs="Arial"/>
          <w:sz w:val="20"/>
          <w:szCs w:val="20"/>
        </w:rPr>
        <w:t xml:space="preserve"> </w:t>
      </w:r>
      <w:r w:rsidRPr="00FB77BA">
        <w:rPr>
          <w:rFonts w:ascii="Arial" w:eastAsia="Times New Roman" w:hAnsi="Arial" w:cs="Arial"/>
          <w:sz w:val="20"/>
          <w:szCs w:val="20"/>
        </w:rPr>
        <w:t xml:space="preserve">      f. control.</w:t>
      </w:r>
    </w:p>
    <w:p w14:paraId="2320E1EC" w14:textId="71398CC1" w:rsidR="003A5728" w:rsidRPr="00FB77BA" w:rsidRDefault="003A5728" w:rsidP="003A5728">
      <w:pPr>
        <w:spacing w:after="0"/>
        <w:jc w:val="both"/>
        <w:rPr>
          <w:rFonts w:ascii="Arial" w:hAnsi="Arial" w:cs="Arial"/>
          <w:sz w:val="20"/>
          <w:szCs w:val="20"/>
        </w:rPr>
      </w:pPr>
      <w:r>
        <w:rPr>
          <w:rFonts w:ascii="Arial" w:hAnsi="Arial" w:cs="Arial"/>
          <w:sz w:val="20"/>
          <w:szCs w:val="20"/>
        </w:rPr>
        <w:t xml:space="preserve">      </w:t>
      </w:r>
      <w:r w:rsidR="00CE26BE">
        <w:rPr>
          <w:rFonts w:ascii="Arial" w:hAnsi="Arial" w:cs="Arial"/>
          <w:sz w:val="20"/>
          <w:szCs w:val="20"/>
        </w:rPr>
        <w:t xml:space="preserve"> </w:t>
      </w:r>
      <w:r w:rsidRPr="00FB77BA">
        <w:rPr>
          <w:rFonts w:ascii="Arial" w:hAnsi="Arial" w:cs="Arial"/>
          <w:sz w:val="20"/>
          <w:szCs w:val="20"/>
        </w:rPr>
        <w:t xml:space="preserve">2. To determine the level of collection practices among home appliance dealer’s in      </w:t>
      </w:r>
    </w:p>
    <w:p w14:paraId="3F87DFD2" w14:textId="77777777" w:rsidR="003A5728" w:rsidRPr="00FB77BA" w:rsidRDefault="003A5728" w:rsidP="003A5728">
      <w:pPr>
        <w:spacing w:after="0"/>
        <w:jc w:val="both"/>
        <w:rPr>
          <w:rFonts w:ascii="Arial" w:hAnsi="Arial" w:cs="Arial"/>
          <w:sz w:val="20"/>
          <w:szCs w:val="20"/>
        </w:rPr>
      </w:pPr>
      <w:r w:rsidRPr="00FB77BA">
        <w:rPr>
          <w:rFonts w:ascii="Arial" w:hAnsi="Arial" w:cs="Arial"/>
          <w:sz w:val="20"/>
          <w:szCs w:val="20"/>
        </w:rPr>
        <w:t xml:space="preserve">          terms of:</w:t>
      </w:r>
    </w:p>
    <w:p w14:paraId="5AA240E5" w14:textId="77777777" w:rsidR="003A5728" w:rsidRPr="00FB77BA" w:rsidRDefault="003A5728" w:rsidP="003A5728">
      <w:pPr>
        <w:spacing w:after="0"/>
        <w:jc w:val="both"/>
        <w:rPr>
          <w:rFonts w:ascii="Arial" w:hAnsi="Arial" w:cs="Arial"/>
          <w:sz w:val="20"/>
          <w:szCs w:val="20"/>
        </w:rPr>
      </w:pPr>
      <w:r w:rsidRPr="00FB77BA">
        <w:rPr>
          <w:rFonts w:ascii="Arial" w:hAnsi="Arial" w:cs="Arial"/>
          <w:sz w:val="20"/>
          <w:szCs w:val="20"/>
        </w:rPr>
        <w:t xml:space="preserve">  </w:t>
      </w:r>
      <w:r w:rsidRPr="00FB77BA">
        <w:rPr>
          <w:rFonts w:ascii="Arial" w:hAnsi="Arial" w:cs="Arial"/>
          <w:sz w:val="20"/>
          <w:szCs w:val="20"/>
        </w:rPr>
        <w:tab/>
        <w:t xml:space="preserve">    a. </w:t>
      </w:r>
      <w:r w:rsidRPr="00FB77BA">
        <w:rPr>
          <w:rFonts w:ascii="Arial" w:hAnsi="Arial" w:cs="Arial"/>
          <w:bCs/>
          <w:sz w:val="20"/>
          <w:szCs w:val="20"/>
        </w:rPr>
        <w:t>documentation,</w:t>
      </w:r>
    </w:p>
    <w:p w14:paraId="1DA08795" w14:textId="77777777" w:rsidR="003A5728" w:rsidRPr="00FB77BA" w:rsidRDefault="003A5728" w:rsidP="003A5728">
      <w:pPr>
        <w:spacing w:after="0"/>
        <w:jc w:val="both"/>
        <w:rPr>
          <w:rFonts w:ascii="Arial" w:hAnsi="Arial" w:cs="Arial"/>
          <w:bCs/>
          <w:sz w:val="20"/>
          <w:szCs w:val="20"/>
        </w:rPr>
      </w:pPr>
      <w:r w:rsidRPr="00FB77BA">
        <w:rPr>
          <w:rFonts w:ascii="Arial" w:hAnsi="Arial" w:cs="Arial"/>
          <w:bCs/>
          <w:sz w:val="20"/>
          <w:szCs w:val="20"/>
        </w:rPr>
        <w:tab/>
        <w:t xml:space="preserve">    b. manpower, and</w:t>
      </w:r>
    </w:p>
    <w:p w14:paraId="327E124E" w14:textId="77777777" w:rsidR="003A5728" w:rsidRPr="00FB77BA" w:rsidRDefault="003A5728" w:rsidP="003A5728">
      <w:pPr>
        <w:spacing w:after="0"/>
        <w:jc w:val="both"/>
        <w:rPr>
          <w:rFonts w:ascii="Arial" w:hAnsi="Arial" w:cs="Arial"/>
          <w:bCs/>
          <w:sz w:val="20"/>
          <w:szCs w:val="20"/>
        </w:rPr>
      </w:pPr>
      <w:r w:rsidRPr="00FB77BA">
        <w:rPr>
          <w:rFonts w:ascii="Arial" w:hAnsi="Arial" w:cs="Arial"/>
          <w:bCs/>
          <w:sz w:val="20"/>
          <w:szCs w:val="20"/>
        </w:rPr>
        <w:tab/>
        <w:t xml:space="preserve">    c. procedure.</w:t>
      </w:r>
    </w:p>
    <w:p w14:paraId="618884B1" w14:textId="09929E12" w:rsidR="00CE26BE" w:rsidRPr="00FB77BA" w:rsidRDefault="00CE26BE" w:rsidP="00CE26BE">
      <w:pPr>
        <w:spacing w:after="0"/>
        <w:ind w:left="370"/>
        <w:jc w:val="both"/>
        <w:rPr>
          <w:rFonts w:ascii="Arial" w:hAnsi="Arial" w:cs="Arial"/>
          <w:sz w:val="20"/>
          <w:szCs w:val="20"/>
        </w:rPr>
      </w:pPr>
      <w:r w:rsidRPr="00FB77BA">
        <w:rPr>
          <w:rFonts w:ascii="Arial" w:hAnsi="Arial" w:cs="Arial"/>
          <w:bCs/>
          <w:sz w:val="20"/>
          <w:szCs w:val="20"/>
        </w:rPr>
        <w:t>3.</w:t>
      </w:r>
      <w:r>
        <w:rPr>
          <w:rFonts w:ascii="Arial" w:hAnsi="Arial" w:cs="Arial"/>
          <w:bCs/>
          <w:sz w:val="20"/>
          <w:szCs w:val="20"/>
        </w:rPr>
        <w:t xml:space="preserve"> </w:t>
      </w:r>
      <w:r w:rsidRPr="00FB77BA">
        <w:rPr>
          <w:rFonts w:ascii="Arial" w:hAnsi="Arial" w:cs="Arial"/>
          <w:sz w:val="20"/>
          <w:szCs w:val="20"/>
        </w:rPr>
        <w:t xml:space="preserve">To evaluate the level of loan repayment among debtors of home appliance  </w:t>
      </w:r>
    </w:p>
    <w:p w14:paraId="4D577808" w14:textId="77777777" w:rsidR="00CE26BE" w:rsidRPr="00FB77BA" w:rsidRDefault="00CE26BE" w:rsidP="00CE26BE">
      <w:pPr>
        <w:spacing w:after="0"/>
        <w:ind w:left="370"/>
        <w:jc w:val="both"/>
        <w:rPr>
          <w:rFonts w:ascii="Arial" w:hAnsi="Arial" w:cs="Arial"/>
          <w:sz w:val="20"/>
          <w:szCs w:val="20"/>
        </w:rPr>
      </w:pPr>
      <w:r w:rsidRPr="00FB77BA">
        <w:rPr>
          <w:rFonts w:ascii="Arial" w:hAnsi="Arial" w:cs="Arial"/>
          <w:sz w:val="20"/>
          <w:szCs w:val="20"/>
        </w:rPr>
        <w:t xml:space="preserve">      dealers in terms of:</w:t>
      </w:r>
    </w:p>
    <w:p w14:paraId="2FA49CCE" w14:textId="5F90034D" w:rsidR="00CE26BE" w:rsidRPr="00FB77BA" w:rsidRDefault="00CE26BE" w:rsidP="00CE26BE">
      <w:pPr>
        <w:spacing w:after="0"/>
        <w:jc w:val="both"/>
        <w:rPr>
          <w:rFonts w:ascii="Arial" w:hAnsi="Arial" w:cs="Arial"/>
          <w:sz w:val="20"/>
          <w:szCs w:val="20"/>
        </w:rPr>
      </w:pPr>
      <w:r w:rsidRPr="00FB77BA">
        <w:rPr>
          <w:rFonts w:ascii="Arial" w:hAnsi="Arial" w:cs="Arial"/>
          <w:sz w:val="20"/>
          <w:szCs w:val="20"/>
        </w:rPr>
        <w:tab/>
        <w:t xml:space="preserve">   a. information about loan repayment,</w:t>
      </w:r>
    </w:p>
    <w:p w14:paraId="592052C4" w14:textId="6AF99B6F" w:rsidR="00CE26BE" w:rsidRPr="00FB77BA" w:rsidRDefault="00CE26BE" w:rsidP="00CE26BE">
      <w:pPr>
        <w:spacing w:after="0"/>
        <w:jc w:val="both"/>
        <w:rPr>
          <w:rFonts w:ascii="Arial" w:hAnsi="Arial" w:cs="Arial"/>
          <w:sz w:val="20"/>
          <w:szCs w:val="20"/>
        </w:rPr>
      </w:pPr>
      <w:r w:rsidRPr="00FB77BA">
        <w:rPr>
          <w:rFonts w:ascii="Arial" w:hAnsi="Arial" w:cs="Arial"/>
          <w:sz w:val="20"/>
          <w:szCs w:val="20"/>
        </w:rPr>
        <w:tab/>
        <w:t xml:space="preserve">   b. financial literacy,</w:t>
      </w:r>
    </w:p>
    <w:p w14:paraId="4814116E" w14:textId="5621B1B5" w:rsidR="00CE26BE" w:rsidRPr="00FB77BA" w:rsidRDefault="00CE26BE" w:rsidP="00CE26BE">
      <w:pPr>
        <w:spacing w:after="0"/>
        <w:jc w:val="both"/>
        <w:rPr>
          <w:rFonts w:ascii="Arial" w:hAnsi="Arial" w:cs="Arial"/>
          <w:sz w:val="20"/>
          <w:szCs w:val="20"/>
        </w:rPr>
      </w:pPr>
      <w:r w:rsidRPr="00FB77BA">
        <w:rPr>
          <w:rFonts w:ascii="Arial" w:hAnsi="Arial" w:cs="Arial"/>
          <w:sz w:val="20"/>
          <w:szCs w:val="20"/>
        </w:rPr>
        <w:tab/>
        <w:t xml:space="preserve">   c. generation, and reinvestment need,</w:t>
      </w:r>
    </w:p>
    <w:p w14:paraId="44ED75D6" w14:textId="383AA661" w:rsidR="00CE26BE" w:rsidRPr="00FB77BA" w:rsidRDefault="00CE26BE" w:rsidP="00CE26BE">
      <w:pPr>
        <w:spacing w:after="0"/>
        <w:jc w:val="both"/>
        <w:rPr>
          <w:rFonts w:ascii="Arial" w:hAnsi="Arial" w:cs="Arial"/>
          <w:sz w:val="20"/>
          <w:szCs w:val="20"/>
        </w:rPr>
      </w:pPr>
      <w:r w:rsidRPr="00FB77BA">
        <w:rPr>
          <w:rFonts w:ascii="Arial" w:hAnsi="Arial" w:cs="Arial"/>
          <w:sz w:val="20"/>
          <w:szCs w:val="20"/>
        </w:rPr>
        <w:tab/>
        <w:t xml:space="preserve">  </w:t>
      </w:r>
      <w:r>
        <w:rPr>
          <w:rFonts w:ascii="Arial" w:hAnsi="Arial" w:cs="Arial"/>
          <w:sz w:val="20"/>
          <w:szCs w:val="20"/>
        </w:rPr>
        <w:t xml:space="preserve"> </w:t>
      </w:r>
      <w:r w:rsidRPr="00FB77BA">
        <w:rPr>
          <w:rFonts w:ascii="Arial" w:hAnsi="Arial" w:cs="Arial"/>
          <w:sz w:val="20"/>
          <w:szCs w:val="20"/>
        </w:rPr>
        <w:t>d. social influence,</w:t>
      </w:r>
    </w:p>
    <w:p w14:paraId="64CE7A84" w14:textId="4D76A397" w:rsidR="00CE26BE" w:rsidRPr="00FB77BA" w:rsidRDefault="00CE26BE" w:rsidP="00CE26BE">
      <w:pPr>
        <w:spacing w:after="0"/>
        <w:jc w:val="both"/>
        <w:rPr>
          <w:rFonts w:ascii="Arial" w:hAnsi="Arial" w:cs="Arial"/>
          <w:sz w:val="20"/>
          <w:szCs w:val="20"/>
        </w:rPr>
      </w:pPr>
      <w:r>
        <w:rPr>
          <w:rFonts w:ascii="Arial" w:hAnsi="Arial" w:cs="Arial"/>
          <w:sz w:val="20"/>
          <w:szCs w:val="20"/>
        </w:rPr>
        <w:t xml:space="preserve">             </w:t>
      </w:r>
      <w:r w:rsidRPr="00FB77BA">
        <w:rPr>
          <w:rFonts w:ascii="Arial" w:hAnsi="Arial" w:cs="Arial"/>
          <w:sz w:val="20"/>
          <w:szCs w:val="20"/>
        </w:rPr>
        <w:t xml:space="preserve">   e. perceive risk,</w:t>
      </w:r>
    </w:p>
    <w:p w14:paraId="603F09BF" w14:textId="7B361420" w:rsidR="00CE26BE" w:rsidRPr="00FB77BA" w:rsidRDefault="00CE26BE" w:rsidP="00CE26BE">
      <w:pPr>
        <w:spacing w:after="0"/>
        <w:jc w:val="both"/>
        <w:rPr>
          <w:rFonts w:ascii="Arial" w:hAnsi="Arial" w:cs="Arial"/>
          <w:sz w:val="20"/>
          <w:szCs w:val="20"/>
        </w:rPr>
      </w:pPr>
      <w:r>
        <w:rPr>
          <w:rFonts w:ascii="Arial" w:hAnsi="Arial" w:cs="Arial"/>
          <w:sz w:val="20"/>
          <w:szCs w:val="20"/>
        </w:rPr>
        <w:t xml:space="preserve">                 </w:t>
      </w:r>
      <w:r w:rsidRPr="00FB77BA">
        <w:rPr>
          <w:rFonts w:ascii="Arial" w:hAnsi="Arial" w:cs="Arial"/>
          <w:sz w:val="20"/>
          <w:szCs w:val="20"/>
        </w:rPr>
        <w:t>f. perceive value, and</w:t>
      </w:r>
    </w:p>
    <w:p w14:paraId="49D28F32" w14:textId="77777777" w:rsidR="00CE26BE" w:rsidRDefault="00CE26BE" w:rsidP="00CE26BE">
      <w:pPr>
        <w:tabs>
          <w:tab w:val="left" w:pos="2775"/>
        </w:tabs>
        <w:spacing w:after="0"/>
        <w:jc w:val="both"/>
        <w:rPr>
          <w:rFonts w:ascii="Arial" w:hAnsi="Arial" w:cs="Arial"/>
          <w:sz w:val="20"/>
          <w:szCs w:val="20"/>
        </w:rPr>
      </w:pPr>
      <w:r w:rsidRPr="00FB77BA">
        <w:rPr>
          <w:rFonts w:ascii="Arial" w:hAnsi="Arial" w:cs="Arial"/>
          <w:sz w:val="20"/>
          <w:szCs w:val="20"/>
        </w:rPr>
        <w:t xml:space="preserve">        </w:t>
      </w:r>
      <w:r>
        <w:rPr>
          <w:rFonts w:ascii="Arial" w:hAnsi="Arial" w:cs="Arial"/>
          <w:sz w:val="20"/>
          <w:szCs w:val="20"/>
        </w:rPr>
        <w:t xml:space="preserve"> </w:t>
      </w:r>
      <w:r w:rsidRPr="00FB77BA">
        <w:rPr>
          <w:rFonts w:ascii="Arial" w:hAnsi="Arial" w:cs="Arial"/>
          <w:sz w:val="20"/>
          <w:szCs w:val="20"/>
        </w:rPr>
        <w:t xml:space="preserve">     </w:t>
      </w:r>
      <w:r>
        <w:rPr>
          <w:rFonts w:ascii="Arial" w:hAnsi="Arial" w:cs="Arial"/>
          <w:sz w:val="20"/>
          <w:szCs w:val="20"/>
        </w:rPr>
        <w:t xml:space="preserve"> </w:t>
      </w:r>
      <w:r w:rsidRPr="00FB77BA">
        <w:rPr>
          <w:rFonts w:ascii="Arial" w:hAnsi="Arial" w:cs="Arial"/>
          <w:sz w:val="20"/>
          <w:szCs w:val="20"/>
        </w:rPr>
        <w:t xml:space="preserve"> g. self-control.</w:t>
      </w:r>
    </w:p>
    <w:p w14:paraId="2E9501BD" w14:textId="77777777" w:rsidR="00CE26BE" w:rsidRPr="00FB77BA" w:rsidRDefault="00CE26BE" w:rsidP="00CE26BE">
      <w:pPr>
        <w:spacing w:after="0"/>
        <w:jc w:val="both"/>
        <w:rPr>
          <w:rFonts w:ascii="Arial" w:hAnsi="Arial" w:cs="Arial"/>
          <w:sz w:val="20"/>
          <w:szCs w:val="20"/>
        </w:rPr>
      </w:pPr>
      <w:r w:rsidRPr="00FB77BA">
        <w:rPr>
          <w:rFonts w:ascii="Arial" w:eastAsia="Times New Roman" w:hAnsi="Arial" w:cs="Arial"/>
          <w:sz w:val="20"/>
          <w:szCs w:val="20"/>
        </w:rPr>
        <w:t xml:space="preserve">     4. To determine if there is a significant relationship between: </w:t>
      </w:r>
    </w:p>
    <w:p w14:paraId="2570800F" w14:textId="3252C880" w:rsidR="00CE26BE" w:rsidRPr="00FB77BA" w:rsidRDefault="00CE26BE" w:rsidP="00CE26BE">
      <w:pPr>
        <w:spacing w:after="0"/>
        <w:jc w:val="both"/>
        <w:rPr>
          <w:rFonts w:ascii="Arial" w:hAnsi="Arial" w:cs="Arial"/>
          <w:sz w:val="20"/>
          <w:szCs w:val="20"/>
        </w:rPr>
      </w:pPr>
      <w:r w:rsidRPr="00FB77BA">
        <w:rPr>
          <w:rFonts w:ascii="Arial" w:eastAsia="Times New Roman" w:hAnsi="Arial" w:cs="Arial"/>
          <w:sz w:val="20"/>
          <w:szCs w:val="20"/>
        </w:rPr>
        <w:t xml:space="preserve">   </w:t>
      </w:r>
      <w:r w:rsidRPr="00FB77BA">
        <w:rPr>
          <w:rFonts w:ascii="Arial" w:eastAsia="Times New Roman" w:hAnsi="Arial" w:cs="Arial"/>
          <w:sz w:val="20"/>
          <w:szCs w:val="20"/>
        </w:rPr>
        <w:tab/>
      </w:r>
      <w:r>
        <w:rPr>
          <w:rFonts w:ascii="Arial" w:eastAsia="Times New Roman" w:hAnsi="Arial" w:cs="Arial"/>
          <w:sz w:val="20"/>
          <w:szCs w:val="20"/>
        </w:rPr>
        <w:t xml:space="preserve">   </w:t>
      </w:r>
      <w:r w:rsidRPr="00FB77BA">
        <w:rPr>
          <w:rFonts w:ascii="Arial" w:eastAsia="Times New Roman" w:hAnsi="Arial" w:cs="Arial"/>
          <w:sz w:val="20"/>
          <w:szCs w:val="20"/>
        </w:rPr>
        <w:t>a. credit practices and loan repayment among home appliance dealers, and</w:t>
      </w:r>
    </w:p>
    <w:p w14:paraId="67ED9577" w14:textId="667EB8B0" w:rsidR="00CE26BE" w:rsidRPr="00FB77BA" w:rsidRDefault="00CE26BE" w:rsidP="00CE26BE">
      <w:pPr>
        <w:spacing w:after="0"/>
        <w:ind w:firstLine="720"/>
        <w:jc w:val="both"/>
        <w:rPr>
          <w:rFonts w:ascii="Arial" w:eastAsia="Times New Roman" w:hAnsi="Arial" w:cs="Arial"/>
          <w:sz w:val="20"/>
          <w:szCs w:val="20"/>
        </w:rPr>
      </w:pPr>
      <w:r>
        <w:rPr>
          <w:rFonts w:ascii="Arial" w:eastAsia="Times New Roman" w:hAnsi="Arial" w:cs="Arial"/>
          <w:sz w:val="20"/>
          <w:szCs w:val="20"/>
        </w:rPr>
        <w:t xml:space="preserve">   </w:t>
      </w:r>
      <w:r w:rsidRPr="00FB77BA">
        <w:rPr>
          <w:rFonts w:ascii="Arial" w:eastAsia="Times New Roman" w:hAnsi="Arial" w:cs="Arial"/>
          <w:sz w:val="20"/>
          <w:szCs w:val="20"/>
        </w:rPr>
        <w:t>b. collection practices and loan repayment among home appliance dealers.</w:t>
      </w:r>
    </w:p>
    <w:p w14:paraId="72522C1D" w14:textId="7167B0A0" w:rsidR="00CE26BE" w:rsidRPr="00FB77BA" w:rsidRDefault="00CE26BE" w:rsidP="00CE26BE">
      <w:pPr>
        <w:spacing w:after="0"/>
        <w:jc w:val="both"/>
        <w:rPr>
          <w:rFonts w:ascii="Arial" w:eastAsia="Times New Roman" w:hAnsi="Arial" w:cs="Arial"/>
          <w:sz w:val="20"/>
          <w:szCs w:val="20"/>
        </w:rPr>
      </w:pPr>
      <w:r w:rsidRPr="00FB77BA">
        <w:rPr>
          <w:rFonts w:ascii="Arial" w:eastAsia="Times New Roman" w:hAnsi="Arial" w:cs="Arial"/>
          <w:sz w:val="20"/>
          <w:szCs w:val="20"/>
        </w:rPr>
        <w:t xml:space="preserve">  </w:t>
      </w:r>
      <w:r>
        <w:rPr>
          <w:rFonts w:ascii="Arial" w:eastAsia="Times New Roman" w:hAnsi="Arial" w:cs="Arial"/>
          <w:sz w:val="20"/>
          <w:szCs w:val="20"/>
        </w:rPr>
        <w:t xml:space="preserve"> </w:t>
      </w:r>
      <w:r w:rsidRPr="00FB77BA">
        <w:rPr>
          <w:rFonts w:ascii="Arial" w:eastAsia="Times New Roman" w:hAnsi="Arial" w:cs="Arial"/>
          <w:sz w:val="20"/>
          <w:szCs w:val="20"/>
        </w:rPr>
        <w:t xml:space="preserve">  5. To identify which credit and collection practices significantly influence loan </w:t>
      </w:r>
      <w:r>
        <w:rPr>
          <w:rFonts w:ascii="Arial" w:eastAsia="Times New Roman" w:hAnsi="Arial" w:cs="Arial"/>
          <w:sz w:val="20"/>
          <w:szCs w:val="20"/>
        </w:rPr>
        <w:t>repayment        among home appliance dealers</w:t>
      </w:r>
    </w:p>
    <w:p w14:paraId="5538289F" w14:textId="7A38E4A2" w:rsidR="00690128" w:rsidRPr="00CE26BE" w:rsidRDefault="00CE26BE" w:rsidP="00CE26BE">
      <w:pPr>
        <w:tabs>
          <w:tab w:val="left" w:pos="2775"/>
        </w:tabs>
        <w:spacing w:after="0"/>
        <w:jc w:val="both"/>
        <w:rPr>
          <w:rFonts w:ascii="Arial" w:hAnsi="Arial" w:cs="Arial"/>
          <w:sz w:val="20"/>
          <w:szCs w:val="20"/>
        </w:rPr>
      </w:pPr>
      <w:r>
        <w:rPr>
          <w:rFonts w:ascii="Arial" w:hAnsi="Arial" w:cs="Arial"/>
          <w:sz w:val="20"/>
          <w:szCs w:val="20"/>
        </w:rPr>
        <w:tab/>
      </w:r>
    </w:p>
    <w:p w14:paraId="667B500C" w14:textId="77777777" w:rsidR="00690128" w:rsidRDefault="00690128" w:rsidP="00690128">
      <w:pPr>
        <w:spacing w:after="0"/>
        <w:jc w:val="both"/>
        <w:rPr>
          <w:rFonts w:ascii="Arial" w:eastAsia="Arial" w:hAnsi="Arial" w:cs="Arial"/>
          <w:b/>
          <w:smallCaps/>
          <w:color w:val="000000"/>
        </w:rPr>
      </w:pPr>
      <w:r>
        <w:rPr>
          <w:rFonts w:ascii="Arial" w:eastAsia="Arial" w:hAnsi="Arial" w:cs="Arial"/>
          <w:b/>
          <w:smallCaps/>
          <w:color w:val="000000"/>
        </w:rPr>
        <w:t>3. MATERIALS AND METHODS</w:t>
      </w:r>
    </w:p>
    <w:p w14:paraId="23BAD8F8" w14:textId="77777777" w:rsidR="00690128" w:rsidRDefault="00690128" w:rsidP="00690128">
      <w:pPr>
        <w:spacing w:after="0"/>
        <w:jc w:val="both"/>
        <w:rPr>
          <w:rFonts w:ascii="Arial" w:eastAsia="Arial" w:hAnsi="Arial" w:cs="Arial"/>
          <w:b/>
          <w:smallCaps/>
          <w:color w:val="000000"/>
        </w:rPr>
      </w:pPr>
    </w:p>
    <w:p w14:paraId="52225831" w14:textId="77777777" w:rsidR="00690128" w:rsidRPr="00690128" w:rsidRDefault="00690128" w:rsidP="003C1E47">
      <w:pPr>
        <w:spacing w:after="0"/>
        <w:jc w:val="both"/>
        <w:rPr>
          <w:rFonts w:ascii="Arial" w:hAnsi="Arial" w:cs="Arial"/>
          <w:b/>
          <w:bCs/>
          <w:sz w:val="20"/>
          <w:szCs w:val="36"/>
        </w:rPr>
      </w:pPr>
      <w:r w:rsidRPr="00690128">
        <w:rPr>
          <w:rFonts w:ascii="Arial" w:hAnsi="Arial" w:cs="Arial"/>
          <w:b/>
          <w:bCs/>
          <w:sz w:val="20"/>
          <w:szCs w:val="36"/>
        </w:rPr>
        <w:t>Research Design</w:t>
      </w:r>
    </w:p>
    <w:p w14:paraId="718500AD" w14:textId="4CE62405" w:rsidR="009A4A8A" w:rsidRPr="00CE26BE" w:rsidRDefault="00CE26BE" w:rsidP="00CE26BE">
      <w:pPr>
        <w:ind w:firstLine="720"/>
        <w:jc w:val="both"/>
        <w:rPr>
          <w:rFonts w:ascii="Arial" w:hAnsi="Arial" w:cs="Arial"/>
          <w:sz w:val="20"/>
          <w:szCs w:val="20"/>
        </w:rPr>
      </w:pPr>
      <w:r w:rsidRPr="00FB77BA">
        <w:rPr>
          <w:rFonts w:ascii="Arial" w:hAnsi="Arial" w:cs="Arial"/>
          <w:sz w:val="20"/>
          <w:szCs w:val="20"/>
        </w:rPr>
        <w:t xml:space="preserve">The researcher employed a quantitative, descriptive, and correlational approach in this study. </w:t>
      </w:r>
      <w:proofErr w:type="spellStart"/>
      <w:r w:rsidRPr="00FB77BA">
        <w:rPr>
          <w:rFonts w:ascii="Arial" w:hAnsi="Arial" w:cs="Arial"/>
          <w:sz w:val="20"/>
          <w:szCs w:val="20"/>
        </w:rPr>
        <w:t>Calmorin</w:t>
      </w:r>
      <w:proofErr w:type="spellEnd"/>
      <w:r w:rsidRPr="00FB77BA">
        <w:rPr>
          <w:rFonts w:ascii="Arial" w:hAnsi="Arial" w:cs="Arial"/>
          <w:sz w:val="20"/>
          <w:szCs w:val="20"/>
        </w:rPr>
        <w:t xml:space="preserve"> &amp; </w:t>
      </w:r>
      <w:proofErr w:type="spellStart"/>
      <w:r w:rsidRPr="00FB77BA">
        <w:rPr>
          <w:rFonts w:ascii="Arial" w:hAnsi="Arial" w:cs="Arial"/>
          <w:sz w:val="20"/>
          <w:szCs w:val="20"/>
        </w:rPr>
        <w:t>Calmorin</w:t>
      </w:r>
      <w:proofErr w:type="spellEnd"/>
      <w:r w:rsidRPr="00FB77BA">
        <w:rPr>
          <w:rFonts w:ascii="Arial" w:hAnsi="Arial" w:cs="Arial"/>
          <w:sz w:val="20"/>
          <w:szCs w:val="20"/>
        </w:rPr>
        <w:t xml:space="preserve"> (2012) stated that a descriptive method of research is a study that focuses on the present condition and carefully appraises the worthiness of the study, the obtained facts about existing conditions, or identifies significant relationships between current phenomena. It described and interpreted the prevailing conditions or relationships that existed or did not, the practices that prevailed or did not, the beliefs, points of view, or attitudes that were held, the ongoing processes or lack thereof, the effects being felt, or the trends that had developed. In this study, descriptive research design was used to describe the extent of credit and collection practices and the level of loan repayment. On the other hand, </w:t>
      </w:r>
      <w:proofErr w:type="spellStart"/>
      <w:r w:rsidRPr="00FB77BA">
        <w:rPr>
          <w:rFonts w:ascii="Arial" w:hAnsi="Arial" w:cs="Arial"/>
          <w:sz w:val="20"/>
          <w:szCs w:val="20"/>
        </w:rPr>
        <w:t>Kalla</w:t>
      </w:r>
      <w:proofErr w:type="spellEnd"/>
      <w:r w:rsidRPr="00FB77BA">
        <w:rPr>
          <w:rFonts w:ascii="Arial" w:hAnsi="Arial" w:cs="Arial"/>
          <w:sz w:val="20"/>
          <w:szCs w:val="20"/>
        </w:rPr>
        <w:t xml:space="preserve"> (2011) defined a correlational study as a research method that determines whether three variables are correlated. In this study, a correlational research design was used to measure the relationship between credit practices, collection practices, and loan repayment. This involved examining whether a change in one variable corresponded to a change in the other variable.</w:t>
      </w:r>
    </w:p>
    <w:p w14:paraId="1677EE8D" w14:textId="77777777" w:rsidR="009A4A8A" w:rsidRPr="009A4A8A" w:rsidRDefault="009A4A8A" w:rsidP="009A4A8A">
      <w:pPr>
        <w:spacing w:after="0"/>
        <w:jc w:val="both"/>
        <w:rPr>
          <w:rFonts w:ascii="Arial" w:hAnsi="Arial" w:cs="Arial"/>
          <w:b/>
          <w:bCs/>
          <w:sz w:val="20"/>
          <w:szCs w:val="36"/>
        </w:rPr>
      </w:pPr>
      <w:r w:rsidRPr="009A4A8A">
        <w:rPr>
          <w:rFonts w:ascii="Arial" w:hAnsi="Arial" w:cs="Arial"/>
          <w:b/>
          <w:bCs/>
          <w:sz w:val="20"/>
          <w:szCs w:val="36"/>
        </w:rPr>
        <w:t>Research Instrument</w:t>
      </w:r>
    </w:p>
    <w:p w14:paraId="5E55EE5F" w14:textId="77777777" w:rsidR="00CE26BE" w:rsidRPr="00FB77BA" w:rsidRDefault="00CE26BE" w:rsidP="00CE26BE">
      <w:pPr>
        <w:ind w:firstLine="720"/>
        <w:jc w:val="both"/>
        <w:rPr>
          <w:rFonts w:ascii="Arial" w:hAnsi="Arial" w:cs="Arial"/>
          <w:sz w:val="20"/>
        </w:rPr>
      </w:pPr>
      <w:r w:rsidRPr="00FB77BA">
        <w:rPr>
          <w:rFonts w:ascii="Arial" w:hAnsi="Arial" w:cs="Arial"/>
          <w:sz w:val="20"/>
        </w:rPr>
        <w:lastRenderedPageBreak/>
        <w:t xml:space="preserve">The survey questionnaire used in this study to evaluate the two independent variables, credit and collection practices, was adapted from an instrument initially developed for a banking context by Ruben M. </w:t>
      </w:r>
      <w:proofErr w:type="spellStart"/>
      <w:r w:rsidRPr="00FB77BA">
        <w:rPr>
          <w:rFonts w:ascii="Arial" w:hAnsi="Arial" w:cs="Arial"/>
          <w:sz w:val="20"/>
        </w:rPr>
        <w:t>Buburan</w:t>
      </w:r>
      <w:proofErr w:type="spellEnd"/>
      <w:r w:rsidRPr="00FB77BA">
        <w:rPr>
          <w:rFonts w:ascii="Arial" w:hAnsi="Arial" w:cs="Arial"/>
          <w:sz w:val="20"/>
        </w:rPr>
        <w:t xml:space="preserve">, </w:t>
      </w:r>
      <w:proofErr w:type="spellStart"/>
      <w:r w:rsidRPr="00FB77BA">
        <w:rPr>
          <w:rFonts w:ascii="Arial" w:hAnsi="Arial" w:cs="Arial"/>
          <w:sz w:val="20"/>
        </w:rPr>
        <w:t>Querubin</w:t>
      </w:r>
      <w:proofErr w:type="spellEnd"/>
      <w:r w:rsidRPr="00FB77BA">
        <w:rPr>
          <w:rFonts w:ascii="Arial" w:hAnsi="Arial" w:cs="Arial"/>
          <w:sz w:val="20"/>
        </w:rPr>
        <w:t xml:space="preserve"> B. </w:t>
      </w:r>
      <w:proofErr w:type="spellStart"/>
      <w:r w:rsidRPr="00FB77BA">
        <w:rPr>
          <w:rFonts w:ascii="Arial" w:hAnsi="Arial" w:cs="Arial"/>
          <w:sz w:val="20"/>
        </w:rPr>
        <w:t>Buburan</w:t>
      </w:r>
      <w:proofErr w:type="spellEnd"/>
      <w:r w:rsidRPr="00FB77BA">
        <w:rPr>
          <w:rFonts w:ascii="Arial" w:hAnsi="Arial" w:cs="Arial"/>
          <w:sz w:val="20"/>
        </w:rPr>
        <w:t xml:space="preserve">, Jose </w:t>
      </w:r>
      <w:proofErr w:type="spellStart"/>
      <w:r w:rsidRPr="00FB77BA">
        <w:rPr>
          <w:rFonts w:ascii="Arial" w:hAnsi="Arial" w:cs="Arial"/>
          <w:sz w:val="20"/>
        </w:rPr>
        <w:t>Calasanz</w:t>
      </w:r>
      <w:proofErr w:type="spellEnd"/>
      <w:r w:rsidRPr="00FB77BA">
        <w:rPr>
          <w:rFonts w:ascii="Arial" w:hAnsi="Arial" w:cs="Arial"/>
          <w:sz w:val="20"/>
        </w:rPr>
        <w:t xml:space="preserve"> </w:t>
      </w:r>
      <w:proofErr w:type="spellStart"/>
      <w:r w:rsidRPr="00FB77BA">
        <w:rPr>
          <w:rFonts w:ascii="Arial" w:hAnsi="Arial" w:cs="Arial"/>
          <w:sz w:val="20"/>
        </w:rPr>
        <w:t>Julysses</w:t>
      </w:r>
      <w:proofErr w:type="spellEnd"/>
      <w:r w:rsidRPr="00FB77BA">
        <w:rPr>
          <w:rFonts w:ascii="Arial" w:hAnsi="Arial" w:cs="Arial"/>
          <w:sz w:val="20"/>
        </w:rPr>
        <w:t xml:space="preserve"> D. </w:t>
      </w:r>
      <w:proofErr w:type="spellStart"/>
      <w:r w:rsidRPr="00FB77BA">
        <w:rPr>
          <w:rFonts w:ascii="Arial" w:hAnsi="Arial" w:cs="Arial"/>
          <w:sz w:val="20"/>
        </w:rPr>
        <w:t>Tabia</w:t>
      </w:r>
      <w:proofErr w:type="spellEnd"/>
      <w:r w:rsidRPr="00FB77BA">
        <w:rPr>
          <w:rFonts w:ascii="Arial" w:hAnsi="Arial" w:cs="Arial"/>
          <w:sz w:val="20"/>
        </w:rPr>
        <w:t xml:space="preserve">, and Imelda B. </w:t>
      </w:r>
      <w:proofErr w:type="spellStart"/>
      <w:r w:rsidRPr="00FB77BA">
        <w:rPr>
          <w:rFonts w:ascii="Arial" w:hAnsi="Arial" w:cs="Arial"/>
          <w:sz w:val="20"/>
        </w:rPr>
        <w:t>Buburan</w:t>
      </w:r>
      <w:proofErr w:type="spellEnd"/>
      <w:r w:rsidRPr="00FB77BA">
        <w:rPr>
          <w:rFonts w:ascii="Arial" w:hAnsi="Arial" w:cs="Arial"/>
          <w:sz w:val="20"/>
        </w:rPr>
        <w:t xml:space="preserve"> (2024). It was modified to fit the context of home appliance dealers, with debtors as respondents. To ensure its applicability, the instrument underwent expert validation and statistical testing for construct validity and reliability.</w:t>
      </w:r>
    </w:p>
    <w:p w14:paraId="40FF5E83" w14:textId="77777777" w:rsidR="00CE26BE" w:rsidRPr="00FB77BA" w:rsidRDefault="00CE26BE" w:rsidP="00CE26BE">
      <w:pPr>
        <w:ind w:firstLine="720"/>
        <w:jc w:val="both"/>
        <w:rPr>
          <w:rFonts w:ascii="Arial" w:hAnsi="Arial" w:cs="Arial"/>
          <w:sz w:val="20"/>
        </w:rPr>
      </w:pPr>
      <w:r w:rsidRPr="00FB77BA">
        <w:rPr>
          <w:rFonts w:ascii="Arial" w:hAnsi="Arial" w:cs="Arial"/>
          <w:sz w:val="20"/>
        </w:rPr>
        <w:t>Experts reviewed the questionnaire to assess its relevance and clarity in relation to the study's objectives. Their feedback led to modifications that improved the instrument's alignment with the creditor setting. The revised questionnaire was then tested for construct validity using the Kaiser-Meyer-Olkin (KMO) Measure and Bartlett's Test of Sphericity. The KMO score was 0.633, indicating adequate sampling for factor analysis. Bartlett's Test produced significant results (χ² = 5459.636, df = 2278, p &lt; .001), confirming that the data were suitable for further analysis. Reliability was assessed using Cronbach's Alpha, which yielded a coefficient of 0.877, indicating a high level of internal consistency.</w:t>
      </w:r>
    </w:p>
    <w:p w14:paraId="25AAB2CD" w14:textId="244B1359" w:rsidR="009A4A8A" w:rsidRPr="0061031B" w:rsidRDefault="00CE26BE" w:rsidP="0061031B">
      <w:pPr>
        <w:ind w:firstLine="720"/>
        <w:jc w:val="both"/>
        <w:rPr>
          <w:rFonts w:ascii="Arial" w:hAnsi="Arial" w:cs="Arial"/>
          <w:sz w:val="20"/>
        </w:rPr>
      </w:pPr>
      <w:r w:rsidRPr="00FB77BA">
        <w:rPr>
          <w:rFonts w:ascii="Arial" w:hAnsi="Arial" w:cs="Arial"/>
          <w:sz w:val="20"/>
        </w:rPr>
        <w:t xml:space="preserve">The questionnaire for the dependent variable, loan repayment, was adapted from William Clifford Gomera and </w:t>
      </w:r>
      <w:proofErr w:type="spellStart"/>
      <w:r w:rsidRPr="00FB77BA">
        <w:rPr>
          <w:rFonts w:ascii="Arial" w:hAnsi="Arial" w:cs="Arial"/>
          <w:sz w:val="20"/>
        </w:rPr>
        <w:t>Magnawa</w:t>
      </w:r>
      <w:proofErr w:type="spellEnd"/>
      <w:r w:rsidRPr="00FB77BA">
        <w:rPr>
          <w:rFonts w:ascii="Arial" w:hAnsi="Arial" w:cs="Arial"/>
          <w:sz w:val="20"/>
        </w:rPr>
        <w:t xml:space="preserve"> Ibrahim </w:t>
      </w:r>
      <w:proofErr w:type="spellStart"/>
      <w:r w:rsidRPr="00FB77BA">
        <w:rPr>
          <w:rFonts w:ascii="Arial" w:hAnsi="Arial" w:cs="Arial"/>
          <w:sz w:val="20"/>
        </w:rPr>
        <w:t>Ngollo</w:t>
      </w:r>
      <w:proofErr w:type="spellEnd"/>
      <w:r w:rsidRPr="00FB77BA">
        <w:rPr>
          <w:rFonts w:ascii="Arial" w:hAnsi="Arial" w:cs="Arial"/>
          <w:sz w:val="20"/>
        </w:rPr>
        <w:t xml:space="preserve"> (2023). This instrument was divided into three parts: the first covered credit practices (character, capacity, cash flow, collateral, condition, and control); the second focused on collection practices (documentation, manpower, and procedures); and the third assessed loan repayment (information on repayment, financial literacy, reinvestment needs, social influence, perceived risk, perceived value, and self-control).</w:t>
      </w:r>
    </w:p>
    <w:p w14:paraId="209A34E5" w14:textId="77777777" w:rsidR="009A4A8A" w:rsidRPr="009A4A8A" w:rsidRDefault="009A4A8A" w:rsidP="009A4A8A">
      <w:pPr>
        <w:spacing w:after="0"/>
        <w:jc w:val="both"/>
        <w:rPr>
          <w:rFonts w:ascii="Arial" w:hAnsi="Arial" w:cs="Arial"/>
          <w:b/>
          <w:bCs/>
          <w:sz w:val="20"/>
          <w:szCs w:val="36"/>
        </w:rPr>
      </w:pPr>
      <w:r w:rsidRPr="00804B23">
        <w:rPr>
          <w:rFonts w:ascii="Arial" w:eastAsia="Arial" w:hAnsi="Arial" w:cs="Arial"/>
          <w:b/>
          <w:color w:val="000000"/>
          <w:sz w:val="20"/>
          <w:highlight w:val="white"/>
        </w:rPr>
        <w:t>Respondents of the Study</w:t>
      </w:r>
    </w:p>
    <w:p w14:paraId="2E9A3DE6" w14:textId="44FB066B" w:rsidR="009A4A8A" w:rsidRDefault="0061031B" w:rsidP="0061031B">
      <w:pPr>
        <w:spacing w:after="0"/>
        <w:ind w:firstLine="720"/>
        <w:jc w:val="both"/>
        <w:rPr>
          <w:rFonts w:ascii="Arial" w:hAnsi="Arial" w:cs="Arial"/>
          <w:sz w:val="20"/>
        </w:rPr>
      </w:pPr>
      <w:r w:rsidRPr="008B3C19">
        <w:rPr>
          <w:rFonts w:ascii="Arial" w:hAnsi="Arial" w:cs="Arial"/>
          <w:sz w:val="20"/>
        </w:rPr>
        <w:t xml:space="preserve">The respondents of this study were debtors of home appliance dealers in </w:t>
      </w:r>
      <w:proofErr w:type="spellStart"/>
      <w:r w:rsidRPr="008B3C19">
        <w:rPr>
          <w:rFonts w:ascii="Arial" w:hAnsi="Arial" w:cs="Arial"/>
          <w:sz w:val="20"/>
        </w:rPr>
        <w:t>Cateel</w:t>
      </w:r>
      <w:proofErr w:type="spellEnd"/>
      <w:r w:rsidRPr="008B3C19">
        <w:rPr>
          <w:rFonts w:ascii="Arial" w:hAnsi="Arial" w:cs="Arial"/>
          <w:sz w:val="20"/>
        </w:rPr>
        <w:t>, Davao Oriental. Key participants were identified creditors selected for their role in influencing loan repayment practices within the appliance sector. These participants were chosen using a purposive quota sampling technique. Purposive quota sampling, as described by Palinkas et al. (2015), is a non-probability approach that allows researchers to intentionally select individuals who meet specific criteria relevant to the study</w:t>
      </w:r>
      <w:r w:rsidRPr="008B3C19">
        <w:rPr>
          <w:rFonts w:ascii="Arial" w:hAnsi="Arial" w:cs="Arial"/>
          <w:sz w:val="20"/>
          <w:szCs w:val="20"/>
        </w:rPr>
        <w:t>. In total, the study involved 150 respondents, identified as key participants in the appliance sector, selected through the purposive quota sampling method. This approach enables researchers to intentionally select participants with specific knowledge or experience relevant to the study, particularly debtors, who can provide direct insights into credit and collection practices</w:t>
      </w:r>
      <w:r>
        <w:rPr>
          <w:rFonts w:ascii="Arial" w:hAnsi="Arial" w:cs="Arial"/>
          <w:sz w:val="20"/>
          <w:szCs w:val="20"/>
        </w:rPr>
        <w:t>.</w:t>
      </w:r>
      <w:r>
        <w:rPr>
          <w:rFonts w:ascii="Arial" w:hAnsi="Arial" w:cs="Arial"/>
          <w:sz w:val="20"/>
        </w:rPr>
        <w:tab/>
      </w:r>
    </w:p>
    <w:p w14:paraId="6E456CC1" w14:textId="108F50B6" w:rsidR="00B109CD" w:rsidRDefault="00B109CD" w:rsidP="00B109CD">
      <w:pPr>
        <w:spacing w:after="0"/>
        <w:jc w:val="both"/>
        <w:rPr>
          <w:rFonts w:ascii="Arial" w:hAnsi="Arial" w:cs="Arial"/>
          <w:sz w:val="20"/>
          <w:szCs w:val="36"/>
        </w:rPr>
      </w:pPr>
    </w:p>
    <w:p w14:paraId="1CD3B6D1" w14:textId="39033C9F" w:rsidR="0061031B" w:rsidRDefault="0061031B" w:rsidP="0061031B">
      <w:pPr>
        <w:spacing w:after="0"/>
        <w:ind w:firstLine="720"/>
        <w:jc w:val="both"/>
      </w:pPr>
    </w:p>
    <w:p w14:paraId="0A2582BF" w14:textId="77777777" w:rsidR="00B109CD" w:rsidRDefault="00B109CD" w:rsidP="00580FBF">
      <w:pPr>
        <w:spacing w:after="0"/>
        <w:jc w:val="both"/>
        <w:rPr>
          <w:rFonts w:ascii="Arial" w:hAnsi="Arial" w:cs="Arial"/>
          <w:sz w:val="20"/>
          <w:szCs w:val="36"/>
        </w:rPr>
      </w:pPr>
    </w:p>
    <w:p w14:paraId="5C15A0DE" w14:textId="77777777" w:rsidR="007C2C1D" w:rsidRDefault="007C2C1D" w:rsidP="00580FBF">
      <w:pPr>
        <w:spacing w:after="0"/>
        <w:jc w:val="both"/>
        <w:rPr>
          <w:rFonts w:ascii="Arial" w:eastAsia="Arial" w:hAnsi="Arial" w:cs="Arial"/>
          <w:b/>
          <w:smallCaps/>
          <w:color w:val="000000"/>
          <w:lang w:val="en-US" w:eastAsia="en-PH"/>
        </w:rPr>
      </w:pPr>
      <w:r w:rsidRPr="007C2C1D">
        <w:rPr>
          <w:rFonts w:ascii="Arial" w:eastAsia="Arial" w:hAnsi="Arial" w:cs="Arial"/>
          <w:b/>
          <w:smallCaps/>
          <w:color w:val="000000"/>
          <w:lang w:val="en-US" w:eastAsia="en-PH"/>
        </w:rPr>
        <w:t>4. RESULTS AND DISCUSSION</w:t>
      </w:r>
    </w:p>
    <w:p w14:paraId="44C9496D" w14:textId="77777777" w:rsidR="007C2C1D" w:rsidRDefault="007C2C1D" w:rsidP="00580FBF">
      <w:pPr>
        <w:spacing w:after="0"/>
        <w:jc w:val="both"/>
        <w:rPr>
          <w:rFonts w:ascii="Arial" w:hAnsi="Arial" w:cs="Arial"/>
          <w:sz w:val="20"/>
          <w:szCs w:val="36"/>
        </w:rPr>
      </w:pPr>
    </w:p>
    <w:p w14:paraId="38B8D3A1" w14:textId="77777777" w:rsidR="00A25DD7" w:rsidRDefault="00A25DD7" w:rsidP="00A25DD7">
      <w:pPr>
        <w:autoSpaceDE w:val="0"/>
        <w:autoSpaceDN w:val="0"/>
        <w:adjustRightInd w:val="0"/>
        <w:spacing w:after="0" w:line="240" w:lineRule="auto"/>
        <w:jc w:val="center"/>
        <w:rPr>
          <w:rFonts w:ascii="Arial" w:hAnsi="Arial" w:cs="Arial"/>
          <w:b/>
          <w:bCs/>
          <w:color w:val="000000"/>
        </w:rPr>
      </w:pPr>
      <w:r w:rsidRPr="004C41D9">
        <w:rPr>
          <w:rFonts w:ascii="Arial" w:hAnsi="Arial" w:cs="Arial"/>
          <w:b/>
          <w:bCs/>
          <w:color w:val="000000"/>
        </w:rPr>
        <w:t>Level of Credit Practices</w:t>
      </w:r>
    </w:p>
    <w:p w14:paraId="5F644A0E" w14:textId="77777777" w:rsidR="008A1A9B" w:rsidRPr="00BE59DE" w:rsidRDefault="008A1A9B" w:rsidP="00BE59DE">
      <w:pPr>
        <w:shd w:val="clear" w:color="auto" w:fill="FFFFFF" w:themeFill="background1"/>
        <w:spacing w:after="0" w:line="240" w:lineRule="auto"/>
        <w:jc w:val="center"/>
        <w:rPr>
          <w:rFonts w:ascii="Arial" w:hAnsi="Arial" w:cs="Arial"/>
          <w:b/>
          <w:sz w:val="20"/>
        </w:rPr>
      </w:pPr>
    </w:p>
    <w:p w14:paraId="414B9FA2" w14:textId="77777777" w:rsidR="00A25DD7" w:rsidRPr="00E70560" w:rsidRDefault="00A25DD7" w:rsidP="00A25DD7">
      <w:pPr>
        <w:autoSpaceDE w:val="0"/>
        <w:autoSpaceDN w:val="0"/>
        <w:adjustRightInd w:val="0"/>
        <w:spacing w:after="0" w:line="240" w:lineRule="auto"/>
        <w:ind w:firstLine="720"/>
        <w:jc w:val="both"/>
        <w:rPr>
          <w:rFonts w:ascii="Arial" w:hAnsi="Arial" w:cs="Arial"/>
          <w:color w:val="000000"/>
          <w:sz w:val="20"/>
        </w:rPr>
      </w:pPr>
      <w:r w:rsidRPr="00E70560">
        <w:rPr>
          <w:rFonts w:ascii="Arial" w:hAnsi="Arial" w:cs="Arial"/>
          <w:color w:val="000000"/>
          <w:sz w:val="20"/>
        </w:rPr>
        <w:t>Table 4 shows that the level of credit practices in terms of character is very evident (</w:t>
      </w:r>
      <w:r w:rsidRPr="00E70560">
        <w:rPr>
          <w:rFonts w:ascii="Arial" w:hAnsi="Arial" w:cs="Arial"/>
          <w:color w:val="4D5155"/>
          <w:sz w:val="20"/>
        </w:rPr>
        <w:t xml:space="preserve">x̄ </w:t>
      </w:r>
      <w:r w:rsidRPr="00E70560">
        <w:rPr>
          <w:rFonts w:ascii="Arial" w:hAnsi="Arial" w:cs="Arial"/>
          <w:color w:val="000000"/>
          <w:sz w:val="20"/>
        </w:rPr>
        <w:t xml:space="preserve">= 4.56). The result indicates that level-to-credit practices in terms of character are very evident. This implies that home appliance dealers in </w:t>
      </w:r>
      <w:proofErr w:type="spellStart"/>
      <w:r w:rsidRPr="00E70560">
        <w:rPr>
          <w:rFonts w:ascii="Arial" w:hAnsi="Arial" w:cs="Arial"/>
          <w:color w:val="000000"/>
          <w:sz w:val="20"/>
        </w:rPr>
        <w:t>Cateel</w:t>
      </w:r>
      <w:proofErr w:type="spellEnd"/>
      <w:r w:rsidRPr="00E70560">
        <w:rPr>
          <w:rFonts w:ascii="Arial" w:hAnsi="Arial" w:cs="Arial"/>
          <w:color w:val="000000"/>
          <w:sz w:val="20"/>
        </w:rPr>
        <w:t xml:space="preserve"> consistently and thoroughly apply character-based evaluation practices, such as requiring guarantors, collecting personal information, seeking references, and ensuring financial guarantees, to assess applicants’ reliability and financial responsibility before approving credit. </w:t>
      </w:r>
    </w:p>
    <w:p w14:paraId="4EA2517E" w14:textId="77777777" w:rsidR="007C2C1D" w:rsidRPr="007C2C1D" w:rsidRDefault="007C2C1D" w:rsidP="007C2C1D">
      <w:pPr>
        <w:shd w:val="clear" w:color="auto" w:fill="FFFFFF" w:themeFill="background1"/>
        <w:spacing w:after="0" w:line="240" w:lineRule="auto"/>
        <w:jc w:val="both"/>
        <w:rPr>
          <w:rFonts w:ascii="Arial" w:hAnsi="Arial" w:cs="Arial"/>
        </w:rPr>
      </w:pPr>
    </w:p>
    <w:p w14:paraId="3A1178DB" w14:textId="3CCABBBF" w:rsidR="00132D83" w:rsidRPr="00132D83" w:rsidRDefault="00BE59DE" w:rsidP="007C2C1D">
      <w:pPr>
        <w:shd w:val="clear" w:color="auto" w:fill="FFFFFF" w:themeFill="background1"/>
        <w:spacing w:line="240" w:lineRule="auto"/>
        <w:rPr>
          <w:rFonts w:ascii="Arial" w:hAnsi="Arial" w:cs="Arial"/>
          <w:color w:val="222222"/>
          <w:sz w:val="20"/>
          <w:shd w:val="clear" w:color="auto" w:fill="FFFFFF"/>
        </w:rPr>
      </w:pPr>
      <w:r>
        <w:rPr>
          <w:rFonts w:ascii="Arial" w:hAnsi="Arial" w:cs="Arial"/>
          <w:b/>
          <w:color w:val="222222"/>
          <w:sz w:val="20"/>
          <w:shd w:val="clear" w:color="auto" w:fill="FFFFFF"/>
        </w:rPr>
        <w:t xml:space="preserve">Table </w:t>
      </w:r>
      <w:r w:rsidR="00913E87">
        <w:rPr>
          <w:rFonts w:ascii="Arial" w:hAnsi="Arial" w:cs="Arial"/>
          <w:b/>
          <w:color w:val="222222"/>
          <w:sz w:val="20"/>
          <w:shd w:val="clear" w:color="auto" w:fill="FFFFFF"/>
        </w:rPr>
        <w:t>1</w:t>
      </w:r>
      <w:r w:rsidR="007C2C1D" w:rsidRPr="007C2C1D">
        <w:rPr>
          <w:rFonts w:ascii="Arial" w:hAnsi="Arial" w:cs="Arial"/>
          <w:color w:val="222222"/>
          <w:sz w:val="20"/>
          <w:shd w:val="clear" w:color="auto" w:fill="FFFFFF"/>
        </w:rPr>
        <w:t>.</w:t>
      </w:r>
      <w:r w:rsidR="00132D83">
        <w:rPr>
          <w:rFonts w:ascii="Arial" w:hAnsi="Arial" w:cs="Arial"/>
          <w:color w:val="222222"/>
          <w:sz w:val="20"/>
          <w:shd w:val="clear" w:color="auto" w:fill="FFFFFF"/>
        </w:rPr>
        <w:t xml:space="preserve"> Level of credit practices in terms of Characters</w:t>
      </w:r>
    </w:p>
    <w:tbl>
      <w:tblPr>
        <w:tblStyle w:val="PlainTable21"/>
        <w:tblW w:w="8275" w:type="dxa"/>
        <w:tblLook w:val="04A0" w:firstRow="1" w:lastRow="0" w:firstColumn="1" w:lastColumn="0" w:noHBand="0" w:noVBand="1"/>
      </w:tblPr>
      <w:tblGrid>
        <w:gridCol w:w="3397"/>
        <w:gridCol w:w="884"/>
        <w:gridCol w:w="1744"/>
        <w:gridCol w:w="2250"/>
      </w:tblGrid>
      <w:tr w:rsidR="00132D83" w14:paraId="594C41D3" w14:textId="77777777" w:rsidTr="00E57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49589410" w14:textId="65B4479F" w:rsidR="00132D83" w:rsidRPr="002813BE" w:rsidRDefault="00132D83" w:rsidP="002813BE">
            <w:pPr>
              <w:jc w:val="center"/>
              <w:rPr>
                <w:rFonts w:ascii="Arial" w:hAnsi="Arial" w:cs="Arial"/>
                <w:b w:val="0"/>
                <w:bCs w:val="0"/>
                <w:color w:val="222222"/>
                <w:sz w:val="20"/>
                <w:shd w:val="clear" w:color="auto" w:fill="FFFFFF"/>
              </w:rPr>
            </w:pPr>
            <w:bookmarkStart w:id="1" w:name="_Hlk203567325"/>
            <w:bookmarkStart w:id="2" w:name="_Hlk203567410"/>
            <w:r w:rsidRPr="002813BE">
              <w:rPr>
                <w:rFonts w:ascii="Arial" w:hAnsi="Arial" w:cs="Arial"/>
                <w:b w:val="0"/>
                <w:bCs w:val="0"/>
                <w:sz w:val="20"/>
                <w:szCs w:val="20"/>
              </w:rPr>
              <w:lastRenderedPageBreak/>
              <w:t>Description</w:t>
            </w:r>
          </w:p>
        </w:tc>
        <w:tc>
          <w:tcPr>
            <w:tcW w:w="884" w:type="dxa"/>
            <w:tcBorders>
              <w:top w:val="single" w:sz="12" w:space="0" w:color="auto"/>
            </w:tcBorders>
          </w:tcPr>
          <w:p w14:paraId="66350812" w14:textId="502C9CCA" w:rsidR="00132D83" w:rsidRPr="002813BE" w:rsidRDefault="00132D83" w:rsidP="002813B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222222"/>
                <w:sz w:val="20"/>
                <w:shd w:val="clear" w:color="auto" w:fill="FFFFFF"/>
              </w:rPr>
            </w:pPr>
            <w:r w:rsidRPr="002813BE">
              <w:rPr>
                <w:rFonts w:ascii="Arial" w:hAnsi="Arial" w:cs="Arial"/>
                <w:b w:val="0"/>
                <w:bCs w:val="0"/>
                <w:sz w:val="20"/>
                <w:szCs w:val="20"/>
              </w:rPr>
              <w:t>Mean</w:t>
            </w:r>
          </w:p>
        </w:tc>
        <w:tc>
          <w:tcPr>
            <w:tcW w:w="1744" w:type="dxa"/>
            <w:tcBorders>
              <w:top w:val="single" w:sz="12" w:space="0" w:color="auto"/>
            </w:tcBorders>
          </w:tcPr>
          <w:p w14:paraId="1B8387B6" w14:textId="5A87DF27" w:rsidR="00132D83" w:rsidRPr="002813BE" w:rsidRDefault="00132D83" w:rsidP="002813B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222222"/>
                <w:sz w:val="20"/>
                <w:shd w:val="clear" w:color="auto" w:fill="FFFFFF"/>
              </w:rPr>
            </w:pPr>
            <w:r w:rsidRPr="002813BE">
              <w:rPr>
                <w:rFonts w:ascii="Arial" w:hAnsi="Arial" w:cs="Arial"/>
                <w:b w:val="0"/>
                <w:bCs w:val="0"/>
                <w:sz w:val="20"/>
                <w:szCs w:val="20"/>
              </w:rPr>
              <w:t>Std. deviation</w:t>
            </w:r>
          </w:p>
        </w:tc>
        <w:tc>
          <w:tcPr>
            <w:tcW w:w="2250" w:type="dxa"/>
            <w:tcBorders>
              <w:top w:val="single" w:sz="12" w:space="0" w:color="auto"/>
            </w:tcBorders>
          </w:tcPr>
          <w:p w14:paraId="1FFA1D8C" w14:textId="2988B8FB" w:rsidR="00132D83" w:rsidRPr="002813BE" w:rsidRDefault="00132D83" w:rsidP="002813B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222222"/>
                <w:sz w:val="20"/>
                <w:shd w:val="clear" w:color="auto" w:fill="FFFFFF"/>
              </w:rPr>
            </w:pPr>
            <w:r w:rsidRPr="002813BE">
              <w:rPr>
                <w:rFonts w:ascii="Arial" w:hAnsi="Arial" w:cs="Arial"/>
                <w:b w:val="0"/>
                <w:bCs w:val="0"/>
                <w:sz w:val="20"/>
                <w:szCs w:val="20"/>
              </w:rPr>
              <w:t>Descriptive Level</w:t>
            </w:r>
          </w:p>
        </w:tc>
      </w:tr>
      <w:tr w:rsidR="00132D83" w14:paraId="0BEEEE87" w14:textId="77777777" w:rsidTr="00E57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D861DCF" w14:textId="588A73F3" w:rsidR="00132D83" w:rsidRPr="00E57EE2" w:rsidRDefault="00132D83" w:rsidP="002813BE">
            <w:pPr>
              <w:rPr>
                <w:rFonts w:ascii="Arial" w:hAnsi="Arial" w:cs="Arial"/>
                <w:b w:val="0"/>
                <w:bCs w:val="0"/>
                <w:color w:val="222222"/>
                <w:sz w:val="20"/>
                <w:shd w:val="clear" w:color="auto" w:fill="FFFFFF"/>
              </w:rPr>
            </w:pPr>
            <w:r w:rsidRPr="00E57EE2">
              <w:rPr>
                <w:rFonts w:ascii="Arial" w:hAnsi="Arial" w:cs="Arial"/>
                <w:b w:val="0"/>
                <w:bCs w:val="0"/>
                <w:sz w:val="20"/>
                <w:szCs w:val="20"/>
              </w:rPr>
              <w:t xml:space="preserve">Dealers commonly require applicants to provide guarantors or co-signers before approving credit </w:t>
            </w:r>
          </w:p>
        </w:tc>
        <w:tc>
          <w:tcPr>
            <w:tcW w:w="884" w:type="dxa"/>
          </w:tcPr>
          <w:p w14:paraId="7D326616" w14:textId="2767DCF3" w:rsidR="00132D83" w:rsidRPr="002813BE" w:rsidRDefault="00132D83"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2813BE">
              <w:rPr>
                <w:rFonts w:ascii="Arial" w:hAnsi="Arial" w:cs="Arial"/>
                <w:sz w:val="20"/>
                <w:szCs w:val="20"/>
              </w:rPr>
              <w:t>4.63</w:t>
            </w:r>
          </w:p>
        </w:tc>
        <w:tc>
          <w:tcPr>
            <w:tcW w:w="1744" w:type="dxa"/>
          </w:tcPr>
          <w:p w14:paraId="11835CAC" w14:textId="40DBC15D" w:rsidR="00132D83" w:rsidRDefault="00132D83"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EC3182">
              <w:rPr>
                <w:rFonts w:ascii="Arial" w:hAnsi="Arial" w:cs="Arial"/>
                <w:sz w:val="20"/>
                <w:szCs w:val="20"/>
              </w:rPr>
              <w:t>0.53</w:t>
            </w:r>
          </w:p>
        </w:tc>
        <w:tc>
          <w:tcPr>
            <w:tcW w:w="2250" w:type="dxa"/>
          </w:tcPr>
          <w:p w14:paraId="7786DD91" w14:textId="6E013F06" w:rsidR="00132D83" w:rsidRDefault="00132D83"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EC3182">
              <w:rPr>
                <w:rFonts w:ascii="Arial" w:hAnsi="Arial" w:cs="Arial"/>
                <w:sz w:val="20"/>
                <w:szCs w:val="20"/>
              </w:rPr>
              <w:t>Very Evident</w:t>
            </w:r>
          </w:p>
        </w:tc>
      </w:tr>
      <w:tr w:rsidR="002813BE" w14:paraId="27D2FAB6" w14:textId="77777777" w:rsidTr="00E57EE2">
        <w:tc>
          <w:tcPr>
            <w:cnfStyle w:val="001000000000" w:firstRow="0" w:lastRow="0" w:firstColumn="1" w:lastColumn="0" w:oddVBand="0" w:evenVBand="0" w:oddHBand="0" w:evenHBand="0" w:firstRowFirstColumn="0" w:firstRowLastColumn="0" w:lastRowFirstColumn="0" w:lastRowLastColumn="0"/>
            <w:tcW w:w="3397" w:type="dxa"/>
          </w:tcPr>
          <w:p w14:paraId="6841656A" w14:textId="42E3E54E" w:rsidR="002813BE" w:rsidRPr="00E57EE2" w:rsidRDefault="002813BE" w:rsidP="002813BE">
            <w:pPr>
              <w:rPr>
                <w:rFonts w:ascii="Arial" w:hAnsi="Arial" w:cs="Arial"/>
                <w:b w:val="0"/>
                <w:bCs w:val="0"/>
                <w:color w:val="222222"/>
                <w:sz w:val="20"/>
                <w:shd w:val="clear" w:color="auto" w:fill="FFFFFF"/>
              </w:rPr>
            </w:pPr>
            <w:r w:rsidRPr="00E57EE2">
              <w:rPr>
                <w:rFonts w:ascii="Arial" w:hAnsi="Arial" w:cs="Arial"/>
                <w:b w:val="0"/>
                <w:bCs w:val="0"/>
                <w:sz w:val="20"/>
                <w:szCs w:val="20"/>
              </w:rPr>
              <w:t xml:space="preserve">Dealers generally collect relevant personal information, such as employment status and civic involvement, prior to approving credit </w:t>
            </w:r>
          </w:p>
        </w:tc>
        <w:tc>
          <w:tcPr>
            <w:tcW w:w="884" w:type="dxa"/>
          </w:tcPr>
          <w:p w14:paraId="2FDC9270" w14:textId="50540C36" w:rsidR="002813BE" w:rsidRPr="002813BE" w:rsidRDefault="002813BE" w:rsidP="002813B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2813BE">
              <w:rPr>
                <w:rFonts w:ascii="Arial" w:hAnsi="Arial" w:cs="Arial"/>
                <w:sz w:val="20"/>
                <w:szCs w:val="20"/>
              </w:rPr>
              <w:t>4.61</w:t>
            </w:r>
          </w:p>
        </w:tc>
        <w:tc>
          <w:tcPr>
            <w:tcW w:w="1744" w:type="dxa"/>
          </w:tcPr>
          <w:p w14:paraId="3BEAA0FD" w14:textId="32543AF5" w:rsidR="002813BE" w:rsidRDefault="002813BE" w:rsidP="002813B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EC3182">
              <w:rPr>
                <w:rFonts w:ascii="Arial" w:hAnsi="Arial" w:cs="Arial"/>
                <w:sz w:val="20"/>
                <w:szCs w:val="20"/>
              </w:rPr>
              <w:t>0.52</w:t>
            </w:r>
          </w:p>
        </w:tc>
        <w:tc>
          <w:tcPr>
            <w:tcW w:w="2250" w:type="dxa"/>
          </w:tcPr>
          <w:p w14:paraId="332EDCA2" w14:textId="0096B324" w:rsidR="002813BE" w:rsidRDefault="002813BE" w:rsidP="002813B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EC3182">
              <w:rPr>
                <w:rFonts w:ascii="Arial" w:hAnsi="Arial" w:cs="Arial"/>
                <w:sz w:val="20"/>
                <w:szCs w:val="20"/>
              </w:rPr>
              <w:t>Very Evident</w:t>
            </w:r>
          </w:p>
        </w:tc>
      </w:tr>
      <w:tr w:rsidR="002813BE" w14:paraId="6A7FF752" w14:textId="77777777" w:rsidTr="00E57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3E8D302" w14:textId="3D1CA1B1" w:rsidR="002813BE" w:rsidRPr="00E57EE2" w:rsidRDefault="002813BE" w:rsidP="002813BE">
            <w:pPr>
              <w:rPr>
                <w:rFonts w:ascii="Arial" w:hAnsi="Arial" w:cs="Arial"/>
                <w:b w:val="0"/>
                <w:bCs w:val="0"/>
                <w:color w:val="222222"/>
                <w:sz w:val="20"/>
                <w:shd w:val="clear" w:color="auto" w:fill="FFFFFF"/>
              </w:rPr>
            </w:pPr>
            <w:r w:rsidRPr="00E57EE2">
              <w:rPr>
                <w:rFonts w:ascii="Arial" w:hAnsi="Arial" w:cs="Arial"/>
                <w:b w:val="0"/>
                <w:bCs w:val="0"/>
                <w:sz w:val="20"/>
                <w:szCs w:val="20"/>
              </w:rPr>
              <w:t xml:space="preserve">Applicants are often required to provide references or additional information before dealers approve credit </w:t>
            </w:r>
          </w:p>
        </w:tc>
        <w:tc>
          <w:tcPr>
            <w:tcW w:w="884" w:type="dxa"/>
          </w:tcPr>
          <w:p w14:paraId="75F3EB16" w14:textId="350C58FE" w:rsidR="002813BE" w:rsidRPr="002813BE" w:rsidRDefault="002813BE"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2813BE">
              <w:rPr>
                <w:rFonts w:ascii="Arial" w:hAnsi="Arial" w:cs="Arial"/>
                <w:sz w:val="20"/>
                <w:szCs w:val="20"/>
              </w:rPr>
              <w:t>4.53</w:t>
            </w:r>
          </w:p>
        </w:tc>
        <w:tc>
          <w:tcPr>
            <w:tcW w:w="1744" w:type="dxa"/>
          </w:tcPr>
          <w:p w14:paraId="298E9265" w14:textId="1F517D2D" w:rsidR="002813BE" w:rsidRDefault="002813BE"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EC3182">
              <w:rPr>
                <w:rFonts w:ascii="Arial" w:hAnsi="Arial" w:cs="Arial"/>
                <w:sz w:val="20"/>
                <w:szCs w:val="20"/>
              </w:rPr>
              <w:t>0.58</w:t>
            </w:r>
          </w:p>
        </w:tc>
        <w:tc>
          <w:tcPr>
            <w:tcW w:w="2250" w:type="dxa"/>
          </w:tcPr>
          <w:p w14:paraId="5D92F9A4" w14:textId="72FB5CF6" w:rsidR="002813BE" w:rsidRDefault="002813BE"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EC3182">
              <w:rPr>
                <w:rFonts w:ascii="Arial" w:hAnsi="Arial" w:cs="Arial"/>
                <w:sz w:val="20"/>
                <w:szCs w:val="20"/>
              </w:rPr>
              <w:t>Very Evident</w:t>
            </w:r>
          </w:p>
        </w:tc>
      </w:tr>
      <w:tr w:rsidR="002813BE" w14:paraId="573410F6" w14:textId="77777777" w:rsidTr="00E57EE2">
        <w:trPr>
          <w:trHeight w:val="1043"/>
        </w:trPr>
        <w:tc>
          <w:tcPr>
            <w:cnfStyle w:val="001000000000" w:firstRow="0" w:lastRow="0" w:firstColumn="1" w:lastColumn="0" w:oddVBand="0" w:evenVBand="0" w:oddHBand="0" w:evenHBand="0" w:firstRowFirstColumn="0" w:firstRowLastColumn="0" w:lastRowFirstColumn="0" w:lastRowLastColumn="0"/>
            <w:tcW w:w="3397" w:type="dxa"/>
          </w:tcPr>
          <w:p w14:paraId="4A3FF076" w14:textId="2467A4E6" w:rsidR="002813BE" w:rsidRPr="00E57EE2" w:rsidRDefault="002813BE" w:rsidP="002813BE">
            <w:pPr>
              <w:rPr>
                <w:rFonts w:ascii="Arial" w:hAnsi="Arial" w:cs="Arial"/>
                <w:b w:val="0"/>
                <w:bCs w:val="0"/>
                <w:color w:val="222222"/>
                <w:sz w:val="20"/>
                <w:shd w:val="clear" w:color="auto" w:fill="FFFFFF"/>
              </w:rPr>
            </w:pPr>
            <w:r w:rsidRPr="00E57EE2">
              <w:rPr>
                <w:rFonts w:ascii="Arial" w:hAnsi="Arial" w:cs="Arial"/>
                <w:b w:val="0"/>
                <w:bCs w:val="0"/>
                <w:sz w:val="20"/>
                <w:szCs w:val="20"/>
              </w:rPr>
              <w:t xml:space="preserve">Dealers typically ensure that applicants provide financial guarantees or collateral when necessary for credit approval </w:t>
            </w:r>
          </w:p>
        </w:tc>
        <w:tc>
          <w:tcPr>
            <w:tcW w:w="884" w:type="dxa"/>
          </w:tcPr>
          <w:p w14:paraId="11F8B962" w14:textId="39D5ADAF" w:rsidR="002813BE" w:rsidRPr="002813BE" w:rsidRDefault="002813BE" w:rsidP="002813B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2813BE">
              <w:rPr>
                <w:rFonts w:ascii="Arial" w:hAnsi="Arial" w:cs="Arial"/>
                <w:sz w:val="20"/>
                <w:szCs w:val="20"/>
              </w:rPr>
              <w:t>4.46</w:t>
            </w:r>
          </w:p>
        </w:tc>
        <w:tc>
          <w:tcPr>
            <w:tcW w:w="1744" w:type="dxa"/>
          </w:tcPr>
          <w:p w14:paraId="0DECA844" w14:textId="562C9AD0" w:rsidR="002813BE" w:rsidRDefault="002813BE" w:rsidP="002813B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EC3182">
              <w:rPr>
                <w:rFonts w:ascii="Arial" w:hAnsi="Arial" w:cs="Arial"/>
                <w:sz w:val="20"/>
                <w:szCs w:val="20"/>
              </w:rPr>
              <w:t>0.78</w:t>
            </w:r>
          </w:p>
        </w:tc>
        <w:tc>
          <w:tcPr>
            <w:tcW w:w="2250" w:type="dxa"/>
          </w:tcPr>
          <w:p w14:paraId="4AFFED01" w14:textId="23A3120E" w:rsidR="002813BE" w:rsidRDefault="002813BE" w:rsidP="002813B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EC3182">
              <w:rPr>
                <w:rFonts w:ascii="Arial" w:hAnsi="Arial" w:cs="Arial"/>
                <w:sz w:val="20"/>
                <w:szCs w:val="20"/>
              </w:rPr>
              <w:t>Very Evident</w:t>
            </w:r>
          </w:p>
        </w:tc>
      </w:tr>
      <w:tr w:rsidR="002813BE" w14:paraId="1480BA71" w14:textId="77777777" w:rsidTr="00E57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tcPr>
          <w:p w14:paraId="037B7FCB" w14:textId="48EF5751" w:rsidR="002813BE" w:rsidRPr="002813BE" w:rsidRDefault="002813BE" w:rsidP="002813BE">
            <w:pPr>
              <w:jc w:val="center"/>
              <w:rPr>
                <w:rFonts w:ascii="Arial" w:hAnsi="Arial" w:cs="Arial"/>
                <w:b w:val="0"/>
                <w:bCs w:val="0"/>
                <w:color w:val="222222"/>
                <w:sz w:val="20"/>
                <w:shd w:val="clear" w:color="auto" w:fill="FFFFFF"/>
              </w:rPr>
            </w:pPr>
            <w:r w:rsidRPr="002813BE">
              <w:rPr>
                <w:rFonts w:ascii="Arial" w:hAnsi="Arial" w:cs="Arial"/>
                <w:b w:val="0"/>
                <w:bCs w:val="0"/>
                <w:sz w:val="20"/>
                <w:szCs w:val="20"/>
              </w:rPr>
              <w:t>Average</w:t>
            </w:r>
          </w:p>
        </w:tc>
        <w:tc>
          <w:tcPr>
            <w:tcW w:w="884" w:type="dxa"/>
            <w:tcBorders>
              <w:bottom w:val="single" w:sz="12" w:space="0" w:color="auto"/>
            </w:tcBorders>
          </w:tcPr>
          <w:p w14:paraId="33E23ABB" w14:textId="334FDBDC" w:rsidR="002813BE" w:rsidRPr="00913E87" w:rsidRDefault="002813BE"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13E87">
              <w:rPr>
                <w:rFonts w:ascii="Arial" w:hAnsi="Arial" w:cs="Arial"/>
                <w:b/>
                <w:bCs/>
              </w:rPr>
              <w:t>4.56</w:t>
            </w:r>
          </w:p>
        </w:tc>
        <w:tc>
          <w:tcPr>
            <w:tcW w:w="1744" w:type="dxa"/>
            <w:tcBorders>
              <w:bottom w:val="single" w:sz="12" w:space="0" w:color="auto"/>
            </w:tcBorders>
          </w:tcPr>
          <w:p w14:paraId="08F3E351" w14:textId="6A047F8C" w:rsidR="002813BE" w:rsidRPr="002813BE" w:rsidRDefault="002813BE"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hd w:val="clear" w:color="auto" w:fill="FFFFFF"/>
              </w:rPr>
            </w:pPr>
            <w:r w:rsidRPr="002813BE">
              <w:rPr>
                <w:rFonts w:ascii="Arial" w:hAnsi="Arial" w:cs="Arial"/>
                <w:b/>
                <w:bCs/>
                <w:sz w:val="20"/>
                <w:szCs w:val="20"/>
              </w:rPr>
              <w:t>0.46</w:t>
            </w:r>
          </w:p>
        </w:tc>
        <w:tc>
          <w:tcPr>
            <w:tcW w:w="2250" w:type="dxa"/>
            <w:tcBorders>
              <w:bottom w:val="single" w:sz="12" w:space="0" w:color="auto"/>
            </w:tcBorders>
          </w:tcPr>
          <w:p w14:paraId="0F644391" w14:textId="2DFA4AF3" w:rsidR="002813BE" w:rsidRPr="002813BE" w:rsidRDefault="002813BE" w:rsidP="002813B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hd w:val="clear" w:color="auto" w:fill="FFFFFF"/>
              </w:rPr>
            </w:pPr>
            <w:r w:rsidRPr="002813BE">
              <w:rPr>
                <w:rFonts w:ascii="Arial" w:hAnsi="Arial" w:cs="Arial"/>
                <w:b/>
                <w:bCs/>
                <w:sz w:val="20"/>
                <w:szCs w:val="20"/>
              </w:rPr>
              <w:t>Very Evident</w:t>
            </w:r>
          </w:p>
        </w:tc>
      </w:tr>
      <w:bookmarkEnd w:id="1"/>
    </w:tbl>
    <w:p w14:paraId="43B3A003" w14:textId="77777777" w:rsidR="007C2C1D" w:rsidRPr="007C2C1D" w:rsidRDefault="007C2C1D" w:rsidP="007C2C1D">
      <w:pPr>
        <w:spacing w:after="0" w:line="240" w:lineRule="auto"/>
        <w:jc w:val="both"/>
        <w:rPr>
          <w:rFonts w:ascii="Arial" w:hAnsi="Arial" w:cs="Arial"/>
          <w:sz w:val="20"/>
        </w:rPr>
      </w:pPr>
    </w:p>
    <w:bookmarkEnd w:id="2"/>
    <w:p w14:paraId="7CFE48A9" w14:textId="1CF8DFCC" w:rsidR="003C1E47" w:rsidRDefault="003C1E47" w:rsidP="00913E87">
      <w:pPr>
        <w:spacing w:after="0" w:line="240" w:lineRule="auto"/>
        <w:ind w:firstLine="720"/>
        <w:jc w:val="both"/>
        <w:rPr>
          <w:rFonts w:ascii="Arial" w:hAnsi="Arial" w:cs="Arial"/>
          <w:sz w:val="20"/>
        </w:rPr>
      </w:pPr>
      <w:r w:rsidRPr="003E10BF">
        <w:rPr>
          <w:rFonts w:ascii="Arial" w:hAnsi="Arial" w:cs="Arial"/>
          <w:sz w:val="20"/>
        </w:rPr>
        <w:t xml:space="preserve">This result supports the finding of </w:t>
      </w:r>
      <w:proofErr w:type="spellStart"/>
      <w:r w:rsidRPr="003E10BF">
        <w:rPr>
          <w:rFonts w:ascii="Arial" w:hAnsi="Arial" w:cs="Arial"/>
          <w:color w:val="212121"/>
          <w:sz w:val="20"/>
        </w:rPr>
        <w:t>Mladentseva</w:t>
      </w:r>
      <w:proofErr w:type="spellEnd"/>
      <w:r w:rsidRPr="003E10BF">
        <w:rPr>
          <w:rFonts w:ascii="Arial" w:hAnsi="Arial" w:cs="Arial"/>
          <w:color w:val="212121"/>
          <w:sz w:val="20"/>
        </w:rPr>
        <w:t xml:space="preserve"> (2023</w:t>
      </w:r>
      <w:r w:rsidRPr="003E10BF">
        <w:rPr>
          <w:rFonts w:ascii="Arial" w:hAnsi="Arial" w:cs="Arial"/>
          <w:sz w:val="20"/>
        </w:rPr>
        <w:t xml:space="preserve">), which stated that character is a core consideration in credit risk assessment, as it reflects the borrower's integrity, willingness to repay, and historical reliability. As highlighted by </w:t>
      </w:r>
      <w:proofErr w:type="spellStart"/>
      <w:r w:rsidRPr="003E10BF">
        <w:rPr>
          <w:rFonts w:ascii="Arial" w:hAnsi="Arial" w:cs="Arial"/>
          <w:sz w:val="20"/>
        </w:rPr>
        <w:t>Kipchumba</w:t>
      </w:r>
      <w:proofErr w:type="spellEnd"/>
      <w:r w:rsidRPr="003E10BF">
        <w:rPr>
          <w:rFonts w:ascii="Arial" w:hAnsi="Arial" w:cs="Arial"/>
          <w:sz w:val="20"/>
        </w:rPr>
        <w:t xml:space="preserve"> </w:t>
      </w:r>
      <w:r w:rsidRPr="003E10BF">
        <w:rPr>
          <w:rFonts w:ascii="Arial" w:hAnsi="Arial" w:cs="Arial"/>
          <w:color w:val="212121"/>
          <w:sz w:val="20"/>
        </w:rPr>
        <w:t>(2015</w:t>
      </w:r>
      <w:r w:rsidRPr="003E10BF">
        <w:rPr>
          <w:rFonts w:ascii="Arial" w:hAnsi="Arial" w:cs="Arial"/>
          <w:sz w:val="20"/>
        </w:rPr>
        <w:t>), lenders can gain insights into a borrower's propensity to honor financial commitments by assessing their character, thereby mitigating credit risk</w:t>
      </w:r>
      <w:r>
        <w:rPr>
          <w:rFonts w:ascii="Arial" w:hAnsi="Arial" w:cs="Arial"/>
          <w:sz w:val="20"/>
        </w:rPr>
        <w:t>.</w:t>
      </w:r>
    </w:p>
    <w:p w14:paraId="7BBD20DD" w14:textId="77777777" w:rsidR="00E60FD7" w:rsidRDefault="00E60FD7" w:rsidP="00913E87">
      <w:pPr>
        <w:spacing w:after="0" w:line="240" w:lineRule="auto"/>
        <w:ind w:firstLine="720"/>
        <w:jc w:val="both"/>
        <w:rPr>
          <w:rFonts w:ascii="Arial" w:hAnsi="Arial" w:cs="Arial"/>
          <w:sz w:val="20"/>
        </w:rPr>
      </w:pPr>
    </w:p>
    <w:p w14:paraId="3CA94E55" w14:textId="77777777" w:rsidR="00E60FD7" w:rsidRDefault="00E60FD7" w:rsidP="00913E87">
      <w:pPr>
        <w:spacing w:after="0" w:line="240" w:lineRule="auto"/>
        <w:ind w:firstLine="720"/>
        <w:jc w:val="both"/>
        <w:rPr>
          <w:rFonts w:ascii="Arial" w:hAnsi="Arial" w:cs="Arial"/>
          <w:sz w:val="20"/>
        </w:rPr>
      </w:pPr>
    </w:p>
    <w:p w14:paraId="7DC8E31A" w14:textId="77777777" w:rsidR="00E60FD7" w:rsidRDefault="00E60FD7" w:rsidP="00913E87">
      <w:pPr>
        <w:spacing w:after="0" w:line="240" w:lineRule="auto"/>
        <w:ind w:firstLine="720"/>
        <w:jc w:val="both"/>
        <w:rPr>
          <w:rFonts w:ascii="Arial" w:hAnsi="Arial" w:cs="Arial"/>
          <w:sz w:val="20"/>
        </w:rPr>
      </w:pPr>
    </w:p>
    <w:p w14:paraId="6772A021" w14:textId="77777777" w:rsidR="00E60FD7" w:rsidRDefault="00E60FD7" w:rsidP="00913E87">
      <w:pPr>
        <w:spacing w:after="0" w:line="240" w:lineRule="auto"/>
        <w:ind w:firstLine="720"/>
        <w:jc w:val="both"/>
        <w:rPr>
          <w:rFonts w:ascii="Arial" w:hAnsi="Arial" w:cs="Arial"/>
          <w:sz w:val="20"/>
        </w:rPr>
      </w:pPr>
    </w:p>
    <w:p w14:paraId="637EC546" w14:textId="65861B25" w:rsidR="00E60FD7" w:rsidRDefault="00E60FD7" w:rsidP="00E60FD7">
      <w:pPr>
        <w:spacing w:after="0" w:line="240" w:lineRule="auto"/>
        <w:jc w:val="both"/>
        <w:rPr>
          <w:rFonts w:ascii="Arial" w:hAnsi="Arial" w:cs="Arial"/>
          <w:sz w:val="20"/>
        </w:rPr>
      </w:pPr>
      <w:r w:rsidRPr="00620CF3">
        <w:rPr>
          <w:rFonts w:ascii="Arial" w:hAnsi="Arial" w:cs="Arial"/>
          <w:b/>
          <w:bCs/>
          <w:sz w:val="20"/>
        </w:rPr>
        <w:t>Table 2.</w:t>
      </w:r>
      <w:r>
        <w:rPr>
          <w:rFonts w:ascii="Arial" w:hAnsi="Arial" w:cs="Arial"/>
          <w:sz w:val="20"/>
        </w:rPr>
        <w:t xml:space="preserve"> </w:t>
      </w:r>
      <w:r w:rsidRPr="003E10BF">
        <w:rPr>
          <w:rFonts w:ascii="Arial" w:hAnsi="Arial" w:cs="Arial"/>
          <w:sz w:val="20"/>
          <w:szCs w:val="20"/>
        </w:rPr>
        <w:t>Level of Credit Practices in Terms of Capacity</w:t>
      </w:r>
    </w:p>
    <w:tbl>
      <w:tblPr>
        <w:tblStyle w:val="PlainTable21"/>
        <w:tblW w:w="8275" w:type="dxa"/>
        <w:tblLook w:val="04A0" w:firstRow="1" w:lastRow="0" w:firstColumn="1" w:lastColumn="0" w:noHBand="0" w:noVBand="1"/>
      </w:tblPr>
      <w:tblGrid>
        <w:gridCol w:w="3397"/>
        <w:gridCol w:w="884"/>
        <w:gridCol w:w="1744"/>
        <w:gridCol w:w="2250"/>
      </w:tblGrid>
      <w:tr w:rsidR="00E60FD7" w14:paraId="1C3FD8B4"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34A4340F" w14:textId="77777777" w:rsidR="00E60FD7" w:rsidRPr="002813BE" w:rsidRDefault="00E60FD7" w:rsidP="00396572">
            <w:pPr>
              <w:jc w:val="center"/>
              <w:rPr>
                <w:rFonts w:ascii="Arial" w:hAnsi="Arial" w:cs="Arial"/>
                <w:b w:val="0"/>
                <w:bCs w:val="0"/>
                <w:color w:val="222222"/>
                <w:sz w:val="20"/>
                <w:shd w:val="clear" w:color="auto" w:fill="FFFFFF"/>
              </w:rPr>
            </w:pPr>
            <w:r w:rsidRPr="002813BE">
              <w:rPr>
                <w:rFonts w:ascii="Arial" w:hAnsi="Arial" w:cs="Arial"/>
                <w:b w:val="0"/>
                <w:bCs w:val="0"/>
                <w:sz w:val="20"/>
                <w:szCs w:val="20"/>
              </w:rPr>
              <w:t>Description</w:t>
            </w:r>
          </w:p>
        </w:tc>
        <w:tc>
          <w:tcPr>
            <w:tcW w:w="884" w:type="dxa"/>
            <w:tcBorders>
              <w:top w:val="single" w:sz="12" w:space="0" w:color="auto"/>
            </w:tcBorders>
          </w:tcPr>
          <w:p w14:paraId="1A6DE3AA" w14:textId="77777777" w:rsidR="00E60FD7" w:rsidRPr="002813BE" w:rsidRDefault="00E60FD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222222"/>
                <w:sz w:val="20"/>
                <w:shd w:val="clear" w:color="auto" w:fill="FFFFFF"/>
              </w:rPr>
            </w:pPr>
            <w:r w:rsidRPr="002813BE">
              <w:rPr>
                <w:rFonts w:ascii="Arial" w:hAnsi="Arial" w:cs="Arial"/>
                <w:b w:val="0"/>
                <w:bCs w:val="0"/>
                <w:sz w:val="20"/>
                <w:szCs w:val="20"/>
              </w:rPr>
              <w:t>Mean</w:t>
            </w:r>
          </w:p>
        </w:tc>
        <w:tc>
          <w:tcPr>
            <w:tcW w:w="1744" w:type="dxa"/>
            <w:tcBorders>
              <w:top w:val="single" w:sz="12" w:space="0" w:color="auto"/>
            </w:tcBorders>
          </w:tcPr>
          <w:p w14:paraId="04C3BDCA" w14:textId="77777777" w:rsidR="00E60FD7" w:rsidRPr="002813BE" w:rsidRDefault="00E60FD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222222"/>
                <w:sz w:val="20"/>
                <w:shd w:val="clear" w:color="auto" w:fill="FFFFFF"/>
              </w:rPr>
            </w:pPr>
            <w:r w:rsidRPr="002813BE">
              <w:rPr>
                <w:rFonts w:ascii="Arial" w:hAnsi="Arial" w:cs="Arial"/>
                <w:b w:val="0"/>
                <w:bCs w:val="0"/>
                <w:sz w:val="20"/>
                <w:szCs w:val="20"/>
              </w:rPr>
              <w:t>Std. deviation</w:t>
            </w:r>
          </w:p>
        </w:tc>
        <w:tc>
          <w:tcPr>
            <w:tcW w:w="2250" w:type="dxa"/>
            <w:tcBorders>
              <w:top w:val="single" w:sz="12" w:space="0" w:color="auto"/>
            </w:tcBorders>
          </w:tcPr>
          <w:p w14:paraId="6454975E" w14:textId="77777777" w:rsidR="00E60FD7" w:rsidRPr="002813BE" w:rsidRDefault="00E60FD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222222"/>
                <w:sz w:val="20"/>
                <w:shd w:val="clear" w:color="auto" w:fill="FFFFFF"/>
              </w:rPr>
            </w:pPr>
            <w:r w:rsidRPr="002813BE">
              <w:rPr>
                <w:rFonts w:ascii="Arial" w:hAnsi="Arial" w:cs="Arial"/>
                <w:b w:val="0"/>
                <w:bCs w:val="0"/>
                <w:sz w:val="20"/>
                <w:szCs w:val="20"/>
              </w:rPr>
              <w:t>Descriptive Level</w:t>
            </w:r>
          </w:p>
        </w:tc>
      </w:tr>
      <w:tr w:rsidR="00E60FD7" w14:paraId="538C811B"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86925EA" w14:textId="0B5D62AB" w:rsidR="00E60FD7" w:rsidRPr="00E60FD7" w:rsidRDefault="00E60FD7" w:rsidP="00E60FD7">
            <w:pPr>
              <w:rPr>
                <w:rFonts w:ascii="Arial" w:hAnsi="Arial" w:cs="Arial"/>
                <w:b w:val="0"/>
                <w:bCs w:val="0"/>
                <w:color w:val="222222"/>
                <w:sz w:val="20"/>
                <w:szCs w:val="20"/>
                <w:shd w:val="clear" w:color="auto" w:fill="FFFFFF"/>
              </w:rPr>
            </w:pPr>
            <w:r w:rsidRPr="00E60FD7">
              <w:rPr>
                <w:rFonts w:ascii="Arial" w:hAnsi="Arial" w:cs="Arial"/>
                <w:b w:val="0"/>
                <w:bCs w:val="0"/>
                <w:sz w:val="20"/>
                <w:szCs w:val="20"/>
              </w:rPr>
              <w:t xml:space="preserve">Dealers typically evaluate an applicant's financial capacity to manage loan repayments before approving credit </w:t>
            </w:r>
          </w:p>
        </w:tc>
        <w:tc>
          <w:tcPr>
            <w:tcW w:w="884" w:type="dxa"/>
          </w:tcPr>
          <w:p w14:paraId="54E06882" w14:textId="25CE4415"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60FD7">
              <w:rPr>
                <w:rFonts w:ascii="Arial" w:hAnsi="Arial" w:cs="Arial"/>
                <w:sz w:val="20"/>
                <w:szCs w:val="20"/>
              </w:rPr>
              <w:t xml:space="preserve">4.24 </w:t>
            </w:r>
          </w:p>
        </w:tc>
        <w:tc>
          <w:tcPr>
            <w:tcW w:w="1744" w:type="dxa"/>
          </w:tcPr>
          <w:p w14:paraId="40162FA6" w14:textId="7E834737"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60FD7">
              <w:rPr>
                <w:rFonts w:ascii="Arial" w:hAnsi="Arial" w:cs="Arial"/>
                <w:sz w:val="20"/>
                <w:szCs w:val="20"/>
              </w:rPr>
              <w:t xml:space="preserve">0.74 </w:t>
            </w:r>
          </w:p>
        </w:tc>
        <w:tc>
          <w:tcPr>
            <w:tcW w:w="2250" w:type="dxa"/>
          </w:tcPr>
          <w:p w14:paraId="2E2EC6C7" w14:textId="54490D21"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60FD7">
              <w:rPr>
                <w:rFonts w:ascii="Arial" w:hAnsi="Arial" w:cs="Arial"/>
                <w:sz w:val="20"/>
                <w:szCs w:val="20"/>
              </w:rPr>
              <w:t xml:space="preserve">Very Evident </w:t>
            </w:r>
          </w:p>
        </w:tc>
      </w:tr>
      <w:tr w:rsidR="001C1B6B" w14:paraId="676853BA"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5041C738" w14:textId="661A65EC" w:rsidR="001C1B6B" w:rsidRPr="001C1B6B" w:rsidRDefault="001C1B6B" w:rsidP="001C1B6B">
            <w:pPr>
              <w:rPr>
                <w:rFonts w:ascii="Arial" w:hAnsi="Arial" w:cs="Arial"/>
                <w:b w:val="0"/>
                <w:bCs w:val="0"/>
                <w:color w:val="222222"/>
                <w:sz w:val="20"/>
                <w:szCs w:val="20"/>
                <w:shd w:val="clear" w:color="auto" w:fill="FFFFFF"/>
              </w:rPr>
            </w:pPr>
            <w:r w:rsidRPr="001C1B6B">
              <w:rPr>
                <w:rFonts w:ascii="Arial" w:hAnsi="Arial" w:cs="Arial"/>
                <w:b w:val="0"/>
                <w:bCs w:val="0"/>
                <w:sz w:val="20"/>
                <w:szCs w:val="20"/>
              </w:rPr>
              <w:t xml:space="preserve">Dealers evaluate business history when applying credit for commercial appliances </w:t>
            </w:r>
          </w:p>
        </w:tc>
        <w:tc>
          <w:tcPr>
            <w:tcW w:w="884" w:type="dxa"/>
          </w:tcPr>
          <w:p w14:paraId="06848417" w14:textId="27E14CA4" w:rsidR="001C1B6B" w:rsidRPr="001C1B6B" w:rsidRDefault="001C1B6B" w:rsidP="001C1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1C1B6B">
              <w:rPr>
                <w:rFonts w:ascii="Arial" w:hAnsi="Arial" w:cs="Arial"/>
                <w:sz w:val="20"/>
                <w:szCs w:val="20"/>
              </w:rPr>
              <w:t xml:space="preserve">4.02 </w:t>
            </w:r>
          </w:p>
        </w:tc>
        <w:tc>
          <w:tcPr>
            <w:tcW w:w="1744" w:type="dxa"/>
          </w:tcPr>
          <w:p w14:paraId="24CC2A8B" w14:textId="5EFB1E82" w:rsidR="001C1B6B" w:rsidRPr="001C1B6B" w:rsidRDefault="001C1B6B" w:rsidP="001C1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1C1B6B">
              <w:rPr>
                <w:rFonts w:ascii="Arial" w:hAnsi="Arial" w:cs="Arial"/>
                <w:sz w:val="20"/>
                <w:szCs w:val="20"/>
              </w:rPr>
              <w:t xml:space="preserve">0.79 </w:t>
            </w:r>
          </w:p>
        </w:tc>
        <w:tc>
          <w:tcPr>
            <w:tcW w:w="2250" w:type="dxa"/>
          </w:tcPr>
          <w:p w14:paraId="4788D536" w14:textId="1D7A8451" w:rsidR="001C1B6B" w:rsidRPr="001C1B6B" w:rsidRDefault="001C1B6B" w:rsidP="001C1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1C1B6B">
              <w:rPr>
                <w:rFonts w:ascii="Arial" w:hAnsi="Arial" w:cs="Arial"/>
                <w:sz w:val="20"/>
                <w:szCs w:val="20"/>
              </w:rPr>
              <w:t xml:space="preserve">Often Evident </w:t>
            </w:r>
          </w:p>
        </w:tc>
      </w:tr>
      <w:tr w:rsidR="001C1B6B" w14:paraId="44CEA8BB"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86101FB" w14:textId="075AC9CC" w:rsidR="001C1B6B" w:rsidRPr="001C1B6B" w:rsidRDefault="001C1B6B" w:rsidP="001C1B6B">
            <w:pPr>
              <w:rPr>
                <w:rFonts w:ascii="Arial" w:hAnsi="Arial" w:cs="Arial"/>
                <w:b w:val="0"/>
                <w:bCs w:val="0"/>
                <w:color w:val="222222"/>
                <w:sz w:val="20"/>
                <w:szCs w:val="20"/>
                <w:shd w:val="clear" w:color="auto" w:fill="FFFFFF"/>
              </w:rPr>
            </w:pPr>
            <w:r w:rsidRPr="001C1B6B">
              <w:rPr>
                <w:rFonts w:ascii="Arial" w:hAnsi="Arial" w:cs="Arial"/>
                <w:b w:val="0"/>
                <w:bCs w:val="0"/>
                <w:sz w:val="20"/>
                <w:szCs w:val="20"/>
              </w:rPr>
              <w:t xml:space="preserve">Dealers assess financial stability and legal capacity before extending credit </w:t>
            </w:r>
          </w:p>
        </w:tc>
        <w:tc>
          <w:tcPr>
            <w:tcW w:w="884" w:type="dxa"/>
          </w:tcPr>
          <w:p w14:paraId="2C95B3E1" w14:textId="2930B4E4" w:rsidR="001C1B6B" w:rsidRPr="001C1B6B" w:rsidRDefault="001C1B6B" w:rsidP="001C1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1C1B6B">
              <w:rPr>
                <w:rFonts w:ascii="Arial" w:hAnsi="Arial" w:cs="Arial"/>
                <w:sz w:val="20"/>
                <w:szCs w:val="20"/>
              </w:rPr>
              <w:t xml:space="preserve">4.02 </w:t>
            </w:r>
          </w:p>
        </w:tc>
        <w:tc>
          <w:tcPr>
            <w:tcW w:w="1744" w:type="dxa"/>
          </w:tcPr>
          <w:p w14:paraId="06229356" w14:textId="0B8195FD" w:rsidR="001C1B6B" w:rsidRPr="001C1B6B" w:rsidRDefault="001C1B6B" w:rsidP="001C1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1C1B6B">
              <w:rPr>
                <w:rFonts w:ascii="Arial" w:hAnsi="Arial" w:cs="Arial"/>
                <w:sz w:val="20"/>
                <w:szCs w:val="20"/>
              </w:rPr>
              <w:t xml:space="preserve">0.83 </w:t>
            </w:r>
          </w:p>
        </w:tc>
        <w:tc>
          <w:tcPr>
            <w:tcW w:w="2250" w:type="dxa"/>
          </w:tcPr>
          <w:p w14:paraId="777B007D" w14:textId="60E192BC" w:rsidR="001C1B6B" w:rsidRPr="001C1B6B" w:rsidRDefault="001C1B6B" w:rsidP="001C1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1C1B6B">
              <w:rPr>
                <w:rFonts w:ascii="Arial" w:hAnsi="Arial" w:cs="Arial"/>
                <w:sz w:val="20"/>
                <w:szCs w:val="20"/>
              </w:rPr>
              <w:t xml:space="preserve">Often Evident </w:t>
            </w:r>
          </w:p>
        </w:tc>
      </w:tr>
      <w:tr w:rsidR="001C1B6B" w14:paraId="56AE0818" w14:textId="77777777" w:rsidTr="00396572">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tcPr>
          <w:p w14:paraId="7F437073" w14:textId="738CFC9C" w:rsidR="001C1B6B" w:rsidRPr="001C1B6B" w:rsidRDefault="001C1B6B" w:rsidP="001C1B6B">
            <w:pPr>
              <w:jc w:val="center"/>
              <w:rPr>
                <w:rFonts w:ascii="Arial" w:hAnsi="Arial" w:cs="Arial"/>
                <w:color w:val="222222"/>
                <w:sz w:val="20"/>
                <w:szCs w:val="20"/>
                <w:shd w:val="clear" w:color="auto" w:fill="FFFFFF"/>
              </w:rPr>
            </w:pPr>
            <w:r w:rsidRPr="001C1B6B">
              <w:rPr>
                <w:rFonts w:ascii="Arial" w:hAnsi="Arial" w:cs="Arial"/>
                <w:sz w:val="20"/>
                <w:szCs w:val="20"/>
              </w:rPr>
              <w:t xml:space="preserve">Average </w:t>
            </w:r>
          </w:p>
        </w:tc>
        <w:tc>
          <w:tcPr>
            <w:tcW w:w="884" w:type="dxa"/>
            <w:tcBorders>
              <w:bottom w:val="single" w:sz="12" w:space="0" w:color="auto"/>
            </w:tcBorders>
          </w:tcPr>
          <w:p w14:paraId="593DDC05" w14:textId="3265D37C" w:rsidR="001C1B6B" w:rsidRPr="001C1B6B" w:rsidRDefault="001C1B6B" w:rsidP="001C1B6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C1B6B">
              <w:rPr>
                <w:rFonts w:ascii="Arial" w:hAnsi="Arial" w:cs="Arial"/>
                <w:b/>
                <w:bCs/>
                <w:sz w:val="20"/>
                <w:szCs w:val="20"/>
              </w:rPr>
              <w:t xml:space="preserve">4.09 </w:t>
            </w:r>
          </w:p>
        </w:tc>
        <w:tc>
          <w:tcPr>
            <w:tcW w:w="1744" w:type="dxa"/>
            <w:tcBorders>
              <w:bottom w:val="single" w:sz="12" w:space="0" w:color="auto"/>
            </w:tcBorders>
          </w:tcPr>
          <w:p w14:paraId="352E898D" w14:textId="48CA8F1E" w:rsidR="001C1B6B" w:rsidRPr="001C1B6B" w:rsidRDefault="001C1B6B" w:rsidP="001C1B6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1C1B6B">
              <w:rPr>
                <w:rFonts w:ascii="Arial" w:hAnsi="Arial" w:cs="Arial"/>
                <w:b/>
                <w:bCs/>
                <w:sz w:val="20"/>
                <w:szCs w:val="20"/>
              </w:rPr>
              <w:t xml:space="preserve">0.71 </w:t>
            </w:r>
          </w:p>
        </w:tc>
        <w:tc>
          <w:tcPr>
            <w:tcW w:w="2250" w:type="dxa"/>
            <w:tcBorders>
              <w:bottom w:val="single" w:sz="12" w:space="0" w:color="auto"/>
            </w:tcBorders>
          </w:tcPr>
          <w:p w14:paraId="555FC8FA" w14:textId="67F819C3" w:rsidR="001C1B6B" w:rsidRPr="001C1B6B" w:rsidRDefault="001C1B6B" w:rsidP="001C1B6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1C1B6B">
              <w:rPr>
                <w:rFonts w:ascii="Arial" w:hAnsi="Arial" w:cs="Arial"/>
                <w:b/>
                <w:bCs/>
                <w:sz w:val="20"/>
                <w:szCs w:val="20"/>
              </w:rPr>
              <w:t xml:space="preserve">Often Evident </w:t>
            </w:r>
          </w:p>
        </w:tc>
      </w:tr>
    </w:tbl>
    <w:p w14:paraId="6D79626C" w14:textId="77777777" w:rsidR="00E60FD7" w:rsidRPr="007C2C1D" w:rsidRDefault="00E60FD7" w:rsidP="00E60FD7">
      <w:pPr>
        <w:spacing w:after="0" w:line="240" w:lineRule="auto"/>
        <w:jc w:val="both"/>
        <w:rPr>
          <w:rFonts w:ascii="Arial" w:hAnsi="Arial" w:cs="Arial"/>
          <w:sz w:val="20"/>
        </w:rPr>
      </w:pPr>
    </w:p>
    <w:p w14:paraId="5F2F3B64" w14:textId="1C3A0576" w:rsidR="001C1B6B" w:rsidRPr="003E10BF" w:rsidRDefault="001C1B6B" w:rsidP="001C1B6B">
      <w:pPr>
        <w:spacing w:after="0" w:line="240" w:lineRule="auto"/>
        <w:ind w:firstLine="720"/>
        <w:jc w:val="both"/>
        <w:rPr>
          <w:rFonts w:ascii="Arial" w:hAnsi="Arial" w:cs="Arial"/>
          <w:sz w:val="20"/>
          <w:szCs w:val="20"/>
        </w:rPr>
      </w:pPr>
      <w:r w:rsidRPr="003E10BF">
        <w:rPr>
          <w:rFonts w:ascii="Arial" w:hAnsi="Arial" w:cs="Arial"/>
          <w:sz w:val="20"/>
          <w:szCs w:val="20"/>
        </w:rPr>
        <w:t xml:space="preserve">Table </w:t>
      </w:r>
      <w:r>
        <w:rPr>
          <w:rFonts w:ascii="Arial" w:hAnsi="Arial" w:cs="Arial"/>
          <w:sz w:val="20"/>
          <w:szCs w:val="20"/>
        </w:rPr>
        <w:t>2</w:t>
      </w:r>
      <w:r w:rsidRPr="003E10BF">
        <w:rPr>
          <w:rFonts w:ascii="Arial" w:hAnsi="Arial" w:cs="Arial"/>
          <w:sz w:val="20"/>
          <w:szCs w:val="20"/>
        </w:rPr>
        <w:t xml:space="preserve"> shows that the level of credit practices in terms of capacity is very evident (</w:t>
      </w:r>
      <w:r w:rsidRPr="003E10BF">
        <w:rPr>
          <w:rFonts w:ascii="Arial" w:hAnsi="Arial" w:cs="Arial"/>
          <w:color w:val="4D5155"/>
          <w:sz w:val="20"/>
          <w:szCs w:val="20"/>
        </w:rPr>
        <w:t xml:space="preserve">x̄ </w:t>
      </w:r>
      <w:r w:rsidRPr="003E10BF">
        <w:rPr>
          <w:rFonts w:ascii="Arial" w:hAnsi="Arial" w:cs="Arial"/>
          <w:sz w:val="20"/>
          <w:szCs w:val="20"/>
        </w:rPr>
        <w:t xml:space="preserve">= 4.09). The result indicates that the level of credit practices in terms of capacity is often evident. This implies that home appliance dealers in </w:t>
      </w:r>
      <w:proofErr w:type="spellStart"/>
      <w:r w:rsidRPr="003E10BF">
        <w:rPr>
          <w:rFonts w:ascii="Arial" w:hAnsi="Arial" w:cs="Arial"/>
          <w:sz w:val="20"/>
          <w:szCs w:val="20"/>
        </w:rPr>
        <w:t>Cateel</w:t>
      </w:r>
      <w:proofErr w:type="spellEnd"/>
      <w:r w:rsidRPr="003E10BF">
        <w:rPr>
          <w:rFonts w:ascii="Arial" w:hAnsi="Arial" w:cs="Arial"/>
          <w:sz w:val="20"/>
          <w:szCs w:val="20"/>
        </w:rPr>
        <w:t xml:space="preserve"> frequently, though not consistently, evaluate applicants' financial capacity, indicating a generally thorough but slightly variable approach to ensuring repayment capability. This result supports the findings of </w:t>
      </w:r>
      <w:proofErr w:type="spellStart"/>
      <w:r w:rsidRPr="003E10BF">
        <w:rPr>
          <w:rFonts w:ascii="Arial" w:hAnsi="Arial" w:cs="Arial"/>
          <w:sz w:val="20"/>
          <w:szCs w:val="20"/>
        </w:rPr>
        <w:t>Khine</w:t>
      </w:r>
      <w:proofErr w:type="spellEnd"/>
      <w:r w:rsidRPr="003E10BF">
        <w:rPr>
          <w:rFonts w:ascii="Arial" w:hAnsi="Arial" w:cs="Arial"/>
          <w:sz w:val="20"/>
          <w:szCs w:val="20"/>
        </w:rPr>
        <w:t xml:space="preserve"> (2023), which state that capacity assesses the borrower's ability to repay based on income stability and job security, a concept central to Melton's (1974) credit risk theory that underscores the significance of borrowers' repayment capabilities.</w:t>
      </w:r>
    </w:p>
    <w:p w14:paraId="2BCCABF0" w14:textId="77777777" w:rsidR="00913E87" w:rsidRDefault="00913E87" w:rsidP="001C1B6B">
      <w:pPr>
        <w:spacing w:after="0" w:line="240" w:lineRule="auto"/>
        <w:jc w:val="both"/>
        <w:rPr>
          <w:rFonts w:ascii="Arial" w:hAnsi="Arial" w:cs="Arial"/>
          <w:sz w:val="20"/>
        </w:rPr>
      </w:pPr>
    </w:p>
    <w:p w14:paraId="61621294" w14:textId="452628F1" w:rsidR="003C1E47" w:rsidRDefault="003C1E47" w:rsidP="003C1E47">
      <w:pPr>
        <w:spacing w:after="0" w:line="240" w:lineRule="auto"/>
        <w:jc w:val="both"/>
        <w:rPr>
          <w:rFonts w:ascii="Arial" w:hAnsi="Arial" w:cs="Arial"/>
          <w:sz w:val="20"/>
          <w:szCs w:val="20"/>
        </w:rPr>
      </w:pPr>
      <w:r w:rsidRPr="00620CF3">
        <w:rPr>
          <w:rFonts w:ascii="Arial" w:hAnsi="Arial" w:cs="Arial"/>
          <w:b/>
          <w:bCs/>
          <w:sz w:val="20"/>
        </w:rPr>
        <w:t xml:space="preserve">Table </w:t>
      </w:r>
      <w:r w:rsidR="00E60FD7" w:rsidRPr="00620CF3">
        <w:rPr>
          <w:rFonts w:ascii="Arial" w:hAnsi="Arial" w:cs="Arial"/>
          <w:b/>
          <w:bCs/>
          <w:sz w:val="20"/>
        </w:rPr>
        <w:t>3</w:t>
      </w:r>
      <w:r w:rsidRPr="00620CF3">
        <w:rPr>
          <w:rFonts w:ascii="Arial" w:hAnsi="Arial" w:cs="Arial"/>
          <w:b/>
          <w:bCs/>
          <w:sz w:val="20"/>
        </w:rPr>
        <w:t>.</w:t>
      </w:r>
      <w:r>
        <w:rPr>
          <w:rFonts w:ascii="Arial" w:hAnsi="Arial" w:cs="Arial"/>
          <w:sz w:val="20"/>
        </w:rPr>
        <w:t xml:space="preserve"> </w:t>
      </w:r>
      <w:r w:rsidRPr="000F300A">
        <w:rPr>
          <w:rFonts w:ascii="Arial" w:hAnsi="Arial" w:cs="Arial"/>
          <w:sz w:val="20"/>
          <w:szCs w:val="20"/>
        </w:rPr>
        <w:t>Level of Credit Practices in Terms of Cash Flow</w:t>
      </w:r>
    </w:p>
    <w:tbl>
      <w:tblPr>
        <w:tblStyle w:val="PlainTable21"/>
        <w:tblW w:w="8275" w:type="dxa"/>
        <w:tblLook w:val="04A0" w:firstRow="1" w:lastRow="0" w:firstColumn="1" w:lastColumn="0" w:noHBand="0" w:noVBand="1"/>
      </w:tblPr>
      <w:tblGrid>
        <w:gridCol w:w="3397"/>
        <w:gridCol w:w="884"/>
        <w:gridCol w:w="1744"/>
        <w:gridCol w:w="2250"/>
      </w:tblGrid>
      <w:tr w:rsidR="00913E87" w:rsidRPr="002813BE" w14:paraId="76185A4D"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342701E6" w14:textId="77777777" w:rsidR="00913E87" w:rsidRPr="00913E87" w:rsidRDefault="00913E87" w:rsidP="00396572">
            <w:pPr>
              <w:jc w:val="center"/>
              <w:rPr>
                <w:rFonts w:ascii="Arial" w:hAnsi="Arial" w:cs="Arial"/>
                <w:color w:val="222222"/>
                <w:sz w:val="20"/>
                <w:shd w:val="clear" w:color="auto" w:fill="FFFFFF"/>
              </w:rPr>
            </w:pPr>
            <w:bookmarkStart w:id="3" w:name="_Hlk203568271"/>
            <w:r w:rsidRPr="00913E87">
              <w:rPr>
                <w:rFonts w:ascii="Arial" w:hAnsi="Arial" w:cs="Arial"/>
                <w:sz w:val="20"/>
                <w:szCs w:val="20"/>
              </w:rPr>
              <w:lastRenderedPageBreak/>
              <w:t>Description</w:t>
            </w:r>
          </w:p>
        </w:tc>
        <w:tc>
          <w:tcPr>
            <w:tcW w:w="884" w:type="dxa"/>
            <w:tcBorders>
              <w:top w:val="single" w:sz="12" w:space="0" w:color="auto"/>
            </w:tcBorders>
          </w:tcPr>
          <w:p w14:paraId="5780ADDE" w14:textId="77777777" w:rsidR="00913E87" w:rsidRPr="00913E87" w:rsidRDefault="00913E8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Mean</w:t>
            </w:r>
          </w:p>
        </w:tc>
        <w:tc>
          <w:tcPr>
            <w:tcW w:w="1744" w:type="dxa"/>
            <w:tcBorders>
              <w:top w:val="single" w:sz="12" w:space="0" w:color="auto"/>
            </w:tcBorders>
          </w:tcPr>
          <w:p w14:paraId="7E9B0B44" w14:textId="77777777" w:rsidR="00913E87" w:rsidRPr="00913E87" w:rsidRDefault="00913E8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Std. deviation</w:t>
            </w:r>
          </w:p>
        </w:tc>
        <w:tc>
          <w:tcPr>
            <w:tcW w:w="2250" w:type="dxa"/>
            <w:tcBorders>
              <w:top w:val="single" w:sz="12" w:space="0" w:color="auto"/>
            </w:tcBorders>
          </w:tcPr>
          <w:p w14:paraId="1D0C25F1" w14:textId="77777777" w:rsidR="00913E87" w:rsidRPr="00913E87" w:rsidRDefault="00913E8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Descriptive Level</w:t>
            </w:r>
          </w:p>
        </w:tc>
      </w:tr>
      <w:tr w:rsidR="00913E87" w14:paraId="521B4751"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F4D2E51" w14:textId="0C33A453" w:rsidR="00913E87" w:rsidRPr="00913E87" w:rsidRDefault="00913E87" w:rsidP="00913E87">
            <w:pPr>
              <w:rPr>
                <w:rFonts w:ascii="Arial" w:hAnsi="Arial" w:cs="Arial"/>
                <w:b w:val="0"/>
                <w:bCs w:val="0"/>
                <w:color w:val="222222"/>
                <w:sz w:val="20"/>
                <w:shd w:val="clear" w:color="auto" w:fill="FFFFFF"/>
              </w:rPr>
            </w:pPr>
            <w:r w:rsidRPr="00913E87">
              <w:rPr>
                <w:rFonts w:ascii="Arial" w:hAnsi="Arial" w:cs="Arial"/>
                <w:b w:val="0"/>
                <w:bCs w:val="0"/>
                <w:sz w:val="20"/>
                <w:szCs w:val="20"/>
              </w:rPr>
              <w:t xml:space="preserve">Dealers generally review available funds or reserves before approving credit </w:t>
            </w:r>
          </w:p>
        </w:tc>
        <w:tc>
          <w:tcPr>
            <w:tcW w:w="884" w:type="dxa"/>
          </w:tcPr>
          <w:p w14:paraId="6EF69418" w14:textId="3E777467" w:rsidR="00913E87" w:rsidRPr="00913E87" w:rsidRDefault="00913E87" w:rsidP="00913E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3.55 </w:t>
            </w:r>
          </w:p>
        </w:tc>
        <w:tc>
          <w:tcPr>
            <w:tcW w:w="1744" w:type="dxa"/>
          </w:tcPr>
          <w:p w14:paraId="049C3F2E" w14:textId="6FA70E63" w:rsidR="00913E87" w:rsidRPr="00913E87" w:rsidRDefault="00913E87" w:rsidP="00913E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0.81 </w:t>
            </w:r>
          </w:p>
        </w:tc>
        <w:tc>
          <w:tcPr>
            <w:tcW w:w="2250" w:type="dxa"/>
          </w:tcPr>
          <w:p w14:paraId="79306EE5" w14:textId="06268E60" w:rsidR="00913E87" w:rsidRPr="00913E87" w:rsidRDefault="00913E87" w:rsidP="00913E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Often Evident </w:t>
            </w:r>
          </w:p>
        </w:tc>
      </w:tr>
      <w:tr w:rsidR="00913E87" w14:paraId="3619791F"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7B8BDFA4" w14:textId="6A68E7CB" w:rsidR="00913E87" w:rsidRPr="00913E87" w:rsidRDefault="00913E87" w:rsidP="00913E87">
            <w:pPr>
              <w:rPr>
                <w:rFonts w:ascii="Arial" w:hAnsi="Arial" w:cs="Arial"/>
                <w:b w:val="0"/>
                <w:bCs w:val="0"/>
                <w:color w:val="222222"/>
                <w:sz w:val="20"/>
                <w:shd w:val="clear" w:color="auto" w:fill="FFFFFF"/>
              </w:rPr>
            </w:pPr>
            <w:r w:rsidRPr="00913E87">
              <w:rPr>
                <w:rFonts w:ascii="Arial" w:hAnsi="Arial" w:cs="Arial"/>
                <w:b w:val="0"/>
                <w:bCs w:val="0"/>
                <w:sz w:val="20"/>
                <w:szCs w:val="20"/>
              </w:rPr>
              <w:t xml:space="preserve">Dealers evaluate both past and projected income when considering credit applications for high-value appliances </w:t>
            </w:r>
          </w:p>
        </w:tc>
        <w:tc>
          <w:tcPr>
            <w:tcW w:w="884" w:type="dxa"/>
          </w:tcPr>
          <w:p w14:paraId="400F8207" w14:textId="3F606C63" w:rsidR="00913E87" w:rsidRPr="00913E87" w:rsidRDefault="00913E87" w:rsidP="00913E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3.29 </w:t>
            </w:r>
          </w:p>
        </w:tc>
        <w:tc>
          <w:tcPr>
            <w:tcW w:w="1744" w:type="dxa"/>
          </w:tcPr>
          <w:p w14:paraId="2DFC0C4D" w14:textId="15F89745" w:rsidR="00913E87" w:rsidRPr="00913E87" w:rsidRDefault="00913E87" w:rsidP="00913E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0.95 </w:t>
            </w:r>
          </w:p>
        </w:tc>
        <w:tc>
          <w:tcPr>
            <w:tcW w:w="2250" w:type="dxa"/>
          </w:tcPr>
          <w:p w14:paraId="3970C3EF" w14:textId="5129BA33" w:rsidR="00913E87" w:rsidRPr="00913E87" w:rsidRDefault="00913E87" w:rsidP="00913E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Sometime Evident </w:t>
            </w:r>
          </w:p>
        </w:tc>
      </w:tr>
      <w:tr w:rsidR="00913E87" w14:paraId="3C340C0E"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A48772D" w14:textId="149446B5" w:rsidR="00913E87" w:rsidRPr="00913E87" w:rsidRDefault="00913E87" w:rsidP="00913E87">
            <w:pPr>
              <w:rPr>
                <w:rFonts w:ascii="Arial" w:hAnsi="Arial" w:cs="Arial"/>
                <w:b w:val="0"/>
                <w:bCs w:val="0"/>
                <w:color w:val="222222"/>
                <w:sz w:val="20"/>
                <w:shd w:val="clear" w:color="auto" w:fill="FFFFFF"/>
              </w:rPr>
            </w:pPr>
            <w:r w:rsidRPr="00913E87">
              <w:rPr>
                <w:rFonts w:ascii="Arial" w:hAnsi="Arial" w:cs="Arial"/>
                <w:b w:val="0"/>
                <w:bCs w:val="0"/>
                <w:sz w:val="20"/>
                <w:szCs w:val="20"/>
              </w:rPr>
              <w:t xml:space="preserve">Dealers review customers’ overall assets or net worth before approving larger credit amounts </w:t>
            </w:r>
          </w:p>
        </w:tc>
        <w:tc>
          <w:tcPr>
            <w:tcW w:w="884" w:type="dxa"/>
          </w:tcPr>
          <w:p w14:paraId="1910B5D1" w14:textId="3C4E823A" w:rsidR="00913E87" w:rsidRPr="00E60FD7" w:rsidRDefault="00913E87" w:rsidP="00913E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E60FD7">
              <w:rPr>
                <w:rFonts w:ascii="Arial" w:hAnsi="Arial" w:cs="Arial"/>
                <w:sz w:val="20"/>
                <w:szCs w:val="20"/>
              </w:rPr>
              <w:t xml:space="preserve">3.29 </w:t>
            </w:r>
          </w:p>
        </w:tc>
        <w:tc>
          <w:tcPr>
            <w:tcW w:w="1744" w:type="dxa"/>
          </w:tcPr>
          <w:p w14:paraId="311BDCCE" w14:textId="70C3FFD5" w:rsidR="00913E87" w:rsidRPr="00E60FD7" w:rsidRDefault="00913E87" w:rsidP="00913E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E60FD7">
              <w:rPr>
                <w:rFonts w:ascii="Arial" w:hAnsi="Arial" w:cs="Arial"/>
                <w:sz w:val="20"/>
                <w:szCs w:val="20"/>
              </w:rPr>
              <w:t xml:space="preserve">0.99 </w:t>
            </w:r>
          </w:p>
        </w:tc>
        <w:tc>
          <w:tcPr>
            <w:tcW w:w="2250" w:type="dxa"/>
          </w:tcPr>
          <w:p w14:paraId="14F2A86D" w14:textId="22CA83E5" w:rsidR="00913E87" w:rsidRPr="001C1B6B" w:rsidRDefault="00913E87" w:rsidP="00913E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1C1B6B">
              <w:rPr>
                <w:rFonts w:ascii="Arial" w:hAnsi="Arial" w:cs="Arial"/>
                <w:sz w:val="20"/>
                <w:szCs w:val="20"/>
              </w:rPr>
              <w:t xml:space="preserve">Sometime Evident </w:t>
            </w:r>
          </w:p>
        </w:tc>
      </w:tr>
      <w:tr w:rsidR="00913E87" w14:paraId="514034DD" w14:textId="77777777" w:rsidTr="00913E87">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33BF403D" w14:textId="109885DD" w:rsidR="00913E87" w:rsidRPr="00913E87" w:rsidRDefault="00913E87" w:rsidP="00913E87">
            <w:pPr>
              <w:rPr>
                <w:rFonts w:ascii="Arial" w:hAnsi="Arial" w:cs="Arial"/>
                <w:b w:val="0"/>
                <w:bCs w:val="0"/>
                <w:color w:val="222222"/>
                <w:sz w:val="20"/>
                <w:shd w:val="clear" w:color="auto" w:fill="FFFFFF"/>
              </w:rPr>
            </w:pPr>
            <w:r w:rsidRPr="00913E87">
              <w:rPr>
                <w:rFonts w:ascii="Arial" w:hAnsi="Arial" w:cs="Arial"/>
                <w:b w:val="0"/>
                <w:bCs w:val="0"/>
                <w:sz w:val="20"/>
                <w:szCs w:val="20"/>
              </w:rPr>
              <w:t xml:space="preserve">Dealers assess a customer’s income-generating capacity prior to offering credit </w:t>
            </w:r>
          </w:p>
        </w:tc>
        <w:tc>
          <w:tcPr>
            <w:tcW w:w="884" w:type="dxa"/>
          </w:tcPr>
          <w:p w14:paraId="4B10451E" w14:textId="239E51D6" w:rsidR="00913E87" w:rsidRPr="00913E87" w:rsidRDefault="00913E87" w:rsidP="00913E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3.56 </w:t>
            </w:r>
          </w:p>
        </w:tc>
        <w:tc>
          <w:tcPr>
            <w:tcW w:w="1744" w:type="dxa"/>
          </w:tcPr>
          <w:p w14:paraId="4A386B63" w14:textId="67FEFC86" w:rsidR="00913E87" w:rsidRPr="00913E87" w:rsidRDefault="00913E87" w:rsidP="00913E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0.89 </w:t>
            </w:r>
          </w:p>
        </w:tc>
        <w:tc>
          <w:tcPr>
            <w:tcW w:w="2250" w:type="dxa"/>
          </w:tcPr>
          <w:p w14:paraId="717C867C" w14:textId="452C6C2B" w:rsidR="00913E87" w:rsidRPr="00913E87" w:rsidRDefault="00913E87" w:rsidP="00913E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 xml:space="preserve">Often Evident </w:t>
            </w:r>
          </w:p>
        </w:tc>
      </w:tr>
      <w:tr w:rsidR="00E60FD7" w14:paraId="1B10F179" w14:textId="77777777" w:rsidTr="00913E87">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397" w:type="dxa"/>
          </w:tcPr>
          <w:p w14:paraId="2D8E9616" w14:textId="7C47E7BF" w:rsidR="00E60FD7" w:rsidRPr="00E60FD7" w:rsidRDefault="00E60FD7" w:rsidP="00E60FD7">
            <w:pPr>
              <w:rPr>
                <w:rFonts w:ascii="Arial" w:hAnsi="Arial" w:cs="Arial"/>
                <w:b w:val="0"/>
                <w:bCs w:val="0"/>
                <w:sz w:val="20"/>
                <w:szCs w:val="20"/>
              </w:rPr>
            </w:pPr>
            <w:r w:rsidRPr="00E60FD7">
              <w:rPr>
                <w:rFonts w:ascii="Arial" w:hAnsi="Arial" w:cs="Arial"/>
                <w:b w:val="0"/>
                <w:bCs w:val="0"/>
                <w:sz w:val="20"/>
                <w:szCs w:val="20"/>
              </w:rPr>
              <w:t xml:space="preserve">Dealers ensure that customers can manage their income and expenses before granting credit </w:t>
            </w:r>
          </w:p>
        </w:tc>
        <w:tc>
          <w:tcPr>
            <w:tcW w:w="884" w:type="dxa"/>
          </w:tcPr>
          <w:p w14:paraId="52209BF7" w14:textId="6D927AED"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0FD7">
              <w:rPr>
                <w:rFonts w:ascii="Arial" w:hAnsi="Arial" w:cs="Arial"/>
                <w:sz w:val="20"/>
                <w:szCs w:val="20"/>
              </w:rPr>
              <w:t xml:space="preserve">3.59 </w:t>
            </w:r>
          </w:p>
        </w:tc>
        <w:tc>
          <w:tcPr>
            <w:tcW w:w="1744" w:type="dxa"/>
          </w:tcPr>
          <w:p w14:paraId="480C21A1" w14:textId="2782CFB5"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0FD7">
              <w:rPr>
                <w:rFonts w:ascii="Arial" w:hAnsi="Arial" w:cs="Arial"/>
                <w:sz w:val="20"/>
                <w:szCs w:val="20"/>
              </w:rPr>
              <w:t xml:space="preserve">0.96 </w:t>
            </w:r>
          </w:p>
        </w:tc>
        <w:tc>
          <w:tcPr>
            <w:tcW w:w="2250" w:type="dxa"/>
          </w:tcPr>
          <w:p w14:paraId="14730198" w14:textId="60672519"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60FD7">
              <w:rPr>
                <w:rFonts w:ascii="Arial" w:hAnsi="Arial" w:cs="Arial"/>
                <w:sz w:val="20"/>
                <w:szCs w:val="20"/>
              </w:rPr>
              <w:t xml:space="preserve">Often Evident </w:t>
            </w:r>
          </w:p>
        </w:tc>
      </w:tr>
      <w:tr w:rsidR="00E60FD7" w14:paraId="4C0ED0A6" w14:textId="77777777" w:rsidTr="00913E87">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0B5B5126" w14:textId="2591AEC0" w:rsidR="00E60FD7" w:rsidRPr="00E60FD7" w:rsidRDefault="00E60FD7" w:rsidP="00E60FD7">
            <w:pPr>
              <w:rPr>
                <w:rFonts w:ascii="Arial" w:hAnsi="Arial" w:cs="Arial"/>
                <w:b w:val="0"/>
                <w:bCs w:val="0"/>
                <w:sz w:val="20"/>
                <w:szCs w:val="20"/>
              </w:rPr>
            </w:pPr>
            <w:r w:rsidRPr="00E60FD7">
              <w:rPr>
                <w:rFonts w:ascii="Arial" w:hAnsi="Arial" w:cs="Arial"/>
                <w:b w:val="0"/>
                <w:bCs w:val="0"/>
                <w:sz w:val="20"/>
                <w:szCs w:val="20"/>
              </w:rPr>
              <w:t xml:space="preserve">Dealers evaluate customers’ ability to manage cash flow before providing credit </w:t>
            </w:r>
          </w:p>
        </w:tc>
        <w:tc>
          <w:tcPr>
            <w:tcW w:w="884" w:type="dxa"/>
          </w:tcPr>
          <w:p w14:paraId="4944C9F7" w14:textId="60E9BF55" w:rsidR="00E60FD7" w:rsidRPr="00E60FD7" w:rsidRDefault="00E60FD7" w:rsidP="00E60F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0FD7">
              <w:rPr>
                <w:rFonts w:ascii="Arial" w:hAnsi="Arial" w:cs="Arial"/>
                <w:sz w:val="20"/>
                <w:szCs w:val="20"/>
              </w:rPr>
              <w:t xml:space="preserve">3.54 </w:t>
            </w:r>
          </w:p>
        </w:tc>
        <w:tc>
          <w:tcPr>
            <w:tcW w:w="1744" w:type="dxa"/>
          </w:tcPr>
          <w:p w14:paraId="6F04D42E" w14:textId="025E19F1" w:rsidR="00E60FD7" w:rsidRPr="00E60FD7" w:rsidRDefault="00E60FD7" w:rsidP="00E60F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0FD7">
              <w:rPr>
                <w:rFonts w:ascii="Arial" w:hAnsi="Arial" w:cs="Arial"/>
                <w:sz w:val="20"/>
                <w:szCs w:val="20"/>
              </w:rPr>
              <w:t xml:space="preserve">0.97 </w:t>
            </w:r>
          </w:p>
        </w:tc>
        <w:tc>
          <w:tcPr>
            <w:tcW w:w="2250" w:type="dxa"/>
          </w:tcPr>
          <w:p w14:paraId="274CE58B" w14:textId="6F15E1E7" w:rsidR="00E60FD7" w:rsidRPr="00E60FD7" w:rsidRDefault="00E60FD7" w:rsidP="00E60F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60FD7">
              <w:rPr>
                <w:rFonts w:ascii="Arial" w:hAnsi="Arial" w:cs="Arial"/>
                <w:sz w:val="20"/>
                <w:szCs w:val="20"/>
              </w:rPr>
              <w:t xml:space="preserve">Often Evident </w:t>
            </w:r>
          </w:p>
        </w:tc>
      </w:tr>
      <w:tr w:rsidR="00E60FD7" w:rsidRPr="002813BE" w14:paraId="76ABE096"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tcPr>
          <w:p w14:paraId="2738D8D4" w14:textId="0DBE027E" w:rsidR="00E60FD7" w:rsidRPr="00E60FD7" w:rsidRDefault="00E60FD7" w:rsidP="00E60FD7">
            <w:pPr>
              <w:jc w:val="center"/>
              <w:rPr>
                <w:rFonts w:ascii="Arial" w:hAnsi="Arial" w:cs="Arial"/>
                <w:color w:val="222222"/>
                <w:sz w:val="20"/>
                <w:shd w:val="clear" w:color="auto" w:fill="FFFFFF"/>
              </w:rPr>
            </w:pPr>
            <w:r w:rsidRPr="00E60FD7">
              <w:rPr>
                <w:rFonts w:ascii="Arial" w:hAnsi="Arial" w:cs="Arial"/>
                <w:sz w:val="20"/>
                <w:szCs w:val="20"/>
              </w:rPr>
              <w:t xml:space="preserve">Average </w:t>
            </w:r>
          </w:p>
        </w:tc>
        <w:tc>
          <w:tcPr>
            <w:tcW w:w="884" w:type="dxa"/>
            <w:tcBorders>
              <w:bottom w:val="single" w:sz="12" w:space="0" w:color="auto"/>
            </w:tcBorders>
          </w:tcPr>
          <w:p w14:paraId="4AE30EFD" w14:textId="373FC5F0"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hd w:val="clear" w:color="auto" w:fill="FFFFFF"/>
              </w:rPr>
            </w:pPr>
            <w:r w:rsidRPr="00E60FD7">
              <w:rPr>
                <w:rFonts w:ascii="Arial" w:hAnsi="Arial" w:cs="Arial"/>
                <w:b/>
                <w:bCs/>
                <w:sz w:val="20"/>
                <w:szCs w:val="20"/>
              </w:rPr>
              <w:t xml:space="preserve">3.47 </w:t>
            </w:r>
          </w:p>
        </w:tc>
        <w:tc>
          <w:tcPr>
            <w:tcW w:w="1744" w:type="dxa"/>
            <w:tcBorders>
              <w:bottom w:val="single" w:sz="12" w:space="0" w:color="auto"/>
            </w:tcBorders>
          </w:tcPr>
          <w:p w14:paraId="03C2CED0" w14:textId="29C00A52"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hd w:val="clear" w:color="auto" w:fill="FFFFFF"/>
              </w:rPr>
            </w:pPr>
            <w:r w:rsidRPr="00E60FD7">
              <w:rPr>
                <w:rFonts w:ascii="Arial" w:hAnsi="Arial" w:cs="Arial"/>
                <w:b/>
                <w:bCs/>
                <w:sz w:val="20"/>
                <w:szCs w:val="20"/>
              </w:rPr>
              <w:t xml:space="preserve">0.80 </w:t>
            </w:r>
          </w:p>
        </w:tc>
        <w:tc>
          <w:tcPr>
            <w:tcW w:w="2250" w:type="dxa"/>
            <w:tcBorders>
              <w:bottom w:val="single" w:sz="12" w:space="0" w:color="auto"/>
            </w:tcBorders>
          </w:tcPr>
          <w:p w14:paraId="6384BF4D" w14:textId="33CAC15A" w:rsidR="00E60FD7" w:rsidRPr="00E60FD7" w:rsidRDefault="00E60FD7" w:rsidP="00E60FD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hd w:val="clear" w:color="auto" w:fill="FFFFFF"/>
              </w:rPr>
            </w:pPr>
            <w:r w:rsidRPr="00E60FD7">
              <w:rPr>
                <w:rFonts w:ascii="Arial" w:hAnsi="Arial" w:cs="Arial"/>
                <w:b/>
                <w:bCs/>
                <w:sz w:val="20"/>
                <w:szCs w:val="20"/>
              </w:rPr>
              <w:t xml:space="preserve">Often Evident </w:t>
            </w:r>
          </w:p>
        </w:tc>
      </w:tr>
    </w:tbl>
    <w:p w14:paraId="24EEB42D" w14:textId="77777777" w:rsidR="00913E87" w:rsidRPr="00AE22F5" w:rsidRDefault="00913E87" w:rsidP="003C1E47">
      <w:pPr>
        <w:spacing w:after="0" w:line="240" w:lineRule="auto"/>
        <w:jc w:val="both"/>
        <w:rPr>
          <w:rFonts w:ascii="Arial" w:hAnsi="Arial" w:cs="Arial"/>
          <w:sz w:val="20"/>
        </w:rPr>
      </w:pPr>
    </w:p>
    <w:bookmarkEnd w:id="3"/>
    <w:p w14:paraId="237B88D6" w14:textId="4AB678ED" w:rsidR="001C1B6B" w:rsidRDefault="001C1B6B" w:rsidP="001C1B6B">
      <w:pPr>
        <w:pStyle w:val="Default"/>
        <w:ind w:firstLine="720"/>
        <w:jc w:val="both"/>
        <w:rPr>
          <w:color w:val="auto"/>
          <w:sz w:val="20"/>
          <w:szCs w:val="20"/>
        </w:rPr>
      </w:pPr>
      <w:r w:rsidRPr="00C35F31">
        <w:rPr>
          <w:sz w:val="20"/>
          <w:szCs w:val="20"/>
        </w:rPr>
        <w:t xml:space="preserve">Table </w:t>
      </w:r>
      <w:r>
        <w:rPr>
          <w:sz w:val="20"/>
          <w:szCs w:val="20"/>
        </w:rPr>
        <w:t>3</w:t>
      </w:r>
      <w:r w:rsidRPr="00C35F31">
        <w:rPr>
          <w:sz w:val="20"/>
          <w:szCs w:val="20"/>
        </w:rPr>
        <w:t xml:space="preserve"> outlines the level of credit practices in terms of cash flow; the result indicates that the level of credit practices in terms of cash flow is often evident (</w:t>
      </w:r>
      <w:r w:rsidRPr="00C35F31">
        <w:rPr>
          <w:color w:val="4D5155"/>
          <w:sz w:val="20"/>
          <w:szCs w:val="20"/>
        </w:rPr>
        <w:t xml:space="preserve">x̄ </w:t>
      </w:r>
      <w:r w:rsidRPr="00C35F31">
        <w:rPr>
          <w:sz w:val="20"/>
          <w:szCs w:val="20"/>
        </w:rPr>
        <w:t xml:space="preserve">= 3.47). This implies that home appliance dealers in </w:t>
      </w:r>
      <w:proofErr w:type="spellStart"/>
      <w:r w:rsidRPr="00C35F31">
        <w:rPr>
          <w:sz w:val="20"/>
          <w:szCs w:val="20"/>
        </w:rPr>
        <w:t>Cateel</w:t>
      </w:r>
      <w:proofErr w:type="spellEnd"/>
      <w:r w:rsidRPr="00C35F31">
        <w:rPr>
          <w:sz w:val="20"/>
          <w:szCs w:val="20"/>
        </w:rPr>
        <w:t xml:space="preserve"> frequently, though not always consistently</w:t>
      </w:r>
      <w:r w:rsidRPr="00C35F31">
        <w:rPr>
          <w:color w:val="auto"/>
          <w:sz w:val="20"/>
          <w:szCs w:val="20"/>
        </w:rPr>
        <w:t xml:space="preserve">, review applicant cash flow capabilities, reflecting a generally thorough but somewhat variable approach to assessing applicants' cash flow capabilities for loan repayment. </w:t>
      </w:r>
    </w:p>
    <w:p w14:paraId="2681A408" w14:textId="77777777" w:rsidR="003E40B6" w:rsidRPr="00C35F31" w:rsidRDefault="003E40B6" w:rsidP="001C1B6B">
      <w:pPr>
        <w:pStyle w:val="Default"/>
        <w:ind w:firstLine="720"/>
        <w:jc w:val="both"/>
        <w:rPr>
          <w:color w:val="auto"/>
          <w:sz w:val="20"/>
          <w:szCs w:val="20"/>
        </w:rPr>
      </w:pPr>
    </w:p>
    <w:p w14:paraId="553D517B" w14:textId="77777777" w:rsidR="001C1B6B" w:rsidRDefault="001C1B6B" w:rsidP="003E40B6">
      <w:pPr>
        <w:pStyle w:val="Default"/>
        <w:ind w:firstLine="720"/>
        <w:jc w:val="both"/>
        <w:rPr>
          <w:color w:val="212121"/>
          <w:sz w:val="20"/>
          <w:szCs w:val="20"/>
        </w:rPr>
      </w:pPr>
      <w:r w:rsidRPr="00C35F31">
        <w:rPr>
          <w:sz w:val="20"/>
          <w:szCs w:val="20"/>
        </w:rPr>
        <w:t xml:space="preserve">This result is supported by </w:t>
      </w:r>
      <w:proofErr w:type="spellStart"/>
      <w:r w:rsidRPr="00C35F31">
        <w:rPr>
          <w:sz w:val="20"/>
          <w:szCs w:val="20"/>
        </w:rPr>
        <w:t>Kahuthu's</w:t>
      </w:r>
      <w:proofErr w:type="spellEnd"/>
      <w:r w:rsidRPr="00C35F31">
        <w:rPr>
          <w:sz w:val="20"/>
          <w:szCs w:val="20"/>
        </w:rPr>
        <w:t xml:space="preserve"> (2016) study, which states that cash flow measures the availability of funds necessary to cover loan payments, aligning with Melton's credit risk theory's emphasis on financial stability as a key predictor of repayment success. Furthermore, </w:t>
      </w:r>
      <w:r w:rsidRPr="00C35F31">
        <w:rPr>
          <w:color w:val="212121"/>
          <w:sz w:val="20"/>
          <w:szCs w:val="20"/>
        </w:rPr>
        <w:t>by assessing cash flow, lenders can estimate whether borrowers can manage debt without disrupting their financial stability, which is critical to reducing default risk (</w:t>
      </w:r>
      <w:proofErr w:type="spellStart"/>
      <w:r w:rsidRPr="00C35F31">
        <w:rPr>
          <w:color w:val="212121"/>
          <w:sz w:val="20"/>
          <w:szCs w:val="20"/>
        </w:rPr>
        <w:t>Naumenkova</w:t>
      </w:r>
      <w:proofErr w:type="spellEnd"/>
      <w:r w:rsidRPr="00C35F31">
        <w:rPr>
          <w:color w:val="212121"/>
          <w:sz w:val="20"/>
          <w:szCs w:val="20"/>
        </w:rPr>
        <w:t xml:space="preserve"> et al., 2020).</w:t>
      </w:r>
    </w:p>
    <w:p w14:paraId="3871CF30" w14:textId="77777777" w:rsidR="00FD17EF" w:rsidRPr="00AE22F5" w:rsidRDefault="00FD17EF" w:rsidP="00AE22F5">
      <w:pPr>
        <w:spacing w:after="0" w:line="240" w:lineRule="auto"/>
        <w:jc w:val="both"/>
        <w:rPr>
          <w:rFonts w:ascii="Arial" w:hAnsi="Arial" w:cs="Arial"/>
          <w:sz w:val="20"/>
        </w:rPr>
      </w:pPr>
    </w:p>
    <w:p w14:paraId="3A07E0C5" w14:textId="7FEC4D54" w:rsidR="007C2C1D" w:rsidRDefault="00BE59DE" w:rsidP="00AE22F5">
      <w:pPr>
        <w:spacing w:after="0"/>
        <w:rPr>
          <w:rFonts w:ascii="Arial" w:hAnsi="Arial" w:cs="Arial"/>
          <w:sz w:val="20"/>
        </w:rPr>
      </w:pPr>
      <w:r>
        <w:rPr>
          <w:rFonts w:ascii="Arial" w:hAnsi="Arial" w:cs="Arial"/>
          <w:b/>
          <w:sz w:val="20"/>
        </w:rPr>
        <w:t>Table 4</w:t>
      </w:r>
      <w:r w:rsidR="007C2C1D" w:rsidRPr="00AE22F5">
        <w:rPr>
          <w:rFonts w:ascii="Arial" w:hAnsi="Arial" w:cs="Arial"/>
          <w:b/>
          <w:sz w:val="20"/>
        </w:rPr>
        <w:t>.</w:t>
      </w:r>
      <w:r w:rsidR="007C2C1D" w:rsidRPr="00AE22F5">
        <w:rPr>
          <w:rFonts w:ascii="Arial" w:hAnsi="Arial" w:cs="Arial"/>
          <w:sz w:val="20"/>
        </w:rPr>
        <w:t xml:space="preserve"> </w:t>
      </w:r>
      <w:r w:rsidR="00470327" w:rsidRPr="00E70560">
        <w:rPr>
          <w:rFonts w:ascii="Arial" w:hAnsi="Arial" w:cs="Arial"/>
          <w:sz w:val="20"/>
        </w:rPr>
        <w:t>Level of Credit Practices in Terms of Collateral</w:t>
      </w:r>
    </w:p>
    <w:tbl>
      <w:tblPr>
        <w:tblStyle w:val="PlainTable21"/>
        <w:tblW w:w="8275" w:type="dxa"/>
        <w:tblLook w:val="04A0" w:firstRow="1" w:lastRow="0" w:firstColumn="1" w:lastColumn="0" w:noHBand="0" w:noVBand="1"/>
      </w:tblPr>
      <w:tblGrid>
        <w:gridCol w:w="3397"/>
        <w:gridCol w:w="884"/>
        <w:gridCol w:w="1744"/>
        <w:gridCol w:w="2250"/>
      </w:tblGrid>
      <w:tr w:rsidR="00470327" w:rsidRPr="002813BE" w14:paraId="0950DDCC"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698CFB4D" w14:textId="77777777" w:rsidR="00470327" w:rsidRPr="00913E87" w:rsidRDefault="00470327" w:rsidP="00396572">
            <w:pPr>
              <w:jc w:val="center"/>
              <w:rPr>
                <w:rFonts w:ascii="Arial" w:hAnsi="Arial" w:cs="Arial"/>
                <w:color w:val="222222"/>
                <w:sz w:val="20"/>
                <w:shd w:val="clear" w:color="auto" w:fill="FFFFFF"/>
              </w:rPr>
            </w:pPr>
            <w:bookmarkStart w:id="4" w:name="_Hlk203569191"/>
            <w:r w:rsidRPr="00913E87">
              <w:rPr>
                <w:rFonts w:ascii="Arial" w:hAnsi="Arial" w:cs="Arial"/>
                <w:sz w:val="20"/>
                <w:szCs w:val="20"/>
              </w:rPr>
              <w:t>Description</w:t>
            </w:r>
          </w:p>
        </w:tc>
        <w:tc>
          <w:tcPr>
            <w:tcW w:w="884" w:type="dxa"/>
            <w:tcBorders>
              <w:top w:val="single" w:sz="12" w:space="0" w:color="auto"/>
            </w:tcBorders>
          </w:tcPr>
          <w:p w14:paraId="6091ABFC" w14:textId="77777777" w:rsidR="00470327" w:rsidRPr="00913E87" w:rsidRDefault="0047032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Mean</w:t>
            </w:r>
          </w:p>
        </w:tc>
        <w:tc>
          <w:tcPr>
            <w:tcW w:w="1744" w:type="dxa"/>
            <w:tcBorders>
              <w:top w:val="single" w:sz="12" w:space="0" w:color="auto"/>
            </w:tcBorders>
          </w:tcPr>
          <w:p w14:paraId="4F7FDBC8" w14:textId="77777777" w:rsidR="00470327" w:rsidRPr="00913E87" w:rsidRDefault="0047032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Std. deviation</w:t>
            </w:r>
          </w:p>
        </w:tc>
        <w:tc>
          <w:tcPr>
            <w:tcW w:w="2250" w:type="dxa"/>
            <w:tcBorders>
              <w:top w:val="single" w:sz="12" w:space="0" w:color="auto"/>
            </w:tcBorders>
          </w:tcPr>
          <w:p w14:paraId="771F5D72" w14:textId="77777777" w:rsidR="00470327" w:rsidRPr="00913E87" w:rsidRDefault="0047032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Descriptive Level</w:t>
            </w:r>
          </w:p>
        </w:tc>
      </w:tr>
      <w:tr w:rsidR="00470327" w14:paraId="0E42093E"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E59867D" w14:textId="172201D0" w:rsidR="00470327" w:rsidRPr="00470327" w:rsidRDefault="00470327" w:rsidP="00470327">
            <w:pPr>
              <w:rPr>
                <w:rFonts w:ascii="Arial" w:hAnsi="Arial" w:cs="Arial"/>
                <w:b w:val="0"/>
                <w:bCs w:val="0"/>
                <w:color w:val="222222"/>
                <w:sz w:val="20"/>
                <w:szCs w:val="20"/>
                <w:shd w:val="clear" w:color="auto" w:fill="FFFFFF"/>
              </w:rPr>
            </w:pPr>
            <w:r w:rsidRPr="00470327">
              <w:rPr>
                <w:rFonts w:ascii="Arial" w:eastAsia="Times New Roman" w:hAnsi="Arial" w:cs="Arial"/>
                <w:b w:val="0"/>
                <w:bCs w:val="0"/>
                <w:sz w:val="20"/>
                <w:szCs w:val="20"/>
              </w:rPr>
              <w:t>Dealers verify customers’ assets, such as real estate, before extending credit for high-value appliances</w:t>
            </w:r>
          </w:p>
        </w:tc>
        <w:tc>
          <w:tcPr>
            <w:tcW w:w="884" w:type="dxa"/>
            <w:vAlign w:val="center"/>
          </w:tcPr>
          <w:p w14:paraId="4B897021" w14:textId="03EF161F" w:rsidR="00470327" w:rsidRPr="00470327" w:rsidRDefault="00470327" w:rsidP="004703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470327">
              <w:rPr>
                <w:rFonts w:ascii="Arial" w:eastAsia="Times New Roman" w:hAnsi="Arial" w:cs="Arial"/>
                <w:color w:val="000000"/>
                <w:sz w:val="20"/>
                <w:szCs w:val="20"/>
              </w:rPr>
              <w:t>3.16</w:t>
            </w:r>
          </w:p>
        </w:tc>
        <w:tc>
          <w:tcPr>
            <w:tcW w:w="1744" w:type="dxa"/>
            <w:vAlign w:val="center"/>
          </w:tcPr>
          <w:p w14:paraId="729F929A" w14:textId="0A03253D" w:rsidR="00470327" w:rsidRPr="00470327" w:rsidRDefault="00470327" w:rsidP="004703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470327">
              <w:rPr>
                <w:rFonts w:ascii="Arial" w:eastAsia="Times New Roman" w:hAnsi="Arial" w:cs="Arial"/>
                <w:color w:val="000000"/>
                <w:sz w:val="20"/>
                <w:szCs w:val="20"/>
              </w:rPr>
              <w:t>1.00</w:t>
            </w:r>
          </w:p>
        </w:tc>
        <w:tc>
          <w:tcPr>
            <w:tcW w:w="2250" w:type="dxa"/>
          </w:tcPr>
          <w:p w14:paraId="78BC12E9" w14:textId="77777777" w:rsidR="00470327" w:rsidRPr="00470327" w:rsidRDefault="00470327" w:rsidP="0047032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6EC81E5F" w14:textId="622E7405" w:rsidR="00470327" w:rsidRPr="00470327" w:rsidRDefault="00470327" w:rsidP="004703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470327">
              <w:rPr>
                <w:rFonts w:ascii="Arial" w:eastAsia="Calibri" w:hAnsi="Arial" w:cs="Arial"/>
                <w:sz w:val="20"/>
                <w:szCs w:val="20"/>
              </w:rPr>
              <w:t>Sometime Evident</w:t>
            </w:r>
          </w:p>
        </w:tc>
      </w:tr>
      <w:tr w:rsidR="0060035A" w14:paraId="1046779B"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16694433" w14:textId="00A8A4F7" w:rsidR="0060035A" w:rsidRPr="0060035A" w:rsidRDefault="0060035A" w:rsidP="0060035A">
            <w:pPr>
              <w:rPr>
                <w:rFonts w:ascii="Arial" w:hAnsi="Arial" w:cs="Arial"/>
                <w:b w:val="0"/>
                <w:bCs w:val="0"/>
                <w:color w:val="222222"/>
                <w:sz w:val="20"/>
                <w:szCs w:val="20"/>
                <w:shd w:val="clear" w:color="auto" w:fill="FFFFFF"/>
              </w:rPr>
            </w:pPr>
            <w:r w:rsidRPr="0060035A">
              <w:rPr>
                <w:rFonts w:ascii="Arial" w:hAnsi="Arial" w:cs="Arial"/>
                <w:b w:val="0"/>
                <w:bCs w:val="0"/>
                <w:sz w:val="20"/>
                <w:szCs w:val="20"/>
              </w:rPr>
              <w:t>Customers are required to provide real estate or other forms of collateral when applying for larger commercial loans</w:t>
            </w:r>
          </w:p>
        </w:tc>
        <w:tc>
          <w:tcPr>
            <w:tcW w:w="884" w:type="dxa"/>
            <w:vAlign w:val="center"/>
          </w:tcPr>
          <w:p w14:paraId="5F6A269A" w14:textId="3FC236CE"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Times New Roman" w:hAnsi="Arial" w:cs="Arial"/>
                <w:color w:val="000000"/>
                <w:sz w:val="20"/>
                <w:szCs w:val="20"/>
              </w:rPr>
              <w:t>2.83</w:t>
            </w:r>
          </w:p>
        </w:tc>
        <w:tc>
          <w:tcPr>
            <w:tcW w:w="1744" w:type="dxa"/>
            <w:vAlign w:val="center"/>
          </w:tcPr>
          <w:p w14:paraId="0657C621" w14:textId="32FAD94A"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Times New Roman" w:hAnsi="Arial" w:cs="Arial"/>
                <w:color w:val="000000"/>
                <w:sz w:val="20"/>
                <w:szCs w:val="20"/>
              </w:rPr>
              <w:t>1.01</w:t>
            </w:r>
          </w:p>
        </w:tc>
        <w:tc>
          <w:tcPr>
            <w:tcW w:w="2250" w:type="dxa"/>
          </w:tcPr>
          <w:p w14:paraId="1CA1EA0D" w14:textId="77777777"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70588DD7" w14:textId="0A9CB52A"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Calibri" w:hAnsi="Arial" w:cs="Arial"/>
                <w:sz w:val="20"/>
                <w:szCs w:val="20"/>
              </w:rPr>
              <w:t>Sometime Evident</w:t>
            </w:r>
          </w:p>
        </w:tc>
      </w:tr>
      <w:tr w:rsidR="0060035A" w14:paraId="61367E6E"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A672A94" w14:textId="5D2143EC" w:rsidR="0060035A" w:rsidRPr="0060035A" w:rsidRDefault="0060035A" w:rsidP="0060035A">
            <w:pPr>
              <w:rPr>
                <w:rFonts w:ascii="Arial" w:hAnsi="Arial" w:cs="Arial"/>
                <w:b w:val="0"/>
                <w:bCs w:val="0"/>
                <w:color w:val="222222"/>
                <w:sz w:val="20"/>
                <w:szCs w:val="20"/>
                <w:shd w:val="clear" w:color="auto" w:fill="FFFFFF"/>
              </w:rPr>
            </w:pPr>
            <w:r w:rsidRPr="0060035A">
              <w:rPr>
                <w:rFonts w:ascii="Arial" w:hAnsi="Arial" w:cs="Arial"/>
                <w:b w:val="0"/>
                <w:bCs w:val="0"/>
                <w:sz w:val="20"/>
                <w:szCs w:val="20"/>
              </w:rPr>
              <w:t>Dealers communicate the terms and conditions related to the use of collateral</w:t>
            </w:r>
          </w:p>
        </w:tc>
        <w:tc>
          <w:tcPr>
            <w:tcW w:w="884" w:type="dxa"/>
            <w:vAlign w:val="center"/>
          </w:tcPr>
          <w:p w14:paraId="62D97596" w14:textId="504E1917"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Times New Roman" w:hAnsi="Arial" w:cs="Arial"/>
                <w:color w:val="000000"/>
                <w:sz w:val="20"/>
                <w:szCs w:val="20"/>
              </w:rPr>
              <w:t>3.15</w:t>
            </w:r>
          </w:p>
        </w:tc>
        <w:tc>
          <w:tcPr>
            <w:tcW w:w="1744" w:type="dxa"/>
            <w:vAlign w:val="center"/>
          </w:tcPr>
          <w:p w14:paraId="4B80E537" w14:textId="367C1EF1"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Times New Roman" w:hAnsi="Arial" w:cs="Arial"/>
                <w:color w:val="000000"/>
                <w:sz w:val="20"/>
                <w:szCs w:val="20"/>
              </w:rPr>
              <w:t>1.08</w:t>
            </w:r>
          </w:p>
        </w:tc>
        <w:tc>
          <w:tcPr>
            <w:tcW w:w="2250" w:type="dxa"/>
          </w:tcPr>
          <w:p w14:paraId="0C515531" w14:textId="77777777"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2AE65423" w14:textId="273DFEDC"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Calibri" w:hAnsi="Arial" w:cs="Arial"/>
                <w:sz w:val="20"/>
                <w:szCs w:val="20"/>
              </w:rPr>
              <w:t>Sometime Evident</w:t>
            </w:r>
          </w:p>
        </w:tc>
      </w:tr>
      <w:tr w:rsidR="0060035A" w14:paraId="41449460" w14:textId="77777777" w:rsidTr="00396572">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029D3940" w14:textId="79C4CDD7" w:rsidR="0060035A" w:rsidRPr="0060035A" w:rsidRDefault="0060035A" w:rsidP="0060035A">
            <w:pPr>
              <w:rPr>
                <w:rFonts w:ascii="Arial" w:hAnsi="Arial" w:cs="Arial"/>
                <w:b w:val="0"/>
                <w:bCs w:val="0"/>
                <w:color w:val="222222"/>
                <w:sz w:val="20"/>
                <w:szCs w:val="20"/>
                <w:shd w:val="clear" w:color="auto" w:fill="FFFFFF"/>
              </w:rPr>
            </w:pPr>
            <w:r w:rsidRPr="0060035A">
              <w:rPr>
                <w:rFonts w:ascii="Arial" w:eastAsia="Times New Roman" w:hAnsi="Arial" w:cs="Arial"/>
                <w:b w:val="0"/>
                <w:bCs w:val="0"/>
                <w:sz w:val="20"/>
                <w:szCs w:val="20"/>
              </w:rPr>
              <w:lastRenderedPageBreak/>
              <w:t>Dealers accept various types of collateral to secure credit applications</w:t>
            </w:r>
          </w:p>
        </w:tc>
        <w:tc>
          <w:tcPr>
            <w:tcW w:w="884" w:type="dxa"/>
            <w:vAlign w:val="center"/>
          </w:tcPr>
          <w:p w14:paraId="64AA0651" w14:textId="0860F025"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Times New Roman" w:hAnsi="Arial" w:cs="Arial"/>
                <w:color w:val="000000"/>
                <w:sz w:val="20"/>
                <w:szCs w:val="20"/>
              </w:rPr>
              <w:t>2.93</w:t>
            </w:r>
          </w:p>
        </w:tc>
        <w:tc>
          <w:tcPr>
            <w:tcW w:w="1744" w:type="dxa"/>
            <w:vAlign w:val="center"/>
          </w:tcPr>
          <w:p w14:paraId="69C148DD" w14:textId="5C9B902B"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Times New Roman" w:hAnsi="Arial" w:cs="Arial"/>
                <w:color w:val="000000"/>
                <w:sz w:val="20"/>
                <w:szCs w:val="20"/>
              </w:rPr>
              <w:t>1.02</w:t>
            </w:r>
          </w:p>
        </w:tc>
        <w:tc>
          <w:tcPr>
            <w:tcW w:w="2250" w:type="dxa"/>
          </w:tcPr>
          <w:p w14:paraId="515D0582" w14:textId="77777777"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rPr>
            </w:pPr>
          </w:p>
          <w:p w14:paraId="3715254C" w14:textId="78A928FC"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0035A">
              <w:rPr>
                <w:rFonts w:ascii="Arial" w:eastAsia="Calibri" w:hAnsi="Arial" w:cs="Arial"/>
                <w:bCs/>
                <w:sz w:val="20"/>
                <w:szCs w:val="20"/>
              </w:rPr>
              <w:t>Sometime Evident</w:t>
            </w:r>
          </w:p>
        </w:tc>
      </w:tr>
      <w:tr w:rsidR="0060035A" w14:paraId="027B5FEC" w14:textId="77777777" w:rsidTr="0039657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397" w:type="dxa"/>
          </w:tcPr>
          <w:p w14:paraId="7EFCF073" w14:textId="7ABB313C" w:rsidR="0060035A" w:rsidRPr="0060035A" w:rsidRDefault="0060035A" w:rsidP="0060035A">
            <w:pPr>
              <w:rPr>
                <w:rFonts w:ascii="Arial" w:hAnsi="Arial" w:cs="Arial"/>
                <w:b w:val="0"/>
                <w:bCs w:val="0"/>
                <w:sz w:val="20"/>
                <w:szCs w:val="20"/>
              </w:rPr>
            </w:pPr>
            <w:r w:rsidRPr="0060035A">
              <w:rPr>
                <w:rFonts w:ascii="Arial" w:eastAsia="Times New Roman" w:hAnsi="Arial" w:cs="Arial"/>
                <w:b w:val="0"/>
                <w:bCs w:val="0"/>
                <w:sz w:val="20"/>
                <w:szCs w:val="20"/>
              </w:rPr>
              <w:t>Dealers explain the consequences for the collateral in case of loan default</w:t>
            </w:r>
          </w:p>
        </w:tc>
        <w:tc>
          <w:tcPr>
            <w:tcW w:w="884" w:type="dxa"/>
            <w:vAlign w:val="center"/>
          </w:tcPr>
          <w:p w14:paraId="48A17A37" w14:textId="5494145E"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035A">
              <w:rPr>
                <w:rFonts w:ascii="Arial" w:eastAsia="Times New Roman" w:hAnsi="Arial" w:cs="Arial"/>
                <w:color w:val="000000"/>
                <w:sz w:val="20"/>
                <w:szCs w:val="20"/>
              </w:rPr>
              <w:t>2.96</w:t>
            </w:r>
          </w:p>
        </w:tc>
        <w:tc>
          <w:tcPr>
            <w:tcW w:w="1744" w:type="dxa"/>
            <w:vAlign w:val="center"/>
          </w:tcPr>
          <w:p w14:paraId="75DA755B" w14:textId="1B85B6B0"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035A">
              <w:rPr>
                <w:rFonts w:ascii="Arial" w:eastAsia="Times New Roman" w:hAnsi="Arial" w:cs="Arial"/>
                <w:color w:val="000000"/>
                <w:sz w:val="20"/>
                <w:szCs w:val="20"/>
              </w:rPr>
              <w:t>1.04</w:t>
            </w:r>
          </w:p>
        </w:tc>
        <w:tc>
          <w:tcPr>
            <w:tcW w:w="2250" w:type="dxa"/>
          </w:tcPr>
          <w:p w14:paraId="6315BA32" w14:textId="77777777"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58D51B0B" w14:textId="5394F132"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035A">
              <w:rPr>
                <w:rFonts w:ascii="Arial" w:eastAsia="Calibri" w:hAnsi="Arial" w:cs="Arial"/>
                <w:sz w:val="20"/>
                <w:szCs w:val="20"/>
              </w:rPr>
              <w:t>Sometime Evident</w:t>
            </w:r>
          </w:p>
        </w:tc>
      </w:tr>
      <w:tr w:rsidR="0060035A" w14:paraId="5C61AC39" w14:textId="77777777" w:rsidTr="00396572">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521B9BED" w14:textId="27D9BC97" w:rsidR="0060035A" w:rsidRPr="0060035A" w:rsidRDefault="0060035A" w:rsidP="0060035A">
            <w:pPr>
              <w:rPr>
                <w:rFonts w:ascii="Arial" w:hAnsi="Arial" w:cs="Arial"/>
                <w:b w:val="0"/>
                <w:bCs w:val="0"/>
                <w:sz w:val="20"/>
                <w:szCs w:val="20"/>
              </w:rPr>
            </w:pPr>
            <w:r w:rsidRPr="0060035A">
              <w:rPr>
                <w:rFonts w:ascii="Arial" w:eastAsia="Times New Roman" w:hAnsi="Arial" w:cs="Arial"/>
                <w:b w:val="0"/>
                <w:bCs w:val="0"/>
                <w:sz w:val="20"/>
                <w:szCs w:val="20"/>
              </w:rPr>
              <w:t>Dealers typically ensure that the collateral provided is appropriate for the credit offered</w:t>
            </w:r>
          </w:p>
        </w:tc>
        <w:tc>
          <w:tcPr>
            <w:tcW w:w="884" w:type="dxa"/>
            <w:vAlign w:val="center"/>
          </w:tcPr>
          <w:p w14:paraId="0839BFF9" w14:textId="07469F18"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0035A">
              <w:rPr>
                <w:rFonts w:ascii="Arial" w:eastAsia="Times New Roman" w:hAnsi="Arial" w:cs="Arial"/>
                <w:color w:val="000000"/>
                <w:sz w:val="20"/>
                <w:szCs w:val="20"/>
              </w:rPr>
              <w:t>2.97</w:t>
            </w:r>
          </w:p>
        </w:tc>
        <w:tc>
          <w:tcPr>
            <w:tcW w:w="1744" w:type="dxa"/>
            <w:vAlign w:val="center"/>
          </w:tcPr>
          <w:p w14:paraId="2A867B04" w14:textId="539CBFAD"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0035A">
              <w:rPr>
                <w:rFonts w:ascii="Arial" w:eastAsia="Times New Roman" w:hAnsi="Arial" w:cs="Arial"/>
                <w:color w:val="000000"/>
                <w:sz w:val="20"/>
                <w:szCs w:val="20"/>
              </w:rPr>
              <w:t>1.04</w:t>
            </w:r>
          </w:p>
        </w:tc>
        <w:tc>
          <w:tcPr>
            <w:tcW w:w="2250" w:type="dxa"/>
          </w:tcPr>
          <w:p w14:paraId="1962BA5D" w14:textId="77777777"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042A0DD7" w14:textId="7B94393B" w:rsidR="0060035A" w:rsidRPr="0060035A" w:rsidRDefault="0060035A" w:rsidP="006003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0035A">
              <w:rPr>
                <w:rFonts w:ascii="Arial" w:eastAsia="Calibri" w:hAnsi="Arial" w:cs="Arial"/>
                <w:sz w:val="20"/>
                <w:szCs w:val="20"/>
              </w:rPr>
              <w:t>Sometime Evident</w:t>
            </w:r>
          </w:p>
        </w:tc>
      </w:tr>
      <w:tr w:rsidR="0060035A" w:rsidRPr="002813BE" w14:paraId="23A36768"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2A18EC9C" w14:textId="25E6B69B" w:rsidR="0060035A" w:rsidRPr="0060035A" w:rsidRDefault="0060035A" w:rsidP="0060035A">
            <w:pPr>
              <w:jc w:val="center"/>
              <w:rPr>
                <w:rFonts w:ascii="Arial" w:hAnsi="Arial" w:cs="Arial"/>
                <w:color w:val="222222"/>
                <w:sz w:val="20"/>
                <w:szCs w:val="20"/>
                <w:shd w:val="clear" w:color="auto" w:fill="FFFFFF"/>
              </w:rPr>
            </w:pPr>
            <w:r w:rsidRPr="0060035A">
              <w:rPr>
                <w:rFonts w:ascii="Arial" w:eastAsia="Times New Roman" w:hAnsi="Arial" w:cs="Arial"/>
                <w:color w:val="000000"/>
                <w:sz w:val="20"/>
                <w:szCs w:val="20"/>
              </w:rPr>
              <w:t>Average</w:t>
            </w:r>
          </w:p>
        </w:tc>
        <w:tc>
          <w:tcPr>
            <w:tcW w:w="884" w:type="dxa"/>
            <w:tcBorders>
              <w:bottom w:val="single" w:sz="12" w:space="0" w:color="auto"/>
            </w:tcBorders>
            <w:vAlign w:val="center"/>
          </w:tcPr>
          <w:p w14:paraId="1939F7B6" w14:textId="2EEE586A"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60035A">
              <w:rPr>
                <w:rFonts w:ascii="Arial" w:eastAsia="Times New Roman" w:hAnsi="Arial" w:cs="Arial"/>
                <w:b/>
                <w:bCs/>
                <w:color w:val="000000"/>
                <w:sz w:val="20"/>
                <w:szCs w:val="20"/>
              </w:rPr>
              <w:t>3.00</w:t>
            </w:r>
          </w:p>
        </w:tc>
        <w:tc>
          <w:tcPr>
            <w:tcW w:w="1744" w:type="dxa"/>
            <w:tcBorders>
              <w:bottom w:val="single" w:sz="12" w:space="0" w:color="auto"/>
            </w:tcBorders>
            <w:vAlign w:val="center"/>
          </w:tcPr>
          <w:p w14:paraId="5FE0CF31" w14:textId="2E8DE306"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60035A">
              <w:rPr>
                <w:rFonts w:ascii="Arial" w:eastAsia="Times New Roman" w:hAnsi="Arial" w:cs="Arial"/>
                <w:b/>
                <w:bCs/>
                <w:color w:val="000000"/>
                <w:sz w:val="20"/>
                <w:szCs w:val="20"/>
              </w:rPr>
              <w:t>0.93</w:t>
            </w:r>
          </w:p>
        </w:tc>
        <w:tc>
          <w:tcPr>
            <w:tcW w:w="2250" w:type="dxa"/>
            <w:tcBorders>
              <w:bottom w:val="single" w:sz="12" w:space="0" w:color="auto"/>
            </w:tcBorders>
            <w:vAlign w:val="center"/>
          </w:tcPr>
          <w:p w14:paraId="4E796EFB" w14:textId="252B853F" w:rsidR="0060035A" w:rsidRPr="0060035A" w:rsidRDefault="0060035A" w:rsidP="0060035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60035A">
              <w:rPr>
                <w:rFonts w:ascii="Arial" w:eastAsia="Calibri" w:hAnsi="Arial" w:cs="Arial"/>
                <w:bCs/>
                <w:sz w:val="20"/>
                <w:szCs w:val="20"/>
              </w:rPr>
              <w:t>Sometime Evident</w:t>
            </w:r>
          </w:p>
        </w:tc>
      </w:tr>
      <w:bookmarkEnd w:id="4"/>
    </w:tbl>
    <w:p w14:paraId="5B46BA4F" w14:textId="77777777" w:rsidR="00BE59DE" w:rsidRDefault="00BE59DE" w:rsidP="00BE59DE">
      <w:pPr>
        <w:shd w:val="clear" w:color="auto" w:fill="FFFFFF" w:themeFill="background1"/>
        <w:spacing w:after="0" w:line="240" w:lineRule="auto"/>
        <w:jc w:val="both"/>
        <w:rPr>
          <w:rFonts w:ascii="Arial" w:hAnsi="Arial" w:cs="Arial"/>
          <w:sz w:val="20"/>
        </w:rPr>
      </w:pPr>
    </w:p>
    <w:p w14:paraId="756E0333" w14:textId="77777777" w:rsidR="0060035A" w:rsidRDefault="00FD17EF" w:rsidP="0060035A">
      <w:pPr>
        <w:pStyle w:val="Default"/>
        <w:ind w:firstLine="720"/>
        <w:jc w:val="both"/>
        <w:rPr>
          <w:color w:val="auto"/>
          <w:sz w:val="20"/>
          <w:szCs w:val="20"/>
        </w:rPr>
      </w:pPr>
      <w:r w:rsidRPr="00FD17EF">
        <w:rPr>
          <w:sz w:val="20"/>
        </w:rPr>
        <w:t xml:space="preserve">Table 4 </w:t>
      </w:r>
      <w:r w:rsidR="0060035A" w:rsidRPr="00BE1818">
        <w:rPr>
          <w:sz w:val="20"/>
          <w:szCs w:val="20"/>
        </w:rPr>
        <w:t xml:space="preserve">illustrates that the level of credit practices in terms of collateral is moderate </w:t>
      </w:r>
      <w:r w:rsidR="0060035A" w:rsidRPr="00BE1818">
        <w:rPr>
          <w:color w:val="4D5155"/>
          <w:sz w:val="20"/>
          <w:szCs w:val="20"/>
        </w:rPr>
        <w:t xml:space="preserve">(x̄ </w:t>
      </w:r>
      <w:r w:rsidR="0060035A" w:rsidRPr="00BE1818">
        <w:rPr>
          <w:sz w:val="20"/>
          <w:szCs w:val="20"/>
        </w:rPr>
        <w:t xml:space="preserve">= 3.00). The result indicates that the level of credit practices in terms of collateral is sometimes evident. This indicates that home appliance dealers in </w:t>
      </w:r>
      <w:proofErr w:type="spellStart"/>
      <w:r w:rsidR="0060035A" w:rsidRPr="00BE1818">
        <w:rPr>
          <w:sz w:val="20"/>
          <w:szCs w:val="20"/>
        </w:rPr>
        <w:t>Cateel</w:t>
      </w:r>
      <w:proofErr w:type="spellEnd"/>
      <w:r w:rsidR="0060035A" w:rsidRPr="00BE1818">
        <w:rPr>
          <w:sz w:val="20"/>
          <w:szCs w:val="20"/>
        </w:rPr>
        <w:t xml:space="preserve"> occasionally engage in practices such as verifying assets, requiring real estate or other </w:t>
      </w:r>
      <w:r w:rsidR="0060035A" w:rsidRPr="00BE1818">
        <w:rPr>
          <w:color w:val="auto"/>
          <w:sz w:val="20"/>
          <w:szCs w:val="20"/>
        </w:rPr>
        <w:t>collateral for larger commercial loans, and accepting various types of collateral, reflecting a moderate and somewhat variable approach to collateral evaluation in their credit approval processes.</w:t>
      </w:r>
    </w:p>
    <w:p w14:paraId="057757F1" w14:textId="77777777" w:rsidR="003E40B6" w:rsidRPr="00BE1818" w:rsidRDefault="003E40B6" w:rsidP="0060035A">
      <w:pPr>
        <w:pStyle w:val="Default"/>
        <w:ind w:firstLine="720"/>
        <w:jc w:val="both"/>
        <w:rPr>
          <w:color w:val="auto"/>
          <w:sz w:val="20"/>
          <w:szCs w:val="20"/>
        </w:rPr>
      </w:pPr>
    </w:p>
    <w:p w14:paraId="187DB8E3" w14:textId="77777777" w:rsidR="0060035A" w:rsidRDefault="0060035A" w:rsidP="0060035A">
      <w:pPr>
        <w:pStyle w:val="Default"/>
        <w:ind w:firstLine="720"/>
        <w:jc w:val="both"/>
        <w:rPr>
          <w:color w:val="212121"/>
          <w:sz w:val="20"/>
          <w:szCs w:val="20"/>
        </w:rPr>
      </w:pPr>
      <w:r w:rsidRPr="00BE1818">
        <w:rPr>
          <w:sz w:val="20"/>
          <w:szCs w:val="20"/>
        </w:rPr>
        <w:t>According to Elizabeth (2020), c</w:t>
      </w:r>
      <w:r w:rsidRPr="00BE1818">
        <w:rPr>
          <w:color w:val="212121"/>
          <w:sz w:val="20"/>
          <w:szCs w:val="20"/>
        </w:rPr>
        <w:t xml:space="preserve">ollateral provides security for lenders by offering assets that can be seized in case of default, directly supporting Melton's credit risk theory, which emphasizes risk mitigation through tangible </w:t>
      </w:r>
      <w:r w:rsidRPr="00BE1818">
        <w:rPr>
          <w:sz w:val="20"/>
          <w:szCs w:val="20"/>
        </w:rPr>
        <w:t xml:space="preserve">assurances. </w:t>
      </w:r>
      <w:r w:rsidRPr="00BE1818">
        <w:rPr>
          <w:color w:val="212121"/>
          <w:sz w:val="20"/>
          <w:szCs w:val="20"/>
        </w:rPr>
        <w:t>Moreover, Gopal (2021) stated that collateral serves as a backup for lenders, ensuring loan recovery in the event of borrower default.</w:t>
      </w:r>
    </w:p>
    <w:p w14:paraId="17F1C2A7" w14:textId="77777777" w:rsidR="007C2C1D" w:rsidRDefault="007C2C1D" w:rsidP="00AE22F5">
      <w:pPr>
        <w:spacing w:after="0" w:line="240" w:lineRule="auto"/>
        <w:rPr>
          <w:rFonts w:ascii="Arial" w:hAnsi="Arial" w:cs="Arial"/>
          <w:b/>
          <w:szCs w:val="24"/>
        </w:rPr>
      </w:pPr>
    </w:p>
    <w:p w14:paraId="2C541450" w14:textId="77777777" w:rsidR="003E40B6" w:rsidRDefault="003E40B6" w:rsidP="00AE22F5">
      <w:pPr>
        <w:spacing w:after="0" w:line="240" w:lineRule="auto"/>
        <w:rPr>
          <w:rFonts w:ascii="Arial" w:hAnsi="Arial" w:cs="Arial"/>
          <w:b/>
          <w:szCs w:val="24"/>
        </w:rPr>
      </w:pPr>
    </w:p>
    <w:p w14:paraId="45DC66DE" w14:textId="77777777" w:rsidR="003E40B6" w:rsidRDefault="003E40B6" w:rsidP="00AE22F5">
      <w:pPr>
        <w:spacing w:after="0" w:line="240" w:lineRule="auto"/>
        <w:rPr>
          <w:rFonts w:ascii="Arial" w:hAnsi="Arial" w:cs="Arial"/>
          <w:b/>
          <w:szCs w:val="24"/>
        </w:rPr>
      </w:pPr>
    </w:p>
    <w:p w14:paraId="19C61FD2" w14:textId="77777777" w:rsidR="003E40B6" w:rsidRPr="00543C73" w:rsidRDefault="003E40B6" w:rsidP="00AE22F5">
      <w:pPr>
        <w:spacing w:after="0" w:line="240" w:lineRule="auto"/>
        <w:rPr>
          <w:rFonts w:ascii="Arial" w:hAnsi="Arial" w:cs="Arial"/>
          <w:b/>
          <w:szCs w:val="24"/>
        </w:rPr>
      </w:pPr>
    </w:p>
    <w:p w14:paraId="02D8BE6F" w14:textId="77777777" w:rsidR="0047319E" w:rsidRDefault="00BE59DE" w:rsidP="0047319E">
      <w:pPr>
        <w:spacing w:line="240" w:lineRule="auto"/>
        <w:rPr>
          <w:rFonts w:ascii="Arial" w:hAnsi="Arial" w:cs="Arial"/>
          <w:sz w:val="20"/>
        </w:rPr>
      </w:pPr>
      <w:r w:rsidRPr="0047319E">
        <w:rPr>
          <w:rFonts w:ascii="Arial" w:hAnsi="Arial" w:cs="Arial"/>
          <w:b/>
          <w:sz w:val="20"/>
        </w:rPr>
        <w:t>Table 5</w:t>
      </w:r>
      <w:r w:rsidR="007C2C1D" w:rsidRPr="0047319E">
        <w:rPr>
          <w:rFonts w:ascii="Arial" w:hAnsi="Arial" w:cs="Arial"/>
          <w:sz w:val="20"/>
        </w:rPr>
        <w:t xml:space="preserve">. </w:t>
      </w:r>
      <w:r w:rsidR="0047319E" w:rsidRPr="0047319E">
        <w:rPr>
          <w:rFonts w:ascii="Arial" w:hAnsi="Arial" w:cs="Arial"/>
          <w:sz w:val="20"/>
        </w:rPr>
        <w:t>Level of Credit Practices in Terms of Condition</w:t>
      </w:r>
    </w:p>
    <w:tbl>
      <w:tblPr>
        <w:tblStyle w:val="PlainTable21"/>
        <w:tblW w:w="8275" w:type="dxa"/>
        <w:tblLook w:val="04A0" w:firstRow="1" w:lastRow="0" w:firstColumn="1" w:lastColumn="0" w:noHBand="0" w:noVBand="1"/>
      </w:tblPr>
      <w:tblGrid>
        <w:gridCol w:w="3397"/>
        <w:gridCol w:w="884"/>
        <w:gridCol w:w="1744"/>
        <w:gridCol w:w="2250"/>
      </w:tblGrid>
      <w:tr w:rsidR="0047319E" w:rsidRPr="00913E87" w14:paraId="2653F8BC"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1B322344" w14:textId="77777777" w:rsidR="0047319E" w:rsidRPr="00913E87" w:rsidRDefault="0047319E" w:rsidP="00396572">
            <w:pPr>
              <w:jc w:val="center"/>
              <w:rPr>
                <w:rFonts w:ascii="Arial" w:hAnsi="Arial" w:cs="Arial"/>
                <w:color w:val="222222"/>
                <w:sz w:val="20"/>
                <w:shd w:val="clear" w:color="auto" w:fill="FFFFFF"/>
              </w:rPr>
            </w:pPr>
            <w:bookmarkStart w:id="5" w:name="_Hlk203570751"/>
            <w:r w:rsidRPr="00913E87">
              <w:rPr>
                <w:rFonts w:ascii="Arial" w:hAnsi="Arial" w:cs="Arial"/>
                <w:sz w:val="20"/>
                <w:szCs w:val="20"/>
              </w:rPr>
              <w:t>Description</w:t>
            </w:r>
          </w:p>
        </w:tc>
        <w:tc>
          <w:tcPr>
            <w:tcW w:w="884" w:type="dxa"/>
            <w:tcBorders>
              <w:top w:val="single" w:sz="12" w:space="0" w:color="auto"/>
            </w:tcBorders>
          </w:tcPr>
          <w:p w14:paraId="6D7FBAB9" w14:textId="77777777" w:rsidR="0047319E" w:rsidRPr="00913E87" w:rsidRDefault="0047319E"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Mean</w:t>
            </w:r>
          </w:p>
        </w:tc>
        <w:tc>
          <w:tcPr>
            <w:tcW w:w="1744" w:type="dxa"/>
            <w:tcBorders>
              <w:top w:val="single" w:sz="12" w:space="0" w:color="auto"/>
            </w:tcBorders>
          </w:tcPr>
          <w:p w14:paraId="582B2EEF" w14:textId="77777777" w:rsidR="0047319E" w:rsidRPr="00913E87" w:rsidRDefault="0047319E"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Std. deviation</w:t>
            </w:r>
          </w:p>
        </w:tc>
        <w:tc>
          <w:tcPr>
            <w:tcW w:w="2250" w:type="dxa"/>
            <w:tcBorders>
              <w:top w:val="single" w:sz="12" w:space="0" w:color="auto"/>
            </w:tcBorders>
          </w:tcPr>
          <w:p w14:paraId="0BB47E0A" w14:textId="77777777" w:rsidR="0047319E" w:rsidRPr="00913E87" w:rsidRDefault="0047319E"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Descriptive Level</w:t>
            </w:r>
          </w:p>
        </w:tc>
      </w:tr>
      <w:tr w:rsidR="00243A3E" w:rsidRPr="00470327" w14:paraId="78915B34"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E7A197D" w14:textId="5390ED46" w:rsidR="00243A3E" w:rsidRPr="00243A3E" w:rsidRDefault="00243A3E" w:rsidP="00243A3E">
            <w:pPr>
              <w:rPr>
                <w:rFonts w:ascii="Arial" w:hAnsi="Arial" w:cs="Arial"/>
                <w:b w:val="0"/>
                <w:bCs w:val="0"/>
                <w:color w:val="222222"/>
                <w:sz w:val="20"/>
                <w:szCs w:val="20"/>
                <w:shd w:val="clear" w:color="auto" w:fill="FFFFFF"/>
              </w:rPr>
            </w:pPr>
            <w:r w:rsidRPr="00243A3E">
              <w:rPr>
                <w:rFonts w:ascii="Arial" w:eastAsia="Times New Roman" w:hAnsi="Arial" w:cs="Arial"/>
                <w:b w:val="0"/>
                <w:bCs w:val="0"/>
                <w:sz w:val="20"/>
              </w:rPr>
              <w:t>Customers trust that dealers comply with all relevant regulations and government policies when offering credit</w:t>
            </w:r>
          </w:p>
        </w:tc>
        <w:tc>
          <w:tcPr>
            <w:tcW w:w="884" w:type="dxa"/>
            <w:vAlign w:val="center"/>
          </w:tcPr>
          <w:p w14:paraId="2D30BE68" w14:textId="58E5913C" w:rsidR="00243A3E" w:rsidRPr="00243A3E" w:rsidRDefault="00243A3E" w:rsidP="00243A3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Times New Roman" w:hAnsi="Arial" w:cs="Arial"/>
                <w:color w:val="000000"/>
                <w:sz w:val="20"/>
              </w:rPr>
              <w:t>4.44</w:t>
            </w:r>
          </w:p>
        </w:tc>
        <w:tc>
          <w:tcPr>
            <w:tcW w:w="1744" w:type="dxa"/>
            <w:vAlign w:val="center"/>
          </w:tcPr>
          <w:p w14:paraId="42056822" w14:textId="2BA580B6" w:rsidR="00243A3E" w:rsidRPr="00243A3E" w:rsidRDefault="00243A3E" w:rsidP="00243A3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Times New Roman" w:hAnsi="Arial" w:cs="Arial"/>
                <w:color w:val="000000"/>
                <w:sz w:val="20"/>
              </w:rPr>
              <w:t>0.71</w:t>
            </w:r>
          </w:p>
        </w:tc>
        <w:tc>
          <w:tcPr>
            <w:tcW w:w="2250" w:type="dxa"/>
          </w:tcPr>
          <w:p w14:paraId="370E61BD" w14:textId="77777777" w:rsidR="00243A3E" w:rsidRDefault="00243A3E" w:rsidP="00243A3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p w14:paraId="0712D566" w14:textId="7CBBCFE7" w:rsidR="00243A3E" w:rsidRPr="00243A3E" w:rsidRDefault="00243A3E" w:rsidP="00243A3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Calibri" w:hAnsi="Arial" w:cs="Arial"/>
                <w:sz w:val="20"/>
              </w:rPr>
              <w:t>Very Evident</w:t>
            </w:r>
          </w:p>
        </w:tc>
      </w:tr>
      <w:tr w:rsidR="00243A3E" w:rsidRPr="0060035A" w14:paraId="28158D50"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7B64E015" w14:textId="168FB538" w:rsidR="00243A3E" w:rsidRPr="00243A3E" w:rsidRDefault="00243A3E" w:rsidP="00243A3E">
            <w:pPr>
              <w:rPr>
                <w:rFonts w:ascii="Arial" w:hAnsi="Arial" w:cs="Arial"/>
                <w:b w:val="0"/>
                <w:bCs w:val="0"/>
                <w:color w:val="222222"/>
                <w:sz w:val="20"/>
                <w:szCs w:val="20"/>
                <w:shd w:val="clear" w:color="auto" w:fill="FFFFFF"/>
              </w:rPr>
            </w:pPr>
            <w:r w:rsidRPr="00243A3E">
              <w:rPr>
                <w:rFonts w:ascii="Arial" w:eastAsia="Times New Roman" w:hAnsi="Arial" w:cs="Arial"/>
                <w:b w:val="0"/>
                <w:bCs w:val="0"/>
                <w:sz w:val="20"/>
              </w:rPr>
              <w:t>Dealers regularly review loan documentation and inform customers of any updates or changes</w:t>
            </w:r>
          </w:p>
        </w:tc>
        <w:tc>
          <w:tcPr>
            <w:tcW w:w="884" w:type="dxa"/>
            <w:vAlign w:val="center"/>
          </w:tcPr>
          <w:p w14:paraId="67F5921E" w14:textId="6F3CB05F" w:rsidR="00243A3E" w:rsidRPr="00243A3E" w:rsidRDefault="00243A3E" w:rsidP="00243A3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Times New Roman" w:hAnsi="Arial" w:cs="Arial"/>
                <w:color w:val="000000"/>
                <w:sz w:val="20"/>
              </w:rPr>
              <w:t>4.46</w:t>
            </w:r>
          </w:p>
        </w:tc>
        <w:tc>
          <w:tcPr>
            <w:tcW w:w="1744" w:type="dxa"/>
            <w:vAlign w:val="center"/>
          </w:tcPr>
          <w:p w14:paraId="52F378EA" w14:textId="6FF9235A" w:rsidR="00243A3E" w:rsidRPr="00243A3E" w:rsidRDefault="00243A3E" w:rsidP="00243A3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Times New Roman" w:hAnsi="Arial" w:cs="Arial"/>
                <w:color w:val="000000"/>
                <w:sz w:val="20"/>
              </w:rPr>
              <w:t>0.70</w:t>
            </w:r>
          </w:p>
        </w:tc>
        <w:tc>
          <w:tcPr>
            <w:tcW w:w="2250" w:type="dxa"/>
          </w:tcPr>
          <w:p w14:paraId="04400BE9" w14:textId="54CFDC96" w:rsidR="00243A3E" w:rsidRPr="00243A3E" w:rsidRDefault="00243A3E" w:rsidP="00243A3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Calibri" w:hAnsi="Arial" w:cs="Arial"/>
                <w:sz w:val="20"/>
              </w:rPr>
              <w:t>Very Evident</w:t>
            </w:r>
          </w:p>
        </w:tc>
      </w:tr>
      <w:tr w:rsidR="00243A3E" w:rsidRPr="0060035A" w14:paraId="08992FB0"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DDAFB38" w14:textId="4F91B53D" w:rsidR="00243A3E" w:rsidRPr="00243A3E" w:rsidRDefault="00243A3E" w:rsidP="00243A3E">
            <w:pPr>
              <w:rPr>
                <w:rFonts w:ascii="Arial" w:hAnsi="Arial" w:cs="Arial"/>
                <w:b w:val="0"/>
                <w:bCs w:val="0"/>
                <w:color w:val="222222"/>
                <w:sz w:val="20"/>
                <w:szCs w:val="20"/>
                <w:shd w:val="clear" w:color="auto" w:fill="FFFFFF"/>
              </w:rPr>
            </w:pPr>
            <w:r w:rsidRPr="00243A3E">
              <w:rPr>
                <w:rFonts w:ascii="Arial" w:eastAsia="Times New Roman" w:hAnsi="Arial" w:cs="Arial"/>
                <w:b w:val="0"/>
                <w:bCs w:val="0"/>
                <w:sz w:val="20"/>
              </w:rPr>
              <w:t>Dealers typically provide clear, properly prepared loan agreements that are signed by all parties required to do so.</w:t>
            </w:r>
          </w:p>
        </w:tc>
        <w:tc>
          <w:tcPr>
            <w:tcW w:w="884" w:type="dxa"/>
            <w:vAlign w:val="center"/>
          </w:tcPr>
          <w:p w14:paraId="34E48649" w14:textId="4F5E36CC" w:rsidR="00243A3E" w:rsidRPr="00243A3E" w:rsidRDefault="00243A3E" w:rsidP="00243A3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Times New Roman" w:hAnsi="Arial" w:cs="Arial"/>
                <w:color w:val="000000"/>
                <w:sz w:val="20"/>
              </w:rPr>
              <w:t>4.39</w:t>
            </w:r>
          </w:p>
        </w:tc>
        <w:tc>
          <w:tcPr>
            <w:tcW w:w="1744" w:type="dxa"/>
            <w:vAlign w:val="center"/>
          </w:tcPr>
          <w:p w14:paraId="3E006A6C" w14:textId="15AF5571" w:rsidR="00243A3E" w:rsidRPr="00243A3E" w:rsidRDefault="00243A3E" w:rsidP="00243A3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Times New Roman" w:hAnsi="Arial" w:cs="Arial"/>
                <w:color w:val="000000"/>
                <w:sz w:val="20"/>
              </w:rPr>
              <w:t>0.66</w:t>
            </w:r>
          </w:p>
        </w:tc>
        <w:tc>
          <w:tcPr>
            <w:tcW w:w="2250" w:type="dxa"/>
          </w:tcPr>
          <w:p w14:paraId="1A6E9A92" w14:textId="77777777" w:rsidR="00243A3E" w:rsidRDefault="00243A3E" w:rsidP="00243A3E">
            <w:pPr>
              <w:tabs>
                <w:tab w:val="left" w:pos="210"/>
                <w:tab w:val="center" w:pos="1017"/>
              </w:tabs>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Pr>
                <w:rFonts w:ascii="Arial" w:eastAsia="Calibri" w:hAnsi="Arial" w:cs="Arial"/>
                <w:sz w:val="20"/>
              </w:rPr>
              <w:tab/>
            </w:r>
          </w:p>
          <w:p w14:paraId="568A0972" w14:textId="686D7966" w:rsidR="00243A3E" w:rsidRPr="00243A3E" w:rsidRDefault="00243A3E" w:rsidP="00243A3E">
            <w:pPr>
              <w:tabs>
                <w:tab w:val="left" w:pos="210"/>
                <w:tab w:val="center" w:pos="1017"/>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243A3E">
              <w:rPr>
                <w:rFonts w:ascii="Arial" w:eastAsia="Calibri" w:hAnsi="Arial" w:cs="Arial"/>
                <w:sz w:val="20"/>
              </w:rPr>
              <w:t>Very Evident</w:t>
            </w:r>
          </w:p>
        </w:tc>
      </w:tr>
      <w:tr w:rsidR="0047319E" w:rsidRPr="0060035A" w14:paraId="1B112940" w14:textId="77777777" w:rsidTr="00396572">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77C71B2C" w14:textId="7D26B5BC" w:rsidR="0047319E" w:rsidRPr="0047319E" w:rsidRDefault="0047319E" w:rsidP="0047319E">
            <w:pPr>
              <w:rPr>
                <w:rFonts w:ascii="Arial" w:hAnsi="Arial" w:cs="Arial"/>
                <w:b w:val="0"/>
                <w:bCs w:val="0"/>
                <w:color w:val="222222"/>
                <w:sz w:val="20"/>
                <w:szCs w:val="20"/>
                <w:shd w:val="clear" w:color="auto" w:fill="FFFFFF"/>
              </w:rPr>
            </w:pPr>
            <w:r w:rsidRPr="0047319E">
              <w:rPr>
                <w:rFonts w:ascii="Arial" w:eastAsia="Times New Roman" w:hAnsi="Arial" w:cs="Arial"/>
                <w:b w:val="0"/>
                <w:bCs w:val="0"/>
                <w:sz w:val="20"/>
                <w:szCs w:val="20"/>
              </w:rPr>
              <w:t>Dealers usually examine whether economic conditions could impact an applicant's loan repayment ability</w:t>
            </w:r>
          </w:p>
        </w:tc>
        <w:tc>
          <w:tcPr>
            <w:tcW w:w="884" w:type="dxa"/>
            <w:vAlign w:val="center"/>
          </w:tcPr>
          <w:p w14:paraId="2C6A5594" w14:textId="76F2C135" w:rsidR="0047319E" w:rsidRPr="0047319E" w:rsidRDefault="0047319E" w:rsidP="00473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7319E">
              <w:rPr>
                <w:rFonts w:ascii="Arial" w:eastAsia="Times New Roman" w:hAnsi="Arial" w:cs="Arial"/>
                <w:color w:val="000000"/>
                <w:sz w:val="20"/>
                <w:szCs w:val="20"/>
              </w:rPr>
              <w:t>3.72</w:t>
            </w:r>
          </w:p>
        </w:tc>
        <w:tc>
          <w:tcPr>
            <w:tcW w:w="1744" w:type="dxa"/>
            <w:vAlign w:val="center"/>
          </w:tcPr>
          <w:p w14:paraId="0661EC81" w14:textId="290996AA" w:rsidR="0047319E" w:rsidRPr="0047319E" w:rsidRDefault="0047319E" w:rsidP="00473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7319E">
              <w:rPr>
                <w:rFonts w:ascii="Arial" w:eastAsia="Times New Roman" w:hAnsi="Arial" w:cs="Arial"/>
                <w:color w:val="000000"/>
                <w:sz w:val="20"/>
                <w:szCs w:val="20"/>
              </w:rPr>
              <w:t>0.73</w:t>
            </w:r>
          </w:p>
        </w:tc>
        <w:tc>
          <w:tcPr>
            <w:tcW w:w="2250" w:type="dxa"/>
          </w:tcPr>
          <w:p w14:paraId="5C7065BB" w14:textId="77777777" w:rsidR="0047319E" w:rsidRPr="0047319E" w:rsidRDefault="0047319E" w:rsidP="0047319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1A611FE4" w14:textId="5EFB969E" w:rsidR="0047319E" w:rsidRPr="0047319E" w:rsidRDefault="0047319E" w:rsidP="0047319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7319E">
              <w:rPr>
                <w:rFonts w:ascii="Arial" w:eastAsia="Calibri" w:hAnsi="Arial" w:cs="Arial"/>
                <w:sz w:val="20"/>
                <w:szCs w:val="20"/>
              </w:rPr>
              <w:t xml:space="preserve">Often Evident  </w:t>
            </w:r>
          </w:p>
        </w:tc>
      </w:tr>
      <w:tr w:rsidR="0047319E" w:rsidRPr="0060035A" w14:paraId="2AF88984" w14:textId="77777777" w:rsidTr="0039657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397" w:type="dxa"/>
          </w:tcPr>
          <w:p w14:paraId="7C68314C" w14:textId="13DE6CA9" w:rsidR="0047319E" w:rsidRPr="0047319E" w:rsidRDefault="0047319E" w:rsidP="0047319E">
            <w:pPr>
              <w:rPr>
                <w:rFonts w:ascii="Arial" w:hAnsi="Arial" w:cs="Arial"/>
                <w:b w:val="0"/>
                <w:bCs w:val="0"/>
                <w:sz w:val="20"/>
                <w:szCs w:val="20"/>
              </w:rPr>
            </w:pPr>
            <w:r w:rsidRPr="0047319E">
              <w:rPr>
                <w:rFonts w:ascii="Arial" w:eastAsia="Times New Roman" w:hAnsi="Arial" w:cs="Arial"/>
                <w:b w:val="0"/>
                <w:bCs w:val="0"/>
                <w:sz w:val="20"/>
                <w:szCs w:val="20"/>
              </w:rPr>
              <w:t>Dealers assess job stability or business prospects before offering long-term credit</w:t>
            </w:r>
          </w:p>
        </w:tc>
        <w:tc>
          <w:tcPr>
            <w:tcW w:w="884" w:type="dxa"/>
            <w:vAlign w:val="center"/>
          </w:tcPr>
          <w:p w14:paraId="44382187" w14:textId="02CDC6FC" w:rsidR="0047319E" w:rsidRPr="0047319E" w:rsidRDefault="0047319E" w:rsidP="004731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7319E">
              <w:rPr>
                <w:rFonts w:ascii="Arial" w:eastAsia="Times New Roman" w:hAnsi="Arial" w:cs="Arial"/>
                <w:color w:val="000000"/>
                <w:sz w:val="20"/>
                <w:szCs w:val="20"/>
              </w:rPr>
              <w:t>3.73</w:t>
            </w:r>
          </w:p>
        </w:tc>
        <w:tc>
          <w:tcPr>
            <w:tcW w:w="1744" w:type="dxa"/>
            <w:vAlign w:val="center"/>
          </w:tcPr>
          <w:p w14:paraId="386B07B1" w14:textId="556C0A97" w:rsidR="0047319E" w:rsidRPr="0047319E" w:rsidRDefault="0047319E" w:rsidP="004731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7319E">
              <w:rPr>
                <w:rFonts w:ascii="Arial" w:eastAsia="Times New Roman" w:hAnsi="Arial" w:cs="Arial"/>
                <w:color w:val="000000"/>
                <w:sz w:val="20"/>
                <w:szCs w:val="20"/>
              </w:rPr>
              <w:t>0.71</w:t>
            </w:r>
          </w:p>
        </w:tc>
        <w:tc>
          <w:tcPr>
            <w:tcW w:w="2250" w:type="dxa"/>
          </w:tcPr>
          <w:p w14:paraId="08F4AC77" w14:textId="77777777" w:rsidR="0047319E" w:rsidRPr="0047319E" w:rsidRDefault="0047319E" w:rsidP="0047319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5A4F3030" w14:textId="2D890B60" w:rsidR="0047319E" w:rsidRPr="0047319E" w:rsidRDefault="0047319E" w:rsidP="004731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7319E">
              <w:rPr>
                <w:rFonts w:ascii="Arial" w:eastAsia="Calibri" w:hAnsi="Arial" w:cs="Arial"/>
                <w:sz w:val="20"/>
                <w:szCs w:val="20"/>
              </w:rPr>
              <w:t xml:space="preserve">Often Evident  </w:t>
            </w:r>
          </w:p>
        </w:tc>
      </w:tr>
      <w:tr w:rsidR="0047319E" w:rsidRPr="0060035A" w14:paraId="3B8A5F87" w14:textId="77777777" w:rsidTr="00396572">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1BC04BE5" w14:textId="1DD0B932" w:rsidR="0047319E" w:rsidRPr="0047319E" w:rsidRDefault="0047319E" w:rsidP="0047319E">
            <w:pPr>
              <w:rPr>
                <w:rFonts w:ascii="Arial" w:hAnsi="Arial" w:cs="Arial"/>
                <w:b w:val="0"/>
                <w:bCs w:val="0"/>
                <w:sz w:val="20"/>
                <w:szCs w:val="20"/>
              </w:rPr>
            </w:pPr>
            <w:r w:rsidRPr="0047319E">
              <w:rPr>
                <w:rFonts w:ascii="Arial" w:eastAsia="Times New Roman" w:hAnsi="Arial" w:cs="Arial"/>
                <w:b w:val="0"/>
                <w:bCs w:val="0"/>
                <w:sz w:val="20"/>
                <w:szCs w:val="20"/>
              </w:rPr>
              <w:lastRenderedPageBreak/>
              <w:t>Dealers take into consideration external economic and social factors that may affect loan repayment</w:t>
            </w:r>
          </w:p>
        </w:tc>
        <w:tc>
          <w:tcPr>
            <w:tcW w:w="884" w:type="dxa"/>
            <w:vAlign w:val="center"/>
          </w:tcPr>
          <w:p w14:paraId="3B2C59D9" w14:textId="7A70C526" w:rsidR="0047319E" w:rsidRPr="0047319E" w:rsidRDefault="0047319E" w:rsidP="004731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7319E">
              <w:rPr>
                <w:rFonts w:ascii="Arial" w:eastAsia="Times New Roman" w:hAnsi="Arial" w:cs="Arial"/>
                <w:color w:val="000000"/>
                <w:sz w:val="20"/>
                <w:szCs w:val="20"/>
              </w:rPr>
              <w:t>3.72</w:t>
            </w:r>
          </w:p>
        </w:tc>
        <w:tc>
          <w:tcPr>
            <w:tcW w:w="1744" w:type="dxa"/>
            <w:vAlign w:val="center"/>
          </w:tcPr>
          <w:p w14:paraId="2F7FA284" w14:textId="17DD62DA" w:rsidR="0047319E" w:rsidRPr="0047319E" w:rsidRDefault="0047319E" w:rsidP="004731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7319E">
              <w:rPr>
                <w:rFonts w:ascii="Arial" w:eastAsia="Times New Roman" w:hAnsi="Arial" w:cs="Arial"/>
                <w:color w:val="000000"/>
                <w:sz w:val="20"/>
                <w:szCs w:val="20"/>
              </w:rPr>
              <w:t>0.72</w:t>
            </w:r>
          </w:p>
        </w:tc>
        <w:tc>
          <w:tcPr>
            <w:tcW w:w="2250" w:type="dxa"/>
          </w:tcPr>
          <w:p w14:paraId="06C9A1BB" w14:textId="77777777" w:rsidR="0047319E" w:rsidRPr="0047319E" w:rsidRDefault="0047319E" w:rsidP="0047319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2D15E1F6" w14:textId="004E46AC" w:rsidR="0047319E" w:rsidRPr="0047319E" w:rsidRDefault="0047319E" w:rsidP="004731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7319E">
              <w:rPr>
                <w:rFonts w:ascii="Arial" w:eastAsia="Calibri" w:hAnsi="Arial" w:cs="Arial"/>
                <w:sz w:val="20"/>
                <w:szCs w:val="20"/>
              </w:rPr>
              <w:t xml:space="preserve">Often Evident  </w:t>
            </w:r>
          </w:p>
        </w:tc>
      </w:tr>
      <w:tr w:rsidR="0047319E" w:rsidRPr="0060035A" w14:paraId="549BC335" w14:textId="77777777" w:rsidTr="0039657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397" w:type="dxa"/>
          </w:tcPr>
          <w:p w14:paraId="381D84A7" w14:textId="20DE2F2D" w:rsidR="0047319E" w:rsidRPr="00B81975" w:rsidRDefault="0047319E" w:rsidP="0047319E">
            <w:pPr>
              <w:rPr>
                <w:rFonts w:ascii="Arial" w:eastAsia="Times New Roman" w:hAnsi="Arial" w:cs="Arial"/>
                <w:b w:val="0"/>
                <w:bCs w:val="0"/>
                <w:sz w:val="20"/>
                <w:szCs w:val="20"/>
              </w:rPr>
            </w:pPr>
            <w:r w:rsidRPr="00B81975">
              <w:rPr>
                <w:rFonts w:ascii="Arial" w:eastAsia="Times New Roman" w:hAnsi="Arial" w:cs="Arial"/>
                <w:b w:val="0"/>
                <w:bCs w:val="0"/>
                <w:sz w:val="20"/>
                <w:szCs w:val="20"/>
              </w:rPr>
              <w:t>Dealers commonly track changes in an applicant's financial situation and adjust credit terms as needed</w:t>
            </w:r>
          </w:p>
        </w:tc>
        <w:tc>
          <w:tcPr>
            <w:tcW w:w="884" w:type="dxa"/>
            <w:vAlign w:val="center"/>
          </w:tcPr>
          <w:p w14:paraId="5F76CEF6" w14:textId="04DA9C45" w:rsidR="0047319E" w:rsidRPr="00B81975" w:rsidRDefault="0047319E" w:rsidP="0047319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B81975">
              <w:rPr>
                <w:rFonts w:ascii="Arial" w:eastAsia="Times New Roman" w:hAnsi="Arial" w:cs="Arial"/>
                <w:color w:val="000000"/>
                <w:sz w:val="20"/>
                <w:szCs w:val="20"/>
              </w:rPr>
              <w:t>3.63</w:t>
            </w:r>
          </w:p>
        </w:tc>
        <w:tc>
          <w:tcPr>
            <w:tcW w:w="1744" w:type="dxa"/>
            <w:vAlign w:val="center"/>
          </w:tcPr>
          <w:p w14:paraId="6BEE9A77" w14:textId="51A9C7B3" w:rsidR="0047319E" w:rsidRPr="00B81975" w:rsidRDefault="0047319E" w:rsidP="0047319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B81975">
              <w:rPr>
                <w:rFonts w:ascii="Arial" w:eastAsia="Times New Roman" w:hAnsi="Arial" w:cs="Arial"/>
                <w:color w:val="000000"/>
                <w:sz w:val="20"/>
                <w:szCs w:val="20"/>
              </w:rPr>
              <w:t>0.81</w:t>
            </w:r>
          </w:p>
        </w:tc>
        <w:tc>
          <w:tcPr>
            <w:tcW w:w="2250" w:type="dxa"/>
          </w:tcPr>
          <w:p w14:paraId="795F068D" w14:textId="77777777" w:rsidR="0047319E" w:rsidRPr="00B81975" w:rsidRDefault="0047319E" w:rsidP="0047319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rPr>
            </w:pPr>
          </w:p>
          <w:p w14:paraId="3BA8C509" w14:textId="4D8B37F9" w:rsidR="0047319E" w:rsidRPr="00B81975" w:rsidRDefault="0047319E" w:rsidP="0047319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B81975">
              <w:rPr>
                <w:rFonts w:ascii="Arial" w:eastAsia="Calibri" w:hAnsi="Arial" w:cs="Arial"/>
                <w:bCs/>
                <w:sz w:val="20"/>
                <w:szCs w:val="20"/>
              </w:rPr>
              <w:t xml:space="preserve">Often Evident  </w:t>
            </w:r>
          </w:p>
        </w:tc>
      </w:tr>
      <w:tr w:rsidR="00B81975" w:rsidRPr="0060035A" w14:paraId="3C79F9E5" w14:textId="77777777" w:rsidTr="00396572">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2CB24660" w14:textId="2E36C836" w:rsidR="00B81975" w:rsidRPr="00B81975" w:rsidRDefault="00B81975" w:rsidP="00B81975">
            <w:pPr>
              <w:rPr>
                <w:rFonts w:ascii="Arial" w:eastAsia="Times New Roman" w:hAnsi="Arial" w:cs="Arial"/>
                <w:b w:val="0"/>
                <w:bCs w:val="0"/>
                <w:sz w:val="20"/>
                <w:szCs w:val="20"/>
              </w:rPr>
            </w:pPr>
            <w:r w:rsidRPr="00B81975">
              <w:rPr>
                <w:rFonts w:ascii="Arial" w:eastAsia="Times New Roman" w:hAnsi="Arial" w:cs="Arial"/>
                <w:b w:val="0"/>
                <w:bCs w:val="0"/>
                <w:sz w:val="20"/>
                <w:szCs w:val="20"/>
              </w:rPr>
              <w:t>Dealers evaluate the economic risks faced by customers before providing long-term credit</w:t>
            </w:r>
          </w:p>
        </w:tc>
        <w:tc>
          <w:tcPr>
            <w:tcW w:w="884" w:type="dxa"/>
            <w:vAlign w:val="center"/>
          </w:tcPr>
          <w:p w14:paraId="4E429F19" w14:textId="06AB93FE" w:rsidR="00B81975" w:rsidRPr="00B81975" w:rsidRDefault="00B81975" w:rsidP="00B819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B81975">
              <w:rPr>
                <w:rFonts w:ascii="Arial" w:eastAsia="Times New Roman" w:hAnsi="Arial" w:cs="Arial"/>
                <w:color w:val="000000"/>
                <w:sz w:val="20"/>
                <w:szCs w:val="20"/>
              </w:rPr>
              <w:t>3.59</w:t>
            </w:r>
          </w:p>
        </w:tc>
        <w:tc>
          <w:tcPr>
            <w:tcW w:w="1744" w:type="dxa"/>
            <w:vAlign w:val="center"/>
          </w:tcPr>
          <w:p w14:paraId="6CDE7432" w14:textId="7F59189D" w:rsidR="00B81975" w:rsidRPr="00B81975" w:rsidRDefault="00B81975" w:rsidP="00B819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B81975">
              <w:rPr>
                <w:rFonts w:ascii="Arial" w:eastAsia="Times New Roman" w:hAnsi="Arial" w:cs="Arial"/>
                <w:color w:val="000000"/>
                <w:sz w:val="20"/>
                <w:szCs w:val="20"/>
              </w:rPr>
              <w:t>0.73</w:t>
            </w:r>
          </w:p>
        </w:tc>
        <w:tc>
          <w:tcPr>
            <w:tcW w:w="2250" w:type="dxa"/>
          </w:tcPr>
          <w:p w14:paraId="181238B9" w14:textId="77777777" w:rsidR="00B81975" w:rsidRPr="00B81975" w:rsidRDefault="00B81975" w:rsidP="00B8197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rPr>
            </w:pPr>
          </w:p>
          <w:p w14:paraId="2D1C9482" w14:textId="0E16C416" w:rsidR="00B81975" w:rsidRPr="00B81975" w:rsidRDefault="00B81975" w:rsidP="00B8197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rPr>
            </w:pPr>
            <w:r w:rsidRPr="00B81975">
              <w:rPr>
                <w:rFonts w:ascii="Arial" w:eastAsia="Calibri" w:hAnsi="Arial" w:cs="Arial"/>
                <w:bCs/>
                <w:sz w:val="20"/>
                <w:szCs w:val="20"/>
              </w:rPr>
              <w:t xml:space="preserve">Often Evident  </w:t>
            </w:r>
          </w:p>
        </w:tc>
      </w:tr>
      <w:tr w:rsidR="00092C12" w:rsidRPr="0060035A" w14:paraId="144C54A2" w14:textId="77777777" w:rsidTr="0039657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397" w:type="dxa"/>
          </w:tcPr>
          <w:p w14:paraId="69DDAF4A" w14:textId="3B1709F1" w:rsidR="00092C12" w:rsidRPr="00092C12" w:rsidRDefault="00092C12" w:rsidP="00092C12">
            <w:pPr>
              <w:rPr>
                <w:rFonts w:ascii="Arial" w:eastAsia="Times New Roman" w:hAnsi="Arial" w:cs="Arial"/>
                <w:b w:val="0"/>
                <w:bCs w:val="0"/>
                <w:sz w:val="20"/>
                <w:szCs w:val="20"/>
              </w:rPr>
            </w:pPr>
            <w:r w:rsidRPr="00092C12">
              <w:rPr>
                <w:rFonts w:ascii="Arial" w:eastAsia="Times New Roman" w:hAnsi="Arial" w:cs="Arial"/>
                <w:b w:val="0"/>
                <w:bCs w:val="0"/>
                <w:sz w:val="20"/>
                <w:szCs w:val="20"/>
              </w:rPr>
              <w:t>Dealers generally adjust credit offerings based on current economic conditions impacting an applicant</w:t>
            </w:r>
          </w:p>
        </w:tc>
        <w:tc>
          <w:tcPr>
            <w:tcW w:w="884" w:type="dxa"/>
            <w:vAlign w:val="center"/>
          </w:tcPr>
          <w:p w14:paraId="789A8EF5" w14:textId="7DE536B1" w:rsidR="00092C12" w:rsidRPr="00092C12" w:rsidRDefault="00092C12" w:rsidP="00092C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C12">
              <w:rPr>
                <w:rFonts w:ascii="Arial" w:eastAsia="Times New Roman" w:hAnsi="Arial" w:cs="Arial"/>
                <w:color w:val="000000"/>
                <w:sz w:val="20"/>
                <w:szCs w:val="20"/>
              </w:rPr>
              <w:t>3.54</w:t>
            </w:r>
          </w:p>
        </w:tc>
        <w:tc>
          <w:tcPr>
            <w:tcW w:w="1744" w:type="dxa"/>
            <w:vAlign w:val="center"/>
          </w:tcPr>
          <w:p w14:paraId="5C6B4E7B" w14:textId="5D7023D4" w:rsidR="00092C12" w:rsidRPr="00092C12" w:rsidRDefault="00092C12" w:rsidP="00092C1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C12">
              <w:rPr>
                <w:rFonts w:ascii="Arial" w:eastAsia="Times New Roman" w:hAnsi="Arial" w:cs="Arial"/>
                <w:color w:val="000000"/>
                <w:sz w:val="20"/>
                <w:szCs w:val="20"/>
              </w:rPr>
              <w:t>0.70</w:t>
            </w:r>
          </w:p>
        </w:tc>
        <w:tc>
          <w:tcPr>
            <w:tcW w:w="2250" w:type="dxa"/>
          </w:tcPr>
          <w:p w14:paraId="321B5BDA" w14:textId="77777777" w:rsidR="00092C12" w:rsidRPr="00092C12" w:rsidRDefault="00092C12" w:rsidP="00092C1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1BAE99BB" w14:textId="5E9F79E2" w:rsidR="00092C12" w:rsidRPr="00092C12" w:rsidRDefault="00092C12" w:rsidP="00092C1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92C12">
              <w:rPr>
                <w:rFonts w:ascii="Arial" w:eastAsia="Calibri" w:hAnsi="Arial" w:cs="Arial"/>
                <w:sz w:val="20"/>
                <w:szCs w:val="20"/>
              </w:rPr>
              <w:t xml:space="preserve">Often Evident  </w:t>
            </w:r>
          </w:p>
        </w:tc>
      </w:tr>
      <w:tr w:rsidR="00092C12" w:rsidRPr="00092C12" w14:paraId="0CA653E6" w14:textId="77777777" w:rsidTr="00396572">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467F8A9F" w14:textId="205CF5F5" w:rsidR="00092C12" w:rsidRPr="00092C12" w:rsidRDefault="00092C12" w:rsidP="00092C12">
            <w:pPr>
              <w:jc w:val="center"/>
              <w:rPr>
                <w:rFonts w:ascii="Arial" w:hAnsi="Arial" w:cs="Arial"/>
                <w:color w:val="222222"/>
                <w:sz w:val="20"/>
                <w:szCs w:val="20"/>
                <w:shd w:val="clear" w:color="auto" w:fill="FFFFFF"/>
              </w:rPr>
            </w:pPr>
            <w:r w:rsidRPr="00092C12">
              <w:rPr>
                <w:rFonts w:ascii="Arial" w:eastAsia="Times New Roman" w:hAnsi="Arial" w:cs="Arial"/>
                <w:color w:val="000000"/>
                <w:sz w:val="20"/>
                <w:szCs w:val="20"/>
              </w:rPr>
              <w:t>Average</w:t>
            </w:r>
          </w:p>
        </w:tc>
        <w:tc>
          <w:tcPr>
            <w:tcW w:w="884" w:type="dxa"/>
            <w:tcBorders>
              <w:bottom w:val="single" w:sz="12" w:space="0" w:color="auto"/>
            </w:tcBorders>
            <w:vAlign w:val="center"/>
          </w:tcPr>
          <w:p w14:paraId="25F5C1AA" w14:textId="27C5D2AF" w:rsidR="00092C12" w:rsidRPr="00092C12" w:rsidRDefault="00092C12" w:rsidP="00092C1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092C12">
              <w:rPr>
                <w:rFonts w:ascii="Arial" w:eastAsia="Times New Roman" w:hAnsi="Arial" w:cs="Arial"/>
                <w:b/>
                <w:bCs/>
                <w:color w:val="000000"/>
                <w:sz w:val="20"/>
                <w:szCs w:val="20"/>
              </w:rPr>
              <w:t>3.75</w:t>
            </w:r>
          </w:p>
        </w:tc>
        <w:tc>
          <w:tcPr>
            <w:tcW w:w="1744" w:type="dxa"/>
            <w:tcBorders>
              <w:bottom w:val="single" w:sz="12" w:space="0" w:color="auto"/>
            </w:tcBorders>
            <w:vAlign w:val="center"/>
          </w:tcPr>
          <w:p w14:paraId="601370AC" w14:textId="366320E0" w:rsidR="00092C12" w:rsidRPr="00092C12" w:rsidRDefault="00092C12" w:rsidP="00092C1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092C12">
              <w:rPr>
                <w:rFonts w:ascii="Arial" w:eastAsia="Times New Roman" w:hAnsi="Arial" w:cs="Arial"/>
                <w:b/>
                <w:bCs/>
                <w:color w:val="000000"/>
                <w:sz w:val="20"/>
                <w:szCs w:val="20"/>
              </w:rPr>
              <w:t>0.50</w:t>
            </w:r>
          </w:p>
        </w:tc>
        <w:tc>
          <w:tcPr>
            <w:tcW w:w="2250" w:type="dxa"/>
            <w:tcBorders>
              <w:bottom w:val="single" w:sz="12" w:space="0" w:color="auto"/>
            </w:tcBorders>
            <w:vAlign w:val="center"/>
          </w:tcPr>
          <w:p w14:paraId="64D64F1F" w14:textId="1F372673" w:rsidR="00092C12" w:rsidRPr="00092C12" w:rsidRDefault="00092C12" w:rsidP="00092C1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092C12">
              <w:rPr>
                <w:rFonts w:ascii="Arial" w:eastAsia="Calibri" w:hAnsi="Arial" w:cs="Arial"/>
                <w:b/>
                <w:bCs/>
                <w:sz w:val="20"/>
                <w:szCs w:val="20"/>
              </w:rPr>
              <w:t xml:space="preserve">Often Evident  </w:t>
            </w:r>
          </w:p>
        </w:tc>
      </w:tr>
      <w:bookmarkEnd w:id="5"/>
    </w:tbl>
    <w:p w14:paraId="2DE48D77" w14:textId="77777777" w:rsidR="00FD17EF" w:rsidRPr="00092C12" w:rsidRDefault="00FD17EF" w:rsidP="00092C12">
      <w:pPr>
        <w:spacing w:after="0" w:line="240" w:lineRule="auto"/>
        <w:jc w:val="both"/>
        <w:rPr>
          <w:rFonts w:ascii="Arial" w:hAnsi="Arial" w:cs="Arial"/>
          <w:b/>
          <w:bCs/>
          <w:sz w:val="20"/>
        </w:rPr>
      </w:pPr>
    </w:p>
    <w:p w14:paraId="1ADB3F52" w14:textId="7F9DFB86" w:rsidR="00092C12" w:rsidRPr="00BE1818" w:rsidRDefault="00092C12" w:rsidP="00092C12">
      <w:pPr>
        <w:ind w:firstLine="720"/>
        <w:jc w:val="both"/>
        <w:rPr>
          <w:rFonts w:ascii="Arial" w:hAnsi="Arial" w:cs="Arial"/>
          <w:sz w:val="20"/>
          <w:szCs w:val="20"/>
        </w:rPr>
      </w:pPr>
      <w:r w:rsidRPr="00BE1818">
        <w:rPr>
          <w:rFonts w:ascii="Arial" w:hAnsi="Arial" w:cs="Arial"/>
          <w:bCs/>
          <w:sz w:val="20"/>
          <w:szCs w:val="20"/>
        </w:rPr>
        <w:t xml:space="preserve">Table </w:t>
      </w:r>
      <w:r>
        <w:rPr>
          <w:rFonts w:ascii="Arial" w:hAnsi="Arial" w:cs="Arial"/>
          <w:bCs/>
          <w:sz w:val="20"/>
          <w:szCs w:val="20"/>
        </w:rPr>
        <w:t xml:space="preserve">5 </w:t>
      </w:r>
      <w:r w:rsidRPr="00BE1818">
        <w:rPr>
          <w:rFonts w:ascii="Arial" w:hAnsi="Arial" w:cs="Arial"/>
          <w:bCs/>
          <w:sz w:val="20"/>
          <w:szCs w:val="20"/>
        </w:rPr>
        <w:t xml:space="preserve">presents that the credit practices in terms of condition are </w:t>
      </w:r>
      <w:r w:rsidRPr="00BE1818">
        <w:rPr>
          <w:rFonts w:ascii="Arial" w:hAnsi="Arial" w:cs="Arial"/>
          <w:sz w:val="20"/>
          <w:szCs w:val="20"/>
        </w:rPr>
        <w:t>often evident</w:t>
      </w:r>
      <w:r w:rsidRPr="00BE1818">
        <w:rPr>
          <w:rFonts w:ascii="Arial" w:hAnsi="Arial" w:cs="Arial"/>
          <w:bCs/>
          <w:sz w:val="20"/>
          <w:szCs w:val="20"/>
        </w:rPr>
        <w:t xml:space="preserve"> (</w:t>
      </w:r>
      <w:r w:rsidRPr="00BE1818">
        <w:rPr>
          <w:rFonts w:ascii="Arial" w:hAnsi="Arial" w:cs="Arial"/>
          <w:color w:val="4D5156"/>
          <w:sz w:val="20"/>
          <w:szCs w:val="20"/>
          <w:shd w:val="clear" w:color="auto" w:fill="FFFFFF"/>
        </w:rPr>
        <w:t xml:space="preserve">x̄ </w:t>
      </w:r>
      <w:r w:rsidRPr="00BE1818">
        <w:rPr>
          <w:rFonts w:ascii="Arial" w:hAnsi="Arial" w:cs="Arial"/>
          <w:color w:val="000000" w:themeColor="text1"/>
          <w:sz w:val="20"/>
          <w:szCs w:val="20"/>
        </w:rPr>
        <w:t xml:space="preserve">= </w:t>
      </w:r>
      <w:r w:rsidRPr="00BE1818">
        <w:rPr>
          <w:rFonts w:ascii="Arial" w:hAnsi="Arial" w:cs="Arial"/>
          <w:sz w:val="20"/>
          <w:szCs w:val="20"/>
        </w:rPr>
        <w:t xml:space="preserve">3.75). This indicates that home appliance dealers in </w:t>
      </w:r>
      <w:proofErr w:type="spellStart"/>
      <w:r w:rsidRPr="00BE1818">
        <w:rPr>
          <w:rFonts w:ascii="Arial" w:hAnsi="Arial" w:cs="Arial"/>
          <w:sz w:val="20"/>
          <w:szCs w:val="20"/>
        </w:rPr>
        <w:t>Cateel</w:t>
      </w:r>
      <w:proofErr w:type="spellEnd"/>
      <w:r w:rsidRPr="00BE1818">
        <w:rPr>
          <w:rFonts w:ascii="Arial" w:hAnsi="Arial" w:cs="Arial"/>
          <w:sz w:val="20"/>
          <w:szCs w:val="20"/>
        </w:rPr>
        <w:t xml:space="preserve"> frequently, with relatively consistent application, assess customers’ current financial status, evaluate profession or business standing, analyze the competitive landscape of a customer’s business, examine economic conditions, assess job or business stability, consider external economic and social factors, track financial changes, evaluate economic risks, and adjust credit offerings based on economic conditions, reflecting a generally thorough approach to evaluating conditions that may impact loan repayment before extending credit.</w:t>
      </w:r>
    </w:p>
    <w:p w14:paraId="1364387A" w14:textId="6982434C" w:rsidR="005B6273" w:rsidRDefault="00092C12" w:rsidP="003E40B6">
      <w:pPr>
        <w:ind w:firstLine="720"/>
        <w:jc w:val="both"/>
        <w:rPr>
          <w:rFonts w:ascii="Arial" w:hAnsi="Arial" w:cs="Arial"/>
          <w:sz w:val="20"/>
          <w:szCs w:val="20"/>
        </w:rPr>
      </w:pPr>
      <w:r w:rsidRPr="00BE1818">
        <w:rPr>
          <w:rFonts w:ascii="Arial" w:hAnsi="Arial" w:cs="Arial"/>
          <w:sz w:val="20"/>
          <w:szCs w:val="20"/>
        </w:rPr>
        <w:t xml:space="preserve">According to a study by </w:t>
      </w:r>
      <w:proofErr w:type="spellStart"/>
      <w:r w:rsidRPr="00BE1818">
        <w:rPr>
          <w:rFonts w:ascii="Arial" w:hAnsi="Arial" w:cs="Arial"/>
          <w:sz w:val="20"/>
          <w:szCs w:val="20"/>
        </w:rPr>
        <w:t>Koech</w:t>
      </w:r>
      <w:proofErr w:type="spellEnd"/>
      <w:r w:rsidRPr="00BE1818">
        <w:rPr>
          <w:rFonts w:ascii="Arial" w:hAnsi="Arial" w:cs="Arial"/>
          <w:sz w:val="20"/>
          <w:szCs w:val="20"/>
        </w:rPr>
        <w:t xml:space="preserve"> and </w:t>
      </w:r>
      <w:proofErr w:type="spellStart"/>
      <w:r w:rsidRPr="00BE1818">
        <w:rPr>
          <w:rFonts w:ascii="Arial" w:hAnsi="Arial" w:cs="Arial"/>
          <w:sz w:val="20"/>
          <w:szCs w:val="20"/>
        </w:rPr>
        <w:t>Maina</w:t>
      </w:r>
      <w:proofErr w:type="spellEnd"/>
      <w:r w:rsidRPr="00BE1818">
        <w:rPr>
          <w:rFonts w:ascii="Arial" w:hAnsi="Arial" w:cs="Arial"/>
          <w:sz w:val="20"/>
          <w:szCs w:val="20"/>
        </w:rPr>
        <w:t xml:space="preserve"> (2020), assessing economic conditions enables lenders to understand better the broader factors that may impact loan performance, thereby facilitating proactive credit management. </w:t>
      </w:r>
      <w:r w:rsidRPr="00BE1818">
        <w:rPr>
          <w:rFonts w:ascii="Arial" w:hAnsi="Arial" w:cs="Arial"/>
          <w:color w:val="222222"/>
          <w:sz w:val="20"/>
          <w:szCs w:val="20"/>
          <w:shd w:val="clear" w:color="auto" w:fill="FFFFFF"/>
        </w:rPr>
        <w:t xml:space="preserve">Moreover, </w:t>
      </w:r>
      <w:r w:rsidRPr="00BE1818">
        <w:rPr>
          <w:rFonts w:ascii="Arial" w:hAnsi="Arial" w:cs="Arial"/>
          <w:sz w:val="20"/>
          <w:szCs w:val="20"/>
        </w:rPr>
        <w:t>unexpected events like medical emergencies or family responsibilities may strain a borrower’s finances, leading to missed or de</w:t>
      </w:r>
      <w:r>
        <w:rPr>
          <w:rFonts w:ascii="Arial" w:hAnsi="Arial" w:cs="Arial"/>
          <w:sz w:val="20"/>
          <w:szCs w:val="20"/>
        </w:rPr>
        <w:t>layed payments (Kenneth, 2016).</w:t>
      </w:r>
    </w:p>
    <w:p w14:paraId="0F275383" w14:textId="40E9853A" w:rsidR="00D60EAF" w:rsidRDefault="00BE59DE" w:rsidP="00D60EAF">
      <w:pPr>
        <w:jc w:val="both"/>
        <w:rPr>
          <w:rFonts w:ascii="Arial" w:hAnsi="Arial" w:cs="Arial"/>
          <w:sz w:val="20"/>
          <w:szCs w:val="20"/>
        </w:rPr>
      </w:pPr>
      <w:r w:rsidRPr="00D60EAF">
        <w:rPr>
          <w:rFonts w:ascii="Arial" w:hAnsi="Arial" w:cs="Arial"/>
          <w:b/>
          <w:sz w:val="20"/>
          <w:szCs w:val="20"/>
        </w:rPr>
        <w:t>Table 6</w:t>
      </w:r>
      <w:r w:rsidR="007C2C1D" w:rsidRPr="00D60EAF">
        <w:rPr>
          <w:rFonts w:ascii="Arial" w:hAnsi="Arial" w:cs="Arial"/>
          <w:sz w:val="20"/>
          <w:szCs w:val="20"/>
        </w:rPr>
        <w:t xml:space="preserve">. </w:t>
      </w:r>
      <w:r w:rsidR="00D60EAF" w:rsidRPr="00D60EAF">
        <w:rPr>
          <w:rFonts w:ascii="Arial" w:hAnsi="Arial" w:cs="Arial"/>
          <w:sz w:val="20"/>
          <w:szCs w:val="20"/>
        </w:rPr>
        <w:t>Level of Credit Practices in Terms of Control</w:t>
      </w:r>
    </w:p>
    <w:tbl>
      <w:tblPr>
        <w:tblStyle w:val="PlainTable21"/>
        <w:tblW w:w="8275" w:type="dxa"/>
        <w:tblLook w:val="04A0" w:firstRow="1" w:lastRow="0" w:firstColumn="1" w:lastColumn="0" w:noHBand="0" w:noVBand="1"/>
      </w:tblPr>
      <w:tblGrid>
        <w:gridCol w:w="3397"/>
        <w:gridCol w:w="884"/>
        <w:gridCol w:w="1744"/>
        <w:gridCol w:w="2250"/>
      </w:tblGrid>
      <w:tr w:rsidR="00D60EAF" w:rsidRPr="00913E87" w14:paraId="2B410885"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65114BE1" w14:textId="77777777" w:rsidR="00D60EAF" w:rsidRPr="00913E87" w:rsidRDefault="00D60EAF" w:rsidP="00396572">
            <w:pPr>
              <w:jc w:val="center"/>
              <w:rPr>
                <w:rFonts w:ascii="Arial" w:hAnsi="Arial" w:cs="Arial"/>
                <w:color w:val="222222"/>
                <w:sz w:val="20"/>
                <w:shd w:val="clear" w:color="auto" w:fill="FFFFFF"/>
              </w:rPr>
            </w:pPr>
            <w:r w:rsidRPr="00913E87">
              <w:rPr>
                <w:rFonts w:ascii="Arial" w:hAnsi="Arial" w:cs="Arial"/>
                <w:sz w:val="20"/>
                <w:szCs w:val="20"/>
              </w:rPr>
              <w:t>Description</w:t>
            </w:r>
          </w:p>
        </w:tc>
        <w:tc>
          <w:tcPr>
            <w:tcW w:w="884" w:type="dxa"/>
            <w:tcBorders>
              <w:top w:val="single" w:sz="12" w:space="0" w:color="auto"/>
            </w:tcBorders>
          </w:tcPr>
          <w:p w14:paraId="6398DA2B" w14:textId="77777777" w:rsidR="00D60EAF" w:rsidRPr="00913E87" w:rsidRDefault="00D60EAF"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Mean</w:t>
            </w:r>
          </w:p>
        </w:tc>
        <w:tc>
          <w:tcPr>
            <w:tcW w:w="1744" w:type="dxa"/>
            <w:tcBorders>
              <w:top w:val="single" w:sz="12" w:space="0" w:color="auto"/>
            </w:tcBorders>
          </w:tcPr>
          <w:p w14:paraId="79F67EE1" w14:textId="77777777" w:rsidR="00D60EAF" w:rsidRPr="00913E87" w:rsidRDefault="00D60EAF"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Std. deviation</w:t>
            </w:r>
          </w:p>
        </w:tc>
        <w:tc>
          <w:tcPr>
            <w:tcW w:w="2250" w:type="dxa"/>
            <w:tcBorders>
              <w:top w:val="single" w:sz="12" w:space="0" w:color="auto"/>
            </w:tcBorders>
          </w:tcPr>
          <w:p w14:paraId="006E8716" w14:textId="77777777" w:rsidR="00D60EAF" w:rsidRPr="00913E87" w:rsidRDefault="00D60EAF"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913E87">
              <w:rPr>
                <w:rFonts w:ascii="Arial" w:hAnsi="Arial" w:cs="Arial"/>
                <w:sz w:val="20"/>
                <w:szCs w:val="20"/>
              </w:rPr>
              <w:t>Descriptive Level</w:t>
            </w:r>
          </w:p>
        </w:tc>
      </w:tr>
      <w:tr w:rsidR="00D60EAF" w:rsidRPr="0047319E" w14:paraId="0C546523"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8F0B2A0" w14:textId="61CB3117" w:rsidR="00D60EAF" w:rsidRPr="005B6273" w:rsidRDefault="00D60EAF" w:rsidP="00D60EAF">
            <w:pPr>
              <w:rPr>
                <w:rFonts w:ascii="Arial" w:hAnsi="Arial" w:cs="Arial"/>
                <w:b w:val="0"/>
                <w:bCs w:val="0"/>
                <w:color w:val="222222"/>
                <w:sz w:val="20"/>
                <w:szCs w:val="20"/>
                <w:shd w:val="clear" w:color="auto" w:fill="FFFFFF"/>
              </w:rPr>
            </w:pPr>
            <w:r w:rsidRPr="005B6273">
              <w:rPr>
                <w:rFonts w:ascii="Arial" w:eastAsia="Times New Roman" w:hAnsi="Arial" w:cs="Arial"/>
                <w:b w:val="0"/>
                <w:bCs w:val="0"/>
                <w:sz w:val="20"/>
              </w:rPr>
              <w:t>Customers trust that dealers comply with all relevant regulations and government policies when offering credit</w:t>
            </w:r>
          </w:p>
        </w:tc>
        <w:tc>
          <w:tcPr>
            <w:tcW w:w="884" w:type="dxa"/>
            <w:vAlign w:val="center"/>
          </w:tcPr>
          <w:p w14:paraId="4501A770" w14:textId="36D31B44" w:rsidR="00D60EAF" w:rsidRPr="005B6273" w:rsidRDefault="00D60EAF" w:rsidP="00D60E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Times New Roman" w:hAnsi="Arial" w:cs="Arial"/>
                <w:color w:val="000000"/>
                <w:sz w:val="20"/>
              </w:rPr>
              <w:t>4.44</w:t>
            </w:r>
          </w:p>
        </w:tc>
        <w:tc>
          <w:tcPr>
            <w:tcW w:w="1744" w:type="dxa"/>
            <w:vAlign w:val="center"/>
          </w:tcPr>
          <w:p w14:paraId="6B8146EE" w14:textId="69E4F894" w:rsidR="00D60EAF" w:rsidRPr="005B6273" w:rsidRDefault="00D60EAF" w:rsidP="00D60E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Times New Roman" w:hAnsi="Arial" w:cs="Arial"/>
                <w:color w:val="000000"/>
                <w:sz w:val="20"/>
              </w:rPr>
              <w:t>0.71</w:t>
            </w:r>
          </w:p>
        </w:tc>
        <w:tc>
          <w:tcPr>
            <w:tcW w:w="2250" w:type="dxa"/>
          </w:tcPr>
          <w:p w14:paraId="414C999D" w14:textId="77777777" w:rsidR="00D60EAF" w:rsidRPr="005B6273" w:rsidRDefault="00D60EAF" w:rsidP="00D60EAF">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p w14:paraId="471BB0A4" w14:textId="13F1E0DF" w:rsidR="00D60EAF" w:rsidRPr="005B6273" w:rsidRDefault="00D60EAF" w:rsidP="00D60E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Calibri" w:hAnsi="Arial" w:cs="Arial"/>
                <w:sz w:val="20"/>
              </w:rPr>
              <w:t>Very Evident</w:t>
            </w:r>
          </w:p>
        </w:tc>
      </w:tr>
      <w:tr w:rsidR="005B6273" w:rsidRPr="0047319E" w14:paraId="2C2DD17F"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1CB8B63A" w14:textId="34B0952D" w:rsidR="005B6273" w:rsidRPr="005B6273" w:rsidRDefault="005B6273" w:rsidP="005B6273">
            <w:pPr>
              <w:rPr>
                <w:rFonts w:ascii="Arial" w:hAnsi="Arial" w:cs="Arial"/>
                <w:b w:val="0"/>
                <w:bCs w:val="0"/>
                <w:color w:val="222222"/>
                <w:sz w:val="20"/>
                <w:szCs w:val="20"/>
                <w:shd w:val="clear" w:color="auto" w:fill="FFFFFF"/>
              </w:rPr>
            </w:pPr>
            <w:r w:rsidRPr="005B6273">
              <w:rPr>
                <w:rFonts w:ascii="Arial" w:eastAsia="Times New Roman" w:hAnsi="Arial" w:cs="Arial"/>
                <w:b w:val="0"/>
                <w:bCs w:val="0"/>
                <w:sz w:val="20"/>
              </w:rPr>
              <w:t>Dealers regularly review loan documentation and inform customers of any updates or changes</w:t>
            </w:r>
          </w:p>
        </w:tc>
        <w:tc>
          <w:tcPr>
            <w:tcW w:w="884" w:type="dxa"/>
            <w:vAlign w:val="center"/>
          </w:tcPr>
          <w:p w14:paraId="75337F9F" w14:textId="403D458F"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Times New Roman" w:hAnsi="Arial" w:cs="Arial"/>
                <w:color w:val="000000"/>
                <w:sz w:val="20"/>
              </w:rPr>
              <w:t>4.46</w:t>
            </w:r>
          </w:p>
        </w:tc>
        <w:tc>
          <w:tcPr>
            <w:tcW w:w="1744" w:type="dxa"/>
            <w:vAlign w:val="center"/>
          </w:tcPr>
          <w:p w14:paraId="53B3EB93" w14:textId="35268431"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Times New Roman" w:hAnsi="Arial" w:cs="Arial"/>
                <w:color w:val="000000"/>
                <w:sz w:val="20"/>
              </w:rPr>
              <w:t>0.70</w:t>
            </w:r>
          </w:p>
        </w:tc>
        <w:tc>
          <w:tcPr>
            <w:tcW w:w="2250" w:type="dxa"/>
          </w:tcPr>
          <w:p w14:paraId="06F2D04D" w14:textId="173F1895"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Calibri" w:hAnsi="Arial" w:cs="Arial"/>
                <w:sz w:val="20"/>
              </w:rPr>
              <w:t>Very Evident</w:t>
            </w:r>
          </w:p>
        </w:tc>
      </w:tr>
      <w:tr w:rsidR="005B6273" w:rsidRPr="0047319E" w14:paraId="0DA56106"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4CABF76" w14:textId="6645F03B" w:rsidR="005B6273" w:rsidRPr="005B6273" w:rsidRDefault="005B6273" w:rsidP="005B6273">
            <w:pPr>
              <w:rPr>
                <w:rFonts w:ascii="Arial" w:hAnsi="Arial" w:cs="Arial"/>
                <w:b w:val="0"/>
                <w:bCs w:val="0"/>
                <w:color w:val="222222"/>
                <w:sz w:val="20"/>
                <w:szCs w:val="20"/>
                <w:shd w:val="clear" w:color="auto" w:fill="FFFFFF"/>
              </w:rPr>
            </w:pPr>
            <w:r w:rsidRPr="005B6273">
              <w:rPr>
                <w:rFonts w:ascii="Arial" w:eastAsia="Times New Roman" w:hAnsi="Arial" w:cs="Arial"/>
                <w:b w:val="0"/>
                <w:bCs w:val="0"/>
                <w:sz w:val="20"/>
              </w:rPr>
              <w:t>Dealers typically provide clear, properly prepared loan agreements that are signed by all parties required to do so.</w:t>
            </w:r>
          </w:p>
        </w:tc>
        <w:tc>
          <w:tcPr>
            <w:tcW w:w="884" w:type="dxa"/>
            <w:vAlign w:val="center"/>
          </w:tcPr>
          <w:p w14:paraId="21201944" w14:textId="2E5CF24B" w:rsidR="005B6273" w:rsidRPr="005B6273"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Times New Roman" w:hAnsi="Arial" w:cs="Arial"/>
                <w:color w:val="000000"/>
                <w:sz w:val="20"/>
              </w:rPr>
              <w:t>4.39</w:t>
            </w:r>
          </w:p>
        </w:tc>
        <w:tc>
          <w:tcPr>
            <w:tcW w:w="1744" w:type="dxa"/>
            <w:vAlign w:val="center"/>
          </w:tcPr>
          <w:p w14:paraId="677601DE" w14:textId="19B35C9B" w:rsidR="005B6273" w:rsidRPr="005B6273"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Times New Roman" w:hAnsi="Arial" w:cs="Arial"/>
                <w:color w:val="000000"/>
                <w:sz w:val="20"/>
              </w:rPr>
              <w:t>0.66</w:t>
            </w:r>
          </w:p>
        </w:tc>
        <w:tc>
          <w:tcPr>
            <w:tcW w:w="2250" w:type="dxa"/>
          </w:tcPr>
          <w:p w14:paraId="71A6234E" w14:textId="0C97BDFE" w:rsidR="005B6273" w:rsidRPr="005B6273"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Calibri" w:hAnsi="Arial" w:cs="Arial"/>
                <w:sz w:val="20"/>
              </w:rPr>
              <w:t>Very Evident</w:t>
            </w:r>
          </w:p>
        </w:tc>
      </w:tr>
      <w:tr w:rsidR="005B6273" w:rsidRPr="0047319E" w14:paraId="53BF0E49" w14:textId="77777777" w:rsidTr="00396572">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1C87D60F" w14:textId="443D2FF0" w:rsidR="005B6273" w:rsidRPr="005B6273" w:rsidRDefault="005B6273" w:rsidP="005B6273">
            <w:pPr>
              <w:rPr>
                <w:rFonts w:ascii="Arial" w:hAnsi="Arial" w:cs="Arial"/>
                <w:b w:val="0"/>
                <w:bCs w:val="0"/>
                <w:color w:val="222222"/>
                <w:sz w:val="20"/>
                <w:szCs w:val="20"/>
                <w:shd w:val="clear" w:color="auto" w:fill="FFFFFF"/>
              </w:rPr>
            </w:pPr>
            <w:r w:rsidRPr="005B6273">
              <w:rPr>
                <w:rFonts w:ascii="Arial" w:hAnsi="Arial" w:cs="Arial"/>
                <w:b w:val="0"/>
                <w:bCs w:val="0"/>
                <w:sz w:val="20"/>
              </w:rPr>
              <w:t>Dealers ensure that all credit terms are transparent and adhere to standard auditing procedures</w:t>
            </w:r>
          </w:p>
        </w:tc>
        <w:tc>
          <w:tcPr>
            <w:tcW w:w="884" w:type="dxa"/>
            <w:vAlign w:val="center"/>
          </w:tcPr>
          <w:p w14:paraId="222BBDBD" w14:textId="096A8ACA"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Times New Roman" w:hAnsi="Arial" w:cs="Arial"/>
                <w:color w:val="000000"/>
                <w:sz w:val="20"/>
              </w:rPr>
              <w:t>4.52</w:t>
            </w:r>
          </w:p>
        </w:tc>
        <w:tc>
          <w:tcPr>
            <w:tcW w:w="1744" w:type="dxa"/>
            <w:vAlign w:val="center"/>
          </w:tcPr>
          <w:p w14:paraId="031ACFA9" w14:textId="5F6CA136"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Times New Roman" w:hAnsi="Arial" w:cs="Arial"/>
                <w:color w:val="000000"/>
                <w:sz w:val="20"/>
              </w:rPr>
              <w:t>0.58</w:t>
            </w:r>
          </w:p>
        </w:tc>
        <w:tc>
          <w:tcPr>
            <w:tcW w:w="2250" w:type="dxa"/>
          </w:tcPr>
          <w:p w14:paraId="46916AE8" w14:textId="4C148B43"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5B6273">
              <w:rPr>
                <w:rFonts w:ascii="Arial" w:eastAsia="Calibri" w:hAnsi="Arial" w:cs="Arial"/>
                <w:sz w:val="20"/>
              </w:rPr>
              <w:t>Very Evident</w:t>
            </w:r>
          </w:p>
        </w:tc>
      </w:tr>
      <w:tr w:rsidR="005B6273" w:rsidRPr="0047319E" w14:paraId="1A66B684" w14:textId="77777777" w:rsidTr="0039657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397" w:type="dxa"/>
          </w:tcPr>
          <w:p w14:paraId="6393F5B6" w14:textId="4C27AE22" w:rsidR="005B6273" w:rsidRPr="005B6273" w:rsidRDefault="005B6273" w:rsidP="005B6273">
            <w:pPr>
              <w:rPr>
                <w:rFonts w:ascii="Arial" w:hAnsi="Arial" w:cs="Arial"/>
                <w:b w:val="0"/>
                <w:bCs w:val="0"/>
                <w:sz w:val="20"/>
                <w:szCs w:val="20"/>
              </w:rPr>
            </w:pPr>
            <w:r w:rsidRPr="005B6273">
              <w:rPr>
                <w:rFonts w:ascii="Arial" w:eastAsia="Times New Roman" w:hAnsi="Arial" w:cs="Arial"/>
                <w:b w:val="0"/>
                <w:bCs w:val="0"/>
                <w:sz w:val="20"/>
              </w:rPr>
              <w:lastRenderedPageBreak/>
              <w:t>Dealers maintain clear policies for managing overdue payments and delinquent accounts</w:t>
            </w:r>
          </w:p>
        </w:tc>
        <w:tc>
          <w:tcPr>
            <w:tcW w:w="884" w:type="dxa"/>
            <w:vAlign w:val="center"/>
          </w:tcPr>
          <w:p w14:paraId="3E46363C" w14:textId="0492A0EC" w:rsidR="005B6273" w:rsidRPr="005B6273"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6273">
              <w:rPr>
                <w:rFonts w:ascii="Arial" w:eastAsia="Times New Roman" w:hAnsi="Arial" w:cs="Arial"/>
                <w:color w:val="000000"/>
                <w:sz w:val="20"/>
              </w:rPr>
              <w:t>4.47</w:t>
            </w:r>
          </w:p>
        </w:tc>
        <w:tc>
          <w:tcPr>
            <w:tcW w:w="1744" w:type="dxa"/>
            <w:vAlign w:val="center"/>
          </w:tcPr>
          <w:p w14:paraId="269B83F3" w14:textId="56AF6683" w:rsidR="005B6273" w:rsidRPr="005B6273"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6273">
              <w:rPr>
                <w:rFonts w:ascii="Arial" w:eastAsia="Times New Roman" w:hAnsi="Arial" w:cs="Arial"/>
                <w:color w:val="000000"/>
                <w:sz w:val="20"/>
              </w:rPr>
              <w:t>0.60</w:t>
            </w:r>
          </w:p>
        </w:tc>
        <w:tc>
          <w:tcPr>
            <w:tcW w:w="2250" w:type="dxa"/>
          </w:tcPr>
          <w:p w14:paraId="25E341F9" w14:textId="6F849A64" w:rsidR="005B6273" w:rsidRPr="005B6273"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6273">
              <w:rPr>
                <w:rFonts w:ascii="Arial" w:eastAsia="Calibri" w:hAnsi="Arial" w:cs="Arial"/>
                <w:sz w:val="20"/>
              </w:rPr>
              <w:t>Very Evident</w:t>
            </w:r>
          </w:p>
        </w:tc>
      </w:tr>
      <w:tr w:rsidR="005B6273" w:rsidRPr="00092C12" w14:paraId="689DBF72" w14:textId="77777777" w:rsidTr="005B6273">
        <w:trPr>
          <w:trHeight w:val="7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36DCF13C" w14:textId="2B80B9EE" w:rsidR="005B6273" w:rsidRPr="005B6273" w:rsidRDefault="005B6273" w:rsidP="005B6273">
            <w:pPr>
              <w:jc w:val="center"/>
              <w:rPr>
                <w:rFonts w:ascii="Arial" w:hAnsi="Arial" w:cs="Arial"/>
                <w:color w:val="222222"/>
                <w:sz w:val="20"/>
                <w:szCs w:val="20"/>
                <w:shd w:val="clear" w:color="auto" w:fill="FFFFFF"/>
              </w:rPr>
            </w:pPr>
            <w:r w:rsidRPr="005B6273">
              <w:rPr>
                <w:rFonts w:ascii="Arial" w:eastAsia="Times New Roman" w:hAnsi="Arial" w:cs="Arial"/>
                <w:color w:val="000000"/>
                <w:sz w:val="20"/>
                <w:szCs w:val="20"/>
              </w:rPr>
              <w:t>Average</w:t>
            </w:r>
          </w:p>
        </w:tc>
        <w:tc>
          <w:tcPr>
            <w:tcW w:w="884" w:type="dxa"/>
            <w:tcBorders>
              <w:bottom w:val="single" w:sz="12" w:space="0" w:color="auto"/>
            </w:tcBorders>
            <w:vAlign w:val="center"/>
          </w:tcPr>
          <w:p w14:paraId="551F665C" w14:textId="646CEDDF"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5B6273">
              <w:rPr>
                <w:rFonts w:ascii="Arial" w:eastAsia="Times New Roman" w:hAnsi="Arial" w:cs="Arial"/>
                <w:b/>
                <w:bCs/>
                <w:color w:val="000000"/>
                <w:sz w:val="20"/>
              </w:rPr>
              <w:t>4.46</w:t>
            </w:r>
          </w:p>
        </w:tc>
        <w:tc>
          <w:tcPr>
            <w:tcW w:w="1744" w:type="dxa"/>
            <w:tcBorders>
              <w:bottom w:val="single" w:sz="12" w:space="0" w:color="auto"/>
            </w:tcBorders>
            <w:vAlign w:val="center"/>
          </w:tcPr>
          <w:p w14:paraId="30A6AFEA" w14:textId="721A3447"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5B6273">
              <w:rPr>
                <w:rFonts w:ascii="Arial" w:eastAsia="Times New Roman" w:hAnsi="Arial" w:cs="Arial"/>
                <w:b/>
                <w:bCs/>
                <w:color w:val="000000"/>
                <w:sz w:val="20"/>
              </w:rPr>
              <w:t>0.54</w:t>
            </w:r>
          </w:p>
        </w:tc>
        <w:tc>
          <w:tcPr>
            <w:tcW w:w="2250" w:type="dxa"/>
            <w:tcBorders>
              <w:bottom w:val="single" w:sz="12" w:space="0" w:color="auto"/>
            </w:tcBorders>
            <w:vAlign w:val="center"/>
          </w:tcPr>
          <w:p w14:paraId="05B76B58" w14:textId="2C5FFC83" w:rsidR="005B6273" w:rsidRPr="005B6273"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5B6273">
              <w:rPr>
                <w:rFonts w:ascii="Arial" w:eastAsia="Calibri" w:hAnsi="Arial" w:cs="Arial"/>
                <w:b/>
                <w:bCs/>
                <w:sz w:val="20"/>
              </w:rPr>
              <w:t>Very High</w:t>
            </w:r>
          </w:p>
        </w:tc>
      </w:tr>
    </w:tbl>
    <w:p w14:paraId="21FB3628" w14:textId="77777777" w:rsidR="00D60EAF" w:rsidRPr="00D60EAF" w:rsidRDefault="00D60EAF" w:rsidP="00AE22F5">
      <w:pPr>
        <w:spacing w:after="0" w:line="240" w:lineRule="auto"/>
        <w:rPr>
          <w:rFonts w:ascii="Arial" w:hAnsi="Arial" w:cs="Arial"/>
          <w:sz w:val="20"/>
          <w:szCs w:val="20"/>
        </w:rPr>
      </w:pPr>
    </w:p>
    <w:p w14:paraId="438B23CE" w14:textId="77777777" w:rsidR="003E40B6" w:rsidRDefault="006D29D7" w:rsidP="003E40B6">
      <w:pPr>
        <w:spacing w:after="0" w:line="240" w:lineRule="auto"/>
        <w:ind w:firstLine="720"/>
        <w:jc w:val="both"/>
        <w:rPr>
          <w:rFonts w:ascii="Arial" w:hAnsi="Arial" w:cs="Arial"/>
          <w:sz w:val="20"/>
          <w:szCs w:val="20"/>
        </w:rPr>
      </w:pPr>
      <w:r w:rsidRPr="006D29D7">
        <w:rPr>
          <w:rFonts w:ascii="Arial" w:hAnsi="Arial" w:cs="Arial"/>
          <w:sz w:val="20"/>
        </w:rPr>
        <w:t xml:space="preserve">Table 6 </w:t>
      </w:r>
      <w:r w:rsidR="005B6273" w:rsidRPr="009353B4">
        <w:rPr>
          <w:rFonts w:ascii="Arial" w:hAnsi="Arial" w:cs="Arial"/>
          <w:bCs/>
          <w:sz w:val="20"/>
          <w:szCs w:val="20"/>
        </w:rPr>
        <w:t xml:space="preserve">presents that the credit practices in terms of control are </w:t>
      </w:r>
      <w:r w:rsidR="005B6273" w:rsidRPr="009353B4">
        <w:rPr>
          <w:rFonts w:ascii="Arial" w:hAnsi="Arial" w:cs="Arial"/>
          <w:sz w:val="20"/>
          <w:szCs w:val="20"/>
        </w:rPr>
        <w:t>very evident</w:t>
      </w:r>
      <w:r w:rsidR="005B6273" w:rsidRPr="009353B4">
        <w:rPr>
          <w:rFonts w:ascii="Arial" w:hAnsi="Arial" w:cs="Arial"/>
          <w:bCs/>
          <w:sz w:val="20"/>
          <w:szCs w:val="20"/>
        </w:rPr>
        <w:t xml:space="preserve"> (</w:t>
      </w:r>
      <w:r w:rsidR="005B6273" w:rsidRPr="009353B4">
        <w:rPr>
          <w:rFonts w:ascii="Arial" w:hAnsi="Arial" w:cs="Arial"/>
          <w:color w:val="4D5156"/>
          <w:sz w:val="20"/>
          <w:szCs w:val="20"/>
          <w:shd w:val="clear" w:color="auto" w:fill="FFFFFF"/>
        </w:rPr>
        <w:t xml:space="preserve">x̄ </w:t>
      </w:r>
      <w:r w:rsidR="005B6273" w:rsidRPr="009353B4">
        <w:rPr>
          <w:rFonts w:ascii="Arial" w:hAnsi="Arial" w:cs="Arial"/>
          <w:color w:val="000000" w:themeColor="text1"/>
          <w:sz w:val="20"/>
          <w:szCs w:val="20"/>
        </w:rPr>
        <w:t xml:space="preserve">= </w:t>
      </w:r>
      <w:r w:rsidR="005B6273" w:rsidRPr="009353B4">
        <w:rPr>
          <w:rFonts w:ascii="Arial" w:hAnsi="Arial" w:cs="Arial"/>
          <w:bCs/>
          <w:sz w:val="20"/>
          <w:szCs w:val="20"/>
        </w:rPr>
        <w:t xml:space="preserve">4.46). </w:t>
      </w:r>
      <w:r w:rsidR="005B6273" w:rsidRPr="009353B4">
        <w:rPr>
          <w:rFonts w:ascii="Arial" w:hAnsi="Arial" w:cs="Arial"/>
          <w:sz w:val="20"/>
          <w:szCs w:val="20"/>
        </w:rPr>
        <w:t>This implies that dealers consistently and thoroughly ensure compliance with regulations and government policies, regularly review loan documentation and provide updates, offer clear and properly prepared loan agreements signed by all parties, maintain transparent credit terms that adhere to auditing standards, and establish clear policies for managing overdue payments and delinquent accounts, reflecting a highly systematic and reliable approach to controlling credit processes.</w:t>
      </w:r>
    </w:p>
    <w:p w14:paraId="14309858" w14:textId="77777777" w:rsidR="003E40B6" w:rsidRDefault="003E40B6" w:rsidP="003E40B6">
      <w:pPr>
        <w:spacing w:after="0" w:line="240" w:lineRule="auto"/>
        <w:ind w:firstLine="720"/>
        <w:jc w:val="both"/>
        <w:rPr>
          <w:rFonts w:ascii="Arial" w:hAnsi="Arial" w:cs="Arial"/>
          <w:sz w:val="20"/>
          <w:szCs w:val="20"/>
        </w:rPr>
      </w:pPr>
    </w:p>
    <w:p w14:paraId="7B634BE3" w14:textId="5928FAF6" w:rsidR="006D29D7" w:rsidRDefault="005B6273" w:rsidP="003E40B6">
      <w:pPr>
        <w:spacing w:after="0" w:line="240" w:lineRule="auto"/>
        <w:ind w:firstLine="720"/>
        <w:jc w:val="both"/>
        <w:rPr>
          <w:rFonts w:ascii="Arial" w:hAnsi="Arial" w:cs="Arial"/>
          <w:bCs/>
          <w:sz w:val="20"/>
          <w:szCs w:val="20"/>
        </w:rPr>
      </w:pPr>
      <w:r w:rsidRPr="009353B4">
        <w:rPr>
          <w:rFonts w:ascii="Arial" w:hAnsi="Arial" w:cs="Arial"/>
          <w:bCs/>
          <w:sz w:val="20"/>
          <w:szCs w:val="20"/>
        </w:rPr>
        <w:t xml:space="preserve">According to </w:t>
      </w:r>
      <w:proofErr w:type="spellStart"/>
      <w:r w:rsidRPr="009353B4">
        <w:rPr>
          <w:rFonts w:ascii="Arial" w:hAnsi="Arial" w:cs="Arial"/>
          <w:sz w:val="20"/>
          <w:szCs w:val="20"/>
        </w:rPr>
        <w:t>Mabonga</w:t>
      </w:r>
      <w:proofErr w:type="spellEnd"/>
      <w:r w:rsidRPr="009353B4">
        <w:rPr>
          <w:rFonts w:ascii="Arial" w:hAnsi="Arial" w:cs="Arial"/>
          <w:sz w:val="20"/>
          <w:szCs w:val="20"/>
        </w:rPr>
        <w:t xml:space="preserve"> and Kimani (2017)</w:t>
      </w:r>
      <w:r w:rsidRPr="009353B4">
        <w:rPr>
          <w:rFonts w:ascii="Arial" w:hAnsi="Arial" w:cs="Arial"/>
          <w:bCs/>
          <w:sz w:val="20"/>
          <w:szCs w:val="20"/>
        </w:rPr>
        <w:t xml:space="preserve">, </w:t>
      </w:r>
      <w:r w:rsidRPr="009353B4">
        <w:rPr>
          <w:rFonts w:ascii="Arial" w:hAnsi="Arial" w:cs="Arial"/>
          <w:sz w:val="20"/>
          <w:szCs w:val="20"/>
        </w:rPr>
        <w:t xml:space="preserve">control encompasses the measures lenders use to manage credit risks, which aligns with Melton's credit risk theory, which emphasizes the structured assessment of risk to minimize default. </w:t>
      </w:r>
      <w:r w:rsidRPr="009353B4">
        <w:rPr>
          <w:rFonts w:ascii="Arial" w:hAnsi="Arial" w:cs="Arial"/>
          <w:bCs/>
          <w:sz w:val="20"/>
          <w:szCs w:val="20"/>
        </w:rPr>
        <w:t xml:space="preserve">Furthermore, </w:t>
      </w:r>
      <w:proofErr w:type="spellStart"/>
      <w:r w:rsidRPr="009353B4">
        <w:rPr>
          <w:rFonts w:ascii="Arial" w:hAnsi="Arial" w:cs="Arial"/>
          <w:color w:val="000000" w:themeColor="text1"/>
          <w:sz w:val="20"/>
          <w:szCs w:val="20"/>
        </w:rPr>
        <w:t>Budianto</w:t>
      </w:r>
      <w:proofErr w:type="spellEnd"/>
      <w:r w:rsidRPr="009353B4">
        <w:rPr>
          <w:rFonts w:ascii="Arial" w:hAnsi="Arial" w:cs="Arial"/>
          <w:color w:val="000000" w:themeColor="text1"/>
          <w:sz w:val="20"/>
          <w:szCs w:val="20"/>
        </w:rPr>
        <w:t xml:space="preserve"> (2023) </w:t>
      </w:r>
      <w:r w:rsidRPr="009353B4">
        <w:rPr>
          <w:rFonts w:ascii="Arial" w:hAnsi="Arial" w:cs="Arial"/>
          <w:sz w:val="20"/>
          <w:szCs w:val="20"/>
        </w:rPr>
        <w:t>stated that</w:t>
      </w:r>
      <w:r w:rsidRPr="009353B4">
        <w:rPr>
          <w:rFonts w:ascii="Arial" w:hAnsi="Arial" w:cs="Arial"/>
          <w:bCs/>
          <w:sz w:val="20"/>
          <w:szCs w:val="20"/>
        </w:rPr>
        <w:t xml:space="preserve"> </w:t>
      </w:r>
      <w:r w:rsidRPr="009353B4">
        <w:rPr>
          <w:rFonts w:ascii="Arial" w:hAnsi="Arial" w:cs="Arial"/>
          <w:sz w:val="20"/>
          <w:szCs w:val="20"/>
        </w:rPr>
        <w:t>control practices, such as regulatory compliance and internal policies, help create consistent lending practices.</w:t>
      </w:r>
    </w:p>
    <w:p w14:paraId="043520AD" w14:textId="3702C88C" w:rsidR="005B6273" w:rsidRPr="005B6273" w:rsidRDefault="005B6273" w:rsidP="005B6273">
      <w:pPr>
        <w:jc w:val="center"/>
        <w:rPr>
          <w:rFonts w:ascii="Arial" w:hAnsi="Arial" w:cs="Arial"/>
          <w:b/>
        </w:rPr>
      </w:pPr>
      <w:bookmarkStart w:id="6" w:name="_Toc200367562"/>
      <w:r w:rsidRPr="008430ED">
        <w:rPr>
          <w:rFonts w:ascii="Arial" w:hAnsi="Arial" w:cs="Arial"/>
          <w:b/>
        </w:rPr>
        <w:t>Level of Collection Practices</w:t>
      </w:r>
      <w:bookmarkEnd w:id="6"/>
    </w:p>
    <w:p w14:paraId="7B81C318" w14:textId="7E47D330" w:rsidR="007C2C1D" w:rsidRDefault="00BE59DE" w:rsidP="00C9423D">
      <w:pPr>
        <w:spacing w:after="0" w:line="240" w:lineRule="auto"/>
        <w:jc w:val="both"/>
        <w:rPr>
          <w:rFonts w:ascii="Arial" w:hAnsi="Arial" w:cs="Arial"/>
          <w:sz w:val="20"/>
        </w:rPr>
      </w:pPr>
      <w:r>
        <w:rPr>
          <w:rFonts w:ascii="Arial" w:hAnsi="Arial" w:cs="Arial"/>
          <w:b/>
          <w:sz w:val="20"/>
        </w:rPr>
        <w:t>Table 7</w:t>
      </w:r>
      <w:r w:rsidR="007C2C1D" w:rsidRPr="00C9423D">
        <w:rPr>
          <w:rFonts w:ascii="Arial" w:hAnsi="Arial" w:cs="Arial"/>
          <w:b/>
          <w:sz w:val="20"/>
        </w:rPr>
        <w:t>.</w:t>
      </w:r>
      <w:r w:rsidR="007C2C1D" w:rsidRPr="00C9423D">
        <w:rPr>
          <w:rFonts w:ascii="Arial" w:hAnsi="Arial" w:cs="Arial"/>
          <w:sz w:val="20"/>
        </w:rPr>
        <w:t xml:space="preserve"> Level of satisfaction in terms of </w:t>
      </w:r>
      <w:r w:rsidR="005B6273">
        <w:rPr>
          <w:rFonts w:cs="Arial"/>
        </w:rPr>
        <w:t>Documentation</w:t>
      </w:r>
    </w:p>
    <w:tbl>
      <w:tblPr>
        <w:tblStyle w:val="PlainTable21"/>
        <w:tblW w:w="8275" w:type="dxa"/>
        <w:tblLook w:val="04A0" w:firstRow="1" w:lastRow="0" w:firstColumn="1" w:lastColumn="0" w:noHBand="0" w:noVBand="1"/>
      </w:tblPr>
      <w:tblGrid>
        <w:gridCol w:w="3397"/>
        <w:gridCol w:w="884"/>
        <w:gridCol w:w="1744"/>
        <w:gridCol w:w="2250"/>
      </w:tblGrid>
      <w:tr w:rsidR="005B6273" w14:paraId="3194D349"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3F12E3FB" w14:textId="77777777" w:rsidR="005B6273" w:rsidRPr="00C66571" w:rsidRDefault="005B6273" w:rsidP="00396572">
            <w:pPr>
              <w:jc w:val="center"/>
              <w:rPr>
                <w:rFonts w:ascii="Arial" w:hAnsi="Arial" w:cs="Arial"/>
                <w:color w:val="222222"/>
                <w:sz w:val="20"/>
                <w:shd w:val="clear" w:color="auto" w:fill="FFFFFF"/>
              </w:rPr>
            </w:pPr>
            <w:r w:rsidRPr="00C66571">
              <w:rPr>
                <w:rFonts w:ascii="Arial" w:hAnsi="Arial" w:cs="Arial"/>
                <w:sz w:val="20"/>
                <w:szCs w:val="20"/>
              </w:rPr>
              <w:t>Description</w:t>
            </w:r>
          </w:p>
        </w:tc>
        <w:tc>
          <w:tcPr>
            <w:tcW w:w="884" w:type="dxa"/>
            <w:tcBorders>
              <w:top w:val="single" w:sz="12" w:space="0" w:color="auto"/>
            </w:tcBorders>
          </w:tcPr>
          <w:p w14:paraId="52C0DCDD" w14:textId="77777777" w:rsidR="005B6273" w:rsidRPr="00C66571" w:rsidRDefault="005B6273"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hAnsi="Arial" w:cs="Arial"/>
                <w:sz w:val="20"/>
                <w:szCs w:val="20"/>
              </w:rPr>
              <w:t>Mean</w:t>
            </w:r>
          </w:p>
        </w:tc>
        <w:tc>
          <w:tcPr>
            <w:tcW w:w="1744" w:type="dxa"/>
            <w:tcBorders>
              <w:top w:val="single" w:sz="12" w:space="0" w:color="auto"/>
            </w:tcBorders>
          </w:tcPr>
          <w:p w14:paraId="4BE5EB77" w14:textId="77777777" w:rsidR="005B6273" w:rsidRPr="00C66571" w:rsidRDefault="005B6273"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hAnsi="Arial" w:cs="Arial"/>
                <w:sz w:val="20"/>
                <w:szCs w:val="20"/>
              </w:rPr>
              <w:t>Std. deviation</w:t>
            </w:r>
          </w:p>
        </w:tc>
        <w:tc>
          <w:tcPr>
            <w:tcW w:w="2250" w:type="dxa"/>
            <w:tcBorders>
              <w:top w:val="single" w:sz="12" w:space="0" w:color="auto"/>
            </w:tcBorders>
          </w:tcPr>
          <w:p w14:paraId="4E87249F" w14:textId="77777777" w:rsidR="005B6273" w:rsidRPr="00C66571" w:rsidRDefault="005B6273"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hAnsi="Arial" w:cs="Arial"/>
                <w:sz w:val="20"/>
                <w:szCs w:val="20"/>
              </w:rPr>
              <w:t>Descriptive Level</w:t>
            </w:r>
          </w:p>
        </w:tc>
      </w:tr>
      <w:tr w:rsidR="005B6273" w14:paraId="7131F67E"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57A6419" w14:textId="5FEDBF84" w:rsidR="005B6273" w:rsidRPr="00C66571" w:rsidRDefault="005B6273" w:rsidP="005B6273">
            <w:pPr>
              <w:rPr>
                <w:rFonts w:ascii="Arial" w:hAnsi="Arial" w:cs="Arial"/>
                <w:b w:val="0"/>
                <w:bCs w:val="0"/>
                <w:color w:val="222222"/>
                <w:sz w:val="20"/>
                <w:shd w:val="clear" w:color="auto" w:fill="FFFFFF"/>
              </w:rPr>
            </w:pPr>
            <w:r w:rsidRPr="00C66571">
              <w:rPr>
                <w:rFonts w:ascii="Arial" w:hAnsi="Arial" w:cs="Arial"/>
                <w:b w:val="0"/>
                <w:bCs w:val="0"/>
                <w:sz w:val="20"/>
              </w:rPr>
              <w:t>Customers regularly receive reminder notices from dealers prior to their payment due dates</w:t>
            </w:r>
          </w:p>
        </w:tc>
        <w:tc>
          <w:tcPr>
            <w:tcW w:w="884" w:type="dxa"/>
            <w:vAlign w:val="center"/>
          </w:tcPr>
          <w:p w14:paraId="335EDEFC" w14:textId="29EC8B24" w:rsidR="005B6273" w:rsidRPr="00C66571"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C66571">
              <w:rPr>
                <w:rFonts w:ascii="Arial" w:eastAsia="Times New Roman" w:hAnsi="Arial" w:cs="Arial"/>
                <w:color w:val="000000"/>
                <w:sz w:val="20"/>
              </w:rPr>
              <w:t>4.45</w:t>
            </w:r>
          </w:p>
        </w:tc>
        <w:tc>
          <w:tcPr>
            <w:tcW w:w="1744" w:type="dxa"/>
            <w:vAlign w:val="center"/>
          </w:tcPr>
          <w:p w14:paraId="599D4376" w14:textId="63B6A795" w:rsidR="005B6273" w:rsidRPr="00C66571"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C66571">
              <w:rPr>
                <w:rFonts w:ascii="Arial" w:eastAsia="Times New Roman" w:hAnsi="Arial" w:cs="Arial"/>
                <w:color w:val="000000"/>
                <w:sz w:val="20"/>
              </w:rPr>
              <w:t>0.70</w:t>
            </w:r>
          </w:p>
        </w:tc>
        <w:tc>
          <w:tcPr>
            <w:tcW w:w="2250" w:type="dxa"/>
          </w:tcPr>
          <w:p w14:paraId="6F01D53E" w14:textId="77777777" w:rsidR="005B6273" w:rsidRPr="00C66571"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p w14:paraId="0131DE83" w14:textId="345E9DF1" w:rsidR="005B6273" w:rsidRPr="00C66571"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C66571">
              <w:rPr>
                <w:rFonts w:ascii="Arial" w:eastAsia="Calibri" w:hAnsi="Arial" w:cs="Arial"/>
                <w:sz w:val="20"/>
              </w:rPr>
              <w:t>Very Evident</w:t>
            </w:r>
          </w:p>
        </w:tc>
      </w:tr>
      <w:tr w:rsidR="005B6273" w14:paraId="126C3DA0"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24CA34BD" w14:textId="5E9919E3" w:rsidR="005B6273" w:rsidRPr="00C66571" w:rsidRDefault="005B6273" w:rsidP="005B6273">
            <w:pPr>
              <w:rPr>
                <w:rFonts w:ascii="Arial" w:hAnsi="Arial" w:cs="Arial"/>
                <w:b w:val="0"/>
                <w:bCs w:val="0"/>
                <w:color w:val="222222"/>
                <w:sz w:val="20"/>
                <w:shd w:val="clear" w:color="auto" w:fill="FFFFFF"/>
              </w:rPr>
            </w:pPr>
            <w:r w:rsidRPr="00C66571">
              <w:rPr>
                <w:rFonts w:ascii="Arial" w:eastAsia="Times New Roman" w:hAnsi="Arial" w:cs="Arial"/>
                <w:b w:val="0"/>
                <w:bCs w:val="0"/>
                <w:sz w:val="20"/>
              </w:rPr>
              <w:t>Dealers send reminder letters and notifications through registered mail to ensure customers are adequately informed</w:t>
            </w:r>
          </w:p>
        </w:tc>
        <w:tc>
          <w:tcPr>
            <w:tcW w:w="884" w:type="dxa"/>
            <w:vAlign w:val="center"/>
          </w:tcPr>
          <w:p w14:paraId="7C560A80" w14:textId="6546C2CC" w:rsidR="005B6273" w:rsidRPr="00C66571"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eastAsia="Times New Roman" w:hAnsi="Arial" w:cs="Arial"/>
                <w:color w:val="000000"/>
                <w:sz w:val="20"/>
              </w:rPr>
              <w:t>4.36</w:t>
            </w:r>
          </w:p>
        </w:tc>
        <w:tc>
          <w:tcPr>
            <w:tcW w:w="1744" w:type="dxa"/>
            <w:vAlign w:val="center"/>
          </w:tcPr>
          <w:p w14:paraId="0BDDDA85" w14:textId="7069F5DB" w:rsidR="005B6273" w:rsidRPr="00C66571"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eastAsia="Times New Roman" w:hAnsi="Arial" w:cs="Arial"/>
                <w:color w:val="000000"/>
                <w:sz w:val="20"/>
              </w:rPr>
              <w:t>0.76</w:t>
            </w:r>
          </w:p>
        </w:tc>
        <w:tc>
          <w:tcPr>
            <w:tcW w:w="2250" w:type="dxa"/>
          </w:tcPr>
          <w:p w14:paraId="0B7507CE" w14:textId="77777777" w:rsidR="005B6273" w:rsidRPr="00C66571"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p w14:paraId="5914EA45" w14:textId="23B91226" w:rsidR="005B6273" w:rsidRPr="00C66571" w:rsidRDefault="005B6273" w:rsidP="005B62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eastAsia="Calibri" w:hAnsi="Arial" w:cs="Arial"/>
                <w:sz w:val="20"/>
              </w:rPr>
              <w:t>Very Evident</w:t>
            </w:r>
          </w:p>
        </w:tc>
      </w:tr>
      <w:tr w:rsidR="005B6273" w14:paraId="53B8D568"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D84CD75" w14:textId="6EB7F105" w:rsidR="005B6273" w:rsidRPr="00C66571" w:rsidRDefault="005B6273" w:rsidP="005B6273">
            <w:pPr>
              <w:rPr>
                <w:rFonts w:ascii="Arial" w:hAnsi="Arial" w:cs="Arial"/>
                <w:b w:val="0"/>
                <w:bCs w:val="0"/>
                <w:color w:val="222222"/>
                <w:sz w:val="20"/>
                <w:shd w:val="clear" w:color="auto" w:fill="FFFFFF"/>
              </w:rPr>
            </w:pPr>
            <w:r w:rsidRPr="00C66571">
              <w:rPr>
                <w:rFonts w:ascii="Arial" w:hAnsi="Arial" w:cs="Arial"/>
                <w:b w:val="0"/>
                <w:bCs w:val="0"/>
                <w:sz w:val="20"/>
              </w:rPr>
              <w:t>Customers are notified of any outstanding balances and receive demand letters from dealers when necessary</w:t>
            </w:r>
          </w:p>
        </w:tc>
        <w:tc>
          <w:tcPr>
            <w:tcW w:w="884" w:type="dxa"/>
            <w:vAlign w:val="center"/>
          </w:tcPr>
          <w:p w14:paraId="4ACAF365" w14:textId="01956535" w:rsidR="005B6273" w:rsidRPr="00C66571"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C66571">
              <w:rPr>
                <w:rFonts w:ascii="Arial" w:eastAsia="Times New Roman" w:hAnsi="Arial" w:cs="Arial"/>
                <w:color w:val="000000"/>
                <w:sz w:val="20"/>
              </w:rPr>
              <w:t>4.42</w:t>
            </w:r>
          </w:p>
        </w:tc>
        <w:tc>
          <w:tcPr>
            <w:tcW w:w="1744" w:type="dxa"/>
            <w:vAlign w:val="center"/>
          </w:tcPr>
          <w:p w14:paraId="66E84720" w14:textId="689584D1" w:rsidR="005B6273" w:rsidRPr="00C66571"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C66571">
              <w:rPr>
                <w:rFonts w:ascii="Arial" w:eastAsia="Times New Roman" w:hAnsi="Arial" w:cs="Arial"/>
                <w:color w:val="000000"/>
                <w:sz w:val="20"/>
              </w:rPr>
              <w:t>0.70</w:t>
            </w:r>
          </w:p>
        </w:tc>
        <w:tc>
          <w:tcPr>
            <w:tcW w:w="2250" w:type="dxa"/>
          </w:tcPr>
          <w:p w14:paraId="0955BB7E" w14:textId="77777777" w:rsidR="005B6273" w:rsidRPr="00C66571"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p>
          <w:p w14:paraId="77FD83DE" w14:textId="39068A18" w:rsidR="005B6273" w:rsidRPr="00C66571" w:rsidRDefault="005B6273" w:rsidP="005B62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hd w:val="clear" w:color="auto" w:fill="FFFFFF"/>
              </w:rPr>
            </w:pPr>
            <w:r w:rsidRPr="00C66571">
              <w:rPr>
                <w:rFonts w:ascii="Arial" w:eastAsia="Calibri" w:hAnsi="Arial" w:cs="Arial"/>
                <w:sz w:val="20"/>
              </w:rPr>
              <w:t>Very Evident</w:t>
            </w:r>
          </w:p>
        </w:tc>
      </w:tr>
      <w:tr w:rsidR="00C66571" w14:paraId="1D65F33E" w14:textId="77777777" w:rsidTr="00396572">
        <w:trPr>
          <w:trHeight w:val="1043"/>
        </w:trPr>
        <w:tc>
          <w:tcPr>
            <w:cnfStyle w:val="001000000000" w:firstRow="0" w:lastRow="0" w:firstColumn="1" w:lastColumn="0" w:oddVBand="0" w:evenVBand="0" w:oddHBand="0" w:evenHBand="0" w:firstRowFirstColumn="0" w:firstRowLastColumn="0" w:lastRowFirstColumn="0" w:lastRowLastColumn="0"/>
            <w:tcW w:w="3397" w:type="dxa"/>
          </w:tcPr>
          <w:p w14:paraId="74DFD710" w14:textId="63A8EE2D" w:rsidR="00C66571" w:rsidRPr="00C66571" w:rsidRDefault="00C66571" w:rsidP="00C66571">
            <w:pPr>
              <w:rPr>
                <w:rFonts w:ascii="Arial" w:hAnsi="Arial" w:cs="Arial"/>
                <w:b w:val="0"/>
                <w:bCs w:val="0"/>
                <w:color w:val="222222"/>
                <w:sz w:val="20"/>
                <w:shd w:val="clear" w:color="auto" w:fill="FFFFFF"/>
              </w:rPr>
            </w:pPr>
            <w:r w:rsidRPr="00C66571">
              <w:rPr>
                <w:rFonts w:ascii="Arial" w:hAnsi="Arial" w:cs="Arial"/>
                <w:b w:val="0"/>
                <w:bCs w:val="0"/>
                <w:sz w:val="20"/>
              </w:rPr>
              <w:t>Dealers provide detailed statements of account along with any collection notices sent to customers.</w:t>
            </w:r>
          </w:p>
        </w:tc>
        <w:tc>
          <w:tcPr>
            <w:tcW w:w="884" w:type="dxa"/>
            <w:vAlign w:val="center"/>
          </w:tcPr>
          <w:p w14:paraId="4A4A6A50" w14:textId="67FAA0FB" w:rsidR="00C66571" w:rsidRPr="00C66571" w:rsidRDefault="00C66571" w:rsidP="00C665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eastAsia="Times New Roman" w:hAnsi="Arial" w:cs="Arial"/>
                <w:color w:val="000000"/>
                <w:sz w:val="20"/>
              </w:rPr>
              <w:t>4.43</w:t>
            </w:r>
          </w:p>
        </w:tc>
        <w:tc>
          <w:tcPr>
            <w:tcW w:w="1744" w:type="dxa"/>
            <w:vAlign w:val="center"/>
          </w:tcPr>
          <w:p w14:paraId="23DD4F50" w14:textId="0810FA8B" w:rsidR="00C66571" w:rsidRPr="00C66571" w:rsidRDefault="00C66571" w:rsidP="00C665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eastAsia="Times New Roman" w:hAnsi="Arial" w:cs="Arial"/>
                <w:color w:val="000000"/>
                <w:sz w:val="20"/>
              </w:rPr>
              <w:t>0.70</w:t>
            </w:r>
          </w:p>
        </w:tc>
        <w:tc>
          <w:tcPr>
            <w:tcW w:w="2250" w:type="dxa"/>
          </w:tcPr>
          <w:p w14:paraId="531FC4D6" w14:textId="77777777" w:rsidR="00C66571" w:rsidRPr="00C66571" w:rsidRDefault="00C66571" w:rsidP="00C6657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p w14:paraId="7C387824" w14:textId="04CF2DF9" w:rsidR="00C66571" w:rsidRPr="00C66571" w:rsidRDefault="00C66571" w:rsidP="00C665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hd w:val="clear" w:color="auto" w:fill="FFFFFF"/>
              </w:rPr>
            </w:pPr>
            <w:r w:rsidRPr="00C66571">
              <w:rPr>
                <w:rFonts w:ascii="Arial" w:eastAsia="Calibri" w:hAnsi="Arial" w:cs="Arial"/>
                <w:sz w:val="20"/>
              </w:rPr>
              <w:t>Very Evident</w:t>
            </w:r>
          </w:p>
        </w:tc>
      </w:tr>
      <w:tr w:rsidR="00C66571" w:rsidRPr="00C66571" w14:paraId="0AD222B8"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6B31563B" w14:textId="7AC43590" w:rsidR="00C66571" w:rsidRPr="00C66571" w:rsidRDefault="00C66571" w:rsidP="00C66571">
            <w:pPr>
              <w:jc w:val="center"/>
              <w:rPr>
                <w:rFonts w:ascii="Arial" w:hAnsi="Arial" w:cs="Arial"/>
                <w:color w:val="222222"/>
                <w:sz w:val="20"/>
                <w:shd w:val="clear" w:color="auto" w:fill="FFFFFF"/>
              </w:rPr>
            </w:pPr>
            <w:r w:rsidRPr="00C66571">
              <w:rPr>
                <w:rFonts w:ascii="Arial" w:eastAsia="Times New Roman" w:hAnsi="Arial" w:cs="Arial"/>
                <w:color w:val="000000"/>
                <w:sz w:val="20"/>
                <w:szCs w:val="20"/>
              </w:rPr>
              <w:t>Average</w:t>
            </w:r>
          </w:p>
        </w:tc>
        <w:tc>
          <w:tcPr>
            <w:tcW w:w="884" w:type="dxa"/>
            <w:tcBorders>
              <w:bottom w:val="single" w:sz="12" w:space="0" w:color="auto"/>
            </w:tcBorders>
            <w:vAlign w:val="center"/>
          </w:tcPr>
          <w:p w14:paraId="5EC604ED" w14:textId="62BFFBBC" w:rsidR="00C66571" w:rsidRPr="00C66571" w:rsidRDefault="00C66571" w:rsidP="00C6657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66571">
              <w:rPr>
                <w:rFonts w:ascii="Arial" w:eastAsia="Times New Roman" w:hAnsi="Arial" w:cs="Arial"/>
                <w:b/>
                <w:bCs/>
                <w:color w:val="000000"/>
                <w:sz w:val="20"/>
              </w:rPr>
              <w:t>4.42</w:t>
            </w:r>
          </w:p>
        </w:tc>
        <w:tc>
          <w:tcPr>
            <w:tcW w:w="1744" w:type="dxa"/>
            <w:tcBorders>
              <w:bottom w:val="single" w:sz="12" w:space="0" w:color="auto"/>
            </w:tcBorders>
            <w:vAlign w:val="center"/>
          </w:tcPr>
          <w:p w14:paraId="6DB7DCB9" w14:textId="1A136F73" w:rsidR="00C66571" w:rsidRPr="00C66571" w:rsidRDefault="00C66571" w:rsidP="00C6657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hd w:val="clear" w:color="auto" w:fill="FFFFFF"/>
              </w:rPr>
            </w:pPr>
            <w:r w:rsidRPr="00C66571">
              <w:rPr>
                <w:rFonts w:ascii="Arial" w:eastAsia="Times New Roman" w:hAnsi="Arial" w:cs="Arial"/>
                <w:b/>
                <w:bCs/>
                <w:color w:val="000000"/>
                <w:sz w:val="20"/>
              </w:rPr>
              <w:t>0.63</w:t>
            </w:r>
          </w:p>
        </w:tc>
        <w:tc>
          <w:tcPr>
            <w:tcW w:w="2250" w:type="dxa"/>
            <w:tcBorders>
              <w:bottom w:val="single" w:sz="12" w:space="0" w:color="auto"/>
            </w:tcBorders>
            <w:vAlign w:val="center"/>
          </w:tcPr>
          <w:p w14:paraId="419BA33D" w14:textId="0BD33033" w:rsidR="00C66571" w:rsidRPr="00C66571" w:rsidRDefault="00C66571" w:rsidP="00C6657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hd w:val="clear" w:color="auto" w:fill="FFFFFF"/>
              </w:rPr>
            </w:pPr>
            <w:r w:rsidRPr="00C66571">
              <w:rPr>
                <w:rFonts w:ascii="Arial" w:eastAsia="Calibri" w:hAnsi="Arial" w:cs="Arial"/>
                <w:b/>
                <w:bCs/>
                <w:sz w:val="20"/>
              </w:rPr>
              <w:t>Very Evident</w:t>
            </w:r>
          </w:p>
        </w:tc>
      </w:tr>
    </w:tbl>
    <w:p w14:paraId="35DD8031" w14:textId="77777777" w:rsidR="007C2C1D" w:rsidRPr="00F009D6" w:rsidRDefault="007C2C1D" w:rsidP="00AE22F5">
      <w:pPr>
        <w:spacing w:after="0" w:line="240" w:lineRule="auto"/>
        <w:ind w:firstLine="720"/>
        <w:rPr>
          <w:rFonts w:ascii="Arial" w:hAnsi="Arial" w:cs="Arial"/>
          <w:sz w:val="20"/>
        </w:rPr>
      </w:pPr>
    </w:p>
    <w:p w14:paraId="294A90E3" w14:textId="1B8ABC8C" w:rsidR="00C66571" w:rsidRDefault="006D29D7" w:rsidP="00C66571">
      <w:pPr>
        <w:spacing w:after="0" w:line="240" w:lineRule="auto"/>
        <w:jc w:val="both"/>
        <w:rPr>
          <w:rFonts w:cs="Arial"/>
        </w:rPr>
      </w:pPr>
      <w:r w:rsidRPr="006D29D7">
        <w:rPr>
          <w:rFonts w:ascii="Arial" w:hAnsi="Arial" w:cs="Arial"/>
          <w:sz w:val="20"/>
        </w:rPr>
        <w:t xml:space="preserve">Table 7 presents the </w:t>
      </w:r>
      <w:r w:rsidR="00C66571" w:rsidRPr="008430ED">
        <w:rPr>
          <w:rFonts w:ascii="Arial" w:hAnsi="Arial" w:cs="Arial"/>
          <w:sz w:val="20"/>
          <w:lang w:val="en-US"/>
        </w:rPr>
        <w:t>11 illustrates that the level of collection practices</w:t>
      </w:r>
      <w:r w:rsidR="00C66571">
        <w:rPr>
          <w:rFonts w:ascii="Arial" w:hAnsi="Arial" w:cs="Arial"/>
          <w:sz w:val="20"/>
          <w:lang w:val="en-US"/>
        </w:rPr>
        <w:t xml:space="preserve"> in terms of documentation </w:t>
      </w:r>
      <w:r w:rsidR="00C66571" w:rsidRPr="008430ED">
        <w:rPr>
          <w:rFonts w:ascii="Arial" w:hAnsi="Arial" w:cs="Arial"/>
          <w:sz w:val="20"/>
          <w:lang w:val="en-US"/>
        </w:rPr>
        <w:t xml:space="preserve">is </w:t>
      </w:r>
      <w:r w:rsidR="00C66571" w:rsidRPr="008430ED">
        <w:rPr>
          <w:rFonts w:ascii="Arial" w:hAnsi="Arial" w:cs="Arial"/>
          <w:sz w:val="20"/>
        </w:rPr>
        <w:t>very evident</w:t>
      </w:r>
      <w:r w:rsidR="00C66571" w:rsidRPr="008430ED">
        <w:rPr>
          <w:rFonts w:ascii="Arial" w:hAnsi="Arial" w:cs="Arial"/>
          <w:bCs/>
          <w:sz w:val="20"/>
        </w:rPr>
        <w:t xml:space="preserve"> (</w:t>
      </w:r>
      <w:r w:rsidR="00C66571" w:rsidRPr="008430ED">
        <w:rPr>
          <w:rFonts w:ascii="Arial" w:hAnsi="Arial" w:cs="Arial"/>
          <w:color w:val="4D5156"/>
          <w:sz w:val="20"/>
          <w:shd w:val="clear" w:color="auto" w:fill="FFFFFF"/>
        </w:rPr>
        <w:t>x̄</w:t>
      </w:r>
      <w:r w:rsidR="00C66571" w:rsidRPr="008430ED">
        <w:rPr>
          <w:rFonts w:ascii="Arial" w:hAnsi="Arial" w:cs="Arial"/>
          <w:sz w:val="20"/>
          <w:lang w:val="en-US"/>
        </w:rPr>
        <w:t xml:space="preserve"> = 4.42). </w:t>
      </w:r>
      <w:r w:rsidR="00C66571" w:rsidRPr="008430ED">
        <w:rPr>
          <w:rFonts w:ascii="Arial" w:hAnsi="Arial" w:cs="Arial"/>
          <w:sz w:val="20"/>
        </w:rPr>
        <w:t xml:space="preserve">This implies that home appliance dealers in </w:t>
      </w:r>
      <w:proofErr w:type="spellStart"/>
      <w:r w:rsidR="00C66571" w:rsidRPr="008430ED">
        <w:rPr>
          <w:rFonts w:ascii="Arial" w:hAnsi="Arial" w:cs="Arial"/>
          <w:sz w:val="20"/>
        </w:rPr>
        <w:t>Cateel</w:t>
      </w:r>
      <w:proofErr w:type="spellEnd"/>
      <w:r w:rsidR="00C66571" w:rsidRPr="008430ED">
        <w:rPr>
          <w:rFonts w:ascii="Arial" w:hAnsi="Arial" w:cs="Arial"/>
          <w:sz w:val="20"/>
        </w:rPr>
        <w:t xml:space="preserve"> consistently and thoroughly provide reminder notices, send notifications via registered mail, inform customers of outstanding balances with demand letters when necessary, and include detailed statements of account with collection notices, reflecting a highly systematic and reliable approach to documenting collection efforts to ensure effective communication with customers</w:t>
      </w:r>
      <w:r w:rsidR="00C66571" w:rsidRPr="002F79AF">
        <w:rPr>
          <w:rFonts w:cs="Arial"/>
        </w:rPr>
        <w:t>.</w:t>
      </w:r>
    </w:p>
    <w:p w14:paraId="59D26F44" w14:textId="68539EAA" w:rsidR="00C66571" w:rsidRDefault="00C66571" w:rsidP="00C66571">
      <w:pPr>
        <w:spacing w:after="0" w:line="240" w:lineRule="auto"/>
        <w:ind w:firstLine="720"/>
        <w:jc w:val="both"/>
        <w:rPr>
          <w:rFonts w:ascii="Arial" w:hAnsi="Arial" w:cs="Arial"/>
          <w:sz w:val="20"/>
        </w:rPr>
      </w:pPr>
      <w:r w:rsidRPr="008430ED">
        <w:rPr>
          <w:rFonts w:ascii="Arial" w:hAnsi="Arial" w:cs="Arial"/>
          <w:sz w:val="20"/>
        </w:rPr>
        <w:t xml:space="preserve">This result is supported by </w:t>
      </w:r>
      <w:proofErr w:type="spellStart"/>
      <w:r w:rsidRPr="008430ED">
        <w:rPr>
          <w:rFonts w:ascii="Arial" w:hAnsi="Arial" w:cs="Arial"/>
          <w:sz w:val="20"/>
        </w:rPr>
        <w:t>Koulafetis</w:t>
      </w:r>
      <w:proofErr w:type="spellEnd"/>
      <w:r w:rsidRPr="008430ED">
        <w:rPr>
          <w:rFonts w:ascii="Arial" w:hAnsi="Arial" w:cs="Arial"/>
          <w:sz w:val="20"/>
        </w:rPr>
        <w:t>' (2017) finding, which states that proper documentation of loan agreements ensures that terms are clearly defined, thereby supporting Melton's credit risk theory that transparency reduces credit risk. According to Melton’s credit risk theory, maintaining accurate records strengthens the lender-borrower relationship and supports compliance, thereby lowering the likelihood of default</w:t>
      </w:r>
      <w:r w:rsidR="00690DF5">
        <w:rPr>
          <w:rFonts w:ascii="Arial" w:hAnsi="Arial" w:cs="Arial"/>
          <w:sz w:val="20"/>
        </w:rPr>
        <w:t>.</w:t>
      </w:r>
    </w:p>
    <w:p w14:paraId="11E76BE7" w14:textId="77777777" w:rsidR="00690DF5" w:rsidRDefault="00690DF5" w:rsidP="00C66571">
      <w:pPr>
        <w:spacing w:after="0" w:line="240" w:lineRule="auto"/>
        <w:ind w:firstLine="720"/>
        <w:jc w:val="both"/>
        <w:rPr>
          <w:rFonts w:ascii="Arial" w:hAnsi="Arial" w:cs="Arial"/>
          <w:sz w:val="20"/>
        </w:rPr>
      </w:pPr>
    </w:p>
    <w:p w14:paraId="6737A1FB" w14:textId="41233121" w:rsidR="00690DF5" w:rsidRDefault="00690DF5" w:rsidP="00690DF5">
      <w:pPr>
        <w:spacing w:after="0" w:line="240" w:lineRule="auto"/>
        <w:jc w:val="both"/>
        <w:rPr>
          <w:rFonts w:ascii="Arial" w:hAnsi="Arial" w:cs="Arial"/>
          <w:sz w:val="20"/>
        </w:rPr>
      </w:pPr>
      <w:r w:rsidRPr="00620CF3">
        <w:rPr>
          <w:rFonts w:ascii="Arial" w:hAnsi="Arial" w:cs="Arial"/>
          <w:b/>
          <w:bCs/>
          <w:sz w:val="20"/>
        </w:rPr>
        <w:t>Table 8.</w:t>
      </w:r>
      <w:r>
        <w:rPr>
          <w:rFonts w:ascii="Arial" w:hAnsi="Arial" w:cs="Arial"/>
          <w:sz w:val="20"/>
        </w:rPr>
        <w:t xml:space="preserve"> collection practices in terms of Manpower</w:t>
      </w:r>
    </w:p>
    <w:tbl>
      <w:tblPr>
        <w:tblStyle w:val="PlainTable21"/>
        <w:tblW w:w="8275" w:type="dxa"/>
        <w:tblLook w:val="04A0" w:firstRow="1" w:lastRow="0" w:firstColumn="1" w:lastColumn="0" w:noHBand="0" w:noVBand="1"/>
      </w:tblPr>
      <w:tblGrid>
        <w:gridCol w:w="3397"/>
        <w:gridCol w:w="884"/>
        <w:gridCol w:w="1744"/>
        <w:gridCol w:w="2250"/>
      </w:tblGrid>
      <w:tr w:rsidR="00690DF5" w:rsidRPr="00690DF5" w14:paraId="4CB005CE"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4733864A" w14:textId="77777777" w:rsidR="00690DF5" w:rsidRPr="00690DF5" w:rsidRDefault="00690DF5" w:rsidP="00396572">
            <w:pPr>
              <w:jc w:val="center"/>
              <w:rPr>
                <w:rFonts w:ascii="Arial" w:hAnsi="Arial" w:cs="Arial"/>
                <w:color w:val="222222"/>
                <w:sz w:val="20"/>
                <w:szCs w:val="20"/>
                <w:shd w:val="clear" w:color="auto" w:fill="FFFFFF"/>
              </w:rPr>
            </w:pPr>
            <w:r w:rsidRPr="00690DF5">
              <w:rPr>
                <w:rFonts w:ascii="Arial" w:hAnsi="Arial" w:cs="Arial"/>
                <w:sz w:val="20"/>
                <w:szCs w:val="20"/>
              </w:rPr>
              <w:t>Description</w:t>
            </w:r>
          </w:p>
        </w:tc>
        <w:tc>
          <w:tcPr>
            <w:tcW w:w="884" w:type="dxa"/>
            <w:tcBorders>
              <w:top w:val="single" w:sz="12" w:space="0" w:color="auto"/>
            </w:tcBorders>
          </w:tcPr>
          <w:p w14:paraId="1EB3A1DF" w14:textId="77777777" w:rsidR="00690DF5" w:rsidRPr="00690DF5" w:rsidRDefault="00690DF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90DF5">
              <w:rPr>
                <w:rFonts w:ascii="Arial" w:hAnsi="Arial" w:cs="Arial"/>
                <w:sz w:val="20"/>
                <w:szCs w:val="20"/>
              </w:rPr>
              <w:t>Mean</w:t>
            </w:r>
          </w:p>
        </w:tc>
        <w:tc>
          <w:tcPr>
            <w:tcW w:w="1744" w:type="dxa"/>
            <w:tcBorders>
              <w:top w:val="single" w:sz="12" w:space="0" w:color="auto"/>
            </w:tcBorders>
          </w:tcPr>
          <w:p w14:paraId="6C55AB72" w14:textId="77777777" w:rsidR="00690DF5" w:rsidRPr="00690DF5" w:rsidRDefault="00690DF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90DF5">
              <w:rPr>
                <w:rFonts w:ascii="Arial" w:hAnsi="Arial" w:cs="Arial"/>
                <w:sz w:val="20"/>
                <w:szCs w:val="20"/>
              </w:rPr>
              <w:t>Std. deviation</w:t>
            </w:r>
          </w:p>
        </w:tc>
        <w:tc>
          <w:tcPr>
            <w:tcW w:w="2250" w:type="dxa"/>
            <w:tcBorders>
              <w:top w:val="single" w:sz="12" w:space="0" w:color="auto"/>
            </w:tcBorders>
          </w:tcPr>
          <w:p w14:paraId="2D9F2089" w14:textId="77777777" w:rsidR="00690DF5" w:rsidRPr="00690DF5" w:rsidRDefault="00690DF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90DF5">
              <w:rPr>
                <w:rFonts w:ascii="Arial" w:hAnsi="Arial" w:cs="Arial"/>
                <w:sz w:val="20"/>
                <w:szCs w:val="20"/>
              </w:rPr>
              <w:t>Descriptive Level</w:t>
            </w:r>
          </w:p>
        </w:tc>
      </w:tr>
      <w:tr w:rsidR="00690DF5" w:rsidRPr="00690DF5" w14:paraId="3CE7F921"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7DB881B" w14:textId="2029F894" w:rsidR="00690DF5" w:rsidRPr="00690DF5" w:rsidRDefault="00690DF5" w:rsidP="00690DF5">
            <w:pPr>
              <w:rPr>
                <w:rFonts w:ascii="Arial" w:hAnsi="Arial" w:cs="Arial"/>
                <w:b w:val="0"/>
                <w:bCs w:val="0"/>
                <w:color w:val="222222"/>
                <w:sz w:val="20"/>
                <w:szCs w:val="20"/>
                <w:shd w:val="clear" w:color="auto" w:fill="FFFFFF"/>
              </w:rPr>
            </w:pPr>
            <w:r w:rsidRPr="00690DF5">
              <w:rPr>
                <w:rFonts w:ascii="Arial" w:eastAsia="Times New Roman" w:hAnsi="Arial" w:cs="Arial"/>
                <w:b w:val="0"/>
                <w:bCs w:val="0"/>
                <w:sz w:val="20"/>
                <w:szCs w:val="20"/>
              </w:rPr>
              <w:t>Dealers' collection agents generally exhibit professionalism when contacting applicants</w:t>
            </w:r>
          </w:p>
        </w:tc>
        <w:tc>
          <w:tcPr>
            <w:tcW w:w="884" w:type="dxa"/>
            <w:vAlign w:val="center"/>
          </w:tcPr>
          <w:p w14:paraId="5C01263C" w14:textId="69A96BE4" w:rsidR="00690DF5" w:rsidRPr="00690DF5" w:rsidRDefault="00690DF5" w:rsidP="00690D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Times New Roman" w:hAnsi="Arial" w:cs="Arial"/>
                <w:color w:val="000000"/>
                <w:sz w:val="20"/>
                <w:szCs w:val="20"/>
              </w:rPr>
              <w:t>4.34</w:t>
            </w:r>
          </w:p>
        </w:tc>
        <w:tc>
          <w:tcPr>
            <w:tcW w:w="1744" w:type="dxa"/>
            <w:vAlign w:val="center"/>
          </w:tcPr>
          <w:p w14:paraId="3324AF01" w14:textId="58326220" w:rsidR="00690DF5" w:rsidRPr="00690DF5" w:rsidRDefault="00690DF5" w:rsidP="00690D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Times New Roman" w:hAnsi="Arial" w:cs="Arial"/>
                <w:color w:val="000000"/>
                <w:sz w:val="20"/>
                <w:szCs w:val="20"/>
              </w:rPr>
              <w:t>0.68</w:t>
            </w:r>
          </w:p>
        </w:tc>
        <w:tc>
          <w:tcPr>
            <w:tcW w:w="2250" w:type="dxa"/>
          </w:tcPr>
          <w:p w14:paraId="1E2DF292" w14:textId="77777777" w:rsidR="00690DF5" w:rsidRPr="00690DF5" w:rsidRDefault="00690DF5" w:rsidP="00690DF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27E2A530" w14:textId="63BF85A2" w:rsidR="00690DF5" w:rsidRPr="00690DF5" w:rsidRDefault="00690DF5" w:rsidP="00690D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Calibri" w:hAnsi="Arial" w:cs="Arial"/>
                <w:sz w:val="20"/>
                <w:szCs w:val="20"/>
              </w:rPr>
              <w:t>Very Evident</w:t>
            </w:r>
          </w:p>
        </w:tc>
      </w:tr>
      <w:tr w:rsidR="00690DF5" w:rsidRPr="00690DF5" w14:paraId="3BE56C7B"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2A4D46E6" w14:textId="6E55E875" w:rsidR="00690DF5" w:rsidRPr="00690DF5" w:rsidRDefault="00690DF5" w:rsidP="00690DF5">
            <w:pPr>
              <w:rPr>
                <w:rFonts w:ascii="Arial" w:hAnsi="Arial" w:cs="Arial"/>
                <w:b w:val="0"/>
                <w:bCs w:val="0"/>
                <w:color w:val="222222"/>
                <w:sz w:val="20"/>
                <w:szCs w:val="20"/>
                <w:shd w:val="clear" w:color="auto" w:fill="FFFFFF"/>
              </w:rPr>
            </w:pPr>
            <w:r w:rsidRPr="00690DF5">
              <w:rPr>
                <w:rFonts w:ascii="Arial" w:eastAsia="Times New Roman" w:hAnsi="Arial" w:cs="Arial"/>
                <w:b w:val="0"/>
                <w:bCs w:val="0"/>
                <w:sz w:val="20"/>
                <w:szCs w:val="20"/>
              </w:rPr>
              <w:t>Dealers' staff typically provide clear explanations of loan terms, conditions, and repayment options to applicants</w:t>
            </w:r>
          </w:p>
        </w:tc>
        <w:tc>
          <w:tcPr>
            <w:tcW w:w="884" w:type="dxa"/>
            <w:vAlign w:val="center"/>
          </w:tcPr>
          <w:p w14:paraId="71A5AC36" w14:textId="217E34D9" w:rsidR="00690DF5" w:rsidRPr="00690DF5" w:rsidRDefault="00690DF5" w:rsidP="00690D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Times New Roman" w:hAnsi="Arial" w:cs="Arial"/>
                <w:color w:val="000000"/>
                <w:sz w:val="20"/>
                <w:szCs w:val="20"/>
              </w:rPr>
              <w:t>4.55</w:t>
            </w:r>
          </w:p>
        </w:tc>
        <w:tc>
          <w:tcPr>
            <w:tcW w:w="1744" w:type="dxa"/>
            <w:vAlign w:val="center"/>
          </w:tcPr>
          <w:p w14:paraId="7BCC7878" w14:textId="7761BC92" w:rsidR="00690DF5" w:rsidRPr="00690DF5" w:rsidRDefault="00690DF5" w:rsidP="00690D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Times New Roman" w:hAnsi="Arial" w:cs="Arial"/>
                <w:color w:val="000000"/>
                <w:sz w:val="20"/>
                <w:szCs w:val="20"/>
              </w:rPr>
              <w:t>0.59</w:t>
            </w:r>
          </w:p>
        </w:tc>
        <w:tc>
          <w:tcPr>
            <w:tcW w:w="2250" w:type="dxa"/>
          </w:tcPr>
          <w:p w14:paraId="4CF83D74" w14:textId="77777777" w:rsidR="00690DF5" w:rsidRPr="00690DF5" w:rsidRDefault="00690DF5" w:rsidP="00690DF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6E368050" w14:textId="6A5A7875" w:rsidR="00690DF5" w:rsidRPr="00690DF5" w:rsidRDefault="00690DF5" w:rsidP="00690DF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Calibri" w:hAnsi="Arial" w:cs="Arial"/>
                <w:sz w:val="20"/>
                <w:szCs w:val="20"/>
              </w:rPr>
              <w:t>Very Evident</w:t>
            </w:r>
          </w:p>
        </w:tc>
      </w:tr>
      <w:tr w:rsidR="00690DF5" w:rsidRPr="00690DF5" w14:paraId="4AB9FD11"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B7F886B" w14:textId="4094E1CF" w:rsidR="00690DF5" w:rsidRPr="00690DF5" w:rsidRDefault="00690DF5" w:rsidP="00690DF5">
            <w:pPr>
              <w:rPr>
                <w:rFonts w:ascii="Arial" w:hAnsi="Arial" w:cs="Arial"/>
                <w:b w:val="0"/>
                <w:bCs w:val="0"/>
                <w:color w:val="222222"/>
                <w:sz w:val="20"/>
                <w:szCs w:val="20"/>
                <w:shd w:val="clear" w:color="auto" w:fill="FFFFFF"/>
              </w:rPr>
            </w:pPr>
            <w:r w:rsidRPr="00690DF5">
              <w:rPr>
                <w:rFonts w:ascii="Arial" w:eastAsia="Times New Roman" w:hAnsi="Arial" w:cs="Arial"/>
                <w:b w:val="0"/>
                <w:bCs w:val="0"/>
                <w:sz w:val="20"/>
                <w:szCs w:val="20"/>
              </w:rPr>
              <w:t>Dealers’ staff create a comfortable environment for customers when discussing repayment challenges</w:t>
            </w:r>
          </w:p>
        </w:tc>
        <w:tc>
          <w:tcPr>
            <w:tcW w:w="884" w:type="dxa"/>
            <w:vAlign w:val="center"/>
          </w:tcPr>
          <w:p w14:paraId="16A153A1" w14:textId="7B593A75" w:rsidR="00690DF5" w:rsidRPr="00690DF5" w:rsidRDefault="00690DF5" w:rsidP="00690D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Times New Roman" w:hAnsi="Arial" w:cs="Arial"/>
                <w:color w:val="000000"/>
                <w:sz w:val="20"/>
                <w:szCs w:val="20"/>
              </w:rPr>
              <w:t>4.50</w:t>
            </w:r>
          </w:p>
        </w:tc>
        <w:tc>
          <w:tcPr>
            <w:tcW w:w="1744" w:type="dxa"/>
            <w:vAlign w:val="center"/>
          </w:tcPr>
          <w:p w14:paraId="46120A8D" w14:textId="7A27FC54" w:rsidR="00690DF5" w:rsidRPr="00690DF5" w:rsidRDefault="00690DF5" w:rsidP="00690D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Times New Roman" w:hAnsi="Arial" w:cs="Arial"/>
                <w:color w:val="000000"/>
                <w:sz w:val="20"/>
                <w:szCs w:val="20"/>
              </w:rPr>
              <w:t>0.65</w:t>
            </w:r>
          </w:p>
        </w:tc>
        <w:tc>
          <w:tcPr>
            <w:tcW w:w="2250" w:type="dxa"/>
          </w:tcPr>
          <w:p w14:paraId="30FAEC3F" w14:textId="77777777" w:rsidR="00690DF5" w:rsidRPr="00690DF5" w:rsidRDefault="00690DF5" w:rsidP="00690DF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3D2B8C81" w14:textId="2545F8A4" w:rsidR="00690DF5" w:rsidRPr="00690DF5" w:rsidRDefault="00690DF5" w:rsidP="00690DF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690DF5">
              <w:rPr>
                <w:rFonts w:ascii="Arial" w:eastAsia="Calibri" w:hAnsi="Arial" w:cs="Arial"/>
                <w:sz w:val="20"/>
                <w:szCs w:val="20"/>
              </w:rPr>
              <w:t>Very Evident</w:t>
            </w:r>
          </w:p>
        </w:tc>
      </w:tr>
      <w:tr w:rsidR="00690DF5" w:rsidRPr="00690DF5" w14:paraId="5CF84C2C" w14:textId="77777777" w:rsidTr="00396572">
        <w:trPr>
          <w:trHeight w:val="7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34408579" w14:textId="698E7D21" w:rsidR="00690DF5" w:rsidRPr="00690DF5" w:rsidRDefault="00690DF5" w:rsidP="00690DF5">
            <w:pPr>
              <w:jc w:val="center"/>
              <w:rPr>
                <w:rFonts w:ascii="Arial" w:hAnsi="Arial" w:cs="Arial"/>
                <w:color w:val="222222"/>
                <w:sz w:val="20"/>
                <w:szCs w:val="20"/>
                <w:shd w:val="clear" w:color="auto" w:fill="FFFFFF"/>
              </w:rPr>
            </w:pPr>
            <w:r w:rsidRPr="00690DF5">
              <w:rPr>
                <w:rFonts w:ascii="Arial" w:eastAsia="Times New Roman" w:hAnsi="Arial" w:cs="Arial"/>
                <w:color w:val="000000"/>
                <w:sz w:val="20"/>
                <w:szCs w:val="20"/>
              </w:rPr>
              <w:t>Average</w:t>
            </w:r>
          </w:p>
        </w:tc>
        <w:tc>
          <w:tcPr>
            <w:tcW w:w="884" w:type="dxa"/>
            <w:tcBorders>
              <w:bottom w:val="single" w:sz="12" w:space="0" w:color="auto"/>
            </w:tcBorders>
            <w:vAlign w:val="center"/>
          </w:tcPr>
          <w:p w14:paraId="2A4D2F6D" w14:textId="6D781D75" w:rsidR="00690DF5" w:rsidRPr="00690DF5" w:rsidRDefault="00690DF5" w:rsidP="00690DF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690DF5">
              <w:rPr>
                <w:rFonts w:ascii="Arial" w:eastAsia="Times New Roman" w:hAnsi="Arial" w:cs="Arial"/>
                <w:b/>
                <w:bCs/>
                <w:color w:val="000000"/>
                <w:sz w:val="20"/>
                <w:szCs w:val="20"/>
              </w:rPr>
              <w:t>4.46</w:t>
            </w:r>
          </w:p>
        </w:tc>
        <w:tc>
          <w:tcPr>
            <w:tcW w:w="1744" w:type="dxa"/>
            <w:tcBorders>
              <w:bottom w:val="single" w:sz="12" w:space="0" w:color="auto"/>
            </w:tcBorders>
            <w:vAlign w:val="center"/>
          </w:tcPr>
          <w:p w14:paraId="6E213279" w14:textId="3F7DB1A4" w:rsidR="00690DF5" w:rsidRPr="00690DF5" w:rsidRDefault="00690DF5" w:rsidP="00690DF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690DF5">
              <w:rPr>
                <w:rFonts w:ascii="Arial" w:eastAsia="Times New Roman" w:hAnsi="Arial" w:cs="Arial"/>
                <w:b/>
                <w:bCs/>
                <w:color w:val="000000"/>
                <w:sz w:val="20"/>
                <w:szCs w:val="20"/>
              </w:rPr>
              <w:t>0.53</w:t>
            </w:r>
          </w:p>
        </w:tc>
        <w:tc>
          <w:tcPr>
            <w:tcW w:w="2250" w:type="dxa"/>
            <w:tcBorders>
              <w:bottom w:val="single" w:sz="12" w:space="0" w:color="auto"/>
            </w:tcBorders>
            <w:vAlign w:val="center"/>
          </w:tcPr>
          <w:p w14:paraId="0A9A4FE9" w14:textId="3AA50804" w:rsidR="00690DF5" w:rsidRPr="00690DF5" w:rsidRDefault="00690DF5" w:rsidP="00690DF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690DF5">
              <w:rPr>
                <w:rFonts w:ascii="Arial" w:eastAsia="Calibri" w:hAnsi="Arial" w:cs="Arial"/>
                <w:b/>
                <w:bCs/>
                <w:sz w:val="20"/>
                <w:szCs w:val="20"/>
              </w:rPr>
              <w:t>Very Evident</w:t>
            </w:r>
          </w:p>
        </w:tc>
      </w:tr>
    </w:tbl>
    <w:p w14:paraId="38CB70E6" w14:textId="77777777" w:rsidR="00690DF5" w:rsidRDefault="00690DF5" w:rsidP="00690DF5">
      <w:pPr>
        <w:spacing w:after="0" w:line="240" w:lineRule="auto"/>
        <w:jc w:val="both"/>
        <w:rPr>
          <w:rFonts w:ascii="Arial" w:hAnsi="Arial" w:cs="Arial"/>
          <w:b/>
          <w:bCs/>
          <w:sz w:val="20"/>
        </w:rPr>
      </w:pPr>
      <w:r>
        <w:rPr>
          <w:rFonts w:ascii="Arial" w:hAnsi="Arial" w:cs="Arial"/>
          <w:b/>
          <w:bCs/>
          <w:sz w:val="20"/>
        </w:rPr>
        <w:t xml:space="preserve"> </w:t>
      </w:r>
      <w:r>
        <w:rPr>
          <w:rFonts w:ascii="Arial" w:hAnsi="Arial" w:cs="Arial"/>
          <w:b/>
          <w:bCs/>
          <w:sz w:val="20"/>
        </w:rPr>
        <w:tab/>
      </w:r>
    </w:p>
    <w:p w14:paraId="5AF38E1B" w14:textId="1D7B2BA1" w:rsidR="00BE59DE" w:rsidRDefault="009E41A3" w:rsidP="00690DF5">
      <w:pPr>
        <w:spacing w:after="0" w:line="240" w:lineRule="auto"/>
        <w:ind w:firstLine="720"/>
        <w:jc w:val="both"/>
        <w:rPr>
          <w:rFonts w:ascii="Arial" w:hAnsi="Arial" w:cs="Arial"/>
          <w:sz w:val="20"/>
          <w:szCs w:val="20"/>
        </w:rPr>
      </w:pPr>
      <w:r w:rsidRPr="009E41A3">
        <w:rPr>
          <w:rFonts w:ascii="Arial" w:hAnsi="Arial" w:cs="Arial"/>
          <w:sz w:val="20"/>
        </w:rPr>
        <w:t xml:space="preserve">Table 8 </w:t>
      </w:r>
      <w:r w:rsidR="00690DF5" w:rsidRPr="008430ED">
        <w:rPr>
          <w:rFonts w:ascii="Arial" w:hAnsi="Arial" w:cs="Arial"/>
          <w:bCs/>
          <w:sz w:val="20"/>
          <w:szCs w:val="20"/>
        </w:rPr>
        <w:t>presents the results of the level of collection practices in terms of manpower, which are very evident (</w:t>
      </w:r>
      <w:r w:rsidR="00690DF5" w:rsidRPr="008430ED">
        <w:rPr>
          <w:rFonts w:ascii="Arial" w:hAnsi="Arial" w:cs="Arial"/>
          <w:color w:val="4D5156"/>
          <w:sz w:val="20"/>
          <w:szCs w:val="20"/>
          <w:shd w:val="clear" w:color="auto" w:fill="FFFFFF"/>
        </w:rPr>
        <w:t>x̄</w:t>
      </w:r>
      <w:r w:rsidR="00690DF5" w:rsidRPr="008430ED">
        <w:rPr>
          <w:rFonts w:ascii="Arial" w:hAnsi="Arial" w:cs="Arial"/>
          <w:bCs/>
          <w:sz w:val="20"/>
          <w:szCs w:val="20"/>
        </w:rPr>
        <w:t xml:space="preserve"> = 4.46). </w:t>
      </w:r>
      <w:r w:rsidR="00690DF5" w:rsidRPr="008430ED">
        <w:rPr>
          <w:rFonts w:ascii="Arial" w:hAnsi="Arial" w:cs="Arial"/>
          <w:sz w:val="20"/>
          <w:szCs w:val="20"/>
        </w:rPr>
        <w:t xml:space="preserve">This implies that home appliance dealers in </w:t>
      </w:r>
      <w:proofErr w:type="spellStart"/>
      <w:r w:rsidR="00690DF5" w:rsidRPr="008430ED">
        <w:rPr>
          <w:rFonts w:ascii="Arial" w:hAnsi="Arial" w:cs="Arial"/>
          <w:sz w:val="20"/>
          <w:szCs w:val="20"/>
        </w:rPr>
        <w:t>Cateel</w:t>
      </w:r>
      <w:proofErr w:type="spellEnd"/>
      <w:r w:rsidR="00690DF5" w:rsidRPr="008430ED">
        <w:rPr>
          <w:rFonts w:ascii="Arial" w:hAnsi="Arial" w:cs="Arial"/>
          <w:sz w:val="20"/>
          <w:szCs w:val="20"/>
        </w:rPr>
        <w:t xml:space="preserve"> consistently and reliably ensure their collection agents exhibit professionalism, provide clear explanations of loan terms, conditions, and repayment options, and create a comfortable environment for customers when discussing repayment challenges, reflecting a highly effective and professional approach to manpower in the collection process</w:t>
      </w:r>
    </w:p>
    <w:p w14:paraId="1D3C270A" w14:textId="77777777" w:rsidR="003E40B6" w:rsidRDefault="003E40B6" w:rsidP="003E40B6">
      <w:pPr>
        <w:spacing w:after="0" w:line="240" w:lineRule="auto"/>
        <w:ind w:firstLine="720"/>
        <w:jc w:val="both"/>
        <w:rPr>
          <w:rFonts w:ascii="Arial" w:hAnsi="Arial" w:cs="Arial"/>
          <w:bCs/>
          <w:sz w:val="20"/>
          <w:szCs w:val="20"/>
        </w:rPr>
      </w:pPr>
    </w:p>
    <w:p w14:paraId="3F632C4E" w14:textId="5B671922" w:rsidR="00690DF5" w:rsidRDefault="00690DF5" w:rsidP="003E40B6">
      <w:pPr>
        <w:spacing w:after="0" w:line="240" w:lineRule="auto"/>
        <w:ind w:firstLine="720"/>
        <w:jc w:val="both"/>
        <w:rPr>
          <w:rFonts w:ascii="Arial" w:hAnsi="Arial" w:cs="Arial"/>
          <w:sz w:val="20"/>
          <w:szCs w:val="20"/>
        </w:rPr>
      </w:pPr>
      <w:r w:rsidRPr="008430ED">
        <w:rPr>
          <w:rFonts w:ascii="Arial" w:hAnsi="Arial" w:cs="Arial"/>
          <w:bCs/>
          <w:sz w:val="20"/>
          <w:szCs w:val="20"/>
        </w:rPr>
        <w:t xml:space="preserve">According to </w:t>
      </w:r>
      <w:r w:rsidRPr="008430ED">
        <w:rPr>
          <w:rFonts w:ascii="Arial" w:hAnsi="Arial" w:cs="Arial"/>
          <w:sz w:val="20"/>
          <w:szCs w:val="20"/>
        </w:rPr>
        <w:t xml:space="preserve">Saha et al. (2016), knowledgeable personnel contribute to accurate risk assessments, thereby reducing the likelihood of lending to high-risk borrowers. </w:t>
      </w:r>
      <w:r w:rsidRPr="008430ED">
        <w:rPr>
          <w:rFonts w:ascii="Arial" w:hAnsi="Arial" w:cs="Arial"/>
          <w:bCs/>
          <w:sz w:val="20"/>
          <w:szCs w:val="20"/>
        </w:rPr>
        <w:t xml:space="preserve">Moreover, </w:t>
      </w:r>
      <w:proofErr w:type="spellStart"/>
      <w:r w:rsidRPr="008430ED">
        <w:rPr>
          <w:rFonts w:ascii="Arial" w:hAnsi="Arial" w:cs="Arial"/>
          <w:sz w:val="20"/>
          <w:szCs w:val="20"/>
        </w:rPr>
        <w:t>Gemechu</w:t>
      </w:r>
      <w:proofErr w:type="spellEnd"/>
      <w:r w:rsidRPr="008430ED">
        <w:rPr>
          <w:rFonts w:ascii="Arial" w:hAnsi="Arial" w:cs="Arial"/>
          <w:sz w:val="20"/>
          <w:szCs w:val="20"/>
        </w:rPr>
        <w:t xml:space="preserve"> (2018) stated that skilled staff can effectively evaluate creditworthiness, making data-driven decisions to manage risk</w:t>
      </w:r>
    </w:p>
    <w:p w14:paraId="24944B89" w14:textId="77777777" w:rsidR="003E40B6" w:rsidRDefault="003E40B6" w:rsidP="003E40B6">
      <w:pPr>
        <w:spacing w:after="0" w:line="240" w:lineRule="auto"/>
        <w:ind w:firstLine="720"/>
        <w:jc w:val="both"/>
        <w:rPr>
          <w:rFonts w:ascii="Arial" w:hAnsi="Arial" w:cs="Arial"/>
          <w:sz w:val="20"/>
          <w:szCs w:val="20"/>
        </w:rPr>
      </w:pPr>
    </w:p>
    <w:p w14:paraId="78B08CD7" w14:textId="77777777" w:rsidR="003E40B6" w:rsidRDefault="003E40B6" w:rsidP="003E40B6">
      <w:pPr>
        <w:spacing w:after="0" w:line="240" w:lineRule="auto"/>
        <w:ind w:firstLine="720"/>
        <w:jc w:val="both"/>
        <w:rPr>
          <w:rFonts w:ascii="Arial" w:hAnsi="Arial" w:cs="Arial"/>
          <w:sz w:val="20"/>
          <w:szCs w:val="20"/>
        </w:rPr>
      </w:pPr>
    </w:p>
    <w:p w14:paraId="5A84E85B" w14:textId="77777777" w:rsidR="003E40B6" w:rsidRDefault="003E40B6" w:rsidP="003E40B6">
      <w:pPr>
        <w:spacing w:after="0" w:line="240" w:lineRule="auto"/>
        <w:ind w:firstLine="720"/>
        <w:jc w:val="both"/>
        <w:rPr>
          <w:rFonts w:ascii="Arial" w:hAnsi="Arial" w:cs="Arial"/>
          <w:sz w:val="20"/>
          <w:szCs w:val="20"/>
        </w:rPr>
      </w:pPr>
    </w:p>
    <w:p w14:paraId="48B077D8" w14:textId="77777777" w:rsidR="003E40B6" w:rsidRDefault="003E40B6" w:rsidP="00690DF5">
      <w:pPr>
        <w:spacing w:after="0" w:line="240" w:lineRule="auto"/>
        <w:ind w:firstLine="720"/>
        <w:jc w:val="both"/>
        <w:rPr>
          <w:rFonts w:ascii="Arial" w:hAnsi="Arial" w:cs="Arial"/>
          <w:sz w:val="20"/>
          <w:szCs w:val="20"/>
        </w:rPr>
      </w:pPr>
    </w:p>
    <w:p w14:paraId="7D0E8EED" w14:textId="722831D9" w:rsidR="00690DF5" w:rsidRDefault="003E40B6" w:rsidP="003E40B6">
      <w:pPr>
        <w:spacing w:after="0" w:line="240" w:lineRule="auto"/>
        <w:jc w:val="both"/>
        <w:rPr>
          <w:rFonts w:ascii="Arial" w:hAnsi="Arial" w:cs="Arial"/>
          <w:sz w:val="20"/>
          <w:szCs w:val="20"/>
        </w:rPr>
      </w:pPr>
      <w:r w:rsidRPr="00620CF3">
        <w:rPr>
          <w:rFonts w:ascii="Arial" w:hAnsi="Arial" w:cs="Arial"/>
          <w:b/>
          <w:bCs/>
          <w:sz w:val="20"/>
          <w:szCs w:val="20"/>
        </w:rPr>
        <w:t>Table 9</w:t>
      </w:r>
      <w:r w:rsidR="00620CF3" w:rsidRPr="00620CF3">
        <w:rPr>
          <w:rFonts w:ascii="Arial" w:hAnsi="Arial" w:cs="Arial"/>
          <w:b/>
          <w:bCs/>
          <w:sz w:val="20"/>
          <w:szCs w:val="20"/>
        </w:rPr>
        <w:t>.</w:t>
      </w:r>
      <w:r w:rsidR="00620CF3">
        <w:rPr>
          <w:rFonts w:ascii="Arial" w:hAnsi="Arial" w:cs="Arial"/>
          <w:sz w:val="20"/>
          <w:szCs w:val="20"/>
        </w:rPr>
        <w:t xml:space="preserve"> Level of </w:t>
      </w:r>
      <w:r>
        <w:rPr>
          <w:rFonts w:ascii="Arial" w:hAnsi="Arial" w:cs="Arial"/>
          <w:sz w:val="20"/>
          <w:szCs w:val="20"/>
        </w:rPr>
        <w:t>c</w:t>
      </w:r>
      <w:r w:rsidRPr="008430ED">
        <w:rPr>
          <w:rFonts w:ascii="Arial" w:hAnsi="Arial" w:cs="Arial"/>
          <w:sz w:val="20"/>
          <w:szCs w:val="20"/>
        </w:rPr>
        <w:t xml:space="preserve">ollection </w:t>
      </w:r>
      <w:r>
        <w:rPr>
          <w:rFonts w:ascii="Arial" w:hAnsi="Arial" w:cs="Arial"/>
          <w:sz w:val="20"/>
          <w:szCs w:val="20"/>
        </w:rPr>
        <w:t>p</w:t>
      </w:r>
      <w:r w:rsidRPr="008430ED">
        <w:rPr>
          <w:rFonts w:ascii="Arial" w:hAnsi="Arial" w:cs="Arial"/>
          <w:sz w:val="20"/>
          <w:szCs w:val="20"/>
        </w:rPr>
        <w:t xml:space="preserve">ractices in </w:t>
      </w:r>
      <w:r>
        <w:rPr>
          <w:rFonts w:ascii="Arial" w:hAnsi="Arial" w:cs="Arial"/>
          <w:sz w:val="20"/>
          <w:szCs w:val="20"/>
        </w:rPr>
        <w:t>t</w:t>
      </w:r>
      <w:r w:rsidRPr="008430ED">
        <w:rPr>
          <w:rFonts w:ascii="Arial" w:hAnsi="Arial" w:cs="Arial"/>
          <w:sz w:val="20"/>
          <w:szCs w:val="20"/>
        </w:rPr>
        <w:t>erms of Procedure</w:t>
      </w:r>
    </w:p>
    <w:tbl>
      <w:tblPr>
        <w:tblStyle w:val="PlainTable21"/>
        <w:tblW w:w="8275" w:type="dxa"/>
        <w:tblLook w:val="04A0" w:firstRow="1" w:lastRow="0" w:firstColumn="1" w:lastColumn="0" w:noHBand="0" w:noVBand="1"/>
      </w:tblPr>
      <w:tblGrid>
        <w:gridCol w:w="3397"/>
        <w:gridCol w:w="884"/>
        <w:gridCol w:w="1744"/>
        <w:gridCol w:w="2250"/>
      </w:tblGrid>
      <w:tr w:rsidR="00690DF5" w:rsidRPr="00690DF5" w14:paraId="2EADF840"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28E06D4A" w14:textId="77777777" w:rsidR="00690DF5" w:rsidRPr="003E40B6" w:rsidRDefault="00690DF5" w:rsidP="00396572">
            <w:pPr>
              <w:jc w:val="center"/>
              <w:rPr>
                <w:rFonts w:ascii="Arial" w:hAnsi="Arial" w:cs="Arial"/>
                <w:color w:val="222222"/>
                <w:sz w:val="20"/>
                <w:szCs w:val="20"/>
                <w:shd w:val="clear" w:color="auto" w:fill="FFFFFF"/>
              </w:rPr>
            </w:pPr>
            <w:r w:rsidRPr="003E40B6">
              <w:rPr>
                <w:rFonts w:ascii="Arial" w:hAnsi="Arial" w:cs="Arial"/>
                <w:sz w:val="20"/>
                <w:szCs w:val="20"/>
              </w:rPr>
              <w:t>Description</w:t>
            </w:r>
          </w:p>
        </w:tc>
        <w:tc>
          <w:tcPr>
            <w:tcW w:w="884" w:type="dxa"/>
            <w:tcBorders>
              <w:top w:val="single" w:sz="12" w:space="0" w:color="auto"/>
            </w:tcBorders>
          </w:tcPr>
          <w:p w14:paraId="44CD854D" w14:textId="77777777" w:rsidR="00690DF5" w:rsidRPr="003E40B6" w:rsidRDefault="00690DF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3E40B6">
              <w:rPr>
                <w:rFonts w:ascii="Arial" w:hAnsi="Arial" w:cs="Arial"/>
                <w:sz w:val="20"/>
                <w:szCs w:val="20"/>
              </w:rPr>
              <w:t>Mean</w:t>
            </w:r>
          </w:p>
        </w:tc>
        <w:tc>
          <w:tcPr>
            <w:tcW w:w="1744" w:type="dxa"/>
            <w:tcBorders>
              <w:top w:val="single" w:sz="12" w:space="0" w:color="auto"/>
            </w:tcBorders>
          </w:tcPr>
          <w:p w14:paraId="1B7FB783" w14:textId="77777777" w:rsidR="00690DF5" w:rsidRPr="003E40B6" w:rsidRDefault="00690DF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3E40B6">
              <w:rPr>
                <w:rFonts w:ascii="Arial" w:hAnsi="Arial" w:cs="Arial"/>
                <w:sz w:val="20"/>
                <w:szCs w:val="20"/>
              </w:rPr>
              <w:t>Std. deviation</w:t>
            </w:r>
          </w:p>
        </w:tc>
        <w:tc>
          <w:tcPr>
            <w:tcW w:w="2250" w:type="dxa"/>
            <w:tcBorders>
              <w:top w:val="single" w:sz="12" w:space="0" w:color="auto"/>
            </w:tcBorders>
          </w:tcPr>
          <w:p w14:paraId="0DAFDC95" w14:textId="77777777" w:rsidR="00690DF5" w:rsidRPr="003E40B6" w:rsidRDefault="00690DF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3E40B6">
              <w:rPr>
                <w:rFonts w:ascii="Arial" w:hAnsi="Arial" w:cs="Arial"/>
                <w:sz w:val="20"/>
                <w:szCs w:val="20"/>
              </w:rPr>
              <w:t>Descriptive Level</w:t>
            </w:r>
          </w:p>
        </w:tc>
      </w:tr>
      <w:tr w:rsidR="003E40B6" w:rsidRPr="00690DF5" w14:paraId="734E2BD4"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3198AF6" w14:textId="49F4DC59" w:rsidR="003E40B6" w:rsidRPr="003E40B6" w:rsidRDefault="003E40B6" w:rsidP="003E40B6">
            <w:pPr>
              <w:rPr>
                <w:rFonts w:ascii="Arial" w:hAnsi="Arial" w:cs="Arial"/>
                <w:b w:val="0"/>
                <w:bCs w:val="0"/>
                <w:color w:val="222222"/>
                <w:sz w:val="20"/>
                <w:szCs w:val="20"/>
                <w:shd w:val="clear" w:color="auto" w:fill="FFFFFF"/>
              </w:rPr>
            </w:pPr>
            <w:r w:rsidRPr="003E40B6">
              <w:rPr>
                <w:rFonts w:ascii="Arial" w:hAnsi="Arial" w:cs="Arial"/>
                <w:b w:val="0"/>
                <w:bCs w:val="0"/>
                <w:sz w:val="20"/>
                <w:szCs w:val="20"/>
              </w:rPr>
              <w:t>Dealers offer incentives or discounts to customers for early or on-time loan payments.</w:t>
            </w:r>
          </w:p>
        </w:tc>
        <w:tc>
          <w:tcPr>
            <w:tcW w:w="884" w:type="dxa"/>
            <w:vAlign w:val="center"/>
          </w:tcPr>
          <w:p w14:paraId="65F4E5CB" w14:textId="52E20FF7" w:rsidR="003E40B6" w:rsidRPr="003E40B6" w:rsidRDefault="003E40B6" w:rsidP="003E40B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Times New Roman" w:hAnsi="Arial" w:cs="Arial"/>
                <w:color w:val="000000"/>
                <w:sz w:val="20"/>
                <w:szCs w:val="20"/>
              </w:rPr>
              <w:t>4.43</w:t>
            </w:r>
          </w:p>
        </w:tc>
        <w:tc>
          <w:tcPr>
            <w:tcW w:w="1744" w:type="dxa"/>
            <w:vAlign w:val="center"/>
          </w:tcPr>
          <w:p w14:paraId="7F208232" w14:textId="0E1FF162" w:rsidR="003E40B6" w:rsidRPr="003E40B6" w:rsidRDefault="003E40B6" w:rsidP="003E40B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Times New Roman" w:hAnsi="Arial" w:cs="Arial"/>
                <w:color w:val="000000"/>
                <w:sz w:val="20"/>
                <w:szCs w:val="20"/>
              </w:rPr>
              <w:t>0.66</w:t>
            </w:r>
          </w:p>
        </w:tc>
        <w:tc>
          <w:tcPr>
            <w:tcW w:w="2250" w:type="dxa"/>
          </w:tcPr>
          <w:p w14:paraId="031FD9A0" w14:textId="77777777" w:rsidR="003E40B6" w:rsidRPr="003E40B6" w:rsidRDefault="003E40B6" w:rsidP="003E40B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4A6A83C6" w14:textId="77EC8F7C" w:rsidR="003E40B6" w:rsidRPr="003E40B6" w:rsidRDefault="003E40B6" w:rsidP="003E40B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Calibri" w:hAnsi="Arial" w:cs="Arial"/>
                <w:sz w:val="20"/>
                <w:szCs w:val="20"/>
              </w:rPr>
              <w:t>Very Evident</w:t>
            </w:r>
          </w:p>
        </w:tc>
      </w:tr>
      <w:tr w:rsidR="003E40B6" w:rsidRPr="00690DF5" w14:paraId="5AA571AE"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18F4493F" w14:textId="43BF862E" w:rsidR="003E40B6" w:rsidRPr="003E40B6" w:rsidRDefault="003E40B6" w:rsidP="003E40B6">
            <w:pPr>
              <w:rPr>
                <w:rFonts w:ascii="Arial" w:hAnsi="Arial" w:cs="Arial"/>
                <w:b w:val="0"/>
                <w:bCs w:val="0"/>
                <w:color w:val="222222"/>
                <w:sz w:val="20"/>
                <w:szCs w:val="20"/>
                <w:shd w:val="clear" w:color="auto" w:fill="FFFFFF"/>
              </w:rPr>
            </w:pPr>
            <w:r w:rsidRPr="003E40B6">
              <w:rPr>
                <w:rFonts w:ascii="Arial" w:hAnsi="Arial" w:cs="Arial"/>
                <w:b w:val="0"/>
                <w:bCs w:val="0"/>
                <w:sz w:val="20"/>
                <w:szCs w:val="20"/>
              </w:rPr>
              <w:t>Dealers’ collection agents consistently follow up with customers until payments are brought up to date.</w:t>
            </w:r>
          </w:p>
        </w:tc>
        <w:tc>
          <w:tcPr>
            <w:tcW w:w="884" w:type="dxa"/>
            <w:vAlign w:val="center"/>
          </w:tcPr>
          <w:p w14:paraId="6EAAB8A5" w14:textId="70E72DDB" w:rsidR="003E40B6" w:rsidRPr="003E40B6" w:rsidRDefault="003E40B6" w:rsidP="003E40B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Times New Roman" w:hAnsi="Arial" w:cs="Arial"/>
                <w:color w:val="000000"/>
                <w:sz w:val="20"/>
                <w:szCs w:val="20"/>
              </w:rPr>
              <w:t>4.29</w:t>
            </w:r>
          </w:p>
        </w:tc>
        <w:tc>
          <w:tcPr>
            <w:tcW w:w="1744" w:type="dxa"/>
            <w:vAlign w:val="center"/>
          </w:tcPr>
          <w:p w14:paraId="267A8C14" w14:textId="2D4E040D" w:rsidR="003E40B6" w:rsidRPr="003E40B6" w:rsidRDefault="003E40B6" w:rsidP="003E40B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Times New Roman" w:hAnsi="Arial" w:cs="Arial"/>
                <w:color w:val="000000"/>
                <w:sz w:val="20"/>
                <w:szCs w:val="20"/>
              </w:rPr>
              <w:t>0.69</w:t>
            </w:r>
          </w:p>
        </w:tc>
        <w:tc>
          <w:tcPr>
            <w:tcW w:w="2250" w:type="dxa"/>
          </w:tcPr>
          <w:p w14:paraId="4978608D" w14:textId="77777777" w:rsidR="003E40B6" w:rsidRPr="003E40B6" w:rsidRDefault="003E40B6" w:rsidP="003E40B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684FDB85" w14:textId="2A1CED59" w:rsidR="003E40B6" w:rsidRPr="003E40B6" w:rsidRDefault="003E40B6" w:rsidP="003E40B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Calibri" w:hAnsi="Arial" w:cs="Arial"/>
                <w:sz w:val="20"/>
                <w:szCs w:val="20"/>
              </w:rPr>
              <w:t>Very Evident</w:t>
            </w:r>
          </w:p>
        </w:tc>
      </w:tr>
      <w:tr w:rsidR="003E40B6" w:rsidRPr="00690DF5" w14:paraId="3742C1D5"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806FD6D" w14:textId="5EA0591D" w:rsidR="003E40B6" w:rsidRPr="003E40B6" w:rsidRDefault="003E40B6" w:rsidP="003E40B6">
            <w:pPr>
              <w:rPr>
                <w:rFonts w:ascii="Arial" w:hAnsi="Arial" w:cs="Arial"/>
                <w:b w:val="0"/>
                <w:bCs w:val="0"/>
                <w:color w:val="222222"/>
                <w:sz w:val="20"/>
                <w:szCs w:val="20"/>
                <w:shd w:val="clear" w:color="auto" w:fill="FFFFFF"/>
              </w:rPr>
            </w:pPr>
            <w:r w:rsidRPr="003E40B6">
              <w:rPr>
                <w:rFonts w:ascii="Arial" w:hAnsi="Arial" w:cs="Arial"/>
                <w:b w:val="0"/>
                <w:bCs w:val="0"/>
                <w:sz w:val="20"/>
                <w:szCs w:val="20"/>
              </w:rPr>
              <w:t>Dealers have clear and transparent procedures for managing late payments</w:t>
            </w:r>
          </w:p>
        </w:tc>
        <w:tc>
          <w:tcPr>
            <w:tcW w:w="884" w:type="dxa"/>
            <w:vAlign w:val="center"/>
          </w:tcPr>
          <w:p w14:paraId="5F34F093" w14:textId="158EBAF3" w:rsidR="003E40B6" w:rsidRPr="003E40B6" w:rsidRDefault="003E40B6" w:rsidP="003E40B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Times New Roman" w:hAnsi="Arial" w:cs="Arial"/>
                <w:color w:val="000000"/>
                <w:sz w:val="20"/>
                <w:szCs w:val="20"/>
              </w:rPr>
              <w:t>4.39</w:t>
            </w:r>
          </w:p>
        </w:tc>
        <w:tc>
          <w:tcPr>
            <w:tcW w:w="1744" w:type="dxa"/>
            <w:vAlign w:val="center"/>
          </w:tcPr>
          <w:p w14:paraId="0CFE172A" w14:textId="5C1289DB" w:rsidR="003E40B6" w:rsidRPr="003E40B6" w:rsidRDefault="003E40B6" w:rsidP="003E40B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Times New Roman" w:hAnsi="Arial" w:cs="Arial"/>
                <w:color w:val="000000"/>
                <w:sz w:val="20"/>
                <w:szCs w:val="20"/>
              </w:rPr>
              <w:t>0.62</w:t>
            </w:r>
          </w:p>
        </w:tc>
        <w:tc>
          <w:tcPr>
            <w:tcW w:w="2250" w:type="dxa"/>
          </w:tcPr>
          <w:p w14:paraId="768ABF66" w14:textId="77777777" w:rsidR="003E40B6" w:rsidRPr="003E40B6" w:rsidRDefault="003E40B6" w:rsidP="003E40B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370789EB" w14:textId="43DDAC55" w:rsidR="003E40B6" w:rsidRPr="003E40B6" w:rsidRDefault="003E40B6" w:rsidP="003E40B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3E40B6">
              <w:rPr>
                <w:rFonts w:ascii="Arial" w:eastAsia="Calibri" w:hAnsi="Arial" w:cs="Arial"/>
                <w:sz w:val="20"/>
                <w:szCs w:val="20"/>
              </w:rPr>
              <w:t>Very Evident</w:t>
            </w:r>
          </w:p>
        </w:tc>
      </w:tr>
      <w:tr w:rsidR="003E40B6" w:rsidRPr="003E40B6" w14:paraId="7D98D671" w14:textId="77777777" w:rsidTr="003E40B6">
        <w:trPr>
          <w:trHeight w:val="17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1712CA78" w14:textId="70164BAA" w:rsidR="003E40B6" w:rsidRPr="003E40B6" w:rsidRDefault="003E40B6" w:rsidP="003E40B6">
            <w:pPr>
              <w:jc w:val="center"/>
              <w:rPr>
                <w:rFonts w:ascii="Arial" w:hAnsi="Arial" w:cs="Arial"/>
                <w:color w:val="222222"/>
                <w:sz w:val="20"/>
                <w:szCs w:val="20"/>
                <w:shd w:val="clear" w:color="auto" w:fill="FFFFFF"/>
              </w:rPr>
            </w:pPr>
            <w:r w:rsidRPr="003E40B6">
              <w:rPr>
                <w:rFonts w:ascii="Arial" w:eastAsia="Times New Roman" w:hAnsi="Arial" w:cs="Arial"/>
                <w:color w:val="000000"/>
                <w:sz w:val="20"/>
                <w:szCs w:val="20"/>
              </w:rPr>
              <w:t>Average</w:t>
            </w:r>
          </w:p>
        </w:tc>
        <w:tc>
          <w:tcPr>
            <w:tcW w:w="884" w:type="dxa"/>
            <w:tcBorders>
              <w:bottom w:val="single" w:sz="12" w:space="0" w:color="auto"/>
            </w:tcBorders>
            <w:vAlign w:val="center"/>
          </w:tcPr>
          <w:p w14:paraId="46EE1903" w14:textId="19A58B41" w:rsidR="003E40B6" w:rsidRPr="003E40B6" w:rsidRDefault="003E40B6" w:rsidP="003E4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3E40B6">
              <w:rPr>
                <w:rFonts w:ascii="Arial" w:eastAsia="Times New Roman" w:hAnsi="Arial" w:cs="Arial"/>
                <w:b/>
                <w:bCs/>
                <w:color w:val="000000"/>
                <w:sz w:val="20"/>
                <w:szCs w:val="20"/>
              </w:rPr>
              <w:t>4.37</w:t>
            </w:r>
          </w:p>
        </w:tc>
        <w:tc>
          <w:tcPr>
            <w:tcW w:w="1744" w:type="dxa"/>
            <w:tcBorders>
              <w:bottom w:val="single" w:sz="12" w:space="0" w:color="auto"/>
            </w:tcBorders>
            <w:vAlign w:val="center"/>
          </w:tcPr>
          <w:p w14:paraId="37426381" w14:textId="5A146BCE" w:rsidR="003E40B6" w:rsidRPr="003E40B6" w:rsidRDefault="003E40B6" w:rsidP="003E4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3E40B6">
              <w:rPr>
                <w:rFonts w:ascii="Arial" w:eastAsia="Times New Roman" w:hAnsi="Arial" w:cs="Arial"/>
                <w:b/>
                <w:bCs/>
                <w:color w:val="000000"/>
                <w:sz w:val="20"/>
                <w:szCs w:val="20"/>
              </w:rPr>
              <w:t>0.58</w:t>
            </w:r>
          </w:p>
        </w:tc>
        <w:tc>
          <w:tcPr>
            <w:tcW w:w="2250" w:type="dxa"/>
            <w:tcBorders>
              <w:bottom w:val="single" w:sz="12" w:space="0" w:color="auto"/>
            </w:tcBorders>
            <w:vAlign w:val="center"/>
          </w:tcPr>
          <w:p w14:paraId="08F0166C" w14:textId="1CB832FC" w:rsidR="003E40B6" w:rsidRPr="003E40B6" w:rsidRDefault="003E40B6" w:rsidP="003E4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3E40B6">
              <w:rPr>
                <w:rFonts w:ascii="Arial" w:eastAsia="Calibri" w:hAnsi="Arial" w:cs="Arial"/>
                <w:b/>
                <w:bCs/>
                <w:sz w:val="20"/>
                <w:szCs w:val="20"/>
              </w:rPr>
              <w:t>Very Evident</w:t>
            </w:r>
          </w:p>
        </w:tc>
      </w:tr>
    </w:tbl>
    <w:p w14:paraId="63AF9EAD" w14:textId="77777777" w:rsidR="003E40B6" w:rsidRDefault="003E40B6" w:rsidP="003E40B6">
      <w:pPr>
        <w:jc w:val="both"/>
        <w:rPr>
          <w:rFonts w:ascii="Arial" w:hAnsi="Arial" w:cs="Arial"/>
          <w:color w:val="222222"/>
          <w:sz w:val="20"/>
          <w:szCs w:val="20"/>
          <w:shd w:val="clear" w:color="auto" w:fill="FFFFFF"/>
        </w:rPr>
      </w:pPr>
    </w:p>
    <w:p w14:paraId="542FAF09" w14:textId="3D97C656" w:rsidR="003E40B6" w:rsidRDefault="003E40B6" w:rsidP="003E40B6">
      <w:pPr>
        <w:ind w:firstLine="720"/>
        <w:jc w:val="both"/>
        <w:rPr>
          <w:rFonts w:ascii="Arial" w:hAnsi="Arial" w:cs="Arial"/>
          <w:sz w:val="20"/>
          <w:szCs w:val="20"/>
        </w:rPr>
      </w:pPr>
      <w:r w:rsidRPr="00DA3AFA">
        <w:rPr>
          <w:rFonts w:ascii="Arial" w:hAnsi="Arial" w:cs="Arial"/>
          <w:color w:val="222222"/>
          <w:sz w:val="20"/>
          <w:szCs w:val="20"/>
          <w:shd w:val="clear" w:color="auto" w:fill="FFFFFF"/>
        </w:rPr>
        <w:t xml:space="preserve">Table </w:t>
      </w:r>
      <w:r>
        <w:rPr>
          <w:rFonts w:ascii="Arial" w:hAnsi="Arial" w:cs="Arial"/>
          <w:color w:val="222222"/>
          <w:sz w:val="20"/>
          <w:szCs w:val="20"/>
          <w:shd w:val="clear" w:color="auto" w:fill="FFFFFF"/>
        </w:rPr>
        <w:t>9</w:t>
      </w:r>
      <w:r w:rsidRPr="00DA3AFA">
        <w:rPr>
          <w:rFonts w:ascii="Arial" w:hAnsi="Arial" w:cs="Arial"/>
          <w:color w:val="222222"/>
          <w:sz w:val="20"/>
          <w:szCs w:val="20"/>
          <w:shd w:val="clear" w:color="auto" w:fill="FFFFFF"/>
        </w:rPr>
        <w:t xml:space="preserve"> shows that the results of the level of collection practices in terms of procedure are very evident </w:t>
      </w:r>
      <w:r w:rsidRPr="00DA3AFA">
        <w:rPr>
          <w:rFonts w:ascii="Arial" w:hAnsi="Arial" w:cs="Arial"/>
          <w:bCs/>
          <w:sz w:val="20"/>
          <w:szCs w:val="20"/>
        </w:rPr>
        <w:t>(</w:t>
      </w:r>
      <w:r w:rsidRPr="00DA3AFA">
        <w:rPr>
          <w:rFonts w:ascii="Arial" w:hAnsi="Arial" w:cs="Arial"/>
          <w:color w:val="4D5156"/>
          <w:sz w:val="20"/>
          <w:szCs w:val="20"/>
          <w:shd w:val="clear" w:color="auto" w:fill="FFFFFF"/>
        </w:rPr>
        <w:t>x̄</w:t>
      </w:r>
      <w:r w:rsidRPr="00DA3AFA">
        <w:rPr>
          <w:rFonts w:ascii="Arial" w:hAnsi="Arial" w:cs="Arial"/>
          <w:color w:val="222222"/>
          <w:sz w:val="20"/>
          <w:szCs w:val="20"/>
          <w:shd w:val="clear" w:color="auto" w:fill="FFFFFF"/>
        </w:rPr>
        <w:t xml:space="preserve"> = 4.37).</w:t>
      </w:r>
      <w:r w:rsidRPr="00DA3AFA">
        <w:rPr>
          <w:rFonts w:ascii="Arial" w:hAnsi="Arial" w:cs="Arial"/>
          <w:sz w:val="20"/>
          <w:szCs w:val="20"/>
        </w:rPr>
        <w:t xml:space="preserve"> This suggests that home appliance dealers in </w:t>
      </w:r>
      <w:proofErr w:type="spellStart"/>
      <w:r w:rsidRPr="00DA3AFA">
        <w:rPr>
          <w:rFonts w:ascii="Arial" w:hAnsi="Arial" w:cs="Arial"/>
          <w:sz w:val="20"/>
          <w:szCs w:val="20"/>
        </w:rPr>
        <w:t>Cateel</w:t>
      </w:r>
      <w:proofErr w:type="spellEnd"/>
      <w:r w:rsidRPr="00DA3AFA">
        <w:rPr>
          <w:rFonts w:ascii="Arial" w:hAnsi="Arial" w:cs="Arial"/>
          <w:sz w:val="20"/>
          <w:szCs w:val="20"/>
        </w:rPr>
        <w:t xml:space="preserve"> consistently and reliably offer incentives or discounts for early or on-time payments, ensure collection agents follow up diligently until payments are current, and maintain clear and transparent procedures for managing late payments, reflecting a highly structured and effective approach to procedural aspects of loan collection.</w:t>
      </w:r>
    </w:p>
    <w:p w14:paraId="4958C0E5" w14:textId="3996405B" w:rsidR="00690DF5" w:rsidRDefault="003E40B6" w:rsidP="003E40B6">
      <w:pPr>
        <w:ind w:firstLine="720"/>
        <w:jc w:val="both"/>
        <w:rPr>
          <w:rFonts w:ascii="Arial" w:hAnsi="Arial" w:cs="Arial"/>
          <w:sz w:val="20"/>
          <w:szCs w:val="20"/>
        </w:rPr>
      </w:pPr>
      <w:r w:rsidRPr="00DA3AFA">
        <w:rPr>
          <w:rFonts w:ascii="Arial" w:hAnsi="Arial" w:cs="Arial"/>
          <w:sz w:val="20"/>
          <w:szCs w:val="20"/>
        </w:rPr>
        <w:lastRenderedPageBreak/>
        <w:t xml:space="preserve">According to </w:t>
      </w:r>
      <w:proofErr w:type="spellStart"/>
      <w:r w:rsidRPr="00DA3AFA">
        <w:rPr>
          <w:rFonts w:ascii="Arial" w:hAnsi="Arial" w:cs="Arial"/>
          <w:sz w:val="20"/>
          <w:szCs w:val="20"/>
        </w:rPr>
        <w:t>Makori</w:t>
      </w:r>
      <w:proofErr w:type="spellEnd"/>
      <w:r w:rsidRPr="00DA3AFA">
        <w:rPr>
          <w:rFonts w:ascii="Arial" w:hAnsi="Arial" w:cs="Arial"/>
          <w:sz w:val="20"/>
          <w:szCs w:val="20"/>
        </w:rPr>
        <w:t xml:space="preserve"> (2023), credit procedures ensure consistency in loan approval and management, thereby reinforcing Melton's Credit Risk theory, which posits that structured processes reduce risk exposure. </w:t>
      </w:r>
      <w:r w:rsidRPr="00DA3AFA">
        <w:rPr>
          <w:rFonts w:ascii="Arial" w:hAnsi="Arial" w:cs="Arial"/>
          <w:bCs/>
          <w:sz w:val="20"/>
          <w:szCs w:val="20"/>
        </w:rPr>
        <w:t>Also</w:t>
      </w:r>
      <w:r w:rsidRPr="00DA3AFA">
        <w:rPr>
          <w:rFonts w:ascii="Arial" w:hAnsi="Arial" w:cs="Arial"/>
          <w:sz w:val="20"/>
          <w:szCs w:val="20"/>
        </w:rPr>
        <w:t xml:space="preserve">, </w:t>
      </w:r>
      <w:proofErr w:type="spellStart"/>
      <w:r w:rsidRPr="00DA3AFA">
        <w:rPr>
          <w:rFonts w:ascii="Arial" w:hAnsi="Arial" w:cs="Arial"/>
          <w:sz w:val="20"/>
          <w:szCs w:val="20"/>
        </w:rPr>
        <w:t>Bundi</w:t>
      </w:r>
      <w:proofErr w:type="spellEnd"/>
      <w:r w:rsidRPr="00DA3AFA">
        <w:rPr>
          <w:rFonts w:ascii="Arial" w:hAnsi="Arial" w:cs="Arial"/>
          <w:sz w:val="20"/>
          <w:szCs w:val="20"/>
        </w:rPr>
        <w:t xml:space="preserve"> and </w:t>
      </w:r>
      <w:proofErr w:type="spellStart"/>
      <w:r w:rsidRPr="00DA3AFA">
        <w:rPr>
          <w:rFonts w:ascii="Arial" w:hAnsi="Arial" w:cs="Arial"/>
          <w:sz w:val="20"/>
          <w:szCs w:val="20"/>
        </w:rPr>
        <w:t>Ngali</w:t>
      </w:r>
      <w:proofErr w:type="spellEnd"/>
      <w:r w:rsidRPr="00DA3AFA">
        <w:rPr>
          <w:rFonts w:ascii="Arial" w:hAnsi="Arial" w:cs="Arial"/>
          <w:sz w:val="20"/>
          <w:szCs w:val="20"/>
        </w:rPr>
        <w:t xml:space="preserve"> (2021) stated that standardized procedures prevent arbitrary lending practices and enhance credit reliability</w:t>
      </w:r>
    </w:p>
    <w:p w14:paraId="0776FBA8" w14:textId="77777777" w:rsidR="003E40B6" w:rsidRDefault="003E40B6" w:rsidP="003E40B6">
      <w:pPr>
        <w:jc w:val="center"/>
        <w:rPr>
          <w:rFonts w:ascii="Arial" w:hAnsi="Arial" w:cs="Arial"/>
          <w:b/>
        </w:rPr>
      </w:pPr>
      <w:r w:rsidRPr="00046C78">
        <w:rPr>
          <w:rFonts w:ascii="Arial" w:hAnsi="Arial" w:cs="Arial"/>
          <w:b/>
        </w:rPr>
        <w:t xml:space="preserve">The level </w:t>
      </w:r>
      <w:bookmarkStart w:id="7" w:name="_Toc200367563"/>
      <w:r w:rsidRPr="00046C78">
        <w:rPr>
          <w:rFonts w:ascii="Arial" w:hAnsi="Arial" w:cs="Arial"/>
          <w:b/>
        </w:rPr>
        <w:t>of Loan Repayment</w:t>
      </w:r>
      <w:bookmarkEnd w:id="7"/>
    </w:p>
    <w:p w14:paraId="5CF82C44" w14:textId="2B016F6F" w:rsidR="004D11F1" w:rsidRPr="004D11F1" w:rsidRDefault="003E40B6" w:rsidP="004D11F1">
      <w:pPr>
        <w:pStyle w:val="NoSpacing"/>
        <w:rPr>
          <w:rFonts w:ascii="Arial" w:hAnsi="Arial" w:cs="Arial"/>
          <w:sz w:val="20"/>
          <w:szCs w:val="20"/>
        </w:rPr>
      </w:pPr>
      <w:r w:rsidRPr="00620CF3">
        <w:rPr>
          <w:rFonts w:ascii="Arial" w:hAnsi="Arial" w:cs="Arial"/>
          <w:b/>
          <w:bCs/>
          <w:sz w:val="20"/>
          <w:szCs w:val="20"/>
        </w:rPr>
        <w:t>Table 10</w:t>
      </w:r>
      <w:r w:rsidR="00620CF3">
        <w:rPr>
          <w:rFonts w:ascii="Arial" w:hAnsi="Arial" w:cs="Arial"/>
          <w:sz w:val="20"/>
          <w:szCs w:val="20"/>
        </w:rPr>
        <w:t xml:space="preserve">. </w:t>
      </w:r>
      <w:r w:rsidRPr="004D11F1">
        <w:rPr>
          <w:rFonts w:ascii="Arial" w:hAnsi="Arial" w:cs="Arial"/>
          <w:sz w:val="20"/>
          <w:szCs w:val="20"/>
        </w:rPr>
        <w:t>Level of Loan Repayment in Terms of Information about Loan Repayment</w:t>
      </w:r>
    </w:p>
    <w:tbl>
      <w:tblPr>
        <w:tblStyle w:val="PlainTable21"/>
        <w:tblW w:w="8275" w:type="dxa"/>
        <w:tblLook w:val="04A0" w:firstRow="1" w:lastRow="0" w:firstColumn="1" w:lastColumn="0" w:noHBand="0" w:noVBand="1"/>
      </w:tblPr>
      <w:tblGrid>
        <w:gridCol w:w="3397"/>
        <w:gridCol w:w="884"/>
        <w:gridCol w:w="1744"/>
        <w:gridCol w:w="2250"/>
      </w:tblGrid>
      <w:tr w:rsidR="004D11F1" w:rsidRPr="004D11F1" w14:paraId="5F830E91"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0BC6AA0B" w14:textId="77777777" w:rsidR="004D11F1" w:rsidRPr="004D11F1" w:rsidRDefault="004D11F1" w:rsidP="00396572">
            <w:pPr>
              <w:jc w:val="center"/>
              <w:rPr>
                <w:rFonts w:ascii="Arial" w:hAnsi="Arial" w:cs="Arial"/>
                <w:color w:val="222222"/>
                <w:sz w:val="20"/>
                <w:szCs w:val="20"/>
                <w:shd w:val="clear" w:color="auto" w:fill="FFFFFF"/>
              </w:rPr>
            </w:pPr>
            <w:r w:rsidRPr="004D11F1">
              <w:rPr>
                <w:rFonts w:ascii="Arial" w:hAnsi="Arial" w:cs="Arial"/>
                <w:sz w:val="20"/>
                <w:szCs w:val="20"/>
              </w:rPr>
              <w:t>Description</w:t>
            </w:r>
          </w:p>
        </w:tc>
        <w:tc>
          <w:tcPr>
            <w:tcW w:w="884" w:type="dxa"/>
            <w:tcBorders>
              <w:top w:val="single" w:sz="12" w:space="0" w:color="auto"/>
            </w:tcBorders>
          </w:tcPr>
          <w:p w14:paraId="5F761626" w14:textId="77777777" w:rsidR="004D11F1" w:rsidRPr="004D11F1" w:rsidRDefault="004D11F1"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hAnsi="Arial" w:cs="Arial"/>
                <w:sz w:val="20"/>
                <w:szCs w:val="20"/>
              </w:rPr>
              <w:t>Mean</w:t>
            </w:r>
          </w:p>
        </w:tc>
        <w:tc>
          <w:tcPr>
            <w:tcW w:w="1744" w:type="dxa"/>
            <w:tcBorders>
              <w:top w:val="single" w:sz="12" w:space="0" w:color="auto"/>
            </w:tcBorders>
          </w:tcPr>
          <w:p w14:paraId="503CABCF" w14:textId="77777777" w:rsidR="004D11F1" w:rsidRPr="004D11F1" w:rsidRDefault="004D11F1"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hAnsi="Arial" w:cs="Arial"/>
                <w:sz w:val="20"/>
                <w:szCs w:val="20"/>
              </w:rPr>
              <w:t>Std. deviation</w:t>
            </w:r>
          </w:p>
        </w:tc>
        <w:tc>
          <w:tcPr>
            <w:tcW w:w="2250" w:type="dxa"/>
            <w:tcBorders>
              <w:top w:val="single" w:sz="12" w:space="0" w:color="auto"/>
            </w:tcBorders>
          </w:tcPr>
          <w:p w14:paraId="429815A4" w14:textId="77777777" w:rsidR="004D11F1" w:rsidRPr="004D11F1" w:rsidRDefault="004D11F1"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hAnsi="Arial" w:cs="Arial"/>
                <w:sz w:val="20"/>
                <w:szCs w:val="20"/>
              </w:rPr>
              <w:t>Descriptive Level</w:t>
            </w:r>
          </w:p>
        </w:tc>
      </w:tr>
      <w:tr w:rsidR="004D11F1" w:rsidRPr="004D11F1" w14:paraId="3316E101"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1D2B049" w14:textId="31CEA718" w:rsidR="004D11F1" w:rsidRPr="004D11F1" w:rsidRDefault="004D11F1" w:rsidP="004D11F1">
            <w:pPr>
              <w:rPr>
                <w:rFonts w:ascii="Arial" w:hAnsi="Arial" w:cs="Arial"/>
                <w:b w:val="0"/>
                <w:bCs w:val="0"/>
                <w:color w:val="222222"/>
                <w:sz w:val="20"/>
                <w:szCs w:val="20"/>
                <w:shd w:val="clear" w:color="auto" w:fill="FFFFFF"/>
              </w:rPr>
            </w:pPr>
            <w:r w:rsidRPr="004D11F1">
              <w:rPr>
                <w:rFonts w:ascii="Arial" w:hAnsi="Arial" w:cs="Arial"/>
                <w:b w:val="0"/>
                <w:bCs w:val="0"/>
                <w:sz w:val="20"/>
                <w:szCs w:val="20"/>
              </w:rPr>
              <w:t>Well-informed about the loan repayment schedules for home appliance purchases</w:t>
            </w:r>
          </w:p>
        </w:tc>
        <w:tc>
          <w:tcPr>
            <w:tcW w:w="884" w:type="dxa"/>
          </w:tcPr>
          <w:p w14:paraId="7965EABE" w14:textId="77777777" w:rsid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AC1B1AB" w14:textId="49CA853A"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Times New Roman" w:hAnsi="Arial" w:cs="Arial"/>
                <w:color w:val="000000"/>
                <w:sz w:val="20"/>
                <w:szCs w:val="20"/>
              </w:rPr>
              <w:t>4.28</w:t>
            </w:r>
          </w:p>
        </w:tc>
        <w:tc>
          <w:tcPr>
            <w:tcW w:w="1744" w:type="dxa"/>
          </w:tcPr>
          <w:p w14:paraId="58A63FA7" w14:textId="77777777" w:rsid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3C9BC19" w14:textId="5CF5B178"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Times New Roman" w:hAnsi="Arial" w:cs="Arial"/>
                <w:color w:val="000000"/>
                <w:sz w:val="20"/>
                <w:szCs w:val="20"/>
              </w:rPr>
              <w:t>0.57</w:t>
            </w:r>
          </w:p>
        </w:tc>
        <w:tc>
          <w:tcPr>
            <w:tcW w:w="2250" w:type="dxa"/>
          </w:tcPr>
          <w:p w14:paraId="7811CEEB" w14:textId="77777777" w:rsid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10CD67E1" w14:textId="72C7DA62"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Calibri" w:hAnsi="Arial" w:cs="Arial"/>
                <w:sz w:val="20"/>
                <w:szCs w:val="20"/>
              </w:rPr>
              <w:t>Always Manifested</w:t>
            </w:r>
          </w:p>
        </w:tc>
      </w:tr>
      <w:tr w:rsidR="004D11F1" w:rsidRPr="004D11F1" w14:paraId="38B84C73"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0FC2BB08" w14:textId="435DA390" w:rsidR="004D11F1" w:rsidRPr="004D11F1" w:rsidRDefault="004D11F1" w:rsidP="004D11F1">
            <w:pPr>
              <w:rPr>
                <w:rFonts w:ascii="Arial" w:hAnsi="Arial" w:cs="Arial"/>
                <w:b w:val="0"/>
                <w:bCs w:val="0"/>
                <w:color w:val="222222"/>
                <w:sz w:val="20"/>
                <w:szCs w:val="20"/>
                <w:shd w:val="clear" w:color="auto" w:fill="FFFFFF"/>
              </w:rPr>
            </w:pPr>
            <w:r w:rsidRPr="004D11F1">
              <w:rPr>
                <w:rFonts w:ascii="Arial" w:hAnsi="Arial" w:cs="Arial"/>
                <w:b w:val="0"/>
                <w:bCs w:val="0"/>
                <w:sz w:val="20"/>
                <w:szCs w:val="20"/>
              </w:rPr>
              <w:t>The information provided by dealers helps customers make timely loan repayments</w:t>
            </w:r>
          </w:p>
        </w:tc>
        <w:tc>
          <w:tcPr>
            <w:tcW w:w="884" w:type="dxa"/>
          </w:tcPr>
          <w:p w14:paraId="1AE3EB4A" w14:textId="77777777" w:rsid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C8DE950" w14:textId="40F8911D"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Times New Roman" w:hAnsi="Arial" w:cs="Arial"/>
                <w:color w:val="000000"/>
                <w:sz w:val="20"/>
                <w:szCs w:val="20"/>
              </w:rPr>
              <w:t>4.28</w:t>
            </w:r>
          </w:p>
        </w:tc>
        <w:tc>
          <w:tcPr>
            <w:tcW w:w="1744" w:type="dxa"/>
          </w:tcPr>
          <w:p w14:paraId="0BA968B8" w14:textId="77777777" w:rsid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B3C7FE0" w14:textId="350493DE"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Times New Roman" w:hAnsi="Arial" w:cs="Arial"/>
                <w:color w:val="000000"/>
                <w:sz w:val="20"/>
                <w:szCs w:val="20"/>
              </w:rPr>
              <w:t>0.47</w:t>
            </w:r>
          </w:p>
        </w:tc>
        <w:tc>
          <w:tcPr>
            <w:tcW w:w="2250" w:type="dxa"/>
          </w:tcPr>
          <w:p w14:paraId="70553140" w14:textId="77777777" w:rsid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4B0277BC" w14:textId="451FCF01"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Calibri" w:hAnsi="Arial" w:cs="Arial"/>
                <w:sz w:val="20"/>
                <w:szCs w:val="20"/>
              </w:rPr>
              <w:t>Always Manifested</w:t>
            </w:r>
          </w:p>
        </w:tc>
      </w:tr>
      <w:tr w:rsidR="004D11F1" w:rsidRPr="004D11F1" w14:paraId="3F2A2C10"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159B9DD" w14:textId="03B702D9" w:rsidR="004D11F1" w:rsidRPr="004D11F1" w:rsidRDefault="004D11F1" w:rsidP="004D11F1">
            <w:pPr>
              <w:rPr>
                <w:rFonts w:ascii="Arial" w:hAnsi="Arial" w:cs="Arial"/>
                <w:b w:val="0"/>
                <w:bCs w:val="0"/>
                <w:color w:val="222222"/>
                <w:sz w:val="20"/>
                <w:szCs w:val="20"/>
                <w:shd w:val="clear" w:color="auto" w:fill="FFFFFF"/>
              </w:rPr>
            </w:pPr>
            <w:r w:rsidRPr="004D11F1">
              <w:rPr>
                <w:rFonts w:ascii="Arial" w:hAnsi="Arial" w:cs="Arial"/>
                <w:b w:val="0"/>
                <w:bCs w:val="0"/>
                <w:sz w:val="20"/>
                <w:szCs w:val="20"/>
              </w:rPr>
              <w:t>Aware of the penalties associated with late loan repayments</w:t>
            </w:r>
          </w:p>
        </w:tc>
        <w:tc>
          <w:tcPr>
            <w:tcW w:w="884" w:type="dxa"/>
          </w:tcPr>
          <w:p w14:paraId="3A3BFDD8" w14:textId="65F3B658" w:rsidR="004D11F1" w:rsidRPr="004D11F1" w:rsidRDefault="004D11F1" w:rsidP="004D11F1">
            <w:pPr>
              <w:tabs>
                <w:tab w:val="center" w:pos="334"/>
              </w:tabs>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Pr>
                <w:rFonts w:ascii="Arial" w:eastAsia="Times New Roman" w:hAnsi="Arial" w:cs="Arial"/>
                <w:color w:val="000000"/>
                <w:sz w:val="20"/>
                <w:szCs w:val="20"/>
              </w:rPr>
              <w:tab/>
            </w:r>
            <w:r w:rsidRPr="004D11F1">
              <w:rPr>
                <w:rFonts w:ascii="Arial" w:eastAsia="Times New Roman" w:hAnsi="Arial" w:cs="Arial"/>
                <w:color w:val="000000"/>
                <w:sz w:val="20"/>
                <w:szCs w:val="20"/>
              </w:rPr>
              <w:t>4.33</w:t>
            </w:r>
          </w:p>
        </w:tc>
        <w:tc>
          <w:tcPr>
            <w:tcW w:w="1744" w:type="dxa"/>
          </w:tcPr>
          <w:p w14:paraId="2A8627E7" w14:textId="7C2263C4"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Times New Roman" w:hAnsi="Arial" w:cs="Arial"/>
                <w:color w:val="000000"/>
                <w:sz w:val="20"/>
                <w:szCs w:val="20"/>
              </w:rPr>
              <w:t>0.62</w:t>
            </w:r>
          </w:p>
        </w:tc>
        <w:tc>
          <w:tcPr>
            <w:tcW w:w="2250" w:type="dxa"/>
          </w:tcPr>
          <w:p w14:paraId="0CE16D48" w14:textId="7AD703C5" w:rsidR="004D11F1" w:rsidRPr="004D11F1" w:rsidRDefault="004D11F1" w:rsidP="004D11F1">
            <w:pPr>
              <w:tabs>
                <w:tab w:val="left" w:pos="210"/>
                <w:tab w:val="center" w:pos="1017"/>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Calibri" w:hAnsi="Arial" w:cs="Arial"/>
                <w:sz w:val="20"/>
                <w:szCs w:val="20"/>
              </w:rPr>
              <w:t>Always Manifested</w:t>
            </w:r>
          </w:p>
        </w:tc>
      </w:tr>
      <w:tr w:rsidR="004D11F1" w:rsidRPr="004D11F1" w14:paraId="64AB8A3D" w14:textId="77777777" w:rsidTr="004D11F1">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4FE93189" w14:textId="2F0ED626" w:rsidR="004D11F1" w:rsidRPr="004D11F1" w:rsidRDefault="004D11F1" w:rsidP="004D11F1">
            <w:pPr>
              <w:rPr>
                <w:rFonts w:ascii="Arial" w:hAnsi="Arial" w:cs="Arial"/>
                <w:b w:val="0"/>
                <w:bCs w:val="0"/>
                <w:color w:val="222222"/>
                <w:sz w:val="20"/>
                <w:szCs w:val="20"/>
                <w:shd w:val="clear" w:color="auto" w:fill="FFFFFF"/>
              </w:rPr>
            </w:pPr>
            <w:r w:rsidRPr="004D11F1">
              <w:rPr>
                <w:rFonts w:ascii="Arial" w:hAnsi="Arial" w:cs="Arial"/>
                <w:b w:val="0"/>
                <w:bCs w:val="0"/>
                <w:sz w:val="20"/>
                <w:szCs w:val="20"/>
              </w:rPr>
              <w:t xml:space="preserve">Dealer-issued reminders help ensure on-time payments </w:t>
            </w:r>
          </w:p>
        </w:tc>
        <w:tc>
          <w:tcPr>
            <w:tcW w:w="884" w:type="dxa"/>
          </w:tcPr>
          <w:p w14:paraId="401E38CD" w14:textId="349C682A"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Times New Roman" w:hAnsi="Arial" w:cs="Arial"/>
                <w:color w:val="000000"/>
                <w:sz w:val="20"/>
                <w:szCs w:val="20"/>
              </w:rPr>
              <w:t>4.33</w:t>
            </w:r>
          </w:p>
        </w:tc>
        <w:tc>
          <w:tcPr>
            <w:tcW w:w="1744" w:type="dxa"/>
          </w:tcPr>
          <w:p w14:paraId="6275D6C1" w14:textId="24F6ADD6"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Times New Roman" w:hAnsi="Arial" w:cs="Arial"/>
                <w:color w:val="000000"/>
                <w:sz w:val="20"/>
                <w:szCs w:val="20"/>
              </w:rPr>
              <w:t>0.62</w:t>
            </w:r>
          </w:p>
        </w:tc>
        <w:tc>
          <w:tcPr>
            <w:tcW w:w="2250" w:type="dxa"/>
          </w:tcPr>
          <w:p w14:paraId="264CA03A" w14:textId="5B83DC63"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eastAsia="Calibri" w:hAnsi="Arial" w:cs="Arial"/>
                <w:sz w:val="20"/>
                <w:szCs w:val="20"/>
              </w:rPr>
              <w:t>Always Manifested</w:t>
            </w:r>
          </w:p>
        </w:tc>
      </w:tr>
      <w:tr w:rsidR="004D11F1" w:rsidRPr="004D11F1" w14:paraId="5329C5A8" w14:textId="77777777" w:rsidTr="0039657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397" w:type="dxa"/>
          </w:tcPr>
          <w:p w14:paraId="23E336B4" w14:textId="0A26CCA3" w:rsidR="004D11F1" w:rsidRPr="004D11F1" w:rsidRDefault="004D11F1" w:rsidP="004D11F1">
            <w:pPr>
              <w:rPr>
                <w:rFonts w:ascii="Arial" w:hAnsi="Arial" w:cs="Arial"/>
                <w:b w:val="0"/>
                <w:bCs w:val="0"/>
                <w:sz w:val="20"/>
                <w:szCs w:val="20"/>
              </w:rPr>
            </w:pPr>
            <w:r w:rsidRPr="004D11F1">
              <w:rPr>
                <w:rFonts w:ascii="Arial" w:hAnsi="Arial" w:cs="Arial"/>
                <w:b w:val="0"/>
                <w:bCs w:val="0"/>
                <w:sz w:val="20"/>
                <w:szCs w:val="20"/>
              </w:rPr>
              <w:t>Loan terms and conditions are clearly explained before signing the agreement</w:t>
            </w:r>
          </w:p>
        </w:tc>
        <w:tc>
          <w:tcPr>
            <w:tcW w:w="884" w:type="dxa"/>
          </w:tcPr>
          <w:p w14:paraId="5EB66A7C" w14:textId="4B0BC8C2"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1F1">
              <w:rPr>
                <w:rFonts w:ascii="Arial" w:eastAsia="Times New Roman" w:hAnsi="Arial" w:cs="Arial"/>
                <w:color w:val="000000"/>
                <w:sz w:val="20"/>
                <w:szCs w:val="20"/>
              </w:rPr>
              <w:t>4.48</w:t>
            </w:r>
          </w:p>
        </w:tc>
        <w:tc>
          <w:tcPr>
            <w:tcW w:w="1744" w:type="dxa"/>
          </w:tcPr>
          <w:p w14:paraId="172001BF" w14:textId="090D1B8F"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1F1">
              <w:rPr>
                <w:rFonts w:ascii="Arial" w:eastAsia="Times New Roman" w:hAnsi="Arial" w:cs="Arial"/>
                <w:color w:val="000000"/>
                <w:sz w:val="20"/>
                <w:szCs w:val="20"/>
              </w:rPr>
              <w:t>0.59</w:t>
            </w:r>
          </w:p>
        </w:tc>
        <w:tc>
          <w:tcPr>
            <w:tcW w:w="2250" w:type="dxa"/>
          </w:tcPr>
          <w:p w14:paraId="27005781" w14:textId="74CD7554"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1F1">
              <w:rPr>
                <w:rFonts w:ascii="Arial" w:eastAsia="Calibri" w:hAnsi="Arial" w:cs="Arial"/>
                <w:sz w:val="20"/>
                <w:szCs w:val="20"/>
              </w:rPr>
              <w:t>Always Manifested</w:t>
            </w:r>
          </w:p>
        </w:tc>
      </w:tr>
      <w:tr w:rsidR="004D11F1" w:rsidRPr="004D11F1" w14:paraId="02ED727D" w14:textId="77777777" w:rsidTr="004D11F1">
        <w:trPr>
          <w:trHeight w:val="575"/>
        </w:trPr>
        <w:tc>
          <w:tcPr>
            <w:cnfStyle w:val="001000000000" w:firstRow="0" w:lastRow="0" w:firstColumn="1" w:lastColumn="0" w:oddVBand="0" w:evenVBand="0" w:oddHBand="0" w:evenHBand="0" w:firstRowFirstColumn="0" w:firstRowLastColumn="0" w:lastRowFirstColumn="0" w:lastRowLastColumn="0"/>
            <w:tcW w:w="3397" w:type="dxa"/>
          </w:tcPr>
          <w:p w14:paraId="0490970D" w14:textId="7E293210" w:rsidR="004D11F1" w:rsidRPr="004D11F1" w:rsidRDefault="004D11F1" w:rsidP="004D11F1">
            <w:pPr>
              <w:rPr>
                <w:rFonts w:ascii="Arial" w:hAnsi="Arial" w:cs="Arial"/>
                <w:b w:val="0"/>
                <w:bCs w:val="0"/>
                <w:sz w:val="20"/>
                <w:szCs w:val="20"/>
              </w:rPr>
            </w:pPr>
            <w:r w:rsidRPr="004D11F1">
              <w:rPr>
                <w:rFonts w:ascii="Arial" w:hAnsi="Arial" w:cs="Arial"/>
                <w:b w:val="0"/>
                <w:bCs w:val="0"/>
                <w:sz w:val="20"/>
                <w:szCs w:val="20"/>
              </w:rPr>
              <w:t>Generally, understand how interest rates impact loan repayments</w:t>
            </w:r>
          </w:p>
        </w:tc>
        <w:tc>
          <w:tcPr>
            <w:tcW w:w="884" w:type="dxa"/>
          </w:tcPr>
          <w:p w14:paraId="39FF791B" w14:textId="7BCA20B3"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11F1">
              <w:rPr>
                <w:rFonts w:ascii="Arial" w:eastAsia="Times New Roman" w:hAnsi="Arial" w:cs="Arial"/>
                <w:color w:val="000000"/>
                <w:sz w:val="20"/>
                <w:szCs w:val="20"/>
              </w:rPr>
              <w:t>4.47</w:t>
            </w:r>
          </w:p>
        </w:tc>
        <w:tc>
          <w:tcPr>
            <w:tcW w:w="1744" w:type="dxa"/>
          </w:tcPr>
          <w:p w14:paraId="18D5E12B" w14:textId="2F0CBAC5"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11F1">
              <w:rPr>
                <w:rFonts w:ascii="Arial" w:eastAsia="Times New Roman" w:hAnsi="Arial" w:cs="Arial"/>
                <w:color w:val="000000"/>
                <w:sz w:val="20"/>
                <w:szCs w:val="20"/>
              </w:rPr>
              <w:t>0.56</w:t>
            </w:r>
          </w:p>
        </w:tc>
        <w:tc>
          <w:tcPr>
            <w:tcW w:w="2250" w:type="dxa"/>
          </w:tcPr>
          <w:p w14:paraId="11F1C3B3" w14:textId="5BAF4535"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11F1">
              <w:rPr>
                <w:rFonts w:ascii="Arial" w:eastAsia="Calibri" w:hAnsi="Arial" w:cs="Arial"/>
                <w:sz w:val="20"/>
                <w:szCs w:val="20"/>
              </w:rPr>
              <w:t>Always Manifested</w:t>
            </w:r>
          </w:p>
        </w:tc>
      </w:tr>
      <w:tr w:rsidR="004D11F1" w:rsidRPr="004D11F1" w14:paraId="44355357" w14:textId="77777777" w:rsidTr="0039657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397" w:type="dxa"/>
          </w:tcPr>
          <w:p w14:paraId="6A4DCB52" w14:textId="41837655" w:rsidR="004D11F1" w:rsidRPr="004D11F1" w:rsidRDefault="004D11F1" w:rsidP="004D11F1">
            <w:pPr>
              <w:rPr>
                <w:rFonts w:ascii="Arial" w:eastAsia="Times New Roman" w:hAnsi="Arial" w:cs="Arial"/>
                <w:b w:val="0"/>
                <w:bCs w:val="0"/>
                <w:sz w:val="20"/>
                <w:szCs w:val="20"/>
              </w:rPr>
            </w:pPr>
            <w:r w:rsidRPr="004D11F1">
              <w:rPr>
                <w:rFonts w:ascii="Arial" w:hAnsi="Arial" w:cs="Arial"/>
                <w:b w:val="0"/>
                <w:bCs w:val="0"/>
                <w:sz w:val="20"/>
                <w:szCs w:val="20"/>
              </w:rPr>
              <w:t>Feel motivated to repay loans on time due to the information provided by the dealers</w:t>
            </w:r>
          </w:p>
        </w:tc>
        <w:tc>
          <w:tcPr>
            <w:tcW w:w="884" w:type="dxa"/>
          </w:tcPr>
          <w:p w14:paraId="457E058C" w14:textId="49B135A2"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D11F1">
              <w:rPr>
                <w:rFonts w:ascii="Arial" w:eastAsia="Times New Roman" w:hAnsi="Arial" w:cs="Arial"/>
                <w:color w:val="000000"/>
                <w:sz w:val="20"/>
                <w:szCs w:val="20"/>
              </w:rPr>
              <w:t>4.31</w:t>
            </w:r>
          </w:p>
        </w:tc>
        <w:tc>
          <w:tcPr>
            <w:tcW w:w="1744" w:type="dxa"/>
          </w:tcPr>
          <w:p w14:paraId="0EA7A6E7" w14:textId="376800CC"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D11F1">
              <w:rPr>
                <w:rFonts w:ascii="Arial" w:eastAsia="Times New Roman" w:hAnsi="Arial" w:cs="Arial"/>
                <w:color w:val="000000"/>
                <w:sz w:val="20"/>
                <w:szCs w:val="20"/>
              </w:rPr>
              <w:t>0.58</w:t>
            </w:r>
          </w:p>
        </w:tc>
        <w:tc>
          <w:tcPr>
            <w:tcW w:w="2250" w:type="dxa"/>
          </w:tcPr>
          <w:p w14:paraId="20BE6BAB" w14:textId="35D44BB1"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D11F1">
              <w:rPr>
                <w:rFonts w:ascii="Arial" w:eastAsia="Calibri" w:hAnsi="Arial" w:cs="Arial"/>
                <w:sz w:val="20"/>
                <w:szCs w:val="20"/>
              </w:rPr>
              <w:t>Always Manifested</w:t>
            </w:r>
          </w:p>
        </w:tc>
      </w:tr>
      <w:tr w:rsidR="004D11F1" w:rsidRPr="004D11F1" w14:paraId="5E0A4CC2" w14:textId="77777777" w:rsidTr="004D11F1">
        <w:trPr>
          <w:trHeight w:val="710"/>
        </w:trPr>
        <w:tc>
          <w:tcPr>
            <w:cnfStyle w:val="001000000000" w:firstRow="0" w:lastRow="0" w:firstColumn="1" w:lastColumn="0" w:oddVBand="0" w:evenVBand="0" w:oddHBand="0" w:evenHBand="0" w:firstRowFirstColumn="0" w:firstRowLastColumn="0" w:lastRowFirstColumn="0" w:lastRowLastColumn="0"/>
            <w:tcW w:w="3397" w:type="dxa"/>
          </w:tcPr>
          <w:p w14:paraId="4CCB10BD" w14:textId="28ED8E45" w:rsidR="004D11F1" w:rsidRPr="004D11F1" w:rsidRDefault="004D11F1" w:rsidP="004D11F1">
            <w:pPr>
              <w:rPr>
                <w:rFonts w:ascii="Arial" w:eastAsia="Times New Roman" w:hAnsi="Arial" w:cs="Arial"/>
                <w:b w:val="0"/>
                <w:bCs w:val="0"/>
                <w:sz w:val="20"/>
                <w:szCs w:val="20"/>
              </w:rPr>
            </w:pPr>
            <w:r w:rsidRPr="004D11F1">
              <w:rPr>
                <w:rFonts w:ascii="Arial" w:hAnsi="Arial" w:cs="Arial"/>
                <w:b w:val="0"/>
                <w:bCs w:val="0"/>
                <w:sz w:val="20"/>
                <w:szCs w:val="20"/>
              </w:rPr>
              <w:t>Clear information from dealers increases confidence in repaying loans</w:t>
            </w:r>
          </w:p>
        </w:tc>
        <w:tc>
          <w:tcPr>
            <w:tcW w:w="884" w:type="dxa"/>
          </w:tcPr>
          <w:p w14:paraId="254DFE39" w14:textId="5567D9E2"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D11F1">
              <w:rPr>
                <w:rFonts w:ascii="Arial" w:eastAsia="Times New Roman" w:hAnsi="Arial" w:cs="Arial"/>
                <w:color w:val="000000"/>
                <w:sz w:val="20"/>
                <w:szCs w:val="20"/>
              </w:rPr>
              <w:t>4.27</w:t>
            </w:r>
          </w:p>
        </w:tc>
        <w:tc>
          <w:tcPr>
            <w:tcW w:w="1744" w:type="dxa"/>
          </w:tcPr>
          <w:p w14:paraId="3C1EA933" w14:textId="09D2B995"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D11F1">
              <w:rPr>
                <w:rFonts w:ascii="Arial" w:eastAsia="Times New Roman" w:hAnsi="Arial" w:cs="Arial"/>
                <w:color w:val="000000"/>
                <w:sz w:val="20"/>
                <w:szCs w:val="20"/>
              </w:rPr>
              <w:t>0.50</w:t>
            </w:r>
          </w:p>
        </w:tc>
        <w:tc>
          <w:tcPr>
            <w:tcW w:w="2250" w:type="dxa"/>
          </w:tcPr>
          <w:p w14:paraId="67525EC3" w14:textId="796E7DCC"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4D11F1">
              <w:rPr>
                <w:rFonts w:ascii="Arial" w:eastAsia="Calibri" w:hAnsi="Arial" w:cs="Arial"/>
                <w:sz w:val="20"/>
                <w:szCs w:val="20"/>
              </w:rPr>
              <w:t>Always Manifested</w:t>
            </w:r>
          </w:p>
        </w:tc>
      </w:tr>
      <w:tr w:rsidR="004D11F1" w:rsidRPr="004D11F1" w14:paraId="1D01FA81" w14:textId="77777777" w:rsidTr="004D11F1">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tcPr>
          <w:p w14:paraId="4C2F9A39" w14:textId="7170B931" w:rsidR="004D11F1" w:rsidRPr="004D11F1" w:rsidRDefault="004D11F1" w:rsidP="004D11F1">
            <w:pPr>
              <w:rPr>
                <w:rFonts w:ascii="Arial" w:eastAsia="Times New Roman" w:hAnsi="Arial" w:cs="Arial"/>
                <w:b w:val="0"/>
                <w:bCs w:val="0"/>
                <w:sz w:val="20"/>
                <w:szCs w:val="20"/>
              </w:rPr>
            </w:pPr>
            <w:r w:rsidRPr="004D11F1">
              <w:rPr>
                <w:rFonts w:ascii="Arial" w:hAnsi="Arial" w:cs="Arial"/>
                <w:b w:val="0"/>
                <w:bCs w:val="0"/>
                <w:sz w:val="20"/>
                <w:szCs w:val="20"/>
              </w:rPr>
              <w:t>Frequently review loan repayment details to ensure compliance with the terms</w:t>
            </w:r>
          </w:p>
        </w:tc>
        <w:tc>
          <w:tcPr>
            <w:tcW w:w="884" w:type="dxa"/>
          </w:tcPr>
          <w:p w14:paraId="593C5E30" w14:textId="443BB7B4"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D11F1">
              <w:rPr>
                <w:rFonts w:ascii="Arial" w:eastAsia="Times New Roman" w:hAnsi="Arial" w:cs="Arial"/>
                <w:color w:val="000000"/>
                <w:sz w:val="20"/>
                <w:szCs w:val="20"/>
              </w:rPr>
              <w:t>4.25</w:t>
            </w:r>
          </w:p>
        </w:tc>
        <w:tc>
          <w:tcPr>
            <w:tcW w:w="1744" w:type="dxa"/>
          </w:tcPr>
          <w:p w14:paraId="7BF63D56" w14:textId="147B17FF"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4D11F1">
              <w:rPr>
                <w:rFonts w:ascii="Arial" w:eastAsia="Times New Roman" w:hAnsi="Arial" w:cs="Arial"/>
                <w:color w:val="000000"/>
                <w:sz w:val="20"/>
                <w:szCs w:val="20"/>
              </w:rPr>
              <w:t>0.58</w:t>
            </w:r>
          </w:p>
        </w:tc>
        <w:tc>
          <w:tcPr>
            <w:tcW w:w="2250" w:type="dxa"/>
          </w:tcPr>
          <w:p w14:paraId="6DC44117" w14:textId="296215E8"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D11F1">
              <w:rPr>
                <w:rFonts w:ascii="Arial" w:eastAsia="Calibri" w:hAnsi="Arial" w:cs="Arial"/>
                <w:sz w:val="20"/>
                <w:szCs w:val="20"/>
              </w:rPr>
              <w:t>Always Manifested</w:t>
            </w:r>
          </w:p>
        </w:tc>
      </w:tr>
      <w:tr w:rsidR="004D11F1" w:rsidRPr="004D11F1" w14:paraId="754A1F7B" w14:textId="77777777" w:rsidTr="00396572">
        <w:trPr>
          <w:trHeight w:val="845"/>
        </w:trPr>
        <w:tc>
          <w:tcPr>
            <w:cnfStyle w:val="001000000000" w:firstRow="0" w:lastRow="0" w:firstColumn="1" w:lastColumn="0" w:oddVBand="0" w:evenVBand="0" w:oddHBand="0" w:evenHBand="0" w:firstRowFirstColumn="0" w:firstRowLastColumn="0" w:lastRowFirstColumn="0" w:lastRowLastColumn="0"/>
            <w:tcW w:w="3397" w:type="dxa"/>
          </w:tcPr>
          <w:p w14:paraId="128CD523" w14:textId="6C9CD2E2" w:rsidR="004D11F1" w:rsidRPr="004D11F1" w:rsidRDefault="004D11F1" w:rsidP="004D11F1">
            <w:pPr>
              <w:rPr>
                <w:rFonts w:ascii="Arial" w:hAnsi="Arial" w:cs="Arial"/>
                <w:b w:val="0"/>
                <w:bCs w:val="0"/>
                <w:sz w:val="20"/>
                <w:szCs w:val="20"/>
              </w:rPr>
            </w:pPr>
            <w:r w:rsidRPr="004D11F1">
              <w:rPr>
                <w:rFonts w:ascii="Arial" w:hAnsi="Arial" w:cs="Arial"/>
                <w:b w:val="0"/>
                <w:bCs w:val="0"/>
                <w:sz w:val="20"/>
                <w:szCs w:val="20"/>
              </w:rPr>
              <w:t>Regularly seek clarification from dealers regarding loan repayment terms when needed</w:t>
            </w:r>
          </w:p>
        </w:tc>
        <w:tc>
          <w:tcPr>
            <w:tcW w:w="884" w:type="dxa"/>
          </w:tcPr>
          <w:p w14:paraId="3FD94BC6" w14:textId="5753162C"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D11F1">
              <w:rPr>
                <w:rFonts w:ascii="Arial" w:eastAsia="Times New Roman" w:hAnsi="Arial" w:cs="Arial"/>
                <w:color w:val="000000"/>
                <w:sz w:val="20"/>
                <w:szCs w:val="20"/>
              </w:rPr>
              <w:t>4.16</w:t>
            </w:r>
          </w:p>
        </w:tc>
        <w:tc>
          <w:tcPr>
            <w:tcW w:w="1744" w:type="dxa"/>
          </w:tcPr>
          <w:p w14:paraId="0E3CBD47" w14:textId="29866962"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4D11F1">
              <w:rPr>
                <w:rFonts w:ascii="Arial" w:eastAsia="Times New Roman" w:hAnsi="Arial" w:cs="Arial"/>
                <w:color w:val="000000"/>
                <w:sz w:val="20"/>
                <w:szCs w:val="20"/>
              </w:rPr>
              <w:t>0.58</w:t>
            </w:r>
          </w:p>
        </w:tc>
        <w:tc>
          <w:tcPr>
            <w:tcW w:w="2250" w:type="dxa"/>
          </w:tcPr>
          <w:p w14:paraId="4B36182C" w14:textId="24858E73" w:rsidR="004D11F1" w:rsidRPr="004D11F1" w:rsidRDefault="004D11F1" w:rsidP="004D11F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4D11F1">
              <w:rPr>
                <w:rFonts w:ascii="Arial" w:eastAsia="Calibri" w:hAnsi="Arial" w:cs="Arial"/>
                <w:sz w:val="20"/>
                <w:szCs w:val="20"/>
              </w:rPr>
              <w:t>Often Manifested</w:t>
            </w:r>
          </w:p>
        </w:tc>
      </w:tr>
      <w:tr w:rsidR="004D11F1" w:rsidRPr="004D11F1" w14:paraId="0F755213"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6FF3F71C" w14:textId="2B7EE037" w:rsidR="004D11F1" w:rsidRPr="004D11F1" w:rsidRDefault="004D11F1" w:rsidP="004D11F1">
            <w:pPr>
              <w:jc w:val="center"/>
              <w:rPr>
                <w:rFonts w:ascii="Arial" w:hAnsi="Arial" w:cs="Arial"/>
                <w:color w:val="222222"/>
                <w:sz w:val="20"/>
                <w:szCs w:val="20"/>
                <w:shd w:val="clear" w:color="auto" w:fill="FFFFFF"/>
              </w:rPr>
            </w:pPr>
            <w:r w:rsidRPr="004D11F1">
              <w:rPr>
                <w:rFonts w:ascii="Arial" w:eastAsia="Times New Roman" w:hAnsi="Arial" w:cs="Arial"/>
                <w:color w:val="000000"/>
                <w:sz w:val="20"/>
                <w:szCs w:val="20"/>
              </w:rPr>
              <w:t>Average</w:t>
            </w:r>
          </w:p>
        </w:tc>
        <w:tc>
          <w:tcPr>
            <w:tcW w:w="884" w:type="dxa"/>
            <w:tcBorders>
              <w:bottom w:val="single" w:sz="12" w:space="0" w:color="auto"/>
            </w:tcBorders>
          </w:tcPr>
          <w:p w14:paraId="7D5BDB9D" w14:textId="03C21609"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4D11F1">
              <w:rPr>
                <w:rFonts w:ascii="Arial" w:eastAsia="Times New Roman" w:hAnsi="Arial" w:cs="Arial"/>
                <w:b/>
                <w:bCs/>
                <w:color w:val="000000"/>
                <w:sz w:val="20"/>
                <w:szCs w:val="20"/>
              </w:rPr>
              <w:t>4.32</w:t>
            </w:r>
          </w:p>
        </w:tc>
        <w:tc>
          <w:tcPr>
            <w:tcW w:w="1744" w:type="dxa"/>
            <w:tcBorders>
              <w:bottom w:val="single" w:sz="12" w:space="0" w:color="auto"/>
            </w:tcBorders>
          </w:tcPr>
          <w:p w14:paraId="48050C59" w14:textId="2DA447F0"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4D11F1">
              <w:rPr>
                <w:rFonts w:ascii="Arial" w:eastAsia="Times New Roman" w:hAnsi="Arial" w:cs="Arial"/>
                <w:b/>
                <w:bCs/>
                <w:color w:val="000000"/>
                <w:sz w:val="20"/>
                <w:szCs w:val="20"/>
              </w:rPr>
              <w:t>0.35</w:t>
            </w:r>
          </w:p>
        </w:tc>
        <w:tc>
          <w:tcPr>
            <w:tcW w:w="2250" w:type="dxa"/>
            <w:tcBorders>
              <w:bottom w:val="single" w:sz="12" w:space="0" w:color="auto"/>
            </w:tcBorders>
          </w:tcPr>
          <w:p w14:paraId="04B784FB" w14:textId="50C69AC5" w:rsidR="004D11F1" w:rsidRPr="004D11F1" w:rsidRDefault="004D11F1" w:rsidP="004D11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4D11F1">
              <w:rPr>
                <w:rFonts w:ascii="Arial" w:eastAsia="Calibri" w:hAnsi="Arial" w:cs="Arial"/>
                <w:b/>
                <w:bCs/>
                <w:sz w:val="20"/>
                <w:szCs w:val="20"/>
              </w:rPr>
              <w:t>Always Manifested</w:t>
            </w:r>
          </w:p>
        </w:tc>
      </w:tr>
    </w:tbl>
    <w:p w14:paraId="22DA61EB" w14:textId="2426354F" w:rsidR="004D11F1" w:rsidRDefault="004D11F1" w:rsidP="004D11F1">
      <w:pPr>
        <w:tabs>
          <w:tab w:val="left" w:pos="1155"/>
        </w:tabs>
        <w:spacing w:after="0" w:line="240" w:lineRule="auto"/>
        <w:jc w:val="both"/>
        <w:rPr>
          <w:rFonts w:ascii="Arial" w:hAnsi="Arial" w:cs="Arial"/>
          <w:b/>
          <w:bCs/>
          <w:sz w:val="20"/>
          <w:szCs w:val="20"/>
        </w:rPr>
      </w:pPr>
    </w:p>
    <w:p w14:paraId="77D6821D" w14:textId="62B586D7" w:rsidR="004D11F1" w:rsidRPr="00046C78" w:rsidRDefault="004D11F1" w:rsidP="004D11F1">
      <w:pPr>
        <w:ind w:firstLine="720"/>
        <w:jc w:val="both"/>
        <w:rPr>
          <w:rFonts w:ascii="Arial" w:hAnsi="Arial" w:cs="Arial"/>
          <w:color w:val="222222"/>
          <w:sz w:val="20"/>
          <w:szCs w:val="20"/>
          <w:shd w:val="clear" w:color="auto" w:fill="FFFFFF"/>
        </w:rPr>
      </w:pPr>
      <w:r w:rsidRPr="00046C78">
        <w:rPr>
          <w:rFonts w:ascii="Arial" w:hAnsi="Arial" w:cs="Arial"/>
          <w:sz w:val="20"/>
          <w:szCs w:val="20"/>
        </w:rPr>
        <w:t xml:space="preserve">Table </w:t>
      </w:r>
      <w:r>
        <w:rPr>
          <w:rFonts w:ascii="Arial" w:hAnsi="Arial" w:cs="Arial"/>
          <w:sz w:val="20"/>
          <w:szCs w:val="20"/>
        </w:rPr>
        <w:t xml:space="preserve">10 </w:t>
      </w:r>
      <w:r w:rsidRPr="00046C78">
        <w:rPr>
          <w:rFonts w:ascii="Arial" w:hAnsi="Arial" w:cs="Arial"/>
          <w:sz w:val="20"/>
          <w:szCs w:val="20"/>
        </w:rPr>
        <w:t xml:space="preserve">presents the results of the level of loan repayment, as indicated by the information about loan repayment that was always manifested </w:t>
      </w:r>
      <w:r w:rsidRPr="00046C78">
        <w:rPr>
          <w:rFonts w:ascii="Arial" w:hAnsi="Arial" w:cs="Arial"/>
          <w:bCs/>
          <w:sz w:val="20"/>
          <w:szCs w:val="20"/>
        </w:rPr>
        <w:t>(</w:t>
      </w:r>
      <w:r w:rsidRPr="00046C78">
        <w:rPr>
          <w:rFonts w:ascii="Arial" w:hAnsi="Arial" w:cs="Arial"/>
          <w:color w:val="4D5156"/>
          <w:sz w:val="20"/>
          <w:szCs w:val="20"/>
          <w:shd w:val="clear" w:color="auto" w:fill="FFFFFF"/>
        </w:rPr>
        <w:t xml:space="preserve">x̄ </w:t>
      </w:r>
      <w:r w:rsidRPr="00046C78">
        <w:rPr>
          <w:rFonts w:ascii="Arial" w:hAnsi="Arial" w:cs="Arial"/>
          <w:color w:val="000000" w:themeColor="text1"/>
          <w:sz w:val="20"/>
          <w:szCs w:val="20"/>
        </w:rPr>
        <w:t xml:space="preserve">= </w:t>
      </w:r>
      <w:r w:rsidRPr="00046C78">
        <w:rPr>
          <w:rFonts w:ascii="Arial" w:hAnsi="Arial" w:cs="Arial"/>
          <w:sz w:val="20"/>
          <w:szCs w:val="20"/>
        </w:rPr>
        <w:t xml:space="preserve">4.32). This indicates that debtors of home appliance dealers in </w:t>
      </w:r>
      <w:proofErr w:type="spellStart"/>
      <w:r w:rsidRPr="00046C78">
        <w:rPr>
          <w:rFonts w:ascii="Arial" w:hAnsi="Arial" w:cs="Arial"/>
          <w:sz w:val="20"/>
          <w:szCs w:val="20"/>
        </w:rPr>
        <w:t>Cateel</w:t>
      </w:r>
      <w:proofErr w:type="spellEnd"/>
      <w:r w:rsidRPr="00046C78">
        <w:rPr>
          <w:rFonts w:ascii="Arial" w:hAnsi="Arial" w:cs="Arial"/>
          <w:sz w:val="20"/>
          <w:szCs w:val="20"/>
        </w:rPr>
        <w:t xml:space="preserve"> consistently and reliably demonstrate strong awareness and engagement with loan repayment information. </w:t>
      </w:r>
    </w:p>
    <w:p w14:paraId="750459C6" w14:textId="503B826D" w:rsidR="00690DF5" w:rsidRDefault="004D11F1" w:rsidP="004D11F1">
      <w:pPr>
        <w:ind w:firstLine="720"/>
        <w:jc w:val="both"/>
        <w:rPr>
          <w:rFonts w:ascii="Arial" w:hAnsi="Arial" w:cs="Arial"/>
          <w:sz w:val="20"/>
          <w:szCs w:val="20"/>
        </w:rPr>
      </w:pPr>
      <w:r w:rsidRPr="00046C78">
        <w:rPr>
          <w:rFonts w:ascii="Arial" w:hAnsi="Arial" w:cs="Arial"/>
          <w:bCs/>
          <w:sz w:val="20"/>
          <w:szCs w:val="20"/>
        </w:rPr>
        <w:t xml:space="preserve">According to </w:t>
      </w:r>
      <w:proofErr w:type="spellStart"/>
      <w:r w:rsidRPr="00046C78">
        <w:rPr>
          <w:rFonts w:ascii="Arial" w:hAnsi="Arial" w:cs="Arial"/>
          <w:sz w:val="20"/>
          <w:szCs w:val="20"/>
        </w:rPr>
        <w:t>Netzer</w:t>
      </w:r>
      <w:proofErr w:type="spellEnd"/>
      <w:r w:rsidRPr="00046C78">
        <w:rPr>
          <w:rFonts w:ascii="Arial" w:hAnsi="Arial" w:cs="Arial"/>
          <w:sz w:val="20"/>
          <w:szCs w:val="20"/>
        </w:rPr>
        <w:t xml:space="preserve"> et al. (2019), consistent tracking of repayment history facilitates the identification of patterns that may predict future defaults.</w:t>
      </w:r>
      <w:r w:rsidRPr="00046C78">
        <w:rPr>
          <w:rFonts w:ascii="Arial" w:hAnsi="Arial" w:cs="Arial"/>
          <w:bCs/>
          <w:sz w:val="20"/>
          <w:szCs w:val="20"/>
        </w:rPr>
        <w:t xml:space="preserve"> Additionally, a</w:t>
      </w:r>
      <w:r w:rsidRPr="00046C78">
        <w:rPr>
          <w:rFonts w:ascii="Arial" w:hAnsi="Arial" w:cs="Arial"/>
          <w:sz w:val="20"/>
          <w:szCs w:val="20"/>
        </w:rPr>
        <w:t xml:space="preserve">ccess to repayment information enables lenders to track and anticipate payment behaviors, which aligns with Melton's credit risk theory, which emphasizes the importance of monitoring and risk control (Abraham et al., 2018). Moreover, </w:t>
      </w:r>
      <w:proofErr w:type="spellStart"/>
      <w:r w:rsidRPr="00046C78">
        <w:rPr>
          <w:rFonts w:ascii="Arial" w:hAnsi="Arial" w:cs="Arial"/>
          <w:sz w:val="20"/>
          <w:szCs w:val="20"/>
        </w:rPr>
        <w:t>Makore</w:t>
      </w:r>
      <w:proofErr w:type="spellEnd"/>
      <w:r w:rsidRPr="00046C78">
        <w:rPr>
          <w:rFonts w:ascii="Arial" w:hAnsi="Arial" w:cs="Arial"/>
          <w:sz w:val="20"/>
          <w:szCs w:val="20"/>
        </w:rPr>
        <w:t xml:space="preserve"> (2023) stated that Melton’s Credit Risk Theory </w:t>
      </w:r>
      <w:r w:rsidRPr="00046C78">
        <w:rPr>
          <w:rFonts w:ascii="Arial" w:hAnsi="Arial" w:cs="Arial"/>
          <w:sz w:val="20"/>
          <w:szCs w:val="20"/>
        </w:rPr>
        <w:lastRenderedPageBreak/>
        <w:t>emphasizes the importance of informed oversight, which enables lenders to address potential issues before they escalate into defaults.</w:t>
      </w:r>
    </w:p>
    <w:p w14:paraId="07D13770" w14:textId="77777777" w:rsidR="00620CF3" w:rsidRDefault="00620CF3" w:rsidP="004D11F1">
      <w:pPr>
        <w:ind w:firstLine="720"/>
        <w:jc w:val="both"/>
        <w:rPr>
          <w:rFonts w:ascii="Arial" w:hAnsi="Arial" w:cs="Arial"/>
          <w:sz w:val="20"/>
          <w:szCs w:val="20"/>
        </w:rPr>
      </w:pPr>
    </w:p>
    <w:p w14:paraId="766E685A" w14:textId="2B3486C4" w:rsidR="004D11F1" w:rsidRPr="00CE4000" w:rsidRDefault="004D11F1" w:rsidP="00CE4000">
      <w:pPr>
        <w:pStyle w:val="NoSpacing"/>
        <w:rPr>
          <w:rFonts w:ascii="Arial" w:hAnsi="Arial" w:cs="Arial"/>
          <w:sz w:val="20"/>
          <w:szCs w:val="20"/>
        </w:rPr>
      </w:pPr>
      <w:r w:rsidRPr="00620CF3">
        <w:rPr>
          <w:rFonts w:ascii="Arial" w:hAnsi="Arial" w:cs="Arial"/>
          <w:b/>
          <w:bCs/>
          <w:sz w:val="20"/>
          <w:szCs w:val="20"/>
        </w:rPr>
        <w:t>Table 11</w:t>
      </w:r>
      <w:r w:rsidR="00620CF3">
        <w:rPr>
          <w:rFonts w:ascii="Arial" w:hAnsi="Arial" w:cs="Arial"/>
          <w:sz w:val="20"/>
          <w:szCs w:val="20"/>
        </w:rPr>
        <w:t xml:space="preserve">. </w:t>
      </w:r>
      <w:r w:rsidR="00CE4000" w:rsidRPr="00CE4000">
        <w:rPr>
          <w:rFonts w:ascii="Arial" w:hAnsi="Arial" w:cs="Arial"/>
          <w:sz w:val="20"/>
          <w:szCs w:val="20"/>
        </w:rPr>
        <w:t>Level of Loan Repayment in Terms of Financial Literacy</w:t>
      </w:r>
    </w:p>
    <w:tbl>
      <w:tblPr>
        <w:tblStyle w:val="PlainTable21"/>
        <w:tblW w:w="8275" w:type="dxa"/>
        <w:tblLook w:val="04A0" w:firstRow="1" w:lastRow="0" w:firstColumn="1" w:lastColumn="0" w:noHBand="0" w:noVBand="1"/>
      </w:tblPr>
      <w:tblGrid>
        <w:gridCol w:w="3397"/>
        <w:gridCol w:w="884"/>
        <w:gridCol w:w="1744"/>
        <w:gridCol w:w="2250"/>
      </w:tblGrid>
      <w:tr w:rsidR="004D11F1" w:rsidRPr="004D11F1" w14:paraId="00BF28C9"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145D6CAF" w14:textId="77777777" w:rsidR="004D11F1" w:rsidRPr="004D11F1" w:rsidRDefault="004D11F1" w:rsidP="00396572">
            <w:pPr>
              <w:jc w:val="center"/>
              <w:rPr>
                <w:rFonts w:ascii="Arial" w:hAnsi="Arial" w:cs="Arial"/>
                <w:color w:val="222222"/>
                <w:sz w:val="20"/>
                <w:szCs w:val="20"/>
                <w:shd w:val="clear" w:color="auto" w:fill="FFFFFF"/>
              </w:rPr>
            </w:pPr>
            <w:r w:rsidRPr="004D11F1">
              <w:rPr>
                <w:rFonts w:ascii="Arial" w:hAnsi="Arial" w:cs="Arial"/>
                <w:sz w:val="20"/>
                <w:szCs w:val="20"/>
              </w:rPr>
              <w:t>Description</w:t>
            </w:r>
          </w:p>
        </w:tc>
        <w:tc>
          <w:tcPr>
            <w:tcW w:w="884" w:type="dxa"/>
            <w:tcBorders>
              <w:top w:val="single" w:sz="12" w:space="0" w:color="auto"/>
            </w:tcBorders>
          </w:tcPr>
          <w:p w14:paraId="5F1F31E4" w14:textId="77777777" w:rsidR="004D11F1" w:rsidRPr="004D11F1" w:rsidRDefault="004D11F1"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hAnsi="Arial" w:cs="Arial"/>
                <w:sz w:val="20"/>
                <w:szCs w:val="20"/>
              </w:rPr>
              <w:t>Mean</w:t>
            </w:r>
          </w:p>
        </w:tc>
        <w:tc>
          <w:tcPr>
            <w:tcW w:w="1744" w:type="dxa"/>
            <w:tcBorders>
              <w:top w:val="single" w:sz="12" w:space="0" w:color="auto"/>
            </w:tcBorders>
          </w:tcPr>
          <w:p w14:paraId="4AC9DA22" w14:textId="77777777" w:rsidR="004D11F1" w:rsidRPr="004D11F1" w:rsidRDefault="004D11F1"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hAnsi="Arial" w:cs="Arial"/>
                <w:sz w:val="20"/>
                <w:szCs w:val="20"/>
              </w:rPr>
              <w:t>Std. deviation</w:t>
            </w:r>
          </w:p>
        </w:tc>
        <w:tc>
          <w:tcPr>
            <w:tcW w:w="2250" w:type="dxa"/>
            <w:tcBorders>
              <w:top w:val="single" w:sz="12" w:space="0" w:color="auto"/>
            </w:tcBorders>
          </w:tcPr>
          <w:p w14:paraId="3CC2302E" w14:textId="77777777" w:rsidR="004D11F1" w:rsidRPr="004D11F1" w:rsidRDefault="004D11F1"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4D11F1">
              <w:rPr>
                <w:rFonts w:ascii="Arial" w:hAnsi="Arial" w:cs="Arial"/>
                <w:sz w:val="20"/>
                <w:szCs w:val="20"/>
              </w:rPr>
              <w:t>Descriptive Level</w:t>
            </w:r>
          </w:p>
        </w:tc>
      </w:tr>
      <w:tr w:rsidR="00CE4000" w:rsidRPr="004D11F1" w14:paraId="454CB522"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08C52DA" w14:textId="0485D905" w:rsidR="00CE4000" w:rsidRPr="00CE4000" w:rsidRDefault="00CE4000" w:rsidP="00CE4000">
            <w:pPr>
              <w:rPr>
                <w:rFonts w:ascii="Arial" w:hAnsi="Arial" w:cs="Arial"/>
                <w:b w:val="0"/>
                <w:bCs w:val="0"/>
                <w:color w:val="222222"/>
                <w:sz w:val="20"/>
                <w:szCs w:val="20"/>
                <w:shd w:val="clear" w:color="auto" w:fill="FFFFFF"/>
              </w:rPr>
            </w:pPr>
            <w:r w:rsidRPr="00CE4000">
              <w:rPr>
                <w:rFonts w:ascii="Arial" w:hAnsi="Arial" w:cs="Arial"/>
                <w:b w:val="0"/>
                <w:bCs w:val="0"/>
                <w:sz w:val="20"/>
                <w:szCs w:val="20"/>
              </w:rPr>
              <w:t>Know how to manage a loan repayment schedule effectively</w:t>
            </w:r>
          </w:p>
        </w:tc>
        <w:tc>
          <w:tcPr>
            <w:tcW w:w="884" w:type="dxa"/>
            <w:vAlign w:val="center"/>
          </w:tcPr>
          <w:p w14:paraId="328A3835" w14:textId="35DA3A14"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Times New Roman" w:hAnsi="Arial" w:cs="Arial"/>
                <w:color w:val="000000"/>
                <w:sz w:val="20"/>
                <w:szCs w:val="20"/>
              </w:rPr>
              <w:t>4.37</w:t>
            </w:r>
          </w:p>
        </w:tc>
        <w:tc>
          <w:tcPr>
            <w:tcW w:w="1744" w:type="dxa"/>
            <w:vAlign w:val="center"/>
          </w:tcPr>
          <w:p w14:paraId="06B2C305" w14:textId="75631A47"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Times New Roman" w:hAnsi="Arial" w:cs="Arial"/>
                <w:color w:val="000000"/>
                <w:sz w:val="20"/>
                <w:szCs w:val="20"/>
              </w:rPr>
              <w:t>0.65</w:t>
            </w:r>
          </w:p>
        </w:tc>
        <w:tc>
          <w:tcPr>
            <w:tcW w:w="2250" w:type="dxa"/>
          </w:tcPr>
          <w:p w14:paraId="26EBF618" w14:textId="30EB3EBA"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Calibri" w:hAnsi="Arial" w:cs="Arial"/>
                <w:sz w:val="20"/>
                <w:szCs w:val="20"/>
              </w:rPr>
              <w:t>Always Manifested</w:t>
            </w:r>
          </w:p>
        </w:tc>
      </w:tr>
      <w:tr w:rsidR="00CE4000" w:rsidRPr="004D11F1" w14:paraId="513BEC39"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2ACDBEF5" w14:textId="7D53BEE8" w:rsidR="00CE4000" w:rsidRPr="00CE4000" w:rsidRDefault="00CE4000" w:rsidP="00CE4000">
            <w:pPr>
              <w:rPr>
                <w:rFonts w:ascii="Arial" w:hAnsi="Arial" w:cs="Arial"/>
                <w:b w:val="0"/>
                <w:bCs w:val="0"/>
                <w:color w:val="222222"/>
                <w:sz w:val="20"/>
                <w:szCs w:val="20"/>
                <w:shd w:val="clear" w:color="auto" w:fill="FFFFFF"/>
              </w:rPr>
            </w:pPr>
            <w:r w:rsidRPr="00CE4000">
              <w:rPr>
                <w:rFonts w:ascii="Arial" w:hAnsi="Arial" w:cs="Arial"/>
                <w:b w:val="0"/>
                <w:bCs w:val="0"/>
                <w:sz w:val="20"/>
                <w:szCs w:val="20"/>
              </w:rPr>
              <w:t>Able to budget income to ensure timely loan repayments</w:t>
            </w:r>
          </w:p>
        </w:tc>
        <w:tc>
          <w:tcPr>
            <w:tcW w:w="884" w:type="dxa"/>
            <w:vAlign w:val="center"/>
          </w:tcPr>
          <w:p w14:paraId="165F5C2F" w14:textId="104F94EF"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Times New Roman" w:hAnsi="Arial" w:cs="Arial"/>
                <w:color w:val="000000"/>
                <w:sz w:val="20"/>
                <w:szCs w:val="20"/>
              </w:rPr>
              <w:t>4.35</w:t>
            </w:r>
          </w:p>
        </w:tc>
        <w:tc>
          <w:tcPr>
            <w:tcW w:w="1744" w:type="dxa"/>
            <w:vAlign w:val="center"/>
          </w:tcPr>
          <w:p w14:paraId="7CA065A1" w14:textId="2D3CFF0C"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Times New Roman" w:hAnsi="Arial" w:cs="Arial"/>
                <w:color w:val="000000"/>
                <w:sz w:val="20"/>
                <w:szCs w:val="20"/>
              </w:rPr>
              <w:t>0.59</w:t>
            </w:r>
          </w:p>
        </w:tc>
        <w:tc>
          <w:tcPr>
            <w:tcW w:w="2250" w:type="dxa"/>
          </w:tcPr>
          <w:p w14:paraId="1BB0305C" w14:textId="67D3767C"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Calibri" w:hAnsi="Arial" w:cs="Arial"/>
                <w:sz w:val="20"/>
                <w:szCs w:val="20"/>
              </w:rPr>
              <w:t>Always Manifested</w:t>
            </w:r>
          </w:p>
        </w:tc>
      </w:tr>
      <w:tr w:rsidR="00CE4000" w:rsidRPr="004D11F1" w14:paraId="75FD4C12"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2E22665" w14:textId="0E7B3348" w:rsidR="00CE4000" w:rsidRPr="00CE4000" w:rsidRDefault="00CE4000" w:rsidP="00CE4000">
            <w:pPr>
              <w:rPr>
                <w:rFonts w:ascii="Arial" w:hAnsi="Arial" w:cs="Arial"/>
                <w:b w:val="0"/>
                <w:bCs w:val="0"/>
                <w:color w:val="222222"/>
                <w:sz w:val="20"/>
                <w:szCs w:val="20"/>
                <w:shd w:val="clear" w:color="auto" w:fill="FFFFFF"/>
              </w:rPr>
            </w:pPr>
            <w:r w:rsidRPr="00CE4000">
              <w:rPr>
                <w:rFonts w:ascii="Arial" w:hAnsi="Arial" w:cs="Arial"/>
                <w:b w:val="0"/>
                <w:bCs w:val="0"/>
                <w:sz w:val="20"/>
                <w:szCs w:val="20"/>
              </w:rPr>
              <w:t>Receive financial guidance or training before applying for a loan</w:t>
            </w:r>
          </w:p>
        </w:tc>
        <w:tc>
          <w:tcPr>
            <w:tcW w:w="884" w:type="dxa"/>
            <w:vAlign w:val="center"/>
          </w:tcPr>
          <w:p w14:paraId="38E7A272" w14:textId="4FDFA98C" w:rsidR="00CE4000" w:rsidRPr="00CE4000" w:rsidRDefault="00CE4000" w:rsidP="00CE4000">
            <w:pPr>
              <w:tabs>
                <w:tab w:val="center" w:pos="334"/>
              </w:tabs>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Times New Roman" w:hAnsi="Arial" w:cs="Arial"/>
                <w:color w:val="000000"/>
                <w:sz w:val="20"/>
                <w:szCs w:val="20"/>
              </w:rPr>
              <w:t>4.12</w:t>
            </w:r>
          </w:p>
        </w:tc>
        <w:tc>
          <w:tcPr>
            <w:tcW w:w="1744" w:type="dxa"/>
            <w:vAlign w:val="center"/>
          </w:tcPr>
          <w:p w14:paraId="294FBA45" w14:textId="6C44176D"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Times New Roman" w:hAnsi="Arial" w:cs="Arial"/>
                <w:color w:val="000000"/>
                <w:sz w:val="20"/>
                <w:szCs w:val="20"/>
              </w:rPr>
              <w:t>0.58</w:t>
            </w:r>
          </w:p>
        </w:tc>
        <w:tc>
          <w:tcPr>
            <w:tcW w:w="2250" w:type="dxa"/>
          </w:tcPr>
          <w:p w14:paraId="72A9C527" w14:textId="27EDF3D7" w:rsidR="00CE4000" w:rsidRPr="00CE4000" w:rsidRDefault="00CE4000" w:rsidP="00CE4000">
            <w:pPr>
              <w:tabs>
                <w:tab w:val="left" w:pos="210"/>
                <w:tab w:val="center" w:pos="1017"/>
              </w:tabs>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Calibri" w:hAnsi="Arial" w:cs="Arial"/>
                <w:sz w:val="20"/>
                <w:szCs w:val="20"/>
              </w:rPr>
              <w:t>Always Manifested</w:t>
            </w:r>
          </w:p>
        </w:tc>
      </w:tr>
      <w:tr w:rsidR="00CE4000" w:rsidRPr="004D11F1" w14:paraId="5F0665BD"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115C45C1" w14:textId="49D35087" w:rsidR="00CE4000" w:rsidRPr="00CE4000" w:rsidRDefault="00CE4000" w:rsidP="00CE4000">
            <w:pPr>
              <w:rPr>
                <w:rFonts w:ascii="Arial" w:hAnsi="Arial" w:cs="Arial"/>
                <w:b w:val="0"/>
                <w:bCs w:val="0"/>
                <w:color w:val="222222"/>
                <w:sz w:val="20"/>
                <w:szCs w:val="20"/>
                <w:shd w:val="clear" w:color="auto" w:fill="FFFFFF"/>
              </w:rPr>
            </w:pPr>
            <w:r w:rsidRPr="00CE4000">
              <w:rPr>
                <w:rFonts w:ascii="Arial" w:hAnsi="Arial" w:cs="Arial"/>
                <w:b w:val="0"/>
                <w:bCs w:val="0"/>
                <w:sz w:val="20"/>
                <w:szCs w:val="20"/>
              </w:rPr>
              <w:t>Confident in handling loan obligations alongside other financial commitments</w:t>
            </w:r>
          </w:p>
        </w:tc>
        <w:tc>
          <w:tcPr>
            <w:tcW w:w="884" w:type="dxa"/>
            <w:vAlign w:val="center"/>
          </w:tcPr>
          <w:p w14:paraId="1BECB04B" w14:textId="06C6138E"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Times New Roman" w:hAnsi="Arial" w:cs="Arial"/>
                <w:color w:val="000000"/>
                <w:sz w:val="20"/>
                <w:szCs w:val="20"/>
              </w:rPr>
              <w:t>4.36</w:t>
            </w:r>
          </w:p>
        </w:tc>
        <w:tc>
          <w:tcPr>
            <w:tcW w:w="1744" w:type="dxa"/>
            <w:vAlign w:val="center"/>
          </w:tcPr>
          <w:p w14:paraId="6233E30B" w14:textId="3CBF4B47"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Times New Roman" w:hAnsi="Arial" w:cs="Arial"/>
                <w:color w:val="000000"/>
                <w:sz w:val="20"/>
                <w:szCs w:val="20"/>
              </w:rPr>
              <w:t>0.58</w:t>
            </w:r>
          </w:p>
        </w:tc>
        <w:tc>
          <w:tcPr>
            <w:tcW w:w="2250" w:type="dxa"/>
          </w:tcPr>
          <w:p w14:paraId="4083AA05" w14:textId="77777777" w:rsid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7B9A06DE" w14:textId="407AC27A"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E4000">
              <w:rPr>
                <w:rFonts w:ascii="Arial" w:eastAsia="Calibri" w:hAnsi="Arial" w:cs="Arial"/>
                <w:sz w:val="20"/>
                <w:szCs w:val="20"/>
              </w:rPr>
              <w:t>Always Manifested</w:t>
            </w:r>
          </w:p>
        </w:tc>
      </w:tr>
      <w:tr w:rsidR="00CE4000" w:rsidRPr="004D11F1" w14:paraId="7EF0A432" w14:textId="77777777" w:rsidTr="00CE4000">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3397" w:type="dxa"/>
          </w:tcPr>
          <w:p w14:paraId="1379DD81" w14:textId="42477BF7" w:rsidR="00CE4000" w:rsidRPr="00CE4000" w:rsidRDefault="00CE4000" w:rsidP="00CE4000">
            <w:pPr>
              <w:rPr>
                <w:rFonts w:ascii="Arial" w:hAnsi="Arial" w:cs="Arial"/>
                <w:b w:val="0"/>
                <w:bCs w:val="0"/>
                <w:sz w:val="20"/>
                <w:szCs w:val="20"/>
              </w:rPr>
            </w:pPr>
            <w:r w:rsidRPr="00CE4000">
              <w:rPr>
                <w:rFonts w:ascii="Arial" w:hAnsi="Arial" w:cs="Arial"/>
                <w:b w:val="0"/>
                <w:bCs w:val="0"/>
                <w:sz w:val="20"/>
                <w:szCs w:val="20"/>
              </w:rPr>
              <w:t>Understand the impact of interest rates on the total amount that needs to be repaid</w:t>
            </w:r>
          </w:p>
        </w:tc>
        <w:tc>
          <w:tcPr>
            <w:tcW w:w="884" w:type="dxa"/>
            <w:vAlign w:val="center"/>
          </w:tcPr>
          <w:p w14:paraId="4533492C" w14:textId="784A2B37"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000">
              <w:rPr>
                <w:rFonts w:ascii="Arial" w:eastAsia="Times New Roman" w:hAnsi="Arial" w:cs="Arial"/>
                <w:color w:val="000000"/>
                <w:sz w:val="20"/>
                <w:szCs w:val="20"/>
              </w:rPr>
              <w:t>4.27</w:t>
            </w:r>
          </w:p>
        </w:tc>
        <w:tc>
          <w:tcPr>
            <w:tcW w:w="1744" w:type="dxa"/>
            <w:vAlign w:val="center"/>
          </w:tcPr>
          <w:p w14:paraId="5B8AF65F" w14:textId="627B7FED"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000">
              <w:rPr>
                <w:rFonts w:ascii="Arial" w:eastAsia="Times New Roman" w:hAnsi="Arial" w:cs="Arial"/>
                <w:color w:val="000000"/>
                <w:sz w:val="20"/>
                <w:szCs w:val="20"/>
              </w:rPr>
              <w:t>0.58</w:t>
            </w:r>
          </w:p>
        </w:tc>
        <w:tc>
          <w:tcPr>
            <w:tcW w:w="2250" w:type="dxa"/>
          </w:tcPr>
          <w:p w14:paraId="56BFB04D" w14:textId="77777777" w:rsid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7D1A8F19" w14:textId="0F374787"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000">
              <w:rPr>
                <w:rFonts w:ascii="Arial" w:eastAsia="Calibri" w:hAnsi="Arial" w:cs="Arial"/>
                <w:sz w:val="20"/>
                <w:szCs w:val="20"/>
              </w:rPr>
              <w:t>Always Manifested</w:t>
            </w:r>
          </w:p>
        </w:tc>
      </w:tr>
      <w:tr w:rsidR="00CE4000" w:rsidRPr="004D11F1" w14:paraId="28D70DA4" w14:textId="77777777" w:rsidTr="00CE4000">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70D80494" w14:textId="45B06377" w:rsidR="00CE4000" w:rsidRPr="00CE4000" w:rsidRDefault="00CE4000" w:rsidP="00CE4000">
            <w:pPr>
              <w:rPr>
                <w:rFonts w:ascii="Arial" w:hAnsi="Arial" w:cs="Arial"/>
                <w:b w:val="0"/>
                <w:bCs w:val="0"/>
                <w:sz w:val="20"/>
                <w:szCs w:val="20"/>
              </w:rPr>
            </w:pPr>
            <w:r w:rsidRPr="00CE4000">
              <w:rPr>
                <w:rFonts w:ascii="Arial" w:hAnsi="Arial" w:cs="Arial"/>
                <w:b w:val="0"/>
                <w:bCs w:val="0"/>
                <w:sz w:val="20"/>
                <w:szCs w:val="20"/>
              </w:rPr>
              <w:t>Utilize financial tools, such as budgeting apps, to manage loan payments</w:t>
            </w:r>
          </w:p>
        </w:tc>
        <w:tc>
          <w:tcPr>
            <w:tcW w:w="884" w:type="dxa"/>
            <w:vAlign w:val="center"/>
          </w:tcPr>
          <w:p w14:paraId="2A3489B1" w14:textId="523F4124"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000">
              <w:rPr>
                <w:rFonts w:ascii="Arial" w:eastAsia="Times New Roman" w:hAnsi="Arial" w:cs="Arial"/>
                <w:color w:val="000000"/>
                <w:sz w:val="20"/>
                <w:szCs w:val="20"/>
              </w:rPr>
              <w:t>4.25</w:t>
            </w:r>
          </w:p>
        </w:tc>
        <w:tc>
          <w:tcPr>
            <w:tcW w:w="1744" w:type="dxa"/>
            <w:vAlign w:val="center"/>
          </w:tcPr>
          <w:p w14:paraId="3C9322BE" w14:textId="6A91E4B7"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000">
              <w:rPr>
                <w:rFonts w:ascii="Arial" w:eastAsia="Times New Roman" w:hAnsi="Arial" w:cs="Arial"/>
                <w:color w:val="000000"/>
                <w:sz w:val="20"/>
                <w:szCs w:val="20"/>
              </w:rPr>
              <w:t>0.68</w:t>
            </w:r>
          </w:p>
        </w:tc>
        <w:tc>
          <w:tcPr>
            <w:tcW w:w="2250" w:type="dxa"/>
          </w:tcPr>
          <w:p w14:paraId="699500F6" w14:textId="77777777" w:rsid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73A8ABE3" w14:textId="30528A6B"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000">
              <w:rPr>
                <w:rFonts w:ascii="Arial" w:eastAsia="Calibri" w:hAnsi="Arial" w:cs="Arial"/>
                <w:sz w:val="20"/>
                <w:szCs w:val="20"/>
              </w:rPr>
              <w:t>Always Manifested</w:t>
            </w:r>
          </w:p>
        </w:tc>
      </w:tr>
      <w:tr w:rsidR="00CE4000" w:rsidRPr="004D11F1" w14:paraId="35238F31" w14:textId="77777777" w:rsidTr="00CE400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397" w:type="dxa"/>
          </w:tcPr>
          <w:p w14:paraId="5D330EE3" w14:textId="639F85CF" w:rsidR="00CE4000" w:rsidRPr="00CE4000" w:rsidRDefault="00CE4000" w:rsidP="00CE4000">
            <w:pPr>
              <w:rPr>
                <w:rFonts w:ascii="Arial" w:eastAsia="Times New Roman" w:hAnsi="Arial" w:cs="Arial"/>
                <w:b w:val="0"/>
                <w:bCs w:val="0"/>
                <w:sz w:val="20"/>
                <w:szCs w:val="20"/>
              </w:rPr>
            </w:pPr>
            <w:r w:rsidRPr="00CE4000">
              <w:rPr>
                <w:rFonts w:ascii="Arial" w:eastAsia="Times New Roman" w:hAnsi="Arial" w:cs="Arial"/>
                <w:b w:val="0"/>
                <w:bCs w:val="0"/>
                <w:sz w:val="20"/>
                <w:szCs w:val="20"/>
              </w:rPr>
              <w:t>Know how to refinance a loan if necessary</w:t>
            </w:r>
          </w:p>
        </w:tc>
        <w:tc>
          <w:tcPr>
            <w:tcW w:w="884" w:type="dxa"/>
            <w:vAlign w:val="center"/>
          </w:tcPr>
          <w:p w14:paraId="0ACF1128" w14:textId="370CCFD9"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E4000">
              <w:rPr>
                <w:rFonts w:ascii="Arial" w:eastAsia="Times New Roman" w:hAnsi="Arial" w:cs="Arial"/>
                <w:color w:val="000000"/>
                <w:sz w:val="20"/>
                <w:szCs w:val="20"/>
              </w:rPr>
              <w:t>4.30</w:t>
            </w:r>
          </w:p>
        </w:tc>
        <w:tc>
          <w:tcPr>
            <w:tcW w:w="1744" w:type="dxa"/>
            <w:vAlign w:val="center"/>
          </w:tcPr>
          <w:p w14:paraId="44D1D438" w14:textId="5286270A"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E4000">
              <w:rPr>
                <w:rFonts w:ascii="Arial" w:eastAsia="Times New Roman" w:hAnsi="Arial" w:cs="Arial"/>
                <w:color w:val="000000"/>
                <w:sz w:val="20"/>
                <w:szCs w:val="20"/>
              </w:rPr>
              <w:t>0.67</w:t>
            </w:r>
          </w:p>
        </w:tc>
        <w:tc>
          <w:tcPr>
            <w:tcW w:w="2250" w:type="dxa"/>
          </w:tcPr>
          <w:p w14:paraId="40C73406" w14:textId="006E6A4E"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E4000">
              <w:rPr>
                <w:rFonts w:ascii="Arial" w:eastAsia="Calibri" w:hAnsi="Arial" w:cs="Arial"/>
                <w:sz w:val="20"/>
                <w:szCs w:val="20"/>
              </w:rPr>
              <w:t>Always Manifested</w:t>
            </w:r>
          </w:p>
        </w:tc>
      </w:tr>
      <w:tr w:rsidR="00CE4000" w:rsidRPr="004D11F1" w14:paraId="5D27D1A4" w14:textId="77777777" w:rsidTr="00CE4000">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30390971" w14:textId="729FF7AE" w:rsidR="00CE4000" w:rsidRPr="00CE4000" w:rsidRDefault="00CE4000" w:rsidP="00CE4000">
            <w:pPr>
              <w:rPr>
                <w:rFonts w:ascii="Arial" w:eastAsia="Times New Roman" w:hAnsi="Arial" w:cs="Arial"/>
                <w:b w:val="0"/>
                <w:bCs w:val="0"/>
                <w:sz w:val="20"/>
                <w:szCs w:val="20"/>
              </w:rPr>
            </w:pPr>
            <w:r w:rsidRPr="00CE4000">
              <w:rPr>
                <w:rFonts w:ascii="Arial" w:eastAsia="Times New Roman" w:hAnsi="Arial" w:cs="Arial"/>
                <w:b w:val="0"/>
                <w:bCs w:val="0"/>
                <w:sz w:val="20"/>
                <w:szCs w:val="20"/>
              </w:rPr>
              <w:t>Forecast finances to meet loan repayment obligations</w:t>
            </w:r>
          </w:p>
        </w:tc>
        <w:tc>
          <w:tcPr>
            <w:tcW w:w="884" w:type="dxa"/>
            <w:vAlign w:val="center"/>
          </w:tcPr>
          <w:p w14:paraId="172C0833" w14:textId="26E3AC88"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E4000">
              <w:rPr>
                <w:rFonts w:ascii="Arial" w:eastAsia="Times New Roman" w:hAnsi="Arial" w:cs="Arial"/>
                <w:color w:val="000000"/>
                <w:sz w:val="20"/>
                <w:szCs w:val="20"/>
              </w:rPr>
              <w:t>4.17</w:t>
            </w:r>
          </w:p>
        </w:tc>
        <w:tc>
          <w:tcPr>
            <w:tcW w:w="1744" w:type="dxa"/>
            <w:vAlign w:val="center"/>
          </w:tcPr>
          <w:p w14:paraId="0F433F55" w14:textId="52F173E0"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E4000">
              <w:rPr>
                <w:rFonts w:ascii="Arial" w:eastAsia="Times New Roman" w:hAnsi="Arial" w:cs="Arial"/>
                <w:color w:val="000000"/>
                <w:sz w:val="20"/>
                <w:szCs w:val="20"/>
              </w:rPr>
              <w:t>0.59</w:t>
            </w:r>
          </w:p>
        </w:tc>
        <w:tc>
          <w:tcPr>
            <w:tcW w:w="2250" w:type="dxa"/>
          </w:tcPr>
          <w:p w14:paraId="25C37A6A" w14:textId="77777777" w:rsid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21E15934" w14:textId="26DA74E7"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E4000">
              <w:rPr>
                <w:rFonts w:ascii="Arial" w:eastAsia="Calibri" w:hAnsi="Arial" w:cs="Arial"/>
                <w:sz w:val="20"/>
                <w:szCs w:val="20"/>
              </w:rPr>
              <w:t>Always Manifested</w:t>
            </w:r>
          </w:p>
        </w:tc>
      </w:tr>
      <w:tr w:rsidR="00CE4000" w:rsidRPr="004D11F1" w14:paraId="6127BF2E" w14:textId="77777777" w:rsidTr="0039657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tcPr>
          <w:p w14:paraId="5BA271CB" w14:textId="72ACAAE3" w:rsidR="00CE4000" w:rsidRPr="00CE4000" w:rsidRDefault="00CE4000" w:rsidP="00CE4000">
            <w:pPr>
              <w:rPr>
                <w:rFonts w:ascii="Arial" w:eastAsia="Times New Roman" w:hAnsi="Arial" w:cs="Arial"/>
                <w:b w:val="0"/>
                <w:bCs w:val="0"/>
                <w:sz w:val="20"/>
                <w:szCs w:val="20"/>
              </w:rPr>
            </w:pPr>
            <w:r w:rsidRPr="00CE4000">
              <w:rPr>
                <w:rFonts w:ascii="Arial" w:eastAsia="Times New Roman" w:hAnsi="Arial" w:cs="Arial"/>
                <w:b w:val="0"/>
                <w:bCs w:val="0"/>
                <w:sz w:val="20"/>
                <w:szCs w:val="20"/>
              </w:rPr>
              <w:t>Usually aware of steps to take if facing difficulties with loan repayment.</w:t>
            </w:r>
          </w:p>
        </w:tc>
        <w:tc>
          <w:tcPr>
            <w:tcW w:w="884" w:type="dxa"/>
            <w:vAlign w:val="center"/>
          </w:tcPr>
          <w:p w14:paraId="01F46433" w14:textId="4DFC1A5F"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E4000">
              <w:rPr>
                <w:rFonts w:ascii="Arial" w:eastAsia="Times New Roman" w:hAnsi="Arial" w:cs="Arial"/>
                <w:color w:val="000000"/>
                <w:sz w:val="20"/>
                <w:szCs w:val="20"/>
              </w:rPr>
              <w:t>4.38</w:t>
            </w:r>
          </w:p>
        </w:tc>
        <w:tc>
          <w:tcPr>
            <w:tcW w:w="1744" w:type="dxa"/>
            <w:vAlign w:val="center"/>
          </w:tcPr>
          <w:p w14:paraId="17B497C6" w14:textId="3863615C"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E4000">
              <w:rPr>
                <w:rFonts w:ascii="Arial" w:eastAsia="Times New Roman" w:hAnsi="Arial" w:cs="Arial"/>
                <w:color w:val="000000"/>
                <w:sz w:val="20"/>
                <w:szCs w:val="20"/>
              </w:rPr>
              <w:t>0.61</w:t>
            </w:r>
          </w:p>
        </w:tc>
        <w:tc>
          <w:tcPr>
            <w:tcW w:w="2250" w:type="dxa"/>
          </w:tcPr>
          <w:p w14:paraId="4FC731CA" w14:textId="77777777" w:rsid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062F56F6" w14:textId="72555C6A" w:rsidR="00CE4000" w:rsidRPr="00CE4000" w:rsidRDefault="00CE4000" w:rsidP="00CE4000">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E4000">
              <w:rPr>
                <w:rFonts w:ascii="Arial" w:eastAsia="Calibri" w:hAnsi="Arial" w:cs="Arial"/>
                <w:sz w:val="20"/>
                <w:szCs w:val="20"/>
              </w:rPr>
              <w:t>Always Manifested</w:t>
            </w:r>
          </w:p>
        </w:tc>
      </w:tr>
      <w:tr w:rsidR="00CE4000" w:rsidRPr="004D11F1" w14:paraId="5E707387" w14:textId="77777777" w:rsidTr="00CE4000">
        <w:trPr>
          <w:trHeight w:val="710"/>
        </w:trPr>
        <w:tc>
          <w:tcPr>
            <w:cnfStyle w:val="001000000000" w:firstRow="0" w:lastRow="0" w:firstColumn="1" w:lastColumn="0" w:oddVBand="0" w:evenVBand="0" w:oddHBand="0" w:evenHBand="0" w:firstRowFirstColumn="0" w:firstRowLastColumn="0" w:lastRowFirstColumn="0" w:lastRowLastColumn="0"/>
            <w:tcW w:w="3397" w:type="dxa"/>
          </w:tcPr>
          <w:p w14:paraId="4CDE412B" w14:textId="50AE9F84" w:rsidR="00CE4000" w:rsidRPr="00CE4000" w:rsidRDefault="00CE4000" w:rsidP="00CE4000">
            <w:pPr>
              <w:rPr>
                <w:rFonts w:ascii="Arial" w:hAnsi="Arial" w:cs="Arial"/>
                <w:b w:val="0"/>
                <w:bCs w:val="0"/>
                <w:sz w:val="20"/>
                <w:szCs w:val="20"/>
              </w:rPr>
            </w:pPr>
            <w:r w:rsidRPr="00CE4000">
              <w:rPr>
                <w:rFonts w:ascii="Arial" w:eastAsia="Times New Roman" w:hAnsi="Arial" w:cs="Arial"/>
                <w:b w:val="0"/>
                <w:bCs w:val="0"/>
                <w:sz w:val="20"/>
                <w:szCs w:val="20"/>
              </w:rPr>
              <w:t>Understand the legal consequences of failing to repay a loan.</w:t>
            </w:r>
          </w:p>
        </w:tc>
        <w:tc>
          <w:tcPr>
            <w:tcW w:w="884" w:type="dxa"/>
            <w:vAlign w:val="center"/>
          </w:tcPr>
          <w:p w14:paraId="0576F953" w14:textId="35F8F3EF"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E4000">
              <w:rPr>
                <w:rFonts w:ascii="Arial" w:eastAsia="Times New Roman" w:hAnsi="Arial" w:cs="Arial"/>
                <w:color w:val="000000"/>
                <w:sz w:val="20"/>
                <w:szCs w:val="20"/>
              </w:rPr>
              <w:t>4.37</w:t>
            </w:r>
          </w:p>
        </w:tc>
        <w:tc>
          <w:tcPr>
            <w:tcW w:w="1744" w:type="dxa"/>
            <w:vAlign w:val="center"/>
          </w:tcPr>
          <w:p w14:paraId="40478B71" w14:textId="2B0839CC"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E4000">
              <w:rPr>
                <w:rFonts w:ascii="Arial" w:eastAsia="Times New Roman" w:hAnsi="Arial" w:cs="Arial"/>
                <w:color w:val="000000"/>
                <w:sz w:val="20"/>
                <w:szCs w:val="20"/>
              </w:rPr>
              <w:t>0.59</w:t>
            </w:r>
          </w:p>
        </w:tc>
        <w:tc>
          <w:tcPr>
            <w:tcW w:w="2250" w:type="dxa"/>
          </w:tcPr>
          <w:p w14:paraId="7A405B16" w14:textId="77777777" w:rsid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13BD40ED" w14:textId="5F48786A" w:rsidR="00CE4000" w:rsidRPr="00CE4000" w:rsidRDefault="00CE4000" w:rsidP="00CE4000">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E4000">
              <w:rPr>
                <w:rFonts w:ascii="Arial" w:eastAsia="Calibri" w:hAnsi="Arial" w:cs="Arial"/>
                <w:sz w:val="20"/>
                <w:szCs w:val="20"/>
              </w:rPr>
              <w:t>Always Manifested</w:t>
            </w:r>
          </w:p>
        </w:tc>
      </w:tr>
      <w:tr w:rsidR="004D11F1" w:rsidRPr="004D11F1" w14:paraId="36A27F26"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1B0CDB0F" w14:textId="77777777" w:rsidR="004D11F1" w:rsidRPr="004D11F1" w:rsidRDefault="004D11F1" w:rsidP="00396572">
            <w:pPr>
              <w:jc w:val="center"/>
              <w:rPr>
                <w:rFonts w:ascii="Arial" w:hAnsi="Arial" w:cs="Arial"/>
                <w:color w:val="222222"/>
                <w:sz w:val="20"/>
                <w:szCs w:val="20"/>
                <w:shd w:val="clear" w:color="auto" w:fill="FFFFFF"/>
              </w:rPr>
            </w:pPr>
            <w:r w:rsidRPr="004D11F1">
              <w:rPr>
                <w:rFonts w:ascii="Arial" w:eastAsia="Times New Roman" w:hAnsi="Arial" w:cs="Arial"/>
                <w:color w:val="000000"/>
                <w:sz w:val="20"/>
                <w:szCs w:val="20"/>
              </w:rPr>
              <w:t>Average</w:t>
            </w:r>
          </w:p>
        </w:tc>
        <w:tc>
          <w:tcPr>
            <w:tcW w:w="884" w:type="dxa"/>
            <w:tcBorders>
              <w:bottom w:val="single" w:sz="12" w:space="0" w:color="auto"/>
            </w:tcBorders>
          </w:tcPr>
          <w:p w14:paraId="573CA032" w14:textId="77777777" w:rsidR="004D11F1" w:rsidRPr="004D11F1" w:rsidRDefault="004D11F1" w:rsidP="0039657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4D11F1">
              <w:rPr>
                <w:rFonts w:ascii="Arial" w:eastAsia="Times New Roman" w:hAnsi="Arial" w:cs="Arial"/>
                <w:b/>
                <w:bCs/>
                <w:color w:val="000000"/>
                <w:sz w:val="20"/>
                <w:szCs w:val="20"/>
              </w:rPr>
              <w:t>4.32</w:t>
            </w:r>
          </w:p>
        </w:tc>
        <w:tc>
          <w:tcPr>
            <w:tcW w:w="1744" w:type="dxa"/>
            <w:tcBorders>
              <w:bottom w:val="single" w:sz="12" w:space="0" w:color="auto"/>
            </w:tcBorders>
          </w:tcPr>
          <w:p w14:paraId="4BDA7E85" w14:textId="77777777" w:rsidR="004D11F1" w:rsidRPr="004D11F1" w:rsidRDefault="004D11F1" w:rsidP="0039657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4D11F1">
              <w:rPr>
                <w:rFonts w:ascii="Arial" w:eastAsia="Times New Roman" w:hAnsi="Arial" w:cs="Arial"/>
                <w:b/>
                <w:bCs/>
                <w:color w:val="000000"/>
                <w:sz w:val="20"/>
                <w:szCs w:val="20"/>
              </w:rPr>
              <w:t>0.35</w:t>
            </w:r>
          </w:p>
        </w:tc>
        <w:tc>
          <w:tcPr>
            <w:tcW w:w="2250" w:type="dxa"/>
            <w:tcBorders>
              <w:bottom w:val="single" w:sz="12" w:space="0" w:color="auto"/>
            </w:tcBorders>
          </w:tcPr>
          <w:p w14:paraId="1834A4C9" w14:textId="77777777" w:rsidR="004D11F1" w:rsidRPr="004D11F1" w:rsidRDefault="004D11F1" w:rsidP="0039657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4D11F1">
              <w:rPr>
                <w:rFonts w:ascii="Arial" w:eastAsia="Calibri" w:hAnsi="Arial" w:cs="Arial"/>
                <w:b/>
                <w:bCs/>
                <w:sz w:val="20"/>
                <w:szCs w:val="20"/>
              </w:rPr>
              <w:t>Always Manifested</w:t>
            </w:r>
          </w:p>
        </w:tc>
      </w:tr>
    </w:tbl>
    <w:p w14:paraId="310156C4" w14:textId="77777777" w:rsidR="004D11F1" w:rsidRDefault="004D11F1" w:rsidP="004D11F1">
      <w:pPr>
        <w:jc w:val="both"/>
        <w:rPr>
          <w:rFonts w:ascii="Arial" w:hAnsi="Arial" w:cs="Arial"/>
          <w:sz w:val="20"/>
          <w:szCs w:val="20"/>
        </w:rPr>
      </w:pPr>
    </w:p>
    <w:p w14:paraId="62263E58" w14:textId="258AEC35" w:rsidR="00CE4000" w:rsidRPr="00046C78" w:rsidRDefault="00CE4000" w:rsidP="00CE4000">
      <w:pPr>
        <w:ind w:firstLine="720"/>
        <w:jc w:val="both"/>
        <w:rPr>
          <w:rFonts w:ascii="Arial" w:hAnsi="Arial" w:cs="Arial"/>
          <w:sz w:val="20"/>
          <w:szCs w:val="20"/>
        </w:rPr>
      </w:pPr>
      <w:r w:rsidRPr="00046C78">
        <w:rPr>
          <w:rFonts w:ascii="Arial" w:hAnsi="Arial" w:cs="Arial"/>
          <w:bCs/>
          <w:sz w:val="20"/>
          <w:szCs w:val="20"/>
        </w:rPr>
        <w:t>Table 1</w:t>
      </w:r>
      <w:r w:rsidR="00610BE3">
        <w:rPr>
          <w:rFonts w:ascii="Arial" w:hAnsi="Arial" w:cs="Arial"/>
          <w:bCs/>
          <w:sz w:val="20"/>
          <w:szCs w:val="20"/>
        </w:rPr>
        <w:t>1</w:t>
      </w:r>
      <w:r w:rsidRPr="00046C78">
        <w:rPr>
          <w:rFonts w:ascii="Arial" w:hAnsi="Arial" w:cs="Arial"/>
          <w:bCs/>
          <w:sz w:val="20"/>
          <w:szCs w:val="20"/>
        </w:rPr>
        <w:t xml:space="preserve"> illustrates that the level of loan repayment, in terms of financial literacy, is consistently high (x̄ = 4.30). </w:t>
      </w:r>
      <w:r w:rsidRPr="00046C78">
        <w:rPr>
          <w:rFonts w:ascii="Arial" w:hAnsi="Arial" w:cs="Arial"/>
          <w:sz w:val="20"/>
          <w:szCs w:val="20"/>
        </w:rPr>
        <w:t xml:space="preserve">This indicates that debtors of home appliance dealers in </w:t>
      </w:r>
      <w:proofErr w:type="spellStart"/>
      <w:r w:rsidRPr="00046C78">
        <w:rPr>
          <w:rFonts w:ascii="Arial" w:hAnsi="Arial" w:cs="Arial"/>
          <w:sz w:val="20"/>
          <w:szCs w:val="20"/>
        </w:rPr>
        <w:t>Cateel</w:t>
      </w:r>
      <w:proofErr w:type="spellEnd"/>
      <w:r w:rsidRPr="00046C78">
        <w:rPr>
          <w:rFonts w:ascii="Arial" w:hAnsi="Arial" w:cs="Arial"/>
          <w:sz w:val="20"/>
          <w:szCs w:val="20"/>
        </w:rPr>
        <w:t xml:space="preserve"> consistently demonstrate a high level of financial literacy. Reflecting a well-informed and capable approach to managing loan repayment responsibilities.</w:t>
      </w:r>
    </w:p>
    <w:p w14:paraId="35F27AB5" w14:textId="0A567416" w:rsidR="00690DF5" w:rsidRDefault="00CE4000" w:rsidP="00CE4000">
      <w:pPr>
        <w:ind w:firstLine="720"/>
        <w:jc w:val="both"/>
        <w:rPr>
          <w:rFonts w:ascii="Arial" w:hAnsi="Arial" w:cs="Arial"/>
          <w:sz w:val="20"/>
          <w:szCs w:val="20"/>
        </w:rPr>
      </w:pPr>
      <w:r w:rsidRPr="00046C78">
        <w:rPr>
          <w:rFonts w:ascii="Arial" w:hAnsi="Arial" w:cs="Arial"/>
          <w:sz w:val="20"/>
          <w:szCs w:val="20"/>
        </w:rPr>
        <w:t xml:space="preserve">The study by Van </w:t>
      </w:r>
      <w:proofErr w:type="spellStart"/>
      <w:r w:rsidRPr="00046C78">
        <w:rPr>
          <w:rFonts w:ascii="Arial" w:hAnsi="Arial" w:cs="Arial"/>
          <w:sz w:val="20"/>
          <w:szCs w:val="20"/>
        </w:rPr>
        <w:t>Ooijen</w:t>
      </w:r>
      <w:proofErr w:type="spellEnd"/>
      <w:r w:rsidRPr="00046C78">
        <w:rPr>
          <w:rFonts w:ascii="Arial" w:hAnsi="Arial" w:cs="Arial"/>
          <w:sz w:val="20"/>
          <w:szCs w:val="20"/>
        </w:rPr>
        <w:t xml:space="preserve"> supports this result, and Van </w:t>
      </w:r>
      <w:proofErr w:type="spellStart"/>
      <w:r w:rsidRPr="00046C78">
        <w:rPr>
          <w:rFonts w:ascii="Arial" w:hAnsi="Arial" w:cs="Arial"/>
          <w:sz w:val="20"/>
          <w:szCs w:val="20"/>
        </w:rPr>
        <w:t>Rooij</w:t>
      </w:r>
      <w:proofErr w:type="spellEnd"/>
      <w:r w:rsidRPr="00046C78">
        <w:rPr>
          <w:rFonts w:ascii="Arial" w:hAnsi="Arial" w:cs="Arial"/>
          <w:sz w:val="20"/>
          <w:szCs w:val="20"/>
        </w:rPr>
        <w:t xml:space="preserve"> (2016) states that self-informed borrowers exhibit responsible repayment behaviors, thereby lowering credit risk. </w:t>
      </w:r>
      <w:r w:rsidRPr="00046C78">
        <w:rPr>
          <w:rFonts w:ascii="Arial" w:hAnsi="Arial" w:cs="Arial"/>
          <w:bCs/>
          <w:sz w:val="20"/>
          <w:szCs w:val="20"/>
        </w:rPr>
        <w:t xml:space="preserve">Furthermore, </w:t>
      </w:r>
      <w:r w:rsidRPr="00046C78">
        <w:rPr>
          <w:rFonts w:ascii="Arial" w:hAnsi="Arial" w:cs="Arial"/>
          <w:sz w:val="20"/>
          <w:szCs w:val="20"/>
        </w:rPr>
        <w:t>Scott et al. (2024) stated that financial literacy affects borrowers' understanding of loan obligations, aligning with Melton's theory of credit risk, which emphasizes the importance of borrower awareness in reducing credit risk.</w:t>
      </w:r>
    </w:p>
    <w:p w14:paraId="4E37D1F1" w14:textId="122CEF4C" w:rsidR="00610BE3" w:rsidRPr="00610BE3" w:rsidRDefault="00610BE3" w:rsidP="00610BE3">
      <w:pPr>
        <w:pStyle w:val="NoSpacing"/>
        <w:rPr>
          <w:rFonts w:ascii="Arial" w:hAnsi="Arial" w:cs="Arial"/>
          <w:sz w:val="20"/>
          <w:szCs w:val="20"/>
        </w:rPr>
      </w:pPr>
      <w:r w:rsidRPr="00620CF3">
        <w:rPr>
          <w:rFonts w:ascii="Arial" w:hAnsi="Arial" w:cs="Arial"/>
          <w:b/>
          <w:bCs/>
          <w:sz w:val="20"/>
          <w:szCs w:val="20"/>
        </w:rPr>
        <w:t>Table 12</w:t>
      </w:r>
      <w:r w:rsidR="00620CF3">
        <w:rPr>
          <w:rFonts w:ascii="Arial" w:hAnsi="Arial" w:cs="Arial"/>
          <w:sz w:val="20"/>
          <w:szCs w:val="20"/>
        </w:rPr>
        <w:t>. L</w:t>
      </w:r>
      <w:r w:rsidRPr="00610BE3">
        <w:rPr>
          <w:rFonts w:ascii="Arial" w:hAnsi="Arial" w:cs="Arial"/>
          <w:sz w:val="20"/>
          <w:szCs w:val="20"/>
        </w:rPr>
        <w:t>evel of loan repayment in terms of generation and reinvestment needs</w:t>
      </w:r>
    </w:p>
    <w:tbl>
      <w:tblPr>
        <w:tblStyle w:val="PlainTable21"/>
        <w:tblW w:w="8275" w:type="dxa"/>
        <w:tblLook w:val="04A0" w:firstRow="1" w:lastRow="0" w:firstColumn="1" w:lastColumn="0" w:noHBand="0" w:noVBand="1"/>
      </w:tblPr>
      <w:tblGrid>
        <w:gridCol w:w="3397"/>
        <w:gridCol w:w="884"/>
        <w:gridCol w:w="1744"/>
        <w:gridCol w:w="2250"/>
      </w:tblGrid>
      <w:tr w:rsidR="00610BE3" w:rsidRPr="007D3495" w14:paraId="70F4D679"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489C9E6C" w14:textId="77777777" w:rsidR="00610BE3" w:rsidRPr="007D3495" w:rsidRDefault="00610BE3" w:rsidP="00396572">
            <w:pPr>
              <w:jc w:val="center"/>
              <w:rPr>
                <w:rFonts w:ascii="Arial" w:hAnsi="Arial" w:cs="Arial"/>
                <w:color w:val="222222"/>
                <w:sz w:val="20"/>
                <w:szCs w:val="20"/>
                <w:shd w:val="clear" w:color="auto" w:fill="FFFFFF"/>
              </w:rPr>
            </w:pPr>
            <w:r w:rsidRPr="007D3495">
              <w:rPr>
                <w:rFonts w:ascii="Arial" w:hAnsi="Arial" w:cs="Arial"/>
                <w:sz w:val="20"/>
                <w:szCs w:val="20"/>
              </w:rPr>
              <w:t>Description</w:t>
            </w:r>
          </w:p>
        </w:tc>
        <w:tc>
          <w:tcPr>
            <w:tcW w:w="884" w:type="dxa"/>
            <w:tcBorders>
              <w:top w:val="single" w:sz="12" w:space="0" w:color="auto"/>
            </w:tcBorders>
          </w:tcPr>
          <w:p w14:paraId="3B7671D9" w14:textId="77777777" w:rsidR="00610BE3" w:rsidRPr="007D3495" w:rsidRDefault="00610BE3"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Mean</w:t>
            </w:r>
          </w:p>
        </w:tc>
        <w:tc>
          <w:tcPr>
            <w:tcW w:w="1744" w:type="dxa"/>
            <w:tcBorders>
              <w:top w:val="single" w:sz="12" w:space="0" w:color="auto"/>
            </w:tcBorders>
          </w:tcPr>
          <w:p w14:paraId="49FA58CA" w14:textId="77777777" w:rsidR="00610BE3" w:rsidRPr="007D3495" w:rsidRDefault="00610BE3"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Std. deviation</w:t>
            </w:r>
          </w:p>
        </w:tc>
        <w:tc>
          <w:tcPr>
            <w:tcW w:w="2250" w:type="dxa"/>
            <w:tcBorders>
              <w:top w:val="single" w:sz="12" w:space="0" w:color="auto"/>
            </w:tcBorders>
          </w:tcPr>
          <w:p w14:paraId="242D17C0" w14:textId="77777777" w:rsidR="00610BE3" w:rsidRPr="007D3495" w:rsidRDefault="00610BE3"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Descriptive Level</w:t>
            </w:r>
          </w:p>
        </w:tc>
      </w:tr>
      <w:tr w:rsidR="00610BE3" w:rsidRPr="007D3495" w14:paraId="1F8D47C9"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BD4C2DC" w14:textId="093D2E4A" w:rsidR="00610BE3" w:rsidRPr="007D3495" w:rsidRDefault="00610BE3" w:rsidP="00610BE3">
            <w:pPr>
              <w:rPr>
                <w:rFonts w:ascii="Arial" w:hAnsi="Arial" w:cs="Arial"/>
                <w:b w:val="0"/>
                <w:bCs w:val="0"/>
                <w:color w:val="222222"/>
                <w:sz w:val="20"/>
                <w:szCs w:val="20"/>
                <w:shd w:val="clear" w:color="auto" w:fill="FFFFFF"/>
              </w:rPr>
            </w:pPr>
            <w:r w:rsidRPr="007D3495">
              <w:rPr>
                <w:rFonts w:ascii="Arial" w:eastAsia="Times New Roman" w:hAnsi="Arial" w:cs="Arial"/>
                <w:b w:val="0"/>
                <w:bCs w:val="0"/>
                <w:sz w:val="20"/>
                <w:szCs w:val="20"/>
              </w:rPr>
              <w:t>Consider income sources when planning for loan repayments</w:t>
            </w:r>
          </w:p>
        </w:tc>
        <w:tc>
          <w:tcPr>
            <w:tcW w:w="884" w:type="dxa"/>
            <w:vAlign w:val="center"/>
          </w:tcPr>
          <w:p w14:paraId="2C446922" w14:textId="3A244ACD"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4.29</w:t>
            </w:r>
          </w:p>
        </w:tc>
        <w:tc>
          <w:tcPr>
            <w:tcW w:w="1744" w:type="dxa"/>
            <w:vAlign w:val="center"/>
          </w:tcPr>
          <w:p w14:paraId="578216E4" w14:textId="159416F3"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0.65</w:t>
            </w:r>
          </w:p>
        </w:tc>
        <w:tc>
          <w:tcPr>
            <w:tcW w:w="2250" w:type="dxa"/>
          </w:tcPr>
          <w:p w14:paraId="34B504FE" w14:textId="76344863"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Calibri" w:hAnsi="Arial" w:cs="Arial"/>
                <w:sz w:val="20"/>
                <w:szCs w:val="20"/>
              </w:rPr>
              <w:t>Always Manifested</w:t>
            </w:r>
          </w:p>
        </w:tc>
      </w:tr>
      <w:tr w:rsidR="00610BE3" w:rsidRPr="007D3495" w14:paraId="72057FCE"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0A07B6C0" w14:textId="6299A0E9" w:rsidR="00610BE3" w:rsidRPr="007D3495" w:rsidRDefault="00610BE3" w:rsidP="00610BE3">
            <w:pPr>
              <w:rPr>
                <w:rFonts w:ascii="Arial" w:hAnsi="Arial" w:cs="Arial"/>
                <w:b w:val="0"/>
                <w:bCs w:val="0"/>
                <w:color w:val="222222"/>
                <w:sz w:val="20"/>
                <w:szCs w:val="20"/>
                <w:shd w:val="clear" w:color="auto" w:fill="FFFFFF"/>
              </w:rPr>
            </w:pPr>
            <w:r w:rsidRPr="007D3495">
              <w:rPr>
                <w:rFonts w:ascii="Arial" w:eastAsia="Times New Roman" w:hAnsi="Arial" w:cs="Arial"/>
                <w:b w:val="0"/>
                <w:bCs w:val="0"/>
                <w:sz w:val="20"/>
                <w:szCs w:val="20"/>
              </w:rPr>
              <w:t>It is important to generate additional income to repay the loan</w:t>
            </w:r>
          </w:p>
        </w:tc>
        <w:tc>
          <w:tcPr>
            <w:tcW w:w="884" w:type="dxa"/>
            <w:vAlign w:val="center"/>
          </w:tcPr>
          <w:p w14:paraId="64FA9739" w14:textId="48A0B719"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4.20</w:t>
            </w:r>
          </w:p>
        </w:tc>
        <w:tc>
          <w:tcPr>
            <w:tcW w:w="1744" w:type="dxa"/>
            <w:vAlign w:val="center"/>
          </w:tcPr>
          <w:p w14:paraId="7C885DBD" w14:textId="1CF557B4"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0.57</w:t>
            </w:r>
          </w:p>
        </w:tc>
        <w:tc>
          <w:tcPr>
            <w:tcW w:w="2250" w:type="dxa"/>
          </w:tcPr>
          <w:p w14:paraId="16811B6A" w14:textId="2357DD2F"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Calibri" w:hAnsi="Arial" w:cs="Arial"/>
                <w:sz w:val="20"/>
                <w:szCs w:val="20"/>
              </w:rPr>
              <w:t>Often Manifested</w:t>
            </w:r>
          </w:p>
        </w:tc>
      </w:tr>
      <w:tr w:rsidR="00610BE3" w:rsidRPr="007D3495" w14:paraId="40CD12E2"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804FAEB" w14:textId="2EDBC88B" w:rsidR="00610BE3" w:rsidRPr="007D3495" w:rsidRDefault="00610BE3" w:rsidP="00610BE3">
            <w:pPr>
              <w:rPr>
                <w:rFonts w:ascii="Arial" w:hAnsi="Arial" w:cs="Arial"/>
                <w:b w:val="0"/>
                <w:bCs w:val="0"/>
                <w:color w:val="222222"/>
                <w:sz w:val="20"/>
                <w:szCs w:val="20"/>
                <w:shd w:val="clear" w:color="auto" w:fill="FFFFFF"/>
              </w:rPr>
            </w:pPr>
            <w:r w:rsidRPr="007D3495">
              <w:rPr>
                <w:rFonts w:ascii="Arial" w:eastAsia="Times New Roman" w:hAnsi="Arial" w:cs="Arial"/>
                <w:b w:val="0"/>
                <w:bCs w:val="0"/>
                <w:sz w:val="20"/>
                <w:szCs w:val="20"/>
              </w:rPr>
              <w:lastRenderedPageBreak/>
              <w:t>Set aside a portion of income specifically for loan repayments</w:t>
            </w:r>
          </w:p>
        </w:tc>
        <w:tc>
          <w:tcPr>
            <w:tcW w:w="884" w:type="dxa"/>
            <w:vAlign w:val="center"/>
          </w:tcPr>
          <w:p w14:paraId="521AF797" w14:textId="381D788C" w:rsidR="00610BE3" w:rsidRPr="007D3495" w:rsidRDefault="00610BE3" w:rsidP="007D3495">
            <w:pPr>
              <w:tabs>
                <w:tab w:val="center" w:pos="334"/>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4.25</w:t>
            </w:r>
          </w:p>
        </w:tc>
        <w:tc>
          <w:tcPr>
            <w:tcW w:w="1744" w:type="dxa"/>
            <w:vAlign w:val="center"/>
          </w:tcPr>
          <w:p w14:paraId="6F993D1C" w14:textId="5611F046"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0.54</w:t>
            </w:r>
          </w:p>
        </w:tc>
        <w:tc>
          <w:tcPr>
            <w:tcW w:w="2250" w:type="dxa"/>
          </w:tcPr>
          <w:p w14:paraId="64CA5288" w14:textId="4DBDFCD9" w:rsidR="00610BE3" w:rsidRPr="007D3495" w:rsidRDefault="00610BE3" w:rsidP="007D3495">
            <w:pPr>
              <w:tabs>
                <w:tab w:val="left" w:pos="210"/>
                <w:tab w:val="center" w:pos="1017"/>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Calibri" w:hAnsi="Arial" w:cs="Arial"/>
                <w:sz w:val="20"/>
                <w:szCs w:val="20"/>
              </w:rPr>
              <w:t>Often Manifested</w:t>
            </w:r>
          </w:p>
        </w:tc>
      </w:tr>
      <w:tr w:rsidR="00610BE3" w:rsidRPr="007D3495" w14:paraId="02975783"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165A3C06" w14:textId="3F7DB5FA" w:rsidR="00610BE3" w:rsidRPr="007D3495" w:rsidRDefault="00610BE3" w:rsidP="00610BE3">
            <w:pPr>
              <w:rPr>
                <w:rFonts w:ascii="Arial" w:hAnsi="Arial" w:cs="Arial"/>
                <w:b w:val="0"/>
                <w:bCs w:val="0"/>
                <w:color w:val="222222"/>
                <w:sz w:val="20"/>
                <w:szCs w:val="20"/>
                <w:shd w:val="clear" w:color="auto" w:fill="FFFFFF"/>
              </w:rPr>
            </w:pPr>
            <w:r w:rsidRPr="007D3495">
              <w:rPr>
                <w:rFonts w:ascii="Arial" w:eastAsia="Times New Roman" w:hAnsi="Arial" w:cs="Arial"/>
                <w:b w:val="0"/>
                <w:bCs w:val="0"/>
                <w:sz w:val="20"/>
                <w:szCs w:val="20"/>
              </w:rPr>
              <w:t>Always think about loan repayment when making reinvestment decisions</w:t>
            </w:r>
          </w:p>
        </w:tc>
        <w:tc>
          <w:tcPr>
            <w:tcW w:w="884" w:type="dxa"/>
            <w:vAlign w:val="center"/>
          </w:tcPr>
          <w:p w14:paraId="1EBD7671" w14:textId="294ABEEE"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4.33</w:t>
            </w:r>
          </w:p>
        </w:tc>
        <w:tc>
          <w:tcPr>
            <w:tcW w:w="1744" w:type="dxa"/>
            <w:vAlign w:val="center"/>
          </w:tcPr>
          <w:p w14:paraId="657592BB" w14:textId="0609F9EA"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0.59</w:t>
            </w:r>
          </w:p>
        </w:tc>
        <w:tc>
          <w:tcPr>
            <w:tcW w:w="2250" w:type="dxa"/>
          </w:tcPr>
          <w:p w14:paraId="7389A54C" w14:textId="7480189D"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Calibri" w:hAnsi="Arial" w:cs="Arial"/>
                <w:sz w:val="20"/>
                <w:szCs w:val="20"/>
              </w:rPr>
              <w:t>Always Manifested</w:t>
            </w:r>
          </w:p>
        </w:tc>
      </w:tr>
      <w:tr w:rsidR="00610BE3" w:rsidRPr="007D3495" w14:paraId="1D13A231" w14:textId="77777777" w:rsidTr="00396572">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3397" w:type="dxa"/>
          </w:tcPr>
          <w:p w14:paraId="0304FCA8" w14:textId="17F77A89" w:rsidR="00610BE3" w:rsidRPr="007D3495" w:rsidRDefault="00610BE3" w:rsidP="00610BE3">
            <w:pPr>
              <w:rPr>
                <w:rFonts w:ascii="Arial" w:hAnsi="Arial" w:cs="Arial"/>
                <w:b w:val="0"/>
                <w:bCs w:val="0"/>
                <w:sz w:val="20"/>
                <w:szCs w:val="20"/>
              </w:rPr>
            </w:pPr>
            <w:r w:rsidRPr="007D3495">
              <w:rPr>
                <w:rFonts w:ascii="Arial" w:eastAsia="Times New Roman" w:hAnsi="Arial" w:cs="Arial"/>
                <w:b w:val="0"/>
                <w:bCs w:val="0"/>
                <w:sz w:val="20"/>
                <w:szCs w:val="20"/>
              </w:rPr>
              <w:t>Reinvest the income to ensure meet loan repayment deadlines</w:t>
            </w:r>
          </w:p>
        </w:tc>
        <w:tc>
          <w:tcPr>
            <w:tcW w:w="884" w:type="dxa"/>
            <w:vAlign w:val="center"/>
          </w:tcPr>
          <w:p w14:paraId="715D781F" w14:textId="747EB6B3"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3495">
              <w:rPr>
                <w:rFonts w:ascii="Arial" w:eastAsia="Times New Roman" w:hAnsi="Arial" w:cs="Arial"/>
                <w:color w:val="000000"/>
                <w:sz w:val="20"/>
                <w:szCs w:val="20"/>
              </w:rPr>
              <w:t>3.88</w:t>
            </w:r>
          </w:p>
        </w:tc>
        <w:tc>
          <w:tcPr>
            <w:tcW w:w="1744" w:type="dxa"/>
            <w:vAlign w:val="center"/>
          </w:tcPr>
          <w:p w14:paraId="29D62BDA" w14:textId="2C1F7FC5"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3495">
              <w:rPr>
                <w:rFonts w:ascii="Arial" w:eastAsia="Times New Roman" w:hAnsi="Arial" w:cs="Arial"/>
                <w:color w:val="000000"/>
                <w:sz w:val="20"/>
                <w:szCs w:val="20"/>
              </w:rPr>
              <w:t>0.77</w:t>
            </w:r>
          </w:p>
        </w:tc>
        <w:tc>
          <w:tcPr>
            <w:tcW w:w="2250" w:type="dxa"/>
          </w:tcPr>
          <w:p w14:paraId="47B24526" w14:textId="69244C72"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3495">
              <w:rPr>
                <w:rFonts w:ascii="Arial" w:eastAsia="Calibri" w:hAnsi="Arial" w:cs="Arial"/>
                <w:sz w:val="20"/>
                <w:szCs w:val="20"/>
              </w:rPr>
              <w:t>Often Manifested</w:t>
            </w:r>
          </w:p>
        </w:tc>
      </w:tr>
      <w:tr w:rsidR="00610BE3" w:rsidRPr="007D3495" w14:paraId="63BBEFC9"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1541EE0C" w14:textId="1CFF599C" w:rsidR="00610BE3" w:rsidRPr="007D3495" w:rsidRDefault="00610BE3" w:rsidP="00610BE3">
            <w:pPr>
              <w:rPr>
                <w:rFonts w:ascii="Arial" w:hAnsi="Arial" w:cs="Arial"/>
                <w:b w:val="0"/>
                <w:bCs w:val="0"/>
                <w:sz w:val="20"/>
                <w:szCs w:val="20"/>
              </w:rPr>
            </w:pPr>
            <w:r w:rsidRPr="007D3495">
              <w:rPr>
                <w:rFonts w:ascii="Arial" w:eastAsia="Times New Roman" w:hAnsi="Arial" w:cs="Arial"/>
                <w:b w:val="0"/>
                <w:bCs w:val="0"/>
                <w:sz w:val="20"/>
                <w:szCs w:val="20"/>
              </w:rPr>
              <w:t>View loan repayment as part of my expenses</w:t>
            </w:r>
          </w:p>
        </w:tc>
        <w:tc>
          <w:tcPr>
            <w:tcW w:w="884" w:type="dxa"/>
            <w:vAlign w:val="center"/>
          </w:tcPr>
          <w:p w14:paraId="1D55F756" w14:textId="05098971"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3495">
              <w:rPr>
                <w:rFonts w:ascii="Arial" w:eastAsia="Times New Roman" w:hAnsi="Arial" w:cs="Arial"/>
                <w:color w:val="000000"/>
                <w:sz w:val="20"/>
                <w:szCs w:val="20"/>
              </w:rPr>
              <w:t>4.05</w:t>
            </w:r>
          </w:p>
        </w:tc>
        <w:tc>
          <w:tcPr>
            <w:tcW w:w="1744" w:type="dxa"/>
            <w:vAlign w:val="center"/>
          </w:tcPr>
          <w:p w14:paraId="05FE61D5" w14:textId="11C32A02"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3495">
              <w:rPr>
                <w:rFonts w:ascii="Arial" w:eastAsia="Times New Roman" w:hAnsi="Arial" w:cs="Arial"/>
                <w:color w:val="000000"/>
                <w:sz w:val="20"/>
                <w:szCs w:val="20"/>
              </w:rPr>
              <w:t>0.61</w:t>
            </w:r>
          </w:p>
        </w:tc>
        <w:tc>
          <w:tcPr>
            <w:tcW w:w="2250" w:type="dxa"/>
          </w:tcPr>
          <w:p w14:paraId="7A427CD5" w14:textId="3E80EEBB"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3495">
              <w:rPr>
                <w:rFonts w:ascii="Arial" w:eastAsia="Calibri" w:hAnsi="Arial" w:cs="Arial"/>
                <w:sz w:val="20"/>
                <w:szCs w:val="20"/>
              </w:rPr>
              <w:t>Often Manifested</w:t>
            </w:r>
          </w:p>
        </w:tc>
      </w:tr>
      <w:tr w:rsidR="00610BE3" w:rsidRPr="007D3495" w14:paraId="758D3F0B" w14:textId="77777777" w:rsidTr="0039657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397" w:type="dxa"/>
          </w:tcPr>
          <w:p w14:paraId="3BEAEE53" w14:textId="6944128C" w:rsidR="00610BE3" w:rsidRPr="007D3495" w:rsidRDefault="00610BE3" w:rsidP="00610BE3">
            <w:pPr>
              <w:rPr>
                <w:rFonts w:ascii="Arial" w:eastAsia="Times New Roman" w:hAnsi="Arial" w:cs="Arial"/>
                <w:b w:val="0"/>
                <w:bCs w:val="0"/>
                <w:sz w:val="20"/>
                <w:szCs w:val="20"/>
              </w:rPr>
            </w:pPr>
            <w:r w:rsidRPr="007D3495">
              <w:rPr>
                <w:rFonts w:ascii="Arial" w:eastAsia="Times New Roman" w:hAnsi="Arial" w:cs="Arial"/>
                <w:b w:val="0"/>
                <w:bCs w:val="0"/>
                <w:sz w:val="20"/>
                <w:szCs w:val="20"/>
              </w:rPr>
              <w:t>Plan loan repayments based on expected future income</w:t>
            </w:r>
          </w:p>
        </w:tc>
        <w:tc>
          <w:tcPr>
            <w:tcW w:w="884" w:type="dxa"/>
            <w:vAlign w:val="center"/>
          </w:tcPr>
          <w:p w14:paraId="3EC5CD1B" w14:textId="5646156A"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4.33</w:t>
            </w:r>
          </w:p>
        </w:tc>
        <w:tc>
          <w:tcPr>
            <w:tcW w:w="1744" w:type="dxa"/>
            <w:vAlign w:val="center"/>
          </w:tcPr>
          <w:p w14:paraId="455A4E50" w14:textId="6232C060"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0.59</w:t>
            </w:r>
          </w:p>
        </w:tc>
        <w:tc>
          <w:tcPr>
            <w:tcW w:w="2250" w:type="dxa"/>
          </w:tcPr>
          <w:p w14:paraId="347B342C" w14:textId="53FD6294"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D3495">
              <w:rPr>
                <w:rFonts w:ascii="Arial" w:eastAsia="Calibri" w:hAnsi="Arial" w:cs="Arial"/>
                <w:sz w:val="20"/>
                <w:szCs w:val="20"/>
              </w:rPr>
              <w:t>Always Manifested</w:t>
            </w:r>
          </w:p>
        </w:tc>
      </w:tr>
      <w:tr w:rsidR="00610BE3" w:rsidRPr="007D3495" w14:paraId="1B9859A3"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46B878A4" w14:textId="57FF74E7" w:rsidR="00610BE3" w:rsidRPr="007D3495" w:rsidRDefault="00610BE3" w:rsidP="00610BE3">
            <w:pPr>
              <w:rPr>
                <w:rFonts w:ascii="Arial" w:eastAsia="Times New Roman" w:hAnsi="Arial" w:cs="Arial"/>
                <w:b w:val="0"/>
                <w:bCs w:val="0"/>
                <w:sz w:val="20"/>
                <w:szCs w:val="20"/>
              </w:rPr>
            </w:pPr>
            <w:r w:rsidRPr="007D3495">
              <w:rPr>
                <w:rFonts w:ascii="Arial" w:eastAsia="Times New Roman" w:hAnsi="Arial" w:cs="Arial"/>
                <w:b w:val="0"/>
                <w:bCs w:val="0"/>
                <w:sz w:val="20"/>
                <w:szCs w:val="20"/>
              </w:rPr>
              <w:t>Prioritize reinvesting profits to help cover loan repayments</w:t>
            </w:r>
          </w:p>
        </w:tc>
        <w:tc>
          <w:tcPr>
            <w:tcW w:w="884" w:type="dxa"/>
            <w:vAlign w:val="center"/>
          </w:tcPr>
          <w:p w14:paraId="2DF8F7EE" w14:textId="475024B8"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4.20</w:t>
            </w:r>
          </w:p>
        </w:tc>
        <w:tc>
          <w:tcPr>
            <w:tcW w:w="1744" w:type="dxa"/>
            <w:vAlign w:val="center"/>
          </w:tcPr>
          <w:p w14:paraId="434C42D2" w14:textId="7FD12F0D"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0.68</w:t>
            </w:r>
          </w:p>
        </w:tc>
        <w:tc>
          <w:tcPr>
            <w:tcW w:w="2250" w:type="dxa"/>
          </w:tcPr>
          <w:p w14:paraId="71CE8A30" w14:textId="0102C34D"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D3495">
              <w:rPr>
                <w:rFonts w:ascii="Arial" w:eastAsia="Calibri" w:hAnsi="Arial" w:cs="Arial"/>
                <w:sz w:val="20"/>
                <w:szCs w:val="20"/>
              </w:rPr>
              <w:t>Often Manifested</w:t>
            </w:r>
          </w:p>
        </w:tc>
      </w:tr>
      <w:tr w:rsidR="00610BE3" w:rsidRPr="007D3495" w14:paraId="04BEC287" w14:textId="77777777" w:rsidTr="0039657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tcPr>
          <w:p w14:paraId="3EB381FB" w14:textId="7A4E15B5" w:rsidR="00610BE3" w:rsidRPr="007D3495" w:rsidRDefault="00610BE3" w:rsidP="00610BE3">
            <w:pPr>
              <w:rPr>
                <w:rFonts w:ascii="Arial" w:eastAsia="Times New Roman" w:hAnsi="Arial" w:cs="Arial"/>
                <w:b w:val="0"/>
                <w:bCs w:val="0"/>
                <w:sz w:val="20"/>
                <w:szCs w:val="20"/>
              </w:rPr>
            </w:pPr>
            <w:r w:rsidRPr="007D3495">
              <w:rPr>
                <w:rFonts w:ascii="Arial" w:eastAsia="Times New Roman" w:hAnsi="Arial" w:cs="Arial"/>
                <w:b w:val="0"/>
                <w:bCs w:val="0"/>
                <w:sz w:val="20"/>
                <w:szCs w:val="20"/>
              </w:rPr>
              <w:t>Reassess financial plans regularly to ensure loan repayment obligations are met.</w:t>
            </w:r>
          </w:p>
        </w:tc>
        <w:tc>
          <w:tcPr>
            <w:tcW w:w="884" w:type="dxa"/>
            <w:vAlign w:val="center"/>
          </w:tcPr>
          <w:p w14:paraId="078E43C4" w14:textId="4257098C"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4.43</w:t>
            </w:r>
          </w:p>
        </w:tc>
        <w:tc>
          <w:tcPr>
            <w:tcW w:w="1744" w:type="dxa"/>
            <w:vAlign w:val="center"/>
          </w:tcPr>
          <w:p w14:paraId="77CA77EA" w14:textId="082FF8DF"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0.59</w:t>
            </w:r>
          </w:p>
        </w:tc>
        <w:tc>
          <w:tcPr>
            <w:tcW w:w="2250" w:type="dxa"/>
          </w:tcPr>
          <w:p w14:paraId="6ADB93B7" w14:textId="3261133B" w:rsidR="00610BE3" w:rsidRPr="007D3495" w:rsidRDefault="00610BE3" w:rsidP="007D34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D3495">
              <w:rPr>
                <w:rFonts w:ascii="Arial" w:eastAsia="Calibri" w:hAnsi="Arial" w:cs="Arial"/>
                <w:sz w:val="20"/>
                <w:szCs w:val="20"/>
              </w:rPr>
              <w:t>Always Manifested</w:t>
            </w:r>
          </w:p>
        </w:tc>
      </w:tr>
      <w:tr w:rsidR="00610BE3" w:rsidRPr="007D3495" w14:paraId="1EADE73E" w14:textId="77777777" w:rsidTr="00396572">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508E5CD4" w14:textId="07E364A7" w:rsidR="00610BE3" w:rsidRPr="007D3495" w:rsidRDefault="00610BE3" w:rsidP="00610BE3">
            <w:pPr>
              <w:jc w:val="center"/>
              <w:rPr>
                <w:rFonts w:ascii="Arial" w:hAnsi="Arial" w:cs="Arial"/>
                <w:color w:val="222222"/>
                <w:sz w:val="20"/>
                <w:szCs w:val="20"/>
                <w:shd w:val="clear" w:color="auto" w:fill="FFFFFF"/>
              </w:rPr>
            </w:pPr>
            <w:r w:rsidRPr="007D3495">
              <w:rPr>
                <w:rFonts w:ascii="Arial" w:eastAsia="Times New Roman" w:hAnsi="Arial" w:cs="Arial"/>
                <w:color w:val="000000"/>
                <w:sz w:val="20"/>
                <w:szCs w:val="20"/>
              </w:rPr>
              <w:t>Average</w:t>
            </w:r>
          </w:p>
        </w:tc>
        <w:tc>
          <w:tcPr>
            <w:tcW w:w="884" w:type="dxa"/>
            <w:tcBorders>
              <w:bottom w:val="single" w:sz="12" w:space="0" w:color="auto"/>
            </w:tcBorders>
            <w:vAlign w:val="center"/>
          </w:tcPr>
          <w:p w14:paraId="008C175F" w14:textId="3F41F8CE"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7D3495">
              <w:rPr>
                <w:rFonts w:ascii="Arial" w:eastAsia="Times New Roman" w:hAnsi="Arial" w:cs="Arial"/>
                <w:b/>
                <w:bCs/>
                <w:color w:val="000000"/>
                <w:sz w:val="20"/>
                <w:szCs w:val="20"/>
              </w:rPr>
              <w:t>4.22</w:t>
            </w:r>
          </w:p>
        </w:tc>
        <w:tc>
          <w:tcPr>
            <w:tcW w:w="1744" w:type="dxa"/>
            <w:tcBorders>
              <w:bottom w:val="single" w:sz="12" w:space="0" w:color="auto"/>
            </w:tcBorders>
            <w:vAlign w:val="center"/>
          </w:tcPr>
          <w:p w14:paraId="19694FA3" w14:textId="5C98A166"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7D3495">
              <w:rPr>
                <w:rFonts w:ascii="Arial" w:eastAsia="Times New Roman" w:hAnsi="Arial" w:cs="Arial"/>
                <w:b/>
                <w:bCs/>
                <w:color w:val="000000"/>
                <w:sz w:val="20"/>
                <w:szCs w:val="20"/>
              </w:rPr>
              <w:t>0.36</w:t>
            </w:r>
          </w:p>
        </w:tc>
        <w:tc>
          <w:tcPr>
            <w:tcW w:w="2250" w:type="dxa"/>
            <w:tcBorders>
              <w:bottom w:val="single" w:sz="12" w:space="0" w:color="auto"/>
            </w:tcBorders>
          </w:tcPr>
          <w:p w14:paraId="7820D590" w14:textId="2703B961" w:rsidR="00610BE3" w:rsidRPr="007D3495" w:rsidRDefault="00610BE3"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7D3495">
              <w:rPr>
                <w:rFonts w:ascii="Arial" w:eastAsia="Calibri" w:hAnsi="Arial" w:cs="Arial"/>
                <w:b/>
                <w:bCs/>
                <w:sz w:val="20"/>
                <w:szCs w:val="20"/>
              </w:rPr>
              <w:t>Always Manifested</w:t>
            </w:r>
          </w:p>
        </w:tc>
      </w:tr>
    </w:tbl>
    <w:p w14:paraId="4DF37950" w14:textId="77777777" w:rsidR="00610BE3" w:rsidRDefault="00610BE3" w:rsidP="007D3495">
      <w:pPr>
        <w:jc w:val="both"/>
        <w:rPr>
          <w:rFonts w:ascii="Arial" w:hAnsi="Arial" w:cs="Arial"/>
          <w:sz w:val="20"/>
          <w:szCs w:val="20"/>
        </w:rPr>
      </w:pPr>
    </w:p>
    <w:p w14:paraId="3F19121C" w14:textId="60733FA1" w:rsidR="007D3495" w:rsidRPr="00046C78" w:rsidRDefault="007D3495" w:rsidP="007D3495">
      <w:pPr>
        <w:ind w:firstLine="720"/>
        <w:jc w:val="both"/>
        <w:rPr>
          <w:rFonts w:ascii="Arial" w:hAnsi="Arial" w:cs="Arial"/>
          <w:sz w:val="20"/>
          <w:szCs w:val="20"/>
        </w:rPr>
      </w:pPr>
      <w:r w:rsidRPr="00046C78">
        <w:rPr>
          <w:rFonts w:ascii="Arial" w:hAnsi="Arial" w:cs="Arial"/>
          <w:bCs/>
          <w:sz w:val="20"/>
          <w:szCs w:val="20"/>
        </w:rPr>
        <w:t>Table 1</w:t>
      </w:r>
      <w:r>
        <w:rPr>
          <w:rFonts w:ascii="Arial" w:hAnsi="Arial" w:cs="Arial"/>
          <w:bCs/>
          <w:sz w:val="20"/>
          <w:szCs w:val="20"/>
        </w:rPr>
        <w:t>2</w:t>
      </w:r>
      <w:r w:rsidRPr="00046C78">
        <w:rPr>
          <w:rFonts w:ascii="Arial" w:hAnsi="Arial" w:cs="Arial"/>
          <w:bCs/>
          <w:sz w:val="20"/>
          <w:szCs w:val="20"/>
        </w:rPr>
        <w:t xml:space="preserve"> shows that the level of loan repayment in terms of generation and reinvestment needs is consistently observed (</w:t>
      </w:r>
      <w:r w:rsidRPr="00046C78">
        <w:rPr>
          <w:rFonts w:ascii="Arial" w:hAnsi="Arial" w:cs="Arial"/>
          <w:color w:val="4D5156"/>
          <w:sz w:val="20"/>
          <w:szCs w:val="20"/>
          <w:shd w:val="clear" w:color="auto" w:fill="FFFFFF"/>
        </w:rPr>
        <w:t>x̄</w:t>
      </w:r>
      <w:r w:rsidRPr="00046C78">
        <w:rPr>
          <w:rFonts w:ascii="Arial" w:hAnsi="Arial" w:cs="Arial"/>
          <w:bCs/>
          <w:sz w:val="20"/>
          <w:szCs w:val="20"/>
        </w:rPr>
        <w:t xml:space="preserve"> = 4.22). </w:t>
      </w:r>
      <w:r w:rsidRPr="00046C78">
        <w:rPr>
          <w:rFonts w:ascii="Arial" w:hAnsi="Arial" w:cs="Arial"/>
          <w:sz w:val="20"/>
          <w:szCs w:val="20"/>
        </w:rPr>
        <w:t xml:space="preserve">This suggests that debtors of home appliance dealers consistently and proactively consider alternative income sources and recognize the importance of generating additional revenue. </w:t>
      </w:r>
    </w:p>
    <w:p w14:paraId="3FD8A0A7" w14:textId="77777777" w:rsidR="007D3495" w:rsidRDefault="007D3495" w:rsidP="007D3495">
      <w:pPr>
        <w:ind w:firstLine="720"/>
        <w:jc w:val="both"/>
        <w:rPr>
          <w:rFonts w:ascii="Arial" w:hAnsi="Arial" w:cs="Arial"/>
          <w:sz w:val="20"/>
          <w:szCs w:val="20"/>
        </w:rPr>
      </w:pPr>
      <w:r w:rsidRPr="00046C78">
        <w:rPr>
          <w:rFonts w:ascii="Arial" w:hAnsi="Arial" w:cs="Arial"/>
          <w:sz w:val="20"/>
          <w:szCs w:val="20"/>
        </w:rPr>
        <w:t xml:space="preserve">Furthermore, the results revealed that debtors consistently reassess their financial plans regularly to ensure loan repayment obligations are met. However, debtors of home appliance dealers in </w:t>
      </w:r>
      <w:proofErr w:type="spellStart"/>
      <w:r w:rsidRPr="00046C78">
        <w:rPr>
          <w:rFonts w:ascii="Arial" w:hAnsi="Arial" w:cs="Arial"/>
          <w:sz w:val="20"/>
          <w:szCs w:val="20"/>
        </w:rPr>
        <w:t>Cateel</w:t>
      </w:r>
      <w:proofErr w:type="spellEnd"/>
      <w:r w:rsidRPr="00046C78">
        <w:rPr>
          <w:rFonts w:ascii="Arial" w:hAnsi="Arial" w:cs="Arial"/>
          <w:sz w:val="20"/>
          <w:szCs w:val="20"/>
        </w:rPr>
        <w:t xml:space="preserve"> </w:t>
      </w:r>
      <w:r w:rsidRPr="00046C78">
        <w:rPr>
          <w:rFonts w:ascii="Arial" w:eastAsia="Times New Roman" w:hAnsi="Arial" w:cs="Arial"/>
          <w:sz w:val="20"/>
          <w:szCs w:val="20"/>
        </w:rPr>
        <w:t xml:space="preserve">view loan repayment as part of their expenses. This result is supported by the findings of </w:t>
      </w:r>
      <w:proofErr w:type="spellStart"/>
      <w:r w:rsidRPr="00046C78">
        <w:rPr>
          <w:rFonts w:ascii="Arial" w:hAnsi="Arial" w:cs="Arial"/>
          <w:color w:val="222222"/>
          <w:sz w:val="20"/>
          <w:szCs w:val="20"/>
          <w:shd w:val="clear" w:color="auto" w:fill="FFFFFF"/>
        </w:rPr>
        <w:t>Omowole</w:t>
      </w:r>
      <w:proofErr w:type="spellEnd"/>
      <w:r w:rsidRPr="00046C78">
        <w:rPr>
          <w:rFonts w:ascii="Arial" w:hAnsi="Arial" w:cs="Arial"/>
          <w:color w:val="222222"/>
          <w:sz w:val="20"/>
          <w:szCs w:val="20"/>
          <w:shd w:val="clear" w:color="auto" w:fill="FFFFFF"/>
        </w:rPr>
        <w:t xml:space="preserve"> et al. (2024</w:t>
      </w:r>
      <w:r w:rsidRPr="00046C78">
        <w:rPr>
          <w:rFonts w:ascii="Arial" w:hAnsi="Arial" w:cs="Arial"/>
          <w:sz w:val="20"/>
          <w:szCs w:val="20"/>
        </w:rPr>
        <w:t xml:space="preserve">), who stated that borrowers who regularly reinvest in income-generating activities are more likely to have stable cash flows, thereby reducing repayment risk. </w:t>
      </w:r>
      <w:r w:rsidRPr="00046C78">
        <w:rPr>
          <w:rFonts w:ascii="Arial" w:eastAsia="Times New Roman" w:hAnsi="Arial" w:cs="Arial"/>
          <w:sz w:val="20"/>
          <w:szCs w:val="20"/>
        </w:rPr>
        <w:t xml:space="preserve">Moreover, </w:t>
      </w:r>
      <w:proofErr w:type="spellStart"/>
      <w:r w:rsidRPr="00046C78">
        <w:rPr>
          <w:rFonts w:ascii="Arial" w:hAnsi="Arial" w:cs="Arial"/>
          <w:sz w:val="20"/>
          <w:szCs w:val="20"/>
        </w:rPr>
        <w:t>Belás</w:t>
      </w:r>
      <w:proofErr w:type="spellEnd"/>
      <w:r w:rsidRPr="00046C78">
        <w:rPr>
          <w:rFonts w:ascii="Arial" w:hAnsi="Arial" w:cs="Arial"/>
          <w:sz w:val="20"/>
          <w:szCs w:val="20"/>
        </w:rPr>
        <w:t xml:space="preserve"> et al. (2017) stated that generation and reinvestment needs reflect borrowers' income-generating potential, supporting Melton's credit risk theory, which focuses on future financial stability as a key credit risk factor.</w:t>
      </w:r>
    </w:p>
    <w:p w14:paraId="6F30C3E8" w14:textId="4911E95F" w:rsidR="007D3495" w:rsidRPr="007D3495" w:rsidRDefault="007D3495" w:rsidP="007D3495">
      <w:pPr>
        <w:pStyle w:val="NoSpacing"/>
        <w:rPr>
          <w:rFonts w:ascii="Arial" w:hAnsi="Arial" w:cs="Arial"/>
          <w:sz w:val="20"/>
          <w:szCs w:val="20"/>
        </w:rPr>
      </w:pPr>
      <w:r w:rsidRPr="00620CF3">
        <w:rPr>
          <w:rFonts w:ascii="Arial" w:hAnsi="Arial" w:cs="Arial"/>
          <w:b/>
          <w:bCs/>
          <w:sz w:val="20"/>
          <w:szCs w:val="20"/>
        </w:rPr>
        <w:t>Table 13</w:t>
      </w:r>
      <w:r w:rsidR="00620CF3" w:rsidRPr="00620CF3">
        <w:rPr>
          <w:rFonts w:ascii="Arial" w:hAnsi="Arial" w:cs="Arial"/>
          <w:b/>
          <w:bCs/>
          <w:sz w:val="20"/>
          <w:szCs w:val="20"/>
        </w:rPr>
        <w:t>.</w:t>
      </w:r>
      <w:r w:rsidR="00620CF3">
        <w:rPr>
          <w:rFonts w:ascii="Arial" w:hAnsi="Arial" w:cs="Arial"/>
          <w:sz w:val="20"/>
          <w:szCs w:val="20"/>
        </w:rPr>
        <w:t xml:space="preserve"> L</w:t>
      </w:r>
      <w:r w:rsidRPr="007D3495">
        <w:rPr>
          <w:rFonts w:ascii="Arial" w:hAnsi="Arial" w:cs="Arial"/>
          <w:sz w:val="20"/>
          <w:szCs w:val="20"/>
        </w:rPr>
        <w:t xml:space="preserve">evel of loan repayment in terms of Social Influence </w:t>
      </w:r>
    </w:p>
    <w:tbl>
      <w:tblPr>
        <w:tblStyle w:val="PlainTable21"/>
        <w:tblW w:w="8275" w:type="dxa"/>
        <w:tblLook w:val="04A0" w:firstRow="1" w:lastRow="0" w:firstColumn="1" w:lastColumn="0" w:noHBand="0" w:noVBand="1"/>
      </w:tblPr>
      <w:tblGrid>
        <w:gridCol w:w="3397"/>
        <w:gridCol w:w="884"/>
        <w:gridCol w:w="1744"/>
        <w:gridCol w:w="2250"/>
      </w:tblGrid>
      <w:tr w:rsidR="007D3495" w:rsidRPr="007D3495" w14:paraId="7CD44174"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52DBC7F7" w14:textId="77777777" w:rsidR="007D3495" w:rsidRPr="007D3495" w:rsidRDefault="007D3495" w:rsidP="00396572">
            <w:pPr>
              <w:jc w:val="center"/>
              <w:rPr>
                <w:rFonts w:ascii="Arial" w:hAnsi="Arial" w:cs="Arial"/>
                <w:color w:val="222222"/>
                <w:sz w:val="20"/>
                <w:szCs w:val="20"/>
                <w:shd w:val="clear" w:color="auto" w:fill="FFFFFF"/>
              </w:rPr>
            </w:pPr>
            <w:r w:rsidRPr="007D3495">
              <w:rPr>
                <w:rFonts w:ascii="Arial" w:hAnsi="Arial" w:cs="Arial"/>
                <w:sz w:val="20"/>
                <w:szCs w:val="20"/>
              </w:rPr>
              <w:t>Description</w:t>
            </w:r>
          </w:p>
        </w:tc>
        <w:tc>
          <w:tcPr>
            <w:tcW w:w="884" w:type="dxa"/>
            <w:tcBorders>
              <w:top w:val="single" w:sz="12" w:space="0" w:color="auto"/>
            </w:tcBorders>
          </w:tcPr>
          <w:p w14:paraId="54933E5F" w14:textId="77777777" w:rsidR="007D3495" w:rsidRPr="007D3495" w:rsidRDefault="007D349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Mean</w:t>
            </w:r>
          </w:p>
        </w:tc>
        <w:tc>
          <w:tcPr>
            <w:tcW w:w="1744" w:type="dxa"/>
            <w:tcBorders>
              <w:top w:val="single" w:sz="12" w:space="0" w:color="auto"/>
            </w:tcBorders>
          </w:tcPr>
          <w:p w14:paraId="2FCCB514" w14:textId="77777777" w:rsidR="007D3495" w:rsidRPr="007D3495" w:rsidRDefault="007D349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Std. deviation</w:t>
            </w:r>
          </w:p>
        </w:tc>
        <w:tc>
          <w:tcPr>
            <w:tcW w:w="2250" w:type="dxa"/>
            <w:tcBorders>
              <w:top w:val="single" w:sz="12" w:space="0" w:color="auto"/>
            </w:tcBorders>
          </w:tcPr>
          <w:p w14:paraId="5B4B8FB0" w14:textId="77777777" w:rsidR="007D3495" w:rsidRPr="007D3495" w:rsidRDefault="007D349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Descriptive Level</w:t>
            </w:r>
          </w:p>
        </w:tc>
      </w:tr>
      <w:tr w:rsidR="007D3495" w:rsidRPr="007D3495" w14:paraId="380CB9B6"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5DFFC45" w14:textId="36661545" w:rsidR="007D3495" w:rsidRPr="007D3495" w:rsidRDefault="007D3495" w:rsidP="007D3495">
            <w:pPr>
              <w:rPr>
                <w:rFonts w:ascii="Arial" w:hAnsi="Arial" w:cs="Arial"/>
                <w:b w:val="0"/>
                <w:bCs w:val="0"/>
                <w:color w:val="222222"/>
                <w:sz w:val="20"/>
                <w:szCs w:val="20"/>
                <w:shd w:val="clear" w:color="auto" w:fill="FFFFFF"/>
              </w:rPr>
            </w:pPr>
            <w:r w:rsidRPr="007D3495">
              <w:rPr>
                <w:rStyle w:val="Strong"/>
                <w:rFonts w:ascii="Arial" w:hAnsi="Arial" w:cs="Arial"/>
                <w:sz w:val="20"/>
                <w:szCs w:val="20"/>
              </w:rPr>
              <w:t>Family opinions influence how individuals manage their loan repayments</w:t>
            </w:r>
          </w:p>
        </w:tc>
        <w:tc>
          <w:tcPr>
            <w:tcW w:w="884" w:type="dxa"/>
            <w:vAlign w:val="center"/>
          </w:tcPr>
          <w:p w14:paraId="2CDDCA18" w14:textId="20E53428"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b/>
                <w:bCs/>
                <w:color w:val="000000"/>
                <w:sz w:val="20"/>
                <w:szCs w:val="20"/>
              </w:rPr>
              <w:t>3.51</w:t>
            </w:r>
          </w:p>
        </w:tc>
        <w:tc>
          <w:tcPr>
            <w:tcW w:w="1744" w:type="dxa"/>
            <w:vAlign w:val="center"/>
          </w:tcPr>
          <w:p w14:paraId="539ECB44" w14:textId="1032EA2B"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0.89</w:t>
            </w:r>
          </w:p>
        </w:tc>
        <w:tc>
          <w:tcPr>
            <w:tcW w:w="2250" w:type="dxa"/>
          </w:tcPr>
          <w:p w14:paraId="0DE8D3A9" w14:textId="2C55E63B"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Calibri" w:hAnsi="Arial" w:cs="Arial"/>
                <w:bCs/>
                <w:sz w:val="20"/>
                <w:szCs w:val="20"/>
              </w:rPr>
              <w:t>Sometime Manifested</w:t>
            </w:r>
          </w:p>
        </w:tc>
      </w:tr>
      <w:tr w:rsidR="007D3495" w:rsidRPr="007D3495" w14:paraId="0C77FBAD"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5B3D4140" w14:textId="45F233EB" w:rsidR="007D3495" w:rsidRPr="007D3495" w:rsidRDefault="007D3495" w:rsidP="007D3495">
            <w:pPr>
              <w:rPr>
                <w:rFonts w:ascii="Arial" w:hAnsi="Arial" w:cs="Arial"/>
                <w:b w:val="0"/>
                <w:bCs w:val="0"/>
                <w:color w:val="222222"/>
                <w:sz w:val="20"/>
                <w:szCs w:val="20"/>
                <w:shd w:val="clear" w:color="auto" w:fill="FFFFFF"/>
              </w:rPr>
            </w:pPr>
            <w:r w:rsidRPr="007D3495">
              <w:rPr>
                <w:rStyle w:val="Strong"/>
                <w:rFonts w:ascii="Arial" w:hAnsi="Arial" w:cs="Arial"/>
                <w:sz w:val="20"/>
                <w:szCs w:val="20"/>
              </w:rPr>
              <w:t>Friends' financial habits impact individuals' approach to loan repayment.</w:t>
            </w:r>
          </w:p>
        </w:tc>
        <w:tc>
          <w:tcPr>
            <w:tcW w:w="884" w:type="dxa"/>
            <w:vAlign w:val="center"/>
          </w:tcPr>
          <w:p w14:paraId="57FD0EB0" w14:textId="6823E74B"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3.05</w:t>
            </w:r>
          </w:p>
        </w:tc>
        <w:tc>
          <w:tcPr>
            <w:tcW w:w="1744" w:type="dxa"/>
            <w:vAlign w:val="center"/>
          </w:tcPr>
          <w:p w14:paraId="222958FF" w14:textId="27403D49"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0.96</w:t>
            </w:r>
          </w:p>
        </w:tc>
        <w:tc>
          <w:tcPr>
            <w:tcW w:w="2250" w:type="dxa"/>
          </w:tcPr>
          <w:p w14:paraId="2747E70F" w14:textId="36E15F65"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Calibri" w:hAnsi="Arial" w:cs="Arial"/>
                <w:bCs/>
                <w:sz w:val="20"/>
                <w:szCs w:val="20"/>
              </w:rPr>
              <w:t>Sometime Manifested</w:t>
            </w:r>
          </w:p>
        </w:tc>
      </w:tr>
      <w:tr w:rsidR="007D3495" w:rsidRPr="007D3495" w14:paraId="16870B0E"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1FECB6D" w14:textId="25F424B1" w:rsidR="007D3495" w:rsidRPr="007D3495" w:rsidRDefault="007D3495" w:rsidP="007D3495">
            <w:pPr>
              <w:rPr>
                <w:rFonts w:ascii="Arial" w:hAnsi="Arial" w:cs="Arial"/>
                <w:b w:val="0"/>
                <w:bCs w:val="0"/>
                <w:color w:val="222222"/>
                <w:sz w:val="20"/>
                <w:szCs w:val="20"/>
                <w:shd w:val="clear" w:color="auto" w:fill="FFFFFF"/>
              </w:rPr>
            </w:pPr>
            <w:r w:rsidRPr="007D3495">
              <w:rPr>
                <w:rStyle w:val="Strong"/>
                <w:rFonts w:ascii="Arial" w:hAnsi="Arial" w:cs="Arial"/>
                <w:sz w:val="20"/>
                <w:szCs w:val="20"/>
              </w:rPr>
              <w:t>Compare their loan repayment habits with those of their peers.</w:t>
            </w:r>
          </w:p>
        </w:tc>
        <w:tc>
          <w:tcPr>
            <w:tcW w:w="884" w:type="dxa"/>
            <w:vAlign w:val="center"/>
          </w:tcPr>
          <w:p w14:paraId="56CEFB8C" w14:textId="34B11F9C" w:rsidR="007D3495" w:rsidRPr="007D3495" w:rsidRDefault="007D3495" w:rsidP="007D3495">
            <w:pPr>
              <w:tabs>
                <w:tab w:val="center" w:pos="334"/>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3.03</w:t>
            </w:r>
          </w:p>
        </w:tc>
        <w:tc>
          <w:tcPr>
            <w:tcW w:w="1744" w:type="dxa"/>
            <w:vAlign w:val="center"/>
          </w:tcPr>
          <w:p w14:paraId="5D9519E0" w14:textId="19925684"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0.98</w:t>
            </w:r>
          </w:p>
        </w:tc>
        <w:tc>
          <w:tcPr>
            <w:tcW w:w="2250" w:type="dxa"/>
          </w:tcPr>
          <w:p w14:paraId="3C0E956B" w14:textId="14216E00" w:rsidR="007D3495" w:rsidRPr="007D3495" w:rsidRDefault="007D3495" w:rsidP="007D3495">
            <w:pPr>
              <w:tabs>
                <w:tab w:val="left" w:pos="210"/>
                <w:tab w:val="center" w:pos="1017"/>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Calibri" w:hAnsi="Arial" w:cs="Arial"/>
                <w:bCs/>
                <w:sz w:val="20"/>
                <w:szCs w:val="20"/>
              </w:rPr>
              <w:t>Sometime Manifested</w:t>
            </w:r>
          </w:p>
        </w:tc>
      </w:tr>
      <w:tr w:rsidR="007D3495" w:rsidRPr="007D3495" w14:paraId="51EDA954"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55BFE21D" w14:textId="21C5E5D7" w:rsidR="007D3495" w:rsidRPr="007D3495" w:rsidRDefault="007D3495" w:rsidP="007D3495">
            <w:pPr>
              <w:rPr>
                <w:rFonts w:ascii="Arial" w:hAnsi="Arial" w:cs="Arial"/>
                <w:b w:val="0"/>
                <w:bCs w:val="0"/>
                <w:color w:val="222222"/>
                <w:sz w:val="20"/>
                <w:szCs w:val="20"/>
                <w:shd w:val="clear" w:color="auto" w:fill="FFFFFF"/>
              </w:rPr>
            </w:pPr>
            <w:r w:rsidRPr="007D3495">
              <w:rPr>
                <w:rStyle w:val="Strong"/>
                <w:rFonts w:ascii="Arial" w:hAnsi="Arial" w:cs="Arial"/>
                <w:sz w:val="20"/>
                <w:szCs w:val="20"/>
              </w:rPr>
              <w:t>Feel pressure from their social circle to repay their loans on time.</w:t>
            </w:r>
          </w:p>
        </w:tc>
        <w:tc>
          <w:tcPr>
            <w:tcW w:w="884" w:type="dxa"/>
            <w:vAlign w:val="center"/>
          </w:tcPr>
          <w:p w14:paraId="3D525E0F" w14:textId="2029E1E5"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b/>
                <w:bCs/>
                <w:color w:val="000000"/>
                <w:sz w:val="20"/>
                <w:szCs w:val="20"/>
              </w:rPr>
              <w:t>2.97</w:t>
            </w:r>
          </w:p>
        </w:tc>
        <w:tc>
          <w:tcPr>
            <w:tcW w:w="1744" w:type="dxa"/>
            <w:vAlign w:val="center"/>
          </w:tcPr>
          <w:p w14:paraId="1BEF3207" w14:textId="0546BB74"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Times New Roman" w:hAnsi="Arial" w:cs="Arial"/>
                <w:color w:val="000000"/>
                <w:sz w:val="20"/>
                <w:szCs w:val="20"/>
              </w:rPr>
              <w:t>1.03</w:t>
            </w:r>
          </w:p>
        </w:tc>
        <w:tc>
          <w:tcPr>
            <w:tcW w:w="2250" w:type="dxa"/>
          </w:tcPr>
          <w:p w14:paraId="425F0272" w14:textId="4FBF136E"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eastAsia="Calibri" w:hAnsi="Arial" w:cs="Arial"/>
                <w:bCs/>
                <w:sz w:val="20"/>
                <w:szCs w:val="20"/>
              </w:rPr>
              <w:t>Sometime Manifested</w:t>
            </w:r>
          </w:p>
        </w:tc>
      </w:tr>
      <w:tr w:rsidR="007D3495" w:rsidRPr="007D3495" w14:paraId="1241A517" w14:textId="77777777" w:rsidTr="00396572">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3397" w:type="dxa"/>
          </w:tcPr>
          <w:p w14:paraId="2585D428" w14:textId="61DB4506" w:rsidR="007D3495" w:rsidRPr="007D3495" w:rsidRDefault="007D3495" w:rsidP="007D3495">
            <w:pPr>
              <w:rPr>
                <w:rFonts w:ascii="Arial" w:hAnsi="Arial" w:cs="Arial"/>
                <w:b w:val="0"/>
                <w:bCs w:val="0"/>
                <w:sz w:val="20"/>
                <w:szCs w:val="20"/>
              </w:rPr>
            </w:pPr>
            <w:r w:rsidRPr="007D3495">
              <w:rPr>
                <w:rStyle w:val="Strong"/>
                <w:rFonts w:ascii="Arial" w:hAnsi="Arial" w:cs="Arial"/>
                <w:sz w:val="20"/>
                <w:szCs w:val="20"/>
              </w:rPr>
              <w:t>Close friends or family approve of how individuals handle their loan repayments.</w:t>
            </w:r>
          </w:p>
        </w:tc>
        <w:tc>
          <w:tcPr>
            <w:tcW w:w="884" w:type="dxa"/>
            <w:vAlign w:val="center"/>
          </w:tcPr>
          <w:p w14:paraId="1A28D7CD" w14:textId="3077A702"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3495">
              <w:rPr>
                <w:rFonts w:ascii="Arial" w:eastAsia="Times New Roman" w:hAnsi="Arial" w:cs="Arial"/>
                <w:color w:val="000000"/>
                <w:sz w:val="20"/>
                <w:szCs w:val="20"/>
              </w:rPr>
              <w:t>3.03</w:t>
            </w:r>
          </w:p>
        </w:tc>
        <w:tc>
          <w:tcPr>
            <w:tcW w:w="1744" w:type="dxa"/>
            <w:vAlign w:val="center"/>
          </w:tcPr>
          <w:p w14:paraId="2BEBA213" w14:textId="5F3D9FAF"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3495">
              <w:rPr>
                <w:rFonts w:ascii="Arial" w:eastAsia="Times New Roman" w:hAnsi="Arial" w:cs="Arial"/>
                <w:color w:val="000000"/>
                <w:sz w:val="20"/>
                <w:szCs w:val="20"/>
              </w:rPr>
              <w:t>1.01</w:t>
            </w:r>
          </w:p>
        </w:tc>
        <w:tc>
          <w:tcPr>
            <w:tcW w:w="2250" w:type="dxa"/>
          </w:tcPr>
          <w:p w14:paraId="09B57B23" w14:textId="2D5B215E"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3495">
              <w:rPr>
                <w:rFonts w:ascii="Arial" w:eastAsia="Calibri" w:hAnsi="Arial" w:cs="Arial"/>
                <w:bCs/>
                <w:sz w:val="20"/>
                <w:szCs w:val="20"/>
              </w:rPr>
              <w:t>Sometime Manifested</w:t>
            </w:r>
          </w:p>
        </w:tc>
      </w:tr>
      <w:tr w:rsidR="007D3495" w:rsidRPr="007D3495" w14:paraId="19D82C65"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7B671FBF" w14:textId="33164A29" w:rsidR="007D3495" w:rsidRPr="007D3495" w:rsidRDefault="007D3495" w:rsidP="007D3495">
            <w:pPr>
              <w:rPr>
                <w:rFonts w:ascii="Arial" w:hAnsi="Arial" w:cs="Arial"/>
                <w:b w:val="0"/>
                <w:bCs w:val="0"/>
                <w:sz w:val="20"/>
                <w:szCs w:val="20"/>
              </w:rPr>
            </w:pPr>
            <w:r w:rsidRPr="007D3495">
              <w:rPr>
                <w:rStyle w:val="Strong"/>
                <w:rFonts w:ascii="Arial" w:hAnsi="Arial" w:cs="Arial"/>
                <w:sz w:val="20"/>
                <w:szCs w:val="20"/>
              </w:rPr>
              <w:lastRenderedPageBreak/>
              <w:t>Consider the financial behavior of their peers when deciding how to repay their loans.</w:t>
            </w:r>
          </w:p>
        </w:tc>
        <w:tc>
          <w:tcPr>
            <w:tcW w:w="884" w:type="dxa"/>
            <w:vAlign w:val="center"/>
          </w:tcPr>
          <w:p w14:paraId="3E39CBA9" w14:textId="0844A7BA"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3495">
              <w:rPr>
                <w:rFonts w:ascii="Arial" w:eastAsia="Times New Roman" w:hAnsi="Arial" w:cs="Arial"/>
                <w:color w:val="000000"/>
                <w:sz w:val="20"/>
                <w:szCs w:val="20"/>
              </w:rPr>
              <w:t>3.07</w:t>
            </w:r>
          </w:p>
        </w:tc>
        <w:tc>
          <w:tcPr>
            <w:tcW w:w="1744" w:type="dxa"/>
            <w:vAlign w:val="center"/>
          </w:tcPr>
          <w:p w14:paraId="4A46F42D" w14:textId="46B30E4E"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3495">
              <w:rPr>
                <w:rFonts w:ascii="Arial" w:eastAsia="Times New Roman" w:hAnsi="Arial" w:cs="Arial"/>
                <w:color w:val="000000"/>
                <w:sz w:val="20"/>
                <w:szCs w:val="20"/>
              </w:rPr>
              <w:t>0.96</w:t>
            </w:r>
          </w:p>
        </w:tc>
        <w:tc>
          <w:tcPr>
            <w:tcW w:w="2250" w:type="dxa"/>
          </w:tcPr>
          <w:p w14:paraId="1F123DC3" w14:textId="3D0F73E6"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3495">
              <w:rPr>
                <w:rFonts w:ascii="Arial" w:eastAsia="Calibri" w:hAnsi="Arial" w:cs="Arial"/>
                <w:bCs/>
                <w:sz w:val="20"/>
                <w:szCs w:val="20"/>
              </w:rPr>
              <w:t>Sometime Manifested</w:t>
            </w:r>
          </w:p>
        </w:tc>
      </w:tr>
      <w:tr w:rsidR="007D3495" w:rsidRPr="007D3495" w14:paraId="2325AC41" w14:textId="77777777" w:rsidTr="0039657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397" w:type="dxa"/>
          </w:tcPr>
          <w:p w14:paraId="152BEE45" w14:textId="1C56A069" w:rsidR="007D3495" w:rsidRPr="007D3495" w:rsidRDefault="007D3495" w:rsidP="007D3495">
            <w:pPr>
              <w:rPr>
                <w:rFonts w:ascii="Arial" w:eastAsia="Times New Roman" w:hAnsi="Arial" w:cs="Arial"/>
                <w:b w:val="0"/>
                <w:bCs w:val="0"/>
                <w:sz w:val="20"/>
                <w:szCs w:val="20"/>
              </w:rPr>
            </w:pPr>
            <w:r w:rsidRPr="007D3495">
              <w:rPr>
                <w:rStyle w:val="Strong"/>
                <w:rFonts w:ascii="Arial" w:hAnsi="Arial" w:cs="Arial"/>
                <w:sz w:val="20"/>
                <w:szCs w:val="20"/>
              </w:rPr>
              <w:t>Discuss loan repayment strategies with their family or friends.</w:t>
            </w:r>
          </w:p>
        </w:tc>
        <w:tc>
          <w:tcPr>
            <w:tcW w:w="884" w:type="dxa"/>
            <w:vAlign w:val="center"/>
          </w:tcPr>
          <w:p w14:paraId="51607CCC" w14:textId="41AC11B5"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3.08</w:t>
            </w:r>
          </w:p>
        </w:tc>
        <w:tc>
          <w:tcPr>
            <w:tcW w:w="1744" w:type="dxa"/>
            <w:vAlign w:val="center"/>
          </w:tcPr>
          <w:p w14:paraId="7DA06CA1" w14:textId="31958C40"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1.07</w:t>
            </w:r>
          </w:p>
        </w:tc>
        <w:tc>
          <w:tcPr>
            <w:tcW w:w="2250" w:type="dxa"/>
          </w:tcPr>
          <w:p w14:paraId="0E746A7B" w14:textId="10F551D8"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D3495">
              <w:rPr>
                <w:rFonts w:ascii="Arial" w:eastAsia="Calibri" w:hAnsi="Arial" w:cs="Arial"/>
                <w:bCs/>
                <w:sz w:val="20"/>
                <w:szCs w:val="20"/>
              </w:rPr>
              <w:t>Sometime Manifested</w:t>
            </w:r>
          </w:p>
        </w:tc>
      </w:tr>
      <w:tr w:rsidR="007D3495" w:rsidRPr="007D3495" w14:paraId="020BAEC1"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774DFC99" w14:textId="62A8F8A0" w:rsidR="007D3495" w:rsidRPr="007D3495" w:rsidRDefault="007D3495" w:rsidP="007D3495">
            <w:pPr>
              <w:rPr>
                <w:rFonts w:ascii="Arial" w:eastAsia="Times New Roman" w:hAnsi="Arial" w:cs="Arial"/>
                <w:b w:val="0"/>
                <w:bCs w:val="0"/>
                <w:sz w:val="20"/>
                <w:szCs w:val="20"/>
              </w:rPr>
            </w:pPr>
            <w:r w:rsidRPr="007D3495">
              <w:rPr>
                <w:rStyle w:val="Strong"/>
                <w:rFonts w:ascii="Arial" w:hAnsi="Arial" w:cs="Arial"/>
                <w:sz w:val="20"/>
                <w:szCs w:val="20"/>
              </w:rPr>
              <w:t>Feel supported by their family or friends in repaying their loans.</w:t>
            </w:r>
          </w:p>
        </w:tc>
        <w:tc>
          <w:tcPr>
            <w:tcW w:w="884" w:type="dxa"/>
            <w:vAlign w:val="center"/>
          </w:tcPr>
          <w:p w14:paraId="05E06243" w14:textId="2F16F857"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3.20</w:t>
            </w:r>
          </w:p>
        </w:tc>
        <w:tc>
          <w:tcPr>
            <w:tcW w:w="1744" w:type="dxa"/>
            <w:vAlign w:val="center"/>
          </w:tcPr>
          <w:p w14:paraId="0C264E61" w14:textId="3F7DCB6D"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1.02</w:t>
            </w:r>
          </w:p>
        </w:tc>
        <w:tc>
          <w:tcPr>
            <w:tcW w:w="2250" w:type="dxa"/>
          </w:tcPr>
          <w:p w14:paraId="34998EE5" w14:textId="75AE835E"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D3495">
              <w:rPr>
                <w:rFonts w:ascii="Arial" w:eastAsia="Calibri" w:hAnsi="Arial" w:cs="Arial"/>
                <w:bCs/>
                <w:sz w:val="20"/>
                <w:szCs w:val="20"/>
              </w:rPr>
              <w:t>Sometime Manifested</w:t>
            </w:r>
          </w:p>
        </w:tc>
      </w:tr>
      <w:tr w:rsidR="007D3495" w:rsidRPr="007D3495" w14:paraId="5C68C0AC" w14:textId="77777777" w:rsidTr="0039657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tcPr>
          <w:p w14:paraId="153BC123" w14:textId="1B9E5267" w:rsidR="007D3495" w:rsidRPr="007D3495" w:rsidRDefault="007D3495" w:rsidP="007D3495">
            <w:pPr>
              <w:rPr>
                <w:rFonts w:ascii="Arial" w:eastAsia="Times New Roman" w:hAnsi="Arial" w:cs="Arial"/>
                <w:b w:val="0"/>
                <w:bCs w:val="0"/>
                <w:sz w:val="20"/>
                <w:szCs w:val="20"/>
              </w:rPr>
            </w:pPr>
            <w:r w:rsidRPr="007D3495">
              <w:rPr>
                <w:rStyle w:val="Strong"/>
                <w:rFonts w:ascii="Arial" w:hAnsi="Arial" w:cs="Arial"/>
                <w:sz w:val="20"/>
                <w:szCs w:val="20"/>
              </w:rPr>
              <w:t>Approval of financial decisions matters when individuals manage loan repayments.</w:t>
            </w:r>
          </w:p>
        </w:tc>
        <w:tc>
          <w:tcPr>
            <w:tcW w:w="884" w:type="dxa"/>
            <w:vAlign w:val="center"/>
          </w:tcPr>
          <w:p w14:paraId="306D16D6" w14:textId="62D2CD46"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3.10</w:t>
            </w:r>
          </w:p>
        </w:tc>
        <w:tc>
          <w:tcPr>
            <w:tcW w:w="1744" w:type="dxa"/>
            <w:vAlign w:val="center"/>
          </w:tcPr>
          <w:p w14:paraId="6411E648" w14:textId="17855FA7"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7D3495">
              <w:rPr>
                <w:rFonts w:ascii="Arial" w:eastAsia="Times New Roman" w:hAnsi="Arial" w:cs="Arial"/>
                <w:color w:val="000000"/>
                <w:sz w:val="20"/>
                <w:szCs w:val="20"/>
              </w:rPr>
              <w:t>1.07</w:t>
            </w:r>
          </w:p>
        </w:tc>
        <w:tc>
          <w:tcPr>
            <w:tcW w:w="2250" w:type="dxa"/>
          </w:tcPr>
          <w:p w14:paraId="1DBC507E" w14:textId="6217FC48" w:rsidR="007D3495" w:rsidRPr="007D3495"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D3495">
              <w:rPr>
                <w:rFonts w:ascii="Arial" w:eastAsia="Calibri" w:hAnsi="Arial" w:cs="Arial"/>
                <w:bCs/>
                <w:sz w:val="20"/>
                <w:szCs w:val="20"/>
              </w:rPr>
              <w:t>Sometime Manifested</w:t>
            </w:r>
          </w:p>
        </w:tc>
      </w:tr>
      <w:tr w:rsidR="007D3495" w:rsidRPr="007D3495" w14:paraId="574B9903" w14:textId="77777777" w:rsidTr="00396572">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39B46A97" w14:textId="68FBFC2F" w:rsidR="007D3495" w:rsidRPr="007D3495" w:rsidRDefault="007D3495" w:rsidP="00EA53BB">
            <w:pPr>
              <w:jc w:val="center"/>
              <w:rPr>
                <w:rFonts w:ascii="Arial" w:hAnsi="Arial" w:cs="Arial"/>
                <w:color w:val="222222"/>
                <w:sz w:val="20"/>
                <w:szCs w:val="20"/>
                <w:shd w:val="clear" w:color="auto" w:fill="FFFFFF"/>
              </w:rPr>
            </w:pPr>
            <w:r w:rsidRPr="007D3495">
              <w:rPr>
                <w:rFonts w:ascii="Arial" w:eastAsia="Times New Roman" w:hAnsi="Arial" w:cs="Arial"/>
                <w:color w:val="000000"/>
                <w:sz w:val="20"/>
                <w:szCs w:val="20"/>
              </w:rPr>
              <w:t>Average</w:t>
            </w:r>
          </w:p>
        </w:tc>
        <w:tc>
          <w:tcPr>
            <w:tcW w:w="884" w:type="dxa"/>
            <w:tcBorders>
              <w:bottom w:val="single" w:sz="12" w:space="0" w:color="auto"/>
            </w:tcBorders>
            <w:vAlign w:val="center"/>
          </w:tcPr>
          <w:p w14:paraId="5969F01B" w14:textId="6317B0CB"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7D3495">
              <w:rPr>
                <w:rFonts w:ascii="Arial" w:eastAsia="Times New Roman" w:hAnsi="Arial" w:cs="Arial"/>
                <w:b/>
                <w:bCs/>
                <w:color w:val="000000"/>
                <w:sz w:val="20"/>
                <w:szCs w:val="20"/>
              </w:rPr>
              <w:t>3.11</w:t>
            </w:r>
          </w:p>
        </w:tc>
        <w:tc>
          <w:tcPr>
            <w:tcW w:w="1744" w:type="dxa"/>
            <w:tcBorders>
              <w:bottom w:val="single" w:sz="12" w:space="0" w:color="auto"/>
            </w:tcBorders>
            <w:vAlign w:val="center"/>
          </w:tcPr>
          <w:p w14:paraId="502D2010" w14:textId="057C554D"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7D3495">
              <w:rPr>
                <w:rFonts w:ascii="Arial" w:eastAsia="Times New Roman" w:hAnsi="Arial" w:cs="Arial"/>
                <w:b/>
                <w:bCs/>
                <w:color w:val="000000"/>
                <w:sz w:val="20"/>
                <w:szCs w:val="20"/>
              </w:rPr>
              <w:t>0.85</w:t>
            </w:r>
          </w:p>
        </w:tc>
        <w:tc>
          <w:tcPr>
            <w:tcW w:w="2250" w:type="dxa"/>
            <w:tcBorders>
              <w:bottom w:val="single" w:sz="12" w:space="0" w:color="auto"/>
            </w:tcBorders>
            <w:vAlign w:val="center"/>
          </w:tcPr>
          <w:p w14:paraId="6E33E0FF" w14:textId="0DF2CF21" w:rsidR="007D3495" w:rsidRPr="007D3495"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7D3495">
              <w:rPr>
                <w:rFonts w:ascii="Arial" w:eastAsia="Calibri" w:hAnsi="Arial" w:cs="Arial"/>
                <w:b/>
                <w:bCs/>
                <w:sz w:val="20"/>
                <w:szCs w:val="20"/>
              </w:rPr>
              <w:t>Sometime Manifested</w:t>
            </w:r>
          </w:p>
        </w:tc>
      </w:tr>
    </w:tbl>
    <w:p w14:paraId="794010C9" w14:textId="77777777" w:rsidR="007D3495" w:rsidRDefault="007D3495" w:rsidP="007D3495">
      <w:pPr>
        <w:ind w:firstLine="720"/>
        <w:jc w:val="both"/>
        <w:rPr>
          <w:rFonts w:ascii="Arial" w:eastAsia="Times New Roman" w:hAnsi="Arial" w:cs="Arial"/>
          <w:sz w:val="20"/>
          <w:szCs w:val="20"/>
        </w:rPr>
      </w:pPr>
    </w:p>
    <w:p w14:paraId="4C342F88" w14:textId="17094DAC" w:rsidR="007D3495" w:rsidRPr="00BB2252" w:rsidRDefault="007D3495" w:rsidP="007D3495">
      <w:pPr>
        <w:ind w:firstLine="720"/>
        <w:jc w:val="both"/>
        <w:rPr>
          <w:rFonts w:ascii="Arial" w:hAnsi="Arial" w:cs="Arial"/>
          <w:sz w:val="20"/>
          <w:szCs w:val="20"/>
        </w:rPr>
      </w:pPr>
      <w:r w:rsidRPr="00BB2252">
        <w:rPr>
          <w:rFonts w:ascii="Arial" w:eastAsia="Times New Roman" w:hAnsi="Arial" w:cs="Arial"/>
          <w:sz w:val="20"/>
          <w:szCs w:val="20"/>
        </w:rPr>
        <w:t>Table 1</w:t>
      </w:r>
      <w:r>
        <w:rPr>
          <w:rFonts w:ascii="Arial" w:eastAsia="Times New Roman" w:hAnsi="Arial" w:cs="Arial"/>
          <w:sz w:val="20"/>
          <w:szCs w:val="20"/>
        </w:rPr>
        <w:t>3</w:t>
      </w:r>
      <w:r w:rsidRPr="00BB2252">
        <w:rPr>
          <w:rFonts w:ascii="Arial" w:eastAsia="Times New Roman" w:hAnsi="Arial" w:cs="Arial"/>
          <w:sz w:val="20"/>
          <w:szCs w:val="20"/>
        </w:rPr>
        <w:t xml:space="preserve"> shows that the result of the level of loan repayment in terms of social influence is sometimes manifested as </w:t>
      </w:r>
      <w:r w:rsidRPr="00BB2252">
        <w:rPr>
          <w:rFonts w:ascii="Arial" w:hAnsi="Arial" w:cs="Arial"/>
          <w:bCs/>
          <w:sz w:val="20"/>
          <w:szCs w:val="20"/>
        </w:rPr>
        <w:t>(</w:t>
      </w:r>
      <w:r w:rsidRPr="00BB2252">
        <w:rPr>
          <w:rFonts w:ascii="Arial" w:hAnsi="Arial" w:cs="Arial"/>
          <w:color w:val="4D5156"/>
          <w:sz w:val="20"/>
          <w:szCs w:val="20"/>
          <w:shd w:val="clear" w:color="auto" w:fill="FFFFFF"/>
        </w:rPr>
        <w:t>x̄</w:t>
      </w:r>
      <w:r w:rsidRPr="00BB2252">
        <w:rPr>
          <w:rFonts w:ascii="Arial" w:hAnsi="Arial" w:cs="Arial"/>
          <w:color w:val="000000" w:themeColor="text1"/>
          <w:sz w:val="20"/>
          <w:szCs w:val="20"/>
        </w:rPr>
        <w:t>=</w:t>
      </w:r>
      <w:r w:rsidRPr="00BB2252">
        <w:rPr>
          <w:rFonts w:ascii="Arial" w:eastAsia="Times New Roman" w:hAnsi="Arial" w:cs="Arial"/>
          <w:sz w:val="20"/>
          <w:szCs w:val="20"/>
        </w:rPr>
        <w:t xml:space="preserve">3.11). </w:t>
      </w:r>
      <w:r w:rsidRPr="00BB2252">
        <w:rPr>
          <w:rFonts w:ascii="Arial" w:hAnsi="Arial" w:cs="Arial"/>
          <w:sz w:val="20"/>
          <w:szCs w:val="20"/>
        </w:rPr>
        <w:t xml:space="preserve">This indicates that debtors of home appliance dealers in </w:t>
      </w:r>
      <w:proofErr w:type="spellStart"/>
      <w:r w:rsidRPr="00BB2252">
        <w:rPr>
          <w:rFonts w:ascii="Arial" w:hAnsi="Arial" w:cs="Arial"/>
          <w:sz w:val="20"/>
          <w:szCs w:val="20"/>
        </w:rPr>
        <w:t>Cateel</w:t>
      </w:r>
      <w:proofErr w:type="spellEnd"/>
      <w:r w:rsidRPr="00BB2252">
        <w:rPr>
          <w:rFonts w:ascii="Arial" w:hAnsi="Arial" w:cs="Arial"/>
          <w:sz w:val="20"/>
          <w:szCs w:val="20"/>
        </w:rPr>
        <w:t xml:space="preserve"> occasionally, but not consistently, experience social influences in their loan repayment behaviors. Reflecting a moderate and variable impact of social factors on their loan repayment practices.</w:t>
      </w:r>
    </w:p>
    <w:p w14:paraId="09104DA6" w14:textId="77777777" w:rsidR="007D3495" w:rsidRDefault="007D3495" w:rsidP="007D3495">
      <w:pPr>
        <w:ind w:firstLine="720"/>
        <w:jc w:val="both"/>
        <w:rPr>
          <w:rFonts w:ascii="Arial" w:hAnsi="Arial" w:cs="Arial"/>
          <w:sz w:val="20"/>
          <w:szCs w:val="20"/>
        </w:rPr>
      </w:pPr>
      <w:r w:rsidRPr="00BB2252">
        <w:rPr>
          <w:rFonts w:ascii="Arial" w:hAnsi="Arial" w:cs="Arial"/>
          <w:sz w:val="20"/>
          <w:szCs w:val="20"/>
        </w:rPr>
        <w:t xml:space="preserve">The results are supported by the findings of </w:t>
      </w:r>
      <w:r w:rsidRPr="00BB2252">
        <w:rPr>
          <w:rFonts w:ascii="Arial" w:hAnsi="Arial" w:cs="Arial"/>
          <w:color w:val="222222"/>
          <w:sz w:val="20"/>
          <w:szCs w:val="20"/>
          <w:shd w:val="clear" w:color="auto" w:fill="FFFFFF"/>
        </w:rPr>
        <w:t xml:space="preserve">Zhao et al. (2021), who </w:t>
      </w:r>
      <w:r w:rsidRPr="00BB2252">
        <w:rPr>
          <w:rFonts w:ascii="Arial" w:hAnsi="Arial" w:cs="Arial"/>
          <w:sz w:val="20"/>
          <w:szCs w:val="20"/>
        </w:rPr>
        <w:t xml:space="preserve">stated that social networks play a role in shaping repayment attitudes, thereby reducing default risks. Moreover, </w:t>
      </w:r>
      <w:proofErr w:type="spellStart"/>
      <w:r w:rsidRPr="00BB2252">
        <w:rPr>
          <w:rFonts w:ascii="Arial" w:hAnsi="Arial" w:cs="Arial"/>
          <w:sz w:val="20"/>
          <w:szCs w:val="20"/>
        </w:rPr>
        <w:t>Kahuthu</w:t>
      </w:r>
      <w:proofErr w:type="spellEnd"/>
      <w:r w:rsidRPr="00BB2252">
        <w:rPr>
          <w:rFonts w:ascii="Arial" w:hAnsi="Arial" w:cs="Arial"/>
          <w:sz w:val="20"/>
          <w:szCs w:val="20"/>
        </w:rPr>
        <w:t xml:space="preserve"> (2016) stated that social influence can affect borrowers' repayment behavior, aligning with Melton's (1974) theory of credit risk and the external factors that impact credit risk.</w:t>
      </w:r>
    </w:p>
    <w:p w14:paraId="724BD307" w14:textId="7F0329F3" w:rsidR="007D3495" w:rsidRPr="007D3495" w:rsidRDefault="007D3495" w:rsidP="007D3495">
      <w:pPr>
        <w:pStyle w:val="NoSpacing"/>
        <w:rPr>
          <w:rFonts w:ascii="Arial" w:hAnsi="Arial" w:cs="Arial"/>
          <w:sz w:val="20"/>
          <w:szCs w:val="20"/>
        </w:rPr>
      </w:pPr>
      <w:r w:rsidRPr="00620CF3">
        <w:rPr>
          <w:rFonts w:ascii="Arial" w:hAnsi="Arial" w:cs="Arial"/>
          <w:b/>
          <w:bCs/>
          <w:sz w:val="20"/>
          <w:szCs w:val="20"/>
        </w:rPr>
        <w:t>Table 14</w:t>
      </w:r>
      <w:r w:rsidR="00620CF3" w:rsidRPr="00620CF3">
        <w:rPr>
          <w:rFonts w:ascii="Arial" w:hAnsi="Arial" w:cs="Arial"/>
          <w:b/>
          <w:bCs/>
          <w:sz w:val="20"/>
          <w:szCs w:val="20"/>
        </w:rPr>
        <w:t>.</w:t>
      </w:r>
      <w:r w:rsidR="00620CF3">
        <w:rPr>
          <w:rFonts w:ascii="Arial" w:hAnsi="Arial" w:cs="Arial"/>
          <w:sz w:val="20"/>
          <w:szCs w:val="20"/>
        </w:rPr>
        <w:t xml:space="preserve"> L</w:t>
      </w:r>
      <w:r w:rsidRPr="007D3495">
        <w:rPr>
          <w:rFonts w:ascii="Arial" w:hAnsi="Arial" w:cs="Arial"/>
          <w:sz w:val="20"/>
          <w:szCs w:val="20"/>
        </w:rPr>
        <w:t>evel of loan repayment in terms of Perceive Risk</w:t>
      </w:r>
    </w:p>
    <w:tbl>
      <w:tblPr>
        <w:tblStyle w:val="PlainTable21"/>
        <w:tblW w:w="8275" w:type="dxa"/>
        <w:tblLook w:val="04A0" w:firstRow="1" w:lastRow="0" w:firstColumn="1" w:lastColumn="0" w:noHBand="0" w:noVBand="1"/>
      </w:tblPr>
      <w:tblGrid>
        <w:gridCol w:w="3397"/>
        <w:gridCol w:w="884"/>
        <w:gridCol w:w="1744"/>
        <w:gridCol w:w="2250"/>
      </w:tblGrid>
      <w:tr w:rsidR="007D3495" w:rsidRPr="007D3495" w14:paraId="24C9E3A2"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3B856D0A" w14:textId="77777777" w:rsidR="007D3495" w:rsidRPr="007D3495" w:rsidRDefault="007D3495" w:rsidP="00396572">
            <w:pPr>
              <w:jc w:val="center"/>
              <w:rPr>
                <w:rFonts w:ascii="Arial" w:hAnsi="Arial" w:cs="Arial"/>
                <w:color w:val="222222"/>
                <w:sz w:val="20"/>
                <w:szCs w:val="20"/>
                <w:shd w:val="clear" w:color="auto" w:fill="FFFFFF"/>
              </w:rPr>
            </w:pPr>
            <w:r w:rsidRPr="007D3495">
              <w:rPr>
                <w:rFonts w:ascii="Arial" w:hAnsi="Arial" w:cs="Arial"/>
                <w:sz w:val="20"/>
                <w:szCs w:val="20"/>
              </w:rPr>
              <w:t>Description</w:t>
            </w:r>
          </w:p>
        </w:tc>
        <w:tc>
          <w:tcPr>
            <w:tcW w:w="884" w:type="dxa"/>
            <w:tcBorders>
              <w:top w:val="single" w:sz="12" w:space="0" w:color="auto"/>
            </w:tcBorders>
          </w:tcPr>
          <w:p w14:paraId="08B4F9BE" w14:textId="77777777" w:rsidR="007D3495" w:rsidRPr="007D3495" w:rsidRDefault="007D349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Mean</w:t>
            </w:r>
          </w:p>
        </w:tc>
        <w:tc>
          <w:tcPr>
            <w:tcW w:w="1744" w:type="dxa"/>
            <w:tcBorders>
              <w:top w:val="single" w:sz="12" w:space="0" w:color="auto"/>
            </w:tcBorders>
          </w:tcPr>
          <w:p w14:paraId="21DDB116" w14:textId="77777777" w:rsidR="007D3495" w:rsidRPr="007D3495" w:rsidRDefault="007D349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Std. deviation</w:t>
            </w:r>
          </w:p>
        </w:tc>
        <w:tc>
          <w:tcPr>
            <w:tcW w:w="2250" w:type="dxa"/>
            <w:tcBorders>
              <w:top w:val="single" w:sz="12" w:space="0" w:color="auto"/>
            </w:tcBorders>
          </w:tcPr>
          <w:p w14:paraId="50DF6245" w14:textId="77777777" w:rsidR="007D3495" w:rsidRPr="007D3495" w:rsidRDefault="007D3495"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Descriptive Level</w:t>
            </w:r>
          </w:p>
        </w:tc>
      </w:tr>
      <w:tr w:rsidR="007D3495" w:rsidRPr="007D3495" w14:paraId="30F7D6CE"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02E8D46" w14:textId="1D6753A1" w:rsidR="007D3495" w:rsidRPr="00EA53BB" w:rsidRDefault="007D3495" w:rsidP="007D3495">
            <w:pPr>
              <w:rPr>
                <w:rFonts w:ascii="Arial" w:hAnsi="Arial" w:cs="Arial"/>
                <w:b w:val="0"/>
                <w:bCs w:val="0"/>
                <w:color w:val="222222"/>
                <w:sz w:val="20"/>
                <w:szCs w:val="20"/>
                <w:shd w:val="clear" w:color="auto" w:fill="FFFFFF"/>
              </w:rPr>
            </w:pPr>
            <w:r w:rsidRPr="00EA53BB">
              <w:rPr>
                <w:rFonts w:ascii="Arial" w:eastAsia="Times New Roman" w:hAnsi="Arial" w:cs="Arial"/>
                <w:b w:val="0"/>
                <w:bCs w:val="0"/>
                <w:sz w:val="20"/>
                <w:szCs w:val="20"/>
              </w:rPr>
              <w:t>Express concern about financial risks associated with not repaying loans for home appliances.</w:t>
            </w:r>
          </w:p>
        </w:tc>
        <w:tc>
          <w:tcPr>
            <w:tcW w:w="884" w:type="dxa"/>
            <w:vAlign w:val="center"/>
          </w:tcPr>
          <w:p w14:paraId="44EEA4F3" w14:textId="3E4AF95D" w:rsidR="007D3495" w:rsidRPr="00EA53BB"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Times New Roman" w:hAnsi="Arial" w:cs="Arial"/>
                <w:color w:val="000000"/>
                <w:sz w:val="20"/>
                <w:szCs w:val="20"/>
              </w:rPr>
              <w:t>4.17</w:t>
            </w:r>
          </w:p>
        </w:tc>
        <w:tc>
          <w:tcPr>
            <w:tcW w:w="1744" w:type="dxa"/>
            <w:vAlign w:val="center"/>
          </w:tcPr>
          <w:p w14:paraId="123AD51F" w14:textId="75F2A29B" w:rsidR="007D3495" w:rsidRPr="00EA53BB"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Times New Roman" w:hAnsi="Arial" w:cs="Arial"/>
                <w:color w:val="000000"/>
                <w:sz w:val="20"/>
                <w:szCs w:val="20"/>
              </w:rPr>
              <w:t>0.61</w:t>
            </w:r>
          </w:p>
        </w:tc>
        <w:tc>
          <w:tcPr>
            <w:tcW w:w="2250" w:type="dxa"/>
          </w:tcPr>
          <w:p w14:paraId="760ECDBE" w14:textId="72BBBA70" w:rsidR="007D3495" w:rsidRPr="00EA53BB"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Calibri" w:hAnsi="Arial" w:cs="Arial"/>
                <w:sz w:val="20"/>
                <w:szCs w:val="20"/>
              </w:rPr>
              <w:t>Sometime Manifested</w:t>
            </w:r>
          </w:p>
        </w:tc>
      </w:tr>
      <w:tr w:rsidR="007D3495" w:rsidRPr="007D3495" w14:paraId="2AA2FC50"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2EF85C27" w14:textId="120E53D2" w:rsidR="007D3495" w:rsidRPr="00EA53BB" w:rsidRDefault="007D3495" w:rsidP="007D3495">
            <w:pPr>
              <w:rPr>
                <w:rFonts w:ascii="Arial" w:hAnsi="Arial" w:cs="Arial"/>
                <w:b w:val="0"/>
                <w:bCs w:val="0"/>
                <w:color w:val="222222"/>
                <w:sz w:val="20"/>
                <w:szCs w:val="20"/>
                <w:shd w:val="clear" w:color="auto" w:fill="FFFFFF"/>
              </w:rPr>
            </w:pPr>
            <w:r w:rsidRPr="00EA53BB">
              <w:rPr>
                <w:rFonts w:ascii="Arial" w:eastAsia="Times New Roman" w:hAnsi="Arial" w:cs="Arial"/>
                <w:b w:val="0"/>
                <w:bCs w:val="0"/>
                <w:sz w:val="20"/>
                <w:szCs w:val="20"/>
              </w:rPr>
              <w:t>Understand the potential consequences of failing to repay loans on time.</w:t>
            </w:r>
          </w:p>
        </w:tc>
        <w:tc>
          <w:tcPr>
            <w:tcW w:w="884" w:type="dxa"/>
            <w:vAlign w:val="center"/>
          </w:tcPr>
          <w:p w14:paraId="08F40A4E" w14:textId="34DC095C"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Times New Roman" w:hAnsi="Arial" w:cs="Arial"/>
                <w:color w:val="000000"/>
                <w:sz w:val="20"/>
                <w:szCs w:val="20"/>
              </w:rPr>
              <w:t>4.31</w:t>
            </w:r>
          </w:p>
        </w:tc>
        <w:tc>
          <w:tcPr>
            <w:tcW w:w="1744" w:type="dxa"/>
            <w:vAlign w:val="center"/>
          </w:tcPr>
          <w:p w14:paraId="153C066A" w14:textId="127AE2B9"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Times New Roman" w:hAnsi="Arial" w:cs="Arial"/>
                <w:color w:val="000000"/>
                <w:sz w:val="20"/>
                <w:szCs w:val="20"/>
              </w:rPr>
              <w:t>0.63</w:t>
            </w:r>
          </w:p>
        </w:tc>
        <w:tc>
          <w:tcPr>
            <w:tcW w:w="2250" w:type="dxa"/>
          </w:tcPr>
          <w:p w14:paraId="3ACECD33" w14:textId="51B53EF0"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Calibri" w:hAnsi="Arial" w:cs="Arial"/>
                <w:sz w:val="20"/>
                <w:szCs w:val="20"/>
              </w:rPr>
              <w:t>Always Manifested</w:t>
            </w:r>
          </w:p>
        </w:tc>
      </w:tr>
      <w:tr w:rsidR="007D3495" w:rsidRPr="007D3495" w14:paraId="2E2AFE99"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9B65A49" w14:textId="686930C4" w:rsidR="007D3495" w:rsidRPr="00EA53BB" w:rsidRDefault="007D3495" w:rsidP="007D3495">
            <w:pPr>
              <w:rPr>
                <w:rFonts w:ascii="Arial" w:hAnsi="Arial" w:cs="Arial"/>
                <w:b w:val="0"/>
                <w:bCs w:val="0"/>
                <w:color w:val="222222"/>
                <w:sz w:val="20"/>
                <w:szCs w:val="20"/>
                <w:shd w:val="clear" w:color="auto" w:fill="FFFFFF"/>
              </w:rPr>
            </w:pPr>
            <w:r w:rsidRPr="00EA53BB">
              <w:rPr>
                <w:rFonts w:ascii="Arial" w:eastAsia="Times New Roman" w:hAnsi="Arial" w:cs="Arial"/>
                <w:b w:val="0"/>
                <w:bCs w:val="0"/>
                <w:sz w:val="20"/>
                <w:szCs w:val="20"/>
              </w:rPr>
              <w:t xml:space="preserve">Ensure loan repayments are made to avoid additional penalties </w:t>
            </w:r>
          </w:p>
        </w:tc>
        <w:tc>
          <w:tcPr>
            <w:tcW w:w="884" w:type="dxa"/>
            <w:vAlign w:val="center"/>
          </w:tcPr>
          <w:p w14:paraId="73B27876" w14:textId="349F119A" w:rsidR="007D3495" w:rsidRPr="00EA53BB" w:rsidRDefault="007D3495" w:rsidP="007D3495">
            <w:pPr>
              <w:tabs>
                <w:tab w:val="center" w:pos="334"/>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Times New Roman" w:hAnsi="Arial" w:cs="Arial"/>
                <w:color w:val="000000"/>
                <w:sz w:val="20"/>
                <w:szCs w:val="20"/>
              </w:rPr>
              <w:t>4.25</w:t>
            </w:r>
          </w:p>
        </w:tc>
        <w:tc>
          <w:tcPr>
            <w:tcW w:w="1744" w:type="dxa"/>
            <w:vAlign w:val="center"/>
          </w:tcPr>
          <w:p w14:paraId="20C42DD2" w14:textId="3D167456" w:rsidR="007D3495" w:rsidRPr="00EA53BB"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Times New Roman" w:hAnsi="Arial" w:cs="Arial"/>
                <w:color w:val="000000"/>
                <w:sz w:val="20"/>
                <w:szCs w:val="20"/>
              </w:rPr>
              <w:t>0.52</w:t>
            </w:r>
          </w:p>
        </w:tc>
        <w:tc>
          <w:tcPr>
            <w:tcW w:w="2250" w:type="dxa"/>
          </w:tcPr>
          <w:p w14:paraId="211E9AF2" w14:textId="5C1B9008" w:rsidR="007D3495" w:rsidRPr="00EA53BB" w:rsidRDefault="007D3495" w:rsidP="007D3495">
            <w:pPr>
              <w:tabs>
                <w:tab w:val="left" w:pos="210"/>
                <w:tab w:val="center" w:pos="1017"/>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Calibri" w:hAnsi="Arial" w:cs="Arial"/>
                <w:sz w:val="20"/>
                <w:szCs w:val="20"/>
              </w:rPr>
              <w:t>Always Manifested</w:t>
            </w:r>
          </w:p>
        </w:tc>
      </w:tr>
      <w:tr w:rsidR="007D3495" w:rsidRPr="007D3495" w14:paraId="2D7F6D42"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4275EE67" w14:textId="3F90A984" w:rsidR="007D3495" w:rsidRPr="00EA53BB" w:rsidRDefault="007D3495" w:rsidP="007D3495">
            <w:pPr>
              <w:rPr>
                <w:rFonts w:ascii="Arial" w:hAnsi="Arial" w:cs="Arial"/>
                <w:b w:val="0"/>
                <w:bCs w:val="0"/>
                <w:color w:val="222222"/>
                <w:sz w:val="20"/>
                <w:szCs w:val="20"/>
                <w:shd w:val="clear" w:color="auto" w:fill="FFFFFF"/>
              </w:rPr>
            </w:pPr>
            <w:r w:rsidRPr="00EA53BB">
              <w:rPr>
                <w:rFonts w:ascii="Arial" w:eastAsia="Times New Roman" w:hAnsi="Arial" w:cs="Arial"/>
                <w:b w:val="0"/>
                <w:bCs w:val="0"/>
                <w:sz w:val="20"/>
                <w:szCs w:val="20"/>
              </w:rPr>
              <w:t>Prioritize loan repayments to mitigate the risk of repossession</w:t>
            </w:r>
          </w:p>
        </w:tc>
        <w:tc>
          <w:tcPr>
            <w:tcW w:w="884" w:type="dxa"/>
            <w:vAlign w:val="center"/>
          </w:tcPr>
          <w:p w14:paraId="4147AF73" w14:textId="18BE7D02"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Times New Roman" w:hAnsi="Arial" w:cs="Arial"/>
                <w:color w:val="000000"/>
                <w:sz w:val="20"/>
                <w:szCs w:val="20"/>
              </w:rPr>
              <w:t>4.22</w:t>
            </w:r>
          </w:p>
        </w:tc>
        <w:tc>
          <w:tcPr>
            <w:tcW w:w="1744" w:type="dxa"/>
            <w:vAlign w:val="center"/>
          </w:tcPr>
          <w:p w14:paraId="762293EF" w14:textId="331659FD"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Times New Roman" w:hAnsi="Arial" w:cs="Arial"/>
                <w:color w:val="000000"/>
                <w:sz w:val="20"/>
                <w:szCs w:val="20"/>
              </w:rPr>
              <w:t>0.49</w:t>
            </w:r>
          </w:p>
        </w:tc>
        <w:tc>
          <w:tcPr>
            <w:tcW w:w="2250" w:type="dxa"/>
          </w:tcPr>
          <w:p w14:paraId="27922AC4" w14:textId="0979C7AA"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EA53BB">
              <w:rPr>
                <w:rFonts w:ascii="Arial" w:eastAsia="Calibri" w:hAnsi="Arial" w:cs="Arial"/>
                <w:sz w:val="20"/>
                <w:szCs w:val="20"/>
              </w:rPr>
              <w:t>Always Manifested</w:t>
            </w:r>
          </w:p>
        </w:tc>
      </w:tr>
      <w:tr w:rsidR="007D3495" w:rsidRPr="007D3495" w14:paraId="7DB6DB66" w14:textId="77777777" w:rsidTr="00620CF3">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397" w:type="dxa"/>
          </w:tcPr>
          <w:p w14:paraId="0C8F3E78" w14:textId="4BAC323F" w:rsidR="007D3495" w:rsidRPr="00EA53BB" w:rsidRDefault="007D3495" w:rsidP="007D3495">
            <w:pPr>
              <w:rPr>
                <w:rFonts w:ascii="Arial" w:hAnsi="Arial" w:cs="Arial"/>
                <w:b w:val="0"/>
                <w:bCs w:val="0"/>
                <w:sz w:val="20"/>
                <w:szCs w:val="20"/>
              </w:rPr>
            </w:pPr>
            <w:r w:rsidRPr="00EA53BB">
              <w:rPr>
                <w:rFonts w:ascii="Arial" w:eastAsia="Times New Roman" w:hAnsi="Arial" w:cs="Arial"/>
                <w:b w:val="0"/>
                <w:bCs w:val="0"/>
                <w:sz w:val="20"/>
                <w:szCs w:val="20"/>
              </w:rPr>
              <w:t xml:space="preserve">Late repayments could harm credit history. </w:t>
            </w:r>
          </w:p>
        </w:tc>
        <w:tc>
          <w:tcPr>
            <w:tcW w:w="884" w:type="dxa"/>
            <w:vAlign w:val="center"/>
          </w:tcPr>
          <w:p w14:paraId="6E5C2BA0" w14:textId="1BE1C3A8" w:rsidR="007D3495" w:rsidRPr="00EA53BB"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53BB">
              <w:rPr>
                <w:rFonts w:ascii="Arial" w:eastAsia="Times New Roman" w:hAnsi="Arial" w:cs="Arial"/>
                <w:color w:val="000000"/>
                <w:sz w:val="20"/>
                <w:szCs w:val="20"/>
              </w:rPr>
              <w:t>4.20</w:t>
            </w:r>
          </w:p>
        </w:tc>
        <w:tc>
          <w:tcPr>
            <w:tcW w:w="1744" w:type="dxa"/>
            <w:vAlign w:val="center"/>
          </w:tcPr>
          <w:p w14:paraId="61029581" w14:textId="27896ED0" w:rsidR="007D3495" w:rsidRPr="00EA53BB"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53BB">
              <w:rPr>
                <w:rFonts w:ascii="Arial" w:eastAsia="Times New Roman" w:hAnsi="Arial" w:cs="Arial"/>
                <w:color w:val="000000"/>
                <w:sz w:val="20"/>
                <w:szCs w:val="20"/>
              </w:rPr>
              <w:t>0.54</w:t>
            </w:r>
          </w:p>
        </w:tc>
        <w:tc>
          <w:tcPr>
            <w:tcW w:w="2250" w:type="dxa"/>
          </w:tcPr>
          <w:p w14:paraId="3B2E63C9" w14:textId="1110287B" w:rsidR="007D3495" w:rsidRPr="00EA53BB" w:rsidRDefault="007D3495" w:rsidP="007D34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53BB">
              <w:rPr>
                <w:rFonts w:ascii="Arial" w:eastAsia="Calibri" w:hAnsi="Arial" w:cs="Arial"/>
                <w:sz w:val="20"/>
                <w:szCs w:val="20"/>
              </w:rPr>
              <w:t>Sometime Manifested</w:t>
            </w:r>
          </w:p>
        </w:tc>
      </w:tr>
      <w:tr w:rsidR="007D3495" w:rsidRPr="007D3495" w14:paraId="37EAF450"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6B0BDFE6" w14:textId="3C1D972E" w:rsidR="007D3495" w:rsidRPr="00EA53BB" w:rsidRDefault="007D3495" w:rsidP="007D3495">
            <w:pPr>
              <w:rPr>
                <w:rFonts w:ascii="Arial" w:hAnsi="Arial" w:cs="Arial"/>
                <w:b w:val="0"/>
                <w:bCs w:val="0"/>
                <w:sz w:val="20"/>
                <w:szCs w:val="20"/>
              </w:rPr>
            </w:pPr>
            <w:r w:rsidRPr="00EA53BB">
              <w:rPr>
                <w:rFonts w:ascii="Arial" w:eastAsia="Times New Roman" w:hAnsi="Arial" w:cs="Arial"/>
                <w:b w:val="0"/>
                <w:bCs w:val="0"/>
                <w:sz w:val="20"/>
                <w:szCs w:val="20"/>
              </w:rPr>
              <w:t>Motivated to repay loans due to the risk of losing appliances</w:t>
            </w:r>
          </w:p>
        </w:tc>
        <w:tc>
          <w:tcPr>
            <w:tcW w:w="884" w:type="dxa"/>
            <w:vAlign w:val="center"/>
          </w:tcPr>
          <w:p w14:paraId="41996088" w14:textId="15A87758"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53BB">
              <w:rPr>
                <w:rFonts w:ascii="Arial" w:eastAsia="Times New Roman" w:hAnsi="Arial" w:cs="Arial"/>
                <w:color w:val="000000"/>
                <w:sz w:val="20"/>
                <w:szCs w:val="20"/>
              </w:rPr>
              <w:t>4.29</w:t>
            </w:r>
          </w:p>
        </w:tc>
        <w:tc>
          <w:tcPr>
            <w:tcW w:w="1744" w:type="dxa"/>
            <w:vAlign w:val="center"/>
          </w:tcPr>
          <w:p w14:paraId="3419237D" w14:textId="76B67D4E"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53BB">
              <w:rPr>
                <w:rFonts w:ascii="Arial" w:eastAsia="Times New Roman" w:hAnsi="Arial" w:cs="Arial"/>
                <w:color w:val="000000"/>
                <w:sz w:val="20"/>
                <w:szCs w:val="20"/>
              </w:rPr>
              <w:t>0.68</w:t>
            </w:r>
          </w:p>
        </w:tc>
        <w:tc>
          <w:tcPr>
            <w:tcW w:w="2250" w:type="dxa"/>
          </w:tcPr>
          <w:p w14:paraId="43734355" w14:textId="4F1E1CA3" w:rsidR="007D3495" w:rsidRPr="00EA53BB" w:rsidRDefault="007D3495" w:rsidP="007D34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53BB">
              <w:rPr>
                <w:rFonts w:ascii="Arial" w:eastAsia="Calibri" w:hAnsi="Arial" w:cs="Arial"/>
                <w:sz w:val="20"/>
                <w:szCs w:val="20"/>
              </w:rPr>
              <w:t>Sometime Manifested</w:t>
            </w:r>
          </w:p>
        </w:tc>
      </w:tr>
      <w:tr w:rsidR="00EA53BB" w:rsidRPr="007D3495" w14:paraId="56A4281D" w14:textId="77777777" w:rsidTr="0039657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397" w:type="dxa"/>
          </w:tcPr>
          <w:p w14:paraId="4BAB7222" w14:textId="48E3C18C" w:rsidR="00EA53BB" w:rsidRPr="00EA53BB" w:rsidRDefault="00EA53BB" w:rsidP="00EA53BB">
            <w:pPr>
              <w:rPr>
                <w:rFonts w:ascii="Arial" w:eastAsia="Times New Roman" w:hAnsi="Arial" w:cs="Arial"/>
                <w:b w:val="0"/>
                <w:bCs w:val="0"/>
                <w:sz w:val="20"/>
                <w:szCs w:val="20"/>
              </w:rPr>
            </w:pPr>
            <w:r w:rsidRPr="00EA53BB">
              <w:rPr>
                <w:rFonts w:ascii="Arial" w:hAnsi="Arial" w:cs="Arial"/>
                <w:b w:val="0"/>
                <w:bCs w:val="0"/>
                <w:sz w:val="20"/>
                <w:szCs w:val="20"/>
              </w:rPr>
              <w:t>Make loan repayments to avoid paying extra fees</w:t>
            </w:r>
          </w:p>
        </w:tc>
        <w:tc>
          <w:tcPr>
            <w:tcW w:w="884" w:type="dxa"/>
            <w:vAlign w:val="center"/>
          </w:tcPr>
          <w:p w14:paraId="0B4670B9" w14:textId="5DB754FD" w:rsidR="00EA53BB" w:rsidRPr="00EA53BB" w:rsidRDefault="00EA53BB" w:rsidP="00EA53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A53BB">
              <w:rPr>
                <w:rFonts w:ascii="Arial" w:eastAsia="Times New Roman" w:hAnsi="Arial" w:cs="Arial"/>
                <w:color w:val="000000"/>
                <w:sz w:val="20"/>
                <w:szCs w:val="20"/>
              </w:rPr>
              <w:t>4.30</w:t>
            </w:r>
          </w:p>
        </w:tc>
        <w:tc>
          <w:tcPr>
            <w:tcW w:w="1744" w:type="dxa"/>
            <w:vAlign w:val="center"/>
          </w:tcPr>
          <w:p w14:paraId="285F320A" w14:textId="2050591D" w:rsidR="00EA53BB" w:rsidRPr="00EA53BB" w:rsidRDefault="00EA53BB" w:rsidP="00EA53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A53BB">
              <w:rPr>
                <w:rFonts w:ascii="Arial" w:eastAsia="Times New Roman" w:hAnsi="Arial" w:cs="Arial"/>
                <w:color w:val="000000"/>
                <w:sz w:val="20"/>
                <w:szCs w:val="20"/>
              </w:rPr>
              <w:t>0.59</w:t>
            </w:r>
          </w:p>
        </w:tc>
        <w:tc>
          <w:tcPr>
            <w:tcW w:w="2250" w:type="dxa"/>
          </w:tcPr>
          <w:p w14:paraId="670F7263" w14:textId="114730F4" w:rsidR="00EA53BB" w:rsidRPr="00EA53BB" w:rsidRDefault="00EA53BB" w:rsidP="00EA53BB">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EA53BB">
              <w:rPr>
                <w:rFonts w:ascii="Arial" w:eastAsia="Calibri" w:hAnsi="Arial" w:cs="Arial"/>
                <w:sz w:val="20"/>
                <w:szCs w:val="20"/>
              </w:rPr>
              <w:t>Always Manifested</w:t>
            </w:r>
          </w:p>
        </w:tc>
      </w:tr>
      <w:tr w:rsidR="00EA53BB" w:rsidRPr="007D3495" w14:paraId="728B0BD8"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72A3CCCE" w14:textId="1ECD2FDC" w:rsidR="00EA53BB" w:rsidRPr="00EA53BB" w:rsidRDefault="00EA53BB" w:rsidP="00EA53BB">
            <w:pPr>
              <w:rPr>
                <w:rFonts w:ascii="Arial" w:eastAsia="Times New Roman" w:hAnsi="Arial" w:cs="Arial"/>
                <w:b w:val="0"/>
                <w:bCs w:val="0"/>
                <w:sz w:val="20"/>
                <w:szCs w:val="20"/>
              </w:rPr>
            </w:pPr>
            <w:r w:rsidRPr="00EA53BB">
              <w:rPr>
                <w:rFonts w:ascii="Arial" w:eastAsia="Times New Roman" w:hAnsi="Arial" w:cs="Arial"/>
                <w:b w:val="0"/>
                <w:bCs w:val="0"/>
                <w:sz w:val="20"/>
                <w:szCs w:val="20"/>
              </w:rPr>
              <w:t xml:space="preserve">Consider the legal risks tied to not repaying loans </w:t>
            </w:r>
          </w:p>
        </w:tc>
        <w:tc>
          <w:tcPr>
            <w:tcW w:w="884" w:type="dxa"/>
            <w:vAlign w:val="center"/>
          </w:tcPr>
          <w:p w14:paraId="10F4E6BC" w14:textId="014BF96A" w:rsidR="00EA53BB" w:rsidRPr="00EA53BB" w:rsidRDefault="00EA53BB" w:rsidP="00EA53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A53BB">
              <w:rPr>
                <w:rFonts w:ascii="Arial" w:eastAsia="Times New Roman" w:hAnsi="Arial" w:cs="Arial"/>
                <w:color w:val="000000"/>
                <w:sz w:val="20"/>
                <w:szCs w:val="20"/>
              </w:rPr>
              <w:t>4.17</w:t>
            </w:r>
          </w:p>
        </w:tc>
        <w:tc>
          <w:tcPr>
            <w:tcW w:w="1744" w:type="dxa"/>
            <w:vAlign w:val="center"/>
          </w:tcPr>
          <w:p w14:paraId="1E44835B" w14:textId="1716E13D" w:rsidR="00EA53BB" w:rsidRPr="00EA53BB" w:rsidRDefault="00EA53BB" w:rsidP="00EA53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A53BB">
              <w:rPr>
                <w:rFonts w:ascii="Arial" w:eastAsia="Times New Roman" w:hAnsi="Arial" w:cs="Arial"/>
                <w:color w:val="000000"/>
                <w:sz w:val="20"/>
                <w:szCs w:val="20"/>
              </w:rPr>
              <w:t>0.61</w:t>
            </w:r>
          </w:p>
        </w:tc>
        <w:tc>
          <w:tcPr>
            <w:tcW w:w="2250" w:type="dxa"/>
          </w:tcPr>
          <w:p w14:paraId="456FF15B" w14:textId="14376135" w:rsidR="00EA53BB" w:rsidRPr="00EA53BB" w:rsidRDefault="00EA53BB" w:rsidP="00EA53BB">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EA53BB">
              <w:rPr>
                <w:rFonts w:ascii="Arial" w:eastAsia="Calibri" w:hAnsi="Arial" w:cs="Arial"/>
                <w:sz w:val="20"/>
                <w:szCs w:val="20"/>
              </w:rPr>
              <w:t>Sometime Manifested</w:t>
            </w:r>
          </w:p>
        </w:tc>
      </w:tr>
      <w:tr w:rsidR="00EA53BB" w:rsidRPr="00620CF3" w14:paraId="7E159251" w14:textId="77777777" w:rsidTr="0039657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tcPr>
          <w:p w14:paraId="5B524ADD" w14:textId="36F0A0AF" w:rsidR="00EA53BB" w:rsidRPr="00620CF3" w:rsidRDefault="00EA53BB" w:rsidP="00EA53BB">
            <w:pPr>
              <w:rPr>
                <w:rFonts w:ascii="Arial" w:eastAsia="Times New Roman" w:hAnsi="Arial" w:cs="Arial"/>
                <w:b w:val="0"/>
                <w:bCs w:val="0"/>
                <w:sz w:val="20"/>
                <w:szCs w:val="20"/>
              </w:rPr>
            </w:pPr>
            <w:r w:rsidRPr="00620CF3">
              <w:rPr>
                <w:rFonts w:ascii="Arial" w:eastAsia="Times New Roman" w:hAnsi="Arial" w:cs="Arial"/>
                <w:b w:val="0"/>
                <w:bCs w:val="0"/>
                <w:sz w:val="20"/>
                <w:szCs w:val="20"/>
              </w:rPr>
              <w:t>Make timely payments to protect your financial reputation.</w:t>
            </w:r>
          </w:p>
        </w:tc>
        <w:tc>
          <w:tcPr>
            <w:tcW w:w="884" w:type="dxa"/>
            <w:vAlign w:val="center"/>
          </w:tcPr>
          <w:p w14:paraId="7F0EE19D" w14:textId="6EC69453" w:rsidR="00EA53BB" w:rsidRPr="00620CF3" w:rsidRDefault="00EA53BB" w:rsidP="00EA53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20CF3">
              <w:rPr>
                <w:rFonts w:ascii="Arial" w:eastAsia="Times New Roman" w:hAnsi="Arial" w:cs="Arial"/>
                <w:color w:val="000000"/>
                <w:sz w:val="20"/>
                <w:szCs w:val="20"/>
              </w:rPr>
              <w:t>4.29</w:t>
            </w:r>
          </w:p>
        </w:tc>
        <w:tc>
          <w:tcPr>
            <w:tcW w:w="1744" w:type="dxa"/>
            <w:vAlign w:val="center"/>
          </w:tcPr>
          <w:p w14:paraId="78F2425C" w14:textId="3718A791" w:rsidR="00EA53BB" w:rsidRPr="00620CF3" w:rsidRDefault="00EA53BB" w:rsidP="00EA53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20CF3">
              <w:rPr>
                <w:rFonts w:ascii="Arial" w:eastAsia="Times New Roman" w:hAnsi="Arial" w:cs="Arial"/>
                <w:color w:val="000000"/>
                <w:sz w:val="20"/>
                <w:szCs w:val="20"/>
              </w:rPr>
              <w:t>0.55</w:t>
            </w:r>
          </w:p>
        </w:tc>
        <w:tc>
          <w:tcPr>
            <w:tcW w:w="2250" w:type="dxa"/>
          </w:tcPr>
          <w:p w14:paraId="00E8CD38" w14:textId="280F13F6" w:rsidR="00EA53BB" w:rsidRPr="00620CF3" w:rsidRDefault="00EA53BB" w:rsidP="00EA53BB">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620CF3">
              <w:rPr>
                <w:rFonts w:ascii="Arial" w:eastAsia="Calibri" w:hAnsi="Arial" w:cs="Arial"/>
                <w:sz w:val="20"/>
                <w:szCs w:val="20"/>
              </w:rPr>
              <w:t>Always Manifested</w:t>
            </w:r>
          </w:p>
        </w:tc>
      </w:tr>
      <w:tr w:rsidR="00EA53BB" w:rsidRPr="00620CF3" w14:paraId="524EB8C6" w14:textId="77777777" w:rsidTr="00396572">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1C9B1761" w14:textId="28850BD9" w:rsidR="00EA53BB" w:rsidRPr="00620CF3" w:rsidRDefault="00EA53BB" w:rsidP="00EA53BB">
            <w:pPr>
              <w:jc w:val="center"/>
              <w:rPr>
                <w:rFonts w:ascii="Arial" w:hAnsi="Arial" w:cs="Arial"/>
                <w:color w:val="222222"/>
                <w:sz w:val="20"/>
                <w:szCs w:val="20"/>
                <w:shd w:val="clear" w:color="auto" w:fill="FFFFFF"/>
              </w:rPr>
            </w:pPr>
            <w:r w:rsidRPr="00620CF3">
              <w:rPr>
                <w:rFonts w:ascii="Arial" w:eastAsia="Times New Roman" w:hAnsi="Arial" w:cs="Arial"/>
                <w:color w:val="000000"/>
                <w:sz w:val="20"/>
                <w:szCs w:val="20"/>
              </w:rPr>
              <w:t>Average</w:t>
            </w:r>
          </w:p>
        </w:tc>
        <w:tc>
          <w:tcPr>
            <w:tcW w:w="884" w:type="dxa"/>
            <w:tcBorders>
              <w:bottom w:val="single" w:sz="12" w:space="0" w:color="auto"/>
            </w:tcBorders>
            <w:vAlign w:val="center"/>
          </w:tcPr>
          <w:p w14:paraId="04DC9D1D" w14:textId="702E1A93" w:rsidR="00EA53BB" w:rsidRPr="00620CF3" w:rsidRDefault="00EA53BB" w:rsidP="00EA5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620CF3">
              <w:rPr>
                <w:rFonts w:ascii="Arial" w:eastAsia="Times New Roman" w:hAnsi="Arial" w:cs="Arial"/>
                <w:b/>
                <w:bCs/>
                <w:color w:val="000000"/>
                <w:sz w:val="20"/>
                <w:szCs w:val="20"/>
              </w:rPr>
              <w:t>4.24</w:t>
            </w:r>
          </w:p>
        </w:tc>
        <w:tc>
          <w:tcPr>
            <w:tcW w:w="1744" w:type="dxa"/>
            <w:tcBorders>
              <w:bottom w:val="single" w:sz="12" w:space="0" w:color="auto"/>
            </w:tcBorders>
            <w:vAlign w:val="center"/>
          </w:tcPr>
          <w:p w14:paraId="1E840FD8" w14:textId="2B7A5602" w:rsidR="00EA53BB" w:rsidRPr="00620CF3" w:rsidRDefault="00EA53BB" w:rsidP="00EA5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620CF3">
              <w:rPr>
                <w:rFonts w:ascii="Arial" w:eastAsia="Times New Roman" w:hAnsi="Arial" w:cs="Arial"/>
                <w:b/>
                <w:bCs/>
                <w:color w:val="000000"/>
                <w:sz w:val="20"/>
                <w:szCs w:val="20"/>
              </w:rPr>
              <w:t>0.36</w:t>
            </w:r>
          </w:p>
        </w:tc>
        <w:tc>
          <w:tcPr>
            <w:tcW w:w="2250" w:type="dxa"/>
            <w:tcBorders>
              <w:bottom w:val="single" w:sz="12" w:space="0" w:color="auto"/>
            </w:tcBorders>
          </w:tcPr>
          <w:p w14:paraId="4B608EAF" w14:textId="7EA35CAB" w:rsidR="00EA53BB" w:rsidRPr="00620CF3" w:rsidRDefault="00EA53BB" w:rsidP="00EA53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620CF3">
              <w:rPr>
                <w:rFonts w:ascii="Arial" w:eastAsia="Calibri" w:hAnsi="Arial" w:cs="Arial"/>
                <w:b/>
                <w:bCs/>
                <w:sz w:val="20"/>
                <w:szCs w:val="20"/>
              </w:rPr>
              <w:t>Always Manifested</w:t>
            </w:r>
          </w:p>
        </w:tc>
      </w:tr>
    </w:tbl>
    <w:p w14:paraId="1589342B" w14:textId="77777777" w:rsidR="007D3495" w:rsidRPr="00620CF3" w:rsidRDefault="007D3495" w:rsidP="007D3495">
      <w:pPr>
        <w:jc w:val="both"/>
        <w:rPr>
          <w:rFonts w:ascii="Arial" w:hAnsi="Arial" w:cs="Arial"/>
          <w:sz w:val="20"/>
          <w:szCs w:val="20"/>
        </w:rPr>
      </w:pPr>
    </w:p>
    <w:p w14:paraId="4C1F80F5" w14:textId="5351C504" w:rsidR="00EA53BB" w:rsidRPr="00BB2252" w:rsidRDefault="00EA53BB" w:rsidP="00EA53BB">
      <w:pPr>
        <w:ind w:firstLine="720"/>
        <w:jc w:val="both"/>
        <w:rPr>
          <w:rFonts w:ascii="Arial" w:hAnsi="Arial" w:cs="Arial"/>
          <w:sz w:val="20"/>
          <w:szCs w:val="20"/>
        </w:rPr>
      </w:pPr>
      <w:r w:rsidRPr="00BB2252">
        <w:rPr>
          <w:rFonts w:ascii="Arial" w:hAnsi="Arial" w:cs="Arial"/>
          <w:bCs/>
          <w:sz w:val="20"/>
          <w:szCs w:val="20"/>
        </w:rPr>
        <w:lastRenderedPageBreak/>
        <w:t xml:space="preserve">Table </w:t>
      </w:r>
      <w:r>
        <w:rPr>
          <w:rFonts w:ascii="Arial" w:hAnsi="Arial" w:cs="Arial"/>
          <w:bCs/>
          <w:sz w:val="20"/>
          <w:szCs w:val="20"/>
        </w:rPr>
        <w:t xml:space="preserve">14 </w:t>
      </w:r>
      <w:r w:rsidRPr="00BB2252">
        <w:rPr>
          <w:rFonts w:ascii="Arial" w:hAnsi="Arial" w:cs="Arial"/>
          <w:bCs/>
          <w:sz w:val="20"/>
          <w:szCs w:val="20"/>
        </w:rPr>
        <w:t>shows that the result of the level of loan repayment in terms of perceived risk is consistently observed (</w:t>
      </w:r>
      <w:r w:rsidRPr="00BB2252">
        <w:rPr>
          <w:rFonts w:ascii="Arial" w:hAnsi="Arial" w:cs="Arial"/>
          <w:color w:val="4D5156"/>
          <w:sz w:val="20"/>
          <w:szCs w:val="20"/>
          <w:shd w:val="clear" w:color="auto" w:fill="FFFFFF"/>
        </w:rPr>
        <w:t>x̄</w:t>
      </w:r>
      <w:r w:rsidRPr="00BB2252">
        <w:rPr>
          <w:rFonts w:ascii="Arial" w:hAnsi="Arial" w:cs="Arial"/>
          <w:bCs/>
          <w:sz w:val="20"/>
          <w:szCs w:val="20"/>
        </w:rPr>
        <w:t xml:space="preserve"> = 4.24). </w:t>
      </w:r>
      <w:r w:rsidRPr="00BB2252">
        <w:rPr>
          <w:rFonts w:ascii="Arial" w:hAnsi="Arial" w:cs="Arial"/>
          <w:sz w:val="20"/>
          <w:szCs w:val="20"/>
        </w:rPr>
        <w:t xml:space="preserve">This implies that debtors of home appliance dealers in </w:t>
      </w:r>
      <w:proofErr w:type="spellStart"/>
      <w:r w:rsidRPr="00BB2252">
        <w:rPr>
          <w:rFonts w:ascii="Arial" w:hAnsi="Arial" w:cs="Arial"/>
          <w:sz w:val="20"/>
          <w:szCs w:val="20"/>
        </w:rPr>
        <w:t>Cateel</w:t>
      </w:r>
      <w:proofErr w:type="spellEnd"/>
      <w:r w:rsidRPr="00BB2252">
        <w:rPr>
          <w:rFonts w:ascii="Arial" w:hAnsi="Arial" w:cs="Arial"/>
          <w:sz w:val="20"/>
          <w:szCs w:val="20"/>
        </w:rPr>
        <w:t xml:space="preserve"> consistently demonstrate a strong awareness of risks associated with loan repayment, reflecting a highly cautious and proactive approach to managing perceived risks in loan repayment. </w:t>
      </w:r>
    </w:p>
    <w:p w14:paraId="6F66FECF" w14:textId="4F218581" w:rsidR="00EA53BB" w:rsidRDefault="00EA53BB" w:rsidP="00B63DA7">
      <w:pPr>
        <w:ind w:firstLine="720"/>
        <w:jc w:val="both"/>
        <w:rPr>
          <w:rFonts w:ascii="Arial" w:hAnsi="Arial" w:cs="Arial"/>
          <w:sz w:val="20"/>
          <w:szCs w:val="20"/>
        </w:rPr>
      </w:pPr>
      <w:r w:rsidRPr="00BB2252">
        <w:rPr>
          <w:rFonts w:ascii="Arial" w:hAnsi="Arial" w:cs="Arial"/>
          <w:sz w:val="20"/>
          <w:szCs w:val="20"/>
        </w:rPr>
        <w:t xml:space="preserve">Further, the result revealed that debtors of home appliance dealers in </w:t>
      </w:r>
      <w:proofErr w:type="spellStart"/>
      <w:r w:rsidRPr="00BB2252">
        <w:rPr>
          <w:rFonts w:ascii="Arial" w:hAnsi="Arial" w:cs="Arial"/>
          <w:sz w:val="20"/>
          <w:szCs w:val="20"/>
        </w:rPr>
        <w:t>Cateel</w:t>
      </w:r>
      <w:proofErr w:type="spellEnd"/>
      <w:r w:rsidRPr="00BB2252">
        <w:rPr>
          <w:rFonts w:ascii="Arial" w:hAnsi="Arial" w:cs="Arial"/>
          <w:sz w:val="20"/>
          <w:szCs w:val="20"/>
        </w:rPr>
        <w:t xml:space="preserve"> </w:t>
      </w:r>
      <w:r w:rsidRPr="00BB2252">
        <w:rPr>
          <w:rFonts w:ascii="Arial" w:eastAsia="Times New Roman" w:hAnsi="Arial" w:cs="Arial"/>
          <w:sz w:val="20"/>
          <w:szCs w:val="20"/>
        </w:rPr>
        <w:t xml:space="preserve">understand the potential consequences of failing to repay loans on time. </w:t>
      </w:r>
      <w:r w:rsidRPr="00BB2252">
        <w:rPr>
          <w:rFonts w:ascii="Arial" w:hAnsi="Arial" w:cs="Arial"/>
          <w:sz w:val="20"/>
          <w:szCs w:val="20"/>
        </w:rPr>
        <w:t>However, they</w:t>
      </w:r>
      <w:r w:rsidRPr="00BB2252">
        <w:rPr>
          <w:rFonts w:ascii="Arial" w:eastAsia="Times New Roman" w:hAnsi="Arial" w:cs="Arial"/>
          <w:sz w:val="20"/>
          <w:szCs w:val="20"/>
        </w:rPr>
        <w:t xml:space="preserve"> express concern about financial risks associated with not repaying loans for home appliances. The result is supported by the idea of </w:t>
      </w:r>
      <w:r w:rsidRPr="00BB2252">
        <w:rPr>
          <w:rFonts w:ascii="Arial" w:hAnsi="Arial" w:cs="Arial"/>
          <w:color w:val="222222"/>
          <w:sz w:val="20"/>
          <w:szCs w:val="20"/>
          <w:shd w:val="clear" w:color="auto" w:fill="FFFFFF"/>
        </w:rPr>
        <w:t>Goel and Rastogi (2023)</w:t>
      </w:r>
      <w:r w:rsidRPr="00BB2252">
        <w:rPr>
          <w:rFonts w:ascii="Arial" w:hAnsi="Arial" w:cs="Arial"/>
          <w:sz w:val="20"/>
          <w:szCs w:val="20"/>
        </w:rPr>
        <w:t>, who stated that borrowers who understand loan risks are often more cautious in borrowing decisions, leading to better repayment behaviors</w:t>
      </w:r>
      <w:r w:rsidRPr="00BB2252">
        <w:rPr>
          <w:rFonts w:ascii="Arial" w:hAnsi="Arial" w:cs="Arial"/>
          <w:bCs/>
          <w:sz w:val="20"/>
          <w:szCs w:val="20"/>
        </w:rPr>
        <w:t xml:space="preserve">. Moreover, </w:t>
      </w:r>
      <w:proofErr w:type="spellStart"/>
      <w:r w:rsidRPr="00BB2252">
        <w:rPr>
          <w:rFonts w:ascii="Arial" w:hAnsi="Arial" w:cs="Arial"/>
          <w:sz w:val="20"/>
          <w:szCs w:val="20"/>
        </w:rPr>
        <w:t>Munyasia</w:t>
      </w:r>
      <w:proofErr w:type="spellEnd"/>
      <w:r w:rsidRPr="00BB2252">
        <w:rPr>
          <w:rFonts w:ascii="Arial" w:hAnsi="Arial" w:cs="Arial"/>
          <w:sz w:val="20"/>
          <w:szCs w:val="20"/>
        </w:rPr>
        <w:t xml:space="preserve"> (2023) stated that </w:t>
      </w:r>
      <w:r w:rsidRPr="00BB2252">
        <w:rPr>
          <w:rFonts w:ascii="Arial" w:hAnsi="Arial" w:cs="Arial"/>
          <w:bCs/>
          <w:sz w:val="20"/>
          <w:szCs w:val="20"/>
        </w:rPr>
        <w:t>perceived</w:t>
      </w:r>
      <w:r w:rsidRPr="00BB2252">
        <w:rPr>
          <w:rFonts w:ascii="Arial" w:hAnsi="Arial" w:cs="Arial"/>
          <w:sz w:val="20"/>
          <w:szCs w:val="20"/>
        </w:rPr>
        <w:t xml:space="preserve"> risk relates to borrowers' assessment of the loan's risk, resonating with Melton's theory, which focuses on the borrower's persp</w:t>
      </w:r>
      <w:r>
        <w:rPr>
          <w:rFonts w:ascii="Arial" w:hAnsi="Arial" w:cs="Arial"/>
          <w:sz w:val="20"/>
          <w:szCs w:val="20"/>
        </w:rPr>
        <w:t>ective in predicting repayment.</w:t>
      </w:r>
    </w:p>
    <w:p w14:paraId="22FD6A19" w14:textId="1527803A" w:rsidR="00B63DA7" w:rsidRPr="00B63DA7" w:rsidRDefault="00B63DA7" w:rsidP="00B63DA7">
      <w:pPr>
        <w:pStyle w:val="NoSpacing"/>
        <w:rPr>
          <w:rFonts w:ascii="Arial" w:hAnsi="Arial" w:cs="Arial"/>
          <w:sz w:val="20"/>
          <w:szCs w:val="20"/>
        </w:rPr>
      </w:pPr>
      <w:r w:rsidRPr="00620CF3">
        <w:rPr>
          <w:rFonts w:ascii="Arial" w:hAnsi="Arial" w:cs="Arial"/>
          <w:b/>
          <w:bCs/>
          <w:sz w:val="20"/>
          <w:szCs w:val="20"/>
        </w:rPr>
        <w:t>Table 15</w:t>
      </w:r>
      <w:r w:rsidR="00620CF3">
        <w:rPr>
          <w:rFonts w:ascii="Arial" w:hAnsi="Arial" w:cs="Arial"/>
          <w:sz w:val="20"/>
          <w:szCs w:val="20"/>
        </w:rPr>
        <w:t>. L</w:t>
      </w:r>
      <w:r w:rsidRPr="00B63DA7">
        <w:rPr>
          <w:rFonts w:ascii="Arial" w:hAnsi="Arial" w:cs="Arial"/>
          <w:sz w:val="20"/>
          <w:szCs w:val="20"/>
        </w:rPr>
        <w:t>evel of loan repayment in terms of Perceive Value</w:t>
      </w:r>
    </w:p>
    <w:tbl>
      <w:tblPr>
        <w:tblStyle w:val="PlainTable21"/>
        <w:tblW w:w="8275" w:type="dxa"/>
        <w:tblLook w:val="04A0" w:firstRow="1" w:lastRow="0" w:firstColumn="1" w:lastColumn="0" w:noHBand="0" w:noVBand="1"/>
      </w:tblPr>
      <w:tblGrid>
        <w:gridCol w:w="3397"/>
        <w:gridCol w:w="884"/>
        <w:gridCol w:w="1744"/>
        <w:gridCol w:w="2250"/>
      </w:tblGrid>
      <w:tr w:rsidR="00EA53BB" w:rsidRPr="007D3495" w14:paraId="54C74F65"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77CA9932" w14:textId="77777777" w:rsidR="00EA53BB" w:rsidRPr="007D3495" w:rsidRDefault="00EA53BB" w:rsidP="00396572">
            <w:pPr>
              <w:jc w:val="center"/>
              <w:rPr>
                <w:rFonts w:ascii="Arial" w:hAnsi="Arial" w:cs="Arial"/>
                <w:color w:val="222222"/>
                <w:sz w:val="20"/>
                <w:szCs w:val="20"/>
                <w:shd w:val="clear" w:color="auto" w:fill="FFFFFF"/>
              </w:rPr>
            </w:pPr>
            <w:r w:rsidRPr="007D3495">
              <w:rPr>
                <w:rFonts w:ascii="Arial" w:hAnsi="Arial" w:cs="Arial"/>
                <w:sz w:val="20"/>
                <w:szCs w:val="20"/>
              </w:rPr>
              <w:t>Description</w:t>
            </w:r>
          </w:p>
        </w:tc>
        <w:tc>
          <w:tcPr>
            <w:tcW w:w="884" w:type="dxa"/>
            <w:tcBorders>
              <w:top w:val="single" w:sz="12" w:space="0" w:color="auto"/>
            </w:tcBorders>
          </w:tcPr>
          <w:p w14:paraId="326404FB" w14:textId="77777777" w:rsidR="00EA53BB" w:rsidRPr="007D3495" w:rsidRDefault="00EA53BB"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Mean</w:t>
            </w:r>
          </w:p>
        </w:tc>
        <w:tc>
          <w:tcPr>
            <w:tcW w:w="1744" w:type="dxa"/>
            <w:tcBorders>
              <w:top w:val="single" w:sz="12" w:space="0" w:color="auto"/>
            </w:tcBorders>
          </w:tcPr>
          <w:p w14:paraId="421FE7BA" w14:textId="77777777" w:rsidR="00EA53BB" w:rsidRPr="007D3495" w:rsidRDefault="00EA53BB"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Std. deviation</w:t>
            </w:r>
          </w:p>
        </w:tc>
        <w:tc>
          <w:tcPr>
            <w:tcW w:w="2250" w:type="dxa"/>
            <w:tcBorders>
              <w:top w:val="single" w:sz="12" w:space="0" w:color="auto"/>
            </w:tcBorders>
          </w:tcPr>
          <w:p w14:paraId="5D099C8A" w14:textId="77777777" w:rsidR="00EA53BB" w:rsidRPr="007D3495" w:rsidRDefault="00EA53BB"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Descriptive Level</w:t>
            </w:r>
          </w:p>
        </w:tc>
      </w:tr>
      <w:tr w:rsidR="00B63DA7" w:rsidRPr="00EA53BB" w14:paraId="20AA002D"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D3DB9CB" w14:textId="41E3A505" w:rsidR="00B63DA7" w:rsidRPr="00B63DA7" w:rsidRDefault="00B63DA7" w:rsidP="00B63DA7">
            <w:pPr>
              <w:rPr>
                <w:rFonts w:ascii="Arial" w:hAnsi="Arial" w:cs="Arial"/>
                <w:b w:val="0"/>
                <w:bCs w:val="0"/>
                <w:color w:val="222222"/>
                <w:sz w:val="20"/>
                <w:szCs w:val="20"/>
                <w:shd w:val="clear" w:color="auto" w:fill="FFFFFF"/>
              </w:rPr>
            </w:pPr>
            <w:r w:rsidRPr="00B63DA7">
              <w:rPr>
                <w:rFonts w:ascii="Arial" w:eastAsia="Times New Roman" w:hAnsi="Arial" w:cs="Arial"/>
                <w:b w:val="0"/>
                <w:bCs w:val="0"/>
                <w:sz w:val="20"/>
                <w:szCs w:val="20"/>
              </w:rPr>
              <w:t>The value of a home appliance generally motivates one to repay loans on time.</w:t>
            </w:r>
          </w:p>
        </w:tc>
        <w:tc>
          <w:tcPr>
            <w:tcW w:w="884" w:type="dxa"/>
            <w:vAlign w:val="center"/>
          </w:tcPr>
          <w:p w14:paraId="440D945C" w14:textId="5C993259"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Times New Roman" w:hAnsi="Arial" w:cs="Arial"/>
                <w:color w:val="000000"/>
                <w:sz w:val="20"/>
                <w:szCs w:val="20"/>
              </w:rPr>
              <w:t>4.22</w:t>
            </w:r>
          </w:p>
        </w:tc>
        <w:tc>
          <w:tcPr>
            <w:tcW w:w="1744" w:type="dxa"/>
            <w:vAlign w:val="center"/>
          </w:tcPr>
          <w:p w14:paraId="580171C0" w14:textId="7347F763"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Times New Roman" w:hAnsi="Arial" w:cs="Arial"/>
                <w:color w:val="000000"/>
                <w:sz w:val="20"/>
                <w:szCs w:val="20"/>
              </w:rPr>
              <w:t>0.58</w:t>
            </w:r>
          </w:p>
        </w:tc>
        <w:tc>
          <w:tcPr>
            <w:tcW w:w="2250" w:type="dxa"/>
          </w:tcPr>
          <w:p w14:paraId="4A75B4E8" w14:textId="009F951A"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Calibri" w:hAnsi="Arial" w:cs="Arial"/>
                <w:sz w:val="20"/>
                <w:szCs w:val="20"/>
              </w:rPr>
              <w:t>Always Manifested</w:t>
            </w:r>
          </w:p>
        </w:tc>
      </w:tr>
      <w:tr w:rsidR="00B63DA7" w:rsidRPr="00EA53BB" w14:paraId="6A03A3E0"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34D5744C" w14:textId="1BAF21FA" w:rsidR="00B63DA7" w:rsidRPr="00B63DA7" w:rsidRDefault="00B63DA7" w:rsidP="00B63DA7">
            <w:pPr>
              <w:rPr>
                <w:rFonts w:ascii="Arial" w:hAnsi="Arial" w:cs="Arial"/>
                <w:b w:val="0"/>
                <w:bCs w:val="0"/>
                <w:color w:val="222222"/>
                <w:sz w:val="20"/>
                <w:szCs w:val="20"/>
                <w:shd w:val="clear" w:color="auto" w:fill="FFFFFF"/>
              </w:rPr>
            </w:pPr>
            <w:r w:rsidRPr="00B63DA7">
              <w:rPr>
                <w:rFonts w:ascii="Arial" w:hAnsi="Arial" w:cs="Arial"/>
                <w:b w:val="0"/>
                <w:bCs w:val="0"/>
                <w:sz w:val="20"/>
                <w:szCs w:val="20"/>
              </w:rPr>
              <w:t>The benefits of owning the home appliance outweigh the costs of repaying the loan</w:t>
            </w:r>
          </w:p>
        </w:tc>
        <w:tc>
          <w:tcPr>
            <w:tcW w:w="884" w:type="dxa"/>
            <w:vAlign w:val="center"/>
          </w:tcPr>
          <w:p w14:paraId="7BDB590E" w14:textId="1A3F68AC"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Times New Roman" w:hAnsi="Arial" w:cs="Arial"/>
                <w:color w:val="000000"/>
                <w:sz w:val="20"/>
                <w:szCs w:val="20"/>
              </w:rPr>
              <w:t>4.19</w:t>
            </w:r>
          </w:p>
        </w:tc>
        <w:tc>
          <w:tcPr>
            <w:tcW w:w="1744" w:type="dxa"/>
            <w:vAlign w:val="center"/>
          </w:tcPr>
          <w:p w14:paraId="28F458EF" w14:textId="36471746"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Times New Roman" w:hAnsi="Arial" w:cs="Arial"/>
                <w:color w:val="000000"/>
                <w:sz w:val="20"/>
                <w:szCs w:val="20"/>
              </w:rPr>
              <w:t>0.58</w:t>
            </w:r>
          </w:p>
        </w:tc>
        <w:tc>
          <w:tcPr>
            <w:tcW w:w="2250" w:type="dxa"/>
          </w:tcPr>
          <w:p w14:paraId="4104A390" w14:textId="2D338823"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Calibri" w:hAnsi="Arial" w:cs="Arial"/>
                <w:sz w:val="20"/>
                <w:szCs w:val="20"/>
              </w:rPr>
              <w:t>Often Manifested</w:t>
            </w:r>
          </w:p>
        </w:tc>
      </w:tr>
      <w:tr w:rsidR="00B63DA7" w:rsidRPr="00EA53BB" w14:paraId="08BEECA6"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8B2BD0A" w14:textId="18F19AE1" w:rsidR="00B63DA7" w:rsidRPr="00B63DA7" w:rsidRDefault="00B63DA7" w:rsidP="00B63DA7">
            <w:pPr>
              <w:rPr>
                <w:rFonts w:ascii="Arial" w:hAnsi="Arial" w:cs="Arial"/>
                <w:b w:val="0"/>
                <w:bCs w:val="0"/>
                <w:color w:val="222222"/>
                <w:sz w:val="20"/>
                <w:szCs w:val="20"/>
                <w:shd w:val="clear" w:color="auto" w:fill="FFFFFF"/>
              </w:rPr>
            </w:pPr>
            <w:r w:rsidRPr="00B63DA7">
              <w:rPr>
                <w:rFonts w:ascii="Arial" w:eastAsia="Times New Roman" w:hAnsi="Arial" w:cs="Arial"/>
                <w:b w:val="0"/>
                <w:bCs w:val="0"/>
                <w:sz w:val="20"/>
                <w:szCs w:val="20"/>
              </w:rPr>
              <w:t>The value of the appliance can justify the effort to repay loans.</w:t>
            </w:r>
          </w:p>
        </w:tc>
        <w:tc>
          <w:tcPr>
            <w:tcW w:w="884" w:type="dxa"/>
            <w:vAlign w:val="center"/>
          </w:tcPr>
          <w:p w14:paraId="6C0AFB5A" w14:textId="390F9A77" w:rsidR="00B63DA7" w:rsidRPr="00B63DA7" w:rsidRDefault="00B63DA7" w:rsidP="00B63DA7">
            <w:pPr>
              <w:tabs>
                <w:tab w:val="center" w:pos="334"/>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Times New Roman" w:hAnsi="Arial" w:cs="Arial"/>
                <w:color w:val="000000"/>
                <w:sz w:val="20"/>
                <w:szCs w:val="20"/>
              </w:rPr>
              <w:t>4.19</w:t>
            </w:r>
          </w:p>
        </w:tc>
        <w:tc>
          <w:tcPr>
            <w:tcW w:w="1744" w:type="dxa"/>
            <w:vAlign w:val="center"/>
          </w:tcPr>
          <w:p w14:paraId="7C5999E9" w14:textId="3835A2D6"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Times New Roman" w:hAnsi="Arial" w:cs="Arial"/>
                <w:color w:val="000000"/>
                <w:sz w:val="20"/>
                <w:szCs w:val="20"/>
              </w:rPr>
              <w:t>0.63</w:t>
            </w:r>
          </w:p>
        </w:tc>
        <w:tc>
          <w:tcPr>
            <w:tcW w:w="2250" w:type="dxa"/>
          </w:tcPr>
          <w:p w14:paraId="14728758" w14:textId="3D93FC3C" w:rsidR="00B63DA7" w:rsidRPr="00B63DA7" w:rsidRDefault="00B63DA7" w:rsidP="00B63DA7">
            <w:pPr>
              <w:tabs>
                <w:tab w:val="left" w:pos="210"/>
                <w:tab w:val="center" w:pos="1017"/>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Calibri" w:hAnsi="Arial" w:cs="Arial"/>
                <w:sz w:val="20"/>
                <w:szCs w:val="20"/>
              </w:rPr>
              <w:t>Often Manifested</w:t>
            </w:r>
          </w:p>
        </w:tc>
      </w:tr>
      <w:tr w:rsidR="00B63DA7" w:rsidRPr="00EA53BB" w14:paraId="672026C9"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1F896031" w14:textId="2F9409CD" w:rsidR="00B63DA7" w:rsidRPr="00B63DA7" w:rsidRDefault="00B63DA7" w:rsidP="00B63DA7">
            <w:pPr>
              <w:rPr>
                <w:rFonts w:ascii="Arial" w:hAnsi="Arial" w:cs="Arial"/>
                <w:b w:val="0"/>
                <w:bCs w:val="0"/>
                <w:color w:val="222222"/>
                <w:sz w:val="20"/>
                <w:szCs w:val="20"/>
                <w:shd w:val="clear" w:color="auto" w:fill="FFFFFF"/>
              </w:rPr>
            </w:pPr>
            <w:r w:rsidRPr="00B63DA7">
              <w:rPr>
                <w:rFonts w:ascii="Arial" w:eastAsia="Times New Roman" w:hAnsi="Arial" w:cs="Arial"/>
                <w:b w:val="0"/>
                <w:bCs w:val="0"/>
                <w:sz w:val="20"/>
                <w:szCs w:val="20"/>
              </w:rPr>
              <w:t>Consider a home appliance a good investment, prompting diligent loan repayments.</w:t>
            </w:r>
          </w:p>
        </w:tc>
        <w:tc>
          <w:tcPr>
            <w:tcW w:w="884" w:type="dxa"/>
            <w:vAlign w:val="center"/>
          </w:tcPr>
          <w:p w14:paraId="743C0101" w14:textId="4CEF1B74"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Times New Roman" w:hAnsi="Arial" w:cs="Arial"/>
                <w:color w:val="000000"/>
                <w:sz w:val="20"/>
                <w:szCs w:val="20"/>
              </w:rPr>
              <w:t>4.23</w:t>
            </w:r>
          </w:p>
        </w:tc>
        <w:tc>
          <w:tcPr>
            <w:tcW w:w="1744" w:type="dxa"/>
            <w:vAlign w:val="center"/>
          </w:tcPr>
          <w:p w14:paraId="3CFF6EF6" w14:textId="03E90463"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Times New Roman" w:hAnsi="Arial" w:cs="Arial"/>
                <w:color w:val="000000"/>
                <w:sz w:val="20"/>
                <w:szCs w:val="20"/>
              </w:rPr>
              <w:t>0.57</w:t>
            </w:r>
          </w:p>
        </w:tc>
        <w:tc>
          <w:tcPr>
            <w:tcW w:w="2250" w:type="dxa"/>
          </w:tcPr>
          <w:p w14:paraId="2E50A6EA" w14:textId="21903BE3"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B63DA7">
              <w:rPr>
                <w:rFonts w:ascii="Arial" w:eastAsia="Calibri" w:hAnsi="Arial" w:cs="Arial"/>
                <w:sz w:val="20"/>
                <w:szCs w:val="20"/>
              </w:rPr>
              <w:t>Always Manifested</w:t>
            </w:r>
          </w:p>
        </w:tc>
      </w:tr>
      <w:tr w:rsidR="00B63DA7" w:rsidRPr="00EA53BB" w14:paraId="142BD565" w14:textId="77777777" w:rsidTr="00396572">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3397" w:type="dxa"/>
          </w:tcPr>
          <w:p w14:paraId="577CEDAC" w14:textId="10DE1927" w:rsidR="00B63DA7" w:rsidRPr="00B63DA7" w:rsidRDefault="00B63DA7" w:rsidP="00B63DA7">
            <w:pPr>
              <w:rPr>
                <w:rFonts w:ascii="Arial" w:hAnsi="Arial" w:cs="Arial"/>
                <w:b w:val="0"/>
                <w:bCs w:val="0"/>
                <w:sz w:val="20"/>
                <w:szCs w:val="20"/>
              </w:rPr>
            </w:pPr>
            <w:r w:rsidRPr="00B63DA7">
              <w:rPr>
                <w:rFonts w:ascii="Arial" w:eastAsia="Times New Roman" w:hAnsi="Arial" w:cs="Arial"/>
                <w:b w:val="0"/>
                <w:bCs w:val="0"/>
                <w:sz w:val="20"/>
                <w:szCs w:val="20"/>
              </w:rPr>
              <w:t>The long-term benefits of a home appliance often encourage timely loan repayments.</w:t>
            </w:r>
          </w:p>
        </w:tc>
        <w:tc>
          <w:tcPr>
            <w:tcW w:w="884" w:type="dxa"/>
            <w:vAlign w:val="center"/>
          </w:tcPr>
          <w:p w14:paraId="6EB6B49A" w14:textId="1057A03C"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3DA7">
              <w:rPr>
                <w:rFonts w:ascii="Arial" w:eastAsia="Times New Roman" w:hAnsi="Arial" w:cs="Arial"/>
                <w:color w:val="000000"/>
                <w:sz w:val="20"/>
                <w:szCs w:val="20"/>
              </w:rPr>
              <w:t>4.30</w:t>
            </w:r>
          </w:p>
        </w:tc>
        <w:tc>
          <w:tcPr>
            <w:tcW w:w="1744" w:type="dxa"/>
            <w:vAlign w:val="center"/>
          </w:tcPr>
          <w:p w14:paraId="723B5EF8" w14:textId="133ED8AB"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3DA7">
              <w:rPr>
                <w:rFonts w:ascii="Arial" w:eastAsia="Times New Roman" w:hAnsi="Arial" w:cs="Arial"/>
                <w:color w:val="000000"/>
                <w:sz w:val="20"/>
                <w:szCs w:val="20"/>
              </w:rPr>
              <w:t>0.58</w:t>
            </w:r>
          </w:p>
        </w:tc>
        <w:tc>
          <w:tcPr>
            <w:tcW w:w="2250" w:type="dxa"/>
          </w:tcPr>
          <w:p w14:paraId="6AB74701" w14:textId="5561D986"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3DA7">
              <w:rPr>
                <w:rFonts w:ascii="Arial" w:eastAsia="Calibri" w:hAnsi="Arial" w:cs="Arial"/>
                <w:sz w:val="20"/>
                <w:szCs w:val="20"/>
              </w:rPr>
              <w:t>Always Manifested</w:t>
            </w:r>
          </w:p>
        </w:tc>
      </w:tr>
      <w:tr w:rsidR="00B63DA7" w:rsidRPr="00EA53BB" w14:paraId="6913394F"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70A649F9" w14:textId="15580D62" w:rsidR="00B63DA7" w:rsidRPr="00B63DA7" w:rsidRDefault="00B63DA7" w:rsidP="00B63DA7">
            <w:pPr>
              <w:rPr>
                <w:rFonts w:ascii="Arial" w:hAnsi="Arial" w:cs="Arial"/>
                <w:b w:val="0"/>
                <w:bCs w:val="0"/>
                <w:sz w:val="20"/>
                <w:szCs w:val="20"/>
              </w:rPr>
            </w:pPr>
            <w:r w:rsidRPr="00B63DA7">
              <w:rPr>
                <w:rFonts w:ascii="Arial" w:hAnsi="Arial" w:cs="Arial"/>
                <w:b w:val="0"/>
                <w:bCs w:val="0"/>
                <w:sz w:val="20"/>
                <w:szCs w:val="20"/>
              </w:rPr>
              <w:t>The usefulness of an appliance is considered when individuals plan their loan repayments.</w:t>
            </w:r>
          </w:p>
        </w:tc>
        <w:tc>
          <w:tcPr>
            <w:tcW w:w="884" w:type="dxa"/>
            <w:vAlign w:val="center"/>
          </w:tcPr>
          <w:p w14:paraId="3670BDD5" w14:textId="7E3E9C9A"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3DA7">
              <w:rPr>
                <w:rFonts w:ascii="Arial" w:eastAsia="Times New Roman" w:hAnsi="Arial" w:cs="Arial"/>
                <w:color w:val="000000"/>
                <w:sz w:val="20"/>
                <w:szCs w:val="20"/>
              </w:rPr>
              <w:t>4.23</w:t>
            </w:r>
          </w:p>
        </w:tc>
        <w:tc>
          <w:tcPr>
            <w:tcW w:w="1744" w:type="dxa"/>
            <w:vAlign w:val="center"/>
          </w:tcPr>
          <w:p w14:paraId="1E2F6F45" w14:textId="0F3DBAC3"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3DA7">
              <w:rPr>
                <w:rFonts w:ascii="Arial" w:eastAsia="Times New Roman" w:hAnsi="Arial" w:cs="Arial"/>
                <w:color w:val="000000"/>
                <w:sz w:val="20"/>
                <w:szCs w:val="20"/>
              </w:rPr>
              <w:t>0.64</w:t>
            </w:r>
          </w:p>
        </w:tc>
        <w:tc>
          <w:tcPr>
            <w:tcW w:w="2250" w:type="dxa"/>
          </w:tcPr>
          <w:p w14:paraId="1CCC6A35" w14:textId="015E6406"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3DA7">
              <w:rPr>
                <w:rFonts w:ascii="Arial" w:eastAsia="Calibri" w:hAnsi="Arial" w:cs="Arial"/>
                <w:sz w:val="20"/>
                <w:szCs w:val="20"/>
              </w:rPr>
              <w:t>Always Manifested</w:t>
            </w:r>
          </w:p>
        </w:tc>
      </w:tr>
      <w:tr w:rsidR="00B63DA7" w:rsidRPr="00EA53BB" w14:paraId="25B2F4ED" w14:textId="77777777" w:rsidTr="0039657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397" w:type="dxa"/>
          </w:tcPr>
          <w:p w14:paraId="218A8589" w14:textId="331A237F" w:rsidR="00B63DA7" w:rsidRPr="00B63DA7" w:rsidRDefault="00B63DA7" w:rsidP="00B63DA7">
            <w:pPr>
              <w:rPr>
                <w:rFonts w:ascii="Arial" w:eastAsia="Times New Roman" w:hAnsi="Arial" w:cs="Arial"/>
                <w:b w:val="0"/>
                <w:bCs w:val="0"/>
                <w:sz w:val="20"/>
                <w:szCs w:val="20"/>
              </w:rPr>
            </w:pPr>
            <w:r w:rsidRPr="00B63DA7">
              <w:rPr>
                <w:rFonts w:ascii="Arial" w:eastAsia="Times New Roman" w:hAnsi="Arial" w:cs="Arial"/>
                <w:b w:val="0"/>
                <w:bCs w:val="0"/>
                <w:sz w:val="20"/>
                <w:szCs w:val="20"/>
              </w:rPr>
              <w:t>Satisfaction with a home appliance generally motivates to continue loan repayments.</w:t>
            </w:r>
          </w:p>
        </w:tc>
        <w:tc>
          <w:tcPr>
            <w:tcW w:w="884" w:type="dxa"/>
            <w:vAlign w:val="center"/>
          </w:tcPr>
          <w:p w14:paraId="5A319995" w14:textId="3A6C9647"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4.35</w:t>
            </w:r>
          </w:p>
        </w:tc>
        <w:tc>
          <w:tcPr>
            <w:tcW w:w="1744" w:type="dxa"/>
            <w:vAlign w:val="center"/>
          </w:tcPr>
          <w:p w14:paraId="3BDDC78A" w14:textId="605E4880"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0.72</w:t>
            </w:r>
          </w:p>
        </w:tc>
        <w:tc>
          <w:tcPr>
            <w:tcW w:w="2250" w:type="dxa"/>
          </w:tcPr>
          <w:p w14:paraId="463CCDE0" w14:textId="364EB1EE"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B63DA7">
              <w:rPr>
                <w:rFonts w:ascii="Arial" w:eastAsia="Calibri" w:hAnsi="Arial" w:cs="Arial"/>
                <w:sz w:val="20"/>
                <w:szCs w:val="20"/>
              </w:rPr>
              <w:t>Always Manifested</w:t>
            </w:r>
          </w:p>
        </w:tc>
      </w:tr>
      <w:tr w:rsidR="00B63DA7" w:rsidRPr="00EA53BB" w14:paraId="4907E80F"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5D6AE6D0" w14:textId="12BDAB29" w:rsidR="00B63DA7" w:rsidRPr="00B63DA7" w:rsidRDefault="00B63DA7" w:rsidP="00B63DA7">
            <w:pPr>
              <w:rPr>
                <w:rFonts w:ascii="Arial" w:eastAsia="Times New Roman" w:hAnsi="Arial" w:cs="Arial"/>
                <w:b w:val="0"/>
                <w:bCs w:val="0"/>
                <w:sz w:val="20"/>
                <w:szCs w:val="20"/>
              </w:rPr>
            </w:pPr>
            <w:r w:rsidRPr="00B63DA7">
              <w:rPr>
                <w:rFonts w:ascii="Arial" w:eastAsia="Times New Roman" w:hAnsi="Arial" w:cs="Arial"/>
                <w:b w:val="0"/>
                <w:bCs w:val="0"/>
                <w:sz w:val="20"/>
                <w:szCs w:val="20"/>
              </w:rPr>
              <w:t>The quality of a home appliance usually makes loan repayments feel worthwhile to applicants.</w:t>
            </w:r>
          </w:p>
        </w:tc>
        <w:tc>
          <w:tcPr>
            <w:tcW w:w="884" w:type="dxa"/>
            <w:vAlign w:val="center"/>
          </w:tcPr>
          <w:p w14:paraId="692594AC" w14:textId="126CAF52"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4.41</w:t>
            </w:r>
          </w:p>
        </w:tc>
        <w:tc>
          <w:tcPr>
            <w:tcW w:w="1744" w:type="dxa"/>
            <w:vAlign w:val="center"/>
          </w:tcPr>
          <w:p w14:paraId="61C585E4" w14:textId="7126F102"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0.61</w:t>
            </w:r>
          </w:p>
        </w:tc>
        <w:tc>
          <w:tcPr>
            <w:tcW w:w="2250" w:type="dxa"/>
          </w:tcPr>
          <w:p w14:paraId="71AE5BE2" w14:textId="4AA00151"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B63DA7">
              <w:rPr>
                <w:rFonts w:ascii="Arial" w:eastAsia="Calibri" w:hAnsi="Arial" w:cs="Arial"/>
                <w:sz w:val="20"/>
                <w:szCs w:val="20"/>
              </w:rPr>
              <w:t>Always Manifested</w:t>
            </w:r>
          </w:p>
        </w:tc>
      </w:tr>
      <w:tr w:rsidR="00B63DA7" w:rsidRPr="00EA53BB" w14:paraId="1FA95A02" w14:textId="77777777" w:rsidTr="0039657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tcPr>
          <w:p w14:paraId="4F5E6423" w14:textId="7AF379D0" w:rsidR="00B63DA7" w:rsidRPr="00B63DA7" w:rsidRDefault="00B63DA7" w:rsidP="00B63DA7">
            <w:pPr>
              <w:rPr>
                <w:rFonts w:ascii="Arial" w:eastAsia="Times New Roman" w:hAnsi="Arial" w:cs="Arial"/>
                <w:b w:val="0"/>
                <w:bCs w:val="0"/>
                <w:sz w:val="20"/>
                <w:szCs w:val="20"/>
              </w:rPr>
            </w:pPr>
            <w:r w:rsidRPr="00B63DA7">
              <w:rPr>
                <w:rFonts w:ascii="Arial" w:hAnsi="Arial" w:cs="Arial"/>
                <w:b w:val="0"/>
                <w:bCs w:val="0"/>
                <w:sz w:val="20"/>
                <w:szCs w:val="20"/>
              </w:rPr>
              <w:t>Appliances that meet expectations reinforce the borrower's decision to repay the loan, thereby increasing the likelihood of a successful repayment.</w:t>
            </w:r>
          </w:p>
        </w:tc>
        <w:tc>
          <w:tcPr>
            <w:tcW w:w="884" w:type="dxa"/>
            <w:vAlign w:val="center"/>
          </w:tcPr>
          <w:p w14:paraId="733460A3" w14:textId="18F45281"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4.19</w:t>
            </w:r>
          </w:p>
        </w:tc>
        <w:tc>
          <w:tcPr>
            <w:tcW w:w="1744" w:type="dxa"/>
            <w:vAlign w:val="center"/>
          </w:tcPr>
          <w:p w14:paraId="3B6C49D2" w14:textId="5FEEA6E2"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0.56</w:t>
            </w:r>
          </w:p>
        </w:tc>
        <w:tc>
          <w:tcPr>
            <w:tcW w:w="2250" w:type="dxa"/>
          </w:tcPr>
          <w:p w14:paraId="4458D9D3" w14:textId="4B8BCED2"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B63DA7">
              <w:rPr>
                <w:rFonts w:ascii="Arial" w:eastAsia="Calibri" w:hAnsi="Arial" w:cs="Arial"/>
                <w:sz w:val="20"/>
                <w:szCs w:val="20"/>
              </w:rPr>
              <w:t>Often Manifested</w:t>
            </w:r>
          </w:p>
        </w:tc>
      </w:tr>
      <w:tr w:rsidR="00B63DA7" w:rsidRPr="00EA53BB" w14:paraId="3473E618" w14:textId="77777777" w:rsidTr="00396572">
        <w:trPr>
          <w:trHeight w:val="710"/>
        </w:trPr>
        <w:tc>
          <w:tcPr>
            <w:cnfStyle w:val="001000000000" w:firstRow="0" w:lastRow="0" w:firstColumn="1" w:lastColumn="0" w:oddVBand="0" w:evenVBand="0" w:oddHBand="0" w:evenHBand="0" w:firstRowFirstColumn="0" w:firstRowLastColumn="0" w:lastRowFirstColumn="0" w:lastRowLastColumn="0"/>
            <w:tcW w:w="3397" w:type="dxa"/>
          </w:tcPr>
          <w:p w14:paraId="0BD5EBDF" w14:textId="0DD14FED" w:rsidR="00B63DA7" w:rsidRPr="00B63DA7" w:rsidRDefault="00B63DA7" w:rsidP="00B63DA7">
            <w:pPr>
              <w:rPr>
                <w:rFonts w:ascii="Arial" w:hAnsi="Arial" w:cs="Arial"/>
                <w:b w:val="0"/>
                <w:bCs w:val="0"/>
                <w:sz w:val="20"/>
                <w:szCs w:val="20"/>
              </w:rPr>
            </w:pPr>
            <w:r w:rsidRPr="00B63DA7">
              <w:rPr>
                <w:rFonts w:ascii="Arial" w:eastAsia="Times New Roman" w:hAnsi="Arial" w:cs="Arial"/>
                <w:b w:val="0"/>
                <w:bCs w:val="0"/>
                <w:sz w:val="20"/>
                <w:szCs w:val="20"/>
              </w:rPr>
              <w:t>The cost of a home appliance typically encourages to maintain loan repayments.</w:t>
            </w:r>
          </w:p>
        </w:tc>
        <w:tc>
          <w:tcPr>
            <w:tcW w:w="884" w:type="dxa"/>
            <w:vAlign w:val="center"/>
          </w:tcPr>
          <w:p w14:paraId="28C685FE" w14:textId="31F3E315"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4.14</w:t>
            </w:r>
          </w:p>
        </w:tc>
        <w:tc>
          <w:tcPr>
            <w:tcW w:w="1744" w:type="dxa"/>
            <w:vAlign w:val="center"/>
          </w:tcPr>
          <w:p w14:paraId="630F3767" w14:textId="745B6801"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0.57</w:t>
            </w:r>
          </w:p>
        </w:tc>
        <w:tc>
          <w:tcPr>
            <w:tcW w:w="2250" w:type="dxa"/>
          </w:tcPr>
          <w:p w14:paraId="59CD4F9B" w14:textId="71B1E439"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B63DA7">
              <w:rPr>
                <w:rFonts w:ascii="Arial" w:eastAsia="Calibri" w:hAnsi="Arial" w:cs="Arial"/>
                <w:sz w:val="20"/>
                <w:szCs w:val="20"/>
              </w:rPr>
              <w:t>Often Manifested</w:t>
            </w:r>
          </w:p>
        </w:tc>
      </w:tr>
      <w:tr w:rsidR="00B63DA7" w:rsidRPr="00EA53BB" w14:paraId="1B4A7DDD" w14:textId="77777777" w:rsidTr="0039657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tcPr>
          <w:p w14:paraId="030B52B0" w14:textId="64DF8624" w:rsidR="00B63DA7" w:rsidRPr="00B63DA7" w:rsidRDefault="00B63DA7" w:rsidP="00B63DA7">
            <w:pPr>
              <w:rPr>
                <w:rFonts w:ascii="Arial" w:eastAsia="Times New Roman" w:hAnsi="Arial" w:cs="Arial"/>
                <w:b w:val="0"/>
                <w:bCs w:val="0"/>
                <w:sz w:val="20"/>
                <w:szCs w:val="20"/>
              </w:rPr>
            </w:pPr>
            <w:r w:rsidRPr="00B63DA7">
              <w:rPr>
                <w:rFonts w:ascii="Arial" w:eastAsia="Times New Roman" w:hAnsi="Arial" w:cs="Arial"/>
                <w:b w:val="0"/>
                <w:bCs w:val="0"/>
                <w:sz w:val="20"/>
                <w:szCs w:val="20"/>
              </w:rPr>
              <w:t>Satisfaction with a home appliance often influences applicants' commitment to repaying their loan.</w:t>
            </w:r>
          </w:p>
        </w:tc>
        <w:tc>
          <w:tcPr>
            <w:tcW w:w="884" w:type="dxa"/>
            <w:vAlign w:val="center"/>
          </w:tcPr>
          <w:p w14:paraId="646FDFF5" w14:textId="6E2A0A5D"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4.20</w:t>
            </w:r>
          </w:p>
        </w:tc>
        <w:tc>
          <w:tcPr>
            <w:tcW w:w="1744" w:type="dxa"/>
            <w:vAlign w:val="center"/>
          </w:tcPr>
          <w:p w14:paraId="32EFB8C9" w14:textId="5DDC7237"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B63DA7">
              <w:rPr>
                <w:rFonts w:ascii="Arial" w:eastAsia="Times New Roman" w:hAnsi="Arial" w:cs="Arial"/>
                <w:color w:val="000000"/>
                <w:sz w:val="20"/>
                <w:szCs w:val="20"/>
              </w:rPr>
              <w:t>0.61</w:t>
            </w:r>
          </w:p>
        </w:tc>
        <w:tc>
          <w:tcPr>
            <w:tcW w:w="2250" w:type="dxa"/>
          </w:tcPr>
          <w:p w14:paraId="3190CE63" w14:textId="6D169F7D" w:rsidR="00B63DA7" w:rsidRPr="00B63DA7" w:rsidRDefault="00B63DA7" w:rsidP="00B63DA7">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B63DA7">
              <w:rPr>
                <w:rFonts w:ascii="Arial" w:eastAsia="Calibri" w:hAnsi="Arial" w:cs="Arial"/>
                <w:sz w:val="20"/>
                <w:szCs w:val="20"/>
              </w:rPr>
              <w:t>Often Manifested</w:t>
            </w:r>
          </w:p>
        </w:tc>
      </w:tr>
      <w:tr w:rsidR="00B63DA7" w:rsidRPr="00EA53BB" w14:paraId="665AE007" w14:textId="77777777" w:rsidTr="00396572">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3EEEB6D9" w14:textId="77777777" w:rsidR="00B63DA7" w:rsidRPr="00B63DA7" w:rsidRDefault="00B63DA7" w:rsidP="00B63DA7">
            <w:pPr>
              <w:jc w:val="center"/>
              <w:rPr>
                <w:rFonts w:ascii="Arial" w:hAnsi="Arial" w:cs="Arial"/>
                <w:color w:val="222222"/>
                <w:sz w:val="20"/>
                <w:szCs w:val="20"/>
                <w:shd w:val="clear" w:color="auto" w:fill="FFFFFF"/>
              </w:rPr>
            </w:pPr>
            <w:r w:rsidRPr="00B63DA7">
              <w:rPr>
                <w:rFonts w:ascii="Arial" w:eastAsia="Times New Roman" w:hAnsi="Arial" w:cs="Arial"/>
                <w:color w:val="000000"/>
                <w:sz w:val="20"/>
                <w:szCs w:val="20"/>
              </w:rPr>
              <w:t>Average</w:t>
            </w:r>
          </w:p>
        </w:tc>
        <w:tc>
          <w:tcPr>
            <w:tcW w:w="884" w:type="dxa"/>
            <w:tcBorders>
              <w:bottom w:val="single" w:sz="12" w:space="0" w:color="auto"/>
            </w:tcBorders>
            <w:vAlign w:val="center"/>
          </w:tcPr>
          <w:p w14:paraId="66E97E8B" w14:textId="77777777"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B63DA7">
              <w:rPr>
                <w:rFonts w:ascii="Arial" w:eastAsia="Times New Roman" w:hAnsi="Arial" w:cs="Arial"/>
                <w:b/>
                <w:bCs/>
                <w:color w:val="000000"/>
                <w:sz w:val="20"/>
                <w:szCs w:val="20"/>
              </w:rPr>
              <w:t>4.24</w:t>
            </w:r>
          </w:p>
        </w:tc>
        <w:tc>
          <w:tcPr>
            <w:tcW w:w="1744" w:type="dxa"/>
            <w:tcBorders>
              <w:bottom w:val="single" w:sz="12" w:space="0" w:color="auto"/>
            </w:tcBorders>
            <w:vAlign w:val="center"/>
          </w:tcPr>
          <w:p w14:paraId="26A880ED" w14:textId="77777777"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B63DA7">
              <w:rPr>
                <w:rFonts w:ascii="Arial" w:eastAsia="Times New Roman" w:hAnsi="Arial" w:cs="Arial"/>
                <w:b/>
                <w:bCs/>
                <w:color w:val="000000"/>
                <w:sz w:val="20"/>
                <w:szCs w:val="20"/>
              </w:rPr>
              <w:t>0.36</w:t>
            </w:r>
          </w:p>
        </w:tc>
        <w:tc>
          <w:tcPr>
            <w:tcW w:w="2250" w:type="dxa"/>
            <w:tcBorders>
              <w:bottom w:val="single" w:sz="12" w:space="0" w:color="auto"/>
            </w:tcBorders>
          </w:tcPr>
          <w:p w14:paraId="2966C330" w14:textId="77777777" w:rsidR="00B63DA7" w:rsidRPr="00B63DA7" w:rsidRDefault="00B63DA7" w:rsidP="00B63DA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22222"/>
                <w:sz w:val="20"/>
                <w:szCs w:val="20"/>
                <w:shd w:val="clear" w:color="auto" w:fill="FFFFFF"/>
              </w:rPr>
            </w:pPr>
            <w:r w:rsidRPr="00B63DA7">
              <w:rPr>
                <w:rFonts w:ascii="Arial" w:eastAsia="Calibri" w:hAnsi="Arial" w:cs="Arial"/>
                <w:b/>
                <w:bCs/>
                <w:sz w:val="20"/>
                <w:szCs w:val="20"/>
              </w:rPr>
              <w:t>Always Manifested</w:t>
            </w:r>
          </w:p>
        </w:tc>
      </w:tr>
    </w:tbl>
    <w:p w14:paraId="45D528D9" w14:textId="77777777" w:rsidR="00B63DA7" w:rsidRDefault="00B63DA7" w:rsidP="00B63DA7">
      <w:pPr>
        <w:jc w:val="both"/>
        <w:rPr>
          <w:rFonts w:ascii="Arial" w:eastAsia="Times New Roman" w:hAnsi="Arial" w:cs="Arial"/>
          <w:sz w:val="20"/>
          <w:szCs w:val="20"/>
        </w:rPr>
      </w:pPr>
    </w:p>
    <w:p w14:paraId="312ED044" w14:textId="13C3ED0B" w:rsidR="00B63DA7" w:rsidRDefault="00B63DA7" w:rsidP="00B63DA7">
      <w:pPr>
        <w:ind w:firstLine="720"/>
        <w:jc w:val="both"/>
        <w:rPr>
          <w:rFonts w:ascii="Arial" w:hAnsi="Arial" w:cs="Arial"/>
          <w:sz w:val="20"/>
          <w:szCs w:val="20"/>
        </w:rPr>
      </w:pPr>
      <w:r w:rsidRPr="003F0A4B">
        <w:rPr>
          <w:rFonts w:ascii="Arial" w:eastAsia="Times New Roman" w:hAnsi="Arial" w:cs="Arial"/>
          <w:sz w:val="20"/>
          <w:szCs w:val="20"/>
        </w:rPr>
        <w:t xml:space="preserve">Table </w:t>
      </w:r>
      <w:r>
        <w:rPr>
          <w:rFonts w:ascii="Arial" w:eastAsia="Times New Roman" w:hAnsi="Arial" w:cs="Arial"/>
          <w:sz w:val="20"/>
          <w:szCs w:val="20"/>
        </w:rPr>
        <w:t>15</w:t>
      </w:r>
      <w:r w:rsidRPr="003F0A4B">
        <w:rPr>
          <w:rFonts w:ascii="Arial" w:eastAsia="Times New Roman" w:hAnsi="Arial" w:cs="Arial"/>
          <w:sz w:val="20"/>
          <w:szCs w:val="20"/>
        </w:rPr>
        <w:t xml:space="preserve"> illustrates that the result of the level of loan repayment in terms of perceived value is consistently observed </w:t>
      </w:r>
      <w:r w:rsidRPr="003F0A4B">
        <w:rPr>
          <w:rFonts w:ascii="Arial" w:hAnsi="Arial" w:cs="Arial"/>
          <w:bCs/>
          <w:sz w:val="20"/>
          <w:szCs w:val="20"/>
        </w:rPr>
        <w:t>(</w:t>
      </w:r>
      <w:r w:rsidRPr="003F0A4B">
        <w:rPr>
          <w:rFonts w:ascii="Arial" w:hAnsi="Arial" w:cs="Arial"/>
          <w:color w:val="4D5156"/>
          <w:sz w:val="20"/>
          <w:szCs w:val="20"/>
          <w:shd w:val="clear" w:color="auto" w:fill="FFFFFF"/>
        </w:rPr>
        <w:t>x̄</w:t>
      </w:r>
      <w:r w:rsidRPr="003F0A4B">
        <w:rPr>
          <w:rFonts w:ascii="Arial" w:eastAsia="Times New Roman" w:hAnsi="Arial" w:cs="Arial"/>
          <w:sz w:val="20"/>
          <w:szCs w:val="20"/>
        </w:rPr>
        <w:t xml:space="preserve"> = 4.24). </w:t>
      </w:r>
      <w:r w:rsidRPr="003F0A4B">
        <w:rPr>
          <w:rFonts w:ascii="Arial" w:hAnsi="Arial" w:cs="Arial"/>
          <w:sz w:val="20"/>
          <w:szCs w:val="20"/>
        </w:rPr>
        <w:t xml:space="preserve">This indicates that debtors of home appliance dealers in </w:t>
      </w:r>
      <w:proofErr w:type="spellStart"/>
      <w:r w:rsidRPr="003F0A4B">
        <w:rPr>
          <w:rFonts w:ascii="Arial" w:hAnsi="Arial" w:cs="Arial"/>
          <w:sz w:val="20"/>
          <w:szCs w:val="20"/>
        </w:rPr>
        <w:t>Cateel</w:t>
      </w:r>
      <w:proofErr w:type="spellEnd"/>
      <w:r w:rsidRPr="003F0A4B">
        <w:rPr>
          <w:rFonts w:ascii="Arial" w:hAnsi="Arial" w:cs="Arial"/>
          <w:sz w:val="20"/>
          <w:szCs w:val="20"/>
        </w:rPr>
        <w:t xml:space="preserve"> consistently and strongly value home appliances. Reflecting a high perceived value driving diligent repayment behavior.</w:t>
      </w:r>
    </w:p>
    <w:p w14:paraId="79B25737" w14:textId="3AB0F188" w:rsidR="00EA53BB" w:rsidRDefault="00B63DA7" w:rsidP="00B63DA7">
      <w:pPr>
        <w:ind w:firstLine="720"/>
        <w:jc w:val="both"/>
        <w:rPr>
          <w:rFonts w:ascii="Arial" w:hAnsi="Arial" w:cs="Arial"/>
          <w:sz w:val="20"/>
          <w:szCs w:val="20"/>
        </w:rPr>
      </w:pPr>
      <w:r w:rsidRPr="003F0A4B">
        <w:rPr>
          <w:rFonts w:ascii="Arial" w:hAnsi="Arial" w:cs="Arial"/>
          <w:sz w:val="20"/>
          <w:szCs w:val="20"/>
        </w:rPr>
        <w:t xml:space="preserve">Furthermore, the results revealed that debtors of home appliance dealers in </w:t>
      </w:r>
      <w:proofErr w:type="spellStart"/>
      <w:r w:rsidRPr="003F0A4B">
        <w:rPr>
          <w:rFonts w:ascii="Arial" w:hAnsi="Arial" w:cs="Arial"/>
          <w:sz w:val="20"/>
          <w:szCs w:val="20"/>
        </w:rPr>
        <w:t>Cateel</w:t>
      </w:r>
      <w:proofErr w:type="spellEnd"/>
      <w:r w:rsidRPr="003F0A4B">
        <w:rPr>
          <w:rFonts w:ascii="Arial" w:hAnsi="Arial" w:cs="Arial"/>
          <w:sz w:val="20"/>
          <w:szCs w:val="20"/>
        </w:rPr>
        <w:t xml:space="preserve"> consistently feel satisfied with their home appliances, which motivates them to continue loan repayments, reflecting a strong link between satisfaction and repayment commitment. However, debtors of home appliance dealers in </w:t>
      </w:r>
      <w:proofErr w:type="spellStart"/>
      <w:r w:rsidRPr="003F0A4B">
        <w:rPr>
          <w:rFonts w:ascii="Arial" w:hAnsi="Arial" w:cs="Arial"/>
          <w:sz w:val="20"/>
          <w:szCs w:val="20"/>
        </w:rPr>
        <w:t>Cateel</w:t>
      </w:r>
      <w:proofErr w:type="spellEnd"/>
      <w:r w:rsidRPr="003F0A4B">
        <w:rPr>
          <w:rFonts w:ascii="Arial" w:hAnsi="Arial" w:cs="Arial"/>
          <w:sz w:val="20"/>
          <w:szCs w:val="20"/>
        </w:rPr>
        <w:t xml:space="preserve"> are often satisfied with the cost of a home appliance ty, typically encouraging them to maintain loan repayments. </w:t>
      </w:r>
      <w:r w:rsidRPr="003F0A4B">
        <w:rPr>
          <w:rFonts w:ascii="Arial" w:hAnsi="Arial" w:cs="Arial"/>
          <w:bCs/>
          <w:sz w:val="20"/>
          <w:szCs w:val="20"/>
        </w:rPr>
        <w:t xml:space="preserve">This result is supported by the insights of </w:t>
      </w:r>
      <w:r w:rsidRPr="003F0A4B">
        <w:rPr>
          <w:rFonts w:ascii="Arial" w:hAnsi="Arial" w:cs="Arial"/>
          <w:sz w:val="20"/>
          <w:szCs w:val="20"/>
        </w:rPr>
        <w:t xml:space="preserve">McHugh and </w:t>
      </w:r>
      <w:proofErr w:type="spellStart"/>
      <w:r w:rsidRPr="003F0A4B">
        <w:rPr>
          <w:rFonts w:ascii="Arial" w:hAnsi="Arial" w:cs="Arial"/>
          <w:sz w:val="20"/>
          <w:szCs w:val="20"/>
        </w:rPr>
        <w:t>Ranyard</w:t>
      </w:r>
      <w:proofErr w:type="spellEnd"/>
      <w:r w:rsidRPr="003F0A4B">
        <w:rPr>
          <w:rFonts w:ascii="Arial" w:hAnsi="Arial" w:cs="Arial"/>
          <w:sz w:val="20"/>
          <w:szCs w:val="20"/>
        </w:rPr>
        <w:t xml:space="preserve"> (2016</w:t>
      </w:r>
      <w:r w:rsidRPr="003F0A4B">
        <w:rPr>
          <w:rFonts w:ascii="Arial" w:hAnsi="Arial" w:cs="Arial"/>
          <w:bCs/>
          <w:sz w:val="20"/>
          <w:szCs w:val="20"/>
        </w:rPr>
        <w:t>), who stated that b</w:t>
      </w:r>
      <w:r w:rsidRPr="003F0A4B">
        <w:rPr>
          <w:rFonts w:ascii="Arial" w:hAnsi="Arial" w:cs="Arial"/>
          <w:sz w:val="20"/>
          <w:szCs w:val="20"/>
        </w:rPr>
        <w:t xml:space="preserve">orrowers who perceive high value in their loans are more likely to prioritize repayments. </w:t>
      </w:r>
      <w:r w:rsidRPr="003F0A4B">
        <w:rPr>
          <w:rFonts w:ascii="Arial" w:hAnsi="Arial" w:cs="Arial"/>
          <w:bCs/>
          <w:sz w:val="20"/>
          <w:szCs w:val="20"/>
        </w:rPr>
        <w:t xml:space="preserve">Moreover, </w:t>
      </w:r>
      <w:r w:rsidRPr="003F0A4B">
        <w:rPr>
          <w:rFonts w:ascii="Arial" w:hAnsi="Arial" w:cs="Arial"/>
          <w:sz w:val="20"/>
          <w:szCs w:val="20"/>
        </w:rPr>
        <w:t>Moss et al. (2015)</w:t>
      </w:r>
      <w:r w:rsidRPr="003F0A4B">
        <w:rPr>
          <w:rFonts w:ascii="Arial" w:hAnsi="Arial" w:cs="Arial"/>
          <w:b/>
          <w:bCs/>
          <w:sz w:val="20"/>
          <w:szCs w:val="20"/>
        </w:rPr>
        <w:t xml:space="preserve"> </w:t>
      </w:r>
      <w:r w:rsidRPr="003F0A4B">
        <w:rPr>
          <w:rFonts w:ascii="Arial" w:hAnsi="Arial" w:cs="Arial"/>
          <w:sz w:val="20"/>
          <w:szCs w:val="20"/>
        </w:rPr>
        <w:t>state that the perceived value of the loan purpose can influence borrowers' commitment to repayment, aligning with Melton's theory of credit risk and borrower motivation.</w:t>
      </w:r>
    </w:p>
    <w:p w14:paraId="082D496F" w14:textId="3242C131" w:rsidR="00B63DA7" w:rsidRPr="00471C30" w:rsidRDefault="00B63DA7" w:rsidP="00471C30">
      <w:pPr>
        <w:pStyle w:val="NoSpacing"/>
        <w:rPr>
          <w:rFonts w:ascii="Arial" w:hAnsi="Arial" w:cs="Arial"/>
          <w:sz w:val="20"/>
          <w:szCs w:val="20"/>
        </w:rPr>
      </w:pPr>
      <w:r w:rsidRPr="00620CF3">
        <w:rPr>
          <w:rFonts w:ascii="Arial" w:hAnsi="Arial" w:cs="Arial"/>
          <w:b/>
          <w:bCs/>
          <w:sz w:val="20"/>
          <w:szCs w:val="20"/>
        </w:rPr>
        <w:t>Table 16.</w:t>
      </w:r>
      <w:r w:rsidRPr="00471C30">
        <w:rPr>
          <w:rFonts w:ascii="Arial" w:hAnsi="Arial" w:cs="Arial"/>
          <w:sz w:val="20"/>
          <w:szCs w:val="20"/>
        </w:rPr>
        <w:t xml:space="preserve"> Level of loan repayment in terms of Self-Control</w:t>
      </w:r>
    </w:p>
    <w:tbl>
      <w:tblPr>
        <w:tblStyle w:val="PlainTable21"/>
        <w:tblW w:w="8275" w:type="dxa"/>
        <w:tblLook w:val="04A0" w:firstRow="1" w:lastRow="0" w:firstColumn="1" w:lastColumn="0" w:noHBand="0" w:noVBand="1"/>
      </w:tblPr>
      <w:tblGrid>
        <w:gridCol w:w="3397"/>
        <w:gridCol w:w="884"/>
        <w:gridCol w:w="1744"/>
        <w:gridCol w:w="2250"/>
      </w:tblGrid>
      <w:tr w:rsidR="00B63DA7" w:rsidRPr="007D3495" w14:paraId="54FBE2AE" w14:textId="77777777" w:rsidTr="0039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12" w:space="0" w:color="auto"/>
            </w:tcBorders>
          </w:tcPr>
          <w:p w14:paraId="15BDB25B" w14:textId="77777777" w:rsidR="00B63DA7" w:rsidRPr="007D3495" w:rsidRDefault="00B63DA7" w:rsidP="00396572">
            <w:pPr>
              <w:jc w:val="center"/>
              <w:rPr>
                <w:rFonts w:ascii="Arial" w:hAnsi="Arial" w:cs="Arial"/>
                <w:color w:val="222222"/>
                <w:sz w:val="20"/>
                <w:szCs w:val="20"/>
                <w:shd w:val="clear" w:color="auto" w:fill="FFFFFF"/>
              </w:rPr>
            </w:pPr>
            <w:r w:rsidRPr="007D3495">
              <w:rPr>
                <w:rFonts w:ascii="Arial" w:hAnsi="Arial" w:cs="Arial"/>
                <w:sz w:val="20"/>
                <w:szCs w:val="20"/>
              </w:rPr>
              <w:t>Description</w:t>
            </w:r>
          </w:p>
        </w:tc>
        <w:tc>
          <w:tcPr>
            <w:tcW w:w="884" w:type="dxa"/>
            <w:tcBorders>
              <w:top w:val="single" w:sz="12" w:space="0" w:color="auto"/>
            </w:tcBorders>
          </w:tcPr>
          <w:p w14:paraId="297010F2" w14:textId="77777777" w:rsidR="00B63DA7" w:rsidRPr="007D3495" w:rsidRDefault="00B63DA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Mean</w:t>
            </w:r>
          </w:p>
        </w:tc>
        <w:tc>
          <w:tcPr>
            <w:tcW w:w="1744" w:type="dxa"/>
            <w:tcBorders>
              <w:top w:val="single" w:sz="12" w:space="0" w:color="auto"/>
            </w:tcBorders>
          </w:tcPr>
          <w:p w14:paraId="4B46DD1E" w14:textId="77777777" w:rsidR="00B63DA7" w:rsidRPr="007D3495" w:rsidRDefault="00B63DA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Std. deviation</w:t>
            </w:r>
          </w:p>
        </w:tc>
        <w:tc>
          <w:tcPr>
            <w:tcW w:w="2250" w:type="dxa"/>
            <w:tcBorders>
              <w:top w:val="single" w:sz="12" w:space="0" w:color="auto"/>
            </w:tcBorders>
          </w:tcPr>
          <w:p w14:paraId="789DB37E" w14:textId="77777777" w:rsidR="00B63DA7" w:rsidRPr="007D3495" w:rsidRDefault="00B63DA7" w:rsidP="0039657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7D3495">
              <w:rPr>
                <w:rFonts w:ascii="Arial" w:hAnsi="Arial" w:cs="Arial"/>
                <w:sz w:val="20"/>
                <w:szCs w:val="20"/>
              </w:rPr>
              <w:t>Descriptive Level</w:t>
            </w:r>
          </w:p>
        </w:tc>
      </w:tr>
      <w:tr w:rsidR="00471C30" w:rsidRPr="00B63DA7" w14:paraId="22A91FAE"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E341B6E" w14:textId="0C906475" w:rsidR="00471C30" w:rsidRPr="00C201B9" w:rsidRDefault="00471C30" w:rsidP="00471C30">
            <w:pPr>
              <w:rPr>
                <w:rFonts w:ascii="Arial" w:hAnsi="Arial" w:cs="Arial"/>
                <w:b w:val="0"/>
                <w:bCs w:val="0"/>
                <w:color w:val="222222"/>
                <w:sz w:val="20"/>
                <w:szCs w:val="20"/>
                <w:shd w:val="clear" w:color="auto" w:fill="FFFFFF"/>
              </w:rPr>
            </w:pPr>
            <w:r w:rsidRPr="00C201B9">
              <w:rPr>
                <w:rFonts w:ascii="Arial" w:hAnsi="Arial" w:cs="Arial"/>
                <w:b w:val="0"/>
                <w:bCs w:val="0"/>
                <w:sz w:val="20"/>
                <w:szCs w:val="20"/>
              </w:rPr>
              <w:t>Avoid using funds allocated for loan repayments on other expenses.</w:t>
            </w:r>
          </w:p>
        </w:tc>
        <w:tc>
          <w:tcPr>
            <w:tcW w:w="884" w:type="dxa"/>
            <w:vAlign w:val="center"/>
          </w:tcPr>
          <w:p w14:paraId="100D2C39" w14:textId="05841D76"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Times New Roman" w:hAnsi="Arial" w:cs="Arial"/>
                <w:color w:val="000000"/>
                <w:sz w:val="20"/>
                <w:szCs w:val="20"/>
              </w:rPr>
              <w:t>4.17</w:t>
            </w:r>
          </w:p>
        </w:tc>
        <w:tc>
          <w:tcPr>
            <w:tcW w:w="1744" w:type="dxa"/>
            <w:vAlign w:val="center"/>
          </w:tcPr>
          <w:p w14:paraId="64663157" w14:textId="7AC1CA65"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Times New Roman" w:hAnsi="Arial" w:cs="Arial"/>
                <w:color w:val="000000"/>
                <w:sz w:val="20"/>
                <w:szCs w:val="20"/>
              </w:rPr>
              <w:t>0.60</w:t>
            </w:r>
          </w:p>
        </w:tc>
        <w:tc>
          <w:tcPr>
            <w:tcW w:w="2250" w:type="dxa"/>
          </w:tcPr>
          <w:p w14:paraId="3F7FBE02" w14:textId="48EE7745"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Calibri" w:hAnsi="Arial" w:cs="Arial"/>
                <w:sz w:val="20"/>
                <w:szCs w:val="20"/>
              </w:rPr>
              <w:t>Always Manifested</w:t>
            </w:r>
          </w:p>
        </w:tc>
      </w:tr>
      <w:tr w:rsidR="00471C30" w:rsidRPr="00B63DA7" w14:paraId="278DBF69" w14:textId="77777777" w:rsidTr="00396572">
        <w:tc>
          <w:tcPr>
            <w:cnfStyle w:val="001000000000" w:firstRow="0" w:lastRow="0" w:firstColumn="1" w:lastColumn="0" w:oddVBand="0" w:evenVBand="0" w:oddHBand="0" w:evenHBand="0" w:firstRowFirstColumn="0" w:firstRowLastColumn="0" w:lastRowFirstColumn="0" w:lastRowLastColumn="0"/>
            <w:tcW w:w="3397" w:type="dxa"/>
          </w:tcPr>
          <w:p w14:paraId="4D311E97" w14:textId="1ED85EBE" w:rsidR="00471C30" w:rsidRPr="00C201B9" w:rsidRDefault="00471C30" w:rsidP="00471C30">
            <w:pPr>
              <w:rPr>
                <w:rFonts w:ascii="Arial" w:hAnsi="Arial" w:cs="Arial"/>
                <w:b w:val="0"/>
                <w:bCs w:val="0"/>
                <w:color w:val="222222"/>
                <w:sz w:val="20"/>
                <w:szCs w:val="20"/>
                <w:shd w:val="clear" w:color="auto" w:fill="FFFFFF"/>
              </w:rPr>
            </w:pPr>
            <w:r w:rsidRPr="00C201B9">
              <w:rPr>
                <w:rFonts w:ascii="Arial" w:hAnsi="Arial" w:cs="Arial"/>
                <w:b w:val="0"/>
                <w:bCs w:val="0"/>
                <w:sz w:val="20"/>
                <w:szCs w:val="20"/>
              </w:rPr>
              <w:t xml:space="preserve"> Set aside money for loan repayments as soon as you receive income.</w:t>
            </w:r>
          </w:p>
        </w:tc>
        <w:tc>
          <w:tcPr>
            <w:tcW w:w="884" w:type="dxa"/>
            <w:vAlign w:val="center"/>
          </w:tcPr>
          <w:p w14:paraId="706F7286" w14:textId="2DAE011F"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Times New Roman" w:hAnsi="Arial" w:cs="Arial"/>
                <w:color w:val="000000"/>
                <w:sz w:val="20"/>
                <w:szCs w:val="20"/>
              </w:rPr>
              <w:t>4.23</w:t>
            </w:r>
          </w:p>
        </w:tc>
        <w:tc>
          <w:tcPr>
            <w:tcW w:w="1744" w:type="dxa"/>
            <w:vAlign w:val="center"/>
          </w:tcPr>
          <w:p w14:paraId="7E897F8E" w14:textId="1993C64C"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Times New Roman" w:hAnsi="Arial" w:cs="Arial"/>
                <w:color w:val="000000"/>
                <w:sz w:val="20"/>
                <w:szCs w:val="20"/>
              </w:rPr>
              <w:t>0.57</w:t>
            </w:r>
          </w:p>
        </w:tc>
        <w:tc>
          <w:tcPr>
            <w:tcW w:w="2250" w:type="dxa"/>
          </w:tcPr>
          <w:p w14:paraId="7BEF549B" w14:textId="6F9FA0F4"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Calibri" w:hAnsi="Arial" w:cs="Arial"/>
                <w:sz w:val="20"/>
                <w:szCs w:val="20"/>
              </w:rPr>
              <w:t>Often Manifested</w:t>
            </w:r>
          </w:p>
        </w:tc>
      </w:tr>
      <w:tr w:rsidR="00471C30" w:rsidRPr="00B63DA7" w14:paraId="3EF38287"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3F4F7CA" w14:textId="681318A5" w:rsidR="00471C30" w:rsidRPr="00C201B9" w:rsidRDefault="00471C30" w:rsidP="00471C30">
            <w:pPr>
              <w:rPr>
                <w:rFonts w:ascii="Arial" w:hAnsi="Arial" w:cs="Arial"/>
                <w:b w:val="0"/>
                <w:bCs w:val="0"/>
                <w:color w:val="222222"/>
                <w:sz w:val="20"/>
                <w:szCs w:val="20"/>
                <w:shd w:val="clear" w:color="auto" w:fill="FFFFFF"/>
              </w:rPr>
            </w:pPr>
            <w:r w:rsidRPr="00C201B9">
              <w:rPr>
                <w:rFonts w:ascii="Arial" w:hAnsi="Arial" w:cs="Arial"/>
                <w:b w:val="0"/>
                <w:bCs w:val="0"/>
                <w:sz w:val="20"/>
                <w:szCs w:val="20"/>
              </w:rPr>
              <w:t>Follow a budget that prioritizes loan repayments to ensure financial stability.</w:t>
            </w:r>
          </w:p>
        </w:tc>
        <w:tc>
          <w:tcPr>
            <w:tcW w:w="884" w:type="dxa"/>
            <w:vAlign w:val="center"/>
          </w:tcPr>
          <w:p w14:paraId="67D2AF49" w14:textId="488BED73" w:rsidR="00471C30" w:rsidRPr="00C201B9" w:rsidRDefault="00471C30" w:rsidP="00471C30">
            <w:pPr>
              <w:tabs>
                <w:tab w:val="center" w:pos="334"/>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Times New Roman" w:hAnsi="Arial" w:cs="Arial"/>
                <w:color w:val="000000"/>
                <w:sz w:val="20"/>
                <w:szCs w:val="20"/>
              </w:rPr>
              <w:t>4.11</w:t>
            </w:r>
          </w:p>
        </w:tc>
        <w:tc>
          <w:tcPr>
            <w:tcW w:w="1744" w:type="dxa"/>
            <w:vAlign w:val="center"/>
          </w:tcPr>
          <w:p w14:paraId="189B787C" w14:textId="04790464"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Times New Roman" w:hAnsi="Arial" w:cs="Arial"/>
                <w:color w:val="000000"/>
                <w:sz w:val="20"/>
                <w:szCs w:val="20"/>
              </w:rPr>
              <w:t>0.65</w:t>
            </w:r>
          </w:p>
        </w:tc>
        <w:tc>
          <w:tcPr>
            <w:tcW w:w="2250" w:type="dxa"/>
          </w:tcPr>
          <w:p w14:paraId="1F69F548" w14:textId="67ECFED7" w:rsidR="00471C30" w:rsidRPr="00C201B9" w:rsidRDefault="00471C30" w:rsidP="00471C30">
            <w:pPr>
              <w:tabs>
                <w:tab w:val="left" w:pos="210"/>
                <w:tab w:val="center" w:pos="1017"/>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Calibri" w:hAnsi="Arial" w:cs="Arial"/>
                <w:sz w:val="20"/>
                <w:szCs w:val="20"/>
              </w:rPr>
              <w:t>Often Manifested</w:t>
            </w:r>
          </w:p>
        </w:tc>
      </w:tr>
      <w:tr w:rsidR="00471C30" w:rsidRPr="00B63DA7" w14:paraId="5EA8C031"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1EE357CD" w14:textId="0D1CC3BB" w:rsidR="00471C30" w:rsidRPr="00C201B9" w:rsidRDefault="00471C30" w:rsidP="00471C30">
            <w:pPr>
              <w:rPr>
                <w:rFonts w:ascii="Arial" w:hAnsi="Arial" w:cs="Arial"/>
                <w:b w:val="0"/>
                <w:bCs w:val="0"/>
                <w:color w:val="222222"/>
                <w:sz w:val="20"/>
                <w:szCs w:val="20"/>
                <w:shd w:val="clear" w:color="auto" w:fill="FFFFFF"/>
              </w:rPr>
            </w:pPr>
            <w:r w:rsidRPr="00C201B9">
              <w:rPr>
                <w:rFonts w:ascii="Arial" w:hAnsi="Arial" w:cs="Arial"/>
                <w:b w:val="0"/>
                <w:bCs w:val="0"/>
                <w:sz w:val="20"/>
                <w:szCs w:val="20"/>
              </w:rPr>
              <w:t>Manage finances carefully to ensure consistent loan payments.</w:t>
            </w:r>
          </w:p>
        </w:tc>
        <w:tc>
          <w:tcPr>
            <w:tcW w:w="884" w:type="dxa"/>
            <w:vAlign w:val="center"/>
          </w:tcPr>
          <w:p w14:paraId="12AC1663" w14:textId="4CFF1520"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Times New Roman" w:hAnsi="Arial" w:cs="Arial"/>
                <w:color w:val="000000"/>
                <w:sz w:val="20"/>
                <w:szCs w:val="20"/>
              </w:rPr>
              <w:t>4.21</w:t>
            </w:r>
          </w:p>
        </w:tc>
        <w:tc>
          <w:tcPr>
            <w:tcW w:w="1744" w:type="dxa"/>
            <w:vAlign w:val="center"/>
          </w:tcPr>
          <w:p w14:paraId="6EE38F4E" w14:textId="02A85F91"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Times New Roman" w:hAnsi="Arial" w:cs="Arial"/>
                <w:color w:val="000000"/>
                <w:sz w:val="20"/>
                <w:szCs w:val="20"/>
              </w:rPr>
              <w:t>0.56</w:t>
            </w:r>
          </w:p>
        </w:tc>
        <w:tc>
          <w:tcPr>
            <w:tcW w:w="2250" w:type="dxa"/>
          </w:tcPr>
          <w:p w14:paraId="2AFD9E25" w14:textId="59C52541"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z w:val="20"/>
                <w:szCs w:val="20"/>
                <w:shd w:val="clear" w:color="auto" w:fill="FFFFFF"/>
              </w:rPr>
            </w:pPr>
            <w:r w:rsidRPr="00C201B9">
              <w:rPr>
                <w:rFonts w:ascii="Arial" w:eastAsia="Calibri" w:hAnsi="Arial" w:cs="Arial"/>
                <w:sz w:val="20"/>
                <w:szCs w:val="20"/>
              </w:rPr>
              <w:t>Always Manifested</w:t>
            </w:r>
          </w:p>
        </w:tc>
      </w:tr>
      <w:tr w:rsidR="00471C30" w:rsidRPr="00B63DA7" w14:paraId="0CBA5883" w14:textId="77777777" w:rsidTr="00396572">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3397" w:type="dxa"/>
          </w:tcPr>
          <w:p w14:paraId="0AE1EDF9" w14:textId="2C7557B1" w:rsidR="00471C30" w:rsidRPr="00C201B9" w:rsidRDefault="00471C30" w:rsidP="00471C30">
            <w:pPr>
              <w:rPr>
                <w:rFonts w:ascii="Arial" w:hAnsi="Arial" w:cs="Arial"/>
                <w:b w:val="0"/>
                <w:bCs w:val="0"/>
                <w:sz w:val="20"/>
                <w:szCs w:val="20"/>
              </w:rPr>
            </w:pPr>
            <w:r w:rsidRPr="00C201B9">
              <w:rPr>
                <w:rFonts w:ascii="Arial" w:hAnsi="Arial" w:cs="Arial"/>
                <w:b w:val="0"/>
                <w:bCs w:val="0"/>
                <w:sz w:val="20"/>
                <w:szCs w:val="20"/>
              </w:rPr>
              <w:t>Resist the temptation to divert loan repayment funds to other spending.</w:t>
            </w:r>
          </w:p>
        </w:tc>
        <w:tc>
          <w:tcPr>
            <w:tcW w:w="884" w:type="dxa"/>
            <w:vAlign w:val="center"/>
          </w:tcPr>
          <w:p w14:paraId="18731897" w14:textId="3FC08AFF"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01B9">
              <w:rPr>
                <w:rFonts w:ascii="Arial" w:eastAsia="Times New Roman" w:hAnsi="Arial" w:cs="Arial"/>
                <w:color w:val="000000"/>
                <w:sz w:val="20"/>
                <w:szCs w:val="20"/>
              </w:rPr>
              <w:t>4.20</w:t>
            </w:r>
          </w:p>
        </w:tc>
        <w:tc>
          <w:tcPr>
            <w:tcW w:w="1744" w:type="dxa"/>
            <w:vAlign w:val="center"/>
          </w:tcPr>
          <w:p w14:paraId="12831600" w14:textId="3AAD08E8"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01B9">
              <w:rPr>
                <w:rFonts w:ascii="Arial" w:eastAsia="Times New Roman" w:hAnsi="Arial" w:cs="Arial"/>
                <w:color w:val="000000"/>
                <w:sz w:val="20"/>
                <w:szCs w:val="20"/>
              </w:rPr>
              <w:t>0.57</w:t>
            </w:r>
          </w:p>
        </w:tc>
        <w:tc>
          <w:tcPr>
            <w:tcW w:w="2250" w:type="dxa"/>
          </w:tcPr>
          <w:p w14:paraId="49EFB9DE" w14:textId="55FCA047"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01B9">
              <w:rPr>
                <w:rFonts w:ascii="Arial" w:eastAsia="Calibri" w:hAnsi="Arial" w:cs="Arial"/>
                <w:sz w:val="20"/>
                <w:szCs w:val="20"/>
              </w:rPr>
              <w:t>Often Manifested</w:t>
            </w:r>
          </w:p>
        </w:tc>
      </w:tr>
      <w:tr w:rsidR="00471C30" w:rsidRPr="00B63DA7" w14:paraId="69E76E54"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63E24B6A" w14:textId="4039961A" w:rsidR="00471C30" w:rsidRPr="00C201B9" w:rsidRDefault="00471C30" w:rsidP="00471C30">
            <w:pPr>
              <w:rPr>
                <w:rFonts w:ascii="Arial" w:hAnsi="Arial" w:cs="Arial"/>
                <w:b w:val="0"/>
                <w:bCs w:val="0"/>
                <w:sz w:val="20"/>
                <w:szCs w:val="20"/>
              </w:rPr>
            </w:pPr>
            <w:r w:rsidRPr="00C201B9">
              <w:rPr>
                <w:rFonts w:ascii="Arial" w:hAnsi="Arial" w:cs="Arial"/>
                <w:b w:val="0"/>
                <w:bCs w:val="0"/>
                <w:sz w:val="20"/>
                <w:szCs w:val="20"/>
              </w:rPr>
              <w:t>Give priority to loan repayments over non-essential purchases.</w:t>
            </w:r>
          </w:p>
        </w:tc>
        <w:tc>
          <w:tcPr>
            <w:tcW w:w="884" w:type="dxa"/>
            <w:vAlign w:val="center"/>
          </w:tcPr>
          <w:p w14:paraId="7B7419B1" w14:textId="48FFF9BB"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201B9">
              <w:rPr>
                <w:rFonts w:ascii="Arial" w:eastAsia="Times New Roman" w:hAnsi="Arial" w:cs="Arial"/>
                <w:color w:val="000000"/>
                <w:sz w:val="20"/>
                <w:szCs w:val="20"/>
              </w:rPr>
              <w:t>4.21</w:t>
            </w:r>
          </w:p>
        </w:tc>
        <w:tc>
          <w:tcPr>
            <w:tcW w:w="1744" w:type="dxa"/>
            <w:vAlign w:val="center"/>
          </w:tcPr>
          <w:p w14:paraId="300A82A1" w14:textId="1FBBA146"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201B9">
              <w:rPr>
                <w:rFonts w:ascii="Arial" w:eastAsia="Times New Roman" w:hAnsi="Arial" w:cs="Arial"/>
                <w:color w:val="000000"/>
                <w:sz w:val="20"/>
                <w:szCs w:val="20"/>
              </w:rPr>
              <w:t>0.63</w:t>
            </w:r>
          </w:p>
        </w:tc>
        <w:tc>
          <w:tcPr>
            <w:tcW w:w="2250" w:type="dxa"/>
          </w:tcPr>
          <w:p w14:paraId="1E42208C" w14:textId="73ADE628"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201B9">
              <w:rPr>
                <w:rFonts w:ascii="Arial" w:eastAsia="Calibri" w:hAnsi="Arial" w:cs="Arial"/>
                <w:sz w:val="20"/>
                <w:szCs w:val="20"/>
              </w:rPr>
              <w:t>Always Manifested</w:t>
            </w:r>
          </w:p>
        </w:tc>
      </w:tr>
      <w:tr w:rsidR="00471C30" w:rsidRPr="00B63DA7" w14:paraId="1D0C3BAD" w14:textId="77777777" w:rsidTr="0039657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397" w:type="dxa"/>
          </w:tcPr>
          <w:p w14:paraId="6E8073B0" w14:textId="548B3E8B" w:rsidR="00471C30" w:rsidRPr="00C201B9" w:rsidRDefault="00471C30" w:rsidP="00471C30">
            <w:pPr>
              <w:rPr>
                <w:rFonts w:ascii="Arial" w:eastAsia="Times New Roman" w:hAnsi="Arial" w:cs="Arial"/>
                <w:b w:val="0"/>
                <w:bCs w:val="0"/>
                <w:sz w:val="20"/>
                <w:szCs w:val="20"/>
              </w:rPr>
            </w:pPr>
            <w:r w:rsidRPr="00C201B9">
              <w:rPr>
                <w:rFonts w:ascii="Arial" w:hAnsi="Arial" w:cs="Arial"/>
                <w:b w:val="0"/>
                <w:bCs w:val="0"/>
                <w:sz w:val="20"/>
                <w:szCs w:val="20"/>
              </w:rPr>
              <w:t>Regularly stay mindful of upcoming loan payment deadlines.</w:t>
            </w:r>
          </w:p>
        </w:tc>
        <w:tc>
          <w:tcPr>
            <w:tcW w:w="884" w:type="dxa"/>
            <w:vAlign w:val="center"/>
          </w:tcPr>
          <w:p w14:paraId="50E32BB6" w14:textId="67015060"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201B9">
              <w:rPr>
                <w:rFonts w:ascii="Arial" w:eastAsia="Times New Roman" w:hAnsi="Arial" w:cs="Arial"/>
                <w:color w:val="000000"/>
                <w:sz w:val="20"/>
                <w:szCs w:val="20"/>
              </w:rPr>
              <w:t>4.21</w:t>
            </w:r>
          </w:p>
        </w:tc>
        <w:tc>
          <w:tcPr>
            <w:tcW w:w="1744" w:type="dxa"/>
            <w:vAlign w:val="center"/>
          </w:tcPr>
          <w:p w14:paraId="3610B9DD" w14:textId="0C371EAA"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201B9">
              <w:rPr>
                <w:rFonts w:ascii="Arial" w:eastAsia="Times New Roman" w:hAnsi="Arial" w:cs="Arial"/>
                <w:color w:val="000000"/>
                <w:sz w:val="20"/>
                <w:szCs w:val="20"/>
              </w:rPr>
              <w:t>0.60</w:t>
            </w:r>
          </w:p>
        </w:tc>
        <w:tc>
          <w:tcPr>
            <w:tcW w:w="2250" w:type="dxa"/>
          </w:tcPr>
          <w:p w14:paraId="3AB71778" w14:textId="505BD072"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01B9">
              <w:rPr>
                <w:rFonts w:ascii="Arial" w:eastAsia="Calibri" w:hAnsi="Arial" w:cs="Arial"/>
                <w:sz w:val="20"/>
                <w:szCs w:val="20"/>
              </w:rPr>
              <w:t>Always Manifested</w:t>
            </w:r>
          </w:p>
        </w:tc>
      </w:tr>
      <w:tr w:rsidR="00471C30" w:rsidRPr="00B63DA7" w14:paraId="29D9EDC6" w14:textId="77777777" w:rsidTr="00396572">
        <w:trPr>
          <w:trHeight w:val="530"/>
        </w:trPr>
        <w:tc>
          <w:tcPr>
            <w:cnfStyle w:val="001000000000" w:firstRow="0" w:lastRow="0" w:firstColumn="1" w:lastColumn="0" w:oddVBand="0" w:evenVBand="0" w:oddHBand="0" w:evenHBand="0" w:firstRowFirstColumn="0" w:firstRowLastColumn="0" w:lastRowFirstColumn="0" w:lastRowLastColumn="0"/>
            <w:tcW w:w="3397" w:type="dxa"/>
          </w:tcPr>
          <w:p w14:paraId="795A1098" w14:textId="6E50FEF8" w:rsidR="00471C30" w:rsidRPr="00C201B9" w:rsidRDefault="00471C30" w:rsidP="00471C30">
            <w:pPr>
              <w:rPr>
                <w:rFonts w:ascii="Arial" w:eastAsia="Times New Roman" w:hAnsi="Arial" w:cs="Arial"/>
                <w:b w:val="0"/>
                <w:bCs w:val="0"/>
                <w:sz w:val="20"/>
                <w:szCs w:val="20"/>
              </w:rPr>
            </w:pPr>
            <w:r w:rsidRPr="00C201B9">
              <w:rPr>
                <w:rFonts w:ascii="Arial" w:hAnsi="Arial" w:cs="Arial"/>
                <w:b w:val="0"/>
                <w:bCs w:val="0"/>
                <w:sz w:val="20"/>
                <w:szCs w:val="20"/>
              </w:rPr>
              <w:t>Control spending to ensure timely loan repayments.</w:t>
            </w:r>
          </w:p>
        </w:tc>
        <w:tc>
          <w:tcPr>
            <w:tcW w:w="884" w:type="dxa"/>
            <w:vAlign w:val="center"/>
          </w:tcPr>
          <w:p w14:paraId="0F3B92A1" w14:textId="56B127B4"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201B9">
              <w:rPr>
                <w:rFonts w:ascii="Arial" w:eastAsia="Times New Roman" w:hAnsi="Arial" w:cs="Arial"/>
                <w:color w:val="000000"/>
                <w:sz w:val="20"/>
                <w:szCs w:val="20"/>
              </w:rPr>
              <w:t>4.31</w:t>
            </w:r>
          </w:p>
        </w:tc>
        <w:tc>
          <w:tcPr>
            <w:tcW w:w="1744" w:type="dxa"/>
            <w:vAlign w:val="center"/>
          </w:tcPr>
          <w:p w14:paraId="7B74E441" w14:textId="54B69B22"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201B9">
              <w:rPr>
                <w:rFonts w:ascii="Arial" w:eastAsia="Times New Roman" w:hAnsi="Arial" w:cs="Arial"/>
                <w:color w:val="000000"/>
                <w:sz w:val="20"/>
                <w:szCs w:val="20"/>
              </w:rPr>
              <w:t>0.60</w:t>
            </w:r>
          </w:p>
        </w:tc>
        <w:tc>
          <w:tcPr>
            <w:tcW w:w="2250" w:type="dxa"/>
          </w:tcPr>
          <w:p w14:paraId="4E65938A" w14:textId="133427E6"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201B9">
              <w:rPr>
                <w:rFonts w:ascii="Arial" w:eastAsia="Calibri" w:hAnsi="Arial" w:cs="Arial"/>
                <w:sz w:val="20"/>
                <w:szCs w:val="20"/>
              </w:rPr>
              <w:t>Always Manifested</w:t>
            </w:r>
          </w:p>
        </w:tc>
      </w:tr>
      <w:tr w:rsidR="00471C30" w:rsidRPr="00B63DA7" w14:paraId="4776DF05" w14:textId="77777777" w:rsidTr="0039657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tcPr>
          <w:p w14:paraId="28839A33" w14:textId="59A312F3" w:rsidR="00471C30" w:rsidRPr="00C201B9" w:rsidRDefault="00471C30" w:rsidP="00471C30">
            <w:pPr>
              <w:rPr>
                <w:rFonts w:ascii="Arial" w:eastAsia="Times New Roman" w:hAnsi="Arial" w:cs="Arial"/>
                <w:b w:val="0"/>
                <w:bCs w:val="0"/>
                <w:sz w:val="20"/>
                <w:szCs w:val="20"/>
              </w:rPr>
            </w:pPr>
            <w:r w:rsidRPr="00C201B9">
              <w:rPr>
                <w:rFonts w:ascii="Arial" w:hAnsi="Arial" w:cs="Arial"/>
                <w:b w:val="0"/>
                <w:bCs w:val="0"/>
                <w:sz w:val="20"/>
                <w:szCs w:val="20"/>
              </w:rPr>
              <w:t>Maintain confidence in the ability to make consistent loan payments.</w:t>
            </w:r>
          </w:p>
        </w:tc>
        <w:tc>
          <w:tcPr>
            <w:tcW w:w="884" w:type="dxa"/>
            <w:vAlign w:val="center"/>
          </w:tcPr>
          <w:p w14:paraId="5BBF6520" w14:textId="020E47CB"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201B9">
              <w:rPr>
                <w:rFonts w:ascii="Arial" w:eastAsia="Times New Roman" w:hAnsi="Arial" w:cs="Arial"/>
                <w:color w:val="000000"/>
                <w:sz w:val="20"/>
                <w:szCs w:val="20"/>
              </w:rPr>
              <w:t>4.33</w:t>
            </w:r>
          </w:p>
        </w:tc>
        <w:tc>
          <w:tcPr>
            <w:tcW w:w="1744" w:type="dxa"/>
            <w:vAlign w:val="center"/>
          </w:tcPr>
          <w:p w14:paraId="58976B38" w14:textId="03674273"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201B9">
              <w:rPr>
                <w:rFonts w:ascii="Arial" w:eastAsia="Times New Roman" w:hAnsi="Arial" w:cs="Arial"/>
                <w:color w:val="000000"/>
                <w:sz w:val="20"/>
                <w:szCs w:val="20"/>
              </w:rPr>
              <w:t>0.61</w:t>
            </w:r>
          </w:p>
        </w:tc>
        <w:tc>
          <w:tcPr>
            <w:tcW w:w="2250" w:type="dxa"/>
          </w:tcPr>
          <w:p w14:paraId="43F92114" w14:textId="0E765AAF"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01B9">
              <w:rPr>
                <w:rFonts w:ascii="Arial" w:eastAsia="Calibri" w:hAnsi="Arial" w:cs="Arial"/>
                <w:sz w:val="20"/>
                <w:szCs w:val="20"/>
              </w:rPr>
              <w:t>Always Manifested</w:t>
            </w:r>
          </w:p>
        </w:tc>
      </w:tr>
      <w:tr w:rsidR="00471C30" w:rsidRPr="00B63DA7" w14:paraId="547F19DE" w14:textId="77777777" w:rsidTr="00396572">
        <w:trPr>
          <w:trHeight w:val="710"/>
        </w:trPr>
        <w:tc>
          <w:tcPr>
            <w:cnfStyle w:val="001000000000" w:firstRow="0" w:lastRow="0" w:firstColumn="1" w:lastColumn="0" w:oddVBand="0" w:evenVBand="0" w:oddHBand="0" w:evenHBand="0" w:firstRowFirstColumn="0" w:firstRowLastColumn="0" w:lastRowFirstColumn="0" w:lastRowLastColumn="0"/>
            <w:tcW w:w="3397" w:type="dxa"/>
          </w:tcPr>
          <w:p w14:paraId="3656AC17" w14:textId="05232C49" w:rsidR="00471C30" w:rsidRPr="00C201B9" w:rsidRDefault="00471C30" w:rsidP="00471C30">
            <w:pPr>
              <w:rPr>
                <w:rFonts w:ascii="Arial" w:hAnsi="Arial" w:cs="Arial"/>
                <w:b w:val="0"/>
                <w:bCs w:val="0"/>
                <w:sz w:val="20"/>
                <w:szCs w:val="20"/>
              </w:rPr>
            </w:pPr>
            <w:r w:rsidRPr="00C201B9">
              <w:rPr>
                <w:rFonts w:ascii="Arial" w:hAnsi="Arial" w:cs="Arial"/>
                <w:b w:val="0"/>
                <w:bCs w:val="0"/>
                <w:sz w:val="20"/>
                <w:szCs w:val="20"/>
              </w:rPr>
              <w:t>Exercise self-control to fulfill all loan repayment responsibilities.</w:t>
            </w:r>
          </w:p>
        </w:tc>
        <w:tc>
          <w:tcPr>
            <w:tcW w:w="884" w:type="dxa"/>
            <w:vAlign w:val="center"/>
          </w:tcPr>
          <w:p w14:paraId="3614D010" w14:textId="46B92678"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201B9">
              <w:rPr>
                <w:rFonts w:ascii="Arial" w:eastAsia="Times New Roman" w:hAnsi="Arial" w:cs="Arial"/>
                <w:color w:val="000000"/>
                <w:sz w:val="20"/>
                <w:szCs w:val="20"/>
              </w:rPr>
              <w:t>4.41</w:t>
            </w:r>
          </w:p>
        </w:tc>
        <w:tc>
          <w:tcPr>
            <w:tcW w:w="1744" w:type="dxa"/>
            <w:vAlign w:val="center"/>
          </w:tcPr>
          <w:p w14:paraId="577ECA41" w14:textId="18C0C901"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201B9">
              <w:rPr>
                <w:rFonts w:ascii="Arial" w:eastAsia="Times New Roman" w:hAnsi="Arial" w:cs="Arial"/>
                <w:color w:val="000000"/>
                <w:sz w:val="20"/>
                <w:szCs w:val="20"/>
              </w:rPr>
              <w:t>0.65</w:t>
            </w:r>
          </w:p>
        </w:tc>
        <w:tc>
          <w:tcPr>
            <w:tcW w:w="2250" w:type="dxa"/>
          </w:tcPr>
          <w:p w14:paraId="362214A7" w14:textId="114C75BB" w:rsidR="00471C30" w:rsidRPr="00C201B9" w:rsidRDefault="00471C30" w:rsidP="00471C30">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201B9">
              <w:rPr>
                <w:rFonts w:ascii="Arial" w:eastAsia="Calibri" w:hAnsi="Arial" w:cs="Arial"/>
                <w:sz w:val="20"/>
                <w:szCs w:val="20"/>
              </w:rPr>
              <w:t>Always Manifested</w:t>
            </w:r>
          </w:p>
        </w:tc>
      </w:tr>
      <w:tr w:rsidR="00471C30" w:rsidRPr="00B63DA7" w14:paraId="11282B29" w14:textId="77777777" w:rsidTr="0039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12" w:space="0" w:color="auto"/>
            </w:tcBorders>
            <w:vAlign w:val="center"/>
          </w:tcPr>
          <w:p w14:paraId="03EEA303" w14:textId="4F4F3365" w:rsidR="00471C30" w:rsidRPr="00C201B9" w:rsidRDefault="00471C30" w:rsidP="00471C30">
            <w:pPr>
              <w:jc w:val="center"/>
              <w:rPr>
                <w:rFonts w:ascii="Arial" w:hAnsi="Arial" w:cs="Arial"/>
                <w:color w:val="222222"/>
                <w:sz w:val="20"/>
                <w:szCs w:val="20"/>
                <w:shd w:val="clear" w:color="auto" w:fill="FFFFFF"/>
              </w:rPr>
            </w:pPr>
            <w:r w:rsidRPr="00C201B9">
              <w:rPr>
                <w:rFonts w:ascii="Arial" w:eastAsia="Times New Roman" w:hAnsi="Arial" w:cs="Arial"/>
                <w:color w:val="000000"/>
                <w:sz w:val="20"/>
                <w:szCs w:val="20"/>
              </w:rPr>
              <w:t>Average</w:t>
            </w:r>
          </w:p>
        </w:tc>
        <w:tc>
          <w:tcPr>
            <w:tcW w:w="884" w:type="dxa"/>
            <w:tcBorders>
              <w:bottom w:val="single" w:sz="12" w:space="0" w:color="auto"/>
            </w:tcBorders>
            <w:vAlign w:val="center"/>
          </w:tcPr>
          <w:p w14:paraId="74F05EFC" w14:textId="66618BE3"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C201B9">
              <w:rPr>
                <w:rFonts w:ascii="Arial" w:eastAsia="Times New Roman" w:hAnsi="Arial" w:cs="Arial"/>
                <w:b/>
                <w:bCs/>
                <w:color w:val="000000"/>
                <w:sz w:val="20"/>
                <w:szCs w:val="20"/>
              </w:rPr>
              <w:t>4.24</w:t>
            </w:r>
          </w:p>
        </w:tc>
        <w:tc>
          <w:tcPr>
            <w:tcW w:w="1744" w:type="dxa"/>
            <w:tcBorders>
              <w:bottom w:val="single" w:sz="12" w:space="0" w:color="auto"/>
            </w:tcBorders>
            <w:vAlign w:val="center"/>
          </w:tcPr>
          <w:p w14:paraId="4478F2E4" w14:textId="0E1CAA6C"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C201B9">
              <w:rPr>
                <w:rFonts w:ascii="Arial" w:eastAsia="Times New Roman" w:hAnsi="Arial" w:cs="Arial"/>
                <w:b/>
                <w:bCs/>
                <w:color w:val="000000"/>
                <w:sz w:val="20"/>
                <w:szCs w:val="20"/>
              </w:rPr>
              <w:t>0.38</w:t>
            </w:r>
          </w:p>
        </w:tc>
        <w:tc>
          <w:tcPr>
            <w:tcW w:w="2250" w:type="dxa"/>
            <w:tcBorders>
              <w:bottom w:val="single" w:sz="12" w:space="0" w:color="auto"/>
            </w:tcBorders>
            <w:vAlign w:val="center"/>
          </w:tcPr>
          <w:p w14:paraId="6F0AECB7" w14:textId="51BCF138" w:rsidR="00471C30" w:rsidRPr="00C201B9" w:rsidRDefault="00471C30" w:rsidP="00471C3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22222"/>
                <w:sz w:val="20"/>
                <w:szCs w:val="20"/>
                <w:shd w:val="clear" w:color="auto" w:fill="FFFFFF"/>
              </w:rPr>
            </w:pPr>
            <w:r w:rsidRPr="00C201B9">
              <w:rPr>
                <w:rFonts w:ascii="Arial" w:eastAsia="Calibri" w:hAnsi="Arial" w:cs="Arial"/>
                <w:b/>
                <w:bCs/>
                <w:sz w:val="20"/>
                <w:szCs w:val="20"/>
              </w:rPr>
              <w:t>Always Manifested</w:t>
            </w:r>
          </w:p>
        </w:tc>
      </w:tr>
    </w:tbl>
    <w:p w14:paraId="1CDB4735" w14:textId="77777777" w:rsidR="00B63DA7" w:rsidRDefault="00B63DA7" w:rsidP="00B63DA7">
      <w:pPr>
        <w:jc w:val="both"/>
        <w:rPr>
          <w:rFonts w:ascii="Arial" w:hAnsi="Arial" w:cs="Arial"/>
          <w:sz w:val="20"/>
          <w:szCs w:val="20"/>
        </w:rPr>
      </w:pPr>
    </w:p>
    <w:p w14:paraId="760F16EF" w14:textId="2E67FB68" w:rsidR="00C201B9" w:rsidRPr="003F0A4B" w:rsidRDefault="00C201B9" w:rsidP="00C201B9">
      <w:pPr>
        <w:ind w:firstLine="720"/>
        <w:jc w:val="both"/>
        <w:rPr>
          <w:rFonts w:ascii="Arial" w:hAnsi="Arial" w:cs="Arial"/>
          <w:sz w:val="20"/>
          <w:szCs w:val="20"/>
        </w:rPr>
      </w:pPr>
      <w:r w:rsidRPr="003F0A4B">
        <w:rPr>
          <w:rFonts w:ascii="Arial" w:hAnsi="Arial" w:cs="Arial"/>
          <w:sz w:val="20"/>
          <w:szCs w:val="20"/>
        </w:rPr>
        <w:t xml:space="preserve">Table </w:t>
      </w:r>
      <w:r>
        <w:rPr>
          <w:rFonts w:ascii="Arial" w:hAnsi="Arial" w:cs="Arial"/>
          <w:sz w:val="20"/>
          <w:szCs w:val="20"/>
        </w:rPr>
        <w:t>16</w:t>
      </w:r>
      <w:r w:rsidRPr="003F0A4B">
        <w:rPr>
          <w:rFonts w:ascii="Arial" w:hAnsi="Arial" w:cs="Arial"/>
          <w:sz w:val="20"/>
          <w:szCs w:val="20"/>
        </w:rPr>
        <w:t xml:space="preserve"> shows that the level of loan repayment in terms of self-control is consistently manifested </w:t>
      </w:r>
      <w:r w:rsidRPr="003F0A4B">
        <w:rPr>
          <w:rFonts w:ascii="Arial" w:hAnsi="Arial" w:cs="Arial"/>
          <w:bCs/>
          <w:sz w:val="20"/>
          <w:szCs w:val="20"/>
        </w:rPr>
        <w:t>(</w:t>
      </w:r>
      <w:r w:rsidRPr="003F0A4B">
        <w:rPr>
          <w:rFonts w:ascii="Arial" w:hAnsi="Arial" w:cs="Arial"/>
          <w:color w:val="4D5156"/>
          <w:sz w:val="20"/>
          <w:szCs w:val="20"/>
          <w:shd w:val="clear" w:color="auto" w:fill="FFFFFF"/>
        </w:rPr>
        <w:t>x̄</w:t>
      </w:r>
      <w:r w:rsidRPr="003F0A4B">
        <w:rPr>
          <w:rFonts w:ascii="Arial" w:hAnsi="Arial" w:cs="Arial"/>
          <w:sz w:val="20"/>
          <w:szCs w:val="20"/>
        </w:rPr>
        <w:t xml:space="preserve"> = 4.24). This indicates that debtors of home appliance dealers in </w:t>
      </w:r>
      <w:proofErr w:type="spellStart"/>
      <w:r w:rsidRPr="003F0A4B">
        <w:rPr>
          <w:rFonts w:ascii="Arial" w:hAnsi="Arial" w:cs="Arial"/>
          <w:sz w:val="20"/>
          <w:szCs w:val="20"/>
        </w:rPr>
        <w:t>Cateel</w:t>
      </w:r>
      <w:proofErr w:type="spellEnd"/>
      <w:r w:rsidRPr="003F0A4B">
        <w:rPr>
          <w:rFonts w:ascii="Arial" w:hAnsi="Arial" w:cs="Arial"/>
          <w:sz w:val="20"/>
          <w:szCs w:val="20"/>
        </w:rPr>
        <w:t xml:space="preserve"> consistently and reliably demonstrate strong self-control in managing loan repayments, reflecting a highly disciplined and responsible approach to loan repayment.</w:t>
      </w:r>
    </w:p>
    <w:p w14:paraId="3827AEB4" w14:textId="5E81195E" w:rsidR="00B63DA7" w:rsidRDefault="00C201B9" w:rsidP="00C201B9">
      <w:pPr>
        <w:ind w:firstLine="720"/>
        <w:jc w:val="both"/>
        <w:rPr>
          <w:rFonts w:ascii="Arial" w:hAnsi="Arial" w:cs="Arial"/>
          <w:sz w:val="20"/>
          <w:szCs w:val="20"/>
        </w:rPr>
      </w:pPr>
      <w:r w:rsidRPr="003F0A4B">
        <w:rPr>
          <w:rFonts w:ascii="Arial" w:hAnsi="Arial" w:cs="Arial"/>
          <w:sz w:val="20"/>
          <w:szCs w:val="20"/>
        </w:rPr>
        <w:lastRenderedPageBreak/>
        <w:t xml:space="preserve">Furthermore, the results revealed that debtors of appliance dealers in </w:t>
      </w:r>
      <w:proofErr w:type="spellStart"/>
      <w:r w:rsidRPr="003F0A4B">
        <w:rPr>
          <w:rFonts w:ascii="Arial" w:hAnsi="Arial" w:cs="Arial"/>
          <w:sz w:val="20"/>
          <w:szCs w:val="20"/>
        </w:rPr>
        <w:t>Cateel</w:t>
      </w:r>
      <w:proofErr w:type="spellEnd"/>
      <w:r w:rsidRPr="003F0A4B">
        <w:rPr>
          <w:rFonts w:ascii="Arial" w:hAnsi="Arial" w:cs="Arial"/>
          <w:sz w:val="20"/>
          <w:szCs w:val="20"/>
        </w:rPr>
        <w:t xml:space="preserve"> consistently exercise self-control to fulfill all loan repayment responsibilities. However, debtors of appliance dealers in </w:t>
      </w:r>
      <w:proofErr w:type="spellStart"/>
      <w:r w:rsidRPr="003F0A4B">
        <w:rPr>
          <w:rFonts w:ascii="Arial" w:hAnsi="Arial" w:cs="Arial"/>
          <w:sz w:val="20"/>
          <w:szCs w:val="20"/>
        </w:rPr>
        <w:t>Cateel</w:t>
      </w:r>
      <w:proofErr w:type="spellEnd"/>
      <w:r w:rsidRPr="003F0A4B">
        <w:rPr>
          <w:rFonts w:ascii="Arial" w:hAnsi="Arial" w:cs="Arial"/>
          <w:sz w:val="20"/>
          <w:szCs w:val="20"/>
        </w:rPr>
        <w:t xml:space="preserve"> often follow a budget that prioritizes loan repayments. The result is supported by a study by Abdul Jamal (2022), which states that self-control helps reduce impulsive spending, thereby supporting timely repayment and reducing default risk.</w:t>
      </w:r>
    </w:p>
    <w:p w14:paraId="7C0CEF43" w14:textId="77777777" w:rsidR="00C201B9" w:rsidRDefault="00C201B9" w:rsidP="00C201B9">
      <w:pPr>
        <w:jc w:val="center"/>
        <w:rPr>
          <w:rFonts w:ascii="Arial" w:hAnsi="Arial" w:cs="Arial"/>
          <w:b/>
          <w:sz w:val="20"/>
          <w:szCs w:val="20"/>
        </w:rPr>
      </w:pPr>
      <w:bookmarkStart w:id="8" w:name="_Toc200367564"/>
      <w:r w:rsidRPr="003F0A4B">
        <w:rPr>
          <w:rFonts w:ascii="Arial" w:hAnsi="Arial" w:cs="Arial"/>
          <w:b/>
          <w:sz w:val="20"/>
          <w:szCs w:val="20"/>
        </w:rPr>
        <w:t>Significant relationship between the Credit Practices and the Loan Repayment</w:t>
      </w:r>
      <w:bookmarkEnd w:id="8"/>
    </w:p>
    <w:p w14:paraId="0D95FA86" w14:textId="560C606C" w:rsidR="00C201B9" w:rsidRDefault="00C201B9" w:rsidP="00C201B9">
      <w:pPr>
        <w:spacing w:line="240" w:lineRule="auto"/>
        <w:rPr>
          <w:rFonts w:ascii="Arial" w:hAnsi="Arial" w:cs="Arial"/>
          <w:b/>
          <w:sz w:val="20"/>
          <w:szCs w:val="20"/>
        </w:rPr>
      </w:pPr>
      <w:r w:rsidRPr="003F0A4B">
        <w:rPr>
          <w:rFonts w:ascii="Arial" w:hAnsi="Arial" w:cs="Arial"/>
          <w:b/>
          <w:sz w:val="20"/>
          <w:szCs w:val="20"/>
        </w:rPr>
        <w:t xml:space="preserve">Table </w:t>
      </w:r>
      <w:r>
        <w:rPr>
          <w:rFonts w:ascii="Arial" w:hAnsi="Arial" w:cs="Arial"/>
          <w:b/>
          <w:sz w:val="20"/>
          <w:szCs w:val="20"/>
        </w:rPr>
        <w:t>17</w:t>
      </w:r>
      <w:r w:rsidRPr="003F0A4B">
        <w:rPr>
          <w:rFonts w:ascii="Arial" w:hAnsi="Arial" w:cs="Arial"/>
          <w:b/>
          <w:sz w:val="20"/>
          <w:szCs w:val="20"/>
        </w:rPr>
        <w:t>. Relationship between Credit Practices and Loan Repayment</w:t>
      </w:r>
    </w:p>
    <w:tbl>
      <w:tblPr>
        <w:tblpPr w:leftFromText="180" w:rightFromText="180" w:vertAnchor="text" w:horzAnchor="margin" w:tblpY="-59"/>
        <w:tblW w:w="8092" w:type="dxa"/>
        <w:tblLook w:val="04A0" w:firstRow="1" w:lastRow="0" w:firstColumn="1" w:lastColumn="0" w:noHBand="0" w:noVBand="1"/>
      </w:tblPr>
      <w:tblGrid>
        <w:gridCol w:w="1359"/>
        <w:gridCol w:w="2796"/>
        <w:gridCol w:w="1843"/>
        <w:gridCol w:w="2094"/>
      </w:tblGrid>
      <w:tr w:rsidR="00C201B9" w:rsidRPr="00611EBD" w14:paraId="3B0C4266" w14:textId="77777777" w:rsidTr="00396572">
        <w:trPr>
          <w:trHeight w:val="332"/>
        </w:trPr>
        <w:tc>
          <w:tcPr>
            <w:tcW w:w="4155" w:type="dxa"/>
            <w:gridSpan w:val="2"/>
            <w:tcBorders>
              <w:top w:val="single" w:sz="4" w:space="0" w:color="auto"/>
              <w:left w:val="single" w:sz="4" w:space="0" w:color="auto"/>
              <w:bottom w:val="single" w:sz="4" w:space="0" w:color="auto"/>
              <w:right w:val="single" w:sz="4" w:space="0" w:color="000000"/>
            </w:tcBorders>
            <w:vAlign w:val="bottom"/>
            <w:hideMark/>
          </w:tcPr>
          <w:p w14:paraId="4DB88FD1"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Variables</w:t>
            </w:r>
          </w:p>
        </w:tc>
        <w:tc>
          <w:tcPr>
            <w:tcW w:w="1843" w:type="dxa"/>
            <w:tcBorders>
              <w:top w:val="single" w:sz="4" w:space="0" w:color="auto"/>
              <w:left w:val="nil"/>
              <w:bottom w:val="single" w:sz="4" w:space="0" w:color="auto"/>
              <w:right w:val="single" w:sz="4" w:space="0" w:color="auto"/>
            </w:tcBorders>
            <w:vAlign w:val="bottom"/>
            <w:hideMark/>
          </w:tcPr>
          <w:p w14:paraId="3C72140D"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Credit Practices</w:t>
            </w:r>
          </w:p>
        </w:tc>
        <w:tc>
          <w:tcPr>
            <w:tcW w:w="2094" w:type="dxa"/>
            <w:tcBorders>
              <w:top w:val="single" w:sz="4" w:space="0" w:color="auto"/>
              <w:left w:val="nil"/>
              <w:bottom w:val="single" w:sz="4" w:space="0" w:color="auto"/>
              <w:right w:val="single" w:sz="4" w:space="0" w:color="auto"/>
            </w:tcBorders>
            <w:vAlign w:val="bottom"/>
            <w:hideMark/>
          </w:tcPr>
          <w:p w14:paraId="7F78095D"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Loan Repayment</w:t>
            </w:r>
          </w:p>
        </w:tc>
      </w:tr>
      <w:tr w:rsidR="00C201B9" w:rsidRPr="00611EBD" w14:paraId="6C4B4637" w14:textId="77777777" w:rsidTr="00396572">
        <w:trPr>
          <w:trHeight w:val="300"/>
        </w:trPr>
        <w:tc>
          <w:tcPr>
            <w:tcW w:w="1359" w:type="dxa"/>
            <w:vMerge w:val="restart"/>
            <w:tcBorders>
              <w:top w:val="nil"/>
              <w:left w:val="single" w:sz="4" w:space="0" w:color="auto"/>
              <w:bottom w:val="single" w:sz="4" w:space="0" w:color="auto"/>
              <w:right w:val="single" w:sz="4" w:space="0" w:color="auto"/>
            </w:tcBorders>
            <w:vAlign w:val="bottom"/>
            <w:hideMark/>
          </w:tcPr>
          <w:p w14:paraId="605C2895" w14:textId="77777777" w:rsidR="00C201B9" w:rsidRPr="00C201B9" w:rsidRDefault="00C201B9" w:rsidP="00396572">
            <w:pPr>
              <w:spacing w:line="240" w:lineRule="auto"/>
              <w:rPr>
                <w:rFonts w:ascii="Arial" w:eastAsia="Times New Roman" w:hAnsi="Arial" w:cs="Arial"/>
                <w:color w:val="000000"/>
                <w:sz w:val="20"/>
                <w:szCs w:val="18"/>
              </w:rPr>
            </w:pPr>
            <w:r w:rsidRPr="00C201B9">
              <w:rPr>
                <w:rFonts w:ascii="Arial" w:eastAsia="Times New Roman" w:hAnsi="Arial" w:cs="Arial"/>
                <w:color w:val="000000"/>
                <w:sz w:val="20"/>
                <w:szCs w:val="18"/>
              </w:rPr>
              <w:t>Credit Practices</w:t>
            </w:r>
          </w:p>
        </w:tc>
        <w:tc>
          <w:tcPr>
            <w:tcW w:w="2796" w:type="dxa"/>
            <w:tcBorders>
              <w:top w:val="nil"/>
              <w:left w:val="nil"/>
              <w:bottom w:val="single" w:sz="4" w:space="0" w:color="auto"/>
              <w:right w:val="single" w:sz="4" w:space="0" w:color="auto"/>
            </w:tcBorders>
            <w:vAlign w:val="bottom"/>
            <w:hideMark/>
          </w:tcPr>
          <w:p w14:paraId="4A8DBAB0" w14:textId="77777777" w:rsidR="00C201B9" w:rsidRPr="00C201B9" w:rsidRDefault="00C201B9" w:rsidP="00396572">
            <w:pPr>
              <w:spacing w:line="240" w:lineRule="auto"/>
              <w:rPr>
                <w:rFonts w:ascii="Arial" w:eastAsia="Times New Roman" w:hAnsi="Arial" w:cs="Arial"/>
                <w:color w:val="000000"/>
                <w:sz w:val="20"/>
                <w:szCs w:val="18"/>
              </w:rPr>
            </w:pPr>
            <w:r w:rsidRPr="00C201B9">
              <w:rPr>
                <w:rFonts w:ascii="Arial" w:eastAsia="Times New Roman" w:hAnsi="Arial" w:cs="Arial"/>
                <w:color w:val="000000"/>
                <w:sz w:val="20"/>
                <w:szCs w:val="18"/>
              </w:rPr>
              <w:t>Pearson Correlation</w:t>
            </w:r>
          </w:p>
        </w:tc>
        <w:tc>
          <w:tcPr>
            <w:tcW w:w="1843" w:type="dxa"/>
            <w:tcBorders>
              <w:top w:val="nil"/>
              <w:left w:val="nil"/>
              <w:bottom w:val="single" w:sz="4" w:space="0" w:color="auto"/>
              <w:right w:val="single" w:sz="4" w:space="0" w:color="auto"/>
            </w:tcBorders>
            <w:noWrap/>
            <w:vAlign w:val="bottom"/>
            <w:hideMark/>
          </w:tcPr>
          <w:p w14:paraId="3A3FD49E"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1</w:t>
            </w:r>
          </w:p>
        </w:tc>
        <w:tc>
          <w:tcPr>
            <w:tcW w:w="2094" w:type="dxa"/>
            <w:tcBorders>
              <w:top w:val="nil"/>
              <w:left w:val="nil"/>
              <w:bottom w:val="single" w:sz="4" w:space="0" w:color="auto"/>
              <w:right w:val="single" w:sz="4" w:space="0" w:color="auto"/>
            </w:tcBorders>
            <w:noWrap/>
            <w:vAlign w:val="bottom"/>
            <w:hideMark/>
          </w:tcPr>
          <w:p w14:paraId="3DCC93B4"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0.429</w:t>
            </w:r>
          </w:p>
        </w:tc>
      </w:tr>
      <w:tr w:rsidR="00C201B9" w:rsidRPr="00611EBD" w14:paraId="336662CE" w14:textId="77777777" w:rsidTr="00396572">
        <w:trPr>
          <w:trHeight w:val="300"/>
        </w:trPr>
        <w:tc>
          <w:tcPr>
            <w:tcW w:w="0" w:type="auto"/>
            <w:vMerge/>
            <w:tcBorders>
              <w:top w:val="nil"/>
              <w:left w:val="single" w:sz="4" w:space="0" w:color="auto"/>
              <w:bottom w:val="single" w:sz="4" w:space="0" w:color="auto"/>
              <w:right w:val="single" w:sz="4" w:space="0" w:color="auto"/>
            </w:tcBorders>
            <w:vAlign w:val="center"/>
            <w:hideMark/>
          </w:tcPr>
          <w:p w14:paraId="1ED1A66A" w14:textId="77777777" w:rsidR="00C201B9" w:rsidRPr="00C201B9" w:rsidRDefault="00C201B9" w:rsidP="00396572">
            <w:pPr>
              <w:rPr>
                <w:rFonts w:ascii="Arial" w:eastAsia="Times New Roman" w:hAnsi="Arial" w:cs="Arial"/>
                <w:color w:val="000000"/>
                <w:sz w:val="18"/>
                <w:szCs w:val="18"/>
              </w:rPr>
            </w:pPr>
          </w:p>
        </w:tc>
        <w:tc>
          <w:tcPr>
            <w:tcW w:w="2796" w:type="dxa"/>
            <w:tcBorders>
              <w:top w:val="nil"/>
              <w:left w:val="nil"/>
              <w:bottom w:val="single" w:sz="4" w:space="0" w:color="auto"/>
              <w:right w:val="single" w:sz="4" w:space="0" w:color="auto"/>
            </w:tcBorders>
            <w:vAlign w:val="bottom"/>
            <w:hideMark/>
          </w:tcPr>
          <w:p w14:paraId="6BEA02DA" w14:textId="77777777" w:rsidR="00C201B9" w:rsidRPr="00C201B9" w:rsidRDefault="00C201B9" w:rsidP="00396572">
            <w:pPr>
              <w:spacing w:line="240" w:lineRule="auto"/>
              <w:rPr>
                <w:rFonts w:ascii="Arial" w:eastAsia="Times New Roman" w:hAnsi="Arial" w:cs="Arial"/>
                <w:color w:val="000000"/>
                <w:sz w:val="20"/>
                <w:szCs w:val="18"/>
              </w:rPr>
            </w:pPr>
            <w:r w:rsidRPr="00C201B9">
              <w:rPr>
                <w:rFonts w:ascii="Arial" w:eastAsia="Times New Roman" w:hAnsi="Arial" w:cs="Arial"/>
                <w:color w:val="000000"/>
                <w:sz w:val="20"/>
                <w:szCs w:val="18"/>
              </w:rPr>
              <w:t>Sig. (2-tailed)</w:t>
            </w:r>
          </w:p>
        </w:tc>
        <w:tc>
          <w:tcPr>
            <w:tcW w:w="1843" w:type="dxa"/>
            <w:tcBorders>
              <w:top w:val="nil"/>
              <w:left w:val="nil"/>
              <w:bottom w:val="single" w:sz="4" w:space="0" w:color="auto"/>
              <w:right w:val="single" w:sz="4" w:space="0" w:color="auto"/>
            </w:tcBorders>
            <w:vAlign w:val="bottom"/>
            <w:hideMark/>
          </w:tcPr>
          <w:p w14:paraId="0B7C56F1"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 </w:t>
            </w:r>
          </w:p>
        </w:tc>
        <w:tc>
          <w:tcPr>
            <w:tcW w:w="2094" w:type="dxa"/>
            <w:tcBorders>
              <w:top w:val="nil"/>
              <w:left w:val="nil"/>
              <w:bottom w:val="single" w:sz="4" w:space="0" w:color="auto"/>
              <w:right w:val="single" w:sz="4" w:space="0" w:color="auto"/>
            </w:tcBorders>
            <w:noWrap/>
            <w:vAlign w:val="bottom"/>
            <w:hideMark/>
          </w:tcPr>
          <w:p w14:paraId="3C2004D6"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0.00</w:t>
            </w:r>
          </w:p>
        </w:tc>
      </w:tr>
      <w:tr w:rsidR="00C201B9" w:rsidRPr="00611EBD" w14:paraId="16C71AED" w14:textId="77777777" w:rsidTr="00396572">
        <w:trPr>
          <w:trHeight w:val="300"/>
        </w:trPr>
        <w:tc>
          <w:tcPr>
            <w:tcW w:w="1359" w:type="dxa"/>
            <w:vMerge w:val="restart"/>
            <w:tcBorders>
              <w:top w:val="nil"/>
              <w:left w:val="single" w:sz="4" w:space="0" w:color="auto"/>
              <w:bottom w:val="single" w:sz="4" w:space="0" w:color="auto"/>
              <w:right w:val="single" w:sz="4" w:space="0" w:color="auto"/>
            </w:tcBorders>
            <w:vAlign w:val="bottom"/>
            <w:hideMark/>
          </w:tcPr>
          <w:p w14:paraId="79E9433D" w14:textId="77777777" w:rsidR="00C201B9" w:rsidRPr="00C201B9" w:rsidRDefault="00C201B9" w:rsidP="00396572">
            <w:pPr>
              <w:spacing w:line="240" w:lineRule="auto"/>
              <w:rPr>
                <w:rFonts w:ascii="Arial" w:eastAsia="Times New Roman" w:hAnsi="Arial" w:cs="Arial"/>
                <w:color w:val="000000"/>
                <w:sz w:val="20"/>
                <w:szCs w:val="18"/>
              </w:rPr>
            </w:pPr>
            <w:r w:rsidRPr="00C201B9">
              <w:rPr>
                <w:rFonts w:ascii="Arial" w:eastAsia="Times New Roman" w:hAnsi="Arial" w:cs="Arial"/>
                <w:color w:val="000000"/>
                <w:sz w:val="20"/>
                <w:szCs w:val="18"/>
              </w:rPr>
              <w:t>Loan Repayment</w:t>
            </w:r>
          </w:p>
        </w:tc>
        <w:tc>
          <w:tcPr>
            <w:tcW w:w="2796" w:type="dxa"/>
            <w:tcBorders>
              <w:top w:val="nil"/>
              <w:left w:val="nil"/>
              <w:bottom w:val="single" w:sz="4" w:space="0" w:color="auto"/>
              <w:right w:val="single" w:sz="4" w:space="0" w:color="auto"/>
            </w:tcBorders>
            <w:vAlign w:val="bottom"/>
            <w:hideMark/>
          </w:tcPr>
          <w:p w14:paraId="04C5632A" w14:textId="77777777" w:rsidR="00C201B9" w:rsidRPr="00C201B9" w:rsidRDefault="00C201B9" w:rsidP="00396572">
            <w:pPr>
              <w:spacing w:line="240" w:lineRule="auto"/>
              <w:rPr>
                <w:rFonts w:ascii="Arial" w:eastAsia="Times New Roman" w:hAnsi="Arial" w:cs="Arial"/>
                <w:color w:val="000000"/>
                <w:sz w:val="20"/>
                <w:szCs w:val="18"/>
              </w:rPr>
            </w:pPr>
            <w:r w:rsidRPr="00C201B9">
              <w:rPr>
                <w:rFonts w:ascii="Arial" w:eastAsia="Times New Roman" w:hAnsi="Arial" w:cs="Arial"/>
                <w:color w:val="000000"/>
                <w:sz w:val="20"/>
                <w:szCs w:val="18"/>
              </w:rPr>
              <w:t>Pearson Correlation</w:t>
            </w:r>
          </w:p>
        </w:tc>
        <w:tc>
          <w:tcPr>
            <w:tcW w:w="1843" w:type="dxa"/>
            <w:tcBorders>
              <w:top w:val="nil"/>
              <w:left w:val="nil"/>
              <w:bottom w:val="single" w:sz="4" w:space="0" w:color="auto"/>
              <w:right w:val="single" w:sz="4" w:space="0" w:color="auto"/>
            </w:tcBorders>
            <w:noWrap/>
            <w:vAlign w:val="bottom"/>
            <w:hideMark/>
          </w:tcPr>
          <w:p w14:paraId="2379FA3B"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0.429</w:t>
            </w:r>
          </w:p>
        </w:tc>
        <w:tc>
          <w:tcPr>
            <w:tcW w:w="2094" w:type="dxa"/>
            <w:tcBorders>
              <w:top w:val="nil"/>
              <w:left w:val="nil"/>
              <w:bottom w:val="single" w:sz="4" w:space="0" w:color="auto"/>
              <w:right w:val="single" w:sz="4" w:space="0" w:color="auto"/>
            </w:tcBorders>
            <w:noWrap/>
            <w:vAlign w:val="bottom"/>
            <w:hideMark/>
          </w:tcPr>
          <w:p w14:paraId="19817736"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1</w:t>
            </w:r>
          </w:p>
        </w:tc>
      </w:tr>
      <w:tr w:rsidR="00C201B9" w:rsidRPr="00611EBD" w14:paraId="65BC2B0C" w14:textId="77777777" w:rsidTr="00396572">
        <w:trPr>
          <w:trHeight w:val="300"/>
        </w:trPr>
        <w:tc>
          <w:tcPr>
            <w:tcW w:w="0" w:type="auto"/>
            <w:vMerge/>
            <w:tcBorders>
              <w:top w:val="nil"/>
              <w:left w:val="single" w:sz="4" w:space="0" w:color="auto"/>
              <w:bottom w:val="single" w:sz="4" w:space="0" w:color="auto"/>
              <w:right w:val="single" w:sz="4" w:space="0" w:color="auto"/>
            </w:tcBorders>
            <w:vAlign w:val="center"/>
            <w:hideMark/>
          </w:tcPr>
          <w:p w14:paraId="6F60B46F" w14:textId="77777777" w:rsidR="00C201B9" w:rsidRPr="00C201B9" w:rsidRDefault="00C201B9" w:rsidP="00396572">
            <w:pPr>
              <w:rPr>
                <w:rFonts w:ascii="Arial" w:eastAsia="Times New Roman" w:hAnsi="Arial" w:cs="Arial"/>
                <w:color w:val="000000"/>
                <w:sz w:val="18"/>
                <w:szCs w:val="18"/>
              </w:rPr>
            </w:pPr>
          </w:p>
        </w:tc>
        <w:tc>
          <w:tcPr>
            <w:tcW w:w="2796" w:type="dxa"/>
            <w:tcBorders>
              <w:top w:val="nil"/>
              <w:left w:val="nil"/>
              <w:bottom w:val="single" w:sz="4" w:space="0" w:color="auto"/>
              <w:right w:val="single" w:sz="4" w:space="0" w:color="auto"/>
            </w:tcBorders>
            <w:vAlign w:val="bottom"/>
            <w:hideMark/>
          </w:tcPr>
          <w:p w14:paraId="6BF70B52" w14:textId="77777777" w:rsidR="00C201B9" w:rsidRPr="00C201B9" w:rsidRDefault="00C201B9" w:rsidP="00396572">
            <w:pPr>
              <w:spacing w:line="240" w:lineRule="auto"/>
              <w:rPr>
                <w:rFonts w:ascii="Arial" w:eastAsia="Times New Roman" w:hAnsi="Arial" w:cs="Arial"/>
                <w:color w:val="000000"/>
                <w:sz w:val="20"/>
                <w:szCs w:val="18"/>
              </w:rPr>
            </w:pPr>
            <w:r w:rsidRPr="00C201B9">
              <w:rPr>
                <w:rFonts w:ascii="Arial" w:eastAsia="Times New Roman" w:hAnsi="Arial" w:cs="Arial"/>
                <w:color w:val="000000"/>
                <w:sz w:val="20"/>
                <w:szCs w:val="18"/>
              </w:rPr>
              <w:t>Sig. (2-tailed)</w:t>
            </w:r>
          </w:p>
        </w:tc>
        <w:tc>
          <w:tcPr>
            <w:tcW w:w="1843" w:type="dxa"/>
            <w:tcBorders>
              <w:top w:val="nil"/>
              <w:left w:val="nil"/>
              <w:bottom w:val="single" w:sz="4" w:space="0" w:color="auto"/>
              <w:right w:val="single" w:sz="4" w:space="0" w:color="auto"/>
            </w:tcBorders>
            <w:noWrap/>
            <w:vAlign w:val="bottom"/>
            <w:hideMark/>
          </w:tcPr>
          <w:p w14:paraId="7F7A3282"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0.00</w:t>
            </w:r>
          </w:p>
        </w:tc>
        <w:tc>
          <w:tcPr>
            <w:tcW w:w="2094" w:type="dxa"/>
            <w:tcBorders>
              <w:top w:val="nil"/>
              <w:left w:val="nil"/>
              <w:bottom w:val="single" w:sz="4" w:space="0" w:color="auto"/>
              <w:right w:val="single" w:sz="4" w:space="0" w:color="auto"/>
            </w:tcBorders>
            <w:vAlign w:val="bottom"/>
            <w:hideMark/>
          </w:tcPr>
          <w:p w14:paraId="0DF0B0D2" w14:textId="77777777" w:rsidR="00C201B9" w:rsidRPr="00C201B9" w:rsidRDefault="00C201B9" w:rsidP="00396572">
            <w:pPr>
              <w:spacing w:line="240" w:lineRule="auto"/>
              <w:jc w:val="center"/>
              <w:rPr>
                <w:rFonts w:ascii="Arial" w:eastAsia="Times New Roman" w:hAnsi="Arial" w:cs="Arial"/>
                <w:color w:val="000000"/>
                <w:sz w:val="20"/>
                <w:szCs w:val="18"/>
              </w:rPr>
            </w:pPr>
            <w:r w:rsidRPr="00C201B9">
              <w:rPr>
                <w:rFonts w:ascii="Arial" w:eastAsia="Times New Roman" w:hAnsi="Arial" w:cs="Arial"/>
                <w:color w:val="000000"/>
                <w:sz w:val="20"/>
                <w:szCs w:val="18"/>
              </w:rPr>
              <w:t> </w:t>
            </w:r>
          </w:p>
        </w:tc>
      </w:tr>
    </w:tbl>
    <w:p w14:paraId="3C5E01A3" w14:textId="77777777" w:rsidR="00EA53BB" w:rsidRDefault="00EA53BB" w:rsidP="007D3495">
      <w:pPr>
        <w:jc w:val="both"/>
        <w:rPr>
          <w:rFonts w:ascii="Arial" w:hAnsi="Arial" w:cs="Arial"/>
          <w:sz w:val="20"/>
          <w:szCs w:val="20"/>
        </w:rPr>
      </w:pPr>
    </w:p>
    <w:p w14:paraId="4D786695" w14:textId="56B36BB3" w:rsidR="00C201B9" w:rsidRDefault="00C201B9" w:rsidP="00C201B9">
      <w:pPr>
        <w:ind w:firstLine="720"/>
        <w:rPr>
          <w:rFonts w:ascii="Arial" w:hAnsi="Arial" w:cs="Arial"/>
          <w:sz w:val="20"/>
        </w:rPr>
      </w:pPr>
      <w:r w:rsidRPr="003F0A4B">
        <w:rPr>
          <w:rFonts w:ascii="Arial" w:hAnsi="Arial" w:cs="Arial"/>
          <w:sz w:val="20"/>
        </w:rPr>
        <w:t xml:space="preserve">Table </w:t>
      </w:r>
      <w:r w:rsidR="006A2B61">
        <w:rPr>
          <w:rFonts w:ascii="Arial" w:hAnsi="Arial" w:cs="Arial"/>
          <w:sz w:val="20"/>
        </w:rPr>
        <w:t>17</w:t>
      </w:r>
      <w:r w:rsidRPr="003F0A4B">
        <w:rPr>
          <w:rFonts w:ascii="Arial" w:hAnsi="Arial" w:cs="Arial"/>
          <w:sz w:val="20"/>
        </w:rPr>
        <w:t xml:space="preserve">. Illustrate the correlation between the level of credit practices and the level of loan repayment. The study concludes that there is a moderate and significant positive relationship (r = 0.429, p = 0.00) between credit practices and loan repayment among home appliance dealers and their debtors. </w:t>
      </w:r>
    </w:p>
    <w:p w14:paraId="1F044FFA" w14:textId="77777777" w:rsidR="00C201B9" w:rsidRDefault="00C201B9" w:rsidP="00C201B9">
      <w:pPr>
        <w:ind w:firstLine="720"/>
        <w:jc w:val="both"/>
        <w:rPr>
          <w:rFonts w:ascii="Arial" w:hAnsi="Arial" w:cs="Arial"/>
          <w:sz w:val="20"/>
          <w:szCs w:val="20"/>
        </w:rPr>
      </w:pPr>
      <w:r w:rsidRPr="003F0A4B">
        <w:rPr>
          <w:rFonts w:ascii="Arial" w:hAnsi="Arial" w:cs="Arial"/>
          <w:sz w:val="20"/>
          <w:szCs w:val="20"/>
        </w:rPr>
        <w:t xml:space="preserve">According to </w:t>
      </w:r>
      <w:proofErr w:type="spellStart"/>
      <w:r w:rsidRPr="003F0A4B">
        <w:rPr>
          <w:rFonts w:ascii="Arial" w:hAnsi="Arial" w:cs="Arial"/>
          <w:color w:val="222222"/>
          <w:sz w:val="20"/>
          <w:szCs w:val="20"/>
          <w:shd w:val="clear" w:color="auto" w:fill="FFFFFF"/>
        </w:rPr>
        <w:t>Asah</w:t>
      </w:r>
      <w:proofErr w:type="spellEnd"/>
      <w:r w:rsidRPr="003F0A4B">
        <w:rPr>
          <w:rFonts w:ascii="Arial" w:hAnsi="Arial" w:cs="Arial"/>
          <w:color w:val="222222"/>
          <w:sz w:val="20"/>
          <w:szCs w:val="20"/>
          <w:shd w:val="clear" w:color="auto" w:fill="FFFFFF"/>
        </w:rPr>
        <w:t xml:space="preserve"> and </w:t>
      </w:r>
      <w:proofErr w:type="spellStart"/>
      <w:r w:rsidRPr="003F0A4B">
        <w:rPr>
          <w:rFonts w:ascii="Arial" w:hAnsi="Arial" w:cs="Arial"/>
          <w:color w:val="222222"/>
          <w:sz w:val="20"/>
          <w:szCs w:val="20"/>
          <w:shd w:val="clear" w:color="auto" w:fill="FFFFFF"/>
        </w:rPr>
        <w:t>Louw</w:t>
      </w:r>
      <w:proofErr w:type="spellEnd"/>
      <w:r w:rsidRPr="003F0A4B">
        <w:rPr>
          <w:rFonts w:ascii="Arial" w:hAnsi="Arial" w:cs="Arial"/>
          <w:color w:val="222222"/>
          <w:sz w:val="20"/>
          <w:szCs w:val="20"/>
          <w:shd w:val="clear" w:color="auto" w:fill="FFFFFF"/>
        </w:rPr>
        <w:t xml:space="preserve"> (2021)</w:t>
      </w:r>
      <w:r w:rsidRPr="003F0A4B">
        <w:rPr>
          <w:rFonts w:ascii="Arial" w:hAnsi="Arial" w:cs="Arial"/>
          <w:sz w:val="20"/>
          <w:szCs w:val="20"/>
        </w:rPr>
        <w:t>, implementing formal policies ensures that credit is granted to suitable clients and is used productively</w:t>
      </w:r>
      <w:r w:rsidRPr="003F0A4B">
        <w:rPr>
          <w:rFonts w:ascii="Arial" w:hAnsi="Arial" w:cs="Arial"/>
          <w:bCs/>
          <w:sz w:val="20"/>
          <w:szCs w:val="20"/>
        </w:rPr>
        <w:t xml:space="preserve">. </w:t>
      </w:r>
      <w:r w:rsidRPr="003F0A4B">
        <w:rPr>
          <w:rFonts w:ascii="Arial" w:hAnsi="Arial" w:cs="Arial"/>
          <w:sz w:val="20"/>
          <w:szCs w:val="20"/>
        </w:rPr>
        <w:t xml:space="preserve">Similarly, studies show that when borrowers have access to flexible payment terms, they are more likely to make timely payments and avoid default </w:t>
      </w:r>
      <w:r w:rsidRPr="003F0A4B">
        <w:rPr>
          <w:rFonts w:ascii="Arial" w:hAnsi="Arial" w:cs="Arial"/>
          <w:color w:val="000000" w:themeColor="text1"/>
          <w:sz w:val="20"/>
          <w:szCs w:val="20"/>
        </w:rPr>
        <w:t>(</w:t>
      </w:r>
      <w:proofErr w:type="spellStart"/>
      <w:r w:rsidRPr="003F0A4B">
        <w:rPr>
          <w:rFonts w:ascii="Arial" w:hAnsi="Arial" w:cs="Arial"/>
          <w:color w:val="000000" w:themeColor="text1"/>
          <w:sz w:val="20"/>
          <w:szCs w:val="20"/>
          <w:shd w:val="clear" w:color="auto" w:fill="FFFFFF"/>
        </w:rPr>
        <w:t>Barboni</w:t>
      </w:r>
      <w:proofErr w:type="spellEnd"/>
      <w:r w:rsidRPr="003F0A4B">
        <w:rPr>
          <w:rFonts w:ascii="Arial" w:hAnsi="Arial" w:cs="Arial"/>
          <w:color w:val="000000" w:themeColor="text1"/>
          <w:sz w:val="20"/>
          <w:szCs w:val="20"/>
          <w:shd w:val="clear" w:color="auto" w:fill="FFFFFF"/>
        </w:rPr>
        <w:t>, 2017</w:t>
      </w:r>
      <w:r w:rsidRPr="003F0A4B">
        <w:rPr>
          <w:rFonts w:ascii="Arial" w:hAnsi="Arial" w:cs="Arial"/>
          <w:color w:val="000000" w:themeColor="text1"/>
          <w:sz w:val="20"/>
          <w:szCs w:val="20"/>
        </w:rPr>
        <w:t>).</w:t>
      </w:r>
      <w:r w:rsidRPr="003F0A4B">
        <w:rPr>
          <w:rFonts w:ascii="Arial" w:hAnsi="Arial" w:cs="Arial"/>
          <w:sz w:val="20"/>
          <w:szCs w:val="20"/>
        </w:rPr>
        <w:t xml:space="preserve"> Furthermore, </w:t>
      </w:r>
      <w:proofErr w:type="spellStart"/>
      <w:r w:rsidRPr="003F0A4B">
        <w:rPr>
          <w:rFonts w:ascii="Arial" w:hAnsi="Arial" w:cs="Arial"/>
          <w:sz w:val="20"/>
          <w:szCs w:val="20"/>
        </w:rPr>
        <w:t>Garmaise</w:t>
      </w:r>
      <w:proofErr w:type="spellEnd"/>
      <w:r w:rsidRPr="003F0A4B">
        <w:rPr>
          <w:rFonts w:ascii="Arial" w:hAnsi="Arial" w:cs="Arial"/>
          <w:sz w:val="20"/>
          <w:szCs w:val="20"/>
        </w:rPr>
        <w:t xml:space="preserve"> and Natividad (2017) stated that a positive credit history typically reflects responsible borrowing and repayment practices, which correlate with lower default.</w:t>
      </w:r>
    </w:p>
    <w:p w14:paraId="230ABC31" w14:textId="112AF9FF" w:rsidR="00C201B9" w:rsidRPr="003F0A4B" w:rsidRDefault="00C201B9" w:rsidP="00C201B9">
      <w:pPr>
        <w:tabs>
          <w:tab w:val="left" w:pos="4962"/>
        </w:tabs>
        <w:spacing w:line="240" w:lineRule="auto"/>
        <w:rPr>
          <w:rFonts w:ascii="Arial" w:hAnsi="Arial" w:cs="Arial"/>
          <w:sz w:val="20"/>
          <w:szCs w:val="20"/>
        </w:rPr>
      </w:pPr>
      <w:r w:rsidRPr="003F0A4B">
        <w:rPr>
          <w:rFonts w:ascii="Arial" w:hAnsi="Arial" w:cs="Arial"/>
          <w:b/>
          <w:sz w:val="20"/>
          <w:szCs w:val="20"/>
        </w:rPr>
        <w:t xml:space="preserve">Table </w:t>
      </w:r>
      <w:r>
        <w:rPr>
          <w:rFonts w:ascii="Arial" w:hAnsi="Arial" w:cs="Arial"/>
          <w:b/>
          <w:sz w:val="20"/>
          <w:szCs w:val="20"/>
        </w:rPr>
        <w:t>18</w:t>
      </w:r>
      <w:r w:rsidRPr="003F0A4B">
        <w:rPr>
          <w:rFonts w:ascii="Arial" w:hAnsi="Arial" w:cs="Arial"/>
          <w:b/>
          <w:sz w:val="20"/>
          <w:szCs w:val="20"/>
        </w:rPr>
        <w:t>.</w:t>
      </w:r>
      <w:r w:rsidRPr="003F0A4B">
        <w:rPr>
          <w:rFonts w:ascii="Arial" w:hAnsi="Arial" w:cs="Arial"/>
          <w:sz w:val="20"/>
          <w:szCs w:val="20"/>
        </w:rPr>
        <w:t xml:space="preserve"> Relationship between Collection Practices and Loan Repayment</w:t>
      </w:r>
    </w:p>
    <w:tbl>
      <w:tblPr>
        <w:tblW w:w="5000" w:type="pct"/>
        <w:tblLook w:val="04A0" w:firstRow="1" w:lastRow="0" w:firstColumn="1" w:lastColumn="0" w:noHBand="0" w:noVBand="1"/>
      </w:tblPr>
      <w:tblGrid>
        <w:gridCol w:w="2106"/>
        <w:gridCol w:w="2128"/>
        <w:gridCol w:w="2105"/>
        <w:gridCol w:w="1859"/>
      </w:tblGrid>
      <w:tr w:rsidR="00C201B9" w:rsidRPr="003F0A4B" w14:paraId="1B2C37F4" w14:textId="77777777" w:rsidTr="00396572">
        <w:trPr>
          <w:trHeight w:val="638"/>
        </w:trPr>
        <w:tc>
          <w:tcPr>
            <w:tcW w:w="2582" w:type="pct"/>
            <w:gridSpan w:val="2"/>
            <w:tcBorders>
              <w:top w:val="single" w:sz="4" w:space="0" w:color="auto"/>
              <w:left w:val="single" w:sz="4" w:space="0" w:color="auto"/>
              <w:bottom w:val="single" w:sz="4" w:space="0" w:color="auto"/>
              <w:right w:val="single" w:sz="4" w:space="0" w:color="auto"/>
            </w:tcBorders>
            <w:vAlign w:val="center"/>
            <w:hideMark/>
          </w:tcPr>
          <w:p w14:paraId="6DE25D45"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r w:rsidRPr="003F0A4B">
              <w:rPr>
                <w:rFonts w:ascii="Arial" w:eastAsia="Times New Roman" w:hAnsi="Arial" w:cs="Arial"/>
                <w:color w:val="000000"/>
                <w:sz w:val="20"/>
                <w:lang w:eastAsia="en-PH"/>
              </w:rPr>
              <w:t> </w:t>
            </w:r>
          </w:p>
        </w:tc>
        <w:tc>
          <w:tcPr>
            <w:tcW w:w="1284" w:type="pct"/>
            <w:tcBorders>
              <w:top w:val="single" w:sz="4" w:space="0" w:color="auto"/>
              <w:left w:val="nil"/>
              <w:bottom w:val="single" w:sz="4" w:space="0" w:color="auto"/>
              <w:right w:val="single" w:sz="4" w:space="0" w:color="auto"/>
            </w:tcBorders>
            <w:vAlign w:val="center"/>
            <w:hideMark/>
          </w:tcPr>
          <w:p w14:paraId="2021061F"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Collection Practices</w:t>
            </w:r>
          </w:p>
        </w:tc>
        <w:tc>
          <w:tcPr>
            <w:tcW w:w="1134" w:type="pct"/>
            <w:tcBorders>
              <w:top w:val="single" w:sz="4" w:space="0" w:color="auto"/>
              <w:left w:val="nil"/>
              <w:bottom w:val="single" w:sz="4" w:space="0" w:color="auto"/>
              <w:right w:val="single" w:sz="4" w:space="0" w:color="auto"/>
            </w:tcBorders>
            <w:vAlign w:val="center"/>
            <w:hideMark/>
          </w:tcPr>
          <w:p w14:paraId="2DF49606"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Loan Repayment</w:t>
            </w:r>
          </w:p>
        </w:tc>
      </w:tr>
      <w:tr w:rsidR="00C201B9" w:rsidRPr="003F0A4B" w14:paraId="08915A3A" w14:textId="77777777" w:rsidTr="00396572">
        <w:trPr>
          <w:trHeight w:val="476"/>
        </w:trPr>
        <w:tc>
          <w:tcPr>
            <w:tcW w:w="1284" w:type="pct"/>
            <w:vMerge w:val="restart"/>
            <w:tcBorders>
              <w:top w:val="nil"/>
              <w:left w:val="single" w:sz="4" w:space="0" w:color="auto"/>
              <w:bottom w:val="single" w:sz="4" w:space="0" w:color="auto"/>
              <w:right w:val="single" w:sz="4" w:space="0" w:color="auto"/>
            </w:tcBorders>
            <w:hideMark/>
          </w:tcPr>
          <w:p w14:paraId="0A6B41F8"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p>
          <w:p w14:paraId="4FCE6EA8"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r w:rsidRPr="003F0A4B">
              <w:rPr>
                <w:rFonts w:ascii="Arial" w:eastAsia="Times New Roman" w:hAnsi="Arial" w:cs="Arial"/>
                <w:color w:val="000000"/>
                <w:sz w:val="20"/>
                <w:lang w:eastAsia="en-PH"/>
              </w:rPr>
              <w:t>Collection Practices</w:t>
            </w:r>
          </w:p>
        </w:tc>
        <w:tc>
          <w:tcPr>
            <w:tcW w:w="1298" w:type="pct"/>
            <w:tcBorders>
              <w:top w:val="nil"/>
              <w:left w:val="nil"/>
              <w:bottom w:val="single" w:sz="4" w:space="0" w:color="auto"/>
              <w:right w:val="single" w:sz="4" w:space="0" w:color="auto"/>
            </w:tcBorders>
            <w:vAlign w:val="center"/>
            <w:hideMark/>
          </w:tcPr>
          <w:p w14:paraId="3D77F946"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r w:rsidRPr="003F0A4B">
              <w:rPr>
                <w:rFonts w:ascii="Arial" w:eastAsia="Times New Roman" w:hAnsi="Arial" w:cs="Arial"/>
                <w:color w:val="000000"/>
                <w:sz w:val="20"/>
                <w:lang w:eastAsia="en-PH"/>
              </w:rPr>
              <w:t>Pearson Correlation</w:t>
            </w:r>
          </w:p>
        </w:tc>
        <w:tc>
          <w:tcPr>
            <w:tcW w:w="1284" w:type="pct"/>
            <w:tcBorders>
              <w:top w:val="nil"/>
              <w:left w:val="nil"/>
              <w:bottom w:val="single" w:sz="4" w:space="0" w:color="auto"/>
              <w:right w:val="single" w:sz="4" w:space="0" w:color="auto"/>
            </w:tcBorders>
            <w:noWrap/>
            <w:vAlign w:val="center"/>
            <w:hideMark/>
          </w:tcPr>
          <w:p w14:paraId="3EA2CEE4"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1</w:t>
            </w:r>
          </w:p>
        </w:tc>
        <w:tc>
          <w:tcPr>
            <w:tcW w:w="1134" w:type="pct"/>
            <w:tcBorders>
              <w:top w:val="nil"/>
              <w:left w:val="nil"/>
              <w:bottom w:val="single" w:sz="4" w:space="0" w:color="auto"/>
              <w:right w:val="single" w:sz="4" w:space="0" w:color="auto"/>
            </w:tcBorders>
            <w:noWrap/>
            <w:vAlign w:val="center"/>
            <w:hideMark/>
          </w:tcPr>
          <w:p w14:paraId="06E7E037"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0.426</w:t>
            </w:r>
          </w:p>
        </w:tc>
      </w:tr>
      <w:tr w:rsidR="00C201B9" w:rsidRPr="003F0A4B" w14:paraId="2CF8DE60" w14:textId="77777777" w:rsidTr="00396572">
        <w:trPr>
          <w:trHeight w:val="458"/>
        </w:trPr>
        <w:tc>
          <w:tcPr>
            <w:tcW w:w="1284" w:type="pct"/>
            <w:vMerge/>
            <w:tcBorders>
              <w:top w:val="nil"/>
              <w:left w:val="single" w:sz="4" w:space="0" w:color="auto"/>
              <w:bottom w:val="single" w:sz="4" w:space="0" w:color="auto"/>
              <w:right w:val="single" w:sz="4" w:space="0" w:color="auto"/>
            </w:tcBorders>
            <w:vAlign w:val="center"/>
            <w:hideMark/>
          </w:tcPr>
          <w:p w14:paraId="4B3F180B" w14:textId="77777777" w:rsidR="00C201B9" w:rsidRPr="003F0A4B" w:rsidRDefault="00C201B9" w:rsidP="00396572">
            <w:pPr>
              <w:spacing w:after="0" w:line="480" w:lineRule="auto"/>
              <w:jc w:val="both"/>
              <w:rPr>
                <w:rFonts w:ascii="Arial" w:eastAsia="Times New Roman" w:hAnsi="Arial" w:cs="Arial"/>
                <w:color w:val="000000"/>
                <w:sz w:val="20"/>
                <w:lang w:eastAsia="en-PH"/>
              </w:rPr>
            </w:pPr>
          </w:p>
        </w:tc>
        <w:tc>
          <w:tcPr>
            <w:tcW w:w="1298" w:type="pct"/>
            <w:tcBorders>
              <w:top w:val="nil"/>
              <w:left w:val="nil"/>
              <w:bottom w:val="single" w:sz="4" w:space="0" w:color="auto"/>
              <w:right w:val="single" w:sz="4" w:space="0" w:color="auto"/>
            </w:tcBorders>
            <w:vAlign w:val="center"/>
            <w:hideMark/>
          </w:tcPr>
          <w:p w14:paraId="4E8A47F2"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r w:rsidRPr="003F0A4B">
              <w:rPr>
                <w:rFonts w:ascii="Arial" w:eastAsia="Times New Roman" w:hAnsi="Arial" w:cs="Arial"/>
                <w:color w:val="000000"/>
                <w:sz w:val="20"/>
                <w:lang w:eastAsia="en-PH"/>
              </w:rPr>
              <w:t>Sig. (2-tailed)</w:t>
            </w:r>
          </w:p>
        </w:tc>
        <w:tc>
          <w:tcPr>
            <w:tcW w:w="1284" w:type="pct"/>
            <w:tcBorders>
              <w:top w:val="nil"/>
              <w:left w:val="nil"/>
              <w:bottom w:val="single" w:sz="4" w:space="0" w:color="auto"/>
              <w:right w:val="single" w:sz="4" w:space="0" w:color="auto"/>
            </w:tcBorders>
            <w:vAlign w:val="center"/>
            <w:hideMark/>
          </w:tcPr>
          <w:p w14:paraId="29F6E29C"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 </w:t>
            </w:r>
          </w:p>
        </w:tc>
        <w:tc>
          <w:tcPr>
            <w:tcW w:w="1134" w:type="pct"/>
            <w:tcBorders>
              <w:top w:val="nil"/>
              <w:left w:val="nil"/>
              <w:bottom w:val="single" w:sz="4" w:space="0" w:color="auto"/>
              <w:right w:val="single" w:sz="4" w:space="0" w:color="auto"/>
            </w:tcBorders>
            <w:noWrap/>
            <w:vAlign w:val="center"/>
            <w:hideMark/>
          </w:tcPr>
          <w:p w14:paraId="7F605063"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0.000</w:t>
            </w:r>
          </w:p>
        </w:tc>
      </w:tr>
      <w:tr w:rsidR="00C201B9" w:rsidRPr="003F0A4B" w14:paraId="6B73A549" w14:textId="77777777" w:rsidTr="00396572">
        <w:trPr>
          <w:trHeight w:val="557"/>
        </w:trPr>
        <w:tc>
          <w:tcPr>
            <w:tcW w:w="1284" w:type="pct"/>
            <w:vMerge w:val="restart"/>
            <w:tcBorders>
              <w:top w:val="nil"/>
              <w:left w:val="single" w:sz="4" w:space="0" w:color="auto"/>
              <w:bottom w:val="single" w:sz="4" w:space="0" w:color="auto"/>
              <w:right w:val="single" w:sz="4" w:space="0" w:color="auto"/>
            </w:tcBorders>
            <w:hideMark/>
          </w:tcPr>
          <w:p w14:paraId="6277DED1"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p>
          <w:p w14:paraId="2BABDEE1"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r w:rsidRPr="003F0A4B">
              <w:rPr>
                <w:rFonts w:ascii="Arial" w:eastAsia="Times New Roman" w:hAnsi="Arial" w:cs="Arial"/>
                <w:color w:val="000000"/>
                <w:sz w:val="20"/>
                <w:lang w:eastAsia="en-PH"/>
              </w:rPr>
              <w:t>Loan Repayment</w:t>
            </w:r>
          </w:p>
        </w:tc>
        <w:tc>
          <w:tcPr>
            <w:tcW w:w="1298" w:type="pct"/>
            <w:tcBorders>
              <w:top w:val="nil"/>
              <w:left w:val="nil"/>
              <w:bottom w:val="single" w:sz="4" w:space="0" w:color="auto"/>
              <w:right w:val="single" w:sz="4" w:space="0" w:color="auto"/>
            </w:tcBorders>
            <w:vAlign w:val="center"/>
            <w:hideMark/>
          </w:tcPr>
          <w:p w14:paraId="7B92273D"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r w:rsidRPr="003F0A4B">
              <w:rPr>
                <w:rFonts w:ascii="Arial" w:eastAsia="Times New Roman" w:hAnsi="Arial" w:cs="Arial"/>
                <w:color w:val="000000"/>
                <w:sz w:val="20"/>
                <w:lang w:eastAsia="en-PH"/>
              </w:rPr>
              <w:t>Pearson Correlation</w:t>
            </w:r>
          </w:p>
        </w:tc>
        <w:tc>
          <w:tcPr>
            <w:tcW w:w="1284" w:type="pct"/>
            <w:tcBorders>
              <w:top w:val="nil"/>
              <w:left w:val="nil"/>
              <w:bottom w:val="single" w:sz="4" w:space="0" w:color="auto"/>
              <w:right w:val="single" w:sz="4" w:space="0" w:color="auto"/>
            </w:tcBorders>
            <w:noWrap/>
            <w:vAlign w:val="center"/>
            <w:hideMark/>
          </w:tcPr>
          <w:p w14:paraId="30F856A2"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0.426</w:t>
            </w:r>
          </w:p>
        </w:tc>
        <w:tc>
          <w:tcPr>
            <w:tcW w:w="1134" w:type="pct"/>
            <w:tcBorders>
              <w:top w:val="nil"/>
              <w:left w:val="nil"/>
              <w:bottom w:val="single" w:sz="4" w:space="0" w:color="auto"/>
              <w:right w:val="single" w:sz="4" w:space="0" w:color="auto"/>
            </w:tcBorders>
            <w:noWrap/>
            <w:vAlign w:val="center"/>
            <w:hideMark/>
          </w:tcPr>
          <w:p w14:paraId="422047EA"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1</w:t>
            </w:r>
          </w:p>
        </w:tc>
      </w:tr>
      <w:tr w:rsidR="00C201B9" w:rsidRPr="003F0A4B" w14:paraId="068938C8" w14:textId="77777777" w:rsidTr="00396572">
        <w:trPr>
          <w:trHeight w:val="530"/>
        </w:trPr>
        <w:tc>
          <w:tcPr>
            <w:tcW w:w="1284" w:type="pct"/>
            <w:vMerge/>
            <w:tcBorders>
              <w:top w:val="nil"/>
              <w:left w:val="single" w:sz="4" w:space="0" w:color="auto"/>
              <w:bottom w:val="single" w:sz="4" w:space="0" w:color="auto"/>
              <w:right w:val="single" w:sz="4" w:space="0" w:color="auto"/>
            </w:tcBorders>
            <w:vAlign w:val="center"/>
            <w:hideMark/>
          </w:tcPr>
          <w:p w14:paraId="4E98D416" w14:textId="77777777" w:rsidR="00C201B9" w:rsidRPr="003F0A4B" w:rsidRDefault="00C201B9" w:rsidP="00396572">
            <w:pPr>
              <w:spacing w:after="0" w:line="480" w:lineRule="auto"/>
              <w:jc w:val="both"/>
              <w:rPr>
                <w:rFonts w:ascii="Arial" w:eastAsia="Times New Roman" w:hAnsi="Arial" w:cs="Arial"/>
                <w:color w:val="000000"/>
                <w:sz w:val="20"/>
                <w:lang w:eastAsia="en-PH"/>
              </w:rPr>
            </w:pPr>
          </w:p>
        </w:tc>
        <w:tc>
          <w:tcPr>
            <w:tcW w:w="1298" w:type="pct"/>
            <w:tcBorders>
              <w:top w:val="nil"/>
              <w:left w:val="nil"/>
              <w:bottom w:val="single" w:sz="4" w:space="0" w:color="auto"/>
              <w:right w:val="single" w:sz="4" w:space="0" w:color="auto"/>
            </w:tcBorders>
            <w:vAlign w:val="center"/>
            <w:hideMark/>
          </w:tcPr>
          <w:p w14:paraId="580D1F7D" w14:textId="77777777" w:rsidR="00C201B9" w:rsidRPr="003F0A4B" w:rsidRDefault="00C201B9" w:rsidP="00396572">
            <w:pPr>
              <w:tabs>
                <w:tab w:val="left" w:pos="4962"/>
              </w:tabs>
              <w:spacing w:after="0" w:line="240" w:lineRule="auto"/>
              <w:jc w:val="both"/>
              <w:rPr>
                <w:rFonts w:ascii="Arial" w:eastAsia="Times New Roman" w:hAnsi="Arial" w:cs="Arial"/>
                <w:color w:val="000000"/>
                <w:sz w:val="20"/>
                <w:lang w:eastAsia="en-PH"/>
              </w:rPr>
            </w:pPr>
            <w:r w:rsidRPr="003F0A4B">
              <w:rPr>
                <w:rFonts w:ascii="Arial" w:eastAsia="Times New Roman" w:hAnsi="Arial" w:cs="Arial"/>
                <w:color w:val="000000"/>
                <w:sz w:val="20"/>
                <w:lang w:eastAsia="en-PH"/>
              </w:rPr>
              <w:t>Sig. (2-tailed)</w:t>
            </w:r>
          </w:p>
        </w:tc>
        <w:tc>
          <w:tcPr>
            <w:tcW w:w="1284" w:type="pct"/>
            <w:tcBorders>
              <w:top w:val="nil"/>
              <w:left w:val="nil"/>
              <w:bottom w:val="single" w:sz="4" w:space="0" w:color="auto"/>
              <w:right w:val="single" w:sz="4" w:space="0" w:color="auto"/>
            </w:tcBorders>
            <w:noWrap/>
            <w:vAlign w:val="center"/>
            <w:hideMark/>
          </w:tcPr>
          <w:p w14:paraId="0A7DF3E7"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0.000</w:t>
            </w:r>
          </w:p>
        </w:tc>
        <w:tc>
          <w:tcPr>
            <w:tcW w:w="1134" w:type="pct"/>
            <w:tcBorders>
              <w:top w:val="nil"/>
              <w:left w:val="nil"/>
              <w:bottom w:val="single" w:sz="4" w:space="0" w:color="auto"/>
              <w:right w:val="single" w:sz="4" w:space="0" w:color="auto"/>
            </w:tcBorders>
            <w:vAlign w:val="center"/>
            <w:hideMark/>
          </w:tcPr>
          <w:p w14:paraId="1D029134" w14:textId="77777777" w:rsidR="00C201B9" w:rsidRPr="003F0A4B" w:rsidRDefault="00C201B9" w:rsidP="00396572">
            <w:pPr>
              <w:tabs>
                <w:tab w:val="left" w:pos="4962"/>
              </w:tabs>
              <w:spacing w:after="0" w:line="240" w:lineRule="auto"/>
              <w:jc w:val="center"/>
              <w:rPr>
                <w:rFonts w:ascii="Arial" w:eastAsia="Times New Roman" w:hAnsi="Arial" w:cs="Arial"/>
                <w:color w:val="000000"/>
                <w:sz w:val="20"/>
                <w:lang w:eastAsia="en-PH"/>
              </w:rPr>
            </w:pPr>
            <w:r w:rsidRPr="003F0A4B">
              <w:rPr>
                <w:rFonts w:ascii="Arial" w:eastAsia="Times New Roman" w:hAnsi="Arial" w:cs="Arial"/>
                <w:color w:val="000000"/>
                <w:sz w:val="20"/>
                <w:lang w:eastAsia="en-PH"/>
              </w:rPr>
              <w:t> </w:t>
            </w:r>
          </w:p>
        </w:tc>
      </w:tr>
    </w:tbl>
    <w:p w14:paraId="57954594" w14:textId="5D68063B" w:rsidR="00C201B9" w:rsidRDefault="00C201B9" w:rsidP="007D3495">
      <w:pPr>
        <w:jc w:val="both"/>
        <w:rPr>
          <w:rFonts w:ascii="Arial" w:hAnsi="Arial" w:cs="Arial"/>
          <w:sz w:val="20"/>
          <w:szCs w:val="20"/>
        </w:rPr>
      </w:pPr>
    </w:p>
    <w:p w14:paraId="4C3A5BF1" w14:textId="66377909" w:rsidR="00C201B9" w:rsidRPr="0003290F" w:rsidRDefault="00C201B9" w:rsidP="00C201B9">
      <w:pPr>
        <w:ind w:firstLine="720"/>
        <w:jc w:val="both"/>
        <w:rPr>
          <w:rFonts w:ascii="Arial" w:hAnsi="Arial" w:cs="Arial"/>
          <w:sz w:val="20"/>
          <w:szCs w:val="20"/>
        </w:rPr>
      </w:pPr>
      <w:r w:rsidRPr="0003290F">
        <w:rPr>
          <w:rFonts w:ascii="Arial" w:hAnsi="Arial" w:cs="Arial"/>
          <w:sz w:val="20"/>
          <w:szCs w:val="20"/>
        </w:rPr>
        <w:t xml:space="preserve">Table </w:t>
      </w:r>
      <w:r>
        <w:rPr>
          <w:rFonts w:ascii="Arial" w:hAnsi="Arial" w:cs="Arial"/>
          <w:sz w:val="20"/>
          <w:szCs w:val="20"/>
        </w:rPr>
        <w:t>18</w:t>
      </w:r>
      <w:r w:rsidRPr="0003290F">
        <w:rPr>
          <w:rFonts w:ascii="Arial" w:hAnsi="Arial" w:cs="Arial"/>
          <w:sz w:val="20"/>
          <w:szCs w:val="20"/>
        </w:rPr>
        <w:t xml:space="preserve">. Illustrate the correlation between the level of collection practices and the level of loan repayment. The study concludes that there is a moderate and significant positive relationship (r = 0.426, p = 0.000) between collection practices and loan repayment among home appliance dealers and their debtors. The moderate nature of the relationship suggests that while collection practices are impactful, they are not the sole determinant of repayment </w:t>
      </w:r>
      <w:r w:rsidRPr="0003290F">
        <w:rPr>
          <w:rFonts w:ascii="Arial" w:hAnsi="Arial" w:cs="Arial"/>
          <w:sz w:val="20"/>
          <w:szCs w:val="20"/>
        </w:rPr>
        <w:lastRenderedPageBreak/>
        <w:t>success, as debtor-side factors, such as social influences (</w:t>
      </w:r>
      <w:r w:rsidRPr="0003290F">
        <w:rPr>
          <w:rFonts w:ascii="Arial" w:hAnsi="Arial" w:cs="Arial"/>
          <w:color w:val="4D5156"/>
          <w:sz w:val="20"/>
          <w:szCs w:val="20"/>
          <w:shd w:val="clear" w:color="auto" w:fill="FFFFFF"/>
        </w:rPr>
        <w:t>x̄</w:t>
      </w:r>
      <w:r w:rsidRPr="0003290F">
        <w:rPr>
          <w:rFonts w:ascii="Arial" w:hAnsi="Arial" w:cs="Arial"/>
          <w:sz w:val="20"/>
          <w:szCs w:val="20"/>
        </w:rPr>
        <w:t xml:space="preserve"> = 3.11, "Sometimes Manifested") and external challenges, also influence outcomes. </w:t>
      </w:r>
    </w:p>
    <w:p w14:paraId="16AC63B1" w14:textId="00D37F43" w:rsidR="00C201B9" w:rsidRPr="00C201B9" w:rsidRDefault="00C201B9" w:rsidP="00C201B9">
      <w:pPr>
        <w:ind w:firstLine="720"/>
        <w:jc w:val="both"/>
        <w:rPr>
          <w:rFonts w:ascii="Arial" w:hAnsi="Arial" w:cs="Arial"/>
          <w:sz w:val="20"/>
          <w:szCs w:val="20"/>
        </w:rPr>
      </w:pPr>
      <w:r w:rsidRPr="0003290F">
        <w:rPr>
          <w:rFonts w:ascii="Arial" w:hAnsi="Arial" w:cs="Arial"/>
          <w:bCs/>
          <w:sz w:val="20"/>
          <w:szCs w:val="20"/>
        </w:rPr>
        <w:t xml:space="preserve">For home appliance dealers, where credit purchases are common, effective collection practices are crucial to maintaining a steady cash flow and minimizing bad debts. According to </w:t>
      </w:r>
      <w:r w:rsidRPr="0003290F">
        <w:rPr>
          <w:rFonts w:ascii="Arial" w:hAnsi="Arial" w:cs="Arial"/>
          <w:sz w:val="20"/>
          <w:szCs w:val="20"/>
        </w:rPr>
        <w:t>Pope (2017</w:t>
      </w:r>
      <w:r w:rsidRPr="0003290F">
        <w:rPr>
          <w:rFonts w:ascii="Arial" w:hAnsi="Arial" w:cs="Arial"/>
          <w:color w:val="222222"/>
          <w:sz w:val="20"/>
          <w:szCs w:val="20"/>
          <w:shd w:val="clear" w:color="auto" w:fill="FFFFFF"/>
        </w:rPr>
        <w:t xml:space="preserve">), </w:t>
      </w:r>
      <w:r w:rsidRPr="0003290F">
        <w:rPr>
          <w:rFonts w:ascii="Arial" w:hAnsi="Arial" w:cs="Arial"/>
          <w:sz w:val="20"/>
          <w:szCs w:val="20"/>
        </w:rPr>
        <w:t>dealers must ensure that their collection practices are both fair and effective, avoiding overly aggressive tactics that could damage customer relationships</w:t>
      </w:r>
      <w:r w:rsidRPr="0003290F">
        <w:rPr>
          <w:rFonts w:ascii="Arial" w:hAnsi="Arial" w:cs="Arial"/>
          <w:bCs/>
          <w:sz w:val="20"/>
          <w:szCs w:val="20"/>
        </w:rPr>
        <w:t xml:space="preserve">. Similarly, </w:t>
      </w:r>
      <w:r w:rsidRPr="0003290F">
        <w:rPr>
          <w:rFonts w:ascii="Arial" w:hAnsi="Arial" w:cs="Arial"/>
          <w:sz w:val="20"/>
          <w:szCs w:val="20"/>
        </w:rPr>
        <w:t>Owino et al. (2022) stated that automated collection systems reduce human error and improve the efficiency of the payment recovery process.</w:t>
      </w:r>
      <w:r>
        <w:rPr>
          <w:rFonts w:ascii="Arial" w:hAnsi="Arial" w:cs="Arial"/>
          <w:sz w:val="20"/>
          <w:szCs w:val="20"/>
        </w:rPr>
        <w:t xml:space="preserve"> </w:t>
      </w:r>
      <w:r w:rsidRPr="0003290F">
        <w:rPr>
          <w:rFonts w:ascii="Arial" w:hAnsi="Arial" w:cs="Arial"/>
          <w:bCs/>
          <w:sz w:val="20"/>
          <w:szCs w:val="20"/>
        </w:rPr>
        <w:t xml:space="preserve">Moreover, </w:t>
      </w:r>
      <w:proofErr w:type="spellStart"/>
      <w:r w:rsidRPr="0003290F">
        <w:rPr>
          <w:rFonts w:ascii="Arial" w:hAnsi="Arial" w:cs="Arial"/>
          <w:sz w:val="20"/>
          <w:szCs w:val="20"/>
        </w:rPr>
        <w:t>Gaustad</w:t>
      </w:r>
      <w:proofErr w:type="spellEnd"/>
      <w:r w:rsidRPr="0003290F">
        <w:rPr>
          <w:rFonts w:ascii="Arial" w:hAnsi="Arial" w:cs="Arial"/>
          <w:sz w:val="20"/>
          <w:szCs w:val="20"/>
        </w:rPr>
        <w:t xml:space="preserve"> et al. (2018) an effective collection strategy is crucial to mitigate financial risks and ensure the sustainability of the business.</w:t>
      </w:r>
      <w:r w:rsidRPr="0003290F">
        <w:rPr>
          <w:rFonts w:ascii="Arial" w:hAnsi="Arial" w:cs="Arial"/>
          <w:color w:val="222222"/>
          <w:sz w:val="20"/>
          <w:szCs w:val="20"/>
          <w:shd w:val="clear" w:color="auto" w:fill="FFFFFF"/>
        </w:rPr>
        <w:t xml:space="preserve"> </w:t>
      </w:r>
    </w:p>
    <w:p w14:paraId="646AF2AC" w14:textId="7D14B5DF" w:rsidR="00C201B9" w:rsidRPr="0003290F" w:rsidRDefault="00C201B9" w:rsidP="00C201B9">
      <w:pPr>
        <w:tabs>
          <w:tab w:val="left" w:pos="4962"/>
        </w:tabs>
        <w:spacing w:line="240" w:lineRule="auto"/>
        <w:rPr>
          <w:rFonts w:ascii="Arial" w:hAnsi="Arial" w:cs="Arial"/>
          <w:sz w:val="20"/>
          <w:szCs w:val="20"/>
        </w:rPr>
      </w:pPr>
      <w:r w:rsidRPr="006E6F4E">
        <w:rPr>
          <w:rFonts w:ascii="Arial" w:hAnsi="Arial" w:cs="Arial"/>
          <w:b/>
          <w:sz w:val="20"/>
          <w:szCs w:val="20"/>
        </w:rPr>
        <w:t xml:space="preserve">Table </w:t>
      </w:r>
      <w:r>
        <w:rPr>
          <w:rFonts w:ascii="Arial" w:hAnsi="Arial" w:cs="Arial"/>
          <w:b/>
          <w:sz w:val="20"/>
          <w:szCs w:val="20"/>
        </w:rPr>
        <w:t>19</w:t>
      </w:r>
      <w:r w:rsidRPr="006E6F4E">
        <w:rPr>
          <w:rFonts w:ascii="Arial" w:hAnsi="Arial" w:cs="Arial"/>
          <w:b/>
          <w:sz w:val="20"/>
          <w:szCs w:val="20"/>
        </w:rPr>
        <w:t>.</w:t>
      </w:r>
      <w:r w:rsidRPr="0003290F">
        <w:rPr>
          <w:rFonts w:ascii="Arial" w:hAnsi="Arial" w:cs="Arial"/>
          <w:sz w:val="20"/>
          <w:szCs w:val="20"/>
        </w:rPr>
        <w:t xml:space="preserve"> Summary of Factors Influencing the Level of Loan Repayment</w:t>
      </w:r>
    </w:p>
    <w:tbl>
      <w:tblPr>
        <w:tblW w:w="8092" w:type="dxa"/>
        <w:tblInd w:w="93" w:type="dxa"/>
        <w:tblLook w:val="04A0" w:firstRow="1" w:lastRow="0" w:firstColumn="1" w:lastColumn="0" w:noHBand="0" w:noVBand="1"/>
      </w:tblPr>
      <w:tblGrid>
        <w:gridCol w:w="465"/>
        <w:gridCol w:w="1882"/>
        <w:gridCol w:w="1241"/>
        <w:gridCol w:w="1134"/>
        <w:gridCol w:w="1559"/>
        <w:gridCol w:w="851"/>
        <w:gridCol w:w="960"/>
      </w:tblGrid>
      <w:tr w:rsidR="00C201B9" w:rsidRPr="0003290F" w14:paraId="01AA4BE7" w14:textId="77777777" w:rsidTr="00396572">
        <w:trPr>
          <w:trHeight w:val="855"/>
        </w:trPr>
        <w:tc>
          <w:tcPr>
            <w:tcW w:w="234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EC9735"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Model</w:t>
            </w:r>
          </w:p>
        </w:tc>
        <w:tc>
          <w:tcPr>
            <w:tcW w:w="2375" w:type="dxa"/>
            <w:gridSpan w:val="2"/>
            <w:tcBorders>
              <w:top w:val="single" w:sz="4" w:space="0" w:color="auto"/>
              <w:left w:val="nil"/>
              <w:bottom w:val="single" w:sz="4" w:space="0" w:color="auto"/>
              <w:right w:val="single" w:sz="4" w:space="0" w:color="auto"/>
            </w:tcBorders>
            <w:vAlign w:val="center"/>
            <w:hideMark/>
          </w:tcPr>
          <w:p w14:paraId="1071CD95"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Unstandardized Coefficients</w:t>
            </w:r>
          </w:p>
        </w:tc>
        <w:tc>
          <w:tcPr>
            <w:tcW w:w="1559" w:type="dxa"/>
            <w:tcBorders>
              <w:top w:val="single" w:sz="4" w:space="0" w:color="auto"/>
              <w:left w:val="nil"/>
              <w:bottom w:val="single" w:sz="4" w:space="0" w:color="auto"/>
              <w:right w:val="single" w:sz="4" w:space="0" w:color="auto"/>
            </w:tcBorders>
            <w:vAlign w:val="center"/>
            <w:hideMark/>
          </w:tcPr>
          <w:p w14:paraId="78E89462"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Standardized Coefficients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D9169D8"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t</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1E9628DC"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Sig.</w:t>
            </w:r>
          </w:p>
        </w:tc>
      </w:tr>
      <w:tr w:rsidR="00C201B9" w:rsidRPr="0003290F" w14:paraId="6CD69FA7" w14:textId="77777777" w:rsidTr="00396572">
        <w:trPr>
          <w:trHeight w:val="3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2E976F" w14:textId="77777777" w:rsidR="00C201B9" w:rsidRPr="0003290F" w:rsidRDefault="00C201B9" w:rsidP="00396572">
            <w:pPr>
              <w:spacing w:line="240" w:lineRule="auto"/>
              <w:rPr>
                <w:rFonts w:ascii="Arial" w:eastAsia="Times New Roman" w:hAnsi="Arial" w:cs="Arial"/>
                <w:color w:val="000000"/>
                <w:sz w:val="20"/>
                <w:szCs w:val="20"/>
              </w:rPr>
            </w:pPr>
          </w:p>
        </w:tc>
        <w:tc>
          <w:tcPr>
            <w:tcW w:w="1241" w:type="dxa"/>
            <w:tcBorders>
              <w:top w:val="nil"/>
              <w:left w:val="nil"/>
              <w:bottom w:val="single" w:sz="4" w:space="0" w:color="auto"/>
              <w:right w:val="single" w:sz="4" w:space="0" w:color="auto"/>
            </w:tcBorders>
            <w:vAlign w:val="center"/>
            <w:hideMark/>
          </w:tcPr>
          <w:p w14:paraId="7F747834"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B</w:t>
            </w:r>
          </w:p>
        </w:tc>
        <w:tc>
          <w:tcPr>
            <w:tcW w:w="1134" w:type="dxa"/>
            <w:tcBorders>
              <w:top w:val="nil"/>
              <w:left w:val="nil"/>
              <w:bottom w:val="single" w:sz="4" w:space="0" w:color="auto"/>
              <w:right w:val="single" w:sz="4" w:space="0" w:color="auto"/>
            </w:tcBorders>
            <w:vAlign w:val="center"/>
            <w:hideMark/>
          </w:tcPr>
          <w:p w14:paraId="32346A70"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Std. Error</w:t>
            </w:r>
          </w:p>
        </w:tc>
        <w:tc>
          <w:tcPr>
            <w:tcW w:w="1559" w:type="dxa"/>
            <w:tcBorders>
              <w:top w:val="nil"/>
              <w:left w:val="nil"/>
              <w:bottom w:val="single" w:sz="4" w:space="0" w:color="auto"/>
              <w:right w:val="single" w:sz="4" w:space="0" w:color="auto"/>
            </w:tcBorders>
            <w:vAlign w:val="center"/>
            <w:hideMark/>
          </w:tcPr>
          <w:p w14:paraId="1FE414CB"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Beta</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FE7BE0" w14:textId="77777777" w:rsidR="00C201B9" w:rsidRPr="0003290F" w:rsidRDefault="00C201B9" w:rsidP="00396572">
            <w:pPr>
              <w:spacing w:line="240" w:lineRule="auto"/>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CE308D5" w14:textId="77777777" w:rsidR="00C201B9" w:rsidRPr="0003290F" w:rsidRDefault="00C201B9" w:rsidP="00396572">
            <w:pPr>
              <w:spacing w:line="240" w:lineRule="auto"/>
              <w:rPr>
                <w:rFonts w:ascii="Arial" w:eastAsia="Times New Roman" w:hAnsi="Arial" w:cs="Arial"/>
                <w:color w:val="000000"/>
                <w:sz w:val="20"/>
                <w:szCs w:val="20"/>
              </w:rPr>
            </w:pPr>
          </w:p>
        </w:tc>
      </w:tr>
      <w:tr w:rsidR="00C201B9" w:rsidRPr="0003290F" w14:paraId="002A86A3" w14:textId="77777777" w:rsidTr="00396572">
        <w:trPr>
          <w:trHeight w:val="368"/>
        </w:trPr>
        <w:tc>
          <w:tcPr>
            <w:tcW w:w="465" w:type="dxa"/>
            <w:vMerge w:val="restart"/>
            <w:tcBorders>
              <w:top w:val="nil"/>
              <w:left w:val="single" w:sz="4" w:space="0" w:color="auto"/>
              <w:bottom w:val="single" w:sz="4" w:space="0" w:color="auto"/>
              <w:right w:val="single" w:sz="4" w:space="0" w:color="auto"/>
            </w:tcBorders>
            <w:noWrap/>
            <w:hideMark/>
          </w:tcPr>
          <w:p w14:paraId="00B7C66E" w14:textId="77777777" w:rsidR="00C201B9" w:rsidRPr="0003290F" w:rsidRDefault="00C201B9" w:rsidP="00396572">
            <w:pPr>
              <w:spacing w:line="240" w:lineRule="auto"/>
              <w:rPr>
                <w:rFonts w:ascii="Arial" w:eastAsia="Times New Roman" w:hAnsi="Arial" w:cs="Arial"/>
                <w:color w:val="000000"/>
                <w:sz w:val="20"/>
                <w:szCs w:val="20"/>
              </w:rPr>
            </w:pPr>
            <w:r w:rsidRPr="0003290F">
              <w:rPr>
                <w:rFonts w:ascii="Arial" w:eastAsia="Times New Roman" w:hAnsi="Arial" w:cs="Arial"/>
                <w:color w:val="000000"/>
                <w:sz w:val="20"/>
                <w:szCs w:val="20"/>
              </w:rPr>
              <w:t>1</w:t>
            </w:r>
          </w:p>
        </w:tc>
        <w:tc>
          <w:tcPr>
            <w:tcW w:w="1882" w:type="dxa"/>
            <w:tcBorders>
              <w:top w:val="nil"/>
              <w:left w:val="nil"/>
              <w:bottom w:val="single" w:sz="4" w:space="0" w:color="auto"/>
              <w:right w:val="single" w:sz="4" w:space="0" w:color="auto"/>
            </w:tcBorders>
            <w:vAlign w:val="center"/>
            <w:hideMark/>
          </w:tcPr>
          <w:p w14:paraId="254407B6" w14:textId="77777777" w:rsidR="00C201B9" w:rsidRPr="0003290F" w:rsidRDefault="00C201B9" w:rsidP="00396572">
            <w:pPr>
              <w:spacing w:line="240" w:lineRule="auto"/>
              <w:rPr>
                <w:rFonts w:ascii="Arial" w:eastAsia="Times New Roman" w:hAnsi="Arial" w:cs="Arial"/>
                <w:color w:val="000000"/>
                <w:sz w:val="20"/>
                <w:szCs w:val="20"/>
              </w:rPr>
            </w:pPr>
            <w:r w:rsidRPr="0003290F">
              <w:rPr>
                <w:rFonts w:ascii="Arial" w:eastAsia="Times New Roman" w:hAnsi="Arial" w:cs="Arial"/>
                <w:color w:val="000000"/>
                <w:sz w:val="20"/>
                <w:szCs w:val="20"/>
              </w:rPr>
              <w:t>(Constant)</w:t>
            </w:r>
          </w:p>
        </w:tc>
        <w:tc>
          <w:tcPr>
            <w:tcW w:w="1241" w:type="dxa"/>
            <w:tcBorders>
              <w:top w:val="nil"/>
              <w:left w:val="nil"/>
              <w:bottom w:val="single" w:sz="4" w:space="0" w:color="auto"/>
              <w:right w:val="single" w:sz="4" w:space="0" w:color="auto"/>
            </w:tcBorders>
            <w:noWrap/>
            <w:vAlign w:val="center"/>
            <w:hideMark/>
          </w:tcPr>
          <w:p w14:paraId="3DE888DE"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1.570</w:t>
            </w:r>
          </w:p>
        </w:tc>
        <w:tc>
          <w:tcPr>
            <w:tcW w:w="1134" w:type="dxa"/>
            <w:tcBorders>
              <w:top w:val="nil"/>
              <w:left w:val="nil"/>
              <w:bottom w:val="single" w:sz="4" w:space="0" w:color="auto"/>
              <w:right w:val="single" w:sz="4" w:space="0" w:color="auto"/>
            </w:tcBorders>
            <w:noWrap/>
            <w:vAlign w:val="center"/>
            <w:hideMark/>
          </w:tcPr>
          <w:p w14:paraId="1CD77106"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0.271</w:t>
            </w:r>
          </w:p>
        </w:tc>
        <w:tc>
          <w:tcPr>
            <w:tcW w:w="1559" w:type="dxa"/>
            <w:tcBorders>
              <w:top w:val="nil"/>
              <w:left w:val="nil"/>
              <w:bottom w:val="single" w:sz="4" w:space="0" w:color="auto"/>
              <w:right w:val="single" w:sz="4" w:space="0" w:color="auto"/>
            </w:tcBorders>
            <w:vAlign w:val="center"/>
            <w:hideMark/>
          </w:tcPr>
          <w:p w14:paraId="1017B02D" w14:textId="77777777" w:rsidR="00C201B9" w:rsidRPr="0003290F" w:rsidRDefault="00C201B9" w:rsidP="00396572">
            <w:pPr>
              <w:spacing w:line="240" w:lineRule="auto"/>
              <w:rPr>
                <w:rFonts w:ascii="Arial" w:eastAsia="Times New Roman" w:hAnsi="Arial" w:cs="Arial"/>
                <w:color w:val="000000"/>
                <w:sz w:val="20"/>
                <w:szCs w:val="20"/>
              </w:rPr>
            </w:pPr>
          </w:p>
        </w:tc>
        <w:tc>
          <w:tcPr>
            <w:tcW w:w="851" w:type="dxa"/>
            <w:tcBorders>
              <w:top w:val="nil"/>
              <w:left w:val="nil"/>
              <w:bottom w:val="single" w:sz="4" w:space="0" w:color="auto"/>
              <w:right w:val="single" w:sz="4" w:space="0" w:color="auto"/>
            </w:tcBorders>
            <w:noWrap/>
            <w:vAlign w:val="center"/>
            <w:hideMark/>
          </w:tcPr>
          <w:p w14:paraId="77CE5C47"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5.796</w:t>
            </w:r>
          </w:p>
        </w:tc>
        <w:tc>
          <w:tcPr>
            <w:tcW w:w="960" w:type="dxa"/>
            <w:tcBorders>
              <w:top w:val="nil"/>
              <w:left w:val="nil"/>
              <w:bottom w:val="single" w:sz="4" w:space="0" w:color="auto"/>
              <w:right w:val="single" w:sz="4" w:space="0" w:color="auto"/>
            </w:tcBorders>
            <w:noWrap/>
            <w:vAlign w:val="center"/>
            <w:hideMark/>
          </w:tcPr>
          <w:p w14:paraId="42B6F6E5"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0.000</w:t>
            </w:r>
          </w:p>
        </w:tc>
      </w:tr>
      <w:tr w:rsidR="00C201B9" w:rsidRPr="0003290F" w14:paraId="09E11256" w14:textId="77777777" w:rsidTr="00396572">
        <w:trPr>
          <w:trHeight w:val="422"/>
        </w:trPr>
        <w:tc>
          <w:tcPr>
            <w:tcW w:w="0" w:type="auto"/>
            <w:vMerge/>
            <w:tcBorders>
              <w:top w:val="nil"/>
              <w:left w:val="single" w:sz="4" w:space="0" w:color="auto"/>
              <w:bottom w:val="single" w:sz="4" w:space="0" w:color="auto"/>
              <w:right w:val="single" w:sz="4" w:space="0" w:color="auto"/>
            </w:tcBorders>
            <w:vAlign w:val="center"/>
            <w:hideMark/>
          </w:tcPr>
          <w:p w14:paraId="7A7BCDB7" w14:textId="77777777" w:rsidR="00C201B9" w:rsidRPr="0003290F" w:rsidRDefault="00C201B9" w:rsidP="00396572">
            <w:pPr>
              <w:spacing w:line="240" w:lineRule="auto"/>
              <w:rPr>
                <w:rFonts w:ascii="Arial" w:eastAsia="Times New Roman" w:hAnsi="Arial" w:cs="Arial"/>
                <w:color w:val="000000"/>
                <w:sz w:val="20"/>
                <w:szCs w:val="20"/>
              </w:rPr>
            </w:pPr>
          </w:p>
        </w:tc>
        <w:tc>
          <w:tcPr>
            <w:tcW w:w="1882" w:type="dxa"/>
            <w:tcBorders>
              <w:top w:val="nil"/>
              <w:left w:val="nil"/>
              <w:bottom w:val="single" w:sz="4" w:space="0" w:color="auto"/>
              <w:right w:val="single" w:sz="4" w:space="0" w:color="auto"/>
            </w:tcBorders>
            <w:vAlign w:val="center"/>
            <w:hideMark/>
          </w:tcPr>
          <w:p w14:paraId="7A8FCFA7" w14:textId="77777777" w:rsidR="00C201B9" w:rsidRPr="0003290F" w:rsidRDefault="00C201B9" w:rsidP="00396572">
            <w:pPr>
              <w:spacing w:line="240" w:lineRule="auto"/>
              <w:rPr>
                <w:rFonts w:ascii="Arial" w:eastAsia="Times New Roman" w:hAnsi="Arial" w:cs="Arial"/>
                <w:color w:val="000000"/>
                <w:sz w:val="20"/>
                <w:szCs w:val="20"/>
              </w:rPr>
            </w:pPr>
            <w:r w:rsidRPr="0003290F">
              <w:rPr>
                <w:rFonts w:ascii="Arial" w:eastAsia="Times New Roman" w:hAnsi="Arial" w:cs="Arial"/>
                <w:color w:val="000000"/>
                <w:sz w:val="20"/>
                <w:szCs w:val="20"/>
              </w:rPr>
              <w:t>Credit Practices</w:t>
            </w:r>
          </w:p>
        </w:tc>
        <w:tc>
          <w:tcPr>
            <w:tcW w:w="1241" w:type="dxa"/>
            <w:tcBorders>
              <w:top w:val="nil"/>
              <w:left w:val="nil"/>
              <w:bottom w:val="single" w:sz="4" w:space="0" w:color="auto"/>
              <w:right w:val="single" w:sz="4" w:space="0" w:color="auto"/>
            </w:tcBorders>
            <w:noWrap/>
            <w:vAlign w:val="center"/>
            <w:hideMark/>
          </w:tcPr>
          <w:p w14:paraId="7A1E30BA"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0.357</w:t>
            </w:r>
          </w:p>
        </w:tc>
        <w:tc>
          <w:tcPr>
            <w:tcW w:w="1134" w:type="dxa"/>
            <w:tcBorders>
              <w:top w:val="nil"/>
              <w:left w:val="nil"/>
              <w:bottom w:val="single" w:sz="4" w:space="0" w:color="auto"/>
              <w:right w:val="single" w:sz="4" w:space="0" w:color="auto"/>
            </w:tcBorders>
            <w:noWrap/>
            <w:vAlign w:val="center"/>
            <w:hideMark/>
          </w:tcPr>
          <w:p w14:paraId="73404189"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0.053</w:t>
            </w:r>
          </w:p>
        </w:tc>
        <w:tc>
          <w:tcPr>
            <w:tcW w:w="1559" w:type="dxa"/>
            <w:tcBorders>
              <w:top w:val="nil"/>
              <w:left w:val="nil"/>
              <w:bottom w:val="single" w:sz="4" w:space="0" w:color="auto"/>
              <w:right w:val="single" w:sz="4" w:space="0" w:color="auto"/>
            </w:tcBorders>
            <w:noWrap/>
            <w:vAlign w:val="center"/>
            <w:hideMark/>
          </w:tcPr>
          <w:p w14:paraId="031F0941"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0.439</w:t>
            </w:r>
          </w:p>
        </w:tc>
        <w:tc>
          <w:tcPr>
            <w:tcW w:w="851" w:type="dxa"/>
            <w:tcBorders>
              <w:top w:val="nil"/>
              <w:left w:val="nil"/>
              <w:bottom w:val="single" w:sz="4" w:space="0" w:color="auto"/>
              <w:right w:val="single" w:sz="4" w:space="0" w:color="auto"/>
            </w:tcBorders>
            <w:noWrap/>
            <w:vAlign w:val="center"/>
            <w:hideMark/>
          </w:tcPr>
          <w:p w14:paraId="58B2A60E"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6.736</w:t>
            </w:r>
          </w:p>
        </w:tc>
        <w:tc>
          <w:tcPr>
            <w:tcW w:w="960" w:type="dxa"/>
            <w:tcBorders>
              <w:top w:val="nil"/>
              <w:left w:val="nil"/>
              <w:bottom w:val="single" w:sz="4" w:space="0" w:color="auto"/>
              <w:right w:val="single" w:sz="4" w:space="0" w:color="auto"/>
            </w:tcBorders>
            <w:noWrap/>
            <w:vAlign w:val="center"/>
            <w:hideMark/>
          </w:tcPr>
          <w:p w14:paraId="58993DB4"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0.000</w:t>
            </w:r>
          </w:p>
        </w:tc>
      </w:tr>
      <w:tr w:rsidR="00C201B9" w:rsidRPr="0003290F" w14:paraId="61EAFBE3" w14:textId="77777777" w:rsidTr="00396572">
        <w:trPr>
          <w:trHeight w:val="458"/>
        </w:trPr>
        <w:tc>
          <w:tcPr>
            <w:tcW w:w="0" w:type="auto"/>
            <w:vMerge/>
            <w:tcBorders>
              <w:top w:val="nil"/>
              <w:left w:val="single" w:sz="4" w:space="0" w:color="auto"/>
              <w:bottom w:val="single" w:sz="4" w:space="0" w:color="auto"/>
              <w:right w:val="single" w:sz="4" w:space="0" w:color="auto"/>
            </w:tcBorders>
            <w:vAlign w:val="center"/>
            <w:hideMark/>
          </w:tcPr>
          <w:p w14:paraId="1A892EF5" w14:textId="77777777" w:rsidR="00C201B9" w:rsidRPr="0003290F" w:rsidRDefault="00C201B9" w:rsidP="00396572">
            <w:pPr>
              <w:spacing w:line="240" w:lineRule="auto"/>
              <w:rPr>
                <w:rFonts w:ascii="Arial" w:eastAsia="Times New Roman" w:hAnsi="Arial" w:cs="Arial"/>
                <w:color w:val="000000"/>
                <w:sz w:val="20"/>
                <w:szCs w:val="20"/>
              </w:rPr>
            </w:pPr>
          </w:p>
        </w:tc>
        <w:tc>
          <w:tcPr>
            <w:tcW w:w="1882" w:type="dxa"/>
            <w:tcBorders>
              <w:top w:val="nil"/>
              <w:left w:val="nil"/>
              <w:bottom w:val="single" w:sz="4" w:space="0" w:color="auto"/>
              <w:right w:val="single" w:sz="4" w:space="0" w:color="auto"/>
            </w:tcBorders>
            <w:vAlign w:val="center"/>
            <w:hideMark/>
          </w:tcPr>
          <w:p w14:paraId="1BDB2BF2" w14:textId="77777777" w:rsidR="00C201B9" w:rsidRPr="0003290F" w:rsidRDefault="00C201B9" w:rsidP="00396572">
            <w:pPr>
              <w:spacing w:line="240" w:lineRule="auto"/>
              <w:rPr>
                <w:rFonts w:ascii="Arial" w:eastAsia="Times New Roman" w:hAnsi="Arial" w:cs="Arial"/>
                <w:color w:val="000000"/>
                <w:sz w:val="20"/>
                <w:szCs w:val="20"/>
              </w:rPr>
            </w:pPr>
            <w:r w:rsidRPr="0003290F">
              <w:rPr>
                <w:rFonts w:ascii="Arial" w:eastAsia="Times New Roman" w:hAnsi="Arial" w:cs="Arial"/>
                <w:color w:val="000000"/>
                <w:sz w:val="20"/>
                <w:szCs w:val="20"/>
              </w:rPr>
              <w:t>Collection Practices</w:t>
            </w:r>
          </w:p>
        </w:tc>
        <w:tc>
          <w:tcPr>
            <w:tcW w:w="1241" w:type="dxa"/>
            <w:tcBorders>
              <w:top w:val="nil"/>
              <w:left w:val="nil"/>
              <w:bottom w:val="single" w:sz="4" w:space="0" w:color="auto"/>
              <w:right w:val="single" w:sz="4" w:space="0" w:color="auto"/>
            </w:tcBorders>
            <w:noWrap/>
            <w:vAlign w:val="center"/>
            <w:hideMark/>
          </w:tcPr>
          <w:p w14:paraId="4231AC92"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0.257</w:t>
            </w:r>
          </w:p>
        </w:tc>
        <w:tc>
          <w:tcPr>
            <w:tcW w:w="1134" w:type="dxa"/>
            <w:tcBorders>
              <w:top w:val="nil"/>
              <w:left w:val="nil"/>
              <w:bottom w:val="single" w:sz="4" w:space="0" w:color="auto"/>
              <w:right w:val="single" w:sz="4" w:space="0" w:color="auto"/>
            </w:tcBorders>
            <w:noWrap/>
            <w:vAlign w:val="center"/>
            <w:hideMark/>
          </w:tcPr>
          <w:p w14:paraId="06B625B9"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0.038</w:t>
            </w:r>
          </w:p>
        </w:tc>
        <w:tc>
          <w:tcPr>
            <w:tcW w:w="1559" w:type="dxa"/>
            <w:tcBorders>
              <w:top w:val="nil"/>
              <w:left w:val="nil"/>
              <w:bottom w:val="single" w:sz="4" w:space="0" w:color="auto"/>
              <w:right w:val="single" w:sz="4" w:space="0" w:color="auto"/>
            </w:tcBorders>
            <w:noWrap/>
            <w:vAlign w:val="center"/>
            <w:hideMark/>
          </w:tcPr>
          <w:p w14:paraId="14D1E507"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0.437</w:t>
            </w:r>
          </w:p>
        </w:tc>
        <w:tc>
          <w:tcPr>
            <w:tcW w:w="851" w:type="dxa"/>
            <w:tcBorders>
              <w:top w:val="nil"/>
              <w:left w:val="nil"/>
              <w:bottom w:val="single" w:sz="4" w:space="0" w:color="auto"/>
              <w:right w:val="single" w:sz="4" w:space="0" w:color="auto"/>
            </w:tcBorders>
            <w:noWrap/>
            <w:vAlign w:val="center"/>
            <w:hideMark/>
          </w:tcPr>
          <w:p w14:paraId="534C0792"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6.694</w:t>
            </w:r>
          </w:p>
        </w:tc>
        <w:tc>
          <w:tcPr>
            <w:tcW w:w="960" w:type="dxa"/>
            <w:tcBorders>
              <w:top w:val="nil"/>
              <w:left w:val="nil"/>
              <w:bottom w:val="single" w:sz="4" w:space="0" w:color="auto"/>
              <w:right w:val="single" w:sz="4" w:space="0" w:color="auto"/>
            </w:tcBorders>
            <w:noWrap/>
            <w:vAlign w:val="center"/>
            <w:hideMark/>
          </w:tcPr>
          <w:p w14:paraId="26CB5790" w14:textId="77777777" w:rsidR="00C201B9" w:rsidRPr="0003290F" w:rsidRDefault="00C201B9" w:rsidP="00396572">
            <w:pPr>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0.000</w:t>
            </w:r>
          </w:p>
        </w:tc>
      </w:tr>
      <w:tr w:rsidR="00C201B9" w:rsidRPr="0003290F" w14:paraId="158A50DA" w14:textId="77777777" w:rsidTr="00396572">
        <w:trPr>
          <w:trHeight w:val="300"/>
        </w:trPr>
        <w:tc>
          <w:tcPr>
            <w:tcW w:w="8092" w:type="dxa"/>
            <w:gridSpan w:val="7"/>
            <w:tcBorders>
              <w:top w:val="single" w:sz="4" w:space="0" w:color="auto"/>
              <w:left w:val="single" w:sz="4" w:space="0" w:color="auto"/>
              <w:bottom w:val="single" w:sz="4" w:space="0" w:color="auto"/>
              <w:right w:val="single" w:sz="4" w:space="0" w:color="auto"/>
            </w:tcBorders>
            <w:hideMark/>
          </w:tcPr>
          <w:p w14:paraId="0ECE25BC" w14:textId="77777777" w:rsidR="00C201B9" w:rsidRPr="0003290F" w:rsidRDefault="00C201B9" w:rsidP="00396572">
            <w:pPr>
              <w:spacing w:line="240" w:lineRule="auto"/>
              <w:rPr>
                <w:rFonts w:ascii="Arial" w:eastAsia="Times New Roman" w:hAnsi="Arial" w:cs="Arial"/>
                <w:color w:val="000000"/>
                <w:sz w:val="20"/>
                <w:szCs w:val="20"/>
              </w:rPr>
            </w:pPr>
            <w:r w:rsidRPr="0003290F">
              <w:rPr>
                <w:rFonts w:ascii="Arial" w:eastAsia="Times New Roman" w:hAnsi="Arial" w:cs="Arial"/>
                <w:color w:val="000000"/>
                <w:sz w:val="20"/>
                <w:szCs w:val="20"/>
              </w:rPr>
              <w:t>a. Dependent Variable: Overall Loan Repayment</w:t>
            </w:r>
          </w:p>
        </w:tc>
      </w:tr>
    </w:tbl>
    <w:p w14:paraId="4B3849BF" w14:textId="77777777" w:rsidR="00C201B9" w:rsidRDefault="00C201B9" w:rsidP="00C201B9">
      <w:pPr>
        <w:ind w:firstLine="720"/>
        <w:jc w:val="both"/>
        <w:rPr>
          <w:rFonts w:ascii="Arial" w:hAnsi="Arial" w:cs="Arial"/>
          <w:sz w:val="20"/>
          <w:szCs w:val="20"/>
        </w:rPr>
      </w:pPr>
    </w:p>
    <w:p w14:paraId="0A549AFE" w14:textId="1D804213" w:rsidR="00C201B9" w:rsidRPr="00C201B9" w:rsidRDefault="00C201B9" w:rsidP="00C201B9">
      <w:pPr>
        <w:ind w:firstLine="720"/>
        <w:jc w:val="both"/>
        <w:rPr>
          <w:rFonts w:ascii="Arial" w:hAnsi="Arial" w:cs="Arial"/>
          <w:sz w:val="20"/>
          <w:szCs w:val="20"/>
        </w:rPr>
      </w:pPr>
      <w:r w:rsidRPr="0003290F">
        <w:rPr>
          <w:rFonts w:ascii="Arial" w:hAnsi="Arial" w:cs="Arial"/>
          <w:sz w:val="20"/>
          <w:szCs w:val="20"/>
        </w:rPr>
        <w:t xml:space="preserve">The relationship between credit practices and loan repayment has been widely studied, especially in contexts where consumer financing plays a vital role, such as in-home appliance purchases. According to Boateng (2015), analyzing the client's creditworthiness is essential to minimize the risk of default and ensure that the financial institution can rely on timely repayments. Collection practices, on the other hand, are equally important in sustaining loan performance. According to a study by </w:t>
      </w:r>
      <w:proofErr w:type="spellStart"/>
      <w:r w:rsidRPr="0003290F">
        <w:rPr>
          <w:rFonts w:ascii="Arial" w:hAnsi="Arial" w:cs="Arial"/>
          <w:sz w:val="20"/>
          <w:szCs w:val="20"/>
        </w:rPr>
        <w:t>Gaustad</w:t>
      </w:r>
      <w:proofErr w:type="spellEnd"/>
      <w:r w:rsidRPr="0003290F">
        <w:rPr>
          <w:rFonts w:ascii="Arial" w:hAnsi="Arial" w:cs="Arial"/>
          <w:sz w:val="20"/>
          <w:szCs w:val="20"/>
        </w:rPr>
        <w:t xml:space="preserve"> et al. (2018), an effective collection strategy is crucial for mitigating financial risks and ensuring the sustainability of the business.</w:t>
      </w:r>
    </w:p>
    <w:p w14:paraId="6ACABD77" w14:textId="7FADE8D8" w:rsidR="00C201B9" w:rsidRDefault="00C201B9" w:rsidP="00C201B9">
      <w:pPr>
        <w:ind w:firstLine="720"/>
        <w:jc w:val="both"/>
        <w:rPr>
          <w:rFonts w:ascii="Arial" w:eastAsia="Times New Roman" w:hAnsi="Arial" w:cs="Arial"/>
          <w:sz w:val="20"/>
          <w:szCs w:val="20"/>
        </w:rPr>
      </w:pPr>
      <w:r w:rsidRPr="0003290F">
        <w:rPr>
          <w:rFonts w:ascii="Arial" w:eastAsia="Times New Roman" w:hAnsi="Arial" w:cs="Arial"/>
          <w:sz w:val="20"/>
          <w:szCs w:val="20"/>
        </w:rPr>
        <w:t xml:space="preserve">Table </w:t>
      </w:r>
      <w:r w:rsidR="006A2B61">
        <w:rPr>
          <w:rFonts w:ascii="Arial" w:eastAsia="Times New Roman" w:hAnsi="Arial" w:cs="Arial"/>
          <w:sz w:val="20"/>
          <w:szCs w:val="20"/>
        </w:rPr>
        <w:t>20</w:t>
      </w:r>
      <w:r w:rsidRPr="0003290F">
        <w:rPr>
          <w:rFonts w:ascii="Arial" w:eastAsia="Times New Roman" w:hAnsi="Arial" w:cs="Arial"/>
          <w:sz w:val="20"/>
          <w:szCs w:val="20"/>
        </w:rPr>
        <w:t xml:space="preserve"> presents the model summary of loan repayment. Based on the results, it was concluded that the model, incorporating factors such as credit and collection practices alongside debtor-side factors, explains 37.5% of the variation in loan repayment among home appliance debtors, with a moderate positive relationship (R = 0.612). While this indicates that these factors significantly influence repayment behavior, the remaining 62.5% of unexplained variance suggests that additional factors, such as economic conditions or personal challenges, also play a critical role</w:t>
      </w:r>
      <w:r w:rsidRPr="0003290F">
        <w:rPr>
          <w:rFonts w:ascii="Arial" w:hAnsi="Arial" w:cs="Arial"/>
          <w:sz w:val="20"/>
          <w:szCs w:val="20"/>
        </w:rPr>
        <w:t xml:space="preserve"> </w:t>
      </w:r>
      <w:proofErr w:type="spellStart"/>
      <w:r w:rsidRPr="0003290F">
        <w:rPr>
          <w:rFonts w:ascii="Arial" w:hAnsi="Arial" w:cs="Arial"/>
          <w:sz w:val="20"/>
          <w:szCs w:val="20"/>
        </w:rPr>
        <w:t>Pelone</w:t>
      </w:r>
      <w:proofErr w:type="spellEnd"/>
      <w:r w:rsidRPr="0003290F">
        <w:rPr>
          <w:rFonts w:ascii="Arial" w:hAnsi="Arial" w:cs="Arial"/>
          <w:sz w:val="20"/>
          <w:szCs w:val="20"/>
        </w:rPr>
        <w:t xml:space="preserve"> &amp; Arellano, (2024)</w:t>
      </w:r>
      <w:r w:rsidRPr="0003290F">
        <w:rPr>
          <w:rFonts w:ascii="Arial" w:eastAsia="Times New Roman" w:hAnsi="Arial" w:cs="Arial"/>
          <w:sz w:val="20"/>
          <w:szCs w:val="20"/>
        </w:rPr>
        <w:t>. To improve loan repayment outcomes, dealers should focus on optimizing the identified factors while exploring other potential influences to develop a more comprehensive strategy for enhancing repayment consistency.</w:t>
      </w:r>
    </w:p>
    <w:p w14:paraId="57544FA8" w14:textId="26A0DDEE" w:rsidR="00C201B9" w:rsidRPr="00620CF3" w:rsidRDefault="00C201B9" w:rsidP="00C201B9">
      <w:pPr>
        <w:tabs>
          <w:tab w:val="left" w:pos="4962"/>
        </w:tabs>
        <w:spacing w:line="240" w:lineRule="auto"/>
        <w:rPr>
          <w:rFonts w:ascii="Arial" w:eastAsia="Times New Roman" w:hAnsi="Arial" w:cs="Arial"/>
          <w:b/>
          <w:bCs/>
          <w:sz w:val="20"/>
          <w:szCs w:val="20"/>
        </w:rPr>
      </w:pPr>
      <w:r w:rsidRPr="00620CF3">
        <w:rPr>
          <w:rFonts w:ascii="Arial" w:eastAsia="Times New Roman" w:hAnsi="Arial" w:cs="Arial"/>
          <w:b/>
          <w:bCs/>
          <w:sz w:val="20"/>
          <w:szCs w:val="20"/>
        </w:rPr>
        <w:t xml:space="preserve">Table </w:t>
      </w:r>
      <w:r w:rsidR="006A2B61">
        <w:rPr>
          <w:rFonts w:ascii="Arial" w:eastAsia="Times New Roman" w:hAnsi="Arial" w:cs="Arial"/>
          <w:b/>
          <w:bCs/>
          <w:sz w:val="20"/>
          <w:szCs w:val="20"/>
        </w:rPr>
        <w:t>20</w:t>
      </w:r>
      <w:r w:rsidRPr="00620CF3">
        <w:rPr>
          <w:rFonts w:ascii="Arial" w:eastAsia="Times New Roman" w:hAnsi="Arial" w:cs="Arial"/>
          <w:b/>
          <w:bCs/>
          <w:sz w:val="20"/>
          <w:szCs w:val="20"/>
        </w:rPr>
        <w:t>. Model Summary</w:t>
      </w:r>
    </w:p>
    <w:tbl>
      <w:tblPr>
        <w:tblW w:w="8185" w:type="dxa"/>
        <w:tblLook w:val="04A0" w:firstRow="1" w:lastRow="0" w:firstColumn="1" w:lastColumn="0" w:noHBand="0" w:noVBand="1"/>
      </w:tblPr>
      <w:tblGrid>
        <w:gridCol w:w="960"/>
        <w:gridCol w:w="1919"/>
        <w:gridCol w:w="1559"/>
        <w:gridCol w:w="1985"/>
        <w:gridCol w:w="1762"/>
      </w:tblGrid>
      <w:tr w:rsidR="00C201B9" w:rsidRPr="0003290F" w14:paraId="20BB46D9" w14:textId="77777777" w:rsidTr="00396572">
        <w:trPr>
          <w:trHeight w:val="642"/>
        </w:trPr>
        <w:tc>
          <w:tcPr>
            <w:tcW w:w="960" w:type="dxa"/>
            <w:tcBorders>
              <w:top w:val="single" w:sz="4" w:space="0" w:color="auto"/>
              <w:left w:val="single" w:sz="4" w:space="0" w:color="auto"/>
              <w:bottom w:val="single" w:sz="4" w:space="0" w:color="auto"/>
              <w:right w:val="single" w:sz="4" w:space="0" w:color="auto"/>
            </w:tcBorders>
            <w:hideMark/>
          </w:tcPr>
          <w:p w14:paraId="5880C196"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p>
          <w:p w14:paraId="5E8F845D"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Model</w:t>
            </w:r>
          </w:p>
        </w:tc>
        <w:tc>
          <w:tcPr>
            <w:tcW w:w="1919" w:type="dxa"/>
            <w:tcBorders>
              <w:top w:val="single" w:sz="4" w:space="0" w:color="auto"/>
              <w:left w:val="single" w:sz="4" w:space="0" w:color="auto"/>
              <w:bottom w:val="single" w:sz="4" w:space="0" w:color="auto"/>
              <w:right w:val="single" w:sz="4" w:space="0" w:color="auto"/>
            </w:tcBorders>
            <w:hideMark/>
          </w:tcPr>
          <w:p w14:paraId="42D5BAB4"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p>
          <w:p w14:paraId="1C6859D8"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R</w:t>
            </w:r>
          </w:p>
        </w:tc>
        <w:tc>
          <w:tcPr>
            <w:tcW w:w="1559" w:type="dxa"/>
            <w:tcBorders>
              <w:top w:val="single" w:sz="4" w:space="0" w:color="auto"/>
              <w:left w:val="single" w:sz="4" w:space="0" w:color="auto"/>
              <w:bottom w:val="single" w:sz="4" w:space="0" w:color="auto"/>
              <w:right w:val="single" w:sz="4" w:space="0" w:color="auto"/>
            </w:tcBorders>
            <w:hideMark/>
          </w:tcPr>
          <w:p w14:paraId="6A4B6DC3"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p>
          <w:p w14:paraId="6ABEB7D1"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R Square</w:t>
            </w:r>
          </w:p>
        </w:tc>
        <w:tc>
          <w:tcPr>
            <w:tcW w:w="1985" w:type="dxa"/>
            <w:tcBorders>
              <w:top w:val="single" w:sz="4" w:space="0" w:color="auto"/>
              <w:left w:val="single" w:sz="4" w:space="0" w:color="auto"/>
              <w:bottom w:val="single" w:sz="4" w:space="0" w:color="auto"/>
              <w:right w:val="single" w:sz="4" w:space="0" w:color="auto"/>
            </w:tcBorders>
            <w:hideMark/>
          </w:tcPr>
          <w:p w14:paraId="319EAEEF"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Adjusted R Square</w:t>
            </w:r>
          </w:p>
        </w:tc>
        <w:tc>
          <w:tcPr>
            <w:tcW w:w="1762" w:type="dxa"/>
            <w:tcBorders>
              <w:top w:val="single" w:sz="4" w:space="0" w:color="auto"/>
              <w:left w:val="single" w:sz="4" w:space="0" w:color="auto"/>
              <w:bottom w:val="single" w:sz="4" w:space="0" w:color="auto"/>
              <w:right w:val="single" w:sz="4" w:space="0" w:color="auto"/>
            </w:tcBorders>
            <w:hideMark/>
          </w:tcPr>
          <w:p w14:paraId="2FA9D0C8"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Std. Error of the Estimate</w:t>
            </w:r>
          </w:p>
        </w:tc>
      </w:tr>
      <w:tr w:rsidR="00C201B9" w:rsidRPr="0003290F" w14:paraId="1538DDA8" w14:textId="77777777" w:rsidTr="00396572">
        <w:trPr>
          <w:trHeight w:val="422"/>
        </w:trPr>
        <w:tc>
          <w:tcPr>
            <w:tcW w:w="960" w:type="dxa"/>
            <w:tcBorders>
              <w:top w:val="single" w:sz="4" w:space="0" w:color="auto"/>
              <w:left w:val="single" w:sz="4" w:space="0" w:color="auto"/>
              <w:bottom w:val="single" w:sz="4" w:space="0" w:color="auto"/>
              <w:right w:val="single" w:sz="4" w:space="0" w:color="auto"/>
            </w:tcBorders>
            <w:noWrap/>
            <w:hideMark/>
          </w:tcPr>
          <w:p w14:paraId="4B99C388"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lastRenderedPageBreak/>
              <w:t>1</w:t>
            </w:r>
          </w:p>
        </w:tc>
        <w:tc>
          <w:tcPr>
            <w:tcW w:w="1919" w:type="dxa"/>
            <w:tcBorders>
              <w:top w:val="single" w:sz="4" w:space="0" w:color="auto"/>
              <w:left w:val="single" w:sz="4" w:space="0" w:color="auto"/>
              <w:bottom w:val="single" w:sz="4" w:space="0" w:color="auto"/>
              <w:right w:val="single" w:sz="4" w:space="0" w:color="auto"/>
            </w:tcBorders>
            <w:noWrap/>
            <w:hideMark/>
          </w:tcPr>
          <w:p w14:paraId="64EF03EF"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0.612</w:t>
            </w:r>
          </w:p>
        </w:tc>
        <w:tc>
          <w:tcPr>
            <w:tcW w:w="1559" w:type="dxa"/>
            <w:tcBorders>
              <w:top w:val="single" w:sz="4" w:space="0" w:color="auto"/>
              <w:left w:val="single" w:sz="4" w:space="0" w:color="auto"/>
              <w:bottom w:val="single" w:sz="4" w:space="0" w:color="auto"/>
              <w:right w:val="single" w:sz="4" w:space="0" w:color="auto"/>
            </w:tcBorders>
            <w:noWrap/>
            <w:hideMark/>
          </w:tcPr>
          <w:p w14:paraId="4076C543"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0.375</w:t>
            </w:r>
          </w:p>
        </w:tc>
        <w:tc>
          <w:tcPr>
            <w:tcW w:w="1985" w:type="dxa"/>
            <w:tcBorders>
              <w:top w:val="single" w:sz="4" w:space="0" w:color="auto"/>
              <w:left w:val="single" w:sz="4" w:space="0" w:color="auto"/>
              <w:bottom w:val="single" w:sz="4" w:space="0" w:color="auto"/>
              <w:right w:val="single" w:sz="4" w:space="0" w:color="auto"/>
            </w:tcBorders>
            <w:noWrap/>
            <w:hideMark/>
          </w:tcPr>
          <w:p w14:paraId="277A6239"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0.366</w:t>
            </w:r>
          </w:p>
        </w:tc>
        <w:tc>
          <w:tcPr>
            <w:tcW w:w="1762" w:type="dxa"/>
            <w:tcBorders>
              <w:top w:val="single" w:sz="4" w:space="0" w:color="auto"/>
              <w:left w:val="single" w:sz="4" w:space="0" w:color="auto"/>
              <w:bottom w:val="single" w:sz="4" w:space="0" w:color="auto"/>
              <w:right w:val="single" w:sz="4" w:space="0" w:color="auto"/>
            </w:tcBorders>
            <w:noWrap/>
            <w:hideMark/>
          </w:tcPr>
          <w:p w14:paraId="1D16F81B" w14:textId="77777777" w:rsidR="00C201B9" w:rsidRPr="0003290F" w:rsidRDefault="00C201B9" w:rsidP="00396572">
            <w:pPr>
              <w:tabs>
                <w:tab w:val="left" w:pos="4962"/>
              </w:tabs>
              <w:spacing w:line="240" w:lineRule="auto"/>
              <w:jc w:val="center"/>
              <w:rPr>
                <w:rFonts w:ascii="Arial" w:eastAsia="Times New Roman" w:hAnsi="Arial" w:cs="Arial"/>
                <w:color w:val="000000"/>
                <w:sz w:val="20"/>
                <w:szCs w:val="20"/>
              </w:rPr>
            </w:pPr>
            <w:r w:rsidRPr="0003290F">
              <w:rPr>
                <w:rFonts w:ascii="Arial" w:eastAsia="Times New Roman" w:hAnsi="Arial" w:cs="Arial"/>
                <w:color w:val="000000"/>
                <w:sz w:val="20"/>
                <w:szCs w:val="20"/>
              </w:rPr>
              <w:t>0.239</w:t>
            </w:r>
          </w:p>
        </w:tc>
      </w:tr>
    </w:tbl>
    <w:p w14:paraId="403DC4E3" w14:textId="77777777" w:rsidR="00DB1489" w:rsidRDefault="00DB1489" w:rsidP="00DB1489">
      <w:pPr>
        <w:tabs>
          <w:tab w:val="left" w:pos="4962"/>
        </w:tabs>
        <w:jc w:val="both"/>
        <w:rPr>
          <w:rFonts w:ascii="Arial" w:eastAsia="Times New Roman" w:hAnsi="Arial" w:cs="Arial"/>
          <w:sz w:val="20"/>
          <w:szCs w:val="20"/>
        </w:rPr>
      </w:pPr>
      <w:r>
        <w:rPr>
          <w:rFonts w:ascii="Arial" w:eastAsia="Times New Roman" w:hAnsi="Arial" w:cs="Arial"/>
          <w:sz w:val="20"/>
          <w:szCs w:val="20"/>
        </w:rPr>
        <w:t xml:space="preserve">              </w:t>
      </w:r>
    </w:p>
    <w:p w14:paraId="71ADAFA4" w14:textId="77777777" w:rsidR="00DB1489" w:rsidRDefault="00DB1489" w:rsidP="00DB1489">
      <w:pPr>
        <w:tabs>
          <w:tab w:val="left" w:pos="4962"/>
        </w:tabs>
        <w:jc w:val="both"/>
        <w:rPr>
          <w:rFonts w:ascii="Arial" w:eastAsia="Calibri" w:hAnsi="Arial" w:cs="Arial"/>
          <w:sz w:val="20"/>
          <w:szCs w:val="20"/>
        </w:rPr>
      </w:pPr>
      <w:r>
        <w:rPr>
          <w:rFonts w:ascii="Arial" w:eastAsia="Times New Roman" w:hAnsi="Arial" w:cs="Arial"/>
          <w:sz w:val="20"/>
          <w:szCs w:val="20"/>
        </w:rPr>
        <w:t xml:space="preserve">            </w:t>
      </w:r>
      <w:r w:rsidRPr="0003290F">
        <w:rPr>
          <w:rFonts w:ascii="Arial" w:eastAsia="Times New Roman" w:hAnsi="Arial" w:cs="Arial"/>
          <w:sz w:val="20"/>
          <w:szCs w:val="20"/>
        </w:rPr>
        <w:t xml:space="preserve">Several studies have highlighted the critical role of credit practices in shaping borrowers’ repayment behavior. According to </w:t>
      </w:r>
      <w:proofErr w:type="spellStart"/>
      <w:r w:rsidRPr="0003290F">
        <w:rPr>
          <w:rFonts w:ascii="Arial" w:hAnsi="Arial" w:cs="Arial"/>
          <w:color w:val="000000" w:themeColor="text1"/>
          <w:sz w:val="20"/>
          <w:szCs w:val="20"/>
          <w:shd w:val="clear" w:color="auto" w:fill="FFFFFF"/>
        </w:rPr>
        <w:t>Cardaci</w:t>
      </w:r>
      <w:proofErr w:type="spellEnd"/>
      <w:r w:rsidRPr="0003290F">
        <w:rPr>
          <w:rFonts w:ascii="Arial" w:hAnsi="Arial" w:cs="Arial"/>
          <w:color w:val="000000" w:themeColor="text1"/>
          <w:sz w:val="20"/>
          <w:szCs w:val="20"/>
          <w:shd w:val="clear" w:color="auto" w:fill="FFFFFF"/>
        </w:rPr>
        <w:t xml:space="preserve"> (2018)</w:t>
      </w:r>
      <w:r w:rsidRPr="0003290F">
        <w:rPr>
          <w:rFonts w:ascii="Arial" w:eastAsia="Times New Roman" w:hAnsi="Arial" w:cs="Arial"/>
          <w:sz w:val="20"/>
          <w:szCs w:val="20"/>
        </w:rPr>
        <w:t xml:space="preserve">, </w:t>
      </w:r>
      <w:r w:rsidRPr="0003290F">
        <w:rPr>
          <w:rFonts w:ascii="Arial" w:hAnsi="Arial" w:cs="Arial"/>
          <w:sz w:val="20"/>
          <w:szCs w:val="20"/>
        </w:rPr>
        <w:t>frequent payments can enhance the financial stability of borrowers by preventing debt accumulation, ultimately resulting in lower default rates</w:t>
      </w:r>
      <w:r w:rsidRPr="0003290F">
        <w:rPr>
          <w:rFonts w:ascii="Arial" w:hAnsi="Arial" w:cs="Arial"/>
          <w:color w:val="222222"/>
          <w:sz w:val="20"/>
          <w:szCs w:val="20"/>
          <w:shd w:val="clear" w:color="auto" w:fill="FFFFFF"/>
        </w:rPr>
        <w:t xml:space="preserve">. </w:t>
      </w:r>
      <w:r w:rsidRPr="0003290F">
        <w:rPr>
          <w:rFonts w:ascii="Arial" w:eastAsia="Times New Roman" w:hAnsi="Arial" w:cs="Arial"/>
          <w:sz w:val="20"/>
          <w:szCs w:val="20"/>
        </w:rPr>
        <w:t xml:space="preserve">In addition to credit practices, collection practices have also been recognized as a major influence on loan repayment. According to a study </w:t>
      </w:r>
      <w:r w:rsidRPr="0003290F">
        <w:rPr>
          <w:rFonts w:ascii="Arial" w:hAnsi="Arial" w:cs="Arial"/>
          <w:color w:val="000000" w:themeColor="text1"/>
          <w:sz w:val="20"/>
          <w:szCs w:val="20"/>
          <w:shd w:val="clear" w:color="auto" w:fill="FFFFFF"/>
        </w:rPr>
        <w:t>by Kabir (2023)</w:t>
      </w:r>
      <w:r w:rsidRPr="0003290F">
        <w:rPr>
          <w:rFonts w:ascii="Arial" w:hAnsi="Arial" w:cs="Arial"/>
          <w:sz w:val="20"/>
          <w:szCs w:val="20"/>
        </w:rPr>
        <w:t>, lenders should consider offering payment frequency options that align with borrowers' income cycles to encourage timely payments and improve borrower satisfaction.</w:t>
      </w:r>
    </w:p>
    <w:p w14:paraId="7AF3EF6E" w14:textId="6E34DD42" w:rsidR="00DB1489" w:rsidRPr="00DB1489" w:rsidRDefault="00DB1489" w:rsidP="00DB1489">
      <w:pPr>
        <w:tabs>
          <w:tab w:val="left" w:pos="4962"/>
        </w:tabs>
        <w:jc w:val="both"/>
        <w:rPr>
          <w:rFonts w:ascii="Arial" w:eastAsia="Calibri" w:hAnsi="Arial" w:cs="Arial"/>
          <w:sz w:val="20"/>
          <w:szCs w:val="20"/>
        </w:rPr>
      </w:pPr>
      <w:r>
        <w:rPr>
          <w:rFonts w:ascii="Arial" w:eastAsia="Calibri" w:hAnsi="Arial" w:cs="Arial"/>
          <w:sz w:val="20"/>
          <w:szCs w:val="20"/>
        </w:rPr>
        <w:t xml:space="preserve">             </w:t>
      </w:r>
      <w:r w:rsidRPr="0003290F">
        <w:rPr>
          <w:rFonts w:ascii="Arial" w:eastAsia="Times New Roman" w:hAnsi="Arial" w:cs="Arial"/>
          <w:sz w:val="20"/>
          <w:szCs w:val="20"/>
        </w:rPr>
        <w:t>However, the moderate nature of the relationship in the results implies that credit and collection</w:t>
      </w:r>
      <w:r w:rsidRPr="0003290F">
        <w:rPr>
          <w:rFonts w:ascii="Arial" w:eastAsia="Times New Roman" w:hAnsi="Arial" w:cs="Arial"/>
          <w:b/>
          <w:bCs/>
          <w:sz w:val="20"/>
          <w:szCs w:val="20"/>
        </w:rPr>
        <w:t xml:space="preserve"> </w:t>
      </w:r>
      <w:r w:rsidRPr="0003290F">
        <w:rPr>
          <w:rFonts w:ascii="Arial" w:eastAsia="Times New Roman" w:hAnsi="Arial" w:cs="Arial"/>
          <w:sz w:val="20"/>
          <w:szCs w:val="20"/>
        </w:rPr>
        <w:t xml:space="preserve">practices are not the only factors affecting repayment </w:t>
      </w:r>
      <w:r w:rsidRPr="0003290F">
        <w:rPr>
          <w:rFonts w:ascii="Arial" w:hAnsi="Arial" w:cs="Arial"/>
          <w:sz w:val="20"/>
          <w:szCs w:val="20"/>
        </w:rPr>
        <w:t>Smith (2022); strict penalties for late payments may motivate some borrowers to prioritize their loan payments; however, they can also lead to borrower resentment and increase the financial strain on those already struggling</w:t>
      </w:r>
      <w:r>
        <w:rPr>
          <w:rFonts w:ascii="Arial" w:hAnsi="Arial" w:cs="Arial"/>
          <w:sz w:val="20"/>
          <w:szCs w:val="20"/>
        </w:rPr>
        <w:t xml:space="preserve"> (</w:t>
      </w:r>
      <w:r w:rsidRPr="0003290F">
        <w:rPr>
          <w:rFonts w:ascii="Arial" w:hAnsi="Arial" w:cs="Arial"/>
          <w:sz w:val="20"/>
          <w:szCs w:val="20"/>
        </w:rPr>
        <w:t>Smith 2022</w:t>
      </w:r>
      <w:r>
        <w:rPr>
          <w:rFonts w:ascii="Arial" w:hAnsi="Arial" w:cs="Arial"/>
          <w:sz w:val="20"/>
          <w:szCs w:val="20"/>
        </w:rPr>
        <w:t>).</w:t>
      </w:r>
      <w:r w:rsidRPr="0003290F">
        <w:rPr>
          <w:rFonts w:ascii="Arial" w:eastAsia="Times New Roman" w:hAnsi="Arial" w:cs="Arial"/>
          <w:sz w:val="20"/>
          <w:szCs w:val="20"/>
        </w:rPr>
        <w:t xml:space="preserve"> </w:t>
      </w:r>
      <w:r w:rsidRPr="0003290F">
        <w:rPr>
          <w:rFonts w:ascii="Arial" w:hAnsi="Arial" w:cs="Arial"/>
          <w:sz w:val="20"/>
          <w:szCs w:val="20"/>
        </w:rPr>
        <w:t xml:space="preserve">Overall, home appliance dealers in </w:t>
      </w:r>
      <w:proofErr w:type="spellStart"/>
      <w:r w:rsidRPr="0003290F">
        <w:rPr>
          <w:rFonts w:ascii="Arial" w:hAnsi="Arial" w:cs="Arial"/>
          <w:sz w:val="20"/>
          <w:szCs w:val="20"/>
        </w:rPr>
        <w:t>Cateel</w:t>
      </w:r>
      <w:proofErr w:type="spellEnd"/>
      <w:r w:rsidRPr="0003290F">
        <w:rPr>
          <w:rFonts w:ascii="Arial" w:hAnsi="Arial" w:cs="Arial"/>
          <w:sz w:val="20"/>
          <w:szCs w:val="20"/>
        </w:rPr>
        <w:t xml:space="preserve"> need to implement clear, fair, and responsible credit screening processes. This includes evaluating a customer's income, employment stability, existing obligations, and capacity to repay. Dealers who are too lenient may attract high default rates, while those who are too strict might lose potential sales. Finding the right balance is key </w:t>
      </w:r>
      <w:r>
        <w:rPr>
          <w:rFonts w:ascii="Arial" w:hAnsi="Arial" w:cs="Arial"/>
          <w:sz w:val="20"/>
          <w:szCs w:val="20"/>
        </w:rPr>
        <w:t>(</w:t>
      </w:r>
      <w:proofErr w:type="spellStart"/>
      <w:r w:rsidRPr="0003290F">
        <w:rPr>
          <w:rFonts w:ascii="Arial" w:hAnsi="Arial" w:cs="Arial"/>
          <w:sz w:val="20"/>
          <w:szCs w:val="20"/>
        </w:rPr>
        <w:t>Sobol</w:t>
      </w:r>
      <w:proofErr w:type="spellEnd"/>
      <w:r w:rsidRPr="0003290F">
        <w:rPr>
          <w:rFonts w:ascii="Arial" w:hAnsi="Arial" w:cs="Arial"/>
          <w:sz w:val="20"/>
          <w:szCs w:val="20"/>
        </w:rPr>
        <w:t xml:space="preserve"> 2017).</w:t>
      </w:r>
    </w:p>
    <w:p w14:paraId="60C3B96E" w14:textId="2C4DCBFC" w:rsidR="00094C09" w:rsidRPr="00094C09" w:rsidRDefault="00094C09" w:rsidP="00DB1489">
      <w:pPr>
        <w:spacing w:after="0" w:line="240" w:lineRule="auto"/>
        <w:jc w:val="both"/>
        <w:rPr>
          <w:rFonts w:ascii="Arial" w:hAnsi="Arial" w:cs="Arial"/>
          <w:sz w:val="20"/>
        </w:rPr>
      </w:pPr>
      <w:r>
        <w:rPr>
          <w:rFonts w:ascii="Arial" w:eastAsia="Arial" w:hAnsi="Arial" w:cs="Arial"/>
          <w:b/>
          <w:smallCaps/>
          <w:color w:val="000000"/>
        </w:rPr>
        <w:t>5. CONCLUSIONS AND RECOMMENDATIONS</w:t>
      </w:r>
    </w:p>
    <w:p w14:paraId="4FAD991C" w14:textId="77777777" w:rsidR="007C2C1D" w:rsidRDefault="007C2C1D" w:rsidP="00AE22F5">
      <w:pPr>
        <w:shd w:val="clear" w:color="auto" w:fill="FFFFFF" w:themeFill="background1"/>
        <w:spacing w:after="0" w:line="240" w:lineRule="auto"/>
        <w:rPr>
          <w:b/>
        </w:rPr>
      </w:pPr>
    </w:p>
    <w:p w14:paraId="1F961370" w14:textId="2BC5E7DD" w:rsidR="00F94B4C" w:rsidRPr="00046A87" w:rsidRDefault="00094C09" w:rsidP="00F94B4C">
      <w:pPr>
        <w:shd w:val="clear" w:color="auto" w:fill="FFFFFF" w:themeFill="background1"/>
        <w:spacing w:after="0" w:line="240" w:lineRule="auto"/>
        <w:rPr>
          <w:b/>
        </w:rPr>
      </w:pPr>
      <w:r>
        <w:rPr>
          <w:rFonts w:ascii="Arial" w:eastAsia="Arial" w:hAnsi="Arial" w:cs="Arial"/>
          <w:b/>
          <w:color w:val="000000"/>
          <w:highlight w:val="white"/>
        </w:rPr>
        <w:t>Conclusion</w:t>
      </w:r>
      <w:bookmarkStart w:id="9" w:name="_Hlk203578974"/>
    </w:p>
    <w:p w14:paraId="1B690FCB" w14:textId="55864F5B" w:rsidR="00F94B4C" w:rsidRPr="00F32B77" w:rsidRDefault="00F94B4C" w:rsidP="00F94B4C">
      <w:pPr>
        <w:spacing w:after="0"/>
        <w:ind w:firstLine="720"/>
        <w:jc w:val="both"/>
        <w:rPr>
          <w:rFonts w:ascii="Arial" w:hAnsi="Arial" w:cs="Arial"/>
          <w:sz w:val="20"/>
          <w:szCs w:val="20"/>
        </w:rPr>
      </w:pPr>
      <w:r w:rsidRPr="00F32B77">
        <w:rPr>
          <w:rFonts w:ascii="Arial" w:hAnsi="Arial" w:cs="Arial"/>
          <w:sz w:val="20"/>
          <w:szCs w:val="20"/>
        </w:rPr>
        <w:t xml:space="preserve">This study aimed to determine the relationship between credit and collection practices and loan repayment among home appliance dealers in </w:t>
      </w:r>
      <w:proofErr w:type="spellStart"/>
      <w:r w:rsidRPr="00F32B77">
        <w:rPr>
          <w:rFonts w:ascii="Arial" w:hAnsi="Arial" w:cs="Arial"/>
          <w:sz w:val="20"/>
          <w:szCs w:val="20"/>
        </w:rPr>
        <w:t>Cateel</w:t>
      </w:r>
      <w:proofErr w:type="spellEnd"/>
      <w:r w:rsidRPr="00F32B77">
        <w:rPr>
          <w:rFonts w:ascii="Arial" w:hAnsi="Arial" w:cs="Arial"/>
          <w:sz w:val="20"/>
          <w:szCs w:val="20"/>
        </w:rPr>
        <w:t>, Davao Oriental. The findings confirmed that both credit and collection practices have a significant influence on loan repayment behavior.</w:t>
      </w:r>
      <w:r>
        <w:rPr>
          <w:rFonts w:ascii="Arial" w:hAnsi="Arial" w:cs="Arial"/>
          <w:sz w:val="20"/>
          <w:szCs w:val="20"/>
        </w:rPr>
        <w:t xml:space="preserve"> </w:t>
      </w:r>
      <w:r w:rsidRPr="00F32B77">
        <w:rPr>
          <w:rFonts w:ascii="Arial" w:hAnsi="Arial" w:cs="Arial"/>
          <w:sz w:val="20"/>
          <w:szCs w:val="20"/>
        </w:rPr>
        <w:t>The results revealed that credit practices are generally high to very high, with character (x̄ = 4.56) and control (x̄ = 4.33) being the strongest indicators. However, collateral (x̄ = 3.00) was only moderately evident, indicating a need for stricter asset-based credit security. Likewise, collection practices were consistently rated as very evident, particularly documentation (x̄ = 4.51), followed by manpower (x̄ = 4.37) and procedures (x̄ = 4.36), suggesting that dealers maintain clear and structured processes in collecting payments.</w:t>
      </w:r>
    </w:p>
    <w:p w14:paraId="09C0AB78" w14:textId="6C4919C4" w:rsidR="007C2C1D" w:rsidRDefault="00F94B4C" w:rsidP="00F94B4C">
      <w:pPr>
        <w:spacing w:after="0"/>
        <w:ind w:firstLine="720"/>
        <w:jc w:val="both"/>
        <w:rPr>
          <w:rFonts w:ascii="Arial" w:hAnsi="Arial" w:cs="Arial"/>
          <w:sz w:val="20"/>
          <w:szCs w:val="20"/>
        </w:rPr>
      </w:pPr>
      <w:r w:rsidRPr="00F32B77">
        <w:rPr>
          <w:rFonts w:ascii="Arial" w:hAnsi="Arial" w:cs="Arial"/>
          <w:sz w:val="20"/>
          <w:szCs w:val="20"/>
        </w:rPr>
        <w:t>Regarding loan repayment, results showed a generally high level of compliance. Self-control (x̄ = 4.34), information about loan repayment (x̄ = 4.29), and perceived value (x̄ = 4.21) were the most influential factors, while social influence (x̄ = 3.83) was the least manifested, indicating that personal discipline and knowledge matter more than external pressure in repayment decisions</w:t>
      </w:r>
      <w:r>
        <w:rPr>
          <w:rFonts w:ascii="Arial" w:hAnsi="Arial" w:cs="Arial"/>
          <w:sz w:val="20"/>
          <w:szCs w:val="20"/>
        </w:rPr>
        <w:t xml:space="preserve">. </w:t>
      </w:r>
      <w:r w:rsidRPr="00F32B77">
        <w:rPr>
          <w:rFonts w:ascii="Arial" w:hAnsi="Arial" w:cs="Arial"/>
          <w:sz w:val="20"/>
          <w:szCs w:val="20"/>
        </w:rPr>
        <w:t>Statistical analysis revealed a significant positive relationship between credit practices and loan repayment (β = 0.439, p &lt; 0.000) as well as between collection practices and loan repayment (β = 0.437, p &lt; 0.000). Between the two, credit practices were found to be the slightly more influential factor, underscoring the importance of rigorous evaluation and approval processes prior to extending credit.</w:t>
      </w:r>
      <w:r>
        <w:rPr>
          <w:rFonts w:ascii="Arial" w:hAnsi="Arial" w:cs="Arial"/>
          <w:sz w:val="20"/>
          <w:szCs w:val="20"/>
        </w:rPr>
        <w:t xml:space="preserve"> </w:t>
      </w:r>
      <w:r w:rsidRPr="00F32B77">
        <w:rPr>
          <w:rFonts w:ascii="Arial" w:hAnsi="Arial" w:cs="Arial"/>
          <w:sz w:val="20"/>
          <w:szCs w:val="20"/>
        </w:rPr>
        <w:t>Strengthening both credit evaluation and collection strategies enhanced repayment performance. However, improving weaker areas, such as collateral assessment, and addressing factors like social influence can further reduce default risks. The results supported the relevance of Credit Risk Theory, emphasizing the role of proactive credit management and structured collection efforts in achieving financial sustainabil</w:t>
      </w:r>
      <w:r>
        <w:rPr>
          <w:rFonts w:ascii="Arial" w:hAnsi="Arial" w:cs="Arial"/>
          <w:sz w:val="20"/>
          <w:szCs w:val="20"/>
        </w:rPr>
        <w:t>ity for home appliance dealers.</w:t>
      </w:r>
      <w:bookmarkEnd w:id="9"/>
    </w:p>
    <w:p w14:paraId="448C7FD9" w14:textId="77777777" w:rsidR="00F94B4C" w:rsidRPr="00F94B4C" w:rsidRDefault="00F94B4C" w:rsidP="00F94B4C">
      <w:pPr>
        <w:spacing w:after="0"/>
        <w:ind w:firstLine="720"/>
        <w:jc w:val="both"/>
        <w:rPr>
          <w:rFonts w:ascii="Arial" w:hAnsi="Arial" w:cs="Arial"/>
          <w:sz w:val="20"/>
          <w:szCs w:val="20"/>
        </w:rPr>
      </w:pPr>
    </w:p>
    <w:p w14:paraId="3F7EDAE2" w14:textId="77777777" w:rsidR="007C2C1D" w:rsidRDefault="00094C09" w:rsidP="007C2C1D">
      <w:pPr>
        <w:shd w:val="clear" w:color="auto" w:fill="FFFFFF" w:themeFill="background1"/>
        <w:spacing w:line="240" w:lineRule="auto"/>
        <w:rPr>
          <w:rFonts w:ascii="Arial" w:eastAsia="Arial" w:hAnsi="Arial" w:cs="Arial"/>
          <w:b/>
          <w:color w:val="000000"/>
        </w:rPr>
      </w:pPr>
      <w:r>
        <w:rPr>
          <w:rFonts w:ascii="Arial" w:eastAsia="Arial" w:hAnsi="Arial" w:cs="Arial"/>
          <w:b/>
          <w:color w:val="000000"/>
          <w:highlight w:val="white"/>
        </w:rPr>
        <w:t>Recommendation</w:t>
      </w:r>
    </w:p>
    <w:p w14:paraId="6D93F968" w14:textId="77777777" w:rsidR="00F94B4C" w:rsidRPr="00F32B77" w:rsidRDefault="00F94B4C" w:rsidP="00F94B4C">
      <w:pPr>
        <w:spacing w:after="0"/>
        <w:ind w:firstLine="720"/>
        <w:jc w:val="both"/>
        <w:rPr>
          <w:rFonts w:ascii="Arial" w:hAnsi="Arial" w:cs="Arial"/>
          <w:sz w:val="20"/>
          <w:szCs w:val="20"/>
        </w:rPr>
      </w:pPr>
      <w:r w:rsidRPr="00F32B77">
        <w:rPr>
          <w:rFonts w:ascii="Arial" w:hAnsi="Arial" w:cs="Arial"/>
          <w:sz w:val="20"/>
          <w:szCs w:val="20"/>
        </w:rPr>
        <w:lastRenderedPageBreak/>
        <w:t xml:space="preserve">Based on the findings and conclusions of this study, several recommendations are proposed in line with the specific problems addressed. Regarding the level of credit practices, home appliance dealers are encouraged to maintain and strengthen practices related to character, capacity, control, and condition, which were found to be highly evident. However, improvement is needed in the area of collateral, which received the lowest mean rating </w:t>
      </w:r>
      <w:r w:rsidRPr="00F32B77">
        <w:rPr>
          <w:rFonts w:ascii="Arial" w:hAnsi="Arial" w:cs="Arial"/>
          <w:color w:val="4D5156"/>
          <w:sz w:val="20"/>
          <w:szCs w:val="20"/>
          <w:shd w:val="clear" w:color="auto" w:fill="FFFFFF"/>
        </w:rPr>
        <w:t xml:space="preserve">(x̄ </w:t>
      </w:r>
      <w:r w:rsidRPr="00F32B77">
        <w:rPr>
          <w:rFonts w:ascii="Arial" w:hAnsi="Arial" w:cs="Arial"/>
          <w:color w:val="000000" w:themeColor="text1"/>
          <w:sz w:val="20"/>
          <w:szCs w:val="20"/>
        </w:rPr>
        <w:t xml:space="preserve">= </w:t>
      </w:r>
      <w:r w:rsidRPr="00F32B77">
        <w:rPr>
          <w:rFonts w:ascii="Arial" w:hAnsi="Arial" w:cs="Arial"/>
          <w:bCs/>
          <w:sz w:val="20"/>
          <w:szCs w:val="20"/>
        </w:rPr>
        <w:t>3.00)</w:t>
      </w:r>
      <w:r w:rsidRPr="00F32B77">
        <w:rPr>
          <w:rFonts w:ascii="Arial" w:hAnsi="Arial" w:cs="Arial"/>
          <w:sz w:val="20"/>
          <w:szCs w:val="20"/>
        </w:rPr>
        <w:t>. Dealers may consider implementing stricter standards for collateral evaluation, such as requiring verified assets or secondary guarantees, to ensure greater financial security. Additionally, assessments of cash flow may enhance to determine a debtor's ability to repay loans more accurately.</w:t>
      </w:r>
    </w:p>
    <w:p w14:paraId="60D40849" w14:textId="77777777" w:rsidR="00F94B4C" w:rsidRPr="00F32B77" w:rsidRDefault="00F94B4C" w:rsidP="00F94B4C">
      <w:pPr>
        <w:spacing w:after="0"/>
        <w:ind w:firstLine="720"/>
        <w:jc w:val="both"/>
        <w:rPr>
          <w:rFonts w:ascii="Arial" w:hAnsi="Arial" w:cs="Arial"/>
          <w:sz w:val="20"/>
          <w:szCs w:val="20"/>
        </w:rPr>
      </w:pPr>
      <w:r w:rsidRPr="00F32B77">
        <w:rPr>
          <w:rFonts w:ascii="Arial" w:hAnsi="Arial" w:cs="Arial"/>
          <w:sz w:val="20"/>
          <w:szCs w:val="20"/>
        </w:rPr>
        <w:t>For collection practices, which were consistently evident across documentation, manpower, and procedures, dealers are advised to maintain these good practices. Standard operating procedures can be documented, regularly reviewed, and supported with staff training to ensure consistent, respectful, and legally sound collection processes. These efforts can help maintain the high level of collection performance identified in the study.</w:t>
      </w:r>
    </w:p>
    <w:p w14:paraId="414EBBF3" w14:textId="77777777" w:rsidR="00F94B4C" w:rsidRPr="00F32B77" w:rsidRDefault="00F94B4C" w:rsidP="00F94B4C">
      <w:pPr>
        <w:spacing w:after="0"/>
        <w:ind w:firstLine="720"/>
        <w:jc w:val="both"/>
        <w:rPr>
          <w:rFonts w:ascii="Arial" w:hAnsi="Arial" w:cs="Arial"/>
          <w:sz w:val="20"/>
          <w:szCs w:val="20"/>
        </w:rPr>
      </w:pPr>
      <w:r w:rsidRPr="00F32B77">
        <w:rPr>
          <w:rFonts w:ascii="Arial" w:hAnsi="Arial" w:cs="Arial"/>
          <w:sz w:val="20"/>
          <w:szCs w:val="20"/>
        </w:rPr>
        <w:t xml:space="preserve">In terms of loan repayment, while the results indicated a generally high level of borrower responsibility, particular attention may be given to the area of social influence, which was the weakest factor </w:t>
      </w:r>
      <w:r w:rsidRPr="00F32B77">
        <w:rPr>
          <w:rFonts w:ascii="Arial" w:hAnsi="Arial" w:cs="Arial"/>
          <w:bCs/>
          <w:sz w:val="20"/>
          <w:szCs w:val="20"/>
        </w:rPr>
        <w:t>(</w:t>
      </w:r>
      <w:r w:rsidRPr="00F32B77">
        <w:rPr>
          <w:rFonts w:ascii="Arial" w:hAnsi="Arial" w:cs="Arial"/>
          <w:color w:val="4D5156"/>
          <w:sz w:val="20"/>
          <w:szCs w:val="20"/>
          <w:shd w:val="clear" w:color="auto" w:fill="FFFFFF"/>
        </w:rPr>
        <w:t>x̄</w:t>
      </w:r>
      <w:r w:rsidRPr="00F32B77">
        <w:rPr>
          <w:rFonts w:ascii="Arial" w:eastAsia="Times New Roman" w:hAnsi="Arial" w:cs="Arial"/>
          <w:sz w:val="20"/>
          <w:szCs w:val="20"/>
        </w:rPr>
        <w:t xml:space="preserve"> = 3.11)</w:t>
      </w:r>
      <w:r w:rsidRPr="00F32B77">
        <w:rPr>
          <w:rFonts w:ascii="Arial" w:hAnsi="Arial" w:cs="Arial"/>
          <w:sz w:val="20"/>
          <w:szCs w:val="20"/>
        </w:rPr>
        <w:t>. Dealers may explore strategies such as peer accountability systems, co-guarantor models, or community-based incentives to promote timely repayments. Financial literacy can also be improved by providing educational materials or orientations that help borrowers understand repayment schedules, interest implications, and the long-term value of maintaining good credit behavior.</w:t>
      </w:r>
    </w:p>
    <w:p w14:paraId="048D348B" w14:textId="77777777" w:rsidR="00F94B4C" w:rsidRPr="00F32B77" w:rsidRDefault="00F94B4C" w:rsidP="00F94B4C">
      <w:pPr>
        <w:spacing w:after="0"/>
        <w:ind w:firstLine="720"/>
        <w:jc w:val="both"/>
        <w:rPr>
          <w:rFonts w:ascii="Arial" w:hAnsi="Arial" w:cs="Arial"/>
          <w:sz w:val="20"/>
          <w:szCs w:val="20"/>
        </w:rPr>
      </w:pPr>
      <w:r w:rsidRPr="00F32B77">
        <w:rPr>
          <w:rFonts w:ascii="Arial" w:hAnsi="Arial" w:cs="Arial"/>
          <w:sz w:val="20"/>
          <w:szCs w:val="20"/>
        </w:rPr>
        <w:t xml:space="preserve">Given the significant positive relationship found between both credit and collection practices and loan repayment, this suggests that home appliance dealers invest in both areas. However, since credit practices were found to have a slightly stronger influence, greater focus may be placed on strengthening the pre-loan evaluation process. This includes verifying income stability, reviewing repayment history, and using structured credit assessment tools. </w:t>
      </w:r>
    </w:p>
    <w:p w14:paraId="3825751D" w14:textId="4C396CF0" w:rsidR="00F94B4C" w:rsidRDefault="00F94B4C" w:rsidP="00F94B4C">
      <w:pPr>
        <w:spacing w:after="0"/>
        <w:ind w:firstLine="720"/>
        <w:jc w:val="both"/>
        <w:rPr>
          <w:rFonts w:ascii="Arial" w:hAnsi="Arial" w:cs="Arial"/>
          <w:sz w:val="20"/>
          <w:szCs w:val="20"/>
        </w:rPr>
      </w:pPr>
      <w:r w:rsidRPr="00F32B77">
        <w:rPr>
          <w:rFonts w:ascii="Arial" w:hAnsi="Arial" w:cs="Arial"/>
          <w:sz w:val="20"/>
          <w:szCs w:val="20"/>
        </w:rPr>
        <w:t>By improving both credit evaluation and collection strategies while addressing weak areas such as collateral assessment and borrower social motivation, dealers can better manage credit risk, reduce defaults, and ensure sustainable financial performance in the home appliance sector. Furthermore, the regression model, which explains 37.5% of the variance, confirms that credit and collection practices are key predictors, but other factors also play a role. It is recommended that future researchers investigate other potential factors, such as economic conditions, debtor demographics, or psychological barriers, to develop a more comprehensive strategy that addresses all influences on loan repayment. This approach will ensure a holistic improvement in repayment rates, as the regression model indicates that 62.5% of the variance in repayment remains unexplained.</w:t>
      </w:r>
    </w:p>
    <w:p w14:paraId="7ED9F956" w14:textId="0B3F5E11" w:rsidR="00B07A53" w:rsidRDefault="00B07A53" w:rsidP="00B07A53">
      <w:pPr>
        <w:spacing w:after="0"/>
        <w:jc w:val="both"/>
        <w:rPr>
          <w:rFonts w:ascii="Arial" w:hAnsi="Arial" w:cs="Arial"/>
          <w:sz w:val="20"/>
          <w:szCs w:val="20"/>
        </w:rPr>
      </w:pPr>
    </w:p>
    <w:p w14:paraId="1908758A" w14:textId="3872105A" w:rsidR="00B07A53" w:rsidRDefault="00B07A53" w:rsidP="00B07A53">
      <w:pPr>
        <w:spacing w:after="0"/>
        <w:jc w:val="both"/>
        <w:rPr>
          <w:rFonts w:ascii="Arial" w:hAnsi="Arial" w:cs="Arial"/>
          <w:b/>
          <w:szCs w:val="20"/>
        </w:rPr>
      </w:pPr>
      <w:r w:rsidRPr="00B07A53">
        <w:rPr>
          <w:rFonts w:ascii="Arial" w:hAnsi="Arial" w:cs="Arial"/>
          <w:b/>
          <w:szCs w:val="20"/>
        </w:rPr>
        <w:t>ETHICAL APPROVAL &amp; CONSENT</w:t>
      </w:r>
    </w:p>
    <w:p w14:paraId="0AEA1E85" w14:textId="77777777" w:rsidR="00B07A53" w:rsidRPr="00B07A53" w:rsidRDefault="00B07A53" w:rsidP="00B07A53">
      <w:pPr>
        <w:spacing w:after="0"/>
        <w:jc w:val="both"/>
        <w:rPr>
          <w:rFonts w:ascii="Arial" w:hAnsi="Arial" w:cs="Arial"/>
          <w:b/>
          <w:szCs w:val="20"/>
        </w:rPr>
      </w:pPr>
    </w:p>
    <w:p w14:paraId="2AAB797A" w14:textId="2A63243D" w:rsidR="00B07A53" w:rsidRDefault="00B07A53" w:rsidP="00B07A53">
      <w:pPr>
        <w:spacing w:after="0"/>
        <w:ind w:firstLine="720"/>
        <w:jc w:val="both"/>
        <w:rPr>
          <w:rFonts w:ascii="Arial" w:hAnsi="Arial" w:cs="Arial"/>
          <w:sz w:val="20"/>
          <w:szCs w:val="20"/>
        </w:rPr>
      </w:pPr>
      <w:r w:rsidRPr="00B07A53">
        <w:rPr>
          <w:rFonts w:ascii="Arial" w:hAnsi="Arial" w:cs="Arial"/>
          <w:sz w:val="20"/>
          <w:szCs w:val="20"/>
        </w:rPr>
        <w:t xml:space="preserve">The researchers involved several systematic steps to ensure ethical compliance and accurate data collection. First, the researchers obtained ethical clearance from Davao Oriental State University, confirming that the study adhered to established ethical standards. This process included securing informed consent from participants, ensuring their anonymity and confidentiality, and implementing safeguards against data breaches or unauthorized access. After receiving ethical approval, the researchers formally sought permission from the appropriate authorities to conduct the study. Upon receiving authorization, the survey questionnaires were administered and distributed to qualified respondents—specifically, debtors of selected home appliance dealers who met the study’s criteria. Each participant was required to sign an informed consent form, indicating their voluntary participation and </w:t>
      </w:r>
      <w:r w:rsidRPr="00B07A53">
        <w:rPr>
          <w:rFonts w:ascii="Arial" w:hAnsi="Arial" w:cs="Arial"/>
          <w:sz w:val="20"/>
          <w:szCs w:val="20"/>
        </w:rPr>
        <w:lastRenderedPageBreak/>
        <w:t>understanding of the study's purpose. Once the questionnaires were completed, the researchers personally retrieved the responses to maintain data integrity. Finally, the collected data were encoded and organized using Microsoft Excel, allowing for systematic recording and preparation for subsequent analysis.</w:t>
      </w:r>
    </w:p>
    <w:p w14:paraId="50919C2B" w14:textId="7D20F3DC" w:rsidR="00BD07D0" w:rsidRDefault="00BD07D0" w:rsidP="00F94B4C">
      <w:pPr>
        <w:spacing w:after="0"/>
        <w:ind w:firstLine="720"/>
        <w:jc w:val="both"/>
        <w:rPr>
          <w:rFonts w:ascii="Arial" w:hAnsi="Arial" w:cs="Arial"/>
          <w:sz w:val="20"/>
          <w:szCs w:val="20"/>
        </w:rPr>
      </w:pPr>
    </w:p>
    <w:p w14:paraId="495A89E5" w14:textId="77777777" w:rsidR="00E71E60" w:rsidRPr="00341746" w:rsidRDefault="00E71E60" w:rsidP="00341746">
      <w:pPr>
        <w:jc w:val="both"/>
        <w:rPr>
          <w:rFonts w:ascii="Arial" w:eastAsia="Times New Roman" w:hAnsi="Arial" w:cs="Arial"/>
          <w:b/>
          <w:bCs/>
          <w:sz w:val="20"/>
          <w:szCs w:val="20"/>
          <w:shd w:val="clear" w:color="auto" w:fill="FFFFFF"/>
        </w:rPr>
      </w:pPr>
      <w:r w:rsidRPr="00341746">
        <w:rPr>
          <w:rFonts w:ascii="Arial" w:eastAsia="Times New Roman" w:hAnsi="Arial" w:cs="Arial"/>
          <w:b/>
          <w:bCs/>
          <w:sz w:val="20"/>
          <w:szCs w:val="20"/>
          <w:shd w:val="clear" w:color="auto" w:fill="FFFFFF"/>
        </w:rPr>
        <w:t>DISCLAIMER (ARTIFICIAL INTELLIGENCE)</w:t>
      </w:r>
    </w:p>
    <w:p w14:paraId="3168F0DB" w14:textId="62926619" w:rsidR="00E71E60" w:rsidRPr="00341746" w:rsidRDefault="00E71E60" w:rsidP="00341746">
      <w:pPr>
        <w:jc w:val="both"/>
        <w:rPr>
          <w:rFonts w:ascii="Arial" w:eastAsia="Times New Roman" w:hAnsi="Arial" w:cs="Arial"/>
          <w:sz w:val="20"/>
          <w:szCs w:val="20"/>
          <w:shd w:val="clear" w:color="auto" w:fill="FFFFFF"/>
        </w:rPr>
      </w:pPr>
      <w:r w:rsidRPr="00341746">
        <w:rPr>
          <w:rFonts w:ascii="Arial" w:eastAsia="Times New Roman" w:hAnsi="Arial" w:cs="Arial"/>
          <w:sz w:val="20"/>
          <w:szCs w:val="20"/>
          <w:shd w:val="clear" w:color="auto" w:fill="FFFFFF"/>
        </w:rPr>
        <w:t>Author(s)</w:t>
      </w:r>
      <w:r w:rsidR="00930848">
        <w:rPr>
          <w:rFonts w:ascii="Arial" w:eastAsia="Times New Roman" w:hAnsi="Arial" w:cs="Arial"/>
          <w:sz w:val="20"/>
          <w:szCs w:val="20"/>
          <w:shd w:val="clear" w:color="auto" w:fill="FFFFFF"/>
        </w:rPr>
        <w:t xml:space="preserve"> </w:t>
      </w:r>
      <w:r w:rsidRPr="00341746">
        <w:rPr>
          <w:rFonts w:ascii="Arial" w:eastAsia="Times New Roman" w:hAnsi="Arial" w:cs="Arial"/>
          <w:sz w:val="20"/>
          <w:szCs w:val="20"/>
          <w:shd w:val="clear" w:color="auto" w:fill="FFFFFF"/>
        </w:rPr>
        <w:t>hereby</w:t>
      </w:r>
      <w:r w:rsidR="00930848">
        <w:rPr>
          <w:rFonts w:ascii="Arial" w:eastAsia="Times New Roman" w:hAnsi="Arial" w:cs="Arial"/>
          <w:sz w:val="20"/>
          <w:szCs w:val="20"/>
          <w:shd w:val="clear" w:color="auto" w:fill="FFFFFF"/>
        </w:rPr>
        <w:t xml:space="preserve"> </w:t>
      </w:r>
      <w:r w:rsidRPr="00341746">
        <w:rPr>
          <w:rFonts w:ascii="Arial" w:eastAsia="Times New Roman" w:hAnsi="Arial" w:cs="Arial"/>
          <w:sz w:val="20"/>
          <w:szCs w:val="20"/>
          <w:shd w:val="clear" w:color="auto" w:fill="FFFFFF"/>
        </w:rPr>
        <w:t xml:space="preserve">declare that generative AI </w:t>
      </w:r>
      <w:proofErr w:type="gramStart"/>
      <w:r w:rsidRPr="00341746">
        <w:rPr>
          <w:rFonts w:ascii="Arial" w:eastAsia="Times New Roman" w:hAnsi="Arial" w:cs="Arial"/>
          <w:sz w:val="20"/>
          <w:szCs w:val="20"/>
          <w:shd w:val="clear" w:color="auto" w:fill="FFFFFF"/>
        </w:rPr>
        <w:t>technologies  such</w:t>
      </w:r>
      <w:proofErr w:type="gramEnd"/>
      <w:r w:rsidRPr="00341746">
        <w:rPr>
          <w:rFonts w:ascii="Arial" w:eastAsia="Times New Roman" w:hAnsi="Arial" w:cs="Arial"/>
          <w:sz w:val="20"/>
          <w:szCs w:val="20"/>
          <w:shd w:val="clear" w:color="auto" w:fill="FFFFFF"/>
        </w:rPr>
        <w:t xml:space="preserve">  as  Large  Language  Models, etc. have been used during the writing or editing of  manuscripts.</w:t>
      </w:r>
      <w:r w:rsidR="00BB2547">
        <w:rPr>
          <w:rFonts w:ascii="Arial" w:eastAsia="Times New Roman" w:hAnsi="Arial" w:cs="Arial"/>
          <w:sz w:val="20"/>
          <w:szCs w:val="20"/>
          <w:shd w:val="clear" w:color="auto" w:fill="FFFFFF"/>
        </w:rPr>
        <w:t xml:space="preserve"> </w:t>
      </w:r>
      <w:proofErr w:type="gramStart"/>
      <w:r w:rsidRPr="00341746">
        <w:rPr>
          <w:rFonts w:ascii="Arial" w:eastAsia="Times New Roman" w:hAnsi="Arial" w:cs="Arial"/>
          <w:sz w:val="20"/>
          <w:szCs w:val="20"/>
          <w:shd w:val="clear" w:color="auto" w:fill="FFFFFF"/>
        </w:rPr>
        <w:t>This  explanation</w:t>
      </w:r>
      <w:proofErr w:type="gramEnd"/>
      <w:r w:rsidRPr="00341746">
        <w:rPr>
          <w:rFonts w:ascii="Arial" w:eastAsia="Times New Roman" w:hAnsi="Arial" w:cs="Arial"/>
          <w:sz w:val="20"/>
          <w:szCs w:val="20"/>
          <w:shd w:val="clear" w:color="auto" w:fill="FFFFFF"/>
        </w:rPr>
        <w:t xml:space="preserve">  will  include  the name,</w:t>
      </w:r>
      <w:r w:rsidR="00930848">
        <w:rPr>
          <w:rFonts w:ascii="Arial" w:eastAsia="Times New Roman" w:hAnsi="Arial" w:cs="Arial"/>
          <w:sz w:val="20"/>
          <w:szCs w:val="20"/>
          <w:shd w:val="clear" w:color="auto" w:fill="FFFFFF"/>
        </w:rPr>
        <w:t xml:space="preserve"> </w:t>
      </w:r>
      <w:r w:rsidRPr="00341746">
        <w:rPr>
          <w:rFonts w:ascii="Arial" w:eastAsia="Times New Roman" w:hAnsi="Arial" w:cs="Arial"/>
          <w:sz w:val="20"/>
          <w:szCs w:val="20"/>
          <w:shd w:val="clear" w:color="auto" w:fill="FFFFFF"/>
        </w:rPr>
        <w:t>version,</w:t>
      </w:r>
      <w:r w:rsidR="00DD0CB8">
        <w:rPr>
          <w:rFonts w:ascii="Arial" w:eastAsia="Times New Roman" w:hAnsi="Arial" w:cs="Arial"/>
          <w:sz w:val="20"/>
          <w:szCs w:val="20"/>
          <w:shd w:val="clear" w:color="auto" w:fill="FFFFFF"/>
        </w:rPr>
        <w:t xml:space="preserve"> </w:t>
      </w:r>
      <w:r w:rsidRPr="00341746">
        <w:rPr>
          <w:rFonts w:ascii="Arial" w:eastAsia="Times New Roman" w:hAnsi="Arial" w:cs="Arial"/>
          <w:sz w:val="20"/>
          <w:szCs w:val="20"/>
          <w:shd w:val="clear" w:color="auto" w:fill="FFFFFF"/>
        </w:rPr>
        <w:t>model,</w:t>
      </w:r>
      <w:r w:rsidR="00DD0CB8">
        <w:rPr>
          <w:rFonts w:ascii="Arial" w:eastAsia="Times New Roman" w:hAnsi="Arial" w:cs="Arial"/>
          <w:sz w:val="20"/>
          <w:szCs w:val="20"/>
          <w:shd w:val="clear" w:color="auto" w:fill="FFFFFF"/>
        </w:rPr>
        <w:t xml:space="preserve"> </w:t>
      </w:r>
      <w:r w:rsidRPr="00341746">
        <w:rPr>
          <w:rFonts w:ascii="Arial" w:eastAsia="Times New Roman" w:hAnsi="Arial" w:cs="Arial"/>
          <w:sz w:val="20"/>
          <w:szCs w:val="20"/>
          <w:shd w:val="clear" w:color="auto" w:fill="FFFFFF"/>
        </w:rPr>
        <w:t>and source of the generative AI technology and as well as all input prompts provided to</w:t>
      </w:r>
      <w:r w:rsidR="00D21B10">
        <w:rPr>
          <w:rFonts w:ascii="Arial" w:eastAsia="Times New Roman" w:hAnsi="Arial" w:cs="Arial"/>
          <w:sz w:val="20"/>
          <w:szCs w:val="20"/>
          <w:shd w:val="clear" w:color="auto" w:fill="FFFFFF"/>
        </w:rPr>
        <w:t xml:space="preserve"> </w:t>
      </w:r>
      <w:r w:rsidRPr="00341746">
        <w:rPr>
          <w:rFonts w:ascii="Arial" w:eastAsia="Times New Roman" w:hAnsi="Arial" w:cs="Arial"/>
          <w:sz w:val="20"/>
          <w:szCs w:val="20"/>
          <w:shd w:val="clear" w:color="auto" w:fill="FFFFFF"/>
        </w:rPr>
        <w:t>the generative AI technology</w:t>
      </w:r>
    </w:p>
    <w:p w14:paraId="21ECD328" w14:textId="77777777" w:rsidR="00E71E60" w:rsidRPr="00341746" w:rsidRDefault="00E71E60" w:rsidP="00341746">
      <w:pPr>
        <w:jc w:val="both"/>
        <w:rPr>
          <w:rFonts w:ascii="Arial" w:eastAsia="Times New Roman" w:hAnsi="Arial" w:cs="Arial"/>
          <w:sz w:val="20"/>
          <w:szCs w:val="20"/>
          <w:shd w:val="clear" w:color="auto" w:fill="FFFFFF"/>
        </w:rPr>
      </w:pPr>
      <w:r w:rsidRPr="00341746">
        <w:rPr>
          <w:rFonts w:ascii="Arial" w:eastAsia="Times New Roman" w:hAnsi="Arial" w:cs="Arial"/>
          <w:sz w:val="20"/>
          <w:szCs w:val="20"/>
          <w:shd w:val="clear" w:color="auto" w:fill="FFFFFF"/>
        </w:rPr>
        <w:t>Details of the AI usage are given below:</w:t>
      </w:r>
    </w:p>
    <w:p w14:paraId="156D77F5" w14:textId="77777777" w:rsidR="00E71E60" w:rsidRPr="00341746" w:rsidRDefault="00E71E60" w:rsidP="00341746">
      <w:pPr>
        <w:jc w:val="both"/>
        <w:rPr>
          <w:rFonts w:ascii="Arial" w:eastAsia="Times New Roman" w:hAnsi="Arial" w:cs="Arial"/>
          <w:sz w:val="20"/>
          <w:szCs w:val="20"/>
          <w:shd w:val="clear" w:color="auto" w:fill="FFFFFF"/>
        </w:rPr>
      </w:pPr>
      <w:proofErr w:type="gramStart"/>
      <w:r w:rsidRPr="00341746">
        <w:rPr>
          <w:rFonts w:ascii="Arial" w:eastAsia="Times New Roman" w:hAnsi="Arial" w:cs="Arial"/>
          <w:b/>
          <w:bCs/>
          <w:sz w:val="20"/>
          <w:szCs w:val="20"/>
          <w:shd w:val="clear" w:color="auto" w:fill="FFFFFF"/>
        </w:rPr>
        <w:t>Name  Of</w:t>
      </w:r>
      <w:proofErr w:type="gramEnd"/>
      <w:r w:rsidRPr="00341746">
        <w:rPr>
          <w:rFonts w:ascii="Arial" w:eastAsia="Times New Roman" w:hAnsi="Arial" w:cs="Arial"/>
          <w:b/>
          <w:bCs/>
          <w:sz w:val="20"/>
          <w:szCs w:val="20"/>
          <w:shd w:val="clear" w:color="auto" w:fill="FFFFFF"/>
        </w:rPr>
        <w:t xml:space="preserve">  the  Ai  Tool: </w:t>
      </w:r>
      <w:proofErr w:type="spellStart"/>
      <w:r w:rsidRPr="00341746">
        <w:rPr>
          <w:rFonts w:ascii="Arial" w:eastAsia="Times New Roman" w:hAnsi="Arial" w:cs="Arial"/>
          <w:sz w:val="20"/>
          <w:szCs w:val="20"/>
          <w:shd w:val="clear" w:color="auto" w:fill="FFFFFF"/>
        </w:rPr>
        <w:t>Chatgpt</w:t>
      </w:r>
      <w:proofErr w:type="spellEnd"/>
      <w:r w:rsidRPr="00341746">
        <w:rPr>
          <w:rFonts w:ascii="Arial" w:eastAsia="Times New Roman" w:hAnsi="Arial" w:cs="Arial"/>
          <w:sz w:val="20"/>
          <w:szCs w:val="20"/>
          <w:shd w:val="clear" w:color="auto" w:fill="FFFFFF"/>
        </w:rPr>
        <w:t xml:space="preserve">  Version/Model: Gpt-4 </w:t>
      </w:r>
    </w:p>
    <w:p w14:paraId="239F9DFD" w14:textId="77777777" w:rsidR="00E71E60" w:rsidRPr="00341746" w:rsidRDefault="00E71E60" w:rsidP="00341746">
      <w:pPr>
        <w:jc w:val="both"/>
        <w:rPr>
          <w:rFonts w:ascii="Arial" w:eastAsia="Times New Roman" w:hAnsi="Arial" w:cs="Arial"/>
          <w:sz w:val="20"/>
          <w:szCs w:val="20"/>
          <w:shd w:val="clear" w:color="auto" w:fill="FFFFFF"/>
        </w:rPr>
      </w:pPr>
      <w:r w:rsidRPr="00341746">
        <w:rPr>
          <w:rFonts w:ascii="Arial" w:eastAsia="Times New Roman" w:hAnsi="Arial" w:cs="Arial"/>
          <w:b/>
          <w:bCs/>
          <w:sz w:val="20"/>
          <w:szCs w:val="20"/>
          <w:shd w:val="clear" w:color="auto" w:fill="FFFFFF"/>
        </w:rPr>
        <w:t xml:space="preserve">Source/Provider: </w:t>
      </w:r>
      <w:proofErr w:type="spellStart"/>
      <w:r w:rsidRPr="00341746">
        <w:rPr>
          <w:rFonts w:ascii="Arial" w:eastAsia="Times New Roman" w:hAnsi="Arial" w:cs="Arial"/>
          <w:sz w:val="20"/>
          <w:szCs w:val="20"/>
          <w:shd w:val="clear" w:color="auto" w:fill="FFFFFF"/>
        </w:rPr>
        <w:t>Openai</w:t>
      </w:r>
      <w:proofErr w:type="spellEnd"/>
      <w:r w:rsidRPr="00341746">
        <w:rPr>
          <w:rFonts w:ascii="Arial" w:eastAsia="Times New Roman" w:hAnsi="Arial" w:cs="Arial"/>
          <w:sz w:val="20"/>
          <w:szCs w:val="20"/>
          <w:shd w:val="clear" w:color="auto" w:fill="FFFFFF"/>
        </w:rPr>
        <w:t xml:space="preserve"> (</w:t>
      </w:r>
      <w:hyperlink r:id="rId8" w:history="1">
        <w:r w:rsidRPr="00341746">
          <w:rPr>
            <w:rStyle w:val="Hyperlink"/>
            <w:rFonts w:ascii="Arial" w:eastAsia="Times New Roman" w:hAnsi="Arial" w:cs="Arial"/>
            <w:sz w:val="20"/>
            <w:szCs w:val="20"/>
            <w:shd w:val="clear" w:color="auto" w:fill="FFFFFF"/>
          </w:rPr>
          <w:t>https://Chat.Openai.Com</w:t>
        </w:r>
      </w:hyperlink>
      <w:r w:rsidRPr="00341746">
        <w:rPr>
          <w:rFonts w:ascii="Arial" w:eastAsia="Times New Roman" w:hAnsi="Arial" w:cs="Arial"/>
          <w:sz w:val="20"/>
          <w:szCs w:val="20"/>
          <w:shd w:val="clear" w:color="auto" w:fill="FFFFFF"/>
        </w:rPr>
        <w:t>)</w:t>
      </w:r>
    </w:p>
    <w:p w14:paraId="3D7CBE4A" w14:textId="58456F7D" w:rsidR="00E71E60" w:rsidRPr="00341746" w:rsidRDefault="00E71E60" w:rsidP="00341746">
      <w:pPr>
        <w:jc w:val="both"/>
        <w:rPr>
          <w:rFonts w:ascii="Arial" w:eastAsia="Times New Roman" w:hAnsi="Arial" w:cs="Arial"/>
          <w:sz w:val="20"/>
          <w:szCs w:val="20"/>
          <w:shd w:val="clear" w:color="auto" w:fill="FFFFFF"/>
        </w:rPr>
      </w:pPr>
      <w:proofErr w:type="gramStart"/>
      <w:r w:rsidRPr="00341746">
        <w:rPr>
          <w:rFonts w:ascii="Arial" w:eastAsia="Times New Roman" w:hAnsi="Arial" w:cs="Arial"/>
          <w:b/>
          <w:bCs/>
          <w:sz w:val="20"/>
          <w:szCs w:val="20"/>
          <w:shd w:val="clear" w:color="auto" w:fill="FFFFFF"/>
        </w:rPr>
        <w:t>Purpose  of</w:t>
      </w:r>
      <w:proofErr w:type="gramEnd"/>
      <w:r w:rsidRPr="00341746">
        <w:rPr>
          <w:rFonts w:ascii="Arial" w:eastAsia="Times New Roman" w:hAnsi="Arial" w:cs="Arial"/>
          <w:b/>
          <w:bCs/>
          <w:sz w:val="20"/>
          <w:szCs w:val="20"/>
          <w:shd w:val="clear" w:color="auto" w:fill="FFFFFF"/>
        </w:rPr>
        <w:t xml:space="preserve">  Use: </w:t>
      </w:r>
      <w:r w:rsidRPr="00341746">
        <w:rPr>
          <w:rFonts w:ascii="Arial" w:eastAsia="Times New Roman" w:hAnsi="Arial" w:cs="Arial"/>
          <w:sz w:val="20"/>
          <w:szCs w:val="20"/>
          <w:shd w:val="clear" w:color="auto" w:fill="FFFFFF"/>
        </w:rPr>
        <w:t>Generative</w:t>
      </w:r>
      <w:r w:rsidR="00431764">
        <w:rPr>
          <w:rFonts w:ascii="Arial" w:eastAsia="Times New Roman" w:hAnsi="Arial" w:cs="Arial"/>
          <w:sz w:val="20"/>
          <w:szCs w:val="20"/>
          <w:shd w:val="clear" w:color="auto" w:fill="FFFFFF"/>
        </w:rPr>
        <w:t xml:space="preserve"> </w:t>
      </w:r>
      <w:r w:rsidRPr="00341746">
        <w:rPr>
          <w:rFonts w:ascii="Arial" w:eastAsia="Times New Roman" w:hAnsi="Arial" w:cs="Arial"/>
          <w:sz w:val="20"/>
          <w:szCs w:val="20"/>
          <w:shd w:val="clear" w:color="auto" w:fill="FFFFFF"/>
        </w:rPr>
        <w:t>Ai</w:t>
      </w:r>
      <w:r w:rsidR="00431764">
        <w:rPr>
          <w:rFonts w:ascii="Arial" w:eastAsia="Times New Roman" w:hAnsi="Arial" w:cs="Arial"/>
          <w:sz w:val="20"/>
          <w:szCs w:val="20"/>
          <w:shd w:val="clear" w:color="auto" w:fill="FFFFFF"/>
        </w:rPr>
        <w:t xml:space="preserve"> </w:t>
      </w:r>
      <w:r w:rsidRPr="00341746">
        <w:rPr>
          <w:rFonts w:ascii="Arial" w:eastAsia="Times New Roman" w:hAnsi="Arial" w:cs="Arial"/>
          <w:sz w:val="20"/>
          <w:szCs w:val="20"/>
          <w:shd w:val="clear" w:color="auto" w:fill="FFFFFF"/>
        </w:rPr>
        <w:t>was</w:t>
      </w:r>
      <w:r w:rsidR="00431764">
        <w:rPr>
          <w:rFonts w:ascii="Arial" w:eastAsia="Times New Roman" w:hAnsi="Arial" w:cs="Arial"/>
          <w:sz w:val="20"/>
          <w:szCs w:val="20"/>
          <w:shd w:val="clear" w:color="auto" w:fill="FFFFFF"/>
        </w:rPr>
        <w:t xml:space="preserve"> </w:t>
      </w:r>
      <w:r w:rsidRPr="00341746">
        <w:rPr>
          <w:rFonts w:ascii="Arial" w:eastAsia="Times New Roman" w:hAnsi="Arial" w:cs="Arial"/>
          <w:sz w:val="20"/>
          <w:szCs w:val="20"/>
          <w:shd w:val="clear" w:color="auto" w:fill="FFFFFF"/>
        </w:rPr>
        <w:t>primarily employed</w:t>
      </w:r>
      <w:r w:rsidR="00431764">
        <w:rPr>
          <w:rFonts w:ascii="Arial" w:eastAsia="Times New Roman" w:hAnsi="Arial" w:cs="Arial"/>
          <w:sz w:val="20"/>
          <w:szCs w:val="20"/>
          <w:shd w:val="clear" w:color="auto" w:fill="FFFFFF"/>
        </w:rPr>
        <w:t xml:space="preserve"> </w:t>
      </w:r>
      <w:r w:rsidRPr="00341746">
        <w:rPr>
          <w:rFonts w:ascii="Arial" w:eastAsia="Times New Roman" w:hAnsi="Arial" w:cs="Arial"/>
          <w:sz w:val="20"/>
          <w:szCs w:val="20"/>
          <w:shd w:val="clear" w:color="auto" w:fill="FFFFFF"/>
        </w:rPr>
        <w:t>to enhance</w:t>
      </w:r>
      <w:r w:rsidR="00431764">
        <w:rPr>
          <w:rFonts w:ascii="Arial" w:eastAsia="Times New Roman" w:hAnsi="Arial" w:cs="Arial"/>
          <w:sz w:val="20"/>
          <w:szCs w:val="20"/>
          <w:shd w:val="clear" w:color="auto" w:fill="FFFFFF"/>
        </w:rPr>
        <w:t xml:space="preserve"> </w:t>
      </w:r>
      <w:r w:rsidRPr="00341746">
        <w:rPr>
          <w:rFonts w:ascii="Arial" w:eastAsia="Times New Roman" w:hAnsi="Arial" w:cs="Arial"/>
          <w:sz w:val="20"/>
          <w:szCs w:val="20"/>
          <w:shd w:val="clear" w:color="auto" w:fill="FFFFFF"/>
        </w:rPr>
        <w:t xml:space="preserve">the clarity </w:t>
      </w:r>
      <w:r w:rsidR="000135BD" w:rsidRPr="00341746">
        <w:rPr>
          <w:rFonts w:ascii="Arial" w:eastAsia="Times New Roman" w:hAnsi="Arial" w:cs="Arial"/>
          <w:sz w:val="20"/>
          <w:szCs w:val="20"/>
          <w:shd w:val="clear" w:color="auto" w:fill="FFFFFF"/>
        </w:rPr>
        <w:t>and coherence</w:t>
      </w:r>
      <w:r w:rsidRPr="00341746">
        <w:rPr>
          <w:rFonts w:ascii="Arial" w:eastAsia="Times New Roman" w:hAnsi="Arial" w:cs="Arial"/>
          <w:sz w:val="20"/>
          <w:szCs w:val="20"/>
          <w:shd w:val="clear" w:color="auto" w:fill="FFFFFF"/>
        </w:rPr>
        <w:t xml:space="preserve"> of the discussion, improve the</w:t>
      </w:r>
      <w:r w:rsidR="00C10FF0">
        <w:rPr>
          <w:rFonts w:ascii="Arial" w:eastAsia="Times New Roman" w:hAnsi="Arial" w:cs="Arial"/>
          <w:sz w:val="20"/>
          <w:szCs w:val="20"/>
          <w:shd w:val="clear" w:color="auto" w:fill="FFFFFF"/>
        </w:rPr>
        <w:t xml:space="preserve"> </w:t>
      </w:r>
      <w:r w:rsidRPr="00341746">
        <w:rPr>
          <w:rFonts w:ascii="Arial" w:eastAsia="Times New Roman" w:hAnsi="Arial" w:cs="Arial"/>
          <w:sz w:val="20"/>
          <w:szCs w:val="20"/>
          <w:shd w:val="clear" w:color="auto" w:fill="FFFFFF"/>
        </w:rPr>
        <w:t>overall</w:t>
      </w:r>
      <w:r w:rsidR="00EF33EF">
        <w:rPr>
          <w:rFonts w:ascii="Arial" w:eastAsia="Times New Roman" w:hAnsi="Arial" w:cs="Arial"/>
          <w:sz w:val="20"/>
          <w:szCs w:val="20"/>
          <w:shd w:val="clear" w:color="auto" w:fill="FFFFFF"/>
        </w:rPr>
        <w:t xml:space="preserve"> </w:t>
      </w:r>
      <w:r w:rsidRPr="00341746">
        <w:rPr>
          <w:rFonts w:ascii="Arial" w:eastAsia="Times New Roman" w:hAnsi="Arial" w:cs="Arial"/>
          <w:sz w:val="20"/>
          <w:szCs w:val="20"/>
          <w:shd w:val="clear" w:color="auto" w:fill="FFFFFF"/>
        </w:rPr>
        <w:t>language and grammar,</w:t>
      </w:r>
      <w:r w:rsidR="00C10FF0">
        <w:rPr>
          <w:rFonts w:ascii="Arial" w:eastAsia="Times New Roman" w:hAnsi="Arial" w:cs="Arial"/>
          <w:sz w:val="20"/>
          <w:szCs w:val="20"/>
          <w:shd w:val="clear" w:color="auto" w:fill="FFFFFF"/>
        </w:rPr>
        <w:t xml:space="preserve"> </w:t>
      </w:r>
      <w:r w:rsidRPr="00341746">
        <w:rPr>
          <w:rFonts w:ascii="Arial" w:eastAsia="Times New Roman" w:hAnsi="Arial" w:cs="Arial"/>
          <w:sz w:val="20"/>
          <w:szCs w:val="20"/>
          <w:shd w:val="clear" w:color="auto" w:fill="FFFFFF"/>
        </w:rPr>
        <w:t>and refine the  abstract for better readability and adherence to academic standards</w:t>
      </w:r>
    </w:p>
    <w:p w14:paraId="743841BE" w14:textId="77777777" w:rsidR="00BD07D0" w:rsidRDefault="00BD07D0" w:rsidP="00F94B4C">
      <w:pPr>
        <w:spacing w:after="0"/>
        <w:ind w:firstLine="720"/>
        <w:jc w:val="both"/>
        <w:rPr>
          <w:rFonts w:ascii="Arial" w:hAnsi="Arial" w:cs="Arial"/>
          <w:sz w:val="20"/>
          <w:szCs w:val="20"/>
        </w:rPr>
      </w:pPr>
    </w:p>
    <w:p w14:paraId="2735238D" w14:textId="77777777" w:rsidR="00A84232" w:rsidRPr="00A84232" w:rsidRDefault="00A84232" w:rsidP="00A84232">
      <w:pPr>
        <w:pStyle w:val="ListParagraph"/>
        <w:spacing w:line="240" w:lineRule="auto"/>
        <w:ind w:left="630"/>
        <w:rPr>
          <w:rFonts w:cs="Arial"/>
          <w:sz w:val="20"/>
        </w:rPr>
      </w:pPr>
    </w:p>
    <w:p w14:paraId="33A3707C" w14:textId="77777777" w:rsidR="007C2C1D" w:rsidRDefault="007C2C1D" w:rsidP="007C2C1D">
      <w:pPr>
        <w:shd w:val="clear" w:color="auto" w:fill="FFFFFF" w:themeFill="background1"/>
        <w:spacing w:line="240" w:lineRule="auto"/>
      </w:pPr>
    </w:p>
    <w:p w14:paraId="201F0E54" w14:textId="77777777" w:rsidR="007C2C1D" w:rsidRPr="000625B4" w:rsidRDefault="000625B4" w:rsidP="000625B4">
      <w:pPr>
        <w:shd w:val="clear" w:color="auto" w:fill="FFFFFF" w:themeFill="background1"/>
        <w:spacing w:line="240" w:lineRule="auto"/>
      </w:pPr>
      <w:r>
        <w:rPr>
          <w:rFonts w:ascii="Arial" w:eastAsia="Arial" w:hAnsi="Arial" w:cs="Arial"/>
          <w:b/>
          <w:color w:val="000000"/>
          <w:highlight w:val="white"/>
        </w:rPr>
        <w:t>REFERENCES</w:t>
      </w:r>
    </w:p>
    <w:p w14:paraId="702D5497" w14:textId="77777777" w:rsidR="00F94B4C" w:rsidRPr="00D4086A" w:rsidRDefault="00F94B4C" w:rsidP="00F94B4C">
      <w:pPr>
        <w:pStyle w:val="ListParagraph"/>
        <w:numPr>
          <w:ilvl w:val="0"/>
          <w:numId w:val="4"/>
        </w:numPr>
        <w:spacing w:line="240" w:lineRule="auto"/>
        <w:rPr>
          <w:rFonts w:cs="Arial"/>
          <w:color w:val="222222"/>
          <w:sz w:val="20"/>
          <w:szCs w:val="20"/>
          <w:shd w:val="clear" w:color="auto" w:fill="FFFFFF"/>
        </w:rPr>
      </w:pPr>
      <w:proofErr w:type="spellStart"/>
      <w:r w:rsidRPr="00D4086A">
        <w:rPr>
          <w:rFonts w:cs="Arial"/>
          <w:color w:val="222222"/>
          <w:sz w:val="20"/>
          <w:szCs w:val="20"/>
          <w:shd w:val="clear" w:color="auto" w:fill="FFFFFF"/>
        </w:rPr>
        <w:t>Asah</w:t>
      </w:r>
      <w:proofErr w:type="spellEnd"/>
      <w:r w:rsidRPr="00D4086A">
        <w:rPr>
          <w:rFonts w:cs="Arial"/>
          <w:color w:val="222222"/>
          <w:sz w:val="20"/>
          <w:szCs w:val="20"/>
          <w:shd w:val="clear" w:color="auto" w:fill="FFFFFF"/>
        </w:rPr>
        <w:t xml:space="preserve">, F. T., &amp; </w:t>
      </w:r>
      <w:proofErr w:type="spellStart"/>
      <w:r w:rsidRPr="00D4086A">
        <w:rPr>
          <w:rFonts w:cs="Arial"/>
          <w:color w:val="222222"/>
          <w:sz w:val="20"/>
          <w:szCs w:val="20"/>
          <w:shd w:val="clear" w:color="auto" w:fill="FFFFFF"/>
        </w:rPr>
        <w:t>Louw</w:t>
      </w:r>
      <w:proofErr w:type="spellEnd"/>
      <w:r w:rsidRPr="00D4086A">
        <w:rPr>
          <w:rFonts w:cs="Arial"/>
          <w:color w:val="222222"/>
          <w:sz w:val="20"/>
          <w:szCs w:val="20"/>
          <w:shd w:val="clear" w:color="auto" w:fill="FFFFFF"/>
        </w:rPr>
        <w:t>, L. (2021). Guidelines and criteria used by formal financial institutions to assess credit applications from small and medium enterprises in South Africa. </w:t>
      </w:r>
      <w:r w:rsidRPr="00D4086A">
        <w:rPr>
          <w:rFonts w:cs="Arial"/>
          <w:i/>
          <w:iCs/>
          <w:color w:val="222222"/>
          <w:sz w:val="20"/>
          <w:szCs w:val="20"/>
          <w:shd w:val="clear" w:color="auto" w:fill="FFFFFF"/>
        </w:rPr>
        <w:t>The Southern African Journal of Entrepreneurship and Small Business Management</w:t>
      </w:r>
      <w:r w:rsidRPr="00D4086A">
        <w:rPr>
          <w:rFonts w:cs="Arial"/>
          <w:color w:val="222222"/>
          <w:sz w:val="20"/>
          <w:szCs w:val="20"/>
          <w:shd w:val="clear" w:color="auto" w:fill="FFFFFF"/>
        </w:rPr>
        <w:t>, </w:t>
      </w:r>
      <w:r w:rsidRPr="00D4086A">
        <w:rPr>
          <w:rFonts w:cs="Arial"/>
          <w:i/>
          <w:iCs/>
          <w:color w:val="222222"/>
          <w:sz w:val="20"/>
          <w:szCs w:val="20"/>
          <w:shd w:val="clear" w:color="auto" w:fill="FFFFFF"/>
        </w:rPr>
        <w:t>13</w:t>
      </w:r>
      <w:r w:rsidRPr="00D4086A">
        <w:rPr>
          <w:rFonts w:cs="Arial"/>
          <w:color w:val="222222"/>
          <w:sz w:val="20"/>
          <w:szCs w:val="20"/>
          <w:shd w:val="clear" w:color="auto" w:fill="FFFFFF"/>
        </w:rPr>
        <w:t>(1), 9.</w:t>
      </w:r>
    </w:p>
    <w:p w14:paraId="1613274F" w14:textId="77777777" w:rsidR="00F94B4C" w:rsidRPr="00D4086A" w:rsidRDefault="00F94B4C" w:rsidP="00F94B4C">
      <w:pPr>
        <w:pStyle w:val="ListParagraph"/>
        <w:numPr>
          <w:ilvl w:val="0"/>
          <w:numId w:val="4"/>
        </w:numPr>
        <w:spacing w:line="240" w:lineRule="auto"/>
        <w:rPr>
          <w:rFonts w:cs="Arial"/>
          <w:sz w:val="20"/>
          <w:szCs w:val="20"/>
        </w:rPr>
      </w:pPr>
      <w:r w:rsidRPr="00D4086A">
        <w:rPr>
          <w:rFonts w:cs="Arial"/>
          <w:sz w:val="20"/>
          <w:szCs w:val="20"/>
        </w:rPr>
        <w:t xml:space="preserve">Avril, P. (2023). Natural Disasters and Financial Stability (Doctoral dissertation, </w:t>
      </w:r>
      <w:proofErr w:type="spellStart"/>
      <w:r w:rsidRPr="00D4086A">
        <w:rPr>
          <w:rFonts w:cs="Arial"/>
          <w:sz w:val="20"/>
          <w:szCs w:val="20"/>
        </w:rPr>
        <w:t>Université</w:t>
      </w:r>
      <w:proofErr w:type="spellEnd"/>
      <w:r w:rsidRPr="00D4086A">
        <w:rPr>
          <w:rFonts w:cs="Arial"/>
          <w:sz w:val="20"/>
          <w:szCs w:val="20"/>
        </w:rPr>
        <w:t xml:space="preserve"> </w:t>
      </w:r>
      <w:proofErr w:type="spellStart"/>
      <w:r w:rsidRPr="00D4086A">
        <w:rPr>
          <w:rFonts w:cs="Arial"/>
          <w:sz w:val="20"/>
          <w:szCs w:val="20"/>
        </w:rPr>
        <w:t>d’Orléans</w:t>
      </w:r>
      <w:proofErr w:type="spellEnd"/>
      <w:r w:rsidRPr="00D4086A">
        <w:rPr>
          <w:rFonts w:cs="Arial"/>
          <w:sz w:val="20"/>
          <w:szCs w:val="20"/>
        </w:rPr>
        <w:t>).</w:t>
      </w:r>
    </w:p>
    <w:p w14:paraId="77D7BE50" w14:textId="77777777" w:rsidR="00F94B4C" w:rsidRPr="00D4086A" w:rsidRDefault="00F94B4C" w:rsidP="00F94B4C">
      <w:pPr>
        <w:pStyle w:val="ListParagraph"/>
        <w:numPr>
          <w:ilvl w:val="0"/>
          <w:numId w:val="4"/>
        </w:numPr>
        <w:spacing w:line="240" w:lineRule="auto"/>
        <w:rPr>
          <w:rFonts w:cs="Arial"/>
          <w:sz w:val="20"/>
          <w:szCs w:val="20"/>
        </w:rPr>
      </w:pPr>
      <w:proofErr w:type="spellStart"/>
      <w:r w:rsidRPr="00D4086A">
        <w:rPr>
          <w:rFonts w:cs="Arial"/>
          <w:sz w:val="20"/>
          <w:szCs w:val="20"/>
        </w:rPr>
        <w:t>Barboni</w:t>
      </w:r>
      <w:proofErr w:type="spellEnd"/>
      <w:r w:rsidRPr="00D4086A">
        <w:rPr>
          <w:rFonts w:cs="Arial"/>
          <w:sz w:val="20"/>
          <w:szCs w:val="20"/>
        </w:rPr>
        <w:t>, G. (2017). Repayment flexibility in microfinance contracts: Theory and experimental evidence on take up and selection</w:t>
      </w:r>
      <w:r w:rsidRPr="00D4086A">
        <w:rPr>
          <w:rFonts w:cs="Arial"/>
          <w:i/>
          <w:iCs/>
          <w:sz w:val="20"/>
          <w:szCs w:val="20"/>
        </w:rPr>
        <w:t>. Journal of Economic Behavior &amp; Organization</w:t>
      </w:r>
      <w:r w:rsidRPr="00D4086A">
        <w:rPr>
          <w:rFonts w:cs="Arial"/>
          <w:sz w:val="20"/>
          <w:szCs w:val="20"/>
        </w:rPr>
        <w:t>, 142, 425-450.</w:t>
      </w:r>
    </w:p>
    <w:p w14:paraId="2AAD013E" w14:textId="77777777" w:rsidR="00F94B4C" w:rsidRPr="000A71A9" w:rsidRDefault="00F94B4C" w:rsidP="00F94B4C">
      <w:pPr>
        <w:pStyle w:val="ListParagraph"/>
        <w:numPr>
          <w:ilvl w:val="0"/>
          <w:numId w:val="4"/>
        </w:numPr>
        <w:spacing w:line="240" w:lineRule="auto"/>
        <w:rPr>
          <w:rFonts w:cs="Arial"/>
          <w:color w:val="222222"/>
          <w:sz w:val="20"/>
          <w:szCs w:val="20"/>
          <w:shd w:val="clear" w:color="auto" w:fill="FFFFFF"/>
        </w:rPr>
      </w:pPr>
      <w:proofErr w:type="spellStart"/>
      <w:r w:rsidRPr="00D4086A">
        <w:rPr>
          <w:rFonts w:cs="Arial"/>
          <w:color w:val="222222"/>
          <w:sz w:val="20"/>
          <w:szCs w:val="20"/>
          <w:shd w:val="clear" w:color="auto" w:fill="FFFFFF"/>
        </w:rPr>
        <w:t>Belás</w:t>
      </w:r>
      <w:proofErr w:type="spellEnd"/>
      <w:r w:rsidRPr="00D4086A">
        <w:rPr>
          <w:rFonts w:cs="Arial"/>
          <w:color w:val="222222"/>
          <w:sz w:val="20"/>
          <w:szCs w:val="20"/>
          <w:shd w:val="clear" w:color="auto" w:fill="FFFFFF"/>
        </w:rPr>
        <w:t xml:space="preserve">, J., </w:t>
      </w:r>
      <w:proofErr w:type="spellStart"/>
      <w:r w:rsidRPr="00D4086A">
        <w:rPr>
          <w:rFonts w:cs="Arial"/>
          <w:color w:val="222222"/>
          <w:sz w:val="20"/>
          <w:szCs w:val="20"/>
          <w:shd w:val="clear" w:color="auto" w:fill="FFFFFF"/>
        </w:rPr>
        <w:t>Dvorský</w:t>
      </w:r>
      <w:proofErr w:type="spellEnd"/>
      <w:r w:rsidRPr="00D4086A">
        <w:rPr>
          <w:rFonts w:cs="Arial"/>
          <w:color w:val="222222"/>
          <w:sz w:val="20"/>
          <w:szCs w:val="20"/>
          <w:shd w:val="clear" w:color="auto" w:fill="FFFFFF"/>
        </w:rPr>
        <w:t xml:space="preserve">, J., </w:t>
      </w:r>
      <w:proofErr w:type="spellStart"/>
      <w:r w:rsidRPr="00D4086A">
        <w:rPr>
          <w:rFonts w:cs="Arial"/>
          <w:color w:val="222222"/>
          <w:sz w:val="20"/>
          <w:szCs w:val="20"/>
          <w:shd w:val="clear" w:color="auto" w:fill="FFFFFF"/>
        </w:rPr>
        <w:t>Tyll</w:t>
      </w:r>
      <w:proofErr w:type="spellEnd"/>
      <w:r w:rsidRPr="00D4086A">
        <w:rPr>
          <w:rFonts w:cs="Arial"/>
          <w:color w:val="222222"/>
          <w:sz w:val="20"/>
          <w:szCs w:val="20"/>
          <w:shd w:val="clear" w:color="auto" w:fill="FFFFFF"/>
        </w:rPr>
        <w:t xml:space="preserve">, L., &amp; </w:t>
      </w:r>
      <w:proofErr w:type="spellStart"/>
      <w:r w:rsidRPr="00D4086A">
        <w:rPr>
          <w:rFonts w:cs="Arial"/>
          <w:color w:val="222222"/>
          <w:sz w:val="20"/>
          <w:szCs w:val="20"/>
          <w:shd w:val="clear" w:color="auto" w:fill="FFFFFF"/>
        </w:rPr>
        <w:t>Zvaríková</w:t>
      </w:r>
      <w:proofErr w:type="spellEnd"/>
      <w:r w:rsidRPr="00D4086A">
        <w:rPr>
          <w:rFonts w:cs="Arial"/>
          <w:color w:val="222222"/>
          <w:sz w:val="20"/>
          <w:szCs w:val="20"/>
          <w:shd w:val="clear" w:color="auto" w:fill="FFFFFF"/>
        </w:rPr>
        <w:t>, K. (2017). Entrepreneurship of university students: important factors and the propensity for entrepreneurship. </w:t>
      </w:r>
      <w:proofErr w:type="spellStart"/>
      <w:r w:rsidRPr="00D4086A">
        <w:rPr>
          <w:rFonts w:cs="Arial"/>
          <w:i/>
          <w:iCs/>
          <w:color w:val="222222"/>
          <w:sz w:val="20"/>
          <w:szCs w:val="20"/>
          <w:shd w:val="clear" w:color="auto" w:fill="FFFFFF"/>
        </w:rPr>
        <w:t>Administratie</w:t>
      </w:r>
      <w:proofErr w:type="spellEnd"/>
      <w:r w:rsidRPr="00D4086A">
        <w:rPr>
          <w:rFonts w:cs="Arial"/>
          <w:i/>
          <w:iCs/>
          <w:color w:val="222222"/>
          <w:sz w:val="20"/>
          <w:szCs w:val="20"/>
          <w:shd w:val="clear" w:color="auto" w:fill="FFFFFF"/>
        </w:rPr>
        <w:t xml:space="preserve"> </w:t>
      </w:r>
      <w:proofErr w:type="spellStart"/>
      <w:r w:rsidRPr="00D4086A">
        <w:rPr>
          <w:rFonts w:cs="Arial"/>
          <w:i/>
          <w:iCs/>
          <w:color w:val="222222"/>
          <w:sz w:val="20"/>
          <w:szCs w:val="20"/>
          <w:shd w:val="clear" w:color="auto" w:fill="FFFFFF"/>
        </w:rPr>
        <w:t>si</w:t>
      </w:r>
      <w:proofErr w:type="spellEnd"/>
      <w:r w:rsidRPr="00D4086A">
        <w:rPr>
          <w:rFonts w:cs="Arial"/>
          <w:i/>
          <w:iCs/>
          <w:color w:val="222222"/>
          <w:sz w:val="20"/>
          <w:szCs w:val="20"/>
          <w:shd w:val="clear" w:color="auto" w:fill="FFFFFF"/>
        </w:rPr>
        <w:t xml:space="preserve"> Management Public</w:t>
      </w:r>
      <w:r w:rsidRPr="00D4086A">
        <w:rPr>
          <w:rFonts w:cs="Arial"/>
          <w:color w:val="222222"/>
          <w:sz w:val="20"/>
          <w:szCs w:val="20"/>
          <w:shd w:val="clear" w:color="auto" w:fill="FFFFFF"/>
        </w:rPr>
        <w:t>.</w:t>
      </w:r>
    </w:p>
    <w:p w14:paraId="3C2FEE79" w14:textId="6E7F1222" w:rsidR="007C2C1D" w:rsidRPr="000625B4" w:rsidRDefault="007C2C1D" w:rsidP="00F94B4C">
      <w:pPr>
        <w:spacing w:after="0" w:line="240" w:lineRule="auto"/>
        <w:jc w:val="both"/>
        <w:rPr>
          <w:rFonts w:ascii="Arial" w:hAnsi="Arial" w:cs="Arial"/>
          <w:sz w:val="20"/>
          <w:szCs w:val="20"/>
        </w:rPr>
      </w:pPr>
    </w:p>
    <w:p w14:paraId="48D508B5" w14:textId="77777777" w:rsidR="00F94B4C" w:rsidRPr="00F977A3" w:rsidRDefault="00F94B4C" w:rsidP="00F94B4C">
      <w:pPr>
        <w:pStyle w:val="ListParagraph"/>
        <w:numPr>
          <w:ilvl w:val="0"/>
          <w:numId w:val="4"/>
        </w:numPr>
        <w:spacing w:line="240" w:lineRule="auto"/>
        <w:rPr>
          <w:rFonts w:cs="Arial"/>
          <w:i/>
          <w:iCs/>
          <w:sz w:val="20"/>
          <w:szCs w:val="20"/>
        </w:rPr>
      </w:pPr>
      <w:r w:rsidRPr="00D4086A">
        <w:rPr>
          <w:rFonts w:cs="Arial"/>
          <w:sz w:val="20"/>
          <w:szCs w:val="20"/>
        </w:rPr>
        <w:t xml:space="preserve">Boateng, J. O. (2015). </w:t>
      </w:r>
      <w:r w:rsidRPr="00D4086A">
        <w:rPr>
          <w:rFonts w:cs="Arial"/>
          <w:i/>
          <w:iCs/>
          <w:sz w:val="20"/>
          <w:szCs w:val="20"/>
        </w:rPr>
        <w:t xml:space="preserve">Assessment of customer business characteristics on loan defaults </w:t>
      </w:r>
      <w:r w:rsidRPr="00F977A3">
        <w:rPr>
          <w:rFonts w:cs="Arial"/>
          <w:i/>
          <w:iCs/>
          <w:sz w:val="20"/>
          <w:szCs w:val="20"/>
        </w:rPr>
        <w:t>in financial institutions</w:t>
      </w:r>
      <w:r w:rsidRPr="00F977A3">
        <w:rPr>
          <w:rFonts w:cs="Arial"/>
          <w:sz w:val="20"/>
          <w:szCs w:val="20"/>
        </w:rPr>
        <w:t xml:space="preserve"> (Doctoral dissertation).</w:t>
      </w:r>
    </w:p>
    <w:p w14:paraId="2FBBEEDB" w14:textId="77777777" w:rsidR="00F94B4C" w:rsidRPr="00F977A3" w:rsidRDefault="00F94B4C" w:rsidP="00F94B4C">
      <w:pPr>
        <w:pStyle w:val="ListParagraph"/>
        <w:numPr>
          <w:ilvl w:val="0"/>
          <w:numId w:val="4"/>
        </w:numPr>
        <w:spacing w:line="240" w:lineRule="auto"/>
        <w:rPr>
          <w:rFonts w:cs="Arial"/>
          <w:i/>
          <w:iCs/>
          <w:color w:val="222222"/>
          <w:sz w:val="20"/>
          <w:szCs w:val="20"/>
          <w:shd w:val="clear" w:color="auto" w:fill="FFFFFF"/>
        </w:rPr>
      </w:pPr>
      <w:proofErr w:type="spellStart"/>
      <w:r w:rsidRPr="00D4086A">
        <w:rPr>
          <w:rFonts w:cs="Arial"/>
          <w:color w:val="222222"/>
          <w:sz w:val="20"/>
          <w:szCs w:val="20"/>
          <w:shd w:val="clear" w:color="auto" w:fill="FFFFFF"/>
        </w:rPr>
        <w:t>Bouteille</w:t>
      </w:r>
      <w:proofErr w:type="spellEnd"/>
      <w:r w:rsidRPr="00D4086A">
        <w:rPr>
          <w:rFonts w:cs="Arial"/>
          <w:color w:val="222222"/>
          <w:sz w:val="20"/>
          <w:szCs w:val="20"/>
          <w:shd w:val="clear" w:color="auto" w:fill="FFFFFF"/>
        </w:rPr>
        <w:t>, S., &amp; Coogan-</w:t>
      </w:r>
      <w:proofErr w:type="spellStart"/>
      <w:r w:rsidRPr="00D4086A">
        <w:rPr>
          <w:rFonts w:cs="Arial"/>
          <w:color w:val="222222"/>
          <w:sz w:val="20"/>
          <w:szCs w:val="20"/>
          <w:shd w:val="clear" w:color="auto" w:fill="FFFFFF"/>
        </w:rPr>
        <w:t>Pushner</w:t>
      </w:r>
      <w:proofErr w:type="spellEnd"/>
      <w:r w:rsidRPr="00D4086A">
        <w:rPr>
          <w:rFonts w:cs="Arial"/>
          <w:color w:val="222222"/>
          <w:sz w:val="20"/>
          <w:szCs w:val="20"/>
          <w:shd w:val="clear" w:color="auto" w:fill="FFFFFF"/>
        </w:rPr>
        <w:t>, D. (2021). </w:t>
      </w:r>
      <w:r w:rsidRPr="00D4086A">
        <w:rPr>
          <w:rFonts w:cs="Arial"/>
          <w:i/>
          <w:iCs/>
          <w:color w:val="222222"/>
          <w:sz w:val="20"/>
          <w:szCs w:val="20"/>
          <w:shd w:val="clear" w:color="auto" w:fill="FFFFFF"/>
        </w:rPr>
        <w:t xml:space="preserve">The handbook of credit risk management: </w:t>
      </w:r>
      <w:r w:rsidRPr="00F977A3">
        <w:rPr>
          <w:rFonts w:cs="Arial"/>
          <w:i/>
          <w:iCs/>
          <w:color w:val="222222"/>
          <w:sz w:val="20"/>
          <w:szCs w:val="20"/>
          <w:shd w:val="clear" w:color="auto" w:fill="FFFFFF"/>
        </w:rPr>
        <w:t>originating, assessing, and managing credit exposures</w:t>
      </w:r>
      <w:r w:rsidRPr="00F977A3">
        <w:rPr>
          <w:rFonts w:cs="Arial"/>
          <w:color w:val="222222"/>
          <w:sz w:val="20"/>
          <w:szCs w:val="20"/>
          <w:shd w:val="clear" w:color="auto" w:fill="FFFFFF"/>
        </w:rPr>
        <w:t>. John Wiley &amp; Sons.</w:t>
      </w:r>
    </w:p>
    <w:p w14:paraId="57C71F00" w14:textId="77777777" w:rsidR="00F94B4C" w:rsidRPr="00F977A3" w:rsidRDefault="00F94B4C" w:rsidP="00F94B4C">
      <w:pPr>
        <w:pStyle w:val="ListParagraph"/>
        <w:numPr>
          <w:ilvl w:val="0"/>
          <w:numId w:val="4"/>
        </w:numPr>
        <w:spacing w:line="240" w:lineRule="auto"/>
        <w:rPr>
          <w:rFonts w:cs="Arial"/>
          <w:sz w:val="20"/>
          <w:szCs w:val="20"/>
        </w:rPr>
      </w:pPr>
      <w:proofErr w:type="spellStart"/>
      <w:r w:rsidRPr="00D4086A">
        <w:rPr>
          <w:rFonts w:cs="Arial"/>
          <w:sz w:val="20"/>
          <w:szCs w:val="20"/>
        </w:rPr>
        <w:t>Buburan</w:t>
      </w:r>
      <w:proofErr w:type="spellEnd"/>
      <w:r w:rsidRPr="00D4086A">
        <w:rPr>
          <w:rFonts w:cs="Arial"/>
          <w:sz w:val="20"/>
          <w:szCs w:val="20"/>
        </w:rPr>
        <w:t xml:space="preserve">, R. M., </w:t>
      </w:r>
      <w:proofErr w:type="spellStart"/>
      <w:r w:rsidRPr="00D4086A">
        <w:rPr>
          <w:rFonts w:cs="Arial"/>
          <w:sz w:val="20"/>
          <w:szCs w:val="20"/>
        </w:rPr>
        <w:t>Buburan</w:t>
      </w:r>
      <w:proofErr w:type="spellEnd"/>
      <w:r w:rsidRPr="00D4086A">
        <w:rPr>
          <w:rFonts w:cs="Arial"/>
          <w:sz w:val="20"/>
          <w:szCs w:val="20"/>
        </w:rPr>
        <w:t xml:space="preserve">, Q. B., </w:t>
      </w:r>
      <w:proofErr w:type="spellStart"/>
      <w:r w:rsidRPr="00D4086A">
        <w:rPr>
          <w:rFonts w:cs="Arial"/>
          <w:sz w:val="20"/>
          <w:szCs w:val="20"/>
        </w:rPr>
        <w:t>Tabia</w:t>
      </w:r>
      <w:proofErr w:type="spellEnd"/>
      <w:r w:rsidRPr="00D4086A">
        <w:rPr>
          <w:rFonts w:cs="Arial"/>
          <w:sz w:val="20"/>
          <w:szCs w:val="20"/>
        </w:rPr>
        <w:t xml:space="preserve">, J. C. J. D., &amp; </w:t>
      </w:r>
      <w:proofErr w:type="spellStart"/>
      <w:r w:rsidRPr="00D4086A">
        <w:rPr>
          <w:rFonts w:cs="Arial"/>
          <w:sz w:val="20"/>
          <w:szCs w:val="20"/>
        </w:rPr>
        <w:t>Buburan</w:t>
      </w:r>
      <w:proofErr w:type="spellEnd"/>
      <w:r w:rsidRPr="00D4086A">
        <w:rPr>
          <w:rFonts w:cs="Arial"/>
          <w:sz w:val="20"/>
          <w:szCs w:val="20"/>
        </w:rPr>
        <w:t>, I. B. (2024). CREDIT AND</w:t>
      </w:r>
      <w:r>
        <w:rPr>
          <w:rFonts w:cs="Arial"/>
          <w:sz w:val="20"/>
          <w:szCs w:val="20"/>
        </w:rPr>
        <w:t xml:space="preserve"> </w:t>
      </w:r>
      <w:r w:rsidRPr="00F977A3">
        <w:rPr>
          <w:rFonts w:cs="Arial"/>
          <w:sz w:val="20"/>
          <w:szCs w:val="20"/>
        </w:rPr>
        <w:t xml:space="preserve">COLLECTION PRACTICES OF SELECTED SAVINGS BANKS IN CEBU: BASES FOR IMPROVEMENT. </w:t>
      </w:r>
      <w:r w:rsidRPr="00F977A3">
        <w:rPr>
          <w:rFonts w:cs="Arial"/>
          <w:i/>
          <w:iCs/>
          <w:sz w:val="20"/>
          <w:szCs w:val="20"/>
        </w:rPr>
        <w:t>Ignatian International Journal for Multidisciplinary Research, 2</w:t>
      </w:r>
      <w:r w:rsidRPr="00F977A3">
        <w:rPr>
          <w:rFonts w:cs="Arial"/>
          <w:sz w:val="20"/>
          <w:szCs w:val="20"/>
        </w:rPr>
        <w:t>(2), 168–203.</w:t>
      </w:r>
    </w:p>
    <w:p w14:paraId="0CFD1BDE" w14:textId="77777777" w:rsidR="00F94B4C" w:rsidRPr="00F977A3" w:rsidRDefault="00F94B4C" w:rsidP="00F94B4C">
      <w:pPr>
        <w:pStyle w:val="ListParagraph"/>
        <w:numPr>
          <w:ilvl w:val="0"/>
          <w:numId w:val="4"/>
        </w:numPr>
        <w:spacing w:line="240" w:lineRule="auto"/>
        <w:rPr>
          <w:rFonts w:cs="Arial"/>
          <w:color w:val="000000" w:themeColor="text1"/>
          <w:sz w:val="20"/>
          <w:szCs w:val="20"/>
        </w:rPr>
      </w:pPr>
      <w:proofErr w:type="spellStart"/>
      <w:r w:rsidRPr="00D4086A">
        <w:rPr>
          <w:rFonts w:cs="Arial"/>
          <w:color w:val="000000" w:themeColor="text1"/>
          <w:sz w:val="20"/>
          <w:szCs w:val="20"/>
        </w:rPr>
        <w:t>Budianto</w:t>
      </w:r>
      <w:proofErr w:type="spellEnd"/>
      <w:r w:rsidRPr="00D4086A">
        <w:rPr>
          <w:rFonts w:cs="Arial"/>
          <w:color w:val="000000" w:themeColor="text1"/>
          <w:sz w:val="20"/>
          <w:szCs w:val="20"/>
        </w:rPr>
        <w:t xml:space="preserve">, E. W. H. (2023). Research Mapping on Credit Risk in Islamic and Conventional </w:t>
      </w:r>
      <w:r w:rsidRPr="00F977A3">
        <w:rPr>
          <w:rFonts w:cs="Arial"/>
          <w:color w:val="000000" w:themeColor="text1"/>
          <w:sz w:val="20"/>
          <w:szCs w:val="20"/>
        </w:rPr>
        <w:t xml:space="preserve">Banking. </w:t>
      </w:r>
      <w:r w:rsidRPr="00F977A3">
        <w:rPr>
          <w:rFonts w:cs="Arial"/>
          <w:i/>
          <w:iCs/>
          <w:color w:val="000000" w:themeColor="text1"/>
          <w:sz w:val="20"/>
          <w:szCs w:val="20"/>
        </w:rPr>
        <w:t xml:space="preserve">AL-INFAQ: </w:t>
      </w:r>
      <w:proofErr w:type="spellStart"/>
      <w:r w:rsidRPr="00F977A3">
        <w:rPr>
          <w:rFonts w:cs="Arial"/>
          <w:i/>
          <w:iCs/>
          <w:color w:val="000000" w:themeColor="text1"/>
          <w:sz w:val="20"/>
          <w:szCs w:val="20"/>
        </w:rPr>
        <w:t>Jurnal</w:t>
      </w:r>
      <w:proofErr w:type="spellEnd"/>
      <w:r w:rsidRPr="00F977A3">
        <w:rPr>
          <w:rFonts w:cs="Arial"/>
          <w:i/>
          <w:iCs/>
          <w:color w:val="000000" w:themeColor="text1"/>
          <w:sz w:val="20"/>
          <w:szCs w:val="20"/>
        </w:rPr>
        <w:t xml:space="preserve"> </w:t>
      </w:r>
      <w:proofErr w:type="spellStart"/>
      <w:r w:rsidRPr="00F977A3">
        <w:rPr>
          <w:rFonts w:cs="Arial"/>
          <w:i/>
          <w:iCs/>
          <w:color w:val="000000" w:themeColor="text1"/>
          <w:sz w:val="20"/>
          <w:szCs w:val="20"/>
        </w:rPr>
        <w:t>Ekonomi</w:t>
      </w:r>
      <w:proofErr w:type="spellEnd"/>
      <w:r w:rsidRPr="00F977A3">
        <w:rPr>
          <w:rFonts w:cs="Arial"/>
          <w:i/>
          <w:iCs/>
          <w:color w:val="000000" w:themeColor="text1"/>
          <w:sz w:val="20"/>
          <w:szCs w:val="20"/>
        </w:rPr>
        <w:t xml:space="preserve"> Islam, </w:t>
      </w:r>
      <w:r w:rsidRPr="00F977A3">
        <w:rPr>
          <w:rFonts w:cs="Arial"/>
          <w:color w:val="000000" w:themeColor="text1"/>
          <w:sz w:val="20"/>
          <w:szCs w:val="20"/>
        </w:rPr>
        <w:t>14(1), 73-86.</w:t>
      </w:r>
    </w:p>
    <w:p w14:paraId="6522D775" w14:textId="77777777" w:rsidR="00F94B4C" w:rsidRPr="00F977A3" w:rsidRDefault="00F94B4C" w:rsidP="00F94B4C">
      <w:pPr>
        <w:pStyle w:val="ListParagraph"/>
        <w:numPr>
          <w:ilvl w:val="0"/>
          <w:numId w:val="4"/>
        </w:numPr>
        <w:spacing w:line="240" w:lineRule="auto"/>
        <w:rPr>
          <w:rFonts w:cs="Arial"/>
          <w:color w:val="222222"/>
          <w:sz w:val="20"/>
          <w:szCs w:val="20"/>
          <w:shd w:val="clear" w:color="auto" w:fill="FFFFFF"/>
        </w:rPr>
      </w:pPr>
      <w:proofErr w:type="spellStart"/>
      <w:r w:rsidRPr="00D4086A">
        <w:rPr>
          <w:rFonts w:cs="Arial"/>
          <w:color w:val="222222"/>
          <w:sz w:val="20"/>
          <w:szCs w:val="20"/>
          <w:shd w:val="clear" w:color="auto" w:fill="FFFFFF"/>
        </w:rPr>
        <w:t>Bundi</w:t>
      </w:r>
      <w:proofErr w:type="spellEnd"/>
      <w:r w:rsidRPr="00D4086A">
        <w:rPr>
          <w:rFonts w:cs="Arial"/>
          <w:color w:val="222222"/>
          <w:sz w:val="20"/>
          <w:szCs w:val="20"/>
          <w:shd w:val="clear" w:color="auto" w:fill="FFFFFF"/>
        </w:rPr>
        <w:t xml:space="preserve">, G. K., &amp; </w:t>
      </w:r>
      <w:proofErr w:type="spellStart"/>
      <w:r w:rsidRPr="00D4086A">
        <w:rPr>
          <w:rFonts w:cs="Arial"/>
          <w:color w:val="222222"/>
          <w:sz w:val="20"/>
          <w:szCs w:val="20"/>
          <w:shd w:val="clear" w:color="auto" w:fill="FFFFFF"/>
        </w:rPr>
        <w:t>Ngali</w:t>
      </w:r>
      <w:proofErr w:type="spellEnd"/>
      <w:r w:rsidRPr="00D4086A">
        <w:rPr>
          <w:rFonts w:cs="Arial"/>
          <w:color w:val="222222"/>
          <w:sz w:val="20"/>
          <w:szCs w:val="20"/>
          <w:shd w:val="clear" w:color="auto" w:fill="FFFFFF"/>
        </w:rPr>
        <w:t xml:space="preserve">, R. M. (2021). K, </w:t>
      </w:r>
      <w:proofErr w:type="gramStart"/>
      <w:r w:rsidRPr="00D4086A">
        <w:rPr>
          <w:rFonts w:cs="Arial"/>
          <w:color w:val="222222"/>
          <w:sz w:val="20"/>
          <w:szCs w:val="20"/>
          <w:shd w:val="clear" w:color="auto" w:fill="FFFFFF"/>
        </w:rPr>
        <w:t>E.(</w:t>
      </w:r>
      <w:proofErr w:type="gramEnd"/>
      <w:r w:rsidRPr="00D4086A">
        <w:rPr>
          <w:rFonts w:cs="Arial"/>
          <w:color w:val="222222"/>
          <w:sz w:val="20"/>
          <w:szCs w:val="20"/>
          <w:shd w:val="clear" w:color="auto" w:fill="FFFFFF"/>
        </w:rPr>
        <w:t xml:space="preserve">2021). Financial risk management practices and </w:t>
      </w:r>
      <w:r w:rsidRPr="00F977A3">
        <w:rPr>
          <w:rFonts w:cs="Arial"/>
          <w:color w:val="222222"/>
          <w:sz w:val="20"/>
          <w:szCs w:val="20"/>
          <w:shd w:val="clear" w:color="auto" w:fill="FFFFFF"/>
        </w:rPr>
        <w:t>financial performance of microfinance banks in Kenya. </w:t>
      </w:r>
      <w:r w:rsidRPr="00F977A3">
        <w:rPr>
          <w:rFonts w:cs="Arial"/>
          <w:i/>
          <w:iCs/>
          <w:color w:val="222222"/>
          <w:sz w:val="20"/>
          <w:szCs w:val="20"/>
          <w:shd w:val="clear" w:color="auto" w:fill="FFFFFF"/>
        </w:rPr>
        <w:t>International Academic Journal of Economics and Finance, 3 (7), 286</w:t>
      </w:r>
      <w:r w:rsidRPr="00F977A3">
        <w:rPr>
          <w:rFonts w:cs="Arial"/>
          <w:color w:val="222222"/>
          <w:sz w:val="20"/>
          <w:szCs w:val="20"/>
          <w:shd w:val="clear" w:color="auto" w:fill="FFFFFF"/>
        </w:rPr>
        <w:t>, </w:t>
      </w:r>
      <w:r w:rsidRPr="00F977A3">
        <w:rPr>
          <w:rFonts w:cs="Arial"/>
          <w:i/>
          <w:iCs/>
          <w:color w:val="222222"/>
          <w:sz w:val="20"/>
          <w:szCs w:val="20"/>
          <w:shd w:val="clear" w:color="auto" w:fill="FFFFFF"/>
        </w:rPr>
        <w:t>307</w:t>
      </w:r>
      <w:r w:rsidRPr="00F977A3">
        <w:rPr>
          <w:rFonts w:cs="Arial"/>
          <w:color w:val="222222"/>
          <w:sz w:val="20"/>
          <w:szCs w:val="20"/>
          <w:shd w:val="clear" w:color="auto" w:fill="FFFFFF"/>
        </w:rPr>
        <w:t>, 2.</w:t>
      </w:r>
    </w:p>
    <w:p w14:paraId="04B08C1C" w14:textId="77777777" w:rsidR="00F94B4C" w:rsidRPr="00F977A3" w:rsidRDefault="00F94B4C" w:rsidP="00F94B4C">
      <w:pPr>
        <w:pStyle w:val="ListParagraph"/>
        <w:numPr>
          <w:ilvl w:val="0"/>
          <w:numId w:val="4"/>
        </w:numPr>
        <w:spacing w:line="240" w:lineRule="auto"/>
        <w:rPr>
          <w:rFonts w:cs="Arial"/>
          <w:sz w:val="20"/>
          <w:szCs w:val="20"/>
        </w:rPr>
      </w:pPr>
      <w:proofErr w:type="spellStart"/>
      <w:r w:rsidRPr="00D4086A">
        <w:rPr>
          <w:rFonts w:cs="Arial"/>
          <w:sz w:val="20"/>
          <w:szCs w:val="20"/>
        </w:rPr>
        <w:lastRenderedPageBreak/>
        <w:t>Calmorin</w:t>
      </w:r>
      <w:proofErr w:type="spellEnd"/>
      <w:r w:rsidRPr="00D4086A">
        <w:rPr>
          <w:rFonts w:cs="Arial"/>
          <w:sz w:val="20"/>
          <w:szCs w:val="20"/>
        </w:rPr>
        <w:t xml:space="preserve">, L. P., &amp; </w:t>
      </w:r>
      <w:proofErr w:type="spellStart"/>
      <w:r w:rsidRPr="00D4086A">
        <w:rPr>
          <w:rFonts w:cs="Arial"/>
          <w:sz w:val="20"/>
          <w:szCs w:val="20"/>
        </w:rPr>
        <w:t>Calmorin</w:t>
      </w:r>
      <w:proofErr w:type="spellEnd"/>
      <w:r w:rsidRPr="00D4086A">
        <w:rPr>
          <w:rFonts w:cs="Arial"/>
          <w:sz w:val="20"/>
          <w:szCs w:val="20"/>
        </w:rPr>
        <w:t xml:space="preserve">, M. A. (2012). Research Method and Thesis Writing (2nd ed.). </w:t>
      </w:r>
      <w:r w:rsidRPr="00F977A3">
        <w:rPr>
          <w:rFonts w:cs="Arial"/>
          <w:sz w:val="20"/>
          <w:szCs w:val="20"/>
        </w:rPr>
        <w:t>Manila, Philippines: Rex Bookstore, Inc</w:t>
      </w:r>
    </w:p>
    <w:p w14:paraId="5A2EE20E" w14:textId="77777777" w:rsidR="00F94B4C" w:rsidRPr="00F977A3" w:rsidRDefault="00F94B4C" w:rsidP="00F94B4C">
      <w:pPr>
        <w:pStyle w:val="ListParagraph"/>
        <w:numPr>
          <w:ilvl w:val="0"/>
          <w:numId w:val="4"/>
        </w:numPr>
        <w:spacing w:line="240" w:lineRule="auto"/>
        <w:rPr>
          <w:rFonts w:cs="Arial"/>
          <w:sz w:val="20"/>
          <w:szCs w:val="20"/>
        </w:rPr>
      </w:pPr>
      <w:proofErr w:type="spellStart"/>
      <w:r w:rsidRPr="00D4086A">
        <w:rPr>
          <w:rFonts w:cs="Arial"/>
          <w:sz w:val="20"/>
          <w:szCs w:val="20"/>
        </w:rPr>
        <w:t>Cardaci</w:t>
      </w:r>
      <w:proofErr w:type="spellEnd"/>
      <w:r w:rsidRPr="00D4086A">
        <w:rPr>
          <w:rFonts w:cs="Arial"/>
          <w:sz w:val="20"/>
          <w:szCs w:val="20"/>
        </w:rPr>
        <w:t xml:space="preserve">, A. (2018). Inequality, household debt and financial instability: An agent-based </w:t>
      </w:r>
      <w:r w:rsidRPr="00F977A3">
        <w:rPr>
          <w:rFonts w:cs="Arial"/>
          <w:sz w:val="20"/>
          <w:szCs w:val="20"/>
        </w:rPr>
        <w:t xml:space="preserve">perspective. </w:t>
      </w:r>
      <w:r w:rsidRPr="00F977A3">
        <w:rPr>
          <w:rFonts w:cs="Arial"/>
          <w:i/>
          <w:iCs/>
          <w:sz w:val="20"/>
          <w:szCs w:val="20"/>
        </w:rPr>
        <w:t>Journal of Economic Behavior &amp; Organization</w:t>
      </w:r>
      <w:r w:rsidRPr="00F977A3">
        <w:rPr>
          <w:rFonts w:cs="Arial"/>
          <w:sz w:val="20"/>
          <w:szCs w:val="20"/>
        </w:rPr>
        <w:t>, 149, 434-458.</w:t>
      </w:r>
    </w:p>
    <w:p w14:paraId="53A31730" w14:textId="77777777" w:rsidR="00F94B4C" w:rsidRPr="00F977A3" w:rsidRDefault="00F94B4C" w:rsidP="00F94B4C">
      <w:pPr>
        <w:pStyle w:val="ListParagraph"/>
        <w:numPr>
          <w:ilvl w:val="0"/>
          <w:numId w:val="4"/>
        </w:numPr>
        <w:spacing w:line="240" w:lineRule="auto"/>
        <w:rPr>
          <w:rFonts w:cs="Arial"/>
          <w:color w:val="222222"/>
          <w:sz w:val="20"/>
          <w:szCs w:val="20"/>
          <w:shd w:val="clear" w:color="auto" w:fill="FFFFFF"/>
        </w:rPr>
      </w:pPr>
      <w:proofErr w:type="spellStart"/>
      <w:r w:rsidRPr="00D4086A">
        <w:rPr>
          <w:rFonts w:cs="Arial"/>
          <w:color w:val="222222"/>
          <w:sz w:val="20"/>
          <w:szCs w:val="20"/>
          <w:shd w:val="clear" w:color="auto" w:fill="FFFFFF"/>
        </w:rPr>
        <w:t>Ciulla</w:t>
      </w:r>
      <w:proofErr w:type="spellEnd"/>
      <w:r w:rsidRPr="00D4086A">
        <w:rPr>
          <w:rFonts w:cs="Arial"/>
          <w:color w:val="222222"/>
          <w:sz w:val="20"/>
          <w:szCs w:val="20"/>
          <w:shd w:val="clear" w:color="auto" w:fill="FFFFFF"/>
        </w:rPr>
        <w:t xml:space="preserve">, T., </w:t>
      </w:r>
      <w:proofErr w:type="spellStart"/>
      <w:r w:rsidRPr="00D4086A">
        <w:rPr>
          <w:rFonts w:cs="Arial"/>
          <w:color w:val="222222"/>
          <w:sz w:val="20"/>
          <w:szCs w:val="20"/>
          <w:shd w:val="clear" w:color="auto" w:fill="FFFFFF"/>
        </w:rPr>
        <w:t>Annadorai</w:t>
      </w:r>
      <w:proofErr w:type="spellEnd"/>
      <w:r w:rsidRPr="00D4086A">
        <w:rPr>
          <w:rFonts w:cs="Arial"/>
          <w:color w:val="222222"/>
          <w:sz w:val="20"/>
          <w:szCs w:val="20"/>
          <w:shd w:val="clear" w:color="auto" w:fill="FFFFFF"/>
        </w:rPr>
        <w:t xml:space="preserve">, B., &amp; Joshi, G. (2016). The Convergence of Collateral and </w:t>
      </w:r>
      <w:r w:rsidRPr="00F977A3">
        <w:rPr>
          <w:rFonts w:cs="Arial"/>
          <w:color w:val="222222"/>
          <w:sz w:val="20"/>
          <w:szCs w:val="20"/>
          <w:shd w:val="clear" w:color="auto" w:fill="FFFFFF"/>
        </w:rPr>
        <w:t>Liquidity. </w:t>
      </w:r>
      <w:r w:rsidRPr="00F977A3">
        <w:rPr>
          <w:rFonts w:cs="Arial"/>
          <w:i/>
          <w:iCs/>
          <w:color w:val="222222"/>
          <w:sz w:val="20"/>
          <w:szCs w:val="20"/>
          <w:shd w:val="clear" w:color="auto" w:fill="FFFFFF"/>
        </w:rPr>
        <w:t>Liquidity Risk Management: A Practitioner's Perspective</w:t>
      </w:r>
      <w:r w:rsidRPr="00F977A3">
        <w:rPr>
          <w:rFonts w:cs="Arial"/>
          <w:color w:val="222222"/>
          <w:sz w:val="20"/>
          <w:szCs w:val="20"/>
          <w:shd w:val="clear" w:color="auto" w:fill="FFFFFF"/>
        </w:rPr>
        <w:t>, 81-104.</w:t>
      </w:r>
    </w:p>
    <w:p w14:paraId="32BD800E" w14:textId="77777777" w:rsidR="00F94B4C" w:rsidRPr="00F977A3" w:rsidRDefault="00F94B4C" w:rsidP="00F94B4C">
      <w:pPr>
        <w:pStyle w:val="ListParagraph"/>
        <w:numPr>
          <w:ilvl w:val="0"/>
          <w:numId w:val="4"/>
        </w:numPr>
        <w:spacing w:line="240" w:lineRule="auto"/>
        <w:rPr>
          <w:rFonts w:eastAsia="Times New Roman" w:cs="Arial"/>
          <w:i/>
          <w:iCs/>
          <w:color w:val="222222"/>
          <w:sz w:val="20"/>
          <w:szCs w:val="20"/>
        </w:rPr>
      </w:pPr>
      <w:r w:rsidRPr="00D4086A">
        <w:rPr>
          <w:rFonts w:eastAsia="Times New Roman" w:cs="Arial"/>
          <w:color w:val="222222"/>
          <w:sz w:val="20"/>
          <w:szCs w:val="20"/>
        </w:rPr>
        <w:t xml:space="preserve">Cox, J. D., Hillman, R. W., &amp; </w:t>
      </w:r>
      <w:proofErr w:type="spellStart"/>
      <w:r w:rsidRPr="00D4086A">
        <w:rPr>
          <w:rFonts w:eastAsia="Times New Roman" w:cs="Arial"/>
          <w:color w:val="222222"/>
          <w:sz w:val="20"/>
          <w:szCs w:val="20"/>
        </w:rPr>
        <w:t>Langevoort</w:t>
      </w:r>
      <w:proofErr w:type="spellEnd"/>
      <w:r w:rsidRPr="00D4086A">
        <w:rPr>
          <w:rFonts w:eastAsia="Times New Roman" w:cs="Arial"/>
          <w:color w:val="222222"/>
          <w:sz w:val="20"/>
          <w:szCs w:val="20"/>
        </w:rPr>
        <w:t>, D. C. (2019). </w:t>
      </w:r>
      <w:r w:rsidRPr="00D4086A">
        <w:rPr>
          <w:rFonts w:eastAsia="Times New Roman" w:cs="Arial"/>
          <w:i/>
          <w:iCs/>
          <w:color w:val="222222"/>
          <w:sz w:val="20"/>
          <w:szCs w:val="20"/>
        </w:rPr>
        <w:t xml:space="preserve">Securities regulation: cases and </w:t>
      </w:r>
      <w:r w:rsidRPr="00F977A3">
        <w:rPr>
          <w:rFonts w:eastAsia="Times New Roman" w:cs="Arial"/>
          <w:i/>
          <w:iCs/>
          <w:color w:val="222222"/>
          <w:sz w:val="20"/>
          <w:szCs w:val="20"/>
        </w:rPr>
        <w:t>materials</w:t>
      </w:r>
      <w:r w:rsidRPr="00F977A3">
        <w:rPr>
          <w:rFonts w:eastAsia="Times New Roman" w:cs="Arial"/>
          <w:color w:val="222222"/>
          <w:sz w:val="20"/>
          <w:szCs w:val="20"/>
        </w:rPr>
        <w:t>. Aspen Publishing.</w:t>
      </w:r>
    </w:p>
    <w:p w14:paraId="2AE656FA" w14:textId="77777777" w:rsidR="00F94B4C" w:rsidRPr="00F977A3" w:rsidRDefault="00F94B4C" w:rsidP="00F94B4C">
      <w:pPr>
        <w:pStyle w:val="ListParagraph"/>
        <w:numPr>
          <w:ilvl w:val="0"/>
          <w:numId w:val="4"/>
        </w:numPr>
        <w:spacing w:line="240" w:lineRule="auto"/>
        <w:rPr>
          <w:rFonts w:cs="Arial"/>
          <w:sz w:val="20"/>
          <w:szCs w:val="20"/>
        </w:rPr>
      </w:pPr>
      <w:r w:rsidRPr="00D4086A">
        <w:rPr>
          <w:rFonts w:cs="Arial"/>
          <w:sz w:val="20"/>
          <w:szCs w:val="20"/>
        </w:rPr>
        <w:t xml:space="preserve">Dominguez Martin, I. (2023). Customer relationship management system: A must for any </w:t>
      </w:r>
      <w:r w:rsidRPr="00F977A3">
        <w:rPr>
          <w:rFonts w:cs="Arial"/>
          <w:sz w:val="20"/>
          <w:szCs w:val="20"/>
        </w:rPr>
        <w:t>home appliances store motivations, proposal and benefits.</w:t>
      </w:r>
    </w:p>
    <w:p w14:paraId="61A39002" w14:textId="77777777" w:rsidR="00F94B4C" w:rsidRPr="00F977A3" w:rsidRDefault="00F94B4C" w:rsidP="00F94B4C">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 xml:space="preserve">Elizabeth, N. M. (2020). Digital credit borrowing and the financial risk exposure of micro </w:t>
      </w:r>
      <w:r w:rsidRPr="00F977A3">
        <w:rPr>
          <w:rFonts w:cs="Arial"/>
          <w:color w:val="222222"/>
          <w:sz w:val="20"/>
          <w:szCs w:val="20"/>
          <w:shd w:val="clear" w:color="auto" w:fill="FFFFFF"/>
        </w:rPr>
        <w:t>and small enterprises in Nairobi city county, Kenya. </w:t>
      </w:r>
    </w:p>
    <w:p w14:paraId="5AD878BD" w14:textId="77777777" w:rsidR="00F94B4C" w:rsidRPr="00C80F49" w:rsidRDefault="00F94B4C" w:rsidP="00F94B4C">
      <w:pPr>
        <w:pStyle w:val="ListParagraph"/>
        <w:numPr>
          <w:ilvl w:val="0"/>
          <w:numId w:val="4"/>
        </w:numPr>
        <w:spacing w:line="240" w:lineRule="auto"/>
        <w:rPr>
          <w:rFonts w:cs="Arial"/>
          <w:sz w:val="20"/>
          <w:szCs w:val="20"/>
        </w:rPr>
      </w:pPr>
      <w:proofErr w:type="spellStart"/>
      <w:r w:rsidRPr="00D4086A">
        <w:rPr>
          <w:rFonts w:cs="Arial"/>
          <w:sz w:val="20"/>
          <w:szCs w:val="20"/>
        </w:rPr>
        <w:t>Garmaise</w:t>
      </w:r>
      <w:proofErr w:type="spellEnd"/>
      <w:r w:rsidRPr="00D4086A">
        <w:rPr>
          <w:rFonts w:cs="Arial"/>
          <w:sz w:val="20"/>
          <w:szCs w:val="20"/>
        </w:rPr>
        <w:t xml:space="preserve">, M. J., &amp; Natividad, G. (2017). Consumer default, credit reporting, and borrowing </w:t>
      </w:r>
      <w:r w:rsidRPr="00D77B32">
        <w:rPr>
          <w:rFonts w:cs="Arial"/>
          <w:sz w:val="20"/>
          <w:szCs w:val="20"/>
        </w:rPr>
        <w:t xml:space="preserve">constraints. </w:t>
      </w:r>
      <w:r w:rsidRPr="00D77B32">
        <w:rPr>
          <w:rFonts w:cs="Arial"/>
          <w:i/>
          <w:iCs/>
          <w:sz w:val="20"/>
          <w:szCs w:val="20"/>
        </w:rPr>
        <w:t>The Journal of Finance</w:t>
      </w:r>
      <w:r w:rsidRPr="00D77B32">
        <w:rPr>
          <w:rFonts w:cs="Arial"/>
          <w:sz w:val="20"/>
          <w:szCs w:val="20"/>
        </w:rPr>
        <w:t>, 72(5), 2331-2368.</w:t>
      </w:r>
    </w:p>
    <w:p w14:paraId="3D9CC699" w14:textId="77777777" w:rsidR="00F94B4C" w:rsidRPr="00D77B32" w:rsidRDefault="00F94B4C" w:rsidP="00F94B4C">
      <w:pPr>
        <w:pStyle w:val="ListParagraph"/>
        <w:numPr>
          <w:ilvl w:val="0"/>
          <w:numId w:val="4"/>
        </w:numPr>
        <w:spacing w:line="240" w:lineRule="auto"/>
        <w:rPr>
          <w:rFonts w:eastAsia="Times New Roman" w:cs="Arial"/>
          <w:color w:val="222222"/>
          <w:sz w:val="20"/>
          <w:szCs w:val="20"/>
        </w:rPr>
      </w:pPr>
      <w:proofErr w:type="spellStart"/>
      <w:r w:rsidRPr="00D4086A">
        <w:rPr>
          <w:rFonts w:eastAsia="Times New Roman" w:cs="Arial"/>
          <w:color w:val="222222"/>
          <w:sz w:val="20"/>
          <w:szCs w:val="20"/>
        </w:rPr>
        <w:t>Gaustad</w:t>
      </w:r>
      <w:proofErr w:type="spellEnd"/>
      <w:r w:rsidRPr="00D4086A">
        <w:rPr>
          <w:rFonts w:eastAsia="Times New Roman" w:cs="Arial"/>
          <w:color w:val="222222"/>
          <w:sz w:val="20"/>
          <w:szCs w:val="20"/>
        </w:rPr>
        <w:t xml:space="preserve">, G., </w:t>
      </w:r>
      <w:proofErr w:type="spellStart"/>
      <w:r w:rsidRPr="00D4086A">
        <w:rPr>
          <w:rFonts w:eastAsia="Times New Roman" w:cs="Arial"/>
          <w:color w:val="222222"/>
          <w:sz w:val="20"/>
          <w:szCs w:val="20"/>
        </w:rPr>
        <w:t>Krystofik</w:t>
      </w:r>
      <w:proofErr w:type="spellEnd"/>
      <w:r w:rsidRPr="00D4086A">
        <w:rPr>
          <w:rFonts w:eastAsia="Times New Roman" w:cs="Arial"/>
          <w:color w:val="222222"/>
          <w:sz w:val="20"/>
          <w:szCs w:val="20"/>
        </w:rPr>
        <w:t xml:space="preserve">, M., Bustamante, M., &amp; Badami, K. (2018). Circular economy </w:t>
      </w:r>
      <w:r w:rsidRPr="00D77B32">
        <w:rPr>
          <w:rFonts w:eastAsia="Times New Roman" w:cs="Arial"/>
          <w:color w:val="222222"/>
          <w:sz w:val="20"/>
          <w:szCs w:val="20"/>
        </w:rPr>
        <w:t>strategies for mitigating critical material supply issues. </w:t>
      </w:r>
      <w:r w:rsidRPr="00D77B32">
        <w:rPr>
          <w:rFonts w:eastAsia="Times New Roman" w:cs="Arial"/>
          <w:i/>
          <w:iCs/>
          <w:color w:val="222222"/>
          <w:sz w:val="20"/>
          <w:szCs w:val="20"/>
        </w:rPr>
        <w:t>Resources, Conservation and Recycling</w:t>
      </w:r>
      <w:r w:rsidRPr="00D77B32">
        <w:rPr>
          <w:rFonts w:eastAsia="Times New Roman" w:cs="Arial"/>
          <w:color w:val="222222"/>
          <w:sz w:val="20"/>
          <w:szCs w:val="20"/>
        </w:rPr>
        <w:t>, </w:t>
      </w:r>
      <w:r w:rsidRPr="00D77B32">
        <w:rPr>
          <w:rFonts w:eastAsia="Times New Roman" w:cs="Arial"/>
          <w:i/>
          <w:iCs/>
          <w:color w:val="222222"/>
          <w:sz w:val="20"/>
          <w:szCs w:val="20"/>
        </w:rPr>
        <w:t>135</w:t>
      </w:r>
      <w:r w:rsidRPr="00D77B32">
        <w:rPr>
          <w:rFonts w:eastAsia="Times New Roman" w:cs="Arial"/>
          <w:color w:val="222222"/>
          <w:sz w:val="20"/>
          <w:szCs w:val="20"/>
        </w:rPr>
        <w:t>, 24-33.</w:t>
      </w:r>
    </w:p>
    <w:p w14:paraId="427BB08D" w14:textId="77777777" w:rsidR="00F94B4C" w:rsidRPr="00C80F49" w:rsidRDefault="00F94B4C" w:rsidP="00F94B4C">
      <w:pPr>
        <w:pStyle w:val="ListParagraph"/>
        <w:numPr>
          <w:ilvl w:val="0"/>
          <w:numId w:val="4"/>
        </w:numPr>
        <w:spacing w:line="240" w:lineRule="auto"/>
        <w:rPr>
          <w:rFonts w:cs="Arial"/>
          <w:sz w:val="20"/>
          <w:szCs w:val="20"/>
          <w:shd w:val="clear" w:color="auto" w:fill="FFFFFF"/>
        </w:rPr>
      </w:pPr>
      <w:proofErr w:type="spellStart"/>
      <w:r w:rsidRPr="00D4086A">
        <w:rPr>
          <w:rFonts w:cs="Arial"/>
          <w:sz w:val="20"/>
          <w:szCs w:val="20"/>
          <w:shd w:val="clear" w:color="auto" w:fill="FFFFFF"/>
        </w:rPr>
        <w:t>Gemechu</w:t>
      </w:r>
      <w:proofErr w:type="spellEnd"/>
      <w:r w:rsidRPr="00D4086A">
        <w:rPr>
          <w:rFonts w:cs="Arial"/>
          <w:sz w:val="20"/>
          <w:szCs w:val="20"/>
          <w:shd w:val="clear" w:color="auto" w:fill="FFFFFF"/>
        </w:rPr>
        <w:t>, H. (2018). </w:t>
      </w:r>
      <w:r w:rsidRPr="00D4086A">
        <w:rPr>
          <w:rFonts w:cs="Arial"/>
          <w:i/>
          <w:iCs/>
          <w:sz w:val="20"/>
          <w:szCs w:val="20"/>
          <w:shd w:val="clear" w:color="auto" w:fill="FFFFFF"/>
        </w:rPr>
        <w:t>determinants of trade balance in Ethiopia</w:t>
      </w:r>
      <w:r w:rsidRPr="00D4086A">
        <w:rPr>
          <w:rFonts w:cs="Arial"/>
          <w:sz w:val="20"/>
          <w:szCs w:val="20"/>
          <w:shd w:val="clear" w:color="auto" w:fill="FFFFFF"/>
        </w:rPr>
        <w:t xml:space="preserve"> (Doctoral dissertation, </w:t>
      </w:r>
      <w:proofErr w:type="spellStart"/>
      <w:r w:rsidRPr="00D4086A">
        <w:rPr>
          <w:rFonts w:cs="Arial"/>
          <w:sz w:val="20"/>
          <w:szCs w:val="20"/>
          <w:shd w:val="clear" w:color="auto" w:fill="FFFFFF"/>
        </w:rPr>
        <w:t>st.</w:t>
      </w:r>
      <w:proofErr w:type="spellEnd"/>
      <w:r w:rsidRPr="00D4086A">
        <w:rPr>
          <w:rFonts w:cs="Arial"/>
          <w:sz w:val="20"/>
          <w:szCs w:val="20"/>
          <w:shd w:val="clear" w:color="auto" w:fill="FFFFFF"/>
        </w:rPr>
        <w:t xml:space="preserve"> </w:t>
      </w:r>
      <w:proofErr w:type="spellStart"/>
      <w:r w:rsidRPr="00D77B32">
        <w:rPr>
          <w:rFonts w:cs="Arial"/>
          <w:sz w:val="20"/>
          <w:szCs w:val="20"/>
          <w:shd w:val="clear" w:color="auto" w:fill="FFFFFF"/>
        </w:rPr>
        <w:t>mary's</w:t>
      </w:r>
      <w:proofErr w:type="spellEnd"/>
      <w:r w:rsidRPr="00D77B32">
        <w:rPr>
          <w:rFonts w:cs="Arial"/>
          <w:sz w:val="20"/>
          <w:szCs w:val="20"/>
          <w:shd w:val="clear" w:color="auto" w:fill="FFFFFF"/>
        </w:rPr>
        <w:t xml:space="preserve"> University).</w:t>
      </w:r>
    </w:p>
    <w:p w14:paraId="1E30EA51" w14:textId="77777777" w:rsidR="00F94B4C" w:rsidRPr="00D77B32" w:rsidRDefault="00F94B4C" w:rsidP="00F94B4C">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 xml:space="preserve">Goel, A., &amp; Rastogi, S. (2023). Understanding the impact of borrowers' </w:t>
      </w:r>
      <w:proofErr w:type="spellStart"/>
      <w:r w:rsidRPr="00D4086A">
        <w:rPr>
          <w:rFonts w:cs="Arial"/>
          <w:color w:val="222222"/>
          <w:sz w:val="20"/>
          <w:szCs w:val="20"/>
          <w:shd w:val="clear" w:color="auto" w:fill="FFFFFF"/>
        </w:rPr>
        <w:t>behavioural</w:t>
      </w:r>
      <w:proofErr w:type="spellEnd"/>
      <w:r w:rsidRPr="00D4086A">
        <w:rPr>
          <w:rFonts w:cs="Arial"/>
          <w:color w:val="222222"/>
          <w:sz w:val="20"/>
          <w:szCs w:val="20"/>
          <w:shd w:val="clear" w:color="auto" w:fill="FFFFFF"/>
        </w:rPr>
        <w:t xml:space="preserve"> and </w:t>
      </w:r>
      <w:r w:rsidRPr="00D77B32">
        <w:rPr>
          <w:rFonts w:cs="Arial"/>
          <w:color w:val="222222"/>
          <w:sz w:val="20"/>
          <w:szCs w:val="20"/>
          <w:shd w:val="clear" w:color="auto" w:fill="FFFFFF"/>
        </w:rPr>
        <w:t>psychological traits on credit default: review and conceptual model. </w:t>
      </w:r>
      <w:r w:rsidRPr="00D77B32">
        <w:rPr>
          <w:rFonts w:cs="Arial"/>
          <w:i/>
          <w:iCs/>
          <w:color w:val="222222"/>
          <w:sz w:val="20"/>
          <w:szCs w:val="20"/>
          <w:shd w:val="clear" w:color="auto" w:fill="FFFFFF"/>
        </w:rPr>
        <w:t>Review of Behavioral Finance</w:t>
      </w:r>
      <w:r w:rsidRPr="00D77B32">
        <w:rPr>
          <w:rFonts w:cs="Arial"/>
          <w:color w:val="222222"/>
          <w:sz w:val="20"/>
          <w:szCs w:val="20"/>
          <w:shd w:val="clear" w:color="auto" w:fill="FFFFFF"/>
        </w:rPr>
        <w:t>, </w:t>
      </w:r>
      <w:r w:rsidRPr="00D77B32">
        <w:rPr>
          <w:rFonts w:cs="Arial"/>
          <w:i/>
          <w:iCs/>
          <w:color w:val="222222"/>
          <w:sz w:val="20"/>
          <w:szCs w:val="20"/>
          <w:shd w:val="clear" w:color="auto" w:fill="FFFFFF"/>
        </w:rPr>
        <w:t>15</w:t>
      </w:r>
      <w:r w:rsidRPr="00D77B32">
        <w:rPr>
          <w:rFonts w:cs="Arial"/>
          <w:color w:val="222222"/>
          <w:sz w:val="20"/>
          <w:szCs w:val="20"/>
          <w:shd w:val="clear" w:color="auto" w:fill="FFFFFF"/>
        </w:rPr>
        <w:t>(2), 205-223.</w:t>
      </w:r>
    </w:p>
    <w:p w14:paraId="559DE923" w14:textId="0009290F" w:rsidR="007C2C1D" w:rsidRPr="00F94B4C" w:rsidRDefault="007C2C1D" w:rsidP="00F94B4C">
      <w:pPr>
        <w:spacing w:after="0" w:line="240" w:lineRule="auto"/>
        <w:ind w:left="360"/>
        <w:jc w:val="both"/>
        <w:rPr>
          <w:rFonts w:ascii="Arial" w:hAnsi="Arial" w:cs="Arial"/>
          <w:i/>
          <w:iCs/>
          <w:sz w:val="20"/>
          <w:szCs w:val="20"/>
        </w:rPr>
      </w:pPr>
    </w:p>
    <w:p w14:paraId="63465E83" w14:textId="77777777" w:rsidR="00F94B4C" w:rsidRPr="00D77B32" w:rsidRDefault="00F94B4C" w:rsidP="00F94B4C">
      <w:pPr>
        <w:pStyle w:val="ListParagraph"/>
        <w:numPr>
          <w:ilvl w:val="0"/>
          <w:numId w:val="4"/>
        </w:numPr>
        <w:spacing w:line="240" w:lineRule="auto"/>
        <w:rPr>
          <w:rFonts w:eastAsia="Times New Roman" w:cs="Arial"/>
          <w:color w:val="222222"/>
          <w:sz w:val="20"/>
          <w:szCs w:val="20"/>
        </w:rPr>
      </w:pPr>
      <w:r w:rsidRPr="00D4086A">
        <w:rPr>
          <w:rFonts w:eastAsia="Times New Roman" w:cs="Arial"/>
          <w:color w:val="222222"/>
          <w:sz w:val="20"/>
          <w:szCs w:val="20"/>
        </w:rPr>
        <w:t xml:space="preserve">Gomera, W. C., &amp; </w:t>
      </w:r>
      <w:proofErr w:type="spellStart"/>
      <w:r w:rsidRPr="00D4086A">
        <w:rPr>
          <w:rFonts w:eastAsia="Times New Roman" w:cs="Arial"/>
          <w:color w:val="222222"/>
          <w:sz w:val="20"/>
          <w:szCs w:val="20"/>
        </w:rPr>
        <w:t>Ngollo</w:t>
      </w:r>
      <w:proofErr w:type="spellEnd"/>
      <w:r w:rsidRPr="00D4086A">
        <w:rPr>
          <w:rFonts w:eastAsia="Times New Roman" w:cs="Arial"/>
          <w:color w:val="222222"/>
          <w:sz w:val="20"/>
          <w:szCs w:val="20"/>
        </w:rPr>
        <w:t xml:space="preserve">, M. I. (2023). The Effect of Self-Control on Loan Repayment </w:t>
      </w:r>
      <w:r w:rsidRPr="00D77B32">
        <w:rPr>
          <w:rFonts w:eastAsia="Times New Roman" w:cs="Arial"/>
          <w:color w:val="222222"/>
          <w:sz w:val="20"/>
          <w:szCs w:val="20"/>
        </w:rPr>
        <w:t>Decisions of Women Market Vendors in Mbeya Municipality, Tanzania. </w:t>
      </w:r>
      <w:proofErr w:type="spellStart"/>
      <w:r w:rsidRPr="00D77B32">
        <w:rPr>
          <w:rFonts w:eastAsia="Times New Roman" w:cs="Arial"/>
          <w:i/>
          <w:iCs/>
          <w:color w:val="222222"/>
          <w:sz w:val="20"/>
          <w:szCs w:val="20"/>
        </w:rPr>
        <w:t>Jurnal</w:t>
      </w:r>
      <w:proofErr w:type="spellEnd"/>
      <w:r w:rsidRPr="00D77B32">
        <w:rPr>
          <w:rFonts w:eastAsia="Times New Roman" w:cs="Arial"/>
          <w:i/>
          <w:iCs/>
          <w:color w:val="222222"/>
          <w:sz w:val="20"/>
          <w:szCs w:val="20"/>
        </w:rPr>
        <w:t xml:space="preserve"> </w:t>
      </w:r>
      <w:proofErr w:type="spellStart"/>
      <w:r w:rsidRPr="00D77B32">
        <w:rPr>
          <w:rFonts w:eastAsia="Times New Roman" w:cs="Arial"/>
          <w:i/>
          <w:iCs/>
          <w:color w:val="222222"/>
          <w:sz w:val="20"/>
          <w:szCs w:val="20"/>
        </w:rPr>
        <w:t>Manajemen</w:t>
      </w:r>
      <w:proofErr w:type="spellEnd"/>
      <w:r w:rsidRPr="00D77B32">
        <w:rPr>
          <w:rFonts w:eastAsia="Times New Roman" w:cs="Arial"/>
          <w:i/>
          <w:iCs/>
          <w:color w:val="222222"/>
          <w:sz w:val="20"/>
          <w:szCs w:val="20"/>
        </w:rPr>
        <w:t xml:space="preserve"> </w:t>
      </w:r>
      <w:proofErr w:type="spellStart"/>
      <w:r w:rsidRPr="00D77B32">
        <w:rPr>
          <w:rFonts w:eastAsia="Times New Roman" w:cs="Arial"/>
          <w:i/>
          <w:iCs/>
          <w:color w:val="222222"/>
          <w:sz w:val="20"/>
          <w:szCs w:val="20"/>
        </w:rPr>
        <w:t>Teori</w:t>
      </w:r>
      <w:proofErr w:type="spellEnd"/>
      <w:r w:rsidRPr="00D77B32">
        <w:rPr>
          <w:rFonts w:eastAsia="Times New Roman" w:cs="Arial"/>
          <w:i/>
          <w:iCs/>
          <w:color w:val="222222"/>
          <w:sz w:val="20"/>
          <w:szCs w:val="20"/>
        </w:rPr>
        <w:t xml:space="preserve"> dan </w:t>
      </w:r>
      <w:proofErr w:type="spellStart"/>
      <w:r w:rsidRPr="00D77B32">
        <w:rPr>
          <w:rFonts w:eastAsia="Times New Roman" w:cs="Arial"/>
          <w:i/>
          <w:iCs/>
          <w:color w:val="222222"/>
          <w:sz w:val="20"/>
          <w:szCs w:val="20"/>
        </w:rPr>
        <w:t>Terapan</w:t>
      </w:r>
      <w:proofErr w:type="spellEnd"/>
      <w:r w:rsidRPr="00D77B32">
        <w:rPr>
          <w:rFonts w:eastAsia="Times New Roman" w:cs="Arial"/>
          <w:color w:val="222222"/>
          <w:sz w:val="20"/>
          <w:szCs w:val="20"/>
        </w:rPr>
        <w:t>, </w:t>
      </w:r>
      <w:r w:rsidRPr="00D77B32">
        <w:rPr>
          <w:rFonts w:eastAsia="Times New Roman" w:cs="Arial"/>
          <w:i/>
          <w:iCs/>
          <w:color w:val="222222"/>
          <w:sz w:val="20"/>
          <w:szCs w:val="20"/>
        </w:rPr>
        <w:t>16</w:t>
      </w:r>
      <w:r w:rsidRPr="00D77B32">
        <w:rPr>
          <w:rFonts w:eastAsia="Times New Roman" w:cs="Arial"/>
          <w:color w:val="222222"/>
          <w:sz w:val="20"/>
          <w:szCs w:val="20"/>
        </w:rPr>
        <w:t>(1).</w:t>
      </w:r>
    </w:p>
    <w:p w14:paraId="1DA4A1F5" w14:textId="77777777" w:rsidR="00F94B4C" w:rsidRPr="00C80F49" w:rsidRDefault="00F94B4C" w:rsidP="00F94B4C">
      <w:pPr>
        <w:pStyle w:val="ListParagraph"/>
        <w:numPr>
          <w:ilvl w:val="0"/>
          <w:numId w:val="4"/>
        </w:numPr>
        <w:spacing w:line="240" w:lineRule="auto"/>
        <w:rPr>
          <w:rFonts w:cs="Arial"/>
          <w:i/>
          <w:iCs/>
          <w:color w:val="222222"/>
          <w:sz w:val="20"/>
          <w:szCs w:val="20"/>
          <w:shd w:val="clear" w:color="auto" w:fill="FFFFFF"/>
        </w:rPr>
      </w:pPr>
      <w:r w:rsidRPr="00D4086A">
        <w:rPr>
          <w:rFonts w:cs="Arial"/>
          <w:color w:val="222222"/>
          <w:sz w:val="20"/>
          <w:szCs w:val="20"/>
          <w:shd w:val="clear" w:color="auto" w:fill="FFFFFF"/>
        </w:rPr>
        <w:t>Gopal, M. (2021). </w:t>
      </w:r>
      <w:r w:rsidRPr="00D4086A">
        <w:rPr>
          <w:rFonts w:cs="Arial"/>
          <w:i/>
          <w:iCs/>
          <w:color w:val="222222"/>
          <w:sz w:val="20"/>
          <w:szCs w:val="20"/>
          <w:shd w:val="clear" w:color="auto" w:fill="FFFFFF"/>
        </w:rPr>
        <w:t xml:space="preserve">How collateral affects small business lending: The role of lender </w:t>
      </w:r>
      <w:r w:rsidRPr="00D77B32">
        <w:rPr>
          <w:rFonts w:cs="Arial"/>
          <w:i/>
          <w:iCs/>
          <w:color w:val="222222"/>
          <w:sz w:val="20"/>
          <w:szCs w:val="20"/>
          <w:shd w:val="clear" w:color="auto" w:fill="FFFFFF"/>
        </w:rPr>
        <w:t>specialization</w:t>
      </w:r>
      <w:r w:rsidRPr="00D77B32">
        <w:rPr>
          <w:rFonts w:cs="Arial"/>
          <w:color w:val="222222"/>
          <w:sz w:val="20"/>
          <w:szCs w:val="20"/>
          <w:shd w:val="clear" w:color="auto" w:fill="FFFFFF"/>
        </w:rPr>
        <w:t>. US Census Bureau, Center for Economic Studies.</w:t>
      </w:r>
    </w:p>
    <w:p w14:paraId="4FE5E9BA" w14:textId="77777777" w:rsidR="00F94B4C" w:rsidRPr="00C02864" w:rsidRDefault="00F94B4C" w:rsidP="00F94B4C">
      <w:pPr>
        <w:pStyle w:val="ListParagraph"/>
        <w:numPr>
          <w:ilvl w:val="0"/>
          <w:numId w:val="4"/>
        </w:numPr>
        <w:spacing w:line="240" w:lineRule="auto"/>
        <w:rPr>
          <w:rFonts w:cs="Arial"/>
          <w:i/>
          <w:iCs/>
          <w:sz w:val="20"/>
          <w:szCs w:val="20"/>
        </w:rPr>
      </w:pPr>
      <w:r w:rsidRPr="00D4086A">
        <w:rPr>
          <w:rFonts w:cs="Arial"/>
          <w:sz w:val="20"/>
          <w:szCs w:val="20"/>
        </w:rPr>
        <w:t>Huang, X., Sun, J., &amp; Zhao, X. (2021</w:t>
      </w:r>
      <w:r w:rsidRPr="00D4086A">
        <w:rPr>
          <w:rFonts w:cs="Arial"/>
          <w:i/>
          <w:iCs/>
          <w:sz w:val="20"/>
          <w:szCs w:val="20"/>
        </w:rPr>
        <w:t>). Credit risk assessment of supply chain financing</w:t>
      </w:r>
      <w:r>
        <w:rPr>
          <w:rFonts w:cs="Arial"/>
          <w:i/>
          <w:iCs/>
          <w:sz w:val="20"/>
          <w:szCs w:val="20"/>
        </w:rPr>
        <w:t xml:space="preserve"> </w:t>
      </w:r>
      <w:proofErr w:type="gramStart"/>
      <w:r w:rsidRPr="00C02864">
        <w:rPr>
          <w:rFonts w:cs="Arial"/>
          <w:i/>
          <w:iCs/>
          <w:sz w:val="20"/>
          <w:szCs w:val="20"/>
        </w:rPr>
        <w:t>With</w:t>
      </w:r>
      <w:proofErr w:type="gramEnd"/>
      <w:r w:rsidRPr="00C02864">
        <w:rPr>
          <w:rFonts w:cs="Arial"/>
          <w:i/>
          <w:iCs/>
          <w:sz w:val="20"/>
          <w:szCs w:val="20"/>
        </w:rPr>
        <w:t xml:space="preserve"> a grey correlation model: an empirical study on China’s home appliance    industry. Complexity, </w:t>
      </w:r>
      <w:r w:rsidRPr="00C02864">
        <w:rPr>
          <w:rFonts w:cs="Arial"/>
          <w:sz w:val="20"/>
          <w:szCs w:val="20"/>
        </w:rPr>
        <w:t>2021(1), 9981019.</w:t>
      </w:r>
    </w:p>
    <w:p w14:paraId="4244677A" w14:textId="77777777" w:rsidR="00F94B4C" w:rsidRPr="002E6F50" w:rsidRDefault="00F94B4C" w:rsidP="00F94B4C">
      <w:pPr>
        <w:pStyle w:val="ListParagraph"/>
        <w:numPr>
          <w:ilvl w:val="0"/>
          <w:numId w:val="4"/>
        </w:numPr>
        <w:spacing w:line="240" w:lineRule="auto"/>
        <w:rPr>
          <w:rFonts w:eastAsia="Times New Roman" w:cs="Arial"/>
          <w:i/>
          <w:iCs/>
          <w:sz w:val="20"/>
          <w:szCs w:val="20"/>
        </w:rPr>
      </w:pPr>
      <w:proofErr w:type="spellStart"/>
      <w:r w:rsidRPr="00D4086A">
        <w:rPr>
          <w:rFonts w:eastAsia="Times New Roman" w:cs="Arial"/>
          <w:sz w:val="20"/>
          <w:szCs w:val="20"/>
        </w:rPr>
        <w:t>Kahuthu</w:t>
      </w:r>
      <w:proofErr w:type="spellEnd"/>
      <w:r w:rsidRPr="00D4086A">
        <w:rPr>
          <w:rFonts w:eastAsia="Times New Roman" w:cs="Arial"/>
          <w:sz w:val="20"/>
          <w:szCs w:val="20"/>
        </w:rPr>
        <w:t>, S. W. (2016). </w:t>
      </w:r>
      <w:r w:rsidRPr="00D4086A">
        <w:rPr>
          <w:rFonts w:eastAsia="Times New Roman" w:cs="Arial"/>
          <w:i/>
          <w:iCs/>
          <w:sz w:val="20"/>
          <w:szCs w:val="20"/>
        </w:rPr>
        <w:t xml:space="preserve">Effect of credit risk management </w:t>
      </w:r>
      <w:r>
        <w:rPr>
          <w:rFonts w:eastAsia="Times New Roman" w:cs="Arial"/>
          <w:i/>
          <w:iCs/>
          <w:sz w:val="20"/>
          <w:szCs w:val="20"/>
        </w:rPr>
        <w:t xml:space="preserve">practices on growth of Sacco's </w:t>
      </w:r>
      <w:r w:rsidRPr="00EA2E35">
        <w:rPr>
          <w:rFonts w:eastAsia="Times New Roman" w:cs="Arial"/>
          <w:i/>
          <w:iCs/>
          <w:sz w:val="20"/>
          <w:szCs w:val="20"/>
        </w:rPr>
        <w:t>wealth in Nakuru Town</w:t>
      </w:r>
      <w:r w:rsidRPr="00EA2E35">
        <w:rPr>
          <w:rFonts w:eastAsia="Times New Roman" w:cs="Arial"/>
          <w:sz w:val="20"/>
          <w:szCs w:val="20"/>
        </w:rPr>
        <w:t> (Doctoral dissertation, Egerton University).</w:t>
      </w:r>
    </w:p>
    <w:p w14:paraId="5542842B" w14:textId="77777777" w:rsidR="00F94B4C" w:rsidRPr="00EA2E35" w:rsidRDefault="00F94B4C" w:rsidP="00F94B4C">
      <w:pPr>
        <w:pStyle w:val="ListParagraph"/>
        <w:numPr>
          <w:ilvl w:val="0"/>
          <w:numId w:val="4"/>
        </w:numPr>
        <w:spacing w:line="240" w:lineRule="auto"/>
        <w:rPr>
          <w:rFonts w:cs="Arial"/>
          <w:sz w:val="20"/>
          <w:szCs w:val="20"/>
        </w:rPr>
      </w:pPr>
      <w:r w:rsidRPr="00D4086A">
        <w:rPr>
          <w:rFonts w:cs="Arial"/>
          <w:sz w:val="20"/>
          <w:szCs w:val="20"/>
        </w:rPr>
        <w:t xml:space="preserve">KENNETH, N. R. (2016). STRATEGIES IN MANAGING FINANCIAL RISK </w:t>
      </w:r>
      <w:r w:rsidRPr="00EA2E35">
        <w:rPr>
          <w:rFonts w:cs="Arial"/>
          <w:sz w:val="20"/>
          <w:szCs w:val="20"/>
        </w:rPr>
        <w:t>VULNERABILITY AMONG SOUTH AFRICAN HOUSEHOLDS.</w:t>
      </w:r>
    </w:p>
    <w:p w14:paraId="73D53F15" w14:textId="77777777" w:rsidR="00F94B4C" w:rsidRPr="00EA2E35" w:rsidRDefault="00F94B4C" w:rsidP="00F94B4C">
      <w:pPr>
        <w:pStyle w:val="ListParagraph"/>
        <w:numPr>
          <w:ilvl w:val="0"/>
          <w:numId w:val="4"/>
        </w:numPr>
        <w:spacing w:line="240" w:lineRule="auto"/>
        <w:rPr>
          <w:rFonts w:eastAsia="Times New Roman" w:cs="Arial"/>
          <w:i/>
          <w:iCs/>
          <w:color w:val="000000" w:themeColor="text1"/>
          <w:sz w:val="20"/>
          <w:szCs w:val="20"/>
        </w:rPr>
      </w:pPr>
      <w:r w:rsidRPr="00D4086A">
        <w:rPr>
          <w:rFonts w:eastAsia="Times New Roman" w:cs="Arial"/>
          <w:color w:val="000000" w:themeColor="text1"/>
          <w:sz w:val="20"/>
          <w:szCs w:val="20"/>
        </w:rPr>
        <w:t>KIPCHUMBA, L. J. (2015). </w:t>
      </w:r>
      <w:r w:rsidRPr="00D4086A">
        <w:rPr>
          <w:rFonts w:eastAsia="Times New Roman" w:cs="Arial"/>
          <w:i/>
          <w:iCs/>
          <w:color w:val="000000" w:themeColor="text1"/>
          <w:sz w:val="20"/>
          <w:szCs w:val="20"/>
        </w:rPr>
        <w:t xml:space="preserve">Effects of credit assessment on loan repayment in </w:t>
      </w:r>
      <w:r w:rsidRPr="00EA2E35">
        <w:rPr>
          <w:rFonts w:eastAsia="Times New Roman" w:cs="Arial"/>
          <w:i/>
          <w:iCs/>
          <w:color w:val="000000" w:themeColor="text1"/>
          <w:sz w:val="20"/>
          <w:szCs w:val="20"/>
        </w:rPr>
        <w:t>microfinance institutions in Nakuru Central Business District (CBD)</w:t>
      </w:r>
      <w:r w:rsidRPr="00EA2E35">
        <w:rPr>
          <w:rFonts w:eastAsia="Times New Roman" w:cs="Arial"/>
          <w:color w:val="000000" w:themeColor="text1"/>
          <w:sz w:val="20"/>
          <w:szCs w:val="20"/>
        </w:rPr>
        <w:t xml:space="preserve"> (Doctoral dissertation, </w:t>
      </w:r>
      <w:proofErr w:type="spellStart"/>
      <w:r w:rsidRPr="00EA2E35">
        <w:rPr>
          <w:rFonts w:eastAsia="Times New Roman" w:cs="Arial"/>
          <w:color w:val="000000" w:themeColor="text1"/>
          <w:sz w:val="20"/>
          <w:szCs w:val="20"/>
        </w:rPr>
        <w:t>Kabarak</w:t>
      </w:r>
      <w:proofErr w:type="spellEnd"/>
      <w:r w:rsidRPr="00EA2E35">
        <w:rPr>
          <w:rFonts w:eastAsia="Times New Roman" w:cs="Arial"/>
          <w:color w:val="000000" w:themeColor="text1"/>
          <w:sz w:val="20"/>
          <w:szCs w:val="20"/>
        </w:rPr>
        <w:t xml:space="preserve"> University).</w:t>
      </w:r>
    </w:p>
    <w:p w14:paraId="56E2042F" w14:textId="77777777" w:rsidR="00F94B4C" w:rsidRPr="00EA2E35" w:rsidRDefault="00F94B4C" w:rsidP="00F94B4C">
      <w:pPr>
        <w:pStyle w:val="ListParagraph"/>
        <w:numPr>
          <w:ilvl w:val="0"/>
          <w:numId w:val="4"/>
        </w:numPr>
        <w:spacing w:line="240" w:lineRule="auto"/>
        <w:rPr>
          <w:rFonts w:eastAsia="Times New Roman" w:cs="Arial"/>
          <w:i/>
          <w:iCs/>
          <w:sz w:val="20"/>
          <w:szCs w:val="20"/>
        </w:rPr>
      </w:pPr>
      <w:proofErr w:type="spellStart"/>
      <w:r w:rsidRPr="00D4086A">
        <w:rPr>
          <w:rFonts w:eastAsia="Times New Roman" w:cs="Arial"/>
          <w:sz w:val="20"/>
          <w:szCs w:val="20"/>
        </w:rPr>
        <w:t>Khine</w:t>
      </w:r>
      <w:proofErr w:type="spellEnd"/>
      <w:r w:rsidRPr="00D4086A">
        <w:rPr>
          <w:rFonts w:eastAsia="Times New Roman" w:cs="Arial"/>
          <w:sz w:val="20"/>
          <w:szCs w:val="20"/>
        </w:rPr>
        <w:t>, M. M. </w:t>
      </w:r>
      <w:r w:rsidRPr="00D4086A">
        <w:rPr>
          <w:rFonts w:eastAsia="Times New Roman" w:cs="Arial"/>
          <w:i/>
          <w:iCs/>
          <w:sz w:val="20"/>
          <w:szCs w:val="20"/>
        </w:rPr>
        <w:t xml:space="preserve">Effect of Credit Risk Management Practices on Loan Performance Of UAB </w:t>
      </w:r>
      <w:proofErr w:type="gramStart"/>
      <w:r w:rsidRPr="00EA2E35">
        <w:rPr>
          <w:rFonts w:eastAsia="Times New Roman" w:cs="Arial"/>
          <w:i/>
          <w:iCs/>
          <w:sz w:val="20"/>
          <w:szCs w:val="20"/>
        </w:rPr>
        <w:t>Bank.(</w:t>
      </w:r>
      <w:proofErr w:type="spellStart"/>
      <w:proofErr w:type="gramEnd"/>
      <w:r w:rsidRPr="00EA2E35">
        <w:rPr>
          <w:rFonts w:eastAsia="Times New Roman" w:cs="Arial"/>
          <w:i/>
          <w:iCs/>
          <w:sz w:val="20"/>
          <w:szCs w:val="20"/>
        </w:rPr>
        <w:t>Moh</w:t>
      </w:r>
      <w:proofErr w:type="spellEnd"/>
      <w:r w:rsidRPr="00EA2E35">
        <w:rPr>
          <w:rFonts w:eastAsia="Times New Roman" w:cs="Arial"/>
          <w:i/>
          <w:iCs/>
          <w:sz w:val="20"/>
          <w:szCs w:val="20"/>
        </w:rPr>
        <w:t xml:space="preserve"> </w:t>
      </w:r>
      <w:proofErr w:type="spellStart"/>
      <w:r w:rsidRPr="00EA2E35">
        <w:rPr>
          <w:rFonts w:eastAsia="Times New Roman" w:cs="Arial"/>
          <w:i/>
          <w:iCs/>
          <w:sz w:val="20"/>
          <w:szCs w:val="20"/>
        </w:rPr>
        <w:t>Moh</w:t>
      </w:r>
      <w:proofErr w:type="spellEnd"/>
      <w:r w:rsidRPr="00EA2E35">
        <w:rPr>
          <w:rFonts w:eastAsia="Times New Roman" w:cs="Arial"/>
          <w:i/>
          <w:iCs/>
          <w:sz w:val="20"/>
          <w:szCs w:val="20"/>
        </w:rPr>
        <w:t xml:space="preserve"> </w:t>
      </w:r>
      <w:proofErr w:type="spellStart"/>
      <w:r w:rsidRPr="00EA2E35">
        <w:rPr>
          <w:rFonts w:eastAsia="Times New Roman" w:cs="Arial"/>
          <w:i/>
          <w:iCs/>
          <w:sz w:val="20"/>
          <w:szCs w:val="20"/>
        </w:rPr>
        <w:t>Khine</w:t>
      </w:r>
      <w:proofErr w:type="spellEnd"/>
      <w:r w:rsidRPr="00EA2E35">
        <w:rPr>
          <w:rFonts w:eastAsia="Times New Roman" w:cs="Arial"/>
          <w:i/>
          <w:iCs/>
          <w:sz w:val="20"/>
          <w:szCs w:val="20"/>
        </w:rPr>
        <w:t>, 2023)</w:t>
      </w:r>
      <w:r w:rsidRPr="00EA2E35">
        <w:rPr>
          <w:rFonts w:eastAsia="Times New Roman" w:cs="Arial"/>
          <w:sz w:val="20"/>
          <w:szCs w:val="20"/>
        </w:rPr>
        <w:t> (Doctoral dissertation, MERAL Portal).</w:t>
      </w:r>
    </w:p>
    <w:p w14:paraId="37C76D25" w14:textId="77777777" w:rsidR="00F94B4C" w:rsidRPr="00EA2E35" w:rsidRDefault="00F94B4C" w:rsidP="00F94B4C">
      <w:pPr>
        <w:pStyle w:val="ListParagraph"/>
        <w:numPr>
          <w:ilvl w:val="0"/>
          <w:numId w:val="4"/>
        </w:numPr>
        <w:spacing w:line="240" w:lineRule="auto"/>
        <w:rPr>
          <w:rFonts w:cs="Arial"/>
          <w:color w:val="222222"/>
          <w:sz w:val="20"/>
          <w:szCs w:val="20"/>
          <w:shd w:val="clear" w:color="auto" w:fill="FFFFFF"/>
        </w:rPr>
      </w:pPr>
      <w:proofErr w:type="spellStart"/>
      <w:r w:rsidRPr="00D4086A">
        <w:rPr>
          <w:rFonts w:cs="Arial"/>
          <w:color w:val="222222"/>
          <w:sz w:val="20"/>
          <w:szCs w:val="20"/>
          <w:shd w:val="clear" w:color="auto" w:fill="FFFFFF"/>
        </w:rPr>
        <w:t>Koech</w:t>
      </w:r>
      <w:proofErr w:type="spellEnd"/>
      <w:r w:rsidRPr="00D4086A">
        <w:rPr>
          <w:rFonts w:cs="Arial"/>
          <w:color w:val="222222"/>
          <w:sz w:val="20"/>
          <w:szCs w:val="20"/>
          <w:shd w:val="clear" w:color="auto" w:fill="FFFFFF"/>
        </w:rPr>
        <w:t xml:space="preserve">, W. J., &amp; </w:t>
      </w:r>
      <w:proofErr w:type="spellStart"/>
      <w:r w:rsidRPr="00D4086A">
        <w:rPr>
          <w:rFonts w:cs="Arial"/>
          <w:color w:val="222222"/>
          <w:sz w:val="20"/>
          <w:szCs w:val="20"/>
          <w:shd w:val="clear" w:color="auto" w:fill="FFFFFF"/>
        </w:rPr>
        <w:t>Maina</w:t>
      </w:r>
      <w:proofErr w:type="spellEnd"/>
      <w:r w:rsidRPr="00D4086A">
        <w:rPr>
          <w:rFonts w:cs="Arial"/>
          <w:color w:val="222222"/>
          <w:sz w:val="20"/>
          <w:szCs w:val="20"/>
          <w:shd w:val="clear" w:color="auto" w:fill="FFFFFF"/>
        </w:rPr>
        <w:t xml:space="preserve">, D. K. E. (2020). Effect of interest rate volatility drivers on loan </w:t>
      </w:r>
      <w:r w:rsidRPr="00EA2E35">
        <w:rPr>
          <w:rFonts w:cs="Arial"/>
          <w:color w:val="222222"/>
          <w:sz w:val="20"/>
          <w:szCs w:val="20"/>
          <w:shd w:val="clear" w:color="auto" w:fill="FFFFFF"/>
        </w:rPr>
        <w:t>repayment among commercial banks in Eldoret town, Kenya. </w:t>
      </w:r>
      <w:r w:rsidRPr="00EA2E35">
        <w:rPr>
          <w:rFonts w:cs="Arial"/>
          <w:i/>
          <w:iCs/>
          <w:color w:val="222222"/>
          <w:sz w:val="20"/>
          <w:szCs w:val="20"/>
          <w:shd w:val="clear" w:color="auto" w:fill="FFFFFF"/>
        </w:rPr>
        <w:t>International Journal of Finance and Accounting</w:t>
      </w:r>
      <w:r w:rsidRPr="00EA2E35">
        <w:rPr>
          <w:rFonts w:cs="Arial"/>
          <w:color w:val="222222"/>
          <w:sz w:val="20"/>
          <w:szCs w:val="20"/>
          <w:shd w:val="clear" w:color="auto" w:fill="FFFFFF"/>
        </w:rPr>
        <w:t>, </w:t>
      </w:r>
      <w:r w:rsidRPr="00EA2E35">
        <w:rPr>
          <w:rFonts w:cs="Arial"/>
          <w:i/>
          <w:iCs/>
          <w:color w:val="222222"/>
          <w:sz w:val="20"/>
          <w:szCs w:val="20"/>
          <w:shd w:val="clear" w:color="auto" w:fill="FFFFFF"/>
        </w:rPr>
        <w:t>1</w:t>
      </w:r>
      <w:r w:rsidRPr="00EA2E35">
        <w:rPr>
          <w:rFonts w:cs="Arial"/>
          <w:color w:val="222222"/>
          <w:sz w:val="20"/>
          <w:szCs w:val="20"/>
          <w:shd w:val="clear" w:color="auto" w:fill="FFFFFF"/>
        </w:rPr>
        <w:t>(1), 1-13.</w:t>
      </w:r>
    </w:p>
    <w:p w14:paraId="78B2F7C2" w14:textId="77777777" w:rsidR="00F94B4C" w:rsidRPr="00EA2E35" w:rsidRDefault="00F94B4C" w:rsidP="00F94B4C">
      <w:pPr>
        <w:pStyle w:val="ListParagraph"/>
        <w:numPr>
          <w:ilvl w:val="0"/>
          <w:numId w:val="4"/>
        </w:numPr>
        <w:spacing w:line="240" w:lineRule="auto"/>
        <w:rPr>
          <w:rFonts w:eastAsia="Times New Roman" w:cs="Arial"/>
          <w:sz w:val="20"/>
          <w:szCs w:val="20"/>
        </w:rPr>
      </w:pPr>
      <w:proofErr w:type="spellStart"/>
      <w:r w:rsidRPr="00D4086A">
        <w:rPr>
          <w:rFonts w:eastAsia="Times New Roman" w:cs="Arial"/>
          <w:sz w:val="20"/>
          <w:szCs w:val="20"/>
        </w:rPr>
        <w:t>Koulafetis</w:t>
      </w:r>
      <w:proofErr w:type="spellEnd"/>
      <w:r w:rsidRPr="00D4086A">
        <w:rPr>
          <w:rFonts w:eastAsia="Times New Roman" w:cs="Arial"/>
          <w:sz w:val="20"/>
          <w:szCs w:val="20"/>
        </w:rPr>
        <w:t>, P. (2017). </w:t>
      </w:r>
      <w:r w:rsidRPr="00D4086A">
        <w:rPr>
          <w:rFonts w:eastAsia="Times New Roman" w:cs="Arial"/>
          <w:i/>
          <w:iCs/>
          <w:sz w:val="20"/>
          <w:szCs w:val="20"/>
        </w:rPr>
        <w:t>Modern credit risk management: Theory and practice</w:t>
      </w:r>
      <w:r w:rsidRPr="00D4086A">
        <w:rPr>
          <w:rFonts w:eastAsia="Times New Roman" w:cs="Arial"/>
          <w:sz w:val="20"/>
          <w:szCs w:val="20"/>
        </w:rPr>
        <w:t xml:space="preserve">. Palgrave </w:t>
      </w:r>
      <w:r w:rsidRPr="00EA2E35">
        <w:rPr>
          <w:rFonts w:eastAsia="Times New Roman" w:cs="Arial"/>
          <w:sz w:val="20"/>
          <w:szCs w:val="20"/>
        </w:rPr>
        <w:t>Macmillan.</w:t>
      </w:r>
    </w:p>
    <w:p w14:paraId="04D7CD15" w14:textId="77777777" w:rsidR="00F94B4C" w:rsidRPr="00EA2E35" w:rsidRDefault="00F94B4C" w:rsidP="00F94B4C">
      <w:pPr>
        <w:pStyle w:val="ListParagraph"/>
        <w:numPr>
          <w:ilvl w:val="0"/>
          <w:numId w:val="4"/>
        </w:numPr>
        <w:spacing w:line="240" w:lineRule="auto"/>
        <w:rPr>
          <w:rFonts w:eastAsia="Times New Roman" w:cs="Arial"/>
          <w:sz w:val="20"/>
          <w:szCs w:val="20"/>
        </w:rPr>
      </w:pPr>
      <w:r w:rsidRPr="00D4086A">
        <w:rPr>
          <w:rFonts w:eastAsia="Times New Roman" w:cs="Arial"/>
          <w:sz w:val="20"/>
          <w:szCs w:val="20"/>
        </w:rPr>
        <w:t>Kyi, W. (2024). </w:t>
      </w:r>
      <w:r w:rsidRPr="00D4086A">
        <w:rPr>
          <w:rFonts w:eastAsia="Times New Roman" w:cs="Arial"/>
          <w:i/>
          <w:iCs/>
          <w:sz w:val="20"/>
          <w:szCs w:val="20"/>
        </w:rPr>
        <w:t>Debt Collection Practices of KBZ Bank (Win Kyi, 2024)</w:t>
      </w:r>
      <w:r w:rsidRPr="00D4086A">
        <w:rPr>
          <w:rFonts w:eastAsia="Times New Roman" w:cs="Arial"/>
          <w:sz w:val="20"/>
          <w:szCs w:val="20"/>
        </w:rPr>
        <w:t xml:space="preserve"> (Doctoral </w:t>
      </w:r>
      <w:r w:rsidRPr="00EA2E35">
        <w:rPr>
          <w:rFonts w:eastAsia="Times New Roman" w:cs="Arial"/>
          <w:sz w:val="20"/>
          <w:szCs w:val="20"/>
        </w:rPr>
        <w:t>dissertation, MERAL Portal).</w:t>
      </w:r>
    </w:p>
    <w:p w14:paraId="65E35EFE" w14:textId="77777777" w:rsidR="00F94B4C" w:rsidRPr="00EA2E35" w:rsidRDefault="00F94B4C" w:rsidP="00F94B4C">
      <w:pPr>
        <w:pStyle w:val="ListParagraph"/>
        <w:numPr>
          <w:ilvl w:val="0"/>
          <w:numId w:val="4"/>
        </w:numPr>
        <w:spacing w:line="240" w:lineRule="auto"/>
        <w:rPr>
          <w:rFonts w:cs="Arial"/>
          <w:color w:val="222222"/>
          <w:sz w:val="20"/>
          <w:szCs w:val="20"/>
          <w:shd w:val="clear" w:color="auto" w:fill="FFFFFF"/>
        </w:rPr>
      </w:pPr>
      <w:proofErr w:type="spellStart"/>
      <w:r w:rsidRPr="00D4086A">
        <w:rPr>
          <w:rFonts w:cs="Arial"/>
          <w:color w:val="222222"/>
          <w:sz w:val="20"/>
          <w:szCs w:val="20"/>
          <w:shd w:val="clear" w:color="auto" w:fill="FFFFFF"/>
        </w:rPr>
        <w:t>Mabonga</w:t>
      </w:r>
      <w:proofErr w:type="spellEnd"/>
      <w:r w:rsidRPr="00D4086A">
        <w:rPr>
          <w:rFonts w:cs="Arial"/>
          <w:color w:val="222222"/>
          <w:sz w:val="20"/>
          <w:szCs w:val="20"/>
          <w:shd w:val="clear" w:color="auto" w:fill="FFFFFF"/>
        </w:rPr>
        <w:t>, M. W., &amp; Kimani, E. N. (2017). Financial management practices and financ</w:t>
      </w:r>
      <w:r>
        <w:rPr>
          <w:rFonts w:cs="Arial"/>
          <w:color w:val="222222"/>
          <w:sz w:val="20"/>
          <w:szCs w:val="20"/>
          <w:shd w:val="clear" w:color="auto" w:fill="FFFFFF"/>
        </w:rPr>
        <w:t xml:space="preserve">ial </w:t>
      </w:r>
      <w:r w:rsidRPr="00EA2E35">
        <w:rPr>
          <w:rFonts w:cs="Arial"/>
          <w:color w:val="222222"/>
          <w:sz w:val="20"/>
          <w:szCs w:val="20"/>
          <w:shd w:val="clear" w:color="auto" w:fill="FFFFFF"/>
        </w:rPr>
        <w:t>performance of microfinance institutions in Bungoma County, Kenya. </w:t>
      </w:r>
      <w:r w:rsidRPr="00EA2E35">
        <w:rPr>
          <w:rFonts w:cs="Arial"/>
          <w:i/>
          <w:iCs/>
          <w:color w:val="222222"/>
          <w:sz w:val="20"/>
          <w:szCs w:val="20"/>
          <w:shd w:val="clear" w:color="auto" w:fill="FFFFFF"/>
        </w:rPr>
        <w:t>International Academic Journal of Economics and Finance</w:t>
      </w:r>
      <w:r w:rsidRPr="00EA2E35">
        <w:rPr>
          <w:rFonts w:cs="Arial"/>
          <w:color w:val="222222"/>
          <w:sz w:val="20"/>
          <w:szCs w:val="20"/>
          <w:shd w:val="clear" w:color="auto" w:fill="FFFFFF"/>
        </w:rPr>
        <w:t>, </w:t>
      </w:r>
      <w:r w:rsidRPr="00EA2E35">
        <w:rPr>
          <w:rFonts w:cs="Arial"/>
          <w:i/>
          <w:iCs/>
          <w:color w:val="222222"/>
          <w:sz w:val="20"/>
          <w:szCs w:val="20"/>
          <w:shd w:val="clear" w:color="auto" w:fill="FFFFFF"/>
        </w:rPr>
        <w:t>2</w:t>
      </w:r>
      <w:r w:rsidRPr="00EA2E35">
        <w:rPr>
          <w:rFonts w:cs="Arial"/>
          <w:color w:val="222222"/>
          <w:sz w:val="20"/>
          <w:szCs w:val="20"/>
          <w:shd w:val="clear" w:color="auto" w:fill="FFFFFF"/>
        </w:rPr>
        <w:t>(3), 335-347.</w:t>
      </w:r>
    </w:p>
    <w:p w14:paraId="1E1C1AC0" w14:textId="77777777" w:rsidR="00F94B4C" w:rsidRPr="00EA2E35" w:rsidRDefault="00F94B4C" w:rsidP="00F94B4C">
      <w:pPr>
        <w:pStyle w:val="ListParagraph"/>
        <w:numPr>
          <w:ilvl w:val="0"/>
          <w:numId w:val="4"/>
        </w:numPr>
        <w:spacing w:line="240" w:lineRule="auto"/>
        <w:rPr>
          <w:rFonts w:cs="Arial"/>
          <w:sz w:val="20"/>
          <w:szCs w:val="20"/>
          <w:shd w:val="clear" w:color="auto" w:fill="FFFFFF"/>
        </w:rPr>
      </w:pPr>
      <w:proofErr w:type="spellStart"/>
      <w:r w:rsidRPr="00D4086A">
        <w:rPr>
          <w:rFonts w:cs="Arial"/>
          <w:sz w:val="20"/>
          <w:szCs w:val="20"/>
          <w:shd w:val="clear" w:color="auto" w:fill="FFFFFF"/>
        </w:rPr>
        <w:t>Maina</w:t>
      </w:r>
      <w:proofErr w:type="spellEnd"/>
      <w:r w:rsidRPr="00D4086A">
        <w:rPr>
          <w:rFonts w:cs="Arial"/>
          <w:sz w:val="20"/>
          <w:szCs w:val="20"/>
          <w:shd w:val="clear" w:color="auto" w:fill="FFFFFF"/>
        </w:rPr>
        <w:t xml:space="preserve">, E. M., &amp; Njeru, A. (2023). Influence of credit risk management practices on loan </w:t>
      </w:r>
      <w:r w:rsidRPr="00EA2E35">
        <w:rPr>
          <w:rFonts w:cs="Arial"/>
          <w:sz w:val="20"/>
          <w:szCs w:val="20"/>
          <w:shd w:val="clear" w:color="auto" w:fill="FFFFFF"/>
        </w:rPr>
        <w:t>recovery performance of the registered digital credit providers in Kenya. </w:t>
      </w:r>
      <w:r w:rsidRPr="00EA2E35">
        <w:rPr>
          <w:rFonts w:cs="Arial"/>
          <w:i/>
          <w:iCs/>
          <w:sz w:val="20"/>
          <w:szCs w:val="20"/>
          <w:shd w:val="clear" w:color="auto" w:fill="FFFFFF"/>
        </w:rPr>
        <w:t>The Strategic Journal of Business &amp; Change Management</w:t>
      </w:r>
      <w:r w:rsidRPr="00EA2E35">
        <w:rPr>
          <w:rFonts w:cs="Arial"/>
          <w:sz w:val="20"/>
          <w:szCs w:val="20"/>
          <w:shd w:val="clear" w:color="auto" w:fill="FFFFFF"/>
        </w:rPr>
        <w:t>, </w:t>
      </w:r>
      <w:r w:rsidRPr="00EA2E35">
        <w:rPr>
          <w:rFonts w:cs="Arial"/>
          <w:i/>
          <w:iCs/>
          <w:sz w:val="20"/>
          <w:szCs w:val="20"/>
          <w:shd w:val="clear" w:color="auto" w:fill="FFFFFF"/>
        </w:rPr>
        <w:t>10</w:t>
      </w:r>
      <w:r w:rsidRPr="00EA2E35">
        <w:rPr>
          <w:rFonts w:cs="Arial"/>
          <w:sz w:val="20"/>
          <w:szCs w:val="20"/>
          <w:shd w:val="clear" w:color="auto" w:fill="FFFFFF"/>
        </w:rPr>
        <w:t>(4), 682-695.</w:t>
      </w:r>
    </w:p>
    <w:p w14:paraId="373AFF62" w14:textId="77777777" w:rsidR="00F94B4C" w:rsidRPr="00EA2E35" w:rsidRDefault="00F94B4C" w:rsidP="00F94B4C">
      <w:pPr>
        <w:pStyle w:val="ListParagraph"/>
        <w:numPr>
          <w:ilvl w:val="0"/>
          <w:numId w:val="4"/>
        </w:numPr>
        <w:spacing w:line="240" w:lineRule="auto"/>
        <w:rPr>
          <w:rFonts w:eastAsia="Times New Roman" w:cs="Arial"/>
          <w:i/>
          <w:iCs/>
          <w:color w:val="222222"/>
          <w:sz w:val="20"/>
          <w:szCs w:val="20"/>
        </w:rPr>
      </w:pPr>
      <w:proofErr w:type="spellStart"/>
      <w:r w:rsidRPr="00D4086A">
        <w:rPr>
          <w:rFonts w:cs="Arial"/>
          <w:sz w:val="20"/>
          <w:szCs w:val="20"/>
        </w:rPr>
        <w:lastRenderedPageBreak/>
        <w:t>Makori</w:t>
      </w:r>
      <w:proofErr w:type="spellEnd"/>
      <w:r w:rsidRPr="00D4086A">
        <w:rPr>
          <w:rFonts w:cs="Arial"/>
          <w:sz w:val="20"/>
          <w:szCs w:val="20"/>
        </w:rPr>
        <w:t>, G. M. (2023).</w:t>
      </w:r>
      <w:r w:rsidRPr="00D4086A">
        <w:rPr>
          <w:rFonts w:eastAsia="Times New Roman" w:cs="Arial"/>
          <w:sz w:val="20"/>
          <w:szCs w:val="20"/>
        </w:rPr>
        <w:t> </w:t>
      </w:r>
      <w:r w:rsidRPr="00D4086A">
        <w:rPr>
          <w:rFonts w:eastAsia="Times New Roman" w:cs="Arial"/>
          <w:i/>
          <w:iCs/>
          <w:color w:val="222222"/>
          <w:sz w:val="20"/>
          <w:szCs w:val="20"/>
        </w:rPr>
        <w:t xml:space="preserve">Credit Management Techniques and Loans Performance of </w:t>
      </w:r>
      <w:r w:rsidRPr="00EA2E35">
        <w:rPr>
          <w:rFonts w:eastAsia="Times New Roman" w:cs="Arial"/>
          <w:i/>
          <w:iCs/>
          <w:color w:val="222222"/>
          <w:sz w:val="20"/>
          <w:szCs w:val="20"/>
        </w:rPr>
        <w:t>Performance of Commercial Banks in Kenya</w:t>
      </w:r>
      <w:r w:rsidRPr="00EA2E35">
        <w:rPr>
          <w:rFonts w:eastAsia="Times New Roman" w:cs="Arial"/>
          <w:color w:val="222222"/>
          <w:sz w:val="20"/>
          <w:szCs w:val="20"/>
        </w:rPr>
        <w:t> (</w:t>
      </w:r>
      <w:r w:rsidRPr="00EA2E35">
        <w:rPr>
          <w:rFonts w:eastAsia="Times New Roman" w:cs="Arial"/>
          <w:sz w:val="20"/>
          <w:szCs w:val="20"/>
        </w:rPr>
        <w:t>Doctoral dissertation, University of Nairobi).</w:t>
      </w:r>
    </w:p>
    <w:p w14:paraId="6D641EF3" w14:textId="77777777" w:rsidR="00F94B4C" w:rsidRPr="00EA2E35" w:rsidRDefault="00F94B4C" w:rsidP="00F94B4C">
      <w:pPr>
        <w:pStyle w:val="ListParagraph"/>
        <w:numPr>
          <w:ilvl w:val="0"/>
          <w:numId w:val="4"/>
        </w:numPr>
        <w:spacing w:line="240" w:lineRule="auto"/>
        <w:rPr>
          <w:rFonts w:cs="Arial"/>
          <w:i/>
          <w:iCs/>
          <w:sz w:val="20"/>
          <w:szCs w:val="20"/>
        </w:rPr>
      </w:pPr>
      <w:proofErr w:type="spellStart"/>
      <w:r w:rsidRPr="00D4086A">
        <w:rPr>
          <w:rFonts w:cs="Arial"/>
          <w:sz w:val="20"/>
          <w:szCs w:val="20"/>
        </w:rPr>
        <w:t>Malaque</w:t>
      </w:r>
      <w:proofErr w:type="spellEnd"/>
      <w:r w:rsidRPr="00D4086A">
        <w:rPr>
          <w:rFonts w:cs="Arial"/>
          <w:sz w:val="20"/>
          <w:szCs w:val="20"/>
        </w:rPr>
        <w:t xml:space="preserve">, I. R. (2017). </w:t>
      </w:r>
      <w:r w:rsidRPr="00D4086A">
        <w:rPr>
          <w:rFonts w:cs="Arial"/>
          <w:i/>
          <w:iCs/>
          <w:sz w:val="20"/>
          <w:szCs w:val="20"/>
        </w:rPr>
        <w:t xml:space="preserve">Multi-Step Transition in Housing Provision and </w:t>
      </w:r>
      <w:proofErr w:type="spellStart"/>
      <w:r w:rsidRPr="00EA2E35">
        <w:rPr>
          <w:rFonts w:cs="Arial"/>
          <w:i/>
          <w:iCs/>
          <w:sz w:val="20"/>
          <w:szCs w:val="20"/>
        </w:rPr>
        <w:t>Progressivedevelopment</w:t>
      </w:r>
      <w:proofErr w:type="spellEnd"/>
      <w:r w:rsidRPr="00EA2E35">
        <w:rPr>
          <w:rFonts w:cs="Arial"/>
          <w:i/>
          <w:iCs/>
          <w:sz w:val="20"/>
          <w:szCs w:val="20"/>
        </w:rPr>
        <w:t xml:space="preserve"> of Urban Settlemen</w:t>
      </w:r>
      <w:r>
        <w:rPr>
          <w:rFonts w:cs="Arial"/>
          <w:i/>
          <w:iCs/>
          <w:sz w:val="20"/>
          <w:szCs w:val="20"/>
        </w:rPr>
        <w:t xml:space="preserve">ts: Case of Davao City, </w:t>
      </w:r>
      <w:r w:rsidRPr="00EA2E35">
        <w:rPr>
          <w:rFonts w:cs="Arial"/>
          <w:i/>
          <w:iCs/>
          <w:sz w:val="20"/>
          <w:szCs w:val="20"/>
        </w:rPr>
        <w:t>Philippines</w:t>
      </w:r>
      <w:r w:rsidRPr="00EA2E35">
        <w:rPr>
          <w:rFonts w:cs="Arial"/>
          <w:sz w:val="20"/>
          <w:szCs w:val="20"/>
        </w:rPr>
        <w:t xml:space="preserve"> (Doctoral dissertation).</w:t>
      </w:r>
    </w:p>
    <w:p w14:paraId="35045401" w14:textId="77777777" w:rsidR="00F94B4C" w:rsidRPr="00EA2E35" w:rsidRDefault="00F94B4C" w:rsidP="00F94B4C">
      <w:pPr>
        <w:pStyle w:val="ListParagraph"/>
        <w:numPr>
          <w:ilvl w:val="0"/>
          <w:numId w:val="4"/>
        </w:numPr>
        <w:spacing w:line="240" w:lineRule="auto"/>
        <w:rPr>
          <w:rFonts w:cs="Arial"/>
          <w:sz w:val="20"/>
          <w:szCs w:val="20"/>
        </w:rPr>
      </w:pPr>
      <w:r w:rsidRPr="00D4086A">
        <w:rPr>
          <w:rFonts w:cs="Arial"/>
          <w:sz w:val="20"/>
          <w:szCs w:val="20"/>
        </w:rPr>
        <w:t xml:space="preserve">McHugh, S., &amp; </w:t>
      </w:r>
      <w:proofErr w:type="spellStart"/>
      <w:r w:rsidRPr="00D4086A">
        <w:rPr>
          <w:rFonts w:cs="Arial"/>
          <w:sz w:val="20"/>
          <w:szCs w:val="20"/>
        </w:rPr>
        <w:t>Ranyard</w:t>
      </w:r>
      <w:proofErr w:type="spellEnd"/>
      <w:r w:rsidRPr="00D4086A">
        <w:rPr>
          <w:rFonts w:cs="Arial"/>
          <w:sz w:val="20"/>
          <w:szCs w:val="20"/>
        </w:rPr>
        <w:t>, R. (2016). Consumers’ credit car</w:t>
      </w:r>
      <w:r>
        <w:rPr>
          <w:rFonts w:cs="Arial"/>
          <w:sz w:val="20"/>
          <w:szCs w:val="20"/>
        </w:rPr>
        <w:t xml:space="preserve">d repayment decisions: The role </w:t>
      </w:r>
      <w:r w:rsidRPr="00EA2E35">
        <w:rPr>
          <w:rFonts w:cs="Arial"/>
          <w:sz w:val="20"/>
          <w:szCs w:val="20"/>
        </w:rPr>
        <w:t xml:space="preserve">of higher anchors and future repayment concern. </w:t>
      </w:r>
      <w:r w:rsidRPr="00EA2E35">
        <w:rPr>
          <w:rFonts w:cs="Arial"/>
          <w:i/>
          <w:iCs/>
          <w:sz w:val="20"/>
          <w:szCs w:val="20"/>
        </w:rPr>
        <w:t>Journal of Economic Psychology</w:t>
      </w:r>
      <w:r w:rsidRPr="00EA2E35">
        <w:rPr>
          <w:rFonts w:cs="Arial"/>
          <w:sz w:val="20"/>
          <w:szCs w:val="20"/>
        </w:rPr>
        <w:t>, 52, 102-114.</w:t>
      </w:r>
    </w:p>
    <w:p w14:paraId="02176A6E" w14:textId="77777777" w:rsidR="00F94B4C" w:rsidRPr="00D4086A" w:rsidRDefault="00F94B4C" w:rsidP="00F94B4C">
      <w:pPr>
        <w:pStyle w:val="ListParagraph"/>
        <w:numPr>
          <w:ilvl w:val="0"/>
          <w:numId w:val="4"/>
        </w:numPr>
        <w:spacing w:line="240" w:lineRule="auto"/>
        <w:rPr>
          <w:rFonts w:cs="Arial"/>
          <w:sz w:val="20"/>
          <w:szCs w:val="20"/>
        </w:rPr>
      </w:pPr>
      <w:r w:rsidRPr="00D4086A">
        <w:rPr>
          <w:rFonts w:cs="Arial"/>
          <w:sz w:val="20"/>
          <w:szCs w:val="20"/>
        </w:rPr>
        <w:t xml:space="preserve">Melton, R. (1974). Credit risk theory. </w:t>
      </w:r>
      <w:r w:rsidRPr="00D4086A">
        <w:rPr>
          <w:rFonts w:cs="Arial"/>
          <w:i/>
          <w:sz w:val="20"/>
          <w:szCs w:val="20"/>
        </w:rPr>
        <w:t>Journal of Financial Economics,</w:t>
      </w:r>
      <w:r w:rsidRPr="00D4086A">
        <w:rPr>
          <w:rFonts w:cs="Arial"/>
          <w:sz w:val="20"/>
          <w:szCs w:val="20"/>
        </w:rPr>
        <w:t xml:space="preserve"> 3(2), 125-144.</w:t>
      </w:r>
    </w:p>
    <w:p w14:paraId="575ABD0D" w14:textId="77777777" w:rsidR="00F94B4C" w:rsidRPr="00EA2E35" w:rsidRDefault="00F94B4C" w:rsidP="00F94B4C">
      <w:pPr>
        <w:pStyle w:val="ListParagraph"/>
        <w:numPr>
          <w:ilvl w:val="0"/>
          <w:numId w:val="4"/>
        </w:numPr>
        <w:spacing w:line="240" w:lineRule="auto"/>
        <w:rPr>
          <w:rFonts w:eastAsia="Times New Roman" w:cs="Arial"/>
          <w:sz w:val="20"/>
          <w:szCs w:val="20"/>
          <w:lang w:val="en-US"/>
        </w:rPr>
      </w:pPr>
      <w:r w:rsidRPr="00D4086A">
        <w:rPr>
          <w:rFonts w:eastAsia="Times New Roman" w:cs="Arial"/>
          <w:sz w:val="20"/>
          <w:szCs w:val="20"/>
          <w:lang w:val="en-US"/>
        </w:rPr>
        <w:t xml:space="preserve">Mishkin, F. S. (2015). </w:t>
      </w:r>
      <w:r w:rsidRPr="00D4086A">
        <w:rPr>
          <w:rFonts w:eastAsia="Times New Roman" w:cs="Arial"/>
          <w:i/>
          <w:iCs/>
          <w:sz w:val="20"/>
          <w:szCs w:val="20"/>
          <w:lang w:val="en-US"/>
        </w:rPr>
        <w:t>The economics of money, banking, and financial markets</w:t>
      </w:r>
      <w:r w:rsidRPr="00D4086A">
        <w:rPr>
          <w:rFonts w:eastAsia="Times New Roman" w:cs="Arial"/>
          <w:sz w:val="20"/>
          <w:szCs w:val="20"/>
          <w:lang w:val="en-US"/>
        </w:rPr>
        <w:t xml:space="preserve"> (10th </w:t>
      </w:r>
      <w:r w:rsidRPr="00EA2E35">
        <w:rPr>
          <w:rFonts w:eastAsia="Times New Roman" w:cs="Arial"/>
          <w:sz w:val="20"/>
          <w:szCs w:val="20"/>
          <w:lang w:val="en-US"/>
        </w:rPr>
        <w:t>ed.). Pearson.</w:t>
      </w:r>
    </w:p>
    <w:p w14:paraId="4F137351" w14:textId="77777777" w:rsidR="00F94B4C" w:rsidRPr="00EA2E35" w:rsidRDefault="00F94B4C" w:rsidP="00F94B4C">
      <w:pPr>
        <w:pStyle w:val="ListParagraph"/>
        <w:numPr>
          <w:ilvl w:val="0"/>
          <w:numId w:val="4"/>
        </w:numPr>
        <w:spacing w:line="240" w:lineRule="auto"/>
        <w:rPr>
          <w:rFonts w:eastAsia="Times New Roman" w:cs="Arial"/>
          <w:color w:val="000000" w:themeColor="text1"/>
          <w:sz w:val="20"/>
          <w:szCs w:val="20"/>
        </w:rPr>
      </w:pPr>
      <w:r w:rsidRPr="00D4086A">
        <w:rPr>
          <w:rFonts w:eastAsia="Times New Roman" w:cs="Arial"/>
          <w:color w:val="000000" w:themeColor="text1"/>
          <w:sz w:val="20"/>
          <w:szCs w:val="20"/>
        </w:rPr>
        <w:t xml:space="preserve">Mishra, R., &amp; Varshney, D. (2024). Consumer Protection Frameworks by Enhancing </w:t>
      </w:r>
      <w:r w:rsidRPr="00EA2E35">
        <w:rPr>
          <w:rFonts w:eastAsia="Times New Roman" w:cs="Arial"/>
          <w:color w:val="222222"/>
          <w:sz w:val="20"/>
          <w:szCs w:val="20"/>
        </w:rPr>
        <w:t>Market Fairness, Accountability and Transparency (FAT) for Ethical Consumer Decision-Making: Integrating Circular Economy Principles and Digital Transformation in Global Consumer Markets. </w:t>
      </w:r>
      <w:r w:rsidRPr="00EA2E35">
        <w:rPr>
          <w:rFonts w:eastAsia="Times New Roman" w:cs="Arial"/>
          <w:i/>
          <w:iCs/>
          <w:color w:val="222222"/>
          <w:sz w:val="20"/>
          <w:szCs w:val="20"/>
        </w:rPr>
        <w:t>Asian Journal of Education and Social Studies</w:t>
      </w:r>
      <w:r w:rsidRPr="00EA2E35">
        <w:rPr>
          <w:rFonts w:eastAsia="Times New Roman" w:cs="Arial"/>
          <w:color w:val="222222"/>
          <w:sz w:val="20"/>
          <w:szCs w:val="20"/>
        </w:rPr>
        <w:t>, </w:t>
      </w:r>
      <w:r w:rsidRPr="00EA2E35">
        <w:rPr>
          <w:rFonts w:eastAsia="Times New Roman" w:cs="Arial"/>
          <w:i/>
          <w:iCs/>
          <w:color w:val="222222"/>
          <w:sz w:val="20"/>
          <w:szCs w:val="20"/>
        </w:rPr>
        <w:t>50</w:t>
      </w:r>
      <w:r w:rsidRPr="00EA2E35">
        <w:rPr>
          <w:rFonts w:eastAsia="Times New Roman" w:cs="Arial"/>
          <w:color w:val="222222"/>
          <w:sz w:val="20"/>
          <w:szCs w:val="20"/>
        </w:rPr>
        <w:t>(7), 640-652.</w:t>
      </w:r>
    </w:p>
    <w:p w14:paraId="383BC1DE" w14:textId="77777777" w:rsidR="00F94B4C" w:rsidRPr="00EA2E35" w:rsidRDefault="00F94B4C" w:rsidP="00F94B4C">
      <w:pPr>
        <w:pStyle w:val="ListParagraph"/>
        <w:numPr>
          <w:ilvl w:val="0"/>
          <w:numId w:val="4"/>
        </w:numPr>
        <w:spacing w:line="240" w:lineRule="auto"/>
        <w:rPr>
          <w:rFonts w:cs="Arial"/>
          <w:i/>
          <w:iCs/>
          <w:color w:val="222222"/>
          <w:sz w:val="20"/>
          <w:szCs w:val="20"/>
          <w:shd w:val="clear" w:color="auto" w:fill="FFFFFF"/>
        </w:rPr>
      </w:pPr>
      <w:proofErr w:type="spellStart"/>
      <w:r w:rsidRPr="00D4086A">
        <w:rPr>
          <w:rFonts w:cs="Arial"/>
          <w:color w:val="222222"/>
          <w:sz w:val="20"/>
          <w:szCs w:val="20"/>
          <w:shd w:val="clear" w:color="auto" w:fill="FFFFFF"/>
        </w:rPr>
        <w:t>Mladentseva</w:t>
      </w:r>
      <w:proofErr w:type="spellEnd"/>
      <w:r w:rsidRPr="00D4086A">
        <w:rPr>
          <w:rFonts w:cs="Arial"/>
          <w:color w:val="222222"/>
          <w:sz w:val="20"/>
          <w:szCs w:val="20"/>
          <w:shd w:val="clear" w:color="auto" w:fill="FFFFFF"/>
        </w:rPr>
        <w:t>, N. (2023). </w:t>
      </w:r>
      <w:r w:rsidRPr="00D4086A">
        <w:rPr>
          <w:rFonts w:cs="Arial"/>
          <w:i/>
          <w:iCs/>
          <w:color w:val="222222"/>
          <w:sz w:val="20"/>
          <w:szCs w:val="20"/>
          <w:shd w:val="clear" w:color="auto" w:fill="FFFFFF"/>
        </w:rPr>
        <w:t xml:space="preserve">Beyond Credit History: Investigating the Psychological </w:t>
      </w:r>
      <w:r w:rsidRPr="00EA2E35">
        <w:rPr>
          <w:rFonts w:cs="Arial"/>
          <w:i/>
          <w:iCs/>
          <w:color w:val="222222"/>
          <w:sz w:val="20"/>
          <w:szCs w:val="20"/>
          <w:shd w:val="clear" w:color="auto" w:fill="FFFFFF"/>
        </w:rPr>
        <w:t>Characteristics of Creditworthy Borrowers in a Micro-Loan Context</w:t>
      </w:r>
      <w:r w:rsidRPr="00EA2E35">
        <w:rPr>
          <w:rFonts w:cs="Arial"/>
          <w:color w:val="222222"/>
          <w:sz w:val="20"/>
          <w:szCs w:val="20"/>
          <w:shd w:val="clear" w:color="auto" w:fill="FFFFFF"/>
        </w:rPr>
        <w:t> (Doctoral dissertation, City, University of London).</w:t>
      </w:r>
    </w:p>
    <w:p w14:paraId="67893A83" w14:textId="77777777" w:rsidR="00F94B4C" w:rsidRPr="00EA2E35" w:rsidRDefault="00F94B4C" w:rsidP="00F94B4C">
      <w:pPr>
        <w:pStyle w:val="ListParagraph"/>
        <w:numPr>
          <w:ilvl w:val="0"/>
          <w:numId w:val="4"/>
        </w:numPr>
        <w:spacing w:line="240" w:lineRule="auto"/>
        <w:rPr>
          <w:rFonts w:cs="Arial"/>
          <w:sz w:val="20"/>
          <w:szCs w:val="20"/>
        </w:rPr>
      </w:pPr>
      <w:r w:rsidRPr="00D4086A">
        <w:rPr>
          <w:rFonts w:cs="Arial"/>
          <w:sz w:val="20"/>
          <w:szCs w:val="20"/>
        </w:rPr>
        <w:t xml:space="preserve">Moss, T. W., </w:t>
      </w:r>
      <w:proofErr w:type="spellStart"/>
      <w:r w:rsidRPr="00D4086A">
        <w:rPr>
          <w:rFonts w:cs="Arial"/>
          <w:sz w:val="20"/>
          <w:szCs w:val="20"/>
        </w:rPr>
        <w:t>Neubaum</w:t>
      </w:r>
      <w:proofErr w:type="spellEnd"/>
      <w:r w:rsidRPr="00D4086A">
        <w:rPr>
          <w:rFonts w:cs="Arial"/>
          <w:sz w:val="20"/>
          <w:szCs w:val="20"/>
        </w:rPr>
        <w:t xml:space="preserve">, D. O., &amp; </w:t>
      </w:r>
      <w:proofErr w:type="spellStart"/>
      <w:r w:rsidRPr="00D4086A">
        <w:rPr>
          <w:rFonts w:cs="Arial"/>
          <w:sz w:val="20"/>
          <w:szCs w:val="20"/>
        </w:rPr>
        <w:t>Meyskens</w:t>
      </w:r>
      <w:proofErr w:type="spellEnd"/>
      <w:r w:rsidRPr="00D4086A">
        <w:rPr>
          <w:rFonts w:cs="Arial"/>
          <w:sz w:val="20"/>
          <w:szCs w:val="20"/>
        </w:rPr>
        <w:t xml:space="preserve">, M. (2015). The effect of virtuous and </w:t>
      </w:r>
      <w:r w:rsidRPr="00EA2E35">
        <w:rPr>
          <w:rFonts w:cs="Arial"/>
          <w:sz w:val="20"/>
          <w:szCs w:val="20"/>
        </w:rPr>
        <w:t xml:space="preserve">entrepreneurial orientations on microfinance lending and repayment: A signaling theory perspective. </w:t>
      </w:r>
      <w:r w:rsidRPr="00EA2E35">
        <w:rPr>
          <w:rFonts w:cs="Arial"/>
          <w:i/>
          <w:iCs/>
          <w:sz w:val="20"/>
          <w:szCs w:val="20"/>
        </w:rPr>
        <w:t>Entrepreneurship theory and practice,</w:t>
      </w:r>
      <w:r w:rsidRPr="00EA2E35">
        <w:rPr>
          <w:rFonts w:cs="Arial"/>
          <w:sz w:val="20"/>
          <w:szCs w:val="20"/>
        </w:rPr>
        <w:t xml:space="preserve"> 39(1), 27-52.</w:t>
      </w:r>
    </w:p>
    <w:p w14:paraId="3A302905" w14:textId="77777777" w:rsidR="00F94B4C" w:rsidRPr="00EA2E35" w:rsidRDefault="00F94B4C" w:rsidP="00F94B4C">
      <w:pPr>
        <w:pStyle w:val="ListParagraph"/>
        <w:numPr>
          <w:ilvl w:val="0"/>
          <w:numId w:val="4"/>
        </w:numPr>
        <w:spacing w:line="240" w:lineRule="auto"/>
        <w:rPr>
          <w:rFonts w:cs="Arial"/>
          <w:i/>
          <w:iCs/>
          <w:sz w:val="20"/>
          <w:szCs w:val="20"/>
        </w:rPr>
      </w:pPr>
      <w:proofErr w:type="spellStart"/>
      <w:r w:rsidRPr="00D4086A">
        <w:rPr>
          <w:rFonts w:cs="Arial"/>
          <w:sz w:val="20"/>
          <w:szCs w:val="20"/>
        </w:rPr>
        <w:t>Munyasia</w:t>
      </w:r>
      <w:proofErr w:type="spellEnd"/>
      <w:r w:rsidRPr="00D4086A">
        <w:rPr>
          <w:rFonts w:cs="Arial"/>
          <w:sz w:val="20"/>
          <w:szCs w:val="20"/>
        </w:rPr>
        <w:t xml:space="preserve">, G. O. (2023). </w:t>
      </w:r>
      <w:r w:rsidRPr="00D4086A">
        <w:rPr>
          <w:rFonts w:cs="Arial"/>
          <w:i/>
          <w:iCs/>
          <w:sz w:val="20"/>
          <w:szCs w:val="20"/>
        </w:rPr>
        <w:t xml:space="preserve">The Effect of Credit Risk Management on the Financial </w:t>
      </w:r>
      <w:r w:rsidRPr="00EA2E35">
        <w:rPr>
          <w:rFonts w:cs="Arial"/>
          <w:i/>
          <w:iCs/>
          <w:sz w:val="20"/>
          <w:szCs w:val="20"/>
        </w:rPr>
        <w:t>Performance of Deposit Taking Microfinance Institutions in Kenya</w:t>
      </w:r>
      <w:r w:rsidRPr="00EA2E35">
        <w:rPr>
          <w:rFonts w:cs="Arial"/>
          <w:sz w:val="20"/>
          <w:szCs w:val="20"/>
        </w:rPr>
        <w:t xml:space="preserve"> (Doctoral dissertation, University of Nairobi).</w:t>
      </w:r>
    </w:p>
    <w:p w14:paraId="64A26BC6" w14:textId="3CF23C7E" w:rsidR="00F94B4C" w:rsidRPr="00021BF5" w:rsidRDefault="00F94B4C" w:rsidP="00F94B4C">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 xml:space="preserve">Murali, S., &amp; </w:t>
      </w:r>
      <w:proofErr w:type="spellStart"/>
      <w:r w:rsidRPr="00D4086A">
        <w:rPr>
          <w:rFonts w:cs="Arial"/>
          <w:color w:val="222222"/>
          <w:sz w:val="20"/>
          <w:szCs w:val="20"/>
          <w:shd w:val="clear" w:color="auto" w:fill="FFFFFF"/>
        </w:rPr>
        <w:t>Pugazhendhi</w:t>
      </w:r>
      <w:proofErr w:type="spellEnd"/>
      <w:r w:rsidRPr="00D4086A">
        <w:rPr>
          <w:rFonts w:cs="Arial"/>
          <w:color w:val="222222"/>
          <w:sz w:val="20"/>
          <w:szCs w:val="20"/>
          <w:shd w:val="clear" w:color="auto" w:fill="FFFFFF"/>
        </w:rPr>
        <w:t xml:space="preserve">, S. (2016). An integrated model to identify and rank the </w:t>
      </w:r>
      <w:r w:rsidR="00F00162" w:rsidRPr="00D4086A">
        <w:rPr>
          <w:rFonts w:cs="Arial"/>
          <w:color w:val="222222"/>
          <w:sz w:val="20"/>
          <w:szCs w:val="20"/>
          <w:shd w:val="clear" w:color="auto" w:fill="FFFFFF"/>
        </w:rPr>
        <w:t>after-sales service</w:t>
      </w:r>
      <w:r w:rsidRPr="00C35052">
        <w:rPr>
          <w:rFonts w:cs="Arial"/>
          <w:color w:val="222222"/>
          <w:sz w:val="20"/>
          <w:szCs w:val="20"/>
          <w:shd w:val="clear" w:color="auto" w:fill="FFFFFF"/>
        </w:rPr>
        <w:t xml:space="preserve"> strategies of firms engaged in household appliances business. </w:t>
      </w:r>
      <w:r w:rsidRPr="00C35052">
        <w:rPr>
          <w:rFonts w:cs="Arial"/>
          <w:i/>
          <w:iCs/>
          <w:color w:val="222222"/>
          <w:sz w:val="20"/>
          <w:szCs w:val="20"/>
          <w:shd w:val="clear" w:color="auto" w:fill="FFFFFF"/>
        </w:rPr>
        <w:t>International Journal of Services and Operations Management</w:t>
      </w:r>
      <w:r w:rsidRPr="00C35052">
        <w:rPr>
          <w:rFonts w:cs="Arial"/>
          <w:color w:val="222222"/>
          <w:sz w:val="20"/>
          <w:szCs w:val="20"/>
          <w:shd w:val="clear" w:color="auto" w:fill="FFFFFF"/>
        </w:rPr>
        <w:t>, </w:t>
      </w:r>
      <w:r w:rsidRPr="00C35052">
        <w:rPr>
          <w:rFonts w:cs="Arial"/>
          <w:i/>
          <w:iCs/>
          <w:color w:val="222222"/>
          <w:sz w:val="20"/>
          <w:szCs w:val="20"/>
          <w:shd w:val="clear" w:color="auto" w:fill="FFFFFF"/>
        </w:rPr>
        <w:t>24</w:t>
      </w:r>
      <w:r w:rsidRPr="00C35052">
        <w:rPr>
          <w:rFonts w:cs="Arial"/>
          <w:color w:val="222222"/>
          <w:sz w:val="20"/>
          <w:szCs w:val="20"/>
          <w:shd w:val="clear" w:color="auto" w:fill="FFFFFF"/>
        </w:rPr>
        <w:t>(1), 99-124.</w:t>
      </w:r>
    </w:p>
    <w:p w14:paraId="460D654B" w14:textId="77777777" w:rsidR="00F94B4C" w:rsidRPr="00C35052" w:rsidRDefault="00F94B4C" w:rsidP="00F94B4C">
      <w:pPr>
        <w:pStyle w:val="ListParagraph"/>
        <w:numPr>
          <w:ilvl w:val="0"/>
          <w:numId w:val="4"/>
        </w:numPr>
        <w:spacing w:line="240" w:lineRule="auto"/>
        <w:rPr>
          <w:rFonts w:cs="Arial"/>
          <w:i/>
          <w:iCs/>
          <w:sz w:val="20"/>
          <w:szCs w:val="20"/>
        </w:rPr>
      </w:pPr>
      <w:proofErr w:type="spellStart"/>
      <w:r w:rsidRPr="00C35052">
        <w:rPr>
          <w:rFonts w:cs="Arial"/>
          <w:color w:val="222222"/>
          <w:sz w:val="20"/>
          <w:szCs w:val="20"/>
          <w:shd w:val="clear" w:color="auto" w:fill="FFFFFF"/>
        </w:rPr>
        <w:t>Naumenkova</w:t>
      </w:r>
      <w:proofErr w:type="spellEnd"/>
      <w:r w:rsidRPr="00C35052">
        <w:rPr>
          <w:rFonts w:cs="Arial"/>
          <w:color w:val="222222"/>
          <w:sz w:val="20"/>
          <w:szCs w:val="20"/>
          <w:shd w:val="clear" w:color="auto" w:fill="FFFFFF"/>
        </w:rPr>
        <w:t xml:space="preserve">, S., Tishchenko, I., </w:t>
      </w:r>
      <w:proofErr w:type="spellStart"/>
      <w:r w:rsidRPr="00C35052">
        <w:rPr>
          <w:rFonts w:cs="Arial"/>
          <w:color w:val="222222"/>
          <w:sz w:val="20"/>
          <w:szCs w:val="20"/>
          <w:shd w:val="clear" w:color="auto" w:fill="FFFFFF"/>
        </w:rPr>
        <w:t>Mishchenko</w:t>
      </w:r>
      <w:proofErr w:type="spellEnd"/>
      <w:r w:rsidRPr="00C35052">
        <w:rPr>
          <w:rFonts w:cs="Arial"/>
          <w:color w:val="222222"/>
          <w:sz w:val="20"/>
          <w:szCs w:val="20"/>
          <w:shd w:val="clear" w:color="auto" w:fill="FFFFFF"/>
        </w:rPr>
        <w:t xml:space="preserve">, S., </w:t>
      </w:r>
      <w:proofErr w:type="spellStart"/>
      <w:r w:rsidRPr="00C35052">
        <w:rPr>
          <w:rFonts w:cs="Arial"/>
          <w:color w:val="222222"/>
          <w:sz w:val="20"/>
          <w:szCs w:val="20"/>
          <w:shd w:val="clear" w:color="auto" w:fill="FFFFFF"/>
        </w:rPr>
        <w:t>Mishchenko</w:t>
      </w:r>
      <w:proofErr w:type="spellEnd"/>
      <w:r w:rsidRPr="00C35052">
        <w:rPr>
          <w:rFonts w:cs="Arial"/>
          <w:color w:val="222222"/>
          <w:sz w:val="20"/>
          <w:szCs w:val="20"/>
          <w:shd w:val="clear" w:color="auto" w:fill="FFFFFF"/>
        </w:rPr>
        <w:t>, V., &amp; Ivanov, V. (2020). Assessment and mitigation of credit risks in project financing. </w:t>
      </w:r>
      <w:r w:rsidRPr="00C35052">
        <w:rPr>
          <w:rFonts w:cs="Arial"/>
          <w:i/>
          <w:iCs/>
          <w:color w:val="222222"/>
          <w:sz w:val="20"/>
          <w:szCs w:val="20"/>
          <w:shd w:val="clear" w:color="auto" w:fill="FFFFFF"/>
        </w:rPr>
        <w:t>Banks and Bank Systems</w:t>
      </w:r>
      <w:r w:rsidRPr="00C35052">
        <w:rPr>
          <w:rFonts w:cs="Arial"/>
          <w:color w:val="222222"/>
          <w:sz w:val="20"/>
          <w:szCs w:val="20"/>
          <w:shd w:val="clear" w:color="auto" w:fill="FFFFFF"/>
        </w:rPr>
        <w:t>, </w:t>
      </w:r>
      <w:r w:rsidRPr="00C35052">
        <w:rPr>
          <w:rFonts w:cs="Arial"/>
          <w:i/>
          <w:iCs/>
          <w:color w:val="222222"/>
          <w:sz w:val="20"/>
          <w:szCs w:val="20"/>
          <w:shd w:val="clear" w:color="auto" w:fill="FFFFFF"/>
        </w:rPr>
        <w:t>15</w:t>
      </w:r>
      <w:r w:rsidRPr="00C35052">
        <w:rPr>
          <w:rFonts w:cs="Arial"/>
          <w:color w:val="222222"/>
          <w:sz w:val="20"/>
          <w:szCs w:val="20"/>
          <w:shd w:val="clear" w:color="auto" w:fill="FFFFFF"/>
        </w:rPr>
        <w:t>(1), 72-84.</w:t>
      </w:r>
    </w:p>
    <w:p w14:paraId="0AF3CA56" w14:textId="77777777" w:rsidR="00F94B4C" w:rsidRPr="00C35052" w:rsidRDefault="00F94B4C" w:rsidP="00F94B4C">
      <w:pPr>
        <w:pStyle w:val="ListParagraph"/>
        <w:numPr>
          <w:ilvl w:val="0"/>
          <w:numId w:val="4"/>
        </w:numPr>
        <w:spacing w:line="240" w:lineRule="auto"/>
        <w:rPr>
          <w:rFonts w:cs="Arial"/>
          <w:color w:val="222222"/>
          <w:sz w:val="20"/>
          <w:szCs w:val="20"/>
          <w:shd w:val="clear" w:color="auto" w:fill="FFFFFF"/>
        </w:rPr>
      </w:pPr>
      <w:proofErr w:type="spellStart"/>
      <w:r w:rsidRPr="00D4086A">
        <w:rPr>
          <w:rFonts w:cs="Arial"/>
          <w:color w:val="222222"/>
          <w:sz w:val="20"/>
          <w:szCs w:val="20"/>
          <w:shd w:val="clear" w:color="auto" w:fill="FFFFFF"/>
        </w:rPr>
        <w:t>Netzer</w:t>
      </w:r>
      <w:proofErr w:type="spellEnd"/>
      <w:r w:rsidRPr="00D4086A">
        <w:rPr>
          <w:rFonts w:cs="Arial"/>
          <w:color w:val="222222"/>
          <w:sz w:val="20"/>
          <w:szCs w:val="20"/>
          <w:shd w:val="clear" w:color="auto" w:fill="FFFFFF"/>
        </w:rPr>
        <w:t xml:space="preserve">, O., Lemaire, A., &amp; </w:t>
      </w:r>
      <w:proofErr w:type="spellStart"/>
      <w:r w:rsidRPr="00D4086A">
        <w:rPr>
          <w:rFonts w:cs="Arial"/>
          <w:color w:val="222222"/>
          <w:sz w:val="20"/>
          <w:szCs w:val="20"/>
          <w:shd w:val="clear" w:color="auto" w:fill="FFFFFF"/>
        </w:rPr>
        <w:t>Herzenstein</w:t>
      </w:r>
      <w:proofErr w:type="spellEnd"/>
      <w:r w:rsidRPr="00D4086A">
        <w:rPr>
          <w:rFonts w:cs="Arial"/>
          <w:color w:val="222222"/>
          <w:sz w:val="20"/>
          <w:szCs w:val="20"/>
          <w:shd w:val="clear" w:color="auto" w:fill="FFFFFF"/>
        </w:rPr>
        <w:t xml:space="preserve">, M. (2019). When words sweat: Identifying signals </w:t>
      </w:r>
      <w:r w:rsidRPr="00C35052">
        <w:rPr>
          <w:rFonts w:cs="Arial"/>
          <w:color w:val="222222"/>
          <w:sz w:val="20"/>
          <w:szCs w:val="20"/>
          <w:shd w:val="clear" w:color="auto" w:fill="FFFFFF"/>
        </w:rPr>
        <w:t>for loan default in the text of loan applications. </w:t>
      </w:r>
      <w:r w:rsidRPr="00C35052">
        <w:rPr>
          <w:rFonts w:cs="Arial"/>
          <w:i/>
          <w:iCs/>
          <w:color w:val="222222"/>
          <w:sz w:val="20"/>
          <w:szCs w:val="20"/>
          <w:shd w:val="clear" w:color="auto" w:fill="FFFFFF"/>
        </w:rPr>
        <w:t>Journal of Marketing Research</w:t>
      </w:r>
      <w:r w:rsidRPr="00C35052">
        <w:rPr>
          <w:rFonts w:cs="Arial"/>
          <w:color w:val="222222"/>
          <w:sz w:val="20"/>
          <w:szCs w:val="20"/>
          <w:shd w:val="clear" w:color="auto" w:fill="FFFFFF"/>
        </w:rPr>
        <w:t>, </w:t>
      </w:r>
      <w:r w:rsidRPr="00C35052">
        <w:rPr>
          <w:rFonts w:cs="Arial"/>
          <w:i/>
          <w:iCs/>
          <w:color w:val="222222"/>
          <w:sz w:val="20"/>
          <w:szCs w:val="20"/>
          <w:shd w:val="clear" w:color="auto" w:fill="FFFFFF"/>
        </w:rPr>
        <w:t>56</w:t>
      </w:r>
      <w:r w:rsidRPr="00C35052">
        <w:rPr>
          <w:rFonts w:cs="Arial"/>
          <w:color w:val="222222"/>
          <w:sz w:val="20"/>
          <w:szCs w:val="20"/>
          <w:shd w:val="clear" w:color="auto" w:fill="FFFFFF"/>
        </w:rPr>
        <w:t>(6), 960-980.</w:t>
      </w:r>
    </w:p>
    <w:p w14:paraId="45A601C9" w14:textId="77777777" w:rsidR="00F94B4C" w:rsidRPr="00C35052" w:rsidRDefault="00F94B4C" w:rsidP="00F94B4C">
      <w:pPr>
        <w:pStyle w:val="ListParagraph"/>
        <w:numPr>
          <w:ilvl w:val="0"/>
          <w:numId w:val="4"/>
        </w:numPr>
        <w:spacing w:line="240" w:lineRule="auto"/>
        <w:rPr>
          <w:rFonts w:cs="Arial"/>
          <w:color w:val="222222"/>
          <w:sz w:val="20"/>
          <w:szCs w:val="20"/>
          <w:shd w:val="clear" w:color="auto" w:fill="FFFFFF"/>
        </w:rPr>
      </w:pPr>
      <w:proofErr w:type="spellStart"/>
      <w:r w:rsidRPr="00D4086A">
        <w:rPr>
          <w:rFonts w:cs="Arial"/>
          <w:color w:val="222222"/>
          <w:sz w:val="20"/>
          <w:szCs w:val="20"/>
          <w:shd w:val="clear" w:color="auto" w:fill="FFFFFF"/>
        </w:rPr>
        <w:t>Omowole</w:t>
      </w:r>
      <w:proofErr w:type="spellEnd"/>
      <w:r w:rsidRPr="00D4086A">
        <w:rPr>
          <w:rFonts w:cs="Arial"/>
          <w:color w:val="222222"/>
          <w:sz w:val="20"/>
          <w:szCs w:val="20"/>
          <w:shd w:val="clear" w:color="auto" w:fill="FFFFFF"/>
        </w:rPr>
        <w:t xml:space="preserve">, B. M., </w:t>
      </w:r>
      <w:proofErr w:type="spellStart"/>
      <w:r w:rsidRPr="00D4086A">
        <w:rPr>
          <w:rFonts w:cs="Arial"/>
          <w:color w:val="222222"/>
          <w:sz w:val="20"/>
          <w:szCs w:val="20"/>
          <w:shd w:val="clear" w:color="auto" w:fill="FFFFFF"/>
        </w:rPr>
        <w:t>Urefe</w:t>
      </w:r>
      <w:proofErr w:type="spellEnd"/>
      <w:r w:rsidRPr="00D4086A">
        <w:rPr>
          <w:rFonts w:cs="Arial"/>
          <w:color w:val="222222"/>
          <w:sz w:val="20"/>
          <w:szCs w:val="20"/>
          <w:shd w:val="clear" w:color="auto" w:fill="FFFFFF"/>
        </w:rPr>
        <w:t xml:space="preserve">, O., </w:t>
      </w:r>
      <w:proofErr w:type="spellStart"/>
      <w:r w:rsidRPr="00D4086A">
        <w:rPr>
          <w:rFonts w:cs="Arial"/>
          <w:color w:val="222222"/>
          <w:sz w:val="20"/>
          <w:szCs w:val="20"/>
          <w:shd w:val="clear" w:color="auto" w:fill="FFFFFF"/>
        </w:rPr>
        <w:t>Mokogwu</w:t>
      </w:r>
      <w:proofErr w:type="spellEnd"/>
      <w:r w:rsidRPr="00D4086A">
        <w:rPr>
          <w:rFonts w:cs="Arial"/>
          <w:color w:val="222222"/>
          <w:sz w:val="20"/>
          <w:szCs w:val="20"/>
          <w:shd w:val="clear" w:color="auto" w:fill="FFFFFF"/>
        </w:rPr>
        <w:t xml:space="preserve">, C., &amp; </w:t>
      </w:r>
      <w:proofErr w:type="spellStart"/>
      <w:r w:rsidRPr="00D4086A">
        <w:rPr>
          <w:rFonts w:cs="Arial"/>
          <w:color w:val="222222"/>
          <w:sz w:val="20"/>
          <w:szCs w:val="20"/>
          <w:shd w:val="clear" w:color="auto" w:fill="FFFFFF"/>
        </w:rPr>
        <w:t>Ewim</w:t>
      </w:r>
      <w:proofErr w:type="spellEnd"/>
      <w:r w:rsidRPr="00D4086A">
        <w:rPr>
          <w:rFonts w:cs="Arial"/>
          <w:color w:val="222222"/>
          <w:sz w:val="20"/>
          <w:szCs w:val="20"/>
          <w:shd w:val="clear" w:color="auto" w:fill="FFFFFF"/>
        </w:rPr>
        <w:t xml:space="preserve">, S. E. (2024). Optimizing Loan Recovery </w:t>
      </w:r>
      <w:r w:rsidRPr="00C35052">
        <w:rPr>
          <w:rFonts w:cs="Arial"/>
          <w:color w:val="222222"/>
          <w:sz w:val="20"/>
          <w:szCs w:val="20"/>
          <w:shd w:val="clear" w:color="auto" w:fill="FFFFFF"/>
        </w:rPr>
        <w:t>Strategies in Microfinance: A Data-Driven Approach to Portfolio Management. </w:t>
      </w:r>
    </w:p>
    <w:p w14:paraId="0C9F4CDF" w14:textId="77777777" w:rsidR="00F94B4C" w:rsidRPr="00C35052" w:rsidRDefault="00F94B4C" w:rsidP="00F94B4C">
      <w:pPr>
        <w:pStyle w:val="ListParagraph"/>
        <w:numPr>
          <w:ilvl w:val="0"/>
          <w:numId w:val="4"/>
        </w:numPr>
        <w:spacing w:line="240" w:lineRule="auto"/>
        <w:rPr>
          <w:rFonts w:eastAsia="Times New Roman" w:cs="Arial"/>
          <w:color w:val="222222"/>
          <w:sz w:val="20"/>
          <w:szCs w:val="20"/>
        </w:rPr>
      </w:pPr>
      <w:r w:rsidRPr="00D4086A">
        <w:rPr>
          <w:rFonts w:eastAsia="Times New Roman" w:cs="Arial"/>
          <w:color w:val="222222"/>
          <w:sz w:val="20"/>
          <w:szCs w:val="20"/>
        </w:rPr>
        <w:t xml:space="preserve">Owino, P. O., </w:t>
      </w:r>
      <w:proofErr w:type="spellStart"/>
      <w:r w:rsidRPr="00D4086A">
        <w:rPr>
          <w:rFonts w:eastAsia="Times New Roman" w:cs="Arial"/>
          <w:color w:val="222222"/>
          <w:sz w:val="20"/>
          <w:szCs w:val="20"/>
        </w:rPr>
        <w:t>Senaji</w:t>
      </w:r>
      <w:proofErr w:type="spellEnd"/>
      <w:r w:rsidRPr="00D4086A">
        <w:rPr>
          <w:rFonts w:eastAsia="Times New Roman" w:cs="Arial"/>
          <w:color w:val="222222"/>
          <w:sz w:val="20"/>
          <w:szCs w:val="20"/>
        </w:rPr>
        <w:t xml:space="preserve">, T. A., </w:t>
      </w:r>
      <w:proofErr w:type="spellStart"/>
      <w:r w:rsidRPr="00D4086A">
        <w:rPr>
          <w:rFonts w:eastAsia="Times New Roman" w:cs="Arial"/>
          <w:color w:val="222222"/>
          <w:sz w:val="20"/>
          <w:szCs w:val="20"/>
        </w:rPr>
        <w:t>Eng</w:t>
      </w:r>
      <w:proofErr w:type="spellEnd"/>
      <w:r w:rsidRPr="00D4086A">
        <w:rPr>
          <w:rFonts w:eastAsia="Times New Roman" w:cs="Arial"/>
          <w:color w:val="222222"/>
          <w:sz w:val="20"/>
          <w:szCs w:val="20"/>
        </w:rPr>
        <w:t xml:space="preserve">, R., &amp; </w:t>
      </w:r>
      <w:proofErr w:type="spellStart"/>
      <w:r w:rsidRPr="00D4086A">
        <w:rPr>
          <w:rFonts w:eastAsia="Times New Roman" w:cs="Arial"/>
          <w:color w:val="222222"/>
          <w:sz w:val="20"/>
          <w:szCs w:val="20"/>
        </w:rPr>
        <w:t>Ntara</w:t>
      </w:r>
      <w:proofErr w:type="spellEnd"/>
      <w:r w:rsidRPr="00D4086A">
        <w:rPr>
          <w:rFonts w:eastAsia="Times New Roman" w:cs="Arial"/>
          <w:color w:val="222222"/>
          <w:sz w:val="20"/>
          <w:szCs w:val="20"/>
        </w:rPr>
        <w:t xml:space="preserve">, C. (2017). </w:t>
      </w:r>
      <w:r>
        <w:rPr>
          <w:rFonts w:eastAsia="Times New Roman" w:cs="Arial"/>
          <w:color w:val="222222"/>
          <w:sz w:val="20"/>
          <w:szCs w:val="20"/>
        </w:rPr>
        <w:t xml:space="preserve">Effect of innovation in revenue </w:t>
      </w:r>
      <w:r w:rsidRPr="00C35052">
        <w:rPr>
          <w:rFonts w:eastAsia="Times New Roman" w:cs="Arial"/>
          <w:color w:val="222222"/>
          <w:sz w:val="20"/>
          <w:szCs w:val="20"/>
        </w:rPr>
        <w:t xml:space="preserve">collection processes on organizational p </w:t>
      </w:r>
      <w:proofErr w:type="spellStart"/>
      <w:r w:rsidRPr="00C35052">
        <w:rPr>
          <w:rFonts w:eastAsia="Times New Roman" w:cs="Arial"/>
          <w:color w:val="222222"/>
          <w:sz w:val="20"/>
          <w:szCs w:val="20"/>
        </w:rPr>
        <w:t>erformanceof</w:t>
      </w:r>
      <w:proofErr w:type="spellEnd"/>
      <w:r w:rsidRPr="00C35052">
        <w:rPr>
          <w:rFonts w:eastAsia="Times New Roman" w:cs="Arial"/>
          <w:color w:val="222222"/>
          <w:sz w:val="20"/>
          <w:szCs w:val="20"/>
        </w:rPr>
        <w:t xml:space="preserve"> Nairobi City County. </w:t>
      </w:r>
      <w:r w:rsidRPr="00C35052">
        <w:rPr>
          <w:rFonts w:eastAsia="Times New Roman" w:cs="Arial"/>
          <w:i/>
          <w:iCs/>
          <w:color w:val="222222"/>
          <w:sz w:val="20"/>
          <w:szCs w:val="20"/>
        </w:rPr>
        <w:t>International Academic Journal of Human Resource and Business Administration</w:t>
      </w:r>
      <w:r w:rsidRPr="00C35052">
        <w:rPr>
          <w:rFonts w:eastAsia="Times New Roman" w:cs="Arial"/>
          <w:color w:val="222222"/>
          <w:sz w:val="20"/>
          <w:szCs w:val="20"/>
        </w:rPr>
        <w:t>, </w:t>
      </w:r>
      <w:r w:rsidRPr="00C35052">
        <w:rPr>
          <w:rFonts w:eastAsia="Times New Roman" w:cs="Arial"/>
          <w:i/>
          <w:iCs/>
          <w:color w:val="222222"/>
          <w:sz w:val="20"/>
          <w:szCs w:val="20"/>
        </w:rPr>
        <w:t>2</w:t>
      </w:r>
      <w:r w:rsidRPr="00C35052">
        <w:rPr>
          <w:rFonts w:eastAsia="Times New Roman" w:cs="Arial"/>
          <w:color w:val="222222"/>
          <w:sz w:val="20"/>
          <w:szCs w:val="20"/>
        </w:rPr>
        <w:t>(3), 361-380.</w:t>
      </w:r>
    </w:p>
    <w:p w14:paraId="5654BA1D" w14:textId="77777777" w:rsidR="00F94B4C" w:rsidRPr="00C35052" w:rsidRDefault="00F94B4C" w:rsidP="00F94B4C">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 xml:space="preserve">Palinkas, L. A., Horwitz, S. M., Green, C. A., Wisdom, J. P., </w:t>
      </w:r>
      <w:proofErr w:type="spellStart"/>
      <w:r w:rsidRPr="00D4086A">
        <w:rPr>
          <w:rFonts w:cs="Arial"/>
          <w:color w:val="222222"/>
          <w:sz w:val="20"/>
          <w:szCs w:val="20"/>
          <w:shd w:val="clear" w:color="auto" w:fill="FFFFFF"/>
        </w:rPr>
        <w:t>Duan</w:t>
      </w:r>
      <w:proofErr w:type="spellEnd"/>
      <w:r w:rsidRPr="00D4086A">
        <w:rPr>
          <w:rFonts w:cs="Arial"/>
          <w:color w:val="222222"/>
          <w:sz w:val="20"/>
          <w:szCs w:val="20"/>
          <w:shd w:val="clear" w:color="auto" w:fill="FFFFFF"/>
        </w:rPr>
        <w:t xml:space="preserve">, N., &amp; </w:t>
      </w:r>
      <w:proofErr w:type="spellStart"/>
      <w:r w:rsidRPr="00D4086A">
        <w:rPr>
          <w:rFonts w:cs="Arial"/>
          <w:color w:val="222222"/>
          <w:sz w:val="20"/>
          <w:szCs w:val="20"/>
          <w:shd w:val="clear" w:color="auto" w:fill="FFFFFF"/>
        </w:rPr>
        <w:t>Hoagwood</w:t>
      </w:r>
      <w:proofErr w:type="spellEnd"/>
      <w:r w:rsidRPr="00D4086A">
        <w:rPr>
          <w:rFonts w:cs="Arial"/>
          <w:color w:val="222222"/>
          <w:sz w:val="20"/>
          <w:szCs w:val="20"/>
          <w:shd w:val="clear" w:color="auto" w:fill="FFFFFF"/>
        </w:rPr>
        <w:t xml:space="preserve">, K. </w:t>
      </w:r>
      <w:r w:rsidRPr="00C35052">
        <w:rPr>
          <w:rFonts w:cs="Arial"/>
          <w:color w:val="222222"/>
          <w:sz w:val="20"/>
          <w:szCs w:val="20"/>
          <w:shd w:val="clear" w:color="auto" w:fill="FFFFFF"/>
        </w:rPr>
        <w:t>(2015). Purposeful sampling for qualitative data collection and analysis in mixed method implementation research. </w:t>
      </w:r>
      <w:r w:rsidRPr="00C35052">
        <w:rPr>
          <w:rFonts w:cs="Arial"/>
          <w:i/>
          <w:iCs/>
          <w:color w:val="222222"/>
          <w:sz w:val="20"/>
          <w:szCs w:val="20"/>
          <w:shd w:val="clear" w:color="auto" w:fill="FFFFFF"/>
        </w:rPr>
        <w:t>Administration and policy in mental health and mental health services research</w:t>
      </w:r>
      <w:r w:rsidRPr="00C35052">
        <w:rPr>
          <w:rFonts w:cs="Arial"/>
          <w:color w:val="222222"/>
          <w:sz w:val="20"/>
          <w:szCs w:val="20"/>
          <w:shd w:val="clear" w:color="auto" w:fill="FFFFFF"/>
        </w:rPr>
        <w:t>, </w:t>
      </w:r>
      <w:r w:rsidRPr="00C35052">
        <w:rPr>
          <w:rFonts w:cs="Arial"/>
          <w:i/>
          <w:iCs/>
          <w:color w:val="222222"/>
          <w:sz w:val="20"/>
          <w:szCs w:val="20"/>
          <w:shd w:val="clear" w:color="auto" w:fill="FFFFFF"/>
        </w:rPr>
        <w:t>42</w:t>
      </w:r>
      <w:r w:rsidRPr="00C35052">
        <w:rPr>
          <w:rFonts w:cs="Arial"/>
          <w:color w:val="222222"/>
          <w:sz w:val="20"/>
          <w:szCs w:val="20"/>
          <w:shd w:val="clear" w:color="auto" w:fill="FFFFFF"/>
        </w:rPr>
        <w:t>, 533-544.</w:t>
      </w:r>
    </w:p>
    <w:p w14:paraId="0B74BFBB" w14:textId="77777777" w:rsidR="00F94B4C" w:rsidRPr="00C51CF1" w:rsidRDefault="00F94B4C" w:rsidP="00F94B4C">
      <w:pPr>
        <w:pStyle w:val="ListParagraph"/>
        <w:numPr>
          <w:ilvl w:val="0"/>
          <w:numId w:val="4"/>
        </w:numPr>
        <w:spacing w:line="240" w:lineRule="auto"/>
        <w:rPr>
          <w:rFonts w:cs="Arial"/>
          <w:sz w:val="20"/>
          <w:szCs w:val="20"/>
        </w:rPr>
      </w:pPr>
      <w:proofErr w:type="spellStart"/>
      <w:r w:rsidRPr="00D4086A">
        <w:rPr>
          <w:rFonts w:cs="Arial"/>
          <w:sz w:val="20"/>
          <w:szCs w:val="20"/>
        </w:rPr>
        <w:t>Pelone</w:t>
      </w:r>
      <w:proofErr w:type="spellEnd"/>
      <w:r w:rsidRPr="00D4086A">
        <w:rPr>
          <w:rFonts w:cs="Arial"/>
          <w:sz w:val="20"/>
          <w:szCs w:val="20"/>
        </w:rPr>
        <w:t>, B. C., &amp; ARELLANO, A. J. P. (2024). DAVAO RESEARCH JOURNAL.</w:t>
      </w:r>
    </w:p>
    <w:p w14:paraId="18EC3091" w14:textId="77777777" w:rsidR="00F94B4C" w:rsidRPr="00C35052" w:rsidRDefault="00F94B4C" w:rsidP="00F94B4C">
      <w:pPr>
        <w:pStyle w:val="ListParagraph"/>
        <w:numPr>
          <w:ilvl w:val="0"/>
          <w:numId w:val="4"/>
        </w:numPr>
        <w:spacing w:line="240" w:lineRule="auto"/>
        <w:rPr>
          <w:rFonts w:eastAsia="Times New Roman" w:cs="Arial"/>
          <w:color w:val="222222"/>
          <w:sz w:val="20"/>
          <w:szCs w:val="20"/>
        </w:rPr>
      </w:pPr>
      <w:r w:rsidRPr="00D4086A">
        <w:rPr>
          <w:rFonts w:eastAsia="Times New Roman" w:cs="Arial"/>
          <w:color w:val="222222"/>
          <w:sz w:val="20"/>
          <w:szCs w:val="20"/>
        </w:rPr>
        <w:t xml:space="preserve">Pope, J. (2017). Preventing Predatory Practices: Indirect Auto Lending in the Motor </w:t>
      </w:r>
      <w:r w:rsidRPr="00C35052">
        <w:rPr>
          <w:rFonts w:eastAsia="Times New Roman" w:cs="Arial"/>
          <w:color w:val="222222"/>
          <w:sz w:val="20"/>
          <w:szCs w:val="20"/>
        </w:rPr>
        <w:t>City. </w:t>
      </w:r>
      <w:r w:rsidRPr="00C35052">
        <w:rPr>
          <w:rFonts w:eastAsia="Times New Roman" w:cs="Arial"/>
          <w:i/>
          <w:iCs/>
          <w:color w:val="222222"/>
          <w:sz w:val="20"/>
          <w:szCs w:val="20"/>
        </w:rPr>
        <w:t>U. Det. Mercy L. Rev.</w:t>
      </w:r>
      <w:r w:rsidRPr="00C35052">
        <w:rPr>
          <w:rFonts w:eastAsia="Times New Roman" w:cs="Arial"/>
          <w:color w:val="222222"/>
          <w:sz w:val="20"/>
          <w:szCs w:val="20"/>
        </w:rPr>
        <w:t>, </w:t>
      </w:r>
      <w:r w:rsidRPr="00C35052">
        <w:rPr>
          <w:rFonts w:eastAsia="Times New Roman" w:cs="Arial"/>
          <w:i/>
          <w:iCs/>
          <w:color w:val="222222"/>
          <w:sz w:val="20"/>
          <w:szCs w:val="20"/>
        </w:rPr>
        <w:t>95</w:t>
      </w:r>
      <w:r w:rsidRPr="00C35052">
        <w:rPr>
          <w:rFonts w:eastAsia="Times New Roman" w:cs="Arial"/>
          <w:color w:val="222222"/>
          <w:sz w:val="20"/>
          <w:szCs w:val="20"/>
        </w:rPr>
        <w:t>, 487.</w:t>
      </w:r>
    </w:p>
    <w:p w14:paraId="380FF707" w14:textId="77777777" w:rsidR="00F94B4C" w:rsidRPr="00C35052" w:rsidRDefault="00F94B4C" w:rsidP="00F94B4C">
      <w:pPr>
        <w:pStyle w:val="ListParagraph"/>
        <w:numPr>
          <w:ilvl w:val="0"/>
          <w:numId w:val="4"/>
        </w:numPr>
        <w:spacing w:line="240" w:lineRule="auto"/>
        <w:rPr>
          <w:rFonts w:eastAsia="Times New Roman" w:cs="Arial"/>
          <w:color w:val="222222"/>
          <w:sz w:val="20"/>
          <w:szCs w:val="20"/>
        </w:rPr>
      </w:pPr>
      <w:proofErr w:type="spellStart"/>
      <w:r w:rsidRPr="00D4086A">
        <w:rPr>
          <w:rFonts w:eastAsia="Times New Roman" w:cs="Arial"/>
          <w:color w:val="222222"/>
          <w:sz w:val="20"/>
          <w:szCs w:val="20"/>
        </w:rPr>
        <w:t>Rijanto</w:t>
      </w:r>
      <w:proofErr w:type="spellEnd"/>
      <w:r w:rsidRPr="00D4086A">
        <w:rPr>
          <w:rFonts w:eastAsia="Times New Roman" w:cs="Arial"/>
          <w:color w:val="222222"/>
          <w:sz w:val="20"/>
          <w:szCs w:val="20"/>
        </w:rPr>
        <w:t xml:space="preserve">, A. (2021). Business financing and blockchain technology adoption in </w:t>
      </w:r>
      <w:r w:rsidRPr="00C35052">
        <w:rPr>
          <w:rFonts w:eastAsia="Times New Roman" w:cs="Arial"/>
          <w:color w:val="222222"/>
          <w:sz w:val="20"/>
          <w:szCs w:val="20"/>
        </w:rPr>
        <w:t>agroindustry. </w:t>
      </w:r>
      <w:r w:rsidRPr="00C35052">
        <w:rPr>
          <w:rFonts w:eastAsia="Times New Roman" w:cs="Arial"/>
          <w:i/>
          <w:iCs/>
          <w:color w:val="222222"/>
          <w:sz w:val="20"/>
          <w:szCs w:val="20"/>
        </w:rPr>
        <w:t>Journal of Science and Technology Policy Management</w:t>
      </w:r>
      <w:r w:rsidRPr="00C35052">
        <w:rPr>
          <w:rFonts w:eastAsia="Times New Roman" w:cs="Arial"/>
          <w:color w:val="222222"/>
          <w:sz w:val="20"/>
          <w:szCs w:val="20"/>
        </w:rPr>
        <w:t>, </w:t>
      </w:r>
      <w:r w:rsidRPr="00C35052">
        <w:rPr>
          <w:rFonts w:eastAsia="Times New Roman" w:cs="Arial"/>
          <w:i/>
          <w:iCs/>
          <w:color w:val="222222"/>
          <w:sz w:val="20"/>
          <w:szCs w:val="20"/>
        </w:rPr>
        <w:t>12</w:t>
      </w:r>
      <w:r w:rsidRPr="00C35052">
        <w:rPr>
          <w:rFonts w:eastAsia="Times New Roman" w:cs="Arial"/>
          <w:color w:val="222222"/>
          <w:sz w:val="20"/>
          <w:szCs w:val="20"/>
        </w:rPr>
        <w:t>(2), 215-235.</w:t>
      </w:r>
    </w:p>
    <w:p w14:paraId="04273E40" w14:textId="49858BC9" w:rsidR="00F00162" w:rsidRPr="00C35052" w:rsidRDefault="00F00162" w:rsidP="00F00162">
      <w:pPr>
        <w:pStyle w:val="ListParagraph"/>
        <w:numPr>
          <w:ilvl w:val="0"/>
          <w:numId w:val="4"/>
        </w:numPr>
        <w:spacing w:line="240" w:lineRule="auto"/>
        <w:rPr>
          <w:rFonts w:cs="Arial"/>
          <w:sz w:val="20"/>
          <w:szCs w:val="20"/>
        </w:rPr>
      </w:pPr>
      <w:r w:rsidRPr="00D4086A">
        <w:rPr>
          <w:rFonts w:cs="Arial"/>
          <w:sz w:val="20"/>
          <w:szCs w:val="20"/>
        </w:rPr>
        <w:lastRenderedPageBreak/>
        <w:t xml:space="preserve">Saha, P., Bose, I., &amp; </w:t>
      </w:r>
      <w:proofErr w:type="spellStart"/>
      <w:r w:rsidRPr="00D4086A">
        <w:rPr>
          <w:rFonts w:cs="Arial"/>
          <w:sz w:val="20"/>
          <w:szCs w:val="20"/>
        </w:rPr>
        <w:t>Mahanti</w:t>
      </w:r>
      <w:proofErr w:type="spellEnd"/>
      <w:r w:rsidRPr="00D4086A">
        <w:rPr>
          <w:rFonts w:cs="Arial"/>
          <w:sz w:val="20"/>
          <w:szCs w:val="20"/>
        </w:rPr>
        <w:t xml:space="preserve">, A. (2016). A knowledge-based scheme for risk </w:t>
      </w:r>
      <w:r w:rsidRPr="00C35052">
        <w:rPr>
          <w:rFonts w:cs="Arial"/>
          <w:sz w:val="20"/>
          <w:szCs w:val="20"/>
        </w:rPr>
        <w:t xml:space="preserve">assessment in loan processing by banks. </w:t>
      </w:r>
      <w:r w:rsidRPr="00C35052">
        <w:rPr>
          <w:rFonts w:cs="Arial"/>
          <w:i/>
          <w:iCs/>
          <w:sz w:val="20"/>
          <w:szCs w:val="20"/>
        </w:rPr>
        <w:t>Decision Support Systems,</w:t>
      </w:r>
      <w:r w:rsidRPr="00C35052">
        <w:rPr>
          <w:rFonts w:cs="Arial"/>
          <w:sz w:val="20"/>
          <w:szCs w:val="20"/>
        </w:rPr>
        <w:t xml:space="preserve"> 84, 78-88.</w:t>
      </w:r>
    </w:p>
    <w:p w14:paraId="708BD332" w14:textId="77777777" w:rsidR="00F00162" w:rsidRPr="00C35052" w:rsidRDefault="00F00162" w:rsidP="00F00162">
      <w:pPr>
        <w:pStyle w:val="ListParagraph"/>
        <w:spacing w:line="240" w:lineRule="auto"/>
        <w:rPr>
          <w:rFonts w:eastAsia="Times New Roman" w:cs="Arial"/>
          <w:i/>
          <w:iCs/>
          <w:sz w:val="20"/>
          <w:szCs w:val="20"/>
          <w:lang w:val="en-US"/>
        </w:rPr>
      </w:pPr>
      <w:r w:rsidRPr="00D4086A">
        <w:rPr>
          <w:rFonts w:eastAsia="Times New Roman" w:cs="Arial"/>
          <w:sz w:val="20"/>
          <w:szCs w:val="20"/>
          <w:lang w:val="en-US"/>
        </w:rPr>
        <w:t xml:space="preserve">Saunders, A., &amp; Cornett, M. M. (2019). </w:t>
      </w:r>
      <w:r w:rsidRPr="00D4086A">
        <w:rPr>
          <w:rFonts w:eastAsia="Times New Roman" w:cs="Arial"/>
          <w:i/>
          <w:iCs/>
          <w:sz w:val="20"/>
          <w:szCs w:val="20"/>
          <w:lang w:val="en-US"/>
        </w:rPr>
        <w:t xml:space="preserve">Financial institutions management: A risk </w:t>
      </w:r>
      <w:r w:rsidRPr="00C35052">
        <w:rPr>
          <w:rFonts w:eastAsia="Times New Roman" w:cs="Arial"/>
          <w:i/>
          <w:iCs/>
          <w:sz w:val="20"/>
          <w:szCs w:val="20"/>
          <w:lang w:val="en-US"/>
        </w:rPr>
        <w:t>approach</w:t>
      </w:r>
      <w:r w:rsidRPr="00C35052">
        <w:rPr>
          <w:rFonts w:eastAsia="Times New Roman" w:cs="Arial"/>
          <w:sz w:val="20"/>
          <w:szCs w:val="20"/>
          <w:lang w:val="en-US"/>
        </w:rPr>
        <w:t xml:space="preserve"> (10th ed.). McGraw-Hill Education.</w:t>
      </w:r>
    </w:p>
    <w:p w14:paraId="3F321CFA" w14:textId="77777777" w:rsidR="00F00162" w:rsidRPr="00C35052" w:rsidRDefault="00F00162" w:rsidP="00F00162">
      <w:pPr>
        <w:pStyle w:val="ListParagraph"/>
        <w:numPr>
          <w:ilvl w:val="0"/>
          <w:numId w:val="4"/>
        </w:numPr>
        <w:spacing w:line="240" w:lineRule="auto"/>
        <w:rPr>
          <w:rFonts w:cs="Arial"/>
          <w:i/>
          <w:iCs/>
          <w:sz w:val="20"/>
          <w:szCs w:val="20"/>
        </w:rPr>
      </w:pPr>
      <w:r w:rsidRPr="00D4086A">
        <w:rPr>
          <w:rFonts w:cs="Arial"/>
          <w:sz w:val="20"/>
          <w:szCs w:val="20"/>
        </w:rPr>
        <w:t xml:space="preserve">Scott, H. (2020). </w:t>
      </w:r>
      <w:r w:rsidRPr="00D4086A">
        <w:rPr>
          <w:rFonts w:cs="Arial"/>
          <w:i/>
          <w:iCs/>
          <w:sz w:val="20"/>
          <w:szCs w:val="20"/>
        </w:rPr>
        <w:t>Financial literacy and the use of alternative fina</w:t>
      </w:r>
      <w:r>
        <w:rPr>
          <w:rFonts w:cs="Arial"/>
          <w:i/>
          <w:iCs/>
          <w:sz w:val="20"/>
          <w:szCs w:val="20"/>
        </w:rPr>
        <w:t xml:space="preserve">ncial services: A </w:t>
      </w:r>
      <w:proofErr w:type="spellStart"/>
      <w:r w:rsidRPr="00C35052">
        <w:rPr>
          <w:rFonts w:cs="Arial"/>
          <w:i/>
          <w:iCs/>
          <w:sz w:val="20"/>
          <w:szCs w:val="20"/>
        </w:rPr>
        <w:t>behavioural</w:t>
      </w:r>
      <w:proofErr w:type="spellEnd"/>
      <w:r w:rsidRPr="00C35052">
        <w:rPr>
          <w:rFonts w:cs="Arial"/>
          <w:i/>
          <w:iCs/>
          <w:sz w:val="20"/>
          <w:szCs w:val="20"/>
        </w:rPr>
        <w:t xml:space="preserve"> perspective </w:t>
      </w:r>
      <w:r w:rsidRPr="00C35052">
        <w:rPr>
          <w:rFonts w:cs="Arial"/>
          <w:sz w:val="20"/>
          <w:szCs w:val="20"/>
        </w:rPr>
        <w:t xml:space="preserve">(Doctoral dissertation, </w:t>
      </w:r>
      <w:proofErr w:type="spellStart"/>
      <w:r w:rsidRPr="00C35052">
        <w:rPr>
          <w:rFonts w:cs="Arial"/>
          <w:sz w:val="20"/>
          <w:szCs w:val="20"/>
        </w:rPr>
        <w:t>Université</w:t>
      </w:r>
      <w:proofErr w:type="spellEnd"/>
      <w:r w:rsidRPr="00C35052">
        <w:rPr>
          <w:rFonts w:cs="Arial"/>
          <w:sz w:val="20"/>
          <w:szCs w:val="20"/>
        </w:rPr>
        <w:t xml:space="preserve"> </w:t>
      </w:r>
      <w:proofErr w:type="spellStart"/>
      <w:r w:rsidRPr="00C35052">
        <w:rPr>
          <w:rFonts w:cs="Arial"/>
          <w:sz w:val="20"/>
          <w:szCs w:val="20"/>
        </w:rPr>
        <w:t>d’Ottawa</w:t>
      </w:r>
      <w:proofErr w:type="spellEnd"/>
      <w:r w:rsidRPr="00C35052">
        <w:rPr>
          <w:rFonts w:cs="Arial"/>
          <w:sz w:val="20"/>
          <w:szCs w:val="20"/>
        </w:rPr>
        <w:t>/University of Ottawa).</w:t>
      </w:r>
    </w:p>
    <w:p w14:paraId="008E6762" w14:textId="77777777" w:rsidR="00F00162" w:rsidRPr="00C35052" w:rsidRDefault="00F00162" w:rsidP="00F00162">
      <w:pPr>
        <w:pStyle w:val="ListParagraph"/>
        <w:numPr>
          <w:ilvl w:val="0"/>
          <w:numId w:val="4"/>
        </w:numPr>
        <w:spacing w:line="240" w:lineRule="auto"/>
        <w:rPr>
          <w:rFonts w:cs="Arial"/>
          <w:sz w:val="20"/>
          <w:szCs w:val="20"/>
        </w:rPr>
      </w:pPr>
      <w:r w:rsidRPr="00D4086A">
        <w:rPr>
          <w:rFonts w:cs="Arial"/>
          <w:sz w:val="20"/>
          <w:szCs w:val="20"/>
        </w:rPr>
        <w:t xml:space="preserve">Smith, A. M. (2022). An empirical study of the effects of regulatory systems on the </w:t>
      </w:r>
      <w:r w:rsidRPr="00C35052">
        <w:rPr>
          <w:rFonts w:cs="Arial"/>
          <w:sz w:val="20"/>
          <w:szCs w:val="20"/>
        </w:rPr>
        <w:t>collection of late payment of commercial debts owed to micro and small businesses in the UK.</w:t>
      </w:r>
    </w:p>
    <w:p w14:paraId="7220D5CB" w14:textId="77777777" w:rsidR="00F00162" w:rsidRPr="00CF0253" w:rsidRDefault="00F00162" w:rsidP="00F00162">
      <w:pPr>
        <w:pStyle w:val="ListParagraph"/>
        <w:numPr>
          <w:ilvl w:val="0"/>
          <w:numId w:val="4"/>
        </w:numPr>
        <w:spacing w:line="240" w:lineRule="auto"/>
        <w:rPr>
          <w:rFonts w:cs="Arial"/>
          <w:sz w:val="20"/>
          <w:szCs w:val="20"/>
        </w:rPr>
      </w:pPr>
      <w:proofErr w:type="spellStart"/>
      <w:r w:rsidRPr="00D4086A">
        <w:rPr>
          <w:rFonts w:cs="Arial"/>
          <w:sz w:val="20"/>
          <w:szCs w:val="20"/>
        </w:rPr>
        <w:t>Sobol</w:t>
      </w:r>
      <w:proofErr w:type="spellEnd"/>
      <w:r w:rsidRPr="00D4086A">
        <w:rPr>
          <w:rFonts w:cs="Arial"/>
          <w:sz w:val="20"/>
          <w:szCs w:val="20"/>
        </w:rPr>
        <w:t xml:space="preserve">, N. L. (2017). Fighting fines &amp; fees: borrowing from consumer law to combat criminal </w:t>
      </w:r>
      <w:r w:rsidRPr="00C24C6B">
        <w:rPr>
          <w:rFonts w:cs="Arial"/>
          <w:sz w:val="20"/>
          <w:szCs w:val="20"/>
        </w:rPr>
        <w:t>justice debt abuses. U. Colo. l. Rev., 88, 841.</w:t>
      </w:r>
    </w:p>
    <w:p w14:paraId="70B6B99E" w14:textId="77777777" w:rsidR="00F00162" w:rsidRPr="00C24C6B" w:rsidRDefault="00F00162" w:rsidP="00F00162">
      <w:pPr>
        <w:pStyle w:val="ListParagraph"/>
        <w:numPr>
          <w:ilvl w:val="0"/>
          <w:numId w:val="4"/>
        </w:numPr>
        <w:spacing w:line="240" w:lineRule="auto"/>
        <w:rPr>
          <w:rFonts w:cs="Arial"/>
          <w:i/>
          <w:iCs/>
          <w:color w:val="222222"/>
          <w:sz w:val="20"/>
          <w:szCs w:val="20"/>
          <w:shd w:val="clear" w:color="auto" w:fill="FFFFFF"/>
        </w:rPr>
      </w:pPr>
      <w:proofErr w:type="spellStart"/>
      <w:r w:rsidRPr="00D4086A">
        <w:rPr>
          <w:rFonts w:cs="Arial"/>
          <w:color w:val="222222"/>
          <w:sz w:val="20"/>
          <w:szCs w:val="20"/>
          <w:shd w:val="clear" w:color="auto" w:fill="FFFFFF"/>
        </w:rPr>
        <w:t>Uzir</w:t>
      </w:r>
      <w:proofErr w:type="spellEnd"/>
      <w:r w:rsidRPr="00D4086A">
        <w:rPr>
          <w:rFonts w:cs="Arial"/>
          <w:color w:val="222222"/>
          <w:sz w:val="20"/>
          <w:szCs w:val="20"/>
          <w:shd w:val="clear" w:color="auto" w:fill="FFFFFF"/>
        </w:rPr>
        <w:t xml:space="preserve">, M. U. H., Hamid, P. D. A. B. A., </w:t>
      </w:r>
      <w:proofErr w:type="spellStart"/>
      <w:r w:rsidRPr="00D4086A">
        <w:rPr>
          <w:rFonts w:cs="Arial"/>
          <w:color w:val="222222"/>
          <w:sz w:val="20"/>
          <w:szCs w:val="20"/>
          <w:shd w:val="clear" w:color="auto" w:fill="FFFFFF"/>
        </w:rPr>
        <w:t>Latiff</w:t>
      </w:r>
      <w:proofErr w:type="spellEnd"/>
      <w:r w:rsidRPr="00D4086A">
        <w:rPr>
          <w:rFonts w:cs="Arial"/>
          <w:color w:val="222222"/>
          <w:sz w:val="20"/>
          <w:szCs w:val="20"/>
          <w:shd w:val="clear" w:color="auto" w:fill="FFFFFF"/>
        </w:rPr>
        <w:t xml:space="preserve">, T. D. A. S. A., &amp; </w:t>
      </w:r>
      <w:proofErr w:type="spellStart"/>
      <w:r w:rsidRPr="00D4086A">
        <w:rPr>
          <w:rFonts w:cs="Arial"/>
          <w:color w:val="222222"/>
          <w:sz w:val="20"/>
          <w:szCs w:val="20"/>
          <w:shd w:val="clear" w:color="auto" w:fill="FFFFFF"/>
        </w:rPr>
        <w:t>Jerin</w:t>
      </w:r>
      <w:proofErr w:type="spellEnd"/>
      <w:r w:rsidRPr="00D4086A">
        <w:rPr>
          <w:rFonts w:cs="Arial"/>
          <w:color w:val="222222"/>
          <w:sz w:val="20"/>
          <w:szCs w:val="20"/>
          <w:shd w:val="clear" w:color="auto" w:fill="FFFFFF"/>
        </w:rPr>
        <w:t>, I. (2021). </w:t>
      </w:r>
      <w:r w:rsidRPr="00D4086A">
        <w:rPr>
          <w:rFonts w:cs="Arial"/>
          <w:i/>
          <w:iCs/>
          <w:color w:val="222222"/>
          <w:sz w:val="20"/>
          <w:szCs w:val="20"/>
          <w:shd w:val="clear" w:color="auto" w:fill="FFFFFF"/>
        </w:rPr>
        <w:t xml:space="preserve">Brand loyalty </w:t>
      </w:r>
      <w:r w:rsidRPr="00C24C6B">
        <w:rPr>
          <w:rFonts w:cs="Arial"/>
          <w:i/>
          <w:iCs/>
          <w:color w:val="222222"/>
          <w:sz w:val="20"/>
          <w:szCs w:val="20"/>
          <w:shd w:val="clear" w:color="auto" w:fill="FFFFFF"/>
        </w:rPr>
        <w:t>in Bangladesh: Customer satisfaction, brand trust, social media usage in electronic home appliances</w:t>
      </w:r>
      <w:r w:rsidRPr="00C24C6B">
        <w:rPr>
          <w:rFonts w:cs="Arial"/>
          <w:color w:val="222222"/>
          <w:sz w:val="20"/>
          <w:szCs w:val="20"/>
          <w:shd w:val="clear" w:color="auto" w:fill="FFFFFF"/>
        </w:rPr>
        <w:t>. Partridge Publishing Singapore.</w:t>
      </w:r>
    </w:p>
    <w:p w14:paraId="2CFBC4EE" w14:textId="77777777" w:rsidR="00F00162" w:rsidRPr="00C24C6B" w:rsidRDefault="00F00162" w:rsidP="00F00162">
      <w:pPr>
        <w:pStyle w:val="ListParagraph"/>
        <w:numPr>
          <w:ilvl w:val="0"/>
          <w:numId w:val="4"/>
        </w:numPr>
        <w:spacing w:line="240" w:lineRule="auto"/>
        <w:rPr>
          <w:rFonts w:cs="Arial"/>
          <w:sz w:val="20"/>
          <w:szCs w:val="20"/>
        </w:rPr>
      </w:pPr>
      <w:r w:rsidRPr="00D4086A">
        <w:rPr>
          <w:rFonts w:cs="Arial"/>
          <w:sz w:val="20"/>
          <w:szCs w:val="20"/>
        </w:rPr>
        <w:t xml:space="preserve">Van Den Berg, M., </w:t>
      </w:r>
      <w:proofErr w:type="spellStart"/>
      <w:r w:rsidRPr="00D4086A">
        <w:rPr>
          <w:rFonts w:cs="Arial"/>
          <w:sz w:val="20"/>
          <w:szCs w:val="20"/>
        </w:rPr>
        <w:t>Lensink</w:t>
      </w:r>
      <w:proofErr w:type="spellEnd"/>
      <w:r w:rsidRPr="00D4086A">
        <w:rPr>
          <w:rFonts w:cs="Arial"/>
          <w:sz w:val="20"/>
          <w:szCs w:val="20"/>
        </w:rPr>
        <w:t xml:space="preserve">, R., &amp; Servin, R. (2015). Loan officers’ gender and </w:t>
      </w:r>
      <w:r w:rsidRPr="00C24C6B">
        <w:rPr>
          <w:rFonts w:cs="Arial"/>
          <w:sz w:val="20"/>
          <w:szCs w:val="20"/>
        </w:rPr>
        <w:t xml:space="preserve">microfinance repayment rates. </w:t>
      </w:r>
      <w:r w:rsidRPr="00C24C6B">
        <w:rPr>
          <w:rFonts w:cs="Arial"/>
          <w:i/>
          <w:iCs/>
          <w:sz w:val="20"/>
          <w:szCs w:val="20"/>
        </w:rPr>
        <w:t>The Journal of Development Studies</w:t>
      </w:r>
      <w:r w:rsidRPr="00C24C6B">
        <w:rPr>
          <w:rFonts w:cs="Arial"/>
          <w:sz w:val="20"/>
          <w:szCs w:val="20"/>
        </w:rPr>
        <w:t>, 51(9), 1241-1254.</w:t>
      </w:r>
    </w:p>
    <w:p w14:paraId="51BEB2E8" w14:textId="77777777" w:rsidR="00F00162" w:rsidRPr="00C24C6B" w:rsidRDefault="00F00162" w:rsidP="00F00162">
      <w:pPr>
        <w:pStyle w:val="ListParagraph"/>
        <w:numPr>
          <w:ilvl w:val="0"/>
          <w:numId w:val="4"/>
        </w:numPr>
        <w:spacing w:line="240" w:lineRule="auto"/>
        <w:rPr>
          <w:rFonts w:cs="Arial"/>
          <w:sz w:val="20"/>
          <w:szCs w:val="20"/>
        </w:rPr>
      </w:pPr>
      <w:r w:rsidRPr="00D4086A">
        <w:rPr>
          <w:rFonts w:cs="Arial"/>
          <w:sz w:val="20"/>
          <w:szCs w:val="20"/>
        </w:rPr>
        <w:t xml:space="preserve">Van der </w:t>
      </w:r>
      <w:proofErr w:type="spellStart"/>
      <w:r w:rsidRPr="00D4086A">
        <w:rPr>
          <w:rFonts w:cs="Arial"/>
          <w:sz w:val="20"/>
          <w:szCs w:val="20"/>
        </w:rPr>
        <w:t>Hoog</w:t>
      </w:r>
      <w:proofErr w:type="spellEnd"/>
      <w:r w:rsidRPr="00D4086A">
        <w:rPr>
          <w:rFonts w:cs="Arial"/>
          <w:sz w:val="20"/>
          <w:szCs w:val="20"/>
        </w:rPr>
        <w:t xml:space="preserve">, S. (2018). The limits to credit growth: Mitigation policies and </w:t>
      </w:r>
      <w:r w:rsidRPr="00C24C6B">
        <w:rPr>
          <w:rFonts w:cs="Arial"/>
          <w:sz w:val="20"/>
          <w:szCs w:val="20"/>
        </w:rPr>
        <w:t xml:space="preserve">macroprudential regulations to foster </w:t>
      </w:r>
      <w:proofErr w:type="spellStart"/>
      <w:r w:rsidRPr="00C24C6B">
        <w:rPr>
          <w:rFonts w:cs="Arial"/>
          <w:sz w:val="20"/>
          <w:szCs w:val="20"/>
        </w:rPr>
        <w:t>macrofinancial</w:t>
      </w:r>
      <w:proofErr w:type="spellEnd"/>
      <w:r w:rsidRPr="00C24C6B">
        <w:rPr>
          <w:rFonts w:cs="Arial"/>
          <w:sz w:val="20"/>
          <w:szCs w:val="20"/>
        </w:rPr>
        <w:t xml:space="preserve"> stability and sustainable debt. </w:t>
      </w:r>
      <w:r w:rsidRPr="00C24C6B">
        <w:rPr>
          <w:rFonts w:cs="Arial"/>
          <w:i/>
          <w:iCs/>
          <w:sz w:val="20"/>
          <w:szCs w:val="20"/>
        </w:rPr>
        <w:t>Computational Economics</w:t>
      </w:r>
      <w:r w:rsidRPr="00C24C6B">
        <w:rPr>
          <w:rFonts w:cs="Arial"/>
          <w:sz w:val="20"/>
          <w:szCs w:val="20"/>
        </w:rPr>
        <w:t>, 52(3), 873-920.</w:t>
      </w:r>
    </w:p>
    <w:p w14:paraId="1BE23CF5" w14:textId="77777777" w:rsidR="00F00162" w:rsidRPr="00C24C6B" w:rsidRDefault="00F00162" w:rsidP="00F00162">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 xml:space="preserve">Van </w:t>
      </w:r>
      <w:proofErr w:type="spellStart"/>
      <w:r w:rsidRPr="00D4086A">
        <w:rPr>
          <w:rFonts w:cs="Arial"/>
          <w:color w:val="222222"/>
          <w:sz w:val="20"/>
          <w:szCs w:val="20"/>
          <w:shd w:val="clear" w:color="auto" w:fill="FFFFFF"/>
        </w:rPr>
        <w:t>Ooijen</w:t>
      </w:r>
      <w:proofErr w:type="spellEnd"/>
      <w:r w:rsidRPr="00D4086A">
        <w:rPr>
          <w:rFonts w:cs="Arial"/>
          <w:color w:val="222222"/>
          <w:sz w:val="20"/>
          <w:szCs w:val="20"/>
          <w:shd w:val="clear" w:color="auto" w:fill="FFFFFF"/>
        </w:rPr>
        <w:t xml:space="preserve">, R., &amp; van </w:t>
      </w:r>
      <w:proofErr w:type="spellStart"/>
      <w:r w:rsidRPr="00D4086A">
        <w:rPr>
          <w:rFonts w:cs="Arial"/>
          <w:color w:val="222222"/>
          <w:sz w:val="20"/>
          <w:szCs w:val="20"/>
          <w:shd w:val="clear" w:color="auto" w:fill="FFFFFF"/>
        </w:rPr>
        <w:t>Rooij</w:t>
      </w:r>
      <w:proofErr w:type="spellEnd"/>
      <w:r w:rsidRPr="00D4086A">
        <w:rPr>
          <w:rFonts w:cs="Arial"/>
          <w:color w:val="222222"/>
          <w:sz w:val="20"/>
          <w:szCs w:val="20"/>
          <w:shd w:val="clear" w:color="auto" w:fill="FFFFFF"/>
        </w:rPr>
        <w:t xml:space="preserve">, M. C. (2016). Mortgage risks, debt literacy and financial </w:t>
      </w:r>
      <w:r w:rsidRPr="00C24C6B">
        <w:rPr>
          <w:rFonts w:cs="Arial"/>
          <w:color w:val="222222"/>
          <w:sz w:val="20"/>
          <w:szCs w:val="20"/>
          <w:shd w:val="clear" w:color="auto" w:fill="FFFFFF"/>
        </w:rPr>
        <w:t>advice. </w:t>
      </w:r>
      <w:r w:rsidRPr="00C24C6B">
        <w:rPr>
          <w:rFonts w:cs="Arial"/>
          <w:i/>
          <w:iCs/>
          <w:color w:val="222222"/>
          <w:sz w:val="20"/>
          <w:szCs w:val="20"/>
          <w:shd w:val="clear" w:color="auto" w:fill="FFFFFF"/>
        </w:rPr>
        <w:t>Journal of Banking &amp; Finance</w:t>
      </w:r>
      <w:r w:rsidRPr="00C24C6B">
        <w:rPr>
          <w:rFonts w:cs="Arial"/>
          <w:color w:val="222222"/>
          <w:sz w:val="20"/>
          <w:szCs w:val="20"/>
          <w:shd w:val="clear" w:color="auto" w:fill="FFFFFF"/>
        </w:rPr>
        <w:t>, </w:t>
      </w:r>
      <w:r w:rsidRPr="00C24C6B">
        <w:rPr>
          <w:rFonts w:cs="Arial"/>
          <w:i/>
          <w:iCs/>
          <w:color w:val="222222"/>
          <w:sz w:val="20"/>
          <w:szCs w:val="20"/>
          <w:shd w:val="clear" w:color="auto" w:fill="FFFFFF"/>
        </w:rPr>
        <w:t>72</w:t>
      </w:r>
      <w:r w:rsidRPr="00C24C6B">
        <w:rPr>
          <w:rFonts w:cs="Arial"/>
          <w:color w:val="222222"/>
          <w:sz w:val="20"/>
          <w:szCs w:val="20"/>
          <w:shd w:val="clear" w:color="auto" w:fill="FFFFFF"/>
        </w:rPr>
        <w:t>, 201-217.</w:t>
      </w:r>
    </w:p>
    <w:p w14:paraId="51495234" w14:textId="77777777" w:rsidR="00F00162" w:rsidRPr="00C24C6B" w:rsidRDefault="00F00162" w:rsidP="00F00162">
      <w:pPr>
        <w:pStyle w:val="ListParagraph"/>
        <w:numPr>
          <w:ilvl w:val="0"/>
          <w:numId w:val="4"/>
        </w:numPr>
        <w:spacing w:line="240" w:lineRule="auto"/>
        <w:rPr>
          <w:rFonts w:cs="Arial"/>
          <w:i/>
          <w:iCs/>
          <w:sz w:val="20"/>
          <w:szCs w:val="20"/>
        </w:rPr>
      </w:pPr>
      <w:r w:rsidRPr="00D4086A">
        <w:rPr>
          <w:rFonts w:cs="Arial"/>
          <w:sz w:val="20"/>
          <w:szCs w:val="20"/>
        </w:rPr>
        <w:t xml:space="preserve">Van </w:t>
      </w:r>
      <w:proofErr w:type="spellStart"/>
      <w:r w:rsidRPr="00D4086A">
        <w:rPr>
          <w:rFonts w:cs="Arial"/>
          <w:sz w:val="20"/>
          <w:szCs w:val="20"/>
        </w:rPr>
        <w:t>Raaij</w:t>
      </w:r>
      <w:proofErr w:type="spellEnd"/>
      <w:r w:rsidRPr="00D4086A">
        <w:rPr>
          <w:rFonts w:cs="Arial"/>
          <w:sz w:val="20"/>
          <w:szCs w:val="20"/>
        </w:rPr>
        <w:t xml:space="preserve">, W. F. (2016). </w:t>
      </w:r>
      <w:r w:rsidRPr="00D4086A">
        <w:rPr>
          <w:rFonts w:cs="Arial"/>
          <w:i/>
          <w:iCs/>
          <w:sz w:val="20"/>
          <w:szCs w:val="20"/>
        </w:rPr>
        <w:t xml:space="preserve">Understanding consumer financial behavior: Money management </w:t>
      </w:r>
      <w:r w:rsidRPr="00C24C6B">
        <w:rPr>
          <w:rFonts w:cs="Arial"/>
          <w:i/>
          <w:iCs/>
          <w:sz w:val="20"/>
          <w:szCs w:val="20"/>
        </w:rPr>
        <w:t>in an age of financial illiteracy</w:t>
      </w:r>
      <w:r w:rsidRPr="00C24C6B">
        <w:rPr>
          <w:rFonts w:cs="Arial"/>
          <w:sz w:val="20"/>
          <w:szCs w:val="20"/>
        </w:rPr>
        <w:t>. Springer.</w:t>
      </w:r>
    </w:p>
    <w:p w14:paraId="6617F914" w14:textId="0D82FC77" w:rsidR="007C2C1D" w:rsidRPr="00F00162" w:rsidRDefault="00F00162" w:rsidP="00F00162">
      <w:pPr>
        <w:pStyle w:val="ListParagraph"/>
        <w:numPr>
          <w:ilvl w:val="0"/>
          <w:numId w:val="4"/>
        </w:numPr>
        <w:spacing w:line="240" w:lineRule="auto"/>
        <w:rPr>
          <w:rFonts w:cs="Arial"/>
          <w:i/>
          <w:iCs/>
          <w:sz w:val="20"/>
          <w:szCs w:val="20"/>
        </w:rPr>
      </w:pPr>
      <w:r w:rsidRPr="00D4086A">
        <w:rPr>
          <w:rFonts w:cs="Arial"/>
          <w:sz w:val="20"/>
          <w:szCs w:val="20"/>
        </w:rPr>
        <w:t xml:space="preserve">XUEYAN, B. (2020). </w:t>
      </w:r>
      <w:r w:rsidRPr="00D4086A">
        <w:rPr>
          <w:rFonts w:cs="Arial"/>
          <w:i/>
          <w:iCs/>
          <w:sz w:val="20"/>
          <w:szCs w:val="20"/>
        </w:rPr>
        <w:t xml:space="preserve">LISTED COMPANIES WORKING CAPITAL MANAGEMENT </w:t>
      </w:r>
      <w:r w:rsidRPr="00C24C6B">
        <w:rPr>
          <w:rFonts w:cs="Arial"/>
          <w:i/>
          <w:iCs/>
          <w:sz w:val="20"/>
          <w:szCs w:val="20"/>
        </w:rPr>
        <w:t>PROBLEMS AND COUNTERM</w:t>
      </w:r>
      <w:r>
        <w:rPr>
          <w:rFonts w:cs="Arial"/>
          <w:i/>
          <w:iCs/>
          <w:sz w:val="20"/>
          <w:szCs w:val="20"/>
        </w:rPr>
        <w:t xml:space="preserve">EASURES——STUDY ON GREE ELECTRIC </w:t>
      </w:r>
      <w:r w:rsidRPr="00C24C6B">
        <w:rPr>
          <w:rFonts w:cs="Arial"/>
          <w:i/>
          <w:iCs/>
          <w:sz w:val="20"/>
          <w:szCs w:val="20"/>
        </w:rPr>
        <w:t>APPLIANCES, INC. OF ZHUHAI</w:t>
      </w:r>
      <w:r w:rsidRPr="00C24C6B">
        <w:rPr>
          <w:rFonts w:cs="Arial"/>
          <w:sz w:val="20"/>
          <w:szCs w:val="20"/>
        </w:rPr>
        <w:t xml:space="preserve"> (Doctoral dissertation, SIAM UNIVERSITY).</w:t>
      </w:r>
    </w:p>
    <w:p w14:paraId="7CBEF981" w14:textId="77777777" w:rsidR="00F00162" w:rsidRPr="00C24C6B" w:rsidRDefault="00F00162" w:rsidP="00F00162">
      <w:pPr>
        <w:pStyle w:val="ListParagraph"/>
        <w:numPr>
          <w:ilvl w:val="0"/>
          <w:numId w:val="4"/>
        </w:numPr>
        <w:spacing w:line="240" w:lineRule="auto"/>
        <w:rPr>
          <w:rFonts w:cs="Arial"/>
          <w:color w:val="222222"/>
          <w:sz w:val="20"/>
          <w:szCs w:val="20"/>
          <w:shd w:val="clear" w:color="auto" w:fill="FFFFFF"/>
        </w:rPr>
      </w:pPr>
      <w:r w:rsidRPr="00D4086A">
        <w:rPr>
          <w:rFonts w:cs="Arial"/>
          <w:color w:val="222222"/>
          <w:sz w:val="20"/>
          <w:szCs w:val="20"/>
          <w:shd w:val="clear" w:color="auto" w:fill="FFFFFF"/>
        </w:rPr>
        <w:t xml:space="preserve">Zhao, Q., Shen, Y., &amp; Li, C. (2021). Credit behaviors of rural households in the </w:t>
      </w:r>
      <w:r w:rsidRPr="00C24C6B">
        <w:rPr>
          <w:rFonts w:cs="Arial"/>
          <w:color w:val="222222"/>
          <w:sz w:val="20"/>
          <w:szCs w:val="20"/>
          <w:shd w:val="clear" w:color="auto" w:fill="FFFFFF"/>
        </w:rPr>
        <w:t>perspective of complex social networks. </w:t>
      </w:r>
      <w:r w:rsidRPr="00C24C6B">
        <w:rPr>
          <w:rFonts w:cs="Arial"/>
          <w:i/>
          <w:iCs/>
          <w:color w:val="222222"/>
          <w:sz w:val="20"/>
          <w:szCs w:val="20"/>
          <w:shd w:val="clear" w:color="auto" w:fill="FFFFFF"/>
        </w:rPr>
        <w:t>Complexity</w:t>
      </w:r>
      <w:r w:rsidRPr="00C24C6B">
        <w:rPr>
          <w:rFonts w:cs="Arial"/>
          <w:color w:val="222222"/>
          <w:sz w:val="20"/>
          <w:szCs w:val="20"/>
          <w:shd w:val="clear" w:color="auto" w:fill="FFFFFF"/>
        </w:rPr>
        <w:t>, </w:t>
      </w:r>
      <w:r w:rsidRPr="00C24C6B">
        <w:rPr>
          <w:rFonts w:cs="Arial"/>
          <w:i/>
          <w:iCs/>
          <w:color w:val="222222"/>
          <w:sz w:val="20"/>
          <w:szCs w:val="20"/>
          <w:shd w:val="clear" w:color="auto" w:fill="FFFFFF"/>
        </w:rPr>
        <w:t>2021</w:t>
      </w:r>
      <w:r w:rsidRPr="00C24C6B">
        <w:rPr>
          <w:rFonts w:cs="Arial"/>
          <w:color w:val="222222"/>
          <w:sz w:val="20"/>
          <w:szCs w:val="20"/>
          <w:shd w:val="clear" w:color="auto" w:fill="FFFFFF"/>
        </w:rPr>
        <w:t>(1), 9975856.</w:t>
      </w:r>
    </w:p>
    <w:p w14:paraId="19996217" w14:textId="5F2BE117" w:rsidR="00F00162" w:rsidRPr="00396572" w:rsidRDefault="00F00162" w:rsidP="00F00162">
      <w:pPr>
        <w:pStyle w:val="ListParagraph"/>
        <w:numPr>
          <w:ilvl w:val="0"/>
          <w:numId w:val="4"/>
        </w:numPr>
        <w:spacing w:line="240" w:lineRule="auto"/>
        <w:rPr>
          <w:rFonts w:cs="Arial"/>
          <w:sz w:val="20"/>
          <w:szCs w:val="20"/>
        </w:rPr>
      </w:pPr>
      <w:r w:rsidRPr="00D4086A">
        <w:rPr>
          <w:rFonts w:cs="Arial"/>
          <w:sz w:val="20"/>
          <w:szCs w:val="20"/>
        </w:rPr>
        <w:t>Zywicki, T. J. (2015). The law and economics of consumer debt collection and its regulation.</w:t>
      </w:r>
      <w:r w:rsidRPr="00D4086A">
        <w:rPr>
          <w:rFonts w:cs="Arial"/>
          <w:i/>
          <w:iCs/>
          <w:sz w:val="20"/>
          <w:szCs w:val="20"/>
        </w:rPr>
        <w:t> Loy. Consumer L. Rev.</w:t>
      </w:r>
      <w:r w:rsidRPr="00D4086A">
        <w:rPr>
          <w:rFonts w:cs="Arial"/>
          <w:sz w:val="20"/>
          <w:szCs w:val="20"/>
        </w:rPr>
        <w:t>, 28, 167.</w:t>
      </w:r>
    </w:p>
    <w:sectPr w:rsidR="00F00162" w:rsidRPr="00396572" w:rsidSect="00233781">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C4334" w14:textId="77777777" w:rsidR="00CD3B80" w:rsidRDefault="00CD3B80" w:rsidP="00D60EAF">
      <w:pPr>
        <w:spacing w:after="0" w:line="240" w:lineRule="auto"/>
      </w:pPr>
      <w:r>
        <w:separator/>
      </w:r>
    </w:p>
  </w:endnote>
  <w:endnote w:type="continuationSeparator" w:id="0">
    <w:p w14:paraId="3460DC22" w14:textId="77777777" w:rsidR="00CD3B80" w:rsidRDefault="00CD3B80" w:rsidP="00D6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BFC78" w14:textId="77777777" w:rsidR="00233781" w:rsidRDefault="00233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4E5D1" w14:textId="77777777" w:rsidR="00233781" w:rsidRDefault="00233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98D5" w14:textId="77777777" w:rsidR="00233781" w:rsidRDefault="00233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C56DF" w14:textId="77777777" w:rsidR="00CD3B80" w:rsidRDefault="00CD3B80" w:rsidP="00D60EAF">
      <w:pPr>
        <w:spacing w:after="0" w:line="240" w:lineRule="auto"/>
      </w:pPr>
      <w:r>
        <w:separator/>
      </w:r>
    </w:p>
  </w:footnote>
  <w:footnote w:type="continuationSeparator" w:id="0">
    <w:p w14:paraId="1C1906B4" w14:textId="77777777" w:rsidR="00CD3B80" w:rsidRDefault="00CD3B80" w:rsidP="00D60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EBF83" w14:textId="0A3B42D2" w:rsidR="00233781" w:rsidRDefault="00CD3B80">
    <w:pPr>
      <w:pStyle w:val="Header"/>
    </w:pPr>
    <w:r>
      <w:rPr>
        <w:noProof/>
      </w:rPr>
      <w:pict w14:anchorId="1CD74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364891" o:spid="_x0000_s2051" type="#_x0000_t136" style="position:absolute;left:0;text-align:left;margin-left:0;margin-top:0;width:487.2pt;height:91.3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8E13" w14:textId="7B24B766" w:rsidR="00233781" w:rsidRDefault="00CD3B80">
    <w:pPr>
      <w:pStyle w:val="Header"/>
    </w:pPr>
    <w:r>
      <w:rPr>
        <w:noProof/>
      </w:rPr>
      <w:pict w14:anchorId="7E075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364892" o:spid="_x0000_s2050" type="#_x0000_t136" style="position:absolute;left:0;text-align:left;margin-left:0;margin-top:0;width:487.2pt;height:91.3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16A1F" w14:textId="26CAD6AF" w:rsidR="00233781" w:rsidRDefault="00CD3B80">
    <w:pPr>
      <w:pStyle w:val="Header"/>
    </w:pPr>
    <w:r>
      <w:rPr>
        <w:noProof/>
      </w:rPr>
      <w:pict w14:anchorId="2EF5C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364890" o:spid="_x0000_s2049" type="#_x0000_t136" style="position:absolute;left:0;text-align:left;margin-left:0;margin-top:0;width:487.2pt;height:91.3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163"/>
    <w:multiLevelType w:val="hybridMultilevel"/>
    <w:tmpl w:val="52F26A4A"/>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9ED55B2"/>
    <w:multiLevelType w:val="multilevel"/>
    <w:tmpl w:val="BA409B58"/>
    <w:lvl w:ilvl="0">
      <w:start w:val="1"/>
      <w:numFmt w:val="decimal"/>
      <w:lvlText w:val="%1."/>
      <w:lvlJc w:val="left"/>
      <w:pPr>
        <w:ind w:left="360" w:hanging="360"/>
      </w:pPr>
      <w:rPr>
        <w:rFonts w:hint="default"/>
      </w:rPr>
    </w:lvl>
    <w:lvl w:ilvl="1">
      <w:start w:val="1"/>
      <w:numFmt w:val="bullet"/>
      <w:lvlText w:val=""/>
      <w:lvlJc w:val="left"/>
      <w:pPr>
        <w:ind w:left="270" w:hanging="360"/>
      </w:pPr>
      <w:rPr>
        <w:rFonts w:ascii="Symbol" w:hAnsi="Symbol" w:hint="default"/>
      </w:rPr>
    </w:lvl>
    <w:lvl w:ilvl="2">
      <w:start w:val="1"/>
      <w:numFmt w:val="decimal"/>
      <w:lvlText w:val="%3."/>
      <w:lvlJc w:val="left"/>
      <w:pPr>
        <w:ind w:left="630" w:hanging="360"/>
      </w:pPr>
    </w:lvl>
    <w:lvl w:ilvl="3">
      <w:start w:val="1"/>
      <w:numFmt w:val="decimal"/>
      <w:lvlText w:val="%4."/>
      <w:lvlJc w:val="left"/>
      <w:pPr>
        <w:ind w:left="990" w:hanging="360"/>
      </w:pPr>
    </w:lvl>
    <w:lvl w:ilvl="4">
      <w:start w:val="1"/>
      <w:numFmt w:val="lowerLetter"/>
      <w:lvlText w:val="(%5)"/>
      <w:lvlJc w:val="left"/>
      <w:pPr>
        <w:ind w:left="1350" w:hanging="360"/>
      </w:pPr>
    </w:lvl>
    <w:lvl w:ilvl="5">
      <w:start w:val="1"/>
      <w:numFmt w:val="lowerRoman"/>
      <w:lvlText w:val="(%6)"/>
      <w:lvlJc w:val="left"/>
      <w:pPr>
        <w:ind w:left="1710" w:hanging="360"/>
      </w:pPr>
    </w:lvl>
    <w:lvl w:ilvl="6">
      <w:start w:val="1"/>
      <w:numFmt w:val="decimal"/>
      <w:lvlText w:val="%7."/>
      <w:lvlJc w:val="left"/>
      <w:pPr>
        <w:ind w:left="2070" w:hanging="360"/>
      </w:pPr>
    </w:lvl>
    <w:lvl w:ilvl="7">
      <w:start w:val="1"/>
      <w:numFmt w:val="lowerLetter"/>
      <w:lvlText w:val="%8."/>
      <w:lvlJc w:val="left"/>
      <w:pPr>
        <w:ind w:left="2430" w:hanging="360"/>
      </w:pPr>
    </w:lvl>
    <w:lvl w:ilvl="8">
      <w:start w:val="1"/>
      <w:numFmt w:val="lowerRoman"/>
      <w:lvlText w:val="%9."/>
      <w:lvlJc w:val="left"/>
      <w:pPr>
        <w:ind w:left="2790" w:hanging="360"/>
      </w:pPr>
    </w:lvl>
  </w:abstractNum>
  <w:abstractNum w:abstractNumId="2" w15:restartNumberingAfterBreak="0">
    <w:nsid w:val="4303014C"/>
    <w:multiLevelType w:val="hybridMultilevel"/>
    <w:tmpl w:val="C9B002A2"/>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7E81568"/>
    <w:multiLevelType w:val="multilevel"/>
    <w:tmpl w:val="EE9C7E9A"/>
    <w:lvl w:ilvl="0">
      <w:start w:val="1"/>
      <w:numFmt w:val="decimal"/>
      <w:lvlText w:val="%1."/>
      <w:lvlJc w:val="left"/>
      <w:pPr>
        <w:ind w:left="360" w:hanging="360"/>
      </w:pPr>
      <w:rPr>
        <w:rFonts w:hint="default"/>
      </w:rPr>
    </w:lvl>
    <w:lvl w:ilvl="1">
      <w:start w:val="1"/>
      <w:numFmt w:val="bullet"/>
      <w:lvlText w:val=""/>
      <w:lvlJc w:val="left"/>
      <w:pPr>
        <w:ind w:left="270" w:hanging="360"/>
      </w:pPr>
      <w:rPr>
        <w:rFonts w:ascii="Symbol" w:hAnsi="Symbol" w:hint="default"/>
      </w:rPr>
    </w:lvl>
    <w:lvl w:ilvl="2">
      <w:start w:val="1"/>
      <w:numFmt w:val="decimal"/>
      <w:lvlText w:val="%3."/>
      <w:lvlJc w:val="left"/>
      <w:pPr>
        <w:ind w:left="630" w:hanging="360"/>
      </w:pPr>
    </w:lvl>
    <w:lvl w:ilvl="3">
      <w:start w:val="1"/>
      <w:numFmt w:val="decimal"/>
      <w:lvlText w:val="(%4)"/>
      <w:lvlJc w:val="left"/>
      <w:pPr>
        <w:ind w:left="990" w:hanging="360"/>
      </w:pPr>
    </w:lvl>
    <w:lvl w:ilvl="4">
      <w:start w:val="1"/>
      <w:numFmt w:val="lowerLetter"/>
      <w:lvlText w:val="(%5)"/>
      <w:lvlJc w:val="left"/>
      <w:pPr>
        <w:ind w:left="1350" w:hanging="360"/>
      </w:pPr>
    </w:lvl>
    <w:lvl w:ilvl="5">
      <w:start w:val="1"/>
      <w:numFmt w:val="lowerRoman"/>
      <w:lvlText w:val="(%6)"/>
      <w:lvlJc w:val="left"/>
      <w:pPr>
        <w:ind w:left="1710" w:hanging="360"/>
      </w:pPr>
    </w:lvl>
    <w:lvl w:ilvl="6">
      <w:start w:val="1"/>
      <w:numFmt w:val="decimal"/>
      <w:lvlText w:val="%7."/>
      <w:lvlJc w:val="left"/>
      <w:pPr>
        <w:ind w:left="2070" w:hanging="360"/>
      </w:pPr>
    </w:lvl>
    <w:lvl w:ilvl="7">
      <w:start w:val="1"/>
      <w:numFmt w:val="lowerLetter"/>
      <w:lvlText w:val="%8."/>
      <w:lvlJc w:val="left"/>
      <w:pPr>
        <w:ind w:left="2430" w:hanging="360"/>
      </w:pPr>
    </w:lvl>
    <w:lvl w:ilvl="8">
      <w:start w:val="1"/>
      <w:numFmt w:val="lowerRoman"/>
      <w:lvlText w:val="%9."/>
      <w:lvlJc w:val="left"/>
      <w:pPr>
        <w:ind w:left="2790" w:hanging="360"/>
      </w:pPr>
    </w:lvl>
  </w:abstractNum>
  <w:abstractNum w:abstractNumId="4" w15:restartNumberingAfterBreak="0">
    <w:nsid w:val="617214EF"/>
    <w:multiLevelType w:val="hybridMultilevel"/>
    <w:tmpl w:val="F7AC356C"/>
    <w:lvl w:ilvl="0" w:tplc="7A9A0762">
      <w:start w:val="1"/>
      <w:numFmt w:val="decimal"/>
      <w:lvlText w:val="%1."/>
      <w:lvlJc w:val="left"/>
      <w:pPr>
        <w:ind w:left="360" w:hanging="360"/>
      </w:pPr>
    </w:lvl>
    <w:lvl w:ilvl="1" w:tplc="7C28AC74" w:tentative="1">
      <w:start w:val="1"/>
      <w:numFmt w:val="lowerLetter"/>
      <w:lvlText w:val="%2."/>
      <w:lvlJc w:val="left"/>
      <w:pPr>
        <w:ind w:left="1080" w:hanging="360"/>
      </w:pPr>
    </w:lvl>
    <w:lvl w:ilvl="2" w:tplc="61347168" w:tentative="1">
      <w:start w:val="1"/>
      <w:numFmt w:val="lowerRoman"/>
      <w:lvlText w:val="%3."/>
      <w:lvlJc w:val="right"/>
      <w:pPr>
        <w:ind w:left="1800" w:hanging="180"/>
      </w:pPr>
    </w:lvl>
    <w:lvl w:ilvl="3" w:tplc="032E75CA" w:tentative="1">
      <w:start w:val="1"/>
      <w:numFmt w:val="decimal"/>
      <w:lvlText w:val="%4."/>
      <w:lvlJc w:val="left"/>
      <w:pPr>
        <w:ind w:left="2520" w:hanging="360"/>
      </w:pPr>
    </w:lvl>
    <w:lvl w:ilvl="4" w:tplc="563EE1CA" w:tentative="1">
      <w:start w:val="1"/>
      <w:numFmt w:val="lowerLetter"/>
      <w:lvlText w:val="%5."/>
      <w:lvlJc w:val="left"/>
      <w:pPr>
        <w:ind w:left="3240" w:hanging="360"/>
      </w:pPr>
    </w:lvl>
    <w:lvl w:ilvl="5" w:tplc="9AC872F8" w:tentative="1">
      <w:start w:val="1"/>
      <w:numFmt w:val="lowerRoman"/>
      <w:lvlText w:val="%6."/>
      <w:lvlJc w:val="right"/>
      <w:pPr>
        <w:ind w:left="3960" w:hanging="180"/>
      </w:pPr>
    </w:lvl>
    <w:lvl w:ilvl="6" w:tplc="06DA3D4C" w:tentative="1">
      <w:start w:val="1"/>
      <w:numFmt w:val="decimal"/>
      <w:lvlText w:val="%7."/>
      <w:lvlJc w:val="left"/>
      <w:pPr>
        <w:ind w:left="4680" w:hanging="360"/>
      </w:pPr>
    </w:lvl>
    <w:lvl w:ilvl="7" w:tplc="EED88DB8" w:tentative="1">
      <w:start w:val="1"/>
      <w:numFmt w:val="lowerLetter"/>
      <w:lvlText w:val="%8."/>
      <w:lvlJc w:val="left"/>
      <w:pPr>
        <w:ind w:left="5400" w:hanging="360"/>
      </w:pPr>
    </w:lvl>
    <w:lvl w:ilvl="8" w:tplc="463A6BB4" w:tentative="1">
      <w:start w:val="1"/>
      <w:numFmt w:val="lowerRoman"/>
      <w:lvlText w:val="%9."/>
      <w:lvlJc w:val="right"/>
      <w:pPr>
        <w:ind w:left="6120" w:hanging="180"/>
      </w:pPr>
    </w:lvl>
  </w:abstractNum>
  <w:abstractNum w:abstractNumId="5" w15:restartNumberingAfterBreak="0">
    <w:nsid w:val="69971AA9"/>
    <w:multiLevelType w:val="hybridMultilevel"/>
    <w:tmpl w:val="E2AA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9C"/>
    <w:rsid w:val="000135BD"/>
    <w:rsid w:val="00061020"/>
    <w:rsid w:val="000625B4"/>
    <w:rsid w:val="00084779"/>
    <w:rsid w:val="00092C12"/>
    <w:rsid w:val="00094C09"/>
    <w:rsid w:val="000A1435"/>
    <w:rsid w:val="00132D83"/>
    <w:rsid w:val="001427CE"/>
    <w:rsid w:val="001B33EE"/>
    <w:rsid w:val="001C1B6B"/>
    <w:rsid w:val="001F2BDE"/>
    <w:rsid w:val="00233781"/>
    <w:rsid w:val="00243A3E"/>
    <w:rsid w:val="002507A8"/>
    <w:rsid w:val="002813BE"/>
    <w:rsid w:val="002B3E80"/>
    <w:rsid w:val="002B54CB"/>
    <w:rsid w:val="00302011"/>
    <w:rsid w:val="00325403"/>
    <w:rsid w:val="00334FCC"/>
    <w:rsid w:val="00341746"/>
    <w:rsid w:val="0035420D"/>
    <w:rsid w:val="00362554"/>
    <w:rsid w:val="00396572"/>
    <w:rsid w:val="003A5728"/>
    <w:rsid w:val="003C1E47"/>
    <w:rsid w:val="003C2B42"/>
    <w:rsid w:val="003D0C83"/>
    <w:rsid w:val="003D5167"/>
    <w:rsid w:val="003E40B6"/>
    <w:rsid w:val="003E7F2A"/>
    <w:rsid w:val="00431764"/>
    <w:rsid w:val="00455471"/>
    <w:rsid w:val="00470327"/>
    <w:rsid w:val="00471C30"/>
    <w:rsid w:val="0047319E"/>
    <w:rsid w:val="004A5D93"/>
    <w:rsid w:val="004D11F1"/>
    <w:rsid w:val="00517C97"/>
    <w:rsid w:val="00532514"/>
    <w:rsid w:val="00535725"/>
    <w:rsid w:val="00543C73"/>
    <w:rsid w:val="00580FBF"/>
    <w:rsid w:val="00597F5E"/>
    <w:rsid w:val="005B6273"/>
    <w:rsid w:val="005C154B"/>
    <w:rsid w:val="005C29AF"/>
    <w:rsid w:val="0060035A"/>
    <w:rsid w:val="0061031B"/>
    <w:rsid w:val="00610BE3"/>
    <w:rsid w:val="00620CF3"/>
    <w:rsid w:val="00634CB6"/>
    <w:rsid w:val="00690128"/>
    <w:rsid w:val="00690DF5"/>
    <w:rsid w:val="006A2B61"/>
    <w:rsid w:val="006C1411"/>
    <w:rsid w:val="006D29D7"/>
    <w:rsid w:val="007B7468"/>
    <w:rsid w:val="007C2C1D"/>
    <w:rsid w:val="007D3495"/>
    <w:rsid w:val="00804B23"/>
    <w:rsid w:val="008450FD"/>
    <w:rsid w:val="00883684"/>
    <w:rsid w:val="008A1A9B"/>
    <w:rsid w:val="008D238D"/>
    <w:rsid w:val="008E389C"/>
    <w:rsid w:val="008E4BE5"/>
    <w:rsid w:val="009054DE"/>
    <w:rsid w:val="00913E87"/>
    <w:rsid w:val="00930848"/>
    <w:rsid w:val="00943E75"/>
    <w:rsid w:val="009A4A8A"/>
    <w:rsid w:val="009E41A3"/>
    <w:rsid w:val="009F6FD4"/>
    <w:rsid w:val="00A25DD7"/>
    <w:rsid w:val="00A84232"/>
    <w:rsid w:val="00A94448"/>
    <w:rsid w:val="00AE22F5"/>
    <w:rsid w:val="00B07A53"/>
    <w:rsid w:val="00B109CD"/>
    <w:rsid w:val="00B63DA7"/>
    <w:rsid w:val="00B81975"/>
    <w:rsid w:val="00B97DBA"/>
    <w:rsid w:val="00BB2547"/>
    <w:rsid w:val="00BD07D0"/>
    <w:rsid w:val="00BE59DE"/>
    <w:rsid w:val="00C10FF0"/>
    <w:rsid w:val="00C201B9"/>
    <w:rsid w:val="00C66571"/>
    <w:rsid w:val="00C9423D"/>
    <w:rsid w:val="00CD3B80"/>
    <w:rsid w:val="00CE26BE"/>
    <w:rsid w:val="00CE4000"/>
    <w:rsid w:val="00D21B10"/>
    <w:rsid w:val="00D476FD"/>
    <w:rsid w:val="00D60EAF"/>
    <w:rsid w:val="00D64FDA"/>
    <w:rsid w:val="00DA541E"/>
    <w:rsid w:val="00DB1489"/>
    <w:rsid w:val="00DD0CB8"/>
    <w:rsid w:val="00E019BB"/>
    <w:rsid w:val="00E57EE2"/>
    <w:rsid w:val="00E60FD7"/>
    <w:rsid w:val="00E705CD"/>
    <w:rsid w:val="00E71350"/>
    <w:rsid w:val="00E71E60"/>
    <w:rsid w:val="00EA53BB"/>
    <w:rsid w:val="00EF33EF"/>
    <w:rsid w:val="00F00162"/>
    <w:rsid w:val="00F009D6"/>
    <w:rsid w:val="00F30ABD"/>
    <w:rsid w:val="00F345CB"/>
    <w:rsid w:val="00F94B4C"/>
    <w:rsid w:val="00FA3ACF"/>
    <w:rsid w:val="00FD17E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8B1278"/>
  <w15:chartTrackingRefBased/>
  <w15:docId w15:val="{29576FEE-290C-4EE0-8986-C2339091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C1D"/>
    <w:pPr>
      <w:keepNext/>
      <w:keepLines/>
      <w:spacing w:before="240" w:after="0" w:line="480" w:lineRule="auto"/>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2C1D"/>
    <w:pPr>
      <w:keepNext/>
      <w:keepLines/>
      <w:spacing w:after="0" w:line="480" w:lineRule="auto"/>
      <w:jc w:val="both"/>
      <w:outlineLvl w:val="1"/>
    </w:pPr>
    <w:rPr>
      <w:rFonts w:ascii="Arial" w:eastAsiaTheme="majorEastAsia" w:hAnsi="Arial" w:cstheme="majorBidi"/>
      <w:b/>
      <w:szCs w:val="26"/>
      <w:lang w:eastAsia="en-PH"/>
    </w:rPr>
  </w:style>
  <w:style w:type="paragraph" w:styleId="Heading3">
    <w:name w:val="heading 3"/>
    <w:basedOn w:val="Normal"/>
    <w:next w:val="Normal"/>
    <w:link w:val="Heading3Char"/>
    <w:uiPriority w:val="9"/>
    <w:semiHidden/>
    <w:unhideWhenUsed/>
    <w:qFormat/>
    <w:rsid w:val="00D64F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8D238D"/>
    <w:pPr>
      <w:spacing w:after="0" w:line="240" w:lineRule="auto"/>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7C2C1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2C1D"/>
    <w:rPr>
      <w:rFonts w:ascii="Arial" w:eastAsiaTheme="majorEastAsia" w:hAnsi="Arial" w:cstheme="majorBidi"/>
      <w:b/>
      <w:szCs w:val="26"/>
      <w:lang w:eastAsia="en-PH"/>
    </w:rPr>
  </w:style>
  <w:style w:type="paragraph" w:styleId="Footer">
    <w:name w:val="footer"/>
    <w:basedOn w:val="Normal"/>
    <w:link w:val="FooterChar"/>
    <w:uiPriority w:val="99"/>
    <w:unhideWhenUsed/>
    <w:rsid w:val="007C2C1D"/>
    <w:pPr>
      <w:tabs>
        <w:tab w:val="center" w:pos="4680"/>
        <w:tab w:val="right" w:pos="9360"/>
      </w:tabs>
      <w:spacing w:after="0" w:line="240" w:lineRule="auto"/>
      <w:jc w:val="both"/>
    </w:pPr>
    <w:rPr>
      <w:rFonts w:ascii="Book Antiqua" w:hAnsi="Book Antiqua" w:cs="Arial"/>
      <w:sz w:val="20"/>
      <w:szCs w:val="20"/>
    </w:rPr>
  </w:style>
  <w:style w:type="character" w:customStyle="1" w:styleId="FooterChar">
    <w:name w:val="Footer Char"/>
    <w:basedOn w:val="DefaultParagraphFont"/>
    <w:link w:val="Footer"/>
    <w:uiPriority w:val="99"/>
    <w:rsid w:val="007C2C1D"/>
    <w:rPr>
      <w:rFonts w:ascii="Book Antiqua" w:hAnsi="Book Antiqua" w:cs="Arial"/>
      <w:sz w:val="20"/>
      <w:szCs w:val="20"/>
    </w:rPr>
  </w:style>
  <w:style w:type="paragraph" w:styleId="ListParagraph">
    <w:name w:val="List Paragraph"/>
    <w:basedOn w:val="Normal"/>
    <w:uiPriority w:val="34"/>
    <w:qFormat/>
    <w:rsid w:val="007C2C1D"/>
    <w:pPr>
      <w:spacing w:after="0" w:line="480" w:lineRule="auto"/>
      <w:ind w:left="720"/>
      <w:contextualSpacing/>
      <w:jc w:val="both"/>
    </w:pPr>
    <w:rPr>
      <w:rFonts w:ascii="Arial" w:eastAsiaTheme="minorEastAsia" w:hAnsi="Arial"/>
      <w:lang w:eastAsia="en-PH"/>
    </w:rPr>
  </w:style>
  <w:style w:type="table" w:customStyle="1" w:styleId="PlainTable21">
    <w:name w:val="Plain Table 21"/>
    <w:basedOn w:val="TableNormal"/>
    <w:next w:val="PlainTable2"/>
    <w:uiPriority w:val="42"/>
    <w:rsid w:val="007C2C1D"/>
    <w:pPr>
      <w:spacing w:after="0" w:line="240" w:lineRule="auto"/>
    </w:pPr>
    <w:rPr>
      <w:rFonts w:ascii="Times New Roman" w:hAnsi="Times New Roman" w:cs="Times New Roman"/>
    </w:rPr>
    <w:tblPr>
      <w:tblStyleRowBandSize w:val="1"/>
      <w:tblStyleColBandSize w:val="1"/>
      <w:tblBorders>
        <w:top w:val="single" w:sz="4" w:space="0" w:color="auto"/>
        <w:bottom w:val="single" w:sz="4" w:space="0" w:color="auto"/>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7C2C1D"/>
    <w:pPr>
      <w:tabs>
        <w:tab w:val="center" w:pos="4680"/>
        <w:tab w:val="right" w:pos="9360"/>
      </w:tabs>
      <w:spacing w:after="0" w:line="240" w:lineRule="auto"/>
      <w:jc w:val="both"/>
    </w:pPr>
    <w:rPr>
      <w:rFonts w:ascii="Book Antiqua" w:hAnsi="Book Antiqua" w:cs="Arial"/>
      <w:sz w:val="20"/>
      <w:szCs w:val="20"/>
    </w:rPr>
  </w:style>
  <w:style w:type="character" w:customStyle="1" w:styleId="HeaderChar">
    <w:name w:val="Header Char"/>
    <w:basedOn w:val="DefaultParagraphFont"/>
    <w:link w:val="Header"/>
    <w:uiPriority w:val="99"/>
    <w:rsid w:val="007C2C1D"/>
    <w:rPr>
      <w:rFonts w:ascii="Book Antiqua" w:hAnsi="Book Antiqua" w:cs="Arial"/>
      <w:sz w:val="20"/>
      <w:szCs w:val="20"/>
    </w:rPr>
  </w:style>
  <w:style w:type="character" w:styleId="Hyperlink">
    <w:name w:val="Hyperlink"/>
    <w:basedOn w:val="DefaultParagraphFont"/>
    <w:uiPriority w:val="99"/>
    <w:unhideWhenUsed/>
    <w:rsid w:val="007C2C1D"/>
    <w:rPr>
      <w:color w:val="0563C1" w:themeColor="hyperlink"/>
      <w:u w:val="single"/>
    </w:rPr>
  </w:style>
  <w:style w:type="character" w:styleId="LineNumber">
    <w:name w:val="line number"/>
    <w:basedOn w:val="DefaultParagraphFont"/>
    <w:uiPriority w:val="99"/>
    <w:semiHidden/>
    <w:unhideWhenUsed/>
    <w:rsid w:val="00634CB6"/>
  </w:style>
  <w:style w:type="table" w:styleId="TableGrid">
    <w:name w:val="Table Grid"/>
    <w:basedOn w:val="TableNormal"/>
    <w:uiPriority w:val="39"/>
    <w:rsid w:val="00132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1B6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D11F1"/>
    <w:pPr>
      <w:spacing w:after="0" w:line="240" w:lineRule="auto"/>
    </w:pPr>
  </w:style>
  <w:style w:type="character" w:styleId="Strong">
    <w:name w:val="Strong"/>
    <w:basedOn w:val="DefaultParagraphFont"/>
    <w:uiPriority w:val="22"/>
    <w:qFormat/>
    <w:rsid w:val="007D3495"/>
    <w:rPr>
      <w:b/>
      <w:bCs/>
    </w:rPr>
  </w:style>
  <w:style w:type="character" w:customStyle="1" w:styleId="Heading3Char">
    <w:name w:val="Heading 3 Char"/>
    <w:basedOn w:val="DefaultParagraphFont"/>
    <w:link w:val="Heading3"/>
    <w:uiPriority w:val="9"/>
    <w:semiHidden/>
    <w:rsid w:val="00D64FD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6A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4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Opena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7CF06-FACB-4F2D-9499-A6D6BA8D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9780</Words>
  <Characters>55749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1158</cp:lastModifiedBy>
  <cp:revision>5</cp:revision>
  <dcterms:created xsi:type="dcterms:W3CDTF">2025-07-23T16:26:00Z</dcterms:created>
  <dcterms:modified xsi:type="dcterms:W3CDTF">2025-07-25T08:56:00Z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140d8d29-fe1a-48c8-a8da-ebc54a81f4ee</vt:lpwstr>
  </property>
</Properties>
</file>