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7B07E" w14:textId="27E89EA6" w:rsidR="000B1D44" w:rsidRDefault="001561AE">
      <w:pPr>
        <w:pBdr>
          <w:top w:val="nil"/>
          <w:left w:val="nil"/>
          <w:bottom w:val="nil"/>
          <w:right w:val="nil"/>
          <w:between w:val="nil"/>
        </w:pBdr>
        <w:jc w:val="both"/>
        <w:rPr>
          <w:rFonts w:ascii="Arial" w:eastAsia="Arial" w:hAnsi="Arial" w:cs="Arial"/>
          <w:b/>
          <w:color w:val="000000"/>
          <w:sz w:val="36"/>
          <w:szCs w:val="36"/>
        </w:rPr>
      </w:pPr>
      <w:r w:rsidRPr="001561AE">
        <w:rPr>
          <w:rFonts w:ascii="Arial" w:eastAsia="Arial" w:hAnsi="Arial" w:cs="Arial"/>
          <w:b/>
          <w:sz w:val="36"/>
          <w:szCs w:val="36"/>
        </w:rPr>
        <w:t xml:space="preserve">Employers’ Feedback </w:t>
      </w:r>
      <w:r>
        <w:rPr>
          <w:rFonts w:ascii="Arial" w:eastAsia="Arial" w:hAnsi="Arial" w:cs="Arial"/>
          <w:b/>
          <w:sz w:val="36"/>
          <w:szCs w:val="36"/>
        </w:rPr>
        <w:t>T</w:t>
      </w:r>
      <w:r w:rsidRPr="001561AE">
        <w:rPr>
          <w:rFonts w:ascii="Arial" w:eastAsia="Arial" w:hAnsi="Arial" w:cs="Arial"/>
          <w:b/>
          <w:sz w:val="36"/>
          <w:szCs w:val="36"/>
        </w:rPr>
        <w:t>owards the Performance of Bachelor of Elementary Education (</w:t>
      </w:r>
      <w:proofErr w:type="spellStart"/>
      <w:r w:rsidRPr="001561AE">
        <w:rPr>
          <w:rFonts w:ascii="Arial" w:eastAsia="Arial" w:hAnsi="Arial" w:cs="Arial"/>
          <w:b/>
          <w:sz w:val="36"/>
          <w:szCs w:val="36"/>
        </w:rPr>
        <w:t>BEEd</w:t>
      </w:r>
      <w:proofErr w:type="spellEnd"/>
      <w:r w:rsidRPr="001561AE">
        <w:rPr>
          <w:rFonts w:ascii="Arial" w:eastAsia="Arial" w:hAnsi="Arial" w:cs="Arial"/>
          <w:b/>
          <w:sz w:val="36"/>
          <w:szCs w:val="36"/>
        </w:rPr>
        <w:t>) Graduates</w:t>
      </w:r>
    </w:p>
    <w:p w14:paraId="30332398" w14:textId="77777777" w:rsidR="000B1D44" w:rsidRDefault="000B1D44">
      <w:pPr>
        <w:pBdr>
          <w:top w:val="nil"/>
          <w:left w:val="nil"/>
          <w:bottom w:val="nil"/>
          <w:right w:val="nil"/>
          <w:between w:val="nil"/>
        </w:pBdr>
        <w:jc w:val="both"/>
        <w:rPr>
          <w:rFonts w:ascii="Arial" w:eastAsia="Arial" w:hAnsi="Arial" w:cs="Arial"/>
          <w:color w:val="000000"/>
        </w:rPr>
      </w:pPr>
    </w:p>
    <w:p w14:paraId="34E93BA9" w14:textId="77777777" w:rsidR="000B1D44" w:rsidRDefault="00DA622F">
      <w:pPr>
        <w:pBdr>
          <w:top w:val="nil"/>
          <w:left w:val="nil"/>
          <w:bottom w:val="nil"/>
          <w:right w:val="nil"/>
          <w:between w:val="nil"/>
        </w:pBdr>
        <w:jc w:val="both"/>
        <w:rPr>
          <w:rFonts w:ascii="Arial" w:eastAsia="Arial" w:hAnsi="Arial" w:cs="Arial"/>
          <w:color w:val="000000"/>
          <w:sz w:val="16"/>
          <w:szCs w:val="16"/>
        </w:rPr>
        <w:sectPr w:rsidR="000B1D44" w:rsidSect="00867AF2">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PH"/>
        </w:rPr>
        <mc:AlternateContent>
          <mc:Choice Requires="wpg">
            <w:drawing>
              <wp:inline distT="0" distB="0" distL="0" distR="0" wp14:anchorId="55E704C6" wp14:editId="1AAF0576">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5303520" cy="19050"/>
                <wp:effectExtent b="0" l="0" r="0" 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72A29A22" w14:textId="77777777" w:rsidR="000B1D44" w:rsidRDefault="00DA62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11E9EF33" w14:textId="0086749D" w:rsidR="000B1D44" w:rsidRDefault="00BE7740" w:rsidP="007C5F1E">
            <w:pPr>
              <w:rPr>
                <w:rFonts w:ascii="Arial" w:eastAsia="Arial" w:hAnsi="Arial" w:cs="Arial"/>
              </w:rPr>
            </w:pPr>
            <w:r w:rsidRPr="00BE7740">
              <w:rPr>
                <w:rFonts w:ascii="Arial" w:eastAsia="Arial" w:hAnsi="Arial" w:cs="Arial"/>
              </w:rPr>
              <w:t xml:space="preserve">This study investigated employer feedback on the professional performance of Bachelor of Elementary Education (BEED) graduates from Davao Oriental State University – </w:t>
            </w:r>
            <w:proofErr w:type="spellStart"/>
            <w:r w:rsidRPr="00BE7740">
              <w:rPr>
                <w:rFonts w:ascii="Arial" w:eastAsia="Arial" w:hAnsi="Arial" w:cs="Arial"/>
              </w:rPr>
              <w:t>Cateel</w:t>
            </w:r>
            <w:proofErr w:type="spellEnd"/>
            <w:r w:rsidRPr="00BE7740">
              <w:rPr>
                <w:rFonts w:ascii="Arial" w:eastAsia="Arial" w:hAnsi="Arial" w:cs="Arial"/>
              </w:rPr>
              <w:t xml:space="preserve"> Campus, guided by Human Capital Theory. Using a descriptive quantitative approach, 37 school-based supervisors across District 1 of Davao Oriental evaluated graduate competencies in nine key areas, including subject mastery, classroom management, and leadership. Findings revealed that BEED graduates consistently performed at a very satisfactory level (x̄ = 4.44, s = 0.35), with standout strengths in collaboration and leadership. No significant performance differences emerged across evaluator demographics, affirming the program’s consistent impact. To further strengthen graduate readiness, the study recommends integrating hands-on training in authentic assessment, differentiated instruction, and professional collaboration—strategies that can be embedded in practicum, in-service simulations, and curriculum redesign. These enhancements are not only feasible but vital in bridging theory with classroom realities. This study offers valuable insights for policymakers, educators, and curriculum developers aiming to align teacher education with evolving school needs.</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70D3F793" w14:textId="26188D56" w:rsidR="000B1D44" w:rsidRDefault="00DA622F">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345107" w:rsidRPr="00345107">
        <w:rPr>
          <w:rFonts w:ascii="Arial" w:eastAsia="Arial" w:hAnsi="Arial" w:cs="Arial"/>
          <w:i/>
          <w:color w:val="000000"/>
        </w:rPr>
        <w:t>employer feedback, human capital theory, BEED graduates</w:t>
      </w:r>
    </w:p>
    <w:p w14:paraId="0ECDB485" w14:textId="77777777" w:rsidR="000B1D44" w:rsidRDefault="000B1D44">
      <w:pPr>
        <w:pBdr>
          <w:top w:val="nil"/>
          <w:left w:val="nil"/>
          <w:bottom w:val="nil"/>
          <w:right w:val="nil"/>
          <w:between w:val="nil"/>
        </w:pBdr>
        <w:jc w:val="both"/>
        <w:rPr>
          <w:rFonts w:ascii="Arial" w:eastAsia="Arial" w:hAnsi="Arial" w:cs="Arial"/>
          <w:i/>
          <w:color w:val="000000"/>
        </w:rPr>
      </w:pPr>
    </w:p>
    <w:p w14:paraId="04931E5F" w14:textId="77777777" w:rsidR="000B1D44" w:rsidRDefault="000B1D44">
      <w:pPr>
        <w:pBdr>
          <w:top w:val="nil"/>
          <w:left w:val="nil"/>
          <w:bottom w:val="nil"/>
          <w:right w:val="nil"/>
          <w:between w:val="nil"/>
        </w:pBdr>
        <w:jc w:val="both"/>
        <w:rPr>
          <w:rFonts w:ascii="Arial" w:eastAsia="Arial" w:hAnsi="Arial" w:cs="Arial"/>
          <w:i/>
          <w:color w:val="000000"/>
        </w:rPr>
      </w:pPr>
    </w:p>
    <w:p w14:paraId="1B00E400" w14:textId="77777777" w:rsidR="000B1D44" w:rsidRDefault="00DA62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0C37A46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22521B34" w14:textId="26DE61E2" w:rsidR="007C5F1E" w:rsidRPr="007C5F1E" w:rsidRDefault="007C5F1E" w:rsidP="007C5F1E">
      <w:pPr>
        <w:ind w:firstLine="720"/>
        <w:jc w:val="both"/>
        <w:rPr>
          <w:rFonts w:ascii="Arial" w:eastAsia="Arial" w:hAnsi="Arial" w:cs="Arial"/>
        </w:rPr>
      </w:pPr>
      <w:r w:rsidRPr="007C5F1E">
        <w:rPr>
          <w:rFonts w:ascii="Arial" w:eastAsia="Arial" w:hAnsi="Arial" w:cs="Arial"/>
        </w:rPr>
        <w:t>Teacher performance significantly affects student outcomes and national development (Hattie, 2018). However, various challenges—such as limited professional development, inadequate resources, and weak support systems—continue to hinder teacher effectiveness (Hennessy et al., 2022). Globally and locally, reforms remain complex and diffi</w:t>
      </w:r>
      <w:r>
        <w:rPr>
          <w:rFonts w:ascii="Arial" w:eastAsia="Arial" w:hAnsi="Arial" w:cs="Arial"/>
        </w:rPr>
        <w:t>cult to sustain (Manfra, 2019).</w:t>
      </w:r>
    </w:p>
    <w:p w14:paraId="34F6F1AC" w14:textId="59BE88AA" w:rsidR="007C5F1E" w:rsidRPr="007C5F1E" w:rsidRDefault="007C5F1E" w:rsidP="007C5F1E">
      <w:pPr>
        <w:ind w:firstLine="720"/>
        <w:jc w:val="both"/>
        <w:rPr>
          <w:rFonts w:ascii="Arial" w:eastAsia="Arial" w:hAnsi="Arial" w:cs="Arial"/>
        </w:rPr>
      </w:pPr>
      <w:r w:rsidRPr="007C5F1E">
        <w:rPr>
          <w:rFonts w:ascii="Arial" w:eastAsia="Arial" w:hAnsi="Arial" w:cs="Arial"/>
        </w:rPr>
        <w:t>In countries like Indonesia and many developing nations, poor instruction is often linked to insufficient training, low qualifications, and lack of classroom management (</w:t>
      </w:r>
      <w:proofErr w:type="spellStart"/>
      <w:r w:rsidRPr="007C5F1E">
        <w:rPr>
          <w:rFonts w:ascii="Arial" w:eastAsia="Arial" w:hAnsi="Arial" w:cs="Arial"/>
        </w:rPr>
        <w:t>Nurhadi</w:t>
      </w:r>
      <w:proofErr w:type="spellEnd"/>
      <w:r w:rsidRPr="007C5F1E">
        <w:rPr>
          <w:rFonts w:ascii="Arial" w:eastAsia="Arial" w:hAnsi="Arial" w:cs="Arial"/>
        </w:rPr>
        <w:t xml:space="preserve"> et al., 2017; Berry, 2020). These are worsened by the absence of continuous develo</w:t>
      </w:r>
      <w:r>
        <w:rPr>
          <w:rFonts w:ascii="Arial" w:eastAsia="Arial" w:hAnsi="Arial" w:cs="Arial"/>
        </w:rPr>
        <w:t>pment and effective evaluation.</w:t>
      </w:r>
    </w:p>
    <w:p w14:paraId="690D96AF" w14:textId="0E750AD6" w:rsidR="007C5F1E" w:rsidRPr="007C5F1E" w:rsidRDefault="007C5F1E" w:rsidP="007C5F1E">
      <w:pPr>
        <w:ind w:firstLine="720"/>
        <w:jc w:val="both"/>
        <w:rPr>
          <w:rFonts w:ascii="Arial" w:eastAsia="Arial" w:hAnsi="Arial" w:cs="Arial"/>
        </w:rPr>
      </w:pPr>
      <w:r w:rsidRPr="007C5F1E">
        <w:rPr>
          <w:rFonts w:ascii="Arial" w:eastAsia="Arial" w:hAnsi="Arial" w:cs="Arial"/>
        </w:rPr>
        <w:t>In the Philippines, teacher performance remains a key concern, especially in rural areas. Despite efforts like the K-12 reform and the Philippine Professional Standards for Teachers (PPST), issues such as heavy workloads, limited training access, and resource shortages persist (</w:t>
      </w:r>
      <w:r w:rsidR="00345412" w:rsidRPr="00345412">
        <w:rPr>
          <w:rFonts w:ascii="Arial" w:eastAsia="Arial" w:hAnsi="Arial" w:cs="Arial"/>
        </w:rPr>
        <w:t>Oriel-</w:t>
      </w:r>
      <w:proofErr w:type="spellStart"/>
      <w:r w:rsidR="00345412" w:rsidRPr="00345412">
        <w:rPr>
          <w:rFonts w:ascii="Arial" w:eastAsia="Arial" w:hAnsi="Arial" w:cs="Arial"/>
        </w:rPr>
        <w:t>Estrellan</w:t>
      </w:r>
      <w:proofErr w:type="spellEnd"/>
      <w:r w:rsidR="00345412" w:rsidRPr="00345412">
        <w:rPr>
          <w:rFonts w:ascii="Arial" w:eastAsia="Arial" w:hAnsi="Arial" w:cs="Arial"/>
        </w:rPr>
        <w:t>, 2025</w:t>
      </w:r>
      <w:r w:rsidRPr="007C5F1E">
        <w:rPr>
          <w:rFonts w:ascii="Arial" w:eastAsia="Arial" w:hAnsi="Arial" w:cs="Arial"/>
        </w:rPr>
        <w:t>; Hester et al., 2020). Disparities in teacher quality continue to widen educational gaps, highlighting the need for targeted interventions (Kaiser &amp; Köni</w:t>
      </w:r>
      <w:r>
        <w:rPr>
          <w:rFonts w:ascii="Arial" w:eastAsia="Arial" w:hAnsi="Arial" w:cs="Arial"/>
        </w:rPr>
        <w:t xml:space="preserve">g, 2019; Okeke &amp; </w:t>
      </w:r>
      <w:proofErr w:type="spellStart"/>
      <w:r>
        <w:rPr>
          <w:rFonts w:ascii="Arial" w:eastAsia="Arial" w:hAnsi="Arial" w:cs="Arial"/>
        </w:rPr>
        <w:t>Mtyuda</w:t>
      </w:r>
      <w:proofErr w:type="spellEnd"/>
      <w:r>
        <w:rPr>
          <w:rFonts w:ascii="Arial" w:eastAsia="Arial" w:hAnsi="Arial" w:cs="Arial"/>
        </w:rPr>
        <w:t>, 2017).</w:t>
      </w:r>
    </w:p>
    <w:p w14:paraId="35B4082D" w14:textId="5BDF5447" w:rsidR="007C5F1E" w:rsidRPr="007C5F1E" w:rsidRDefault="007C5F1E" w:rsidP="007C5F1E">
      <w:pPr>
        <w:ind w:firstLine="720"/>
        <w:jc w:val="both"/>
        <w:rPr>
          <w:rFonts w:ascii="Arial" w:eastAsia="Arial" w:hAnsi="Arial" w:cs="Arial"/>
        </w:rPr>
      </w:pPr>
      <w:r w:rsidRPr="007C5F1E">
        <w:rPr>
          <w:rFonts w:ascii="Arial" w:eastAsia="Arial" w:hAnsi="Arial" w:cs="Arial"/>
        </w:rPr>
        <w:t xml:space="preserve">One strategy for improvement is employer feedback, particularly on BEED graduates. Employers can offer insights into real-world teaching demands and help refine teacher education programs (Okolie et al., 2019; Baird &amp; </w:t>
      </w:r>
      <w:proofErr w:type="spellStart"/>
      <w:r w:rsidRPr="007C5F1E">
        <w:rPr>
          <w:rFonts w:ascii="Arial" w:eastAsia="Arial" w:hAnsi="Arial" w:cs="Arial"/>
        </w:rPr>
        <w:t>Parayitam</w:t>
      </w:r>
      <w:proofErr w:type="spellEnd"/>
      <w:r w:rsidRPr="007C5F1E">
        <w:rPr>
          <w:rFonts w:ascii="Arial" w:eastAsia="Arial" w:hAnsi="Arial" w:cs="Arial"/>
        </w:rPr>
        <w:t>, 2019). However, most existing studies focus on national data, with limited research in local contexts like Davao Oriental (Brown et al</w:t>
      </w:r>
      <w:r>
        <w:rPr>
          <w:rFonts w:ascii="Arial" w:eastAsia="Arial" w:hAnsi="Arial" w:cs="Arial"/>
        </w:rPr>
        <w:t xml:space="preserve">., 2019; </w:t>
      </w:r>
      <w:r w:rsidR="00345412" w:rsidRPr="00345412">
        <w:rPr>
          <w:rFonts w:ascii="Arial" w:eastAsia="Arial" w:hAnsi="Arial" w:cs="Arial"/>
        </w:rPr>
        <w:t xml:space="preserve">Apostol &amp; </w:t>
      </w:r>
      <w:proofErr w:type="spellStart"/>
      <w:r w:rsidR="00345412" w:rsidRPr="00345412">
        <w:rPr>
          <w:rFonts w:ascii="Arial" w:eastAsia="Arial" w:hAnsi="Arial" w:cs="Arial"/>
        </w:rPr>
        <w:t>Susada</w:t>
      </w:r>
      <w:proofErr w:type="spellEnd"/>
      <w:r w:rsidR="00345412" w:rsidRPr="00345412">
        <w:rPr>
          <w:rFonts w:ascii="Arial" w:eastAsia="Arial" w:hAnsi="Arial" w:cs="Arial"/>
        </w:rPr>
        <w:t>, 2022</w:t>
      </w:r>
      <w:r>
        <w:rPr>
          <w:rFonts w:ascii="Arial" w:eastAsia="Arial" w:hAnsi="Arial" w:cs="Arial"/>
        </w:rPr>
        <w:t>).</w:t>
      </w:r>
    </w:p>
    <w:p w14:paraId="56AA6C7B" w14:textId="77777777" w:rsidR="007C5F1E" w:rsidRPr="007C5F1E" w:rsidRDefault="007C5F1E" w:rsidP="007C5F1E">
      <w:pPr>
        <w:ind w:firstLine="720"/>
        <w:jc w:val="both"/>
        <w:rPr>
          <w:rFonts w:ascii="Arial" w:eastAsia="Arial" w:hAnsi="Arial" w:cs="Arial"/>
        </w:rPr>
      </w:pPr>
      <w:r w:rsidRPr="007C5F1E">
        <w:rPr>
          <w:rFonts w:ascii="Arial" w:eastAsia="Arial" w:hAnsi="Arial" w:cs="Arial"/>
        </w:rPr>
        <w:t xml:space="preserve">This study addresses that gap by examining local employer feedback on the competencies of BEED graduates in Davao Oriental. Findings aim to guide educational </w:t>
      </w:r>
      <w:r w:rsidRPr="007C5F1E">
        <w:rPr>
          <w:rFonts w:ascii="Arial" w:eastAsia="Arial" w:hAnsi="Arial" w:cs="Arial"/>
        </w:rPr>
        <w:lastRenderedPageBreak/>
        <w:t>institutions and policymakers in enhancing teacher preparation and performance based on actual workplace needs.</w:t>
      </w:r>
    </w:p>
    <w:p w14:paraId="1D4C044A" w14:textId="77777777" w:rsidR="007C5F1E" w:rsidRDefault="007C5F1E" w:rsidP="007C5F1E">
      <w:pPr>
        <w:ind w:firstLine="720"/>
        <w:jc w:val="both"/>
        <w:rPr>
          <w:rFonts w:ascii="Arial" w:eastAsia="Arial" w:hAnsi="Arial" w:cs="Arial"/>
        </w:rPr>
      </w:pPr>
    </w:p>
    <w:p w14:paraId="7DE213FC" w14:textId="1A5B8843" w:rsidR="009D5498" w:rsidRPr="009D5498" w:rsidRDefault="009D5498" w:rsidP="009D549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w:t>
      </w:r>
      <w:r w:rsidRPr="009D5498">
        <w:rPr>
          <w:rFonts w:ascii="Arial" w:eastAsia="Arial" w:hAnsi="Arial" w:cs="Arial"/>
          <w:b/>
          <w:smallCaps/>
          <w:color w:val="000000"/>
          <w:sz w:val="22"/>
          <w:szCs w:val="22"/>
        </w:rPr>
        <w:t xml:space="preserve">THEORETICAL FRAMEWORK </w:t>
      </w:r>
    </w:p>
    <w:p w14:paraId="6525A640" w14:textId="77777777" w:rsidR="009D5498" w:rsidRPr="009D5498" w:rsidRDefault="009D5498" w:rsidP="009D5498">
      <w:pPr>
        <w:keepNext/>
        <w:pBdr>
          <w:top w:val="nil"/>
          <w:left w:val="nil"/>
          <w:bottom w:val="nil"/>
          <w:right w:val="nil"/>
          <w:between w:val="nil"/>
        </w:pBdr>
        <w:jc w:val="both"/>
        <w:rPr>
          <w:rFonts w:ascii="Arial" w:eastAsia="Arial" w:hAnsi="Arial" w:cs="Arial"/>
          <w:b/>
          <w:smallCaps/>
          <w:color w:val="000000"/>
          <w:sz w:val="22"/>
          <w:szCs w:val="22"/>
        </w:rPr>
      </w:pPr>
    </w:p>
    <w:p w14:paraId="57836DC4" w14:textId="77777777" w:rsidR="00BE7740" w:rsidRPr="00BE7740" w:rsidRDefault="00BE7740" w:rsidP="00BE7740">
      <w:pPr>
        <w:pBdr>
          <w:top w:val="nil"/>
          <w:left w:val="nil"/>
          <w:bottom w:val="nil"/>
          <w:right w:val="nil"/>
          <w:between w:val="nil"/>
        </w:pBdr>
        <w:jc w:val="both"/>
        <w:rPr>
          <w:rFonts w:ascii="Arial" w:eastAsia="Arial" w:hAnsi="Arial" w:cs="Arial"/>
        </w:rPr>
      </w:pPr>
      <w:r w:rsidRPr="00BE7740">
        <w:rPr>
          <w:rFonts w:ascii="Arial" w:eastAsia="Arial" w:hAnsi="Arial" w:cs="Arial"/>
        </w:rPr>
        <w:t>This study is grounded in the Human Capital Theory of Becker (1964). This theory posits that education and training are crucial investments that enhance the productivity and value of individuals in the labor market (Becker, 1993). Within this theoretical lens, BEED graduates represent the human capital outputs of the educational system, wherein the quality and relevance of their training are evaluated through actual job performance, often captured via employer feedback (Teixeira, 2015).</w:t>
      </w:r>
    </w:p>
    <w:p w14:paraId="6816D14A" w14:textId="77777777" w:rsidR="00BE7740" w:rsidRPr="00BE7740" w:rsidRDefault="00BE7740" w:rsidP="00BE7740">
      <w:pPr>
        <w:pBdr>
          <w:top w:val="nil"/>
          <w:left w:val="nil"/>
          <w:bottom w:val="nil"/>
          <w:right w:val="nil"/>
          <w:between w:val="nil"/>
        </w:pBdr>
        <w:jc w:val="both"/>
        <w:rPr>
          <w:rFonts w:ascii="Arial" w:eastAsia="Arial" w:hAnsi="Arial" w:cs="Arial"/>
        </w:rPr>
      </w:pPr>
      <w:r w:rsidRPr="00BE7740">
        <w:rPr>
          <w:rFonts w:ascii="Arial" w:eastAsia="Arial" w:hAnsi="Arial" w:cs="Arial"/>
        </w:rPr>
        <w:t>The relevance of Human Capital Theory is evident in the training of Bachelor of Elementary Education (BEED) students, whose skills and knowledge directly impact their effectiveness as teachers and their contributions to society (Hanushek, 2016). This framework explains how developing core competencies in BEED students enhances their effectiveness as educators and contributes to broader societal progress (</w:t>
      </w:r>
      <w:proofErr w:type="spellStart"/>
      <w:r w:rsidRPr="00BE7740">
        <w:rPr>
          <w:rFonts w:ascii="Arial" w:eastAsia="Arial" w:hAnsi="Arial" w:cs="Arial"/>
        </w:rPr>
        <w:t>Psacharopoulos</w:t>
      </w:r>
      <w:proofErr w:type="spellEnd"/>
      <w:r w:rsidRPr="00BE7740">
        <w:rPr>
          <w:rFonts w:ascii="Arial" w:eastAsia="Arial" w:hAnsi="Arial" w:cs="Arial"/>
        </w:rPr>
        <w:t xml:space="preserve"> &amp; </w:t>
      </w:r>
      <w:proofErr w:type="spellStart"/>
      <w:r w:rsidRPr="00BE7740">
        <w:rPr>
          <w:rFonts w:ascii="Arial" w:eastAsia="Arial" w:hAnsi="Arial" w:cs="Arial"/>
        </w:rPr>
        <w:t>Patrinos</w:t>
      </w:r>
      <w:proofErr w:type="spellEnd"/>
      <w:r w:rsidRPr="00BE7740">
        <w:rPr>
          <w:rFonts w:ascii="Arial" w:eastAsia="Arial" w:hAnsi="Arial" w:cs="Arial"/>
        </w:rPr>
        <w:t xml:space="preserve">, 2018). For example, mastery of subject knowledge equips BEED students to deliver high-quality instruction and foster the intellectual growth of their learners (Schleicher, 2018). </w:t>
      </w:r>
    </w:p>
    <w:p w14:paraId="4E6802F6" w14:textId="77777777" w:rsidR="00BE7740" w:rsidRPr="00BE7740" w:rsidRDefault="00BE7740" w:rsidP="00BE7740">
      <w:pPr>
        <w:pBdr>
          <w:top w:val="nil"/>
          <w:left w:val="nil"/>
          <w:bottom w:val="nil"/>
          <w:right w:val="nil"/>
          <w:between w:val="nil"/>
        </w:pBdr>
        <w:jc w:val="both"/>
        <w:rPr>
          <w:rFonts w:ascii="Arial" w:eastAsia="Arial" w:hAnsi="Arial" w:cs="Arial"/>
        </w:rPr>
      </w:pPr>
      <w:r w:rsidRPr="00BE7740">
        <w:rPr>
          <w:rFonts w:ascii="Arial" w:eastAsia="Arial" w:hAnsi="Arial" w:cs="Arial"/>
        </w:rPr>
        <w:t>The relevance of Human Capital Theory highlights the importance of subject knowledge as a foundational component for training Bachelor of Elementary Education (BEED) students, as mastery in this area enables them to deliver high-quality instruction effectively (Beltran, 2024). A comprehensive understanding of content allows educators to foster intellectual growth in their learners, ensuring that students gain critical thinking skills and a solid knowledge base (Bautista et al., 2024). Moreover, a strong grasp of subject knowledge supports pedagogical innovation, facilitating the use of diverse teaching strategies to address the varying needs of students (Kayode, 2022). These competencies directly influence teacher quality, which is one of the most significant factors affecting student achievement (Rozek et al., 2017).</w:t>
      </w:r>
    </w:p>
    <w:p w14:paraId="0746739C" w14:textId="77777777" w:rsidR="00BE7740" w:rsidRPr="00BE7740" w:rsidRDefault="00BE7740" w:rsidP="00BE7740">
      <w:pPr>
        <w:pBdr>
          <w:top w:val="nil"/>
          <w:left w:val="nil"/>
          <w:bottom w:val="nil"/>
          <w:right w:val="nil"/>
          <w:between w:val="nil"/>
        </w:pBdr>
        <w:jc w:val="both"/>
        <w:rPr>
          <w:rFonts w:ascii="Arial" w:eastAsia="Arial" w:hAnsi="Arial" w:cs="Arial"/>
        </w:rPr>
      </w:pPr>
      <w:r w:rsidRPr="00BE7740">
        <w:rPr>
          <w:rFonts w:ascii="Arial" w:eastAsia="Arial" w:hAnsi="Arial" w:cs="Arial"/>
        </w:rPr>
        <w:t>Classroom management and the ability to design structured learning environments are critical skills emphasized by Human Capital Theory in teacher training programs (</w:t>
      </w:r>
      <w:proofErr w:type="spellStart"/>
      <w:r w:rsidRPr="00BE7740">
        <w:rPr>
          <w:rFonts w:ascii="Arial" w:eastAsia="Arial" w:hAnsi="Arial" w:cs="Arial"/>
        </w:rPr>
        <w:t>Marginson</w:t>
      </w:r>
      <w:proofErr w:type="spellEnd"/>
      <w:r w:rsidRPr="00BE7740">
        <w:rPr>
          <w:rFonts w:ascii="Arial" w:eastAsia="Arial" w:hAnsi="Arial" w:cs="Arial"/>
        </w:rPr>
        <w:t>, 2019). Effective classroom management not only ensures the smooth operation of instructional activities but also fosters a positive and conducive learning environment (</w:t>
      </w:r>
      <w:proofErr w:type="spellStart"/>
      <w:r w:rsidRPr="00BE7740">
        <w:rPr>
          <w:rFonts w:ascii="Arial" w:eastAsia="Arial" w:hAnsi="Arial" w:cs="Arial"/>
        </w:rPr>
        <w:t>Vikaraman</w:t>
      </w:r>
      <w:proofErr w:type="spellEnd"/>
      <w:r w:rsidRPr="00BE7740">
        <w:rPr>
          <w:rFonts w:ascii="Arial" w:eastAsia="Arial" w:hAnsi="Arial" w:cs="Arial"/>
        </w:rPr>
        <w:t xml:space="preserve"> et al., 2017). BEED students benefit from training in organizational strategies that enhance their capacity to maintain discipline while encouraging engagement among students (Noe, 2020). The application of these skills helps mitigate disruptions and ensures that instructional time is utilized optimally, thereby maximizing educational outcomes (Sari &amp; </w:t>
      </w:r>
      <w:proofErr w:type="spellStart"/>
      <w:r w:rsidRPr="00BE7740">
        <w:rPr>
          <w:rFonts w:ascii="Arial" w:eastAsia="Arial" w:hAnsi="Arial" w:cs="Arial"/>
        </w:rPr>
        <w:t>Nayır</w:t>
      </w:r>
      <w:proofErr w:type="spellEnd"/>
      <w:r w:rsidRPr="00BE7740">
        <w:rPr>
          <w:rFonts w:ascii="Arial" w:eastAsia="Arial" w:hAnsi="Arial" w:cs="Arial"/>
        </w:rPr>
        <w:t>, 2020).</w:t>
      </w:r>
    </w:p>
    <w:p w14:paraId="34CDCBCA" w14:textId="77777777" w:rsidR="00BE7740" w:rsidRPr="00BE7740" w:rsidRDefault="00BE7740" w:rsidP="00BE7740">
      <w:pPr>
        <w:pBdr>
          <w:top w:val="nil"/>
          <w:left w:val="nil"/>
          <w:bottom w:val="nil"/>
          <w:right w:val="nil"/>
          <w:between w:val="nil"/>
        </w:pBdr>
        <w:jc w:val="both"/>
        <w:rPr>
          <w:rFonts w:ascii="Arial" w:eastAsia="Arial" w:hAnsi="Arial" w:cs="Arial"/>
        </w:rPr>
      </w:pPr>
      <w:r w:rsidRPr="00BE7740">
        <w:rPr>
          <w:rFonts w:ascii="Arial" w:eastAsia="Arial" w:hAnsi="Arial" w:cs="Arial"/>
        </w:rPr>
        <w:t>Assessment and evaluation are integral competencies for BEED students, as they directly influence the measurement of learning outcomes and instructional efficacy (Coppin, 2017). Human Capital Theory supports investments in training future teachers to use formative and summative assessment techniques effectively, which enhances their ability to identify areas of student growth and areas needing improvement (</w:t>
      </w:r>
      <w:proofErr w:type="spellStart"/>
      <w:r w:rsidRPr="00BE7740">
        <w:rPr>
          <w:rFonts w:ascii="Arial" w:eastAsia="Arial" w:hAnsi="Arial" w:cs="Arial"/>
        </w:rPr>
        <w:t>Widarni</w:t>
      </w:r>
      <w:proofErr w:type="spellEnd"/>
      <w:r w:rsidRPr="00BE7740">
        <w:rPr>
          <w:rFonts w:ascii="Arial" w:eastAsia="Arial" w:hAnsi="Arial" w:cs="Arial"/>
        </w:rPr>
        <w:t xml:space="preserve"> &amp; </w:t>
      </w:r>
      <w:proofErr w:type="spellStart"/>
      <w:r w:rsidRPr="00BE7740">
        <w:rPr>
          <w:rFonts w:ascii="Arial" w:eastAsia="Arial" w:hAnsi="Arial" w:cs="Arial"/>
        </w:rPr>
        <w:t>Bawono</w:t>
      </w:r>
      <w:proofErr w:type="spellEnd"/>
      <w:r w:rsidRPr="00BE7740">
        <w:rPr>
          <w:rFonts w:ascii="Arial" w:eastAsia="Arial" w:hAnsi="Arial" w:cs="Arial"/>
        </w:rPr>
        <w:t>, 2021). Developing these skills enables educators to adapt instruction to meet the diverse needs of their students and align learning objectives with curriculum standards (Melnyk et al., 2023). This alignment is crucial for ensuring accountability in education systems and achieving broader societal progress (</w:t>
      </w:r>
      <w:proofErr w:type="spellStart"/>
      <w:r w:rsidRPr="00BE7740">
        <w:rPr>
          <w:rFonts w:ascii="Arial" w:eastAsia="Arial" w:hAnsi="Arial" w:cs="Arial"/>
        </w:rPr>
        <w:t>Psacharopoulos</w:t>
      </w:r>
      <w:proofErr w:type="spellEnd"/>
      <w:r w:rsidRPr="00BE7740">
        <w:rPr>
          <w:rFonts w:ascii="Arial" w:eastAsia="Arial" w:hAnsi="Arial" w:cs="Arial"/>
        </w:rPr>
        <w:t xml:space="preserve"> &amp; </w:t>
      </w:r>
      <w:proofErr w:type="spellStart"/>
      <w:r w:rsidRPr="00BE7740">
        <w:rPr>
          <w:rFonts w:ascii="Arial" w:eastAsia="Arial" w:hAnsi="Arial" w:cs="Arial"/>
        </w:rPr>
        <w:t>Patrinos</w:t>
      </w:r>
      <w:proofErr w:type="spellEnd"/>
      <w:r w:rsidRPr="00BE7740">
        <w:rPr>
          <w:rFonts w:ascii="Arial" w:eastAsia="Arial" w:hAnsi="Arial" w:cs="Arial"/>
        </w:rPr>
        <w:t>, 2018).</w:t>
      </w:r>
    </w:p>
    <w:p w14:paraId="560FCCFD" w14:textId="77777777" w:rsidR="00BE7740" w:rsidRPr="00BE7740" w:rsidRDefault="00BE7740" w:rsidP="00BE7740">
      <w:pPr>
        <w:pBdr>
          <w:top w:val="nil"/>
          <w:left w:val="nil"/>
          <w:bottom w:val="nil"/>
          <w:right w:val="nil"/>
          <w:between w:val="nil"/>
        </w:pBdr>
        <w:jc w:val="both"/>
        <w:rPr>
          <w:rFonts w:ascii="Arial" w:eastAsia="Arial" w:hAnsi="Arial" w:cs="Arial"/>
        </w:rPr>
      </w:pPr>
      <w:r w:rsidRPr="00BE7740">
        <w:rPr>
          <w:rFonts w:ascii="Arial" w:eastAsia="Arial" w:hAnsi="Arial" w:cs="Arial"/>
        </w:rPr>
        <w:t>Flexibility and adaptability are essential in addressing the dynamic challenges of the educational landscape, as emphasized by Human Capital Theory (</w:t>
      </w:r>
      <w:proofErr w:type="spellStart"/>
      <w:r w:rsidRPr="00BE7740">
        <w:rPr>
          <w:rFonts w:ascii="Arial" w:eastAsia="Arial" w:hAnsi="Arial" w:cs="Arial"/>
        </w:rPr>
        <w:t>Galiakberova</w:t>
      </w:r>
      <w:proofErr w:type="spellEnd"/>
      <w:r w:rsidRPr="00BE7740">
        <w:rPr>
          <w:rFonts w:ascii="Arial" w:eastAsia="Arial" w:hAnsi="Arial" w:cs="Arial"/>
        </w:rPr>
        <w:t xml:space="preserve">, 2019). The training of BEED students incorporates strategies for continuous learning and on-the-job training, which are essential for navigating curriculum changes and technological advancements in education (Diaz-Fernandez &amp; </w:t>
      </w:r>
      <w:proofErr w:type="spellStart"/>
      <w:r w:rsidRPr="00BE7740">
        <w:rPr>
          <w:rFonts w:ascii="Arial" w:eastAsia="Arial" w:hAnsi="Arial" w:cs="Arial"/>
        </w:rPr>
        <w:t>Pasamar</w:t>
      </w:r>
      <w:proofErr w:type="spellEnd"/>
      <w:r w:rsidRPr="00BE7740">
        <w:rPr>
          <w:rFonts w:ascii="Arial" w:eastAsia="Arial" w:hAnsi="Arial" w:cs="Arial"/>
        </w:rPr>
        <w:t xml:space="preserve">-Reyes, 2017). These skills also enhance the ability of future educators to implement differentiated instruction, ensuring inclusivity in diverse classroom settings (Flores et al., 2020). By fostering adaptability, teacher education programs prepare BEED students to effectively meet emerging educational </w:t>
      </w:r>
      <w:r w:rsidRPr="00BE7740">
        <w:rPr>
          <w:rFonts w:ascii="Arial" w:eastAsia="Arial" w:hAnsi="Arial" w:cs="Arial"/>
        </w:rPr>
        <w:lastRenderedPageBreak/>
        <w:t>demands, thereby contributing to sustained professional growth and societal development (</w:t>
      </w:r>
      <w:proofErr w:type="spellStart"/>
      <w:r w:rsidRPr="00BE7740">
        <w:rPr>
          <w:rFonts w:ascii="Arial" w:eastAsia="Arial" w:hAnsi="Arial" w:cs="Arial"/>
        </w:rPr>
        <w:t>Rachmad</w:t>
      </w:r>
      <w:proofErr w:type="spellEnd"/>
      <w:r w:rsidRPr="00BE7740">
        <w:rPr>
          <w:rFonts w:ascii="Arial" w:eastAsia="Arial" w:hAnsi="Arial" w:cs="Arial"/>
        </w:rPr>
        <w:t>, 2022).</w:t>
      </w:r>
    </w:p>
    <w:p w14:paraId="3737E020" w14:textId="77777777" w:rsidR="00BE7740" w:rsidRPr="00BE7740" w:rsidRDefault="00BE7740" w:rsidP="00BE7740">
      <w:pPr>
        <w:pBdr>
          <w:top w:val="nil"/>
          <w:left w:val="nil"/>
          <w:bottom w:val="nil"/>
          <w:right w:val="nil"/>
          <w:between w:val="nil"/>
        </w:pBdr>
        <w:jc w:val="both"/>
        <w:rPr>
          <w:rFonts w:ascii="Arial" w:eastAsia="Arial" w:hAnsi="Arial" w:cs="Arial"/>
        </w:rPr>
      </w:pPr>
      <w:r w:rsidRPr="00BE7740">
        <w:rPr>
          <w:rFonts w:ascii="Arial" w:eastAsia="Arial" w:hAnsi="Arial" w:cs="Arial"/>
        </w:rPr>
        <w:t>Dependability, developed through internships and experiential learning opportunities, is a cornerstone of adequate teacher preparation under Human Capital Theory (Hora et al., 2020). BEED students acquire practical experience that fosters reliability and trustworthiness, traits essential for maintaining professional relationships with students, parents, and colleagues (</w:t>
      </w:r>
      <w:proofErr w:type="spellStart"/>
      <w:r w:rsidRPr="00BE7740">
        <w:rPr>
          <w:rFonts w:ascii="Arial" w:eastAsia="Arial" w:hAnsi="Arial" w:cs="Arial"/>
        </w:rPr>
        <w:t>Kapareliotis</w:t>
      </w:r>
      <w:proofErr w:type="spellEnd"/>
      <w:r w:rsidRPr="00BE7740">
        <w:rPr>
          <w:rFonts w:ascii="Arial" w:eastAsia="Arial" w:hAnsi="Arial" w:cs="Arial"/>
        </w:rPr>
        <w:t xml:space="preserve"> et al., 2019). These experiences also cultivate a sense of responsibility and accountability, which are essential for sustaining long-term employability and making a positive contribution to the teaching profession (Rodrigues et al., 2022). Dependable educators not only inspire confidence in their stakeholders but also model ethical behavior for their learners (Margaryan et al., 2022).</w:t>
      </w:r>
    </w:p>
    <w:p w14:paraId="759DF9C6" w14:textId="77777777" w:rsidR="00BE7740" w:rsidRPr="00BE7740" w:rsidRDefault="00BE7740" w:rsidP="00BE7740">
      <w:pPr>
        <w:pBdr>
          <w:top w:val="nil"/>
          <w:left w:val="nil"/>
          <w:bottom w:val="nil"/>
          <w:right w:val="nil"/>
          <w:between w:val="nil"/>
        </w:pBdr>
        <w:jc w:val="both"/>
        <w:rPr>
          <w:rFonts w:ascii="Arial" w:eastAsia="Arial" w:hAnsi="Arial" w:cs="Arial"/>
        </w:rPr>
      </w:pPr>
      <w:r w:rsidRPr="00BE7740">
        <w:rPr>
          <w:rFonts w:ascii="Arial" w:eastAsia="Arial" w:hAnsi="Arial" w:cs="Arial"/>
        </w:rPr>
        <w:t>Communication skills, encompassing both verbal and non-verbal abilities, are vital for effective teaching and are significantly enhanced through targeted teacher training programs (Khan et al., 2017). Investments in these skills allow BEED students to engage meaningfully with diverse stakeholders, including students, parents, and colleagues (</w:t>
      </w:r>
      <w:proofErr w:type="spellStart"/>
      <w:r w:rsidRPr="00BE7740">
        <w:rPr>
          <w:rFonts w:ascii="Arial" w:eastAsia="Arial" w:hAnsi="Arial" w:cs="Arial"/>
        </w:rPr>
        <w:t>Bambaeeroo</w:t>
      </w:r>
      <w:proofErr w:type="spellEnd"/>
      <w:r w:rsidRPr="00BE7740">
        <w:rPr>
          <w:rFonts w:ascii="Arial" w:eastAsia="Arial" w:hAnsi="Arial" w:cs="Arial"/>
        </w:rPr>
        <w:t xml:space="preserve"> &amp; </w:t>
      </w:r>
      <w:proofErr w:type="spellStart"/>
      <w:r w:rsidRPr="00BE7740">
        <w:rPr>
          <w:rFonts w:ascii="Arial" w:eastAsia="Arial" w:hAnsi="Arial" w:cs="Arial"/>
        </w:rPr>
        <w:t>Shokrpour</w:t>
      </w:r>
      <w:proofErr w:type="spellEnd"/>
      <w:r w:rsidRPr="00BE7740">
        <w:rPr>
          <w:rFonts w:ascii="Arial" w:eastAsia="Arial" w:hAnsi="Arial" w:cs="Arial"/>
        </w:rPr>
        <w:t>, 2017). Proficiency in communication also aids in the articulation of complex concepts, making lessons more accessible and engaging for learners (</w:t>
      </w:r>
      <w:proofErr w:type="spellStart"/>
      <w:r w:rsidRPr="00BE7740">
        <w:rPr>
          <w:rFonts w:ascii="Arial" w:eastAsia="Arial" w:hAnsi="Arial" w:cs="Arial"/>
        </w:rPr>
        <w:t>Setiawan</w:t>
      </w:r>
      <w:proofErr w:type="spellEnd"/>
      <w:r w:rsidRPr="00BE7740">
        <w:rPr>
          <w:rFonts w:ascii="Arial" w:eastAsia="Arial" w:hAnsi="Arial" w:cs="Arial"/>
        </w:rPr>
        <w:t xml:space="preserve"> &amp; </w:t>
      </w:r>
      <w:proofErr w:type="spellStart"/>
      <w:r w:rsidRPr="00BE7740">
        <w:rPr>
          <w:rFonts w:ascii="Arial" w:eastAsia="Arial" w:hAnsi="Arial" w:cs="Arial"/>
        </w:rPr>
        <w:t>Sugiyanto</w:t>
      </w:r>
      <w:proofErr w:type="spellEnd"/>
      <w:r w:rsidRPr="00BE7740">
        <w:rPr>
          <w:rFonts w:ascii="Arial" w:eastAsia="Arial" w:hAnsi="Arial" w:cs="Arial"/>
        </w:rPr>
        <w:t>, 2020). Furthermore, interpersonal skills facilitate collaboration, a key factor in fostering professional learning communities and improving educational outcomes (Dogan et al., 2017).</w:t>
      </w:r>
    </w:p>
    <w:p w14:paraId="12C2661E" w14:textId="48840C14" w:rsidR="000B1D44" w:rsidRDefault="00BE7740" w:rsidP="00BE7740">
      <w:pPr>
        <w:pBdr>
          <w:top w:val="nil"/>
          <w:left w:val="nil"/>
          <w:bottom w:val="nil"/>
          <w:right w:val="nil"/>
          <w:between w:val="nil"/>
        </w:pBdr>
        <w:jc w:val="both"/>
        <w:rPr>
          <w:rFonts w:ascii="Arial" w:eastAsia="Arial" w:hAnsi="Arial" w:cs="Arial"/>
        </w:rPr>
      </w:pPr>
      <w:r w:rsidRPr="00BE7740">
        <w:rPr>
          <w:rFonts w:ascii="Arial" w:eastAsia="Arial" w:hAnsi="Arial" w:cs="Arial"/>
        </w:rPr>
        <w:t>Leadership, commitment, and collaboration are interconnected competencies that highlight the societal impact of investing in Bachelor of Elementary Education (BEED) programs (Acosta, P. A. S., 2024). Leadership skills empower educators to take initiative in classroom and school-wide activities, inspiring students and colleagues to achieve collective goals (Mwila, 2024). A commitment to teaching is evidenced by dedication to professional development and active participation in educational reforms, reflecting a drive for improved outcomes (</w:t>
      </w:r>
      <w:proofErr w:type="spellStart"/>
      <w:r w:rsidRPr="00BE7740">
        <w:rPr>
          <w:rFonts w:ascii="Arial" w:eastAsia="Arial" w:hAnsi="Arial" w:cs="Arial"/>
        </w:rPr>
        <w:t>Gajurel</w:t>
      </w:r>
      <w:proofErr w:type="spellEnd"/>
      <w:r w:rsidRPr="00BE7740">
        <w:rPr>
          <w:rFonts w:ascii="Arial" w:eastAsia="Arial" w:hAnsi="Arial" w:cs="Arial"/>
        </w:rPr>
        <w:t xml:space="preserve"> et al., 2024). Additionally, collaboration with peers, stakeholders, and professional networks enhances resource sharing and promotes innovative practices, thereby amplifying the impact of education on societal progress (Baniaga, 2024). Together, these competencies underline the transformative potential of education investments.</w:t>
      </w:r>
    </w:p>
    <w:p w14:paraId="29222F09" w14:textId="77777777" w:rsidR="00BE7740" w:rsidRDefault="00BE7740" w:rsidP="00BE7740">
      <w:pPr>
        <w:pBdr>
          <w:top w:val="nil"/>
          <w:left w:val="nil"/>
          <w:bottom w:val="nil"/>
          <w:right w:val="nil"/>
          <w:between w:val="nil"/>
        </w:pBdr>
        <w:jc w:val="both"/>
        <w:rPr>
          <w:rFonts w:ascii="Arial" w:eastAsia="Arial" w:hAnsi="Arial" w:cs="Arial"/>
          <w:color w:val="000000"/>
          <w:highlight w:val="white"/>
        </w:rPr>
      </w:pPr>
    </w:p>
    <w:p w14:paraId="46D43AD4" w14:textId="2B6E6583" w:rsidR="000B1D44" w:rsidRDefault="009D5498" w:rsidP="002200F1">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w:t>
      </w:r>
      <w:r w:rsidR="00DA622F">
        <w:rPr>
          <w:rFonts w:ascii="Arial" w:eastAsia="Arial" w:hAnsi="Arial" w:cs="Arial"/>
          <w:b/>
          <w:smallCaps/>
          <w:color w:val="000000"/>
          <w:sz w:val="22"/>
          <w:szCs w:val="22"/>
        </w:rPr>
        <w:t xml:space="preserve">. OBJECTIVES </w:t>
      </w:r>
    </w:p>
    <w:p w14:paraId="56E1BE1E" w14:textId="77777777" w:rsidR="000B1D44" w:rsidRDefault="000B1D44" w:rsidP="002200F1">
      <w:pPr>
        <w:keepNext/>
        <w:pBdr>
          <w:top w:val="nil"/>
          <w:left w:val="nil"/>
          <w:bottom w:val="nil"/>
          <w:right w:val="nil"/>
          <w:between w:val="nil"/>
        </w:pBdr>
        <w:jc w:val="both"/>
        <w:rPr>
          <w:rFonts w:ascii="Arial" w:eastAsia="Arial" w:hAnsi="Arial" w:cs="Arial"/>
          <w:b/>
          <w:smallCaps/>
          <w:color w:val="000000"/>
          <w:sz w:val="22"/>
          <w:szCs w:val="22"/>
        </w:rPr>
      </w:pPr>
    </w:p>
    <w:p w14:paraId="0A316069" w14:textId="21B65627" w:rsidR="00E26B62" w:rsidRDefault="00345107" w:rsidP="002200F1">
      <w:pPr>
        <w:pBdr>
          <w:top w:val="nil"/>
          <w:left w:val="nil"/>
          <w:bottom w:val="nil"/>
          <w:right w:val="nil"/>
          <w:between w:val="nil"/>
        </w:pBdr>
        <w:jc w:val="both"/>
        <w:rPr>
          <w:rFonts w:ascii="Arial" w:eastAsia="Arial" w:hAnsi="Arial" w:cs="Arial"/>
          <w:color w:val="000000"/>
        </w:rPr>
      </w:pPr>
      <w:r w:rsidRPr="00345107">
        <w:rPr>
          <w:rFonts w:ascii="Arial" w:eastAsia="Arial" w:hAnsi="Arial" w:cs="Arial"/>
          <w:color w:val="000000"/>
        </w:rPr>
        <w:t xml:space="preserve">This study aimed to determine the feedback and satisfaction of employers with the performance of BEED graduates from Davao Oriental State University (DORSU) – </w:t>
      </w:r>
      <w:proofErr w:type="spellStart"/>
      <w:r w:rsidRPr="00345107">
        <w:rPr>
          <w:rFonts w:ascii="Arial" w:eastAsia="Arial" w:hAnsi="Arial" w:cs="Arial"/>
          <w:color w:val="000000"/>
        </w:rPr>
        <w:t>Cateel</w:t>
      </w:r>
      <w:proofErr w:type="spellEnd"/>
      <w:r w:rsidRPr="00345107">
        <w:rPr>
          <w:rFonts w:ascii="Arial" w:eastAsia="Arial" w:hAnsi="Arial" w:cs="Arial"/>
          <w:color w:val="000000"/>
        </w:rPr>
        <w:t xml:space="preserve"> Campus. Specifically, this sought to attain the following objectives:</w:t>
      </w:r>
    </w:p>
    <w:p w14:paraId="1BFD4E1A" w14:textId="77777777" w:rsidR="00345107" w:rsidRDefault="00345107" w:rsidP="002200F1">
      <w:pPr>
        <w:pBdr>
          <w:top w:val="nil"/>
          <w:left w:val="nil"/>
          <w:bottom w:val="nil"/>
          <w:right w:val="nil"/>
          <w:between w:val="nil"/>
        </w:pBdr>
        <w:jc w:val="both"/>
        <w:rPr>
          <w:rFonts w:ascii="Arial" w:eastAsia="Arial" w:hAnsi="Arial" w:cs="Arial"/>
          <w:color w:val="000000"/>
          <w:highlight w:val="white"/>
        </w:rPr>
      </w:pPr>
    </w:p>
    <w:p w14:paraId="6A18AFF2" w14:textId="77777777" w:rsidR="00345107" w:rsidRPr="00345107" w:rsidRDefault="00345107" w:rsidP="00345107">
      <w:pPr>
        <w:pStyle w:val="NormalWeb"/>
        <w:numPr>
          <w:ilvl w:val="0"/>
          <w:numId w:val="19"/>
        </w:numPr>
        <w:contextualSpacing/>
        <w:jc w:val="both"/>
        <w:rPr>
          <w:rFonts w:ascii="Arial" w:hAnsi="Arial" w:cs="Arial"/>
          <w:sz w:val="20"/>
          <w:szCs w:val="20"/>
        </w:rPr>
      </w:pPr>
      <w:r w:rsidRPr="00345107">
        <w:rPr>
          <w:rFonts w:ascii="Arial" w:hAnsi="Arial" w:cs="Arial"/>
          <w:sz w:val="20"/>
          <w:szCs w:val="20"/>
        </w:rPr>
        <w:t>To determine the demographic profile of the respondents in terms of;</w:t>
      </w:r>
    </w:p>
    <w:p w14:paraId="5022BCF7" w14:textId="77777777" w:rsidR="00345107" w:rsidRPr="00345107" w:rsidRDefault="00345107" w:rsidP="00345107">
      <w:pPr>
        <w:pStyle w:val="NormalWeb"/>
        <w:numPr>
          <w:ilvl w:val="1"/>
          <w:numId w:val="20"/>
        </w:numPr>
        <w:contextualSpacing/>
        <w:jc w:val="both"/>
        <w:rPr>
          <w:rFonts w:ascii="Arial" w:hAnsi="Arial" w:cs="Arial"/>
          <w:sz w:val="20"/>
          <w:szCs w:val="20"/>
        </w:rPr>
      </w:pPr>
      <w:r w:rsidRPr="00345107">
        <w:rPr>
          <w:rFonts w:ascii="Arial" w:hAnsi="Arial" w:cs="Arial"/>
          <w:sz w:val="20"/>
          <w:szCs w:val="20"/>
        </w:rPr>
        <w:t>age;</w:t>
      </w:r>
    </w:p>
    <w:p w14:paraId="5FB838B4" w14:textId="77777777" w:rsidR="00345107" w:rsidRPr="00345107" w:rsidRDefault="00345107" w:rsidP="00345107">
      <w:pPr>
        <w:pStyle w:val="NormalWeb"/>
        <w:numPr>
          <w:ilvl w:val="1"/>
          <w:numId w:val="20"/>
        </w:numPr>
        <w:contextualSpacing/>
        <w:jc w:val="both"/>
        <w:rPr>
          <w:rFonts w:ascii="Arial" w:hAnsi="Arial" w:cs="Arial"/>
          <w:sz w:val="20"/>
          <w:szCs w:val="20"/>
        </w:rPr>
      </w:pPr>
      <w:r w:rsidRPr="00345107">
        <w:rPr>
          <w:rFonts w:ascii="Arial" w:hAnsi="Arial" w:cs="Arial"/>
          <w:sz w:val="20"/>
          <w:szCs w:val="20"/>
        </w:rPr>
        <w:t>gender;</w:t>
      </w:r>
    </w:p>
    <w:p w14:paraId="39643D96" w14:textId="77777777" w:rsidR="00345107" w:rsidRPr="00345107" w:rsidRDefault="00345107" w:rsidP="00345107">
      <w:pPr>
        <w:pStyle w:val="NormalWeb"/>
        <w:numPr>
          <w:ilvl w:val="1"/>
          <w:numId w:val="20"/>
        </w:numPr>
        <w:contextualSpacing/>
        <w:jc w:val="both"/>
        <w:rPr>
          <w:rFonts w:ascii="Arial" w:hAnsi="Arial" w:cs="Arial"/>
          <w:sz w:val="20"/>
          <w:szCs w:val="20"/>
        </w:rPr>
      </w:pPr>
      <w:r w:rsidRPr="00345107">
        <w:rPr>
          <w:rFonts w:ascii="Arial" w:hAnsi="Arial" w:cs="Arial"/>
          <w:sz w:val="20"/>
          <w:szCs w:val="20"/>
        </w:rPr>
        <w:t xml:space="preserve">position; </w:t>
      </w:r>
    </w:p>
    <w:p w14:paraId="559B886B" w14:textId="77777777" w:rsidR="00345107" w:rsidRPr="00345107" w:rsidRDefault="00345107" w:rsidP="00345107">
      <w:pPr>
        <w:pStyle w:val="NormalWeb"/>
        <w:numPr>
          <w:ilvl w:val="1"/>
          <w:numId w:val="20"/>
        </w:numPr>
        <w:contextualSpacing/>
        <w:jc w:val="both"/>
        <w:rPr>
          <w:rFonts w:ascii="Arial" w:hAnsi="Arial" w:cs="Arial"/>
          <w:sz w:val="20"/>
          <w:szCs w:val="20"/>
        </w:rPr>
      </w:pPr>
      <w:r w:rsidRPr="00345107">
        <w:rPr>
          <w:rFonts w:ascii="Arial" w:hAnsi="Arial" w:cs="Arial"/>
          <w:sz w:val="20"/>
          <w:szCs w:val="20"/>
        </w:rPr>
        <w:t xml:space="preserve">years in service and </w:t>
      </w:r>
    </w:p>
    <w:p w14:paraId="4ACD6469" w14:textId="77777777" w:rsidR="00345107" w:rsidRPr="00345107" w:rsidRDefault="00345107" w:rsidP="00345107">
      <w:pPr>
        <w:pStyle w:val="NormalWeb"/>
        <w:numPr>
          <w:ilvl w:val="1"/>
          <w:numId w:val="20"/>
        </w:numPr>
        <w:contextualSpacing/>
        <w:jc w:val="both"/>
        <w:rPr>
          <w:rFonts w:ascii="Arial" w:hAnsi="Arial" w:cs="Arial"/>
          <w:sz w:val="20"/>
          <w:szCs w:val="20"/>
          <w:lang w:val="en-PH"/>
        </w:rPr>
      </w:pPr>
      <w:r w:rsidRPr="00345107">
        <w:rPr>
          <w:rFonts w:ascii="Arial" w:hAnsi="Arial" w:cs="Arial"/>
          <w:sz w:val="20"/>
          <w:szCs w:val="20"/>
        </w:rPr>
        <w:t>district.</w:t>
      </w:r>
    </w:p>
    <w:p w14:paraId="4491ED6E" w14:textId="77777777" w:rsidR="00345107" w:rsidRPr="00345107" w:rsidRDefault="00345107" w:rsidP="00345107">
      <w:pPr>
        <w:pStyle w:val="NormalWeb"/>
        <w:numPr>
          <w:ilvl w:val="0"/>
          <w:numId w:val="21"/>
        </w:numPr>
        <w:contextualSpacing/>
        <w:jc w:val="both"/>
        <w:rPr>
          <w:rFonts w:ascii="Arial" w:hAnsi="Arial" w:cs="Arial"/>
          <w:sz w:val="20"/>
          <w:szCs w:val="20"/>
        </w:rPr>
      </w:pPr>
      <w:r w:rsidRPr="00345107">
        <w:rPr>
          <w:rFonts w:ascii="Arial" w:hAnsi="Arial" w:cs="Arial"/>
          <w:sz w:val="20"/>
          <w:szCs w:val="20"/>
        </w:rPr>
        <w:t>To determine the employers’ feedback on the performance of BEED graduates in the workplace in terms of:</w:t>
      </w:r>
    </w:p>
    <w:p w14:paraId="2D4E7445" w14:textId="77777777" w:rsidR="00345107" w:rsidRPr="00345107" w:rsidRDefault="00345107" w:rsidP="00345107">
      <w:pPr>
        <w:pStyle w:val="NormalWeb"/>
        <w:numPr>
          <w:ilvl w:val="0"/>
          <w:numId w:val="22"/>
        </w:numPr>
        <w:contextualSpacing/>
        <w:jc w:val="both"/>
        <w:rPr>
          <w:rFonts w:ascii="Arial" w:hAnsi="Arial" w:cs="Arial"/>
          <w:sz w:val="20"/>
          <w:szCs w:val="20"/>
        </w:rPr>
      </w:pPr>
      <w:r w:rsidRPr="00345107">
        <w:rPr>
          <w:rFonts w:ascii="Arial" w:hAnsi="Arial" w:cs="Arial"/>
          <w:sz w:val="20"/>
          <w:szCs w:val="20"/>
        </w:rPr>
        <w:t>subject knowledge;</w:t>
      </w:r>
    </w:p>
    <w:p w14:paraId="35CF56B4" w14:textId="77777777" w:rsidR="00345107" w:rsidRPr="00345107" w:rsidRDefault="00345107" w:rsidP="00345107">
      <w:pPr>
        <w:pStyle w:val="NormalWeb"/>
        <w:numPr>
          <w:ilvl w:val="0"/>
          <w:numId w:val="22"/>
        </w:numPr>
        <w:contextualSpacing/>
        <w:jc w:val="both"/>
        <w:rPr>
          <w:rFonts w:ascii="Arial" w:hAnsi="Arial" w:cs="Arial"/>
          <w:sz w:val="20"/>
          <w:szCs w:val="20"/>
        </w:rPr>
      </w:pPr>
      <w:r w:rsidRPr="00345107">
        <w:rPr>
          <w:rFonts w:ascii="Arial" w:hAnsi="Arial" w:cs="Arial"/>
          <w:sz w:val="20"/>
          <w:szCs w:val="20"/>
        </w:rPr>
        <w:t>management of learning;</w:t>
      </w:r>
    </w:p>
    <w:p w14:paraId="6E3E16D9" w14:textId="77777777" w:rsidR="00345107" w:rsidRPr="00345107" w:rsidRDefault="00345107" w:rsidP="00345107">
      <w:pPr>
        <w:pStyle w:val="NormalWeb"/>
        <w:numPr>
          <w:ilvl w:val="0"/>
          <w:numId w:val="22"/>
        </w:numPr>
        <w:contextualSpacing/>
        <w:jc w:val="both"/>
        <w:rPr>
          <w:rFonts w:ascii="Arial" w:hAnsi="Arial" w:cs="Arial"/>
          <w:sz w:val="20"/>
          <w:szCs w:val="20"/>
        </w:rPr>
      </w:pPr>
      <w:r w:rsidRPr="00345107">
        <w:rPr>
          <w:rFonts w:ascii="Arial" w:hAnsi="Arial" w:cs="Arial"/>
          <w:sz w:val="20"/>
          <w:szCs w:val="20"/>
        </w:rPr>
        <w:t>assessment and evaluation;</w:t>
      </w:r>
    </w:p>
    <w:p w14:paraId="5EFF6C68" w14:textId="77777777" w:rsidR="00345107" w:rsidRPr="00345107" w:rsidRDefault="00345107" w:rsidP="00345107">
      <w:pPr>
        <w:pStyle w:val="NormalWeb"/>
        <w:numPr>
          <w:ilvl w:val="0"/>
          <w:numId w:val="22"/>
        </w:numPr>
        <w:contextualSpacing/>
        <w:jc w:val="both"/>
        <w:rPr>
          <w:rFonts w:ascii="Arial" w:hAnsi="Arial" w:cs="Arial"/>
          <w:sz w:val="20"/>
          <w:szCs w:val="20"/>
        </w:rPr>
      </w:pPr>
      <w:r w:rsidRPr="00345107">
        <w:rPr>
          <w:rFonts w:ascii="Arial" w:hAnsi="Arial" w:cs="Arial"/>
          <w:sz w:val="20"/>
          <w:szCs w:val="20"/>
        </w:rPr>
        <w:t>flexibility and adaptability;</w:t>
      </w:r>
    </w:p>
    <w:p w14:paraId="07EEA914" w14:textId="77777777" w:rsidR="00345107" w:rsidRPr="00345107" w:rsidRDefault="00345107" w:rsidP="00345107">
      <w:pPr>
        <w:pStyle w:val="NormalWeb"/>
        <w:numPr>
          <w:ilvl w:val="0"/>
          <w:numId w:val="22"/>
        </w:numPr>
        <w:contextualSpacing/>
        <w:jc w:val="both"/>
        <w:rPr>
          <w:rFonts w:ascii="Arial" w:hAnsi="Arial" w:cs="Arial"/>
          <w:sz w:val="20"/>
          <w:szCs w:val="20"/>
        </w:rPr>
      </w:pPr>
      <w:r w:rsidRPr="00345107">
        <w:rPr>
          <w:rFonts w:ascii="Arial" w:hAnsi="Arial" w:cs="Arial"/>
          <w:sz w:val="20"/>
          <w:szCs w:val="20"/>
        </w:rPr>
        <w:t>dependability;</w:t>
      </w:r>
    </w:p>
    <w:p w14:paraId="69D908D4" w14:textId="77777777" w:rsidR="00345107" w:rsidRPr="00345107" w:rsidRDefault="00345107" w:rsidP="00345107">
      <w:pPr>
        <w:pStyle w:val="NormalWeb"/>
        <w:numPr>
          <w:ilvl w:val="0"/>
          <w:numId w:val="22"/>
        </w:numPr>
        <w:contextualSpacing/>
        <w:jc w:val="both"/>
        <w:rPr>
          <w:rFonts w:ascii="Arial" w:hAnsi="Arial" w:cs="Arial"/>
          <w:sz w:val="20"/>
          <w:szCs w:val="20"/>
        </w:rPr>
      </w:pPr>
      <w:r w:rsidRPr="00345107">
        <w:rPr>
          <w:rFonts w:ascii="Arial" w:hAnsi="Arial" w:cs="Arial"/>
          <w:sz w:val="20"/>
          <w:szCs w:val="20"/>
        </w:rPr>
        <w:t>communication skills;</w:t>
      </w:r>
    </w:p>
    <w:p w14:paraId="46349F6E" w14:textId="77777777" w:rsidR="00345107" w:rsidRPr="00345107" w:rsidRDefault="00345107" w:rsidP="00345107">
      <w:pPr>
        <w:pStyle w:val="NormalWeb"/>
        <w:numPr>
          <w:ilvl w:val="0"/>
          <w:numId w:val="22"/>
        </w:numPr>
        <w:contextualSpacing/>
        <w:jc w:val="both"/>
        <w:rPr>
          <w:rFonts w:ascii="Arial" w:hAnsi="Arial" w:cs="Arial"/>
          <w:sz w:val="20"/>
          <w:szCs w:val="20"/>
        </w:rPr>
      </w:pPr>
      <w:r w:rsidRPr="00345107">
        <w:rPr>
          <w:rFonts w:ascii="Arial" w:hAnsi="Arial" w:cs="Arial"/>
          <w:sz w:val="20"/>
          <w:szCs w:val="20"/>
        </w:rPr>
        <w:t>leadership skills;</w:t>
      </w:r>
    </w:p>
    <w:p w14:paraId="6BD526CF" w14:textId="77777777" w:rsidR="00345107" w:rsidRPr="00345107" w:rsidRDefault="00345107" w:rsidP="00345107">
      <w:pPr>
        <w:pStyle w:val="NormalWeb"/>
        <w:numPr>
          <w:ilvl w:val="0"/>
          <w:numId w:val="22"/>
        </w:numPr>
        <w:contextualSpacing/>
        <w:jc w:val="both"/>
        <w:rPr>
          <w:rFonts w:ascii="Arial" w:hAnsi="Arial" w:cs="Arial"/>
          <w:sz w:val="20"/>
          <w:szCs w:val="20"/>
        </w:rPr>
      </w:pPr>
      <w:r w:rsidRPr="00345107">
        <w:rPr>
          <w:rFonts w:ascii="Arial" w:hAnsi="Arial" w:cs="Arial"/>
          <w:sz w:val="20"/>
          <w:szCs w:val="20"/>
        </w:rPr>
        <w:t>commitment; and</w:t>
      </w:r>
    </w:p>
    <w:p w14:paraId="6B3EC9F5" w14:textId="77777777" w:rsidR="00345107" w:rsidRPr="00345107" w:rsidRDefault="00345107" w:rsidP="00345107">
      <w:pPr>
        <w:pStyle w:val="NormalWeb"/>
        <w:numPr>
          <w:ilvl w:val="0"/>
          <w:numId w:val="22"/>
        </w:numPr>
        <w:contextualSpacing/>
        <w:jc w:val="both"/>
        <w:rPr>
          <w:rFonts w:ascii="Arial" w:hAnsi="Arial" w:cs="Arial"/>
          <w:sz w:val="20"/>
          <w:szCs w:val="20"/>
        </w:rPr>
      </w:pPr>
      <w:r w:rsidRPr="00345107">
        <w:rPr>
          <w:rFonts w:ascii="Arial" w:hAnsi="Arial" w:cs="Arial"/>
          <w:sz w:val="20"/>
          <w:szCs w:val="20"/>
        </w:rPr>
        <w:t>collaboration.</w:t>
      </w:r>
    </w:p>
    <w:p w14:paraId="62D6B875" w14:textId="6F9BA056" w:rsidR="00345107" w:rsidRPr="00345107" w:rsidRDefault="00345107" w:rsidP="00345107">
      <w:pPr>
        <w:pStyle w:val="NormalWeb"/>
        <w:numPr>
          <w:ilvl w:val="0"/>
          <w:numId w:val="21"/>
        </w:numPr>
        <w:contextualSpacing/>
        <w:jc w:val="both"/>
        <w:rPr>
          <w:rFonts w:ascii="Arial" w:hAnsi="Arial" w:cs="Arial"/>
          <w:sz w:val="20"/>
          <w:szCs w:val="20"/>
        </w:rPr>
      </w:pPr>
      <w:r w:rsidRPr="00345107">
        <w:rPr>
          <w:rFonts w:ascii="Arial" w:hAnsi="Arial" w:cs="Arial"/>
          <w:sz w:val="20"/>
          <w:szCs w:val="20"/>
        </w:rPr>
        <w:lastRenderedPageBreak/>
        <w:t>To determine the significant difference in the level of employer feedback when grouped according to:</w:t>
      </w:r>
    </w:p>
    <w:p w14:paraId="626F5577" w14:textId="77777777" w:rsidR="00345107" w:rsidRPr="00345107" w:rsidRDefault="00345107" w:rsidP="00345107">
      <w:pPr>
        <w:pStyle w:val="NormalWeb"/>
        <w:numPr>
          <w:ilvl w:val="1"/>
          <w:numId w:val="23"/>
        </w:numPr>
        <w:contextualSpacing/>
        <w:jc w:val="both"/>
        <w:rPr>
          <w:rFonts w:ascii="Arial" w:hAnsi="Arial" w:cs="Arial"/>
          <w:sz w:val="20"/>
          <w:szCs w:val="20"/>
        </w:rPr>
      </w:pPr>
      <w:r w:rsidRPr="00345107">
        <w:rPr>
          <w:rFonts w:ascii="Arial" w:hAnsi="Arial" w:cs="Arial"/>
          <w:sz w:val="20"/>
          <w:szCs w:val="20"/>
        </w:rPr>
        <w:t>age;</w:t>
      </w:r>
    </w:p>
    <w:p w14:paraId="642EA4D3" w14:textId="77777777" w:rsidR="00345107" w:rsidRPr="00345107" w:rsidRDefault="00345107" w:rsidP="00345107">
      <w:pPr>
        <w:pStyle w:val="NormalWeb"/>
        <w:numPr>
          <w:ilvl w:val="1"/>
          <w:numId w:val="23"/>
        </w:numPr>
        <w:contextualSpacing/>
        <w:jc w:val="both"/>
        <w:rPr>
          <w:rFonts w:ascii="Arial" w:hAnsi="Arial" w:cs="Arial"/>
          <w:sz w:val="20"/>
          <w:szCs w:val="20"/>
        </w:rPr>
      </w:pPr>
      <w:r w:rsidRPr="00345107">
        <w:rPr>
          <w:rFonts w:ascii="Arial" w:hAnsi="Arial" w:cs="Arial"/>
          <w:sz w:val="20"/>
          <w:szCs w:val="20"/>
        </w:rPr>
        <w:t>gender;</w:t>
      </w:r>
    </w:p>
    <w:p w14:paraId="6C761063" w14:textId="77777777" w:rsidR="00345107" w:rsidRPr="00345107" w:rsidRDefault="00345107" w:rsidP="00345107">
      <w:pPr>
        <w:pStyle w:val="NormalWeb"/>
        <w:numPr>
          <w:ilvl w:val="1"/>
          <w:numId w:val="23"/>
        </w:numPr>
        <w:contextualSpacing/>
        <w:jc w:val="both"/>
        <w:rPr>
          <w:rFonts w:ascii="Arial" w:hAnsi="Arial" w:cs="Arial"/>
          <w:sz w:val="20"/>
          <w:szCs w:val="20"/>
        </w:rPr>
      </w:pPr>
      <w:r w:rsidRPr="00345107">
        <w:rPr>
          <w:rFonts w:ascii="Arial" w:hAnsi="Arial" w:cs="Arial"/>
          <w:sz w:val="20"/>
          <w:szCs w:val="20"/>
        </w:rPr>
        <w:t xml:space="preserve">position; </w:t>
      </w:r>
    </w:p>
    <w:p w14:paraId="0880B320" w14:textId="60F758FC" w:rsidR="000B1D44" w:rsidRPr="00345107" w:rsidRDefault="00345107" w:rsidP="00345107">
      <w:pPr>
        <w:pStyle w:val="NormalWeb"/>
        <w:numPr>
          <w:ilvl w:val="1"/>
          <w:numId w:val="23"/>
        </w:numPr>
        <w:contextualSpacing/>
        <w:jc w:val="both"/>
        <w:rPr>
          <w:rFonts w:ascii="Arial" w:hAnsi="Arial" w:cs="Arial"/>
          <w:sz w:val="20"/>
          <w:szCs w:val="20"/>
        </w:rPr>
      </w:pPr>
      <w:r w:rsidRPr="00345107">
        <w:rPr>
          <w:rFonts w:ascii="Arial" w:hAnsi="Arial" w:cs="Arial"/>
          <w:sz w:val="20"/>
          <w:szCs w:val="20"/>
        </w:rPr>
        <w:t>years in service and district.</w:t>
      </w:r>
      <w:r w:rsidR="00DA622F" w:rsidRPr="00345107">
        <w:rPr>
          <w:rFonts w:ascii="Arial" w:eastAsia="Arial" w:hAnsi="Arial" w:cs="Arial"/>
          <w:color w:val="000000"/>
          <w:sz w:val="20"/>
          <w:szCs w:val="20"/>
          <w:highlight w:val="white"/>
        </w:rPr>
        <w:t xml:space="preserve"> </w:t>
      </w:r>
    </w:p>
    <w:p w14:paraId="04516650" w14:textId="77777777" w:rsidR="00345107" w:rsidRPr="00345107" w:rsidRDefault="00345107" w:rsidP="00345107">
      <w:pPr>
        <w:pStyle w:val="NormalWeb"/>
        <w:ind w:left="1440"/>
        <w:contextualSpacing/>
        <w:jc w:val="both"/>
        <w:rPr>
          <w:rFonts w:ascii="Arial" w:hAnsi="Arial" w:cs="Arial"/>
          <w:sz w:val="20"/>
          <w:szCs w:val="20"/>
        </w:rPr>
      </w:pPr>
    </w:p>
    <w:p w14:paraId="4C6485F3" w14:textId="79470C8B" w:rsidR="000B1D44" w:rsidRDefault="009D549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w:t>
      </w:r>
      <w:r w:rsidR="00DA622F">
        <w:rPr>
          <w:rFonts w:ascii="Arial" w:eastAsia="Arial" w:hAnsi="Arial" w:cs="Arial"/>
          <w:b/>
          <w:smallCaps/>
          <w:color w:val="000000"/>
          <w:sz w:val="22"/>
          <w:szCs w:val="22"/>
        </w:rPr>
        <w:t xml:space="preserve">. MATERIALS AND METHODS </w:t>
      </w:r>
    </w:p>
    <w:p w14:paraId="4773A56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A9C3582"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Design</w:t>
      </w:r>
    </w:p>
    <w:p w14:paraId="7F8B35D5" w14:textId="3AC71111" w:rsidR="00AB6567" w:rsidRDefault="007C5F1E" w:rsidP="00AB6567">
      <w:pPr>
        <w:pBdr>
          <w:top w:val="nil"/>
          <w:left w:val="nil"/>
          <w:bottom w:val="nil"/>
          <w:right w:val="nil"/>
          <w:between w:val="nil"/>
        </w:pBdr>
        <w:ind w:firstLine="720"/>
        <w:jc w:val="both"/>
        <w:rPr>
          <w:rFonts w:ascii="Arial" w:eastAsia="Arial" w:hAnsi="Arial" w:cs="Arial"/>
          <w:color w:val="000000"/>
          <w:highlight w:val="white"/>
        </w:rPr>
      </w:pPr>
      <w:r w:rsidRPr="007C5F1E">
        <w:rPr>
          <w:rFonts w:ascii="Arial" w:eastAsia="Arial" w:hAnsi="Arial" w:cs="Arial"/>
          <w:color w:val="000000"/>
        </w:rPr>
        <w:t>This study used a descriptive research design to systematically gather and analyze employer feedback on BEED graduates’ performance. As a non-experimental method, it aimed to understand workplace perceptions without exploring causal relationships, guiding curriculum and policy improvements.</w:t>
      </w:r>
    </w:p>
    <w:p w14:paraId="3BF1C07A"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Instrument</w:t>
      </w:r>
    </w:p>
    <w:p w14:paraId="03B9A66D" w14:textId="5792D47E" w:rsidR="000B1D44" w:rsidRDefault="007C5F1E" w:rsidP="007C5F1E">
      <w:pPr>
        <w:pBdr>
          <w:top w:val="nil"/>
          <w:left w:val="nil"/>
          <w:bottom w:val="nil"/>
          <w:right w:val="nil"/>
          <w:between w:val="nil"/>
        </w:pBdr>
        <w:ind w:firstLine="720"/>
        <w:jc w:val="both"/>
        <w:rPr>
          <w:rFonts w:ascii="Arial" w:eastAsia="Arial" w:hAnsi="Arial" w:cs="Arial"/>
          <w:color w:val="000000"/>
          <w:highlight w:val="white"/>
        </w:rPr>
      </w:pPr>
      <w:r w:rsidRPr="007C5F1E">
        <w:rPr>
          <w:rFonts w:ascii="Arial" w:eastAsia="Arial" w:hAnsi="Arial" w:cs="Arial"/>
          <w:color w:val="000000"/>
        </w:rPr>
        <w:t xml:space="preserve">This study used a reliable (Cronbach’s alpha = 0.72) survey adapted from </w:t>
      </w:r>
      <w:proofErr w:type="spellStart"/>
      <w:r w:rsidRPr="007C5F1E">
        <w:rPr>
          <w:rFonts w:ascii="Arial" w:eastAsia="Arial" w:hAnsi="Arial" w:cs="Arial"/>
          <w:color w:val="000000"/>
        </w:rPr>
        <w:t>Salendab</w:t>
      </w:r>
      <w:proofErr w:type="spellEnd"/>
      <w:r w:rsidRPr="007C5F1E">
        <w:rPr>
          <w:rFonts w:ascii="Arial" w:eastAsia="Arial" w:hAnsi="Arial" w:cs="Arial"/>
          <w:color w:val="000000"/>
        </w:rPr>
        <w:t xml:space="preserve"> et al. (2023), consisting of two parts: demographic data and employer feedback on BEED graduates across key competencies. Each domain—such as Subject Knowledge, Classroom Management, Assessment, Flexibility, Dependability, Communication, Leadership, Commitment, and Collaboration—had five statements. The survey was administered face-to-face.</w:t>
      </w:r>
    </w:p>
    <w:p w14:paraId="0432477E"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Respondents of the Study</w:t>
      </w:r>
    </w:p>
    <w:p w14:paraId="5DABC4CB" w14:textId="781EA0AB" w:rsidR="000B1D44" w:rsidRDefault="009E31D0" w:rsidP="00345107">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r w:rsidR="00345107" w:rsidRPr="00345107">
        <w:rPr>
          <w:rFonts w:ascii="Arial" w:eastAsia="Arial" w:hAnsi="Arial" w:cs="Arial"/>
          <w:color w:val="000000"/>
        </w:rPr>
        <w:t xml:space="preserve">The respondents in this study were 37 immediate supervisors from public and private basic education, selected through a complete enumeration technique. These respondents were from schools within District 1 of Davao Oriental, specifically in the municipalities of Boston, </w:t>
      </w:r>
      <w:proofErr w:type="spellStart"/>
      <w:r w:rsidR="00345107" w:rsidRPr="00345107">
        <w:rPr>
          <w:rFonts w:ascii="Arial" w:eastAsia="Arial" w:hAnsi="Arial" w:cs="Arial"/>
          <w:color w:val="000000"/>
        </w:rPr>
        <w:t>Cateel</w:t>
      </w:r>
      <w:proofErr w:type="spellEnd"/>
      <w:r w:rsidR="00345107" w:rsidRPr="00345107">
        <w:rPr>
          <w:rFonts w:ascii="Arial" w:eastAsia="Arial" w:hAnsi="Arial" w:cs="Arial"/>
          <w:color w:val="000000"/>
        </w:rPr>
        <w:t xml:space="preserve">, and </w:t>
      </w:r>
      <w:proofErr w:type="spellStart"/>
      <w:r w:rsidR="00345107" w:rsidRPr="00345107">
        <w:rPr>
          <w:rFonts w:ascii="Arial" w:eastAsia="Arial" w:hAnsi="Arial" w:cs="Arial"/>
          <w:color w:val="000000"/>
        </w:rPr>
        <w:t>Baganga</w:t>
      </w:r>
      <w:proofErr w:type="spellEnd"/>
      <w:r w:rsidR="00345107" w:rsidRPr="00345107">
        <w:rPr>
          <w:rFonts w:ascii="Arial" w:eastAsia="Arial" w:hAnsi="Arial" w:cs="Arial"/>
          <w:color w:val="000000"/>
        </w:rPr>
        <w:t xml:space="preserve">, that employ BEED graduates from the Davao Oriental State University </w:t>
      </w:r>
      <w:proofErr w:type="spellStart"/>
      <w:r w:rsidR="00345107" w:rsidRPr="00345107">
        <w:rPr>
          <w:rFonts w:ascii="Arial" w:eastAsia="Arial" w:hAnsi="Arial" w:cs="Arial"/>
          <w:color w:val="000000"/>
        </w:rPr>
        <w:t>Cateel</w:t>
      </w:r>
      <w:proofErr w:type="spellEnd"/>
      <w:r w:rsidR="00345107" w:rsidRPr="00345107">
        <w:rPr>
          <w:rFonts w:ascii="Arial" w:eastAsia="Arial" w:hAnsi="Arial" w:cs="Arial"/>
          <w:color w:val="000000"/>
        </w:rPr>
        <w:t xml:space="preserve"> Campus with at least one year of experience working with them.</w:t>
      </w:r>
    </w:p>
    <w:p w14:paraId="391423B8" w14:textId="77777777" w:rsidR="007B5D8D" w:rsidRDefault="007B5D8D" w:rsidP="007B5D8D">
      <w:pPr>
        <w:pBdr>
          <w:top w:val="nil"/>
          <w:left w:val="nil"/>
          <w:bottom w:val="nil"/>
          <w:right w:val="nil"/>
          <w:between w:val="nil"/>
        </w:pBdr>
        <w:jc w:val="both"/>
        <w:rPr>
          <w:rFonts w:ascii="Arial" w:eastAsia="Arial" w:hAnsi="Arial" w:cs="Arial"/>
          <w:b/>
          <w:color w:val="000000"/>
          <w:highlight w:val="white"/>
        </w:rPr>
      </w:pPr>
    </w:p>
    <w:p w14:paraId="7DD83F17" w14:textId="025116B7" w:rsidR="000B1D44" w:rsidRPr="007B5D8D"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Data Gathering</w:t>
      </w:r>
    </w:p>
    <w:p w14:paraId="235CFE8A" w14:textId="5C51295F" w:rsidR="007B5D8D" w:rsidRPr="007B5D8D" w:rsidRDefault="00345107" w:rsidP="007B5D8D">
      <w:pPr>
        <w:keepNext/>
        <w:pBdr>
          <w:top w:val="nil"/>
          <w:left w:val="nil"/>
          <w:bottom w:val="nil"/>
          <w:right w:val="nil"/>
          <w:between w:val="nil"/>
        </w:pBdr>
        <w:jc w:val="both"/>
        <w:rPr>
          <w:rFonts w:ascii="Arial" w:eastAsia="Arial" w:hAnsi="Arial" w:cs="Arial"/>
          <w:color w:val="000000"/>
        </w:rPr>
      </w:pPr>
      <w:r w:rsidRPr="00345107">
        <w:rPr>
          <w:rFonts w:ascii="Arial" w:eastAsia="Arial" w:hAnsi="Arial" w:cs="Arial"/>
          <w:color w:val="000000"/>
        </w:rPr>
        <w:t>The researchers followed the following procedures in conducting the research:</w:t>
      </w:r>
    </w:p>
    <w:p w14:paraId="58A08279" w14:textId="77777777" w:rsidR="00345107" w:rsidRPr="00345107" w:rsidRDefault="00345107" w:rsidP="00345107">
      <w:pPr>
        <w:pStyle w:val="ListParagraph"/>
        <w:keepNext/>
        <w:numPr>
          <w:ilvl w:val="0"/>
          <w:numId w:val="6"/>
        </w:numPr>
        <w:pBdr>
          <w:top w:val="nil"/>
          <w:left w:val="nil"/>
          <w:bottom w:val="nil"/>
          <w:right w:val="nil"/>
          <w:between w:val="nil"/>
        </w:pBdr>
        <w:jc w:val="both"/>
        <w:rPr>
          <w:rFonts w:ascii="Arial" w:eastAsia="Arial" w:hAnsi="Arial" w:cs="Arial"/>
          <w:b/>
          <w:color w:val="000000"/>
        </w:rPr>
      </w:pPr>
      <w:r w:rsidRPr="00345107">
        <w:rPr>
          <w:rFonts w:ascii="Arial" w:eastAsia="Arial" w:hAnsi="Arial" w:cs="Arial"/>
          <w:b/>
          <w:color w:val="000000"/>
        </w:rPr>
        <w:t xml:space="preserve">Obtaining Research Ethics Clearance: </w:t>
      </w:r>
      <w:r w:rsidRPr="00345107">
        <w:rPr>
          <w:rFonts w:ascii="Arial" w:eastAsia="Arial" w:hAnsi="Arial" w:cs="Arial"/>
          <w:bCs/>
          <w:color w:val="000000"/>
        </w:rPr>
        <w:t>The researcher obtained ethical clearance from the University Research Ethics Board (UREB) prior to commencing the study. They submitted the full research proposal, observation checklist, informed consent forms, curriculum vitae, and a list of potential risks and mitigation strategies for approval.</w:t>
      </w:r>
    </w:p>
    <w:p w14:paraId="20BA44A2" w14:textId="77777777" w:rsidR="00345107" w:rsidRPr="00345107" w:rsidRDefault="00345107" w:rsidP="00345107">
      <w:pPr>
        <w:pStyle w:val="ListParagraph"/>
        <w:keepNext/>
        <w:numPr>
          <w:ilvl w:val="0"/>
          <w:numId w:val="6"/>
        </w:numPr>
        <w:pBdr>
          <w:top w:val="nil"/>
          <w:left w:val="nil"/>
          <w:bottom w:val="nil"/>
          <w:right w:val="nil"/>
          <w:between w:val="nil"/>
        </w:pBdr>
        <w:jc w:val="both"/>
        <w:rPr>
          <w:rFonts w:ascii="Arial" w:eastAsia="Arial" w:hAnsi="Arial" w:cs="Arial"/>
          <w:b/>
          <w:color w:val="000000"/>
        </w:rPr>
      </w:pPr>
      <w:r w:rsidRPr="00345107">
        <w:rPr>
          <w:rFonts w:ascii="Arial" w:eastAsia="Arial" w:hAnsi="Arial" w:cs="Arial"/>
          <w:b/>
          <w:color w:val="000000"/>
        </w:rPr>
        <w:t xml:space="preserve">Identifying Number of Respondents: </w:t>
      </w:r>
      <w:r w:rsidRPr="00345107">
        <w:rPr>
          <w:rFonts w:ascii="Arial" w:eastAsia="Arial" w:hAnsi="Arial" w:cs="Arial"/>
          <w:bCs/>
          <w:color w:val="000000"/>
        </w:rPr>
        <w:t>A letter was submitted to the Public Schools District Supervisor (PSDS) requesting assistance in identifying BEED graduates employed in the district. Following this, the researchers visited the respective schools where these graduates were assigned in order to identify and reach out to their immediate supervisors.</w:t>
      </w:r>
    </w:p>
    <w:p w14:paraId="24E7CB2D" w14:textId="77777777" w:rsidR="00345107" w:rsidRPr="00345107" w:rsidRDefault="00345107" w:rsidP="00345107">
      <w:pPr>
        <w:pStyle w:val="ListParagraph"/>
        <w:keepNext/>
        <w:numPr>
          <w:ilvl w:val="0"/>
          <w:numId w:val="6"/>
        </w:numPr>
        <w:pBdr>
          <w:top w:val="nil"/>
          <w:left w:val="nil"/>
          <w:bottom w:val="nil"/>
          <w:right w:val="nil"/>
          <w:between w:val="nil"/>
        </w:pBdr>
        <w:jc w:val="both"/>
        <w:rPr>
          <w:rFonts w:ascii="Arial" w:eastAsia="Arial" w:hAnsi="Arial" w:cs="Arial"/>
          <w:bCs/>
          <w:color w:val="000000"/>
        </w:rPr>
      </w:pPr>
      <w:r w:rsidRPr="00345107">
        <w:rPr>
          <w:rFonts w:ascii="Arial" w:eastAsia="Arial" w:hAnsi="Arial" w:cs="Arial"/>
          <w:b/>
          <w:color w:val="000000"/>
        </w:rPr>
        <w:t xml:space="preserve">Requesting Permission: </w:t>
      </w:r>
      <w:r w:rsidRPr="00345107">
        <w:rPr>
          <w:rFonts w:ascii="Arial" w:eastAsia="Arial" w:hAnsi="Arial" w:cs="Arial"/>
          <w:bCs/>
          <w:color w:val="000000"/>
        </w:rPr>
        <w:t>A letter was sent to each district requesting permission to survey their area. Once the letter was received and the district expressed willingness to participate, the survey was initiated.</w:t>
      </w:r>
    </w:p>
    <w:p w14:paraId="29E2EA4B" w14:textId="6B6A4C65" w:rsidR="007B5D8D" w:rsidRPr="00345107" w:rsidRDefault="00345107" w:rsidP="00345107">
      <w:pPr>
        <w:pStyle w:val="ListParagraph"/>
        <w:keepNext/>
        <w:numPr>
          <w:ilvl w:val="0"/>
          <w:numId w:val="6"/>
        </w:numPr>
        <w:pBdr>
          <w:top w:val="nil"/>
          <w:left w:val="nil"/>
          <w:bottom w:val="nil"/>
          <w:right w:val="nil"/>
          <w:between w:val="nil"/>
        </w:pBdr>
        <w:jc w:val="both"/>
        <w:rPr>
          <w:rFonts w:ascii="Arial" w:eastAsia="Arial" w:hAnsi="Arial" w:cs="Arial"/>
          <w:bCs/>
          <w:color w:val="000000"/>
        </w:rPr>
      </w:pPr>
      <w:r w:rsidRPr="00345107">
        <w:rPr>
          <w:rFonts w:ascii="Arial" w:eastAsia="Arial" w:hAnsi="Arial" w:cs="Arial"/>
          <w:b/>
          <w:color w:val="000000"/>
        </w:rPr>
        <w:t xml:space="preserve">Distributing Survey Questionnaire and Informed Consent Form: </w:t>
      </w:r>
      <w:r w:rsidRPr="00345107">
        <w:rPr>
          <w:rFonts w:ascii="Arial" w:eastAsia="Arial" w:hAnsi="Arial" w:cs="Arial"/>
          <w:bCs/>
          <w:color w:val="000000"/>
        </w:rPr>
        <w:t>Permission was requested from each respondent to participate in the research. An overview of the study was provided, along with an informed consent form, to ensure that respondents understood that their participation was voluntary. The questionnaire was distributed and collected either at school or at the respondent's home, depending on what was most convenient for them, particularly for those assigned to far-flung areas.</w:t>
      </w:r>
    </w:p>
    <w:p w14:paraId="0547A280" w14:textId="4F6E97F7" w:rsidR="007B5D8D" w:rsidRDefault="007B5D8D" w:rsidP="007B5D8D">
      <w:pPr>
        <w:keepNext/>
        <w:pBdr>
          <w:top w:val="nil"/>
          <w:left w:val="nil"/>
          <w:bottom w:val="nil"/>
          <w:right w:val="nil"/>
          <w:between w:val="nil"/>
        </w:pBdr>
        <w:jc w:val="both"/>
        <w:rPr>
          <w:rFonts w:ascii="Arial" w:eastAsia="Arial" w:hAnsi="Arial" w:cs="Arial"/>
          <w:color w:val="000000"/>
        </w:rPr>
      </w:pPr>
    </w:p>
    <w:p w14:paraId="7B0B58A8" w14:textId="77777777" w:rsidR="007B5D8D" w:rsidRDefault="007B5D8D" w:rsidP="007B5D8D">
      <w:pPr>
        <w:keepNext/>
        <w:pBdr>
          <w:top w:val="nil"/>
          <w:left w:val="nil"/>
          <w:bottom w:val="nil"/>
          <w:right w:val="nil"/>
          <w:between w:val="nil"/>
        </w:pBdr>
        <w:jc w:val="both"/>
        <w:rPr>
          <w:rFonts w:ascii="Arial" w:eastAsia="Arial" w:hAnsi="Arial" w:cs="Arial"/>
          <w:b/>
          <w:smallCaps/>
          <w:color w:val="000000"/>
          <w:sz w:val="22"/>
          <w:szCs w:val="22"/>
        </w:rPr>
      </w:pPr>
    </w:p>
    <w:p w14:paraId="7DF68475" w14:textId="6BF8D865" w:rsidR="000B1D44" w:rsidRDefault="009D5498"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5</w:t>
      </w:r>
      <w:r w:rsidR="00C16C0C">
        <w:rPr>
          <w:rFonts w:ascii="Arial" w:eastAsia="Arial" w:hAnsi="Arial" w:cs="Arial"/>
          <w:b/>
          <w:smallCaps/>
          <w:color w:val="000000"/>
          <w:sz w:val="22"/>
          <w:szCs w:val="22"/>
        </w:rPr>
        <w:t xml:space="preserve">. RESULTS AND DISCUSSION </w:t>
      </w:r>
    </w:p>
    <w:p w14:paraId="7544670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993CF36" w14:textId="77777777" w:rsidR="007C5F1E" w:rsidRDefault="007C5F1E" w:rsidP="007C5F1E">
      <w:pPr>
        <w:spacing w:before="100" w:beforeAutospacing="1" w:after="100" w:afterAutospacing="1"/>
        <w:ind w:firstLine="720"/>
        <w:jc w:val="both"/>
        <w:rPr>
          <w:rFonts w:ascii="Arial" w:eastAsiaTheme="minorEastAsia" w:hAnsi="Arial" w:cs="Arial"/>
          <w:color w:val="000000" w:themeColor="text1"/>
          <w:lang w:eastAsia="zh-CN"/>
        </w:rPr>
      </w:pPr>
      <w:r w:rsidRPr="007C5F1E">
        <w:rPr>
          <w:rFonts w:ascii="Arial" w:eastAsiaTheme="minorEastAsia" w:hAnsi="Arial" w:cs="Arial"/>
          <w:color w:val="000000" w:themeColor="text1"/>
          <w:lang w:eastAsia="zh-CN"/>
        </w:rPr>
        <w:lastRenderedPageBreak/>
        <w:t xml:space="preserve">This chapter presents results and discussion based on the study’s specific problems. Thirty-seven supervisors from public and private schools in District 1, Davao Oriental, participated through complete enumeration. Ethical protocols were followed, with approved consent and coordination from district supervisors. Questionnaires adapted from </w:t>
      </w:r>
      <w:proofErr w:type="spellStart"/>
      <w:r w:rsidRPr="007C5F1E">
        <w:rPr>
          <w:rFonts w:ascii="Arial" w:eastAsiaTheme="minorEastAsia" w:hAnsi="Arial" w:cs="Arial"/>
          <w:color w:val="000000" w:themeColor="text1"/>
          <w:lang w:eastAsia="zh-CN"/>
        </w:rPr>
        <w:t>Salendab</w:t>
      </w:r>
      <w:proofErr w:type="spellEnd"/>
      <w:r w:rsidRPr="007C5F1E">
        <w:rPr>
          <w:rFonts w:ascii="Arial" w:eastAsiaTheme="minorEastAsia" w:hAnsi="Arial" w:cs="Arial"/>
          <w:color w:val="000000" w:themeColor="text1"/>
          <w:lang w:eastAsia="zh-CN"/>
        </w:rPr>
        <w:t xml:space="preserve"> et al. (2023) were distributed with consent forms to accessible locations.</w:t>
      </w:r>
    </w:p>
    <w:p w14:paraId="73323C52" w14:textId="301BE7AE" w:rsidR="005F1BEC" w:rsidRPr="005F1BEC" w:rsidRDefault="005F1BEC" w:rsidP="005F1BEC">
      <w:pPr>
        <w:spacing w:before="100" w:beforeAutospacing="1" w:after="100" w:afterAutospacing="1"/>
        <w:jc w:val="both"/>
        <w:rPr>
          <w:rFonts w:ascii="Arial" w:eastAsia="Times New Roman" w:hAnsi="Arial" w:cs="Arial"/>
          <w:b/>
        </w:rPr>
      </w:pPr>
      <w:r w:rsidRPr="005F1BEC">
        <w:rPr>
          <w:rFonts w:ascii="Arial" w:eastAsia="Times New Roman" w:hAnsi="Arial" w:cs="Arial"/>
          <w:b/>
        </w:rPr>
        <w:t>Profile of the Respondents</w:t>
      </w:r>
    </w:p>
    <w:p w14:paraId="6940F864" w14:textId="4AB9A0EA" w:rsidR="005F1BEC" w:rsidRPr="005F1BEC" w:rsidRDefault="005F1BEC" w:rsidP="005F1BEC">
      <w:pPr>
        <w:spacing w:before="100" w:beforeAutospacing="1" w:after="100" w:afterAutospacing="1"/>
        <w:ind w:firstLine="720"/>
        <w:jc w:val="both"/>
        <w:rPr>
          <w:rFonts w:ascii="Arial" w:eastAsia="Times New Roman" w:hAnsi="Arial" w:cs="Arial"/>
        </w:rPr>
      </w:pPr>
      <w:r w:rsidRPr="005F1BEC">
        <w:rPr>
          <w:rFonts w:ascii="Arial" w:eastAsia="Times New Roman" w:hAnsi="Arial" w:cs="Arial"/>
        </w:rPr>
        <w:t xml:space="preserve">Table </w:t>
      </w:r>
      <w:r w:rsidR="001E0372">
        <w:rPr>
          <w:rFonts w:ascii="Arial" w:eastAsia="Times New Roman" w:hAnsi="Arial" w:cs="Arial"/>
        </w:rPr>
        <w:t>1</w:t>
      </w:r>
      <w:r w:rsidRPr="005F1BEC">
        <w:rPr>
          <w:rFonts w:ascii="Arial" w:eastAsia="Times New Roman" w:hAnsi="Arial" w:cs="Arial"/>
        </w:rPr>
        <w:t xml:space="preserve"> presents the age profile of the respondents. A substantial portion of the respondents (67.57%) falls within the 41 to 60 age </w:t>
      </w:r>
      <w:proofErr w:type="gramStart"/>
      <w:r w:rsidRPr="005F1BEC">
        <w:rPr>
          <w:rFonts w:ascii="Arial" w:eastAsia="Times New Roman" w:hAnsi="Arial" w:cs="Arial"/>
        </w:rPr>
        <w:t>bracket</w:t>
      </w:r>
      <w:proofErr w:type="gramEnd"/>
      <w:r w:rsidRPr="005F1BEC">
        <w:rPr>
          <w:rFonts w:ascii="Arial" w:eastAsia="Times New Roman" w:hAnsi="Arial" w:cs="Arial"/>
        </w:rPr>
        <w:t>, indicating that the majority of feedback was derived from older educators</w:t>
      </w:r>
    </w:p>
    <w:p w14:paraId="7C861607" w14:textId="77777777" w:rsidR="005F1BEC" w:rsidRPr="005F1BEC" w:rsidRDefault="005F1BEC" w:rsidP="005F1BEC">
      <w:pPr>
        <w:spacing w:before="100" w:beforeAutospacing="1" w:after="100" w:afterAutospacing="1"/>
        <w:jc w:val="both"/>
        <w:rPr>
          <w:rFonts w:ascii="Arial" w:eastAsia="Times New Roman" w:hAnsi="Arial" w:cs="Arial"/>
        </w:rPr>
      </w:pPr>
      <w:r w:rsidRPr="005F1BEC">
        <w:rPr>
          <w:rFonts w:ascii="Arial" w:eastAsia="Times New Roman" w:hAnsi="Arial" w:cs="Arial"/>
        </w:rPr>
        <w:t>with considerable professional experience. Only 10.81% of the respondents belonged to the age groups 34 years old and below, 35 to 40 years old, and 61 years old and above.</w:t>
      </w:r>
    </w:p>
    <w:p w14:paraId="3F07F47E" w14:textId="36328A7A" w:rsidR="005F1BEC" w:rsidRPr="005F1BEC" w:rsidRDefault="005F1BEC" w:rsidP="005F1BEC">
      <w:pPr>
        <w:jc w:val="both"/>
        <w:outlineLvl w:val="2"/>
        <w:rPr>
          <w:rFonts w:ascii="Arial" w:eastAsia="Times New Roman" w:hAnsi="Arial" w:cs="Arial"/>
          <w:bCs/>
          <w:i/>
        </w:rPr>
      </w:pPr>
      <w:r w:rsidRPr="005F1BEC">
        <w:rPr>
          <w:rFonts w:ascii="Arial" w:eastAsia="Times New Roman" w:hAnsi="Arial" w:cs="Arial"/>
        </w:rPr>
        <w:t xml:space="preserve">Table </w:t>
      </w:r>
      <w:r w:rsidR="001E0372">
        <w:rPr>
          <w:rFonts w:ascii="Arial" w:eastAsia="Times New Roman" w:hAnsi="Arial" w:cs="Arial"/>
        </w:rPr>
        <w:t>1</w:t>
      </w:r>
      <w:r w:rsidRPr="005F1BEC">
        <w:rPr>
          <w:rFonts w:ascii="Arial" w:eastAsia="Times New Roman" w:hAnsi="Arial" w:cs="Arial"/>
        </w:rPr>
        <w:t>.</w:t>
      </w:r>
      <w:r w:rsidRPr="005F1BEC">
        <w:rPr>
          <w:rFonts w:ascii="Arial" w:eastAsia="Times New Roman" w:hAnsi="Arial" w:cs="Arial"/>
          <w:b/>
          <w:bCs/>
        </w:rPr>
        <w:t xml:space="preserve"> </w:t>
      </w:r>
      <w:r w:rsidRPr="005F1BEC">
        <w:rPr>
          <w:rFonts w:ascii="Arial" w:eastAsia="Times New Roman" w:hAnsi="Arial" w:cs="Arial"/>
          <w:bCs/>
          <w:iCs/>
        </w:rPr>
        <w:t>Demographic profile of the respondents in terms of age</w:t>
      </w:r>
    </w:p>
    <w:tbl>
      <w:tblPr>
        <w:tblW w:w="8460" w:type="dxa"/>
        <w:jc w:val="center"/>
        <w:tblLayout w:type="fixed"/>
        <w:tblLook w:val="04A0" w:firstRow="1" w:lastRow="0" w:firstColumn="1" w:lastColumn="0" w:noHBand="0" w:noVBand="1"/>
      </w:tblPr>
      <w:tblGrid>
        <w:gridCol w:w="2790"/>
        <w:gridCol w:w="2790"/>
        <w:gridCol w:w="2880"/>
      </w:tblGrid>
      <w:tr w:rsidR="005F1BEC" w:rsidRPr="005F1BEC" w14:paraId="4796B172" w14:textId="77777777" w:rsidTr="0037632B">
        <w:trPr>
          <w:trHeight w:val="272"/>
          <w:jc w:val="center"/>
        </w:trPr>
        <w:tc>
          <w:tcPr>
            <w:tcW w:w="2790" w:type="dxa"/>
            <w:tcBorders>
              <w:top w:val="single" w:sz="4" w:space="0" w:color="auto"/>
              <w:left w:val="nil"/>
              <w:bottom w:val="single" w:sz="4" w:space="0" w:color="auto"/>
              <w:right w:val="nil"/>
            </w:tcBorders>
            <w:vAlign w:val="center"/>
          </w:tcPr>
          <w:p w14:paraId="2F3B599F"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rPr>
              <w:t>Age Bracket</w:t>
            </w:r>
          </w:p>
        </w:tc>
        <w:tc>
          <w:tcPr>
            <w:tcW w:w="2790" w:type="dxa"/>
            <w:tcBorders>
              <w:top w:val="single" w:sz="4" w:space="0" w:color="auto"/>
              <w:left w:val="nil"/>
              <w:bottom w:val="single" w:sz="4" w:space="0" w:color="auto"/>
              <w:right w:val="nil"/>
            </w:tcBorders>
            <w:vAlign w:val="center"/>
          </w:tcPr>
          <w:p w14:paraId="12E9E60E"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rPr>
              <w:t>Frequency</w:t>
            </w:r>
          </w:p>
        </w:tc>
        <w:tc>
          <w:tcPr>
            <w:tcW w:w="2880" w:type="dxa"/>
            <w:tcBorders>
              <w:top w:val="single" w:sz="4" w:space="0" w:color="auto"/>
              <w:left w:val="nil"/>
              <w:bottom w:val="single" w:sz="4" w:space="0" w:color="auto"/>
              <w:right w:val="nil"/>
            </w:tcBorders>
            <w:vAlign w:val="center"/>
          </w:tcPr>
          <w:p w14:paraId="322B70E4"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rPr>
              <w:t>Percent</w:t>
            </w:r>
          </w:p>
        </w:tc>
      </w:tr>
      <w:tr w:rsidR="005F1BEC" w:rsidRPr="005F1BEC" w14:paraId="0AF02E42" w14:textId="77777777" w:rsidTr="0037632B">
        <w:trPr>
          <w:trHeight w:val="272"/>
          <w:jc w:val="center"/>
        </w:trPr>
        <w:tc>
          <w:tcPr>
            <w:tcW w:w="2790" w:type="dxa"/>
            <w:tcBorders>
              <w:top w:val="single" w:sz="4" w:space="0" w:color="auto"/>
              <w:left w:val="nil"/>
              <w:bottom w:val="single" w:sz="4" w:space="0" w:color="auto"/>
              <w:right w:val="nil"/>
            </w:tcBorders>
            <w:vAlign w:val="center"/>
          </w:tcPr>
          <w:p w14:paraId="7B223B5A" w14:textId="77777777" w:rsidR="005F1BEC" w:rsidRPr="005F1BEC" w:rsidRDefault="005F1BEC" w:rsidP="005F1BEC">
            <w:pPr>
              <w:rPr>
                <w:rFonts w:ascii="Arial" w:eastAsia="Times New Roman" w:hAnsi="Arial" w:cs="Arial"/>
                <w:color w:val="000000"/>
              </w:rPr>
            </w:pPr>
            <w:r w:rsidRPr="005F1BEC">
              <w:rPr>
                <w:rFonts w:ascii="Arial" w:eastAsia="Times New Roman" w:hAnsi="Arial" w:cs="Arial"/>
                <w:color w:val="000000"/>
              </w:rPr>
              <w:t>34 years old and below</w:t>
            </w:r>
          </w:p>
        </w:tc>
        <w:tc>
          <w:tcPr>
            <w:tcW w:w="2790" w:type="dxa"/>
            <w:tcBorders>
              <w:top w:val="single" w:sz="4" w:space="0" w:color="auto"/>
              <w:left w:val="nil"/>
              <w:bottom w:val="single" w:sz="4" w:space="0" w:color="auto"/>
              <w:right w:val="nil"/>
            </w:tcBorders>
            <w:noWrap/>
            <w:vAlign w:val="center"/>
          </w:tcPr>
          <w:p w14:paraId="6B4BDCD6"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rPr>
              <w:t>4</w:t>
            </w:r>
          </w:p>
        </w:tc>
        <w:tc>
          <w:tcPr>
            <w:tcW w:w="2880" w:type="dxa"/>
            <w:tcBorders>
              <w:top w:val="single" w:sz="4" w:space="0" w:color="auto"/>
              <w:left w:val="nil"/>
              <w:bottom w:val="single" w:sz="4" w:space="0" w:color="auto"/>
              <w:right w:val="nil"/>
            </w:tcBorders>
            <w:noWrap/>
            <w:vAlign w:val="center"/>
          </w:tcPr>
          <w:p w14:paraId="5863E25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rPr>
              <w:t>10.81</w:t>
            </w:r>
          </w:p>
        </w:tc>
      </w:tr>
      <w:tr w:rsidR="005F1BEC" w:rsidRPr="005F1BEC" w14:paraId="20886FD8" w14:textId="77777777" w:rsidTr="0037632B">
        <w:trPr>
          <w:trHeight w:val="272"/>
          <w:jc w:val="center"/>
        </w:trPr>
        <w:tc>
          <w:tcPr>
            <w:tcW w:w="2790" w:type="dxa"/>
            <w:tcBorders>
              <w:top w:val="single" w:sz="4" w:space="0" w:color="auto"/>
              <w:left w:val="nil"/>
              <w:bottom w:val="single" w:sz="4" w:space="0" w:color="auto"/>
              <w:right w:val="nil"/>
            </w:tcBorders>
            <w:vAlign w:val="center"/>
          </w:tcPr>
          <w:p w14:paraId="3B2B41FD" w14:textId="77777777" w:rsidR="005F1BEC" w:rsidRPr="005F1BEC" w:rsidRDefault="005F1BEC" w:rsidP="005F1BEC">
            <w:pPr>
              <w:rPr>
                <w:rFonts w:ascii="Arial" w:eastAsia="Times New Roman" w:hAnsi="Arial" w:cs="Arial"/>
                <w:color w:val="000000"/>
              </w:rPr>
            </w:pPr>
            <w:r w:rsidRPr="005F1BEC">
              <w:rPr>
                <w:rFonts w:ascii="Arial" w:eastAsia="Times New Roman" w:hAnsi="Arial" w:cs="Arial"/>
                <w:color w:val="000000"/>
              </w:rPr>
              <w:t>35 to 40 years old</w:t>
            </w:r>
          </w:p>
        </w:tc>
        <w:tc>
          <w:tcPr>
            <w:tcW w:w="2790" w:type="dxa"/>
            <w:tcBorders>
              <w:top w:val="single" w:sz="4" w:space="0" w:color="auto"/>
              <w:left w:val="nil"/>
              <w:bottom w:val="single" w:sz="4" w:space="0" w:color="auto"/>
              <w:right w:val="nil"/>
            </w:tcBorders>
            <w:noWrap/>
            <w:vAlign w:val="center"/>
          </w:tcPr>
          <w:p w14:paraId="058F609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rPr>
              <w:t>4</w:t>
            </w:r>
          </w:p>
        </w:tc>
        <w:tc>
          <w:tcPr>
            <w:tcW w:w="2880" w:type="dxa"/>
            <w:tcBorders>
              <w:top w:val="single" w:sz="4" w:space="0" w:color="auto"/>
              <w:left w:val="nil"/>
              <w:bottom w:val="single" w:sz="4" w:space="0" w:color="auto"/>
              <w:right w:val="nil"/>
            </w:tcBorders>
            <w:noWrap/>
            <w:vAlign w:val="center"/>
          </w:tcPr>
          <w:p w14:paraId="6879B7A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rPr>
              <w:t>10.81</w:t>
            </w:r>
          </w:p>
        </w:tc>
      </w:tr>
      <w:tr w:rsidR="005F1BEC" w:rsidRPr="005F1BEC" w14:paraId="0305FAB1" w14:textId="77777777" w:rsidTr="0037632B">
        <w:trPr>
          <w:trHeight w:val="272"/>
          <w:jc w:val="center"/>
        </w:trPr>
        <w:tc>
          <w:tcPr>
            <w:tcW w:w="2790" w:type="dxa"/>
            <w:tcBorders>
              <w:top w:val="single" w:sz="4" w:space="0" w:color="auto"/>
              <w:left w:val="nil"/>
              <w:bottom w:val="single" w:sz="4" w:space="0" w:color="auto"/>
              <w:right w:val="nil"/>
            </w:tcBorders>
            <w:vAlign w:val="center"/>
          </w:tcPr>
          <w:p w14:paraId="2D377EF2" w14:textId="77777777" w:rsidR="005F1BEC" w:rsidRPr="005F1BEC" w:rsidRDefault="005F1BEC" w:rsidP="005F1BEC">
            <w:pPr>
              <w:rPr>
                <w:rFonts w:ascii="Arial" w:eastAsia="Times New Roman" w:hAnsi="Arial" w:cs="Arial"/>
                <w:color w:val="000000"/>
              </w:rPr>
            </w:pPr>
            <w:r w:rsidRPr="005F1BEC">
              <w:rPr>
                <w:rFonts w:ascii="Arial" w:eastAsia="Times New Roman" w:hAnsi="Arial" w:cs="Arial"/>
                <w:color w:val="000000"/>
              </w:rPr>
              <w:t>41 to 60 years old</w:t>
            </w:r>
          </w:p>
        </w:tc>
        <w:tc>
          <w:tcPr>
            <w:tcW w:w="2790" w:type="dxa"/>
            <w:tcBorders>
              <w:top w:val="single" w:sz="4" w:space="0" w:color="auto"/>
              <w:left w:val="nil"/>
              <w:bottom w:val="single" w:sz="4" w:space="0" w:color="auto"/>
              <w:right w:val="nil"/>
            </w:tcBorders>
            <w:noWrap/>
            <w:vAlign w:val="center"/>
          </w:tcPr>
          <w:p w14:paraId="450DDCB6"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rPr>
              <w:t>25</w:t>
            </w:r>
          </w:p>
        </w:tc>
        <w:tc>
          <w:tcPr>
            <w:tcW w:w="2880" w:type="dxa"/>
            <w:tcBorders>
              <w:top w:val="single" w:sz="4" w:space="0" w:color="auto"/>
              <w:left w:val="nil"/>
              <w:bottom w:val="single" w:sz="4" w:space="0" w:color="auto"/>
              <w:right w:val="nil"/>
            </w:tcBorders>
            <w:noWrap/>
            <w:vAlign w:val="center"/>
          </w:tcPr>
          <w:p w14:paraId="3FD900F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rPr>
              <w:t>67.57</w:t>
            </w:r>
          </w:p>
        </w:tc>
      </w:tr>
      <w:tr w:rsidR="005F1BEC" w:rsidRPr="005F1BEC" w14:paraId="2453FFE0" w14:textId="77777777" w:rsidTr="0037632B">
        <w:trPr>
          <w:trHeight w:val="291"/>
          <w:jc w:val="center"/>
        </w:trPr>
        <w:tc>
          <w:tcPr>
            <w:tcW w:w="2790" w:type="dxa"/>
            <w:tcBorders>
              <w:top w:val="single" w:sz="4" w:space="0" w:color="auto"/>
              <w:left w:val="nil"/>
              <w:bottom w:val="single" w:sz="4" w:space="0" w:color="auto"/>
              <w:right w:val="nil"/>
            </w:tcBorders>
            <w:vAlign w:val="center"/>
          </w:tcPr>
          <w:p w14:paraId="176F0350" w14:textId="77777777" w:rsidR="005F1BEC" w:rsidRPr="005F1BEC" w:rsidRDefault="005F1BEC" w:rsidP="005F1BEC">
            <w:pPr>
              <w:rPr>
                <w:rFonts w:ascii="Arial" w:eastAsia="Times New Roman" w:hAnsi="Arial" w:cs="Arial"/>
                <w:color w:val="000000"/>
              </w:rPr>
            </w:pPr>
            <w:r w:rsidRPr="005F1BEC">
              <w:rPr>
                <w:rFonts w:ascii="Arial" w:eastAsia="Times New Roman" w:hAnsi="Arial" w:cs="Arial"/>
                <w:color w:val="000000"/>
              </w:rPr>
              <w:t>61 years old and above</w:t>
            </w:r>
          </w:p>
        </w:tc>
        <w:tc>
          <w:tcPr>
            <w:tcW w:w="2790" w:type="dxa"/>
            <w:tcBorders>
              <w:top w:val="single" w:sz="4" w:space="0" w:color="auto"/>
              <w:left w:val="nil"/>
              <w:bottom w:val="single" w:sz="4" w:space="0" w:color="auto"/>
              <w:right w:val="nil"/>
            </w:tcBorders>
            <w:noWrap/>
            <w:vAlign w:val="center"/>
          </w:tcPr>
          <w:p w14:paraId="18DED19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rPr>
              <w:t>4</w:t>
            </w:r>
          </w:p>
        </w:tc>
        <w:tc>
          <w:tcPr>
            <w:tcW w:w="2880" w:type="dxa"/>
            <w:tcBorders>
              <w:top w:val="single" w:sz="4" w:space="0" w:color="auto"/>
              <w:left w:val="nil"/>
              <w:bottom w:val="single" w:sz="4" w:space="0" w:color="auto"/>
              <w:right w:val="nil"/>
            </w:tcBorders>
            <w:noWrap/>
            <w:vAlign w:val="center"/>
          </w:tcPr>
          <w:p w14:paraId="371B107B"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rPr>
              <w:t>10.81</w:t>
            </w:r>
          </w:p>
        </w:tc>
      </w:tr>
      <w:tr w:rsidR="005F1BEC" w:rsidRPr="005F1BEC" w14:paraId="7DE575B1" w14:textId="77777777" w:rsidTr="0037632B">
        <w:trPr>
          <w:trHeight w:val="287"/>
          <w:jc w:val="center"/>
        </w:trPr>
        <w:tc>
          <w:tcPr>
            <w:tcW w:w="2790" w:type="dxa"/>
            <w:tcBorders>
              <w:top w:val="single" w:sz="4" w:space="0" w:color="auto"/>
              <w:left w:val="nil"/>
              <w:bottom w:val="single" w:sz="4" w:space="0" w:color="auto"/>
              <w:right w:val="nil"/>
            </w:tcBorders>
            <w:vAlign w:val="center"/>
          </w:tcPr>
          <w:p w14:paraId="458BE8E6"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rPr>
              <w:t>Total</w:t>
            </w:r>
          </w:p>
        </w:tc>
        <w:tc>
          <w:tcPr>
            <w:tcW w:w="2790" w:type="dxa"/>
            <w:tcBorders>
              <w:top w:val="single" w:sz="4" w:space="0" w:color="auto"/>
              <w:left w:val="nil"/>
              <w:bottom w:val="single" w:sz="4" w:space="0" w:color="auto"/>
              <w:right w:val="nil"/>
            </w:tcBorders>
            <w:noWrap/>
            <w:vAlign w:val="center"/>
          </w:tcPr>
          <w:p w14:paraId="2372A60F"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rPr>
              <w:t>37</w:t>
            </w:r>
          </w:p>
        </w:tc>
        <w:tc>
          <w:tcPr>
            <w:tcW w:w="2880" w:type="dxa"/>
            <w:tcBorders>
              <w:top w:val="single" w:sz="4" w:space="0" w:color="auto"/>
              <w:left w:val="nil"/>
              <w:bottom w:val="single" w:sz="4" w:space="0" w:color="auto"/>
              <w:right w:val="nil"/>
            </w:tcBorders>
            <w:noWrap/>
            <w:vAlign w:val="center"/>
          </w:tcPr>
          <w:p w14:paraId="00595383"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rPr>
              <w:t>100.00</w:t>
            </w:r>
          </w:p>
        </w:tc>
      </w:tr>
    </w:tbl>
    <w:p w14:paraId="66E114D7" w14:textId="77777777" w:rsidR="005F1BEC" w:rsidRPr="005F1BEC" w:rsidRDefault="005F1BEC" w:rsidP="005F1BEC">
      <w:pPr>
        <w:jc w:val="both"/>
        <w:rPr>
          <w:rFonts w:ascii="Arial" w:eastAsia="Times New Roman" w:hAnsi="Arial" w:cs="Arial"/>
        </w:rPr>
      </w:pPr>
    </w:p>
    <w:p w14:paraId="2C6092A4" w14:textId="5D1D38A1" w:rsidR="007C5F1E" w:rsidRDefault="007C5F1E" w:rsidP="005F1BEC">
      <w:pPr>
        <w:jc w:val="both"/>
        <w:rPr>
          <w:rFonts w:ascii="Arial" w:eastAsia="Times New Roman" w:hAnsi="Arial" w:cs="Arial"/>
        </w:rPr>
      </w:pPr>
      <w:r w:rsidRPr="007C5F1E">
        <w:rPr>
          <w:rFonts w:ascii="Arial" w:eastAsia="Times New Roman" w:hAnsi="Arial" w:cs="Arial"/>
        </w:rPr>
        <w:t xml:space="preserve">This finding supports studies (Myung et al., 2016; McCray et al., 2017; </w:t>
      </w:r>
      <w:proofErr w:type="spellStart"/>
      <w:r w:rsidRPr="007C5F1E">
        <w:rPr>
          <w:rFonts w:ascii="Arial" w:eastAsia="Times New Roman" w:hAnsi="Arial" w:cs="Arial"/>
        </w:rPr>
        <w:t>Béteille</w:t>
      </w:r>
      <w:proofErr w:type="spellEnd"/>
      <w:r w:rsidRPr="007C5F1E">
        <w:rPr>
          <w:rFonts w:ascii="Arial" w:eastAsia="Times New Roman" w:hAnsi="Arial" w:cs="Arial"/>
        </w:rPr>
        <w:t xml:space="preserve"> et al., 2019) showing that educators aged 41–60 often hold leadership roles due to experience and competence. Table </w:t>
      </w:r>
      <w:r w:rsidR="001E0372">
        <w:rPr>
          <w:rFonts w:ascii="Arial" w:eastAsia="Times New Roman" w:hAnsi="Arial" w:cs="Arial"/>
        </w:rPr>
        <w:t>2</w:t>
      </w:r>
      <w:r w:rsidRPr="007C5F1E">
        <w:rPr>
          <w:rFonts w:ascii="Arial" w:eastAsia="Times New Roman" w:hAnsi="Arial" w:cs="Arial"/>
        </w:rPr>
        <w:t xml:space="preserve"> also shows that 59.46% of respondents are female, reflecting the gender trend in the teaching profession.</w:t>
      </w:r>
    </w:p>
    <w:p w14:paraId="4FE7C21C" w14:textId="6940AFA0" w:rsidR="005F1BEC" w:rsidRPr="005F1BEC" w:rsidRDefault="005F1BEC" w:rsidP="005F1BEC">
      <w:pPr>
        <w:jc w:val="both"/>
        <w:rPr>
          <w:rFonts w:ascii="Arial" w:eastAsia="Times New Roman" w:hAnsi="Arial" w:cs="Arial"/>
        </w:rPr>
      </w:pPr>
      <w:r w:rsidRPr="005F1BEC">
        <w:rPr>
          <w:rFonts w:ascii="Arial" w:eastAsia="Times New Roman" w:hAnsi="Arial" w:cs="Arial"/>
          <w:lang w:bidi="ar"/>
        </w:rPr>
        <w:t xml:space="preserve">Table </w:t>
      </w:r>
      <w:r w:rsidR="001E0372">
        <w:rPr>
          <w:rFonts w:ascii="Arial" w:eastAsia="Times New Roman" w:hAnsi="Arial" w:cs="Arial"/>
          <w:lang w:bidi="ar"/>
        </w:rPr>
        <w:t>2</w:t>
      </w:r>
      <w:r w:rsidRPr="005F1BEC">
        <w:rPr>
          <w:rFonts w:ascii="Arial" w:eastAsia="Times New Roman" w:hAnsi="Arial" w:cs="Arial"/>
          <w:lang w:bidi="ar"/>
        </w:rPr>
        <w:t>. Demographic profile of the respondents in terms of gender</w:t>
      </w:r>
    </w:p>
    <w:tbl>
      <w:tblPr>
        <w:tblW w:w="8450" w:type="dxa"/>
        <w:tblInd w:w="107" w:type="dxa"/>
        <w:tblLook w:val="04A0" w:firstRow="1" w:lastRow="0" w:firstColumn="1" w:lastColumn="0" w:noHBand="0" w:noVBand="1"/>
      </w:tblPr>
      <w:tblGrid>
        <w:gridCol w:w="4730"/>
        <w:gridCol w:w="2081"/>
        <w:gridCol w:w="1639"/>
      </w:tblGrid>
      <w:tr w:rsidR="005F1BEC" w:rsidRPr="005F1BEC" w14:paraId="20C1B41D" w14:textId="77777777" w:rsidTr="0037632B">
        <w:trPr>
          <w:trHeight w:val="90"/>
        </w:trPr>
        <w:tc>
          <w:tcPr>
            <w:tcW w:w="4730" w:type="dxa"/>
            <w:tcBorders>
              <w:top w:val="single" w:sz="4" w:space="0" w:color="auto"/>
              <w:left w:val="nil"/>
              <w:bottom w:val="single" w:sz="4" w:space="0" w:color="auto"/>
              <w:right w:val="nil"/>
            </w:tcBorders>
            <w:vAlign w:val="center"/>
          </w:tcPr>
          <w:p w14:paraId="090E8CD5"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Gender</w:t>
            </w:r>
          </w:p>
        </w:tc>
        <w:tc>
          <w:tcPr>
            <w:tcW w:w="2081" w:type="dxa"/>
            <w:tcBorders>
              <w:top w:val="single" w:sz="4" w:space="0" w:color="auto"/>
              <w:left w:val="nil"/>
              <w:bottom w:val="single" w:sz="4" w:space="0" w:color="auto"/>
              <w:right w:val="nil"/>
            </w:tcBorders>
            <w:vAlign w:val="center"/>
          </w:tcPr>
          <w:p w14:paraId="0E3D86FF"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Frequency</w:t>
            </w:r>
          </w:p>
        </w:tc>
        <w:tc>
          <w:tcPr>
            <w:tcW w:w="1639" w:type="dxa"/>
            <w:tcBorders>
              <w:top w:val="single" w:sz="4" w:space="0" w:color="auto"/>
              <w:left w:val="nil"/>
              <w:bottom w:val="single" w:sz="4" w:space="0" w:color="auto"/>
              <w:right w:val="nil"/>
            </w:tcBorders>
            <w:vAlign w:val="center"/>
          </w:tcPr>
          <w:p w14:paraId="6970A047"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Percent</w:t>
            </w:r>
          </w:p>
        </w:tc>
      </w:tr>
      <w:tr w:rsidR="005F1BEC" w:rsidRPr="005F1BEC" w14:paraId="3E8E90A8" w14:textId="77777777" w:rsidTr="0037632B">
        <w:trPr>
          <w:trHeight w:val="256"/>
        </w:trPr>
        <w:tc>
          <w:tcPr>
            <w:tcW w:w="4730" w:type="dxa"/>
            <w:tcBorders>
              <w:top w:val="single" w:sz="4" w:space="0" w:color="auto"/>
              <w:left w:val="nil"/>
              <w:bottom w:val="single" w:sz="4" w:space="0" w:color="auto"/>
              <w:right w:val="nil"/>
            </w:tcBorders>
            <w:vAlign w:val="center"/>
          </w:tcPr>
          <w:p w14:paraId="42277AB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Female</w:t>
            </w:r>
          </w:p>
        </w:tc>
        <w:tc>
          <w:tcPr>
            <w:tcW w:w="2081" w:type="dxa"/>
            <w:tcBorders>
              <w:top w:val="single" w:sz="4" w:space="0" w:color="auto"/>
              <w:left w:val="nil"/>
              <w:bottom w:val="single" w:sz="4" w:space="0" w:color="auto"/>
              <w:right w:val="nil"/>
            </w:tcBorders>
            <w:noWrap/>
            <w:vAlign w:val="center"/>
          </w:tcPr>
          <w:p w14:paraId="7F9C024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22</w:t>
            </w:r>
          </w:p>
        </w:tc>
        <w:tc>
          <w:tcPr>
            <w:tcW w:w="1639" w:type="dxa"/>
            <w:tcBorders>
              <w:top w:val="single" w:sz="4" w:space="0" w:color="auto"/>
              <w:left w:val="nil"/>
              <w:bottom w:val="single" w:sz="4" w:space="0" w:color="auto"/>
              <w:right w:val="nil"/>
            </w:tcBorders>
            <w:noWrap/>
            <w:vAlign w:val="center"/>
          </w:tcPr>
          <w:p w14:paraId="1F0FDC9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59.46</w:t>
            </w:r>
          </w:p>
        </w:tc>
      </w:tr>
      <w:tr w:rsidR="005F1BEC" w:rsidRPr="005F1BEC" w14:paraId="5D01C286" w14:textId="77777777" w:rsidTr="0037632B">
        <w:trPr>
          <w:trHeight w:val="256"/>
        </w:trPr>
        <w:tc>
          <w:tcPr>
            <w:tcW w:w="4730" w:type="dxa"/>
            <w:tcBorders>
              <w:top w:val="single" w:sz="4" w:space="0" w:color="auto"/>
              <w:left w:val="nil"/>
              <w:bottom w:val="single" w:sz="4" w:space="0" w:color="auto"/>
              <w:right w:val="nil"/>
            </w:tcBorders>
            <w:vAlign w:val="center"/>
          </w:tcPr>
          <w:p w14:paraId="7E5043E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Male</w:t>
            </w:r>
          </w:p>
        </w:tc>
        <w:tc>
          <w:tcPr>
            <w:tcW w:w="2081" w:type="dxa"/>
            <w:tcBorders>
              <w:top w:val="single" w:sz="4" w:space="0" w:color="auto"/>
              <w:left w:val="nil"/>
              <w:bottom w:val="single" w:sz="4" w:space="0" w:color="auto"/>
              <w:right w:val="nil"/>
            </w:tcBorders>
            <w:noWrap/>
            <w:vAlign w:val="center"/>
          </w:tcPr>
          <w:p w14:paraId="684A3B67"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15</w:t>
            </w:r>
          </w:p>
        </w:tc>
        <w:tc>
          <w:tcPr>
            <w:tcW w:w="1639" w:type="dxa"/>
            <w:tcBorders>
              <w:top w:val="single" w:sz="4" w:space="0" w:color="auto"/>
              <w:left w:val="nil"/>
              <w:bottom w:val="single" w:sz="4" w:space="0" w:color="auto"/>
              <w:right w:val="nil"/>
            </w:tcBorders>
            <w:noWrap/>
            <w:vAlign w:val="center"/>
          </w:tcPr>
          <w:p w14:paraId="02D5BEB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40.54</w:t>
            </w:r>
          </w:p>
        </w:tc>
      </w:tr>
      <w:tr w:rsidR="005F1BEC" w:rsidRPr="005F1BEC" w14:paraId="002F787F" w14:textId="77777777" w:rsidTr="0037632B">
        <w:trPr>
          <w:trHeight w:val="256"/>
        </w:trPr>
        <w:tc>
          <w:tcPr>
            <w:tcW w:w="4730" w:type="dxa"/>
            <w:tcBorders>
              <w:top w:val="single" w:sz="4" w:space="0" w:color="auto"/>
              <w:left w:val="nil"/>
              <w:bottom w:val="single" w:sz="4" w:space="0" w:color="auto"/>
              <w:right w:val="nil"/>
            </w:tcBorders>
            <w:vAlign w:val="center"/>
          </w:tcPr>
          <w:p w14:paraId="2790854C"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Total</w:t>
            </w:r>
          </w:p>
        </w:tc>
        <w:tc>
          <w:tcPr>
            <w:tcW w:w="2081" w:type="dxa"/>
            <w:tcBorders>
              <w:top w:val="single" w:sz="4" w:space="0" w:color="auto"/>
              <w:left w:val="nil"/>
              <w:bottom w:val="single" w:sz="4" w:space="0" w:color="auto"/>
              <w:right w:val="nil"/>
            </w:tcBorders>
            <w:noWrap/>
            <w:vAlign w:val="center"/>
          </w:tcPr>
          <w:p w14:paraId="6E566D54"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37</w:t>
            </w:r>
          </w:p>
        </w:tc>
        <w:tc>
          <w:tcPr>
            <w:tcW w:w="1639" w:type="dxa"/>
            <w:tcBorders>
              <w:top w:val="single" w:sz="4" w:space="0" w:color="auto"/>
              <w:left w:val="nil"/>
              <w:bottom w:val="single" w:sz="4" w:space="0" w:color="auto"/>
              <w:right w:val="nil"/>
            </w:tcBorders>
            <w:noWrap/>
            <w:vAlign w:val="center"/>
          </w:tcPr>
          <w:p w14:paraId="04AD1C9D"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100.00</w:t>
            </w:r>
          </w:p>
        </w:tc>
      </w:tr>
    </w:tbl>
    <w:p w14:paraId="19787390" w14:textId="352A8FF1" w:rsidR="0037632B" w:rsidRDefault="007C5F1E" w:rsidP="0037632B">
      <w:pPr>
        <w:jc w:val="both"/>
        <w:rPr>
          <w:rFonts w:ascii="Arial" w:eastAsia="Times New Roman" w:hAnsi="Arial" w:cs="Arial"/>
        </w:rPr>
      </w:pPr>
      <w:r w:rsidRPr="007C5F1E">
        <w:rPr>
          <w:rFonts w:ascii="Arial" w:eastAsia="Times New Roman" w:hAnsi="Arial" w:cs="Arial"/>
        </w:rPr>
        <w:t>This reflects national trends where women dominate the teaching profession, especially in basic education (PCW, 2022). Studies by Fox et al. (2015) and Ahmad et al. (2020) also highlight the rise of female leadership, reinforcing the strong presence of women in both instructional and leadership roles.</w:t>
      </w:r>
    </w:p>
    <w:p w14:paraId="3CE0EF8F" w14:textId="77777777" w:rsidR="007C5F1E" w:rsidRPr="0037632B" w:rsidRDefault="007C5F1E" w:rsidP="0037632B">
      <w:pPr>
        <w:jc w:val="both"/>
        <w:rPr>
          <w:rFonts w:ascii="Arial" w:eastAsia="Times New Roman" w:hAnsi="Arial" w:cs="Arial"/>
        </w:rPr>
      </w:pPr>
    </w:p>
    <w:p w14:paraId="6C178460" w14:textId="19C0D538" w:rsidR="005F1BEC" w:rsidRDefault="0037632B" w:rsidP="0037632B">
      <w:pPr>
        <w:jc w:val="both"/>
        <w:rPr>
          <w:rFonts w:ascii="Arial" w:eastAsia="Times New Roman" w:hAnsi="Arial" w:cs="Arial"/>
        </w:rPr>
      </w:pPr>
      <w:r w:rsidRPr="0037632B">
        <w:rPr>
          <w:rFonts w:ascii="Arial" w:eastAsia="Times New Roman" w:hAnsi="Arial" w:cs="Arial"/>
        </w:rPr>
        <w:t xml:space="preserve">Table </w:t>
      </w:r>
      <w:r w:rsidR="001E0372">
        <w:rPr>
          <w:rFonts w:ascii="Arial" w:eastAsia="Times New Roman" w:hAnsi="Arial" w:cs="Arial"/>
        </w:rPr>
        <w:t>3</w:t>
      </w:r>
      <w:r w:rsidRPr="0037632B">
        <w:rPr>
          <w:rFonts w:ascii="Arial" w:eastAsia="Times New Roman" w:hAnsi="Arial" w:cs="Arial"/>
        </w:rPr>
        <w:t xml:space="preserve"> shows that the respondents included school principals (37.84%), head teachers (32.43%), and school heads or officers-in-charge (29.73%). This distribution confirms that the feedback came from individuals in supervisory and leadership positions, thus lending credibility to the performance evaluations, as they are directly involved in assessing and guiding teacher performance within their institutions.</w:t>
      </w:r>
    </w:p>
    <w:p w14:paraId="7D52FC90" w14:textId="05EF3E82" w:rsidR="001E0372" w:rsidRDefault="001E0372" w:rsidP="0037632B">
      <w:pPr>
        <w:jc w:val="both"/>
        <w:rPr>
          <w:rFonts w:ascii="Arial" w:eastAsia="Times New Roman" w:hAnsi="Arial" w:cs="Arial"/>
        </w:rPr>
      </w:pPr>
      <w:proofErr w:type="gramStart"/>
      <w:r>
        <w:rPr>
          <w:rFonts w:ascii="Arial" w:eastAsia="Times New Roman" w:hAnsi="Arial" w:cs="Arial"/>
        </w:rPr>
        <w:t>Table  3</w:t>
      </w:r>
      <w:proofErr w:type="gramEnd"/>
      <w:r>
        <w:rPr>
          <w:rFonts w:ascii="Arial" w:eastAsia="Times New Roman" w:hAnsi="Arial" w:cs="Arial"/>
        </w:rPr>
        <w:t>-</w:t>
      </w:r>
      <w:r w:rsidR="009B4418">
        <w:rPr>
          <w:rFonts w:ascii="Arial" w:eastAsia="Times New Roman" w:hAnsi="Arial" w:cs="Arial"/>
        </w:rPr>
        <w:t xml:space="preserve"> </w:t>
      </w:r>
      <w:r w:rsidR="009B4418" w:rsidRPr="009B4418">
        <w:rPr>
          <w:rFonts w:ascii="Arial" w:eastAsia="Times New Roman" w:hAnsi="Arial" w:cs="Arial"/>
        </w:rPr>
        <w:t xml:space="preserve">Demographic profile of the respondents in terms of </w:t>
      </w:r>
      <w:r w:rsidR="009B4418">
        <w:rPr>
          <w:rFonts w:ascii="Arial" w:eastAsia="Times New Roman" w:hAnsi="Arial" w:cs="Arial"/>
        </w:rPr>
        <w:t>Position</w:t>
      </w:r>
    </w:p>
    <w:p w14:paraId="67A5E4D5" w14:textId="77777777" w:rsidR="0037632B" w:rsidRPr="005F1BEC" w:rsidRDefault="0037632B" w:rsidP="0037632B">
      <w:pPr>
        <w:jc w:val="both"/>
        <w:rPr>
          <w:rFonts w:ascii="Arial" w:eastAsia="Times New Roman" w:hAnsi="Arial" w:cs="Arial"/>
          <w:b/>
          <w:bCs/>
        </w:rPr>
      </w:pPr>
    </w:p>
    <w:tbl>
      <w:tblPr>
        <w:tblStyle w:val="TableGridLight1"/>
        <w:tblW w:w="8614" w:type="dxa"/>
        <w:jc w:val="center"/>
        <w:tblInd w:w="0" w:type="dxa"/>
        <w:tblLook w:val="04A0" w:firstRow="1" w:lastRow="0" w:firstColumn="1" w:lastColumn="0" w:noHBand="0" w:noVBand="1"/>
      </w:tblPr>
      <w:tblGrid>
        <w:gridCol w:w="4530"/>
        <w:gridCol w:w="2026"/>
        <w:gridCol w:w="2058"/>
      </w:tblGrid>
      <w:tr w:rsidR="005F1BEC" w:rsidRPr="005F1BEC" w14:paraId="0B3A361D" w14:textId="77777777" w:rsidTr="001E0372">
        <w:trPr>
          <w:trHeight w:val="318"/>
          <w:jc w:val="center"/>
        </w:trPr>
        <w:tc>
          <w:tcPr>
            <w:tcW w:w="4530" w:type="dxa"/>
            <w:tcBorders>
              <w:top w:val="single" w:sz="4" w:space="0" w:color="auto"/>
              <w:left w:val="nil"/>
              <w:bottom w:val="single" w:sz="4" w:space="0" w:color="auto"/>
              <w:right w:val="nil"/>
            </w:tcBorders>
          </w:tcPr>
          <w:p w14:paraId="5D3E34D5" w14:textId="77777777" w:rsidR="005F1BEC" w:rsidRPr="005F1BEC" w:rsidRDefault="005F1BEC" w:rsidP="005F1BEC">
            <w:pPr>
              <w:jc w:val="center"/>
              <w:rPr>
                <w:rFonts w:ascii="Arial" w:eastAsia="Times New Roman" w:hAnsi="Arial" w:cs="Arial" w:hint="default"/>
                <w:bCs/>
              </w:rPr>
            </w:pPr>
            <w:r w:rsidRPr="005F1BEC">
              <w:rPr>
                <w:rFonts w:ascii="Arial" w:eastAsia="Times New Roman" w:hAnsi="Arial" w:cs="Arial" w:hint="default"/>
                <w:bCs/>
                <w:lang w:bidi="ar"/>
              </w:rPr>
              <w:t>Position</w:t>
            </w:r>
          </w:p>
        </w:tc>
        <w:tc>
          <w:tcPr>
            <w:tcW w:w="2026" w:type="dxa"/>
            <w:tcBorders>
              <w:top w:val="single" w:sz="4" w:space="0" w:color="auto"/>
              <w:left w:val="nil"/>
              <w:bottom w:val="single" w:sz="4" w:space="0" w:color="auto"/>
              <w:right w:val="nil"/>
            </w:tcBorders>
          </w:tcPr>
          <w:p w14:paraId="367DC731" w14:textId="77777777" w:rsidR="005F1BEC" w:rsidRPr="005F1BEC" w:rsidRDefault="005F1BEC" w:rsidP="005F1BEC">
            <w:pPr>
              <w:jc w:val="center"/>
              <w:rPr>
                <w:rFonts w:ascii="Arial" w:eastAsia="Times New Roman" w:hAnsi="Arial" w:cs="Arial" w:hint="default"/>
                <w:bCs/>
              </w:rPr>
            </w:pPr>
            <w:r w:rsidRPr="005F1BEC">
              <w:rPr>
                <w:rFonts w:ascii="Arial" w:eastAsia="Times New Roman" w:hAnsi="Arial" w:cs="Arial" w:hint="default"/>
                <w:bCs/>
                <w:lang w:bidi="ar"/>
              </w:rPr>
              <w:t>Frequency</w:t>
            </w:r>
          </w:p>
        </w:tc>
        <w:tc>
          <w:tcPr>
            <w:tcW w:w="2058" w:type="dxa"/>
            <w:tcBorders>
              <w:top w:val="single" w:sz="4" w:space="0" w:color="auto"/>
              <w:left w:val="nil"/>
              <w:bottom w:val="single" w:sz="4" w:space="0" w:color="auto"/>
              <w:right w:val="nil"/>
            </w:tcBorders>
          </w:tcPr>
          <w:p w14:paraId="124F674A" w14:textId="77777777" w:rsidR="005F1BEC" w:rsidRPr="005F1BEC" w:rsidRDefault="005F1BEC" w:rsidP="005F1BEC">
            <w:pPr>
              <w:jc w:val="center"/>
              <w:rPr>
                <w:rFonts w:ascii="Arial" w:eastAsia="Times New Roman" w:hAnsi="Arial" w:cs="Arial" w:hint="default"/>
                <w:bCs/>
              </w:rPr>
            </w:pPr>
            <w:r w:rsidRPr="005F1BEC">
              <w:rPr>
                <w:rFonts w:ascii="Arial" w:eastAsia="Times New Roman" w:hAnsi="Arial" w:cs="Arial" w:hint="default"/>
                <w:bCs/>
                <w:lang w:bidi="ar"/>
              </w:rPr>
              <w:t>Percent</w:t>
            </w:r>
          </w:p>
        </w:tc>
      </w:tr>
      <w:tr w:rsidR="005F1BEC" w:rsidRPr="005F1BEC" w14:paraId="721A4C7F" w14:textId="77777777" w:rsidTr="001E0372">
        <w:trPr>
          <w:trHeight w:val="318"/>
          <w:jc w:val="center"/>
        </w:trPr>
        <w:tc>
          <w:tcPr>
            <w:tcW w:w="4530" w:type="dxa"/>
            <w:tcBorders>
              <w:top w:val="single" w:sz="4" w:space="0" w:color="auto"/>
              <w:left w:val="nil"/>
              <w:bottom w:val="single" w:sz="4" w:space="0" w:color="auto"/>
              <w:right w:val="nil"/>
            </w:tcBorders>
          </w:tcPr>
          <w:p w14:paraId="533A9ACD" w14:textId="77777777" w:rsidR="005F1BEC" w:rsidRPr="005F1BEC" w:rsidRDefault="005F1BEC" w:rsidP="005F1BEC">
            <w:pPr>
              <w:jc w:val="both"/>
              <w:rPr>
                <w:rFonts w:ascii="Arial" w:eastAsia="Times New Roman" w:hAnsi="Arial" w:cs="Arial" w:hint="default"/>
              </w:rPr>
            </w:pPr>
            <w:r w:rsidRPr="005F1BEC">
              <w:rPr>
                <w:rFonts w:ascii="Arial" w:eastAsia="Times New Roman" w:hAnsi="Arial" w:cs="Arial" w:hint="default"/>
                <w:lang w:bidi="ar"/>
              </w:rPr>
              <w:t>School In-charge/Head</w:t>
            </w:r>
          </w:p>
        </w:tc>
        <w:tc>
          <w:tcPr>
            <w:tcW w:w="2026" w:type="dxa"/>
            <w:tcBorders>
              <w:top w:val="single" w:sz="4" w:space="0" w:color="auto"/>
              <w:left w:val="nil"/>
              <w:bottom w:val="single" w:sz="4" w:space="0" w:color="auto"/>
              <w:right w:val="nil"/>
            </w:tcBorders>
            <w:noWrap/>
          </w:tcPr>
          <w:p w14:paraId="0A518105" w14:textId="77777777" w:rsidR="005F1BEC" w:rsidRPr="005F1BEC" w:rsidRDefault="005F1BEC" w:rsidP="005F1BEC">
            <w:pPr>
              <w:jc w:val="center"/>
              <w:rPr>
                <w:rFonts w:ascii="Arial" w:eastAsia="Times New Roman" w:hAnsi="Arial" w:cs="Arial" w:hint="default"/>
              </w:rPr>
            </w:pPr>
            <w:r w:rsidRPr="005F1BEC">
              <w:rPr>
                <w:rFonts w:ascii="Arial" w:eastAsia="Times New Roman" w:hAnsi="Arial" w:cs="Arial" w:hint="default"/>
                <w:lang w:bidi="ar"/>
              </w:rPr>
              <w:t>11</w:t>
            </w:r>
          </w:p>
        </w:tc>
        <w:tc>
          <w:tcPr>
            <w:tcW w:w="2058" w:type="dxa"/>
            <w:tcBorders>
              <w:top w:val="single" w:sz="4" w:space="0" w:color="auto"/>
              <w:left w:val="nil"/>
              <w:bottom w:val="single" w:sz="4" w:space="0" w:color="auto"/>
              <w:right w:val="nil"/>
            </w:tcBorders>
            <w:noWrap/>
          </w:tcPr>
          <w:p w14:paraId="73CF486C" w14:textId="77777777" w:rsidR="005F1BEC" w:rsidRPr="005F1BEC" w:rsidRDefault="005F1BEC" w:rsidP="005F1BEC">
            <w:pPr>
              <w:jc w:val="center"/>
              <w:rPr>
                <w:rFonts w:ascii="Arial" w:eastAsia="Times New Roman" w:hAnsi="Arial" w:cs="Arial" w:hint="default"/>
              </w:rPr>
            </w:pPr>
            <w:r w:rsidRPr="005F1BEC">
              <w:rPr>
                <w:rFonts w:ascii="Arial" w:eastAsia="Times New Roman" w:hAnsi="Arial" w:cs="Arial" w:hint="default"/>
                <w:lang w:bidi="ar"/>
              </w:rPr>
              <w:t>29.73</w:t>
            </w:r>
          </w:p>
        </w:tc>
      </w:tr>
      <w:tr w:rsidR="005F1BEC" w:rsidRPr="005F1BEC" w14:paraId="30DE873A" w14:textId="77777777" w:rsidTr="001E0372">
        <w:trPr>
          <w:trHeight w:val="318"/>
          <w:jc w:val="center"/>
        </w:trPr>
        <w:tc>
          <w:tcPr>
            <w:tcW w:w="4530" w:type="dxa"/>
            <w:tcBorders>
              <w:top w:val="single" w:sz="4" w:space="0" w:color="auto"/>
              <w:left w:val="nil"/>
              <w:bottom w:val="single" w:sz="4" w:space="0" w:color="auto"/>
              <w:right w:val="nil"/>
            </w:tcBorders>
          </w:tcPr>
          <w:p w14:paraId="75F58850" w14:textId="77777777" w:rsidR="005F1BEC" w:rsidRPr="005F1BEC" w:rsidRDefault="005F1BEC" w:rsidP="005F1BEC">
            <w:pPr>
              <w:jc w:val="both"/>
              <w:rPr>
                <w:rFonts w:ascii="Arial" w:eastAsia="Times New Roman" w:hAnsi="Arial" w:cs="Arial" w:hint="default"/>
              </w:rPr>
            </w:pPr>
            <w:r w:rsidRPr="005F1BEC">
              <w:rPr>
                <w:rFonts w:ascii="Arial" w:eastAsia="Times New Roman" w:hAnsi="Arial" w:cs="Arial" w:hint="default"/>
                <w:lang w:bidi="ar"/>
              </w:rPr>
              <w:t>Head Teacher</w:t>
            </w:r>
          </w:p>
        </w:tc>
        <w:tc>
          <w:tcPr>
            <w:tcW w:w="2026" w:type="dxa"/>
            <w:tcBorders>
              <w:top w:val="single" w:sz="4" w:space="0" w:color="auto"/>
              <w:left w:val="nil"/>
              <w:bottom w:val="single" w:sz="4" w:space="0" w:color="auto"/>
              <w:right w:val="nil"/>
            </w:tcBorders>
            <w:noWrap/>
          </w:tcPr>
          <w:p w14:paraId="677B5FB8" w14:textId="77777777" w:rsidR="005F1BEC" w:rsidRPr="005F1BEC" w:rsidRDefault="005F1BEC" w:rsidP="005F1BEC">
            <w:pPr>
              <w:jc w:val="center"/>
              <w:rPr>
                <w:rFonts w:ascii="Arial" w:eastAsia="Times New Roman" w:hAnsi="Arial" w:cs="Arial" w:hint="default"/>
              </w:rPr>
            </w:pPr>
            <w:r w:rsidRPr="005F1BEC">
              <w:rPr>
                <w:rFonts w:ascii="Arial" w:eastAsia="Times New Roman" w:hAnsi="Arial" w:cs="Arial" w:hint="default"/>
                <w:lang w:bidi="ar"/>
              </w:rPr>
              <w:t>12</w:t>
            </w:r>
          </w:p>
        </w:tc>
        <w:tc>
          <w:tcPr>
            <w:tcW w:w="2058" w:type="dxa"/>
            <w:tcBorders>
              <w:top w:val="single" w:sz="4" w:space="0" w:color="auto"/>
              <w:left w:val="nil"/>
              <w:bottom w:val="single" w:sz="4" w:space="0" w:color="auto"/>
              <w:right w:val="nil"/>
            </w:tcBorders>
            <w:noWrap/>
          </w:tcPr>
          <w:p w14:paraId="0313FD06" w14:textId="77777777" w:rsidR="005F1BEC" w:rsidRPr="005F1BEC" w:rsidRDefault="005F1BEC" w:rsidP="005F1BEC">
            <w:pPr>
              <w:jc w:val="center"/>
              <w:rPr>
                <w:rFonts w:ascii="Arial" w:eastAsia="Times New Roman" w:hAnsi="Arial" w:cs="Arial" w:hint="default"/>
              </w:rPr>
            </w:pPr>
            <w:r w:rsidRPr="005F1BEC">
              <w:rPr>
                <w:rFonts w:ascii="Arial" w:eastAsia="Times New Roman" w:hAnsi="Arial" w:cs="Arial" w:hint="default"/>
                <w:lang w:bidi="ar"/>
              </w:rPr>
              <w:t>32.43</w:t>
            </w:r>
          </w:p>
        </w:tc>
      </w:tr>
      <w:tr w:rsidR="005F1BEC" w:rsidRPr="005F1BEC" w14:paraId="4852DFCC" w14:textId="77777777" w:rsidTr="001E0372">
        <w:trPr>
          <w:trHeight w:val="318"/>
          <w:jc w:val="center"/>
        </w:trPr>
        <w:tc>
          <w:tcPr>
            <w:tcW w:w="4530" w:type="dxa"/>
            <w:tcBorders>
              <w:top w:val="single" w:sz="4" w:space="0" w:color="auto"/>
              <w:left w:val="nil"/>
              <w:bottom w:val="single" w:sz="4" w:space="0" w:color="auto"/>
              <w:right w:val="nil"/>
            </w:tcBorders>
          </w:tcPr>
          <w:p w14:paraId="63F690D1" w14:textId="77777777" w:rsidR="005F1BEC" w:rsidRPr="005F1BEC" w:rsidRDefault="005F1BEC" w:rsidP="005F1BEC">
            <w:pPr>
              <w:jc w:val="both"/>
              <w:rPr>
                <w:rFonts w:ascii="Arial" w:eastAsia="Times New Roman" w:hAnsi="Arial" w:cs="Arial" w:hint="default"/>
              </w:rPr>
            </w:pPr>
            <w:r w:rsidRPr="005F1BEC">
              <w:rPr>
                <w:rFonts w:ascii="Arial" w:eastAsia="Times New Roman" w:hAnsi="Arial" w:cs="Arial" w:hint="default"/>
                <w:lang w:bidi="ar"/>
              </w:rPr>
              <w:t>School Principal</w:t>
            </w:r>
          </w:p>
        </w:tc>
        <w:tc>
          <w:tcPr>
            <w:tcW w:w="2026" w:type="dxa"/>
            <w:tcBorders>
              <w:top w:val="single" w:sz="4" w:space="0" w:color="auto"/>
              <w:left w:val="nil"/>
              <w:bottom w:val="single" w:sz="4" w:space="0" w:color="auto"/>
              <w:right w:val="nil"/>
            </w:tcBorders>
            <w:noWrap/>
          </w:tcPr>
          <w:p w14:paraId="051E7D1E" w14:textId="77777777" w:rsidR="005F1BEC" w:rsidRPr="005F1BEC" w:rsidRDefault="005F1BEC" w:rsidP="005F1BEC">
            <w:pPr>
              <w:jc w:val="center"/>
              <w:rPr>
                <w:rFonts w:ascii="Arial" w:eastAsia="Times New Roman" w:hAnsi="Arial" w:cs="Arial" w:hint="default"/>
              </w:rPr>
            </w:pPr>
            <w:r w:rsidRPr="005F1BEC">
              <w:rPr>
                <w:rFonts w:ascii="Arial" w:eastAsia="Times New Roman" w:hAnsi="Arial" w:cs="Arial" w:hint="default"/>
                <w:lang w:bidi="ar"/>
              </w:rPr>
              <w:t>14</w:t>
            </w:r>
          </w:p>
        </w:tc>
        <w:tc>
          <w:tcPr>
            <w:tcW w:w="2058" w:type="dxa"/>
            <w:tcBorders>
              <w:top w:val="single" w:sz="4" w:space="0" w:color="auto"/>
              <w:left w:val="nil"/>
              <w:bottom w:val="single" w:sz="4" w:space="0" w:color="auto"/>
              <w:right w:val="nil"/>
            </w:tcBorders>
            <w:noWrap/>
          </w:tcPr>
          <w:p w14:paraId="7DB29D8B" w14:textId="77777777" w:rsidR="005F1BEC" w:rsidRPr="005F1BEC" w:rsidRDefault="005F1BEC" w:rsidP="005F1BEC">
            <w:pPr>
              <w:jc w:val="center"/>
              <w:rPr>
                <w:rFonts w:ascii="Arial" w:eastAsia="Times New Roman" w:hAnsi="Arial" w:cs="Arial" w:hint="default"/>
              </w:rPr>
            </w:pPr>
            <w:r w:rsidRPr="005F1BEC">
              <w:rPr>
                <w:rFonts w:ascii="Arial" w:eastAsia="Times New Roman" w:hAnsi="Arial" w:cs="Arial" w:hint="default"/>
                <w:lang w:bidi="ar"/>
              </w:rPr>
              <w:t>37.84</w:t>
            </w:r>
          </w:p>
        </w:tc>
      </w:tr>
      <w:tr w:rsidR="005F1BEC" w:rsidRPr="005F1BEC" w14:paraId="17F2315F" w14:textId="77777777" w:rsidTr="001E0372">
        <w:trPr>
          <w:trHeight w:val="318"/>
          <w:jc w:val="center"/>
        </w:trPr>
        <w:tc>
          <w:tcPr>
            <w:tcW w:w="4530" w:type="dxa"/>
            <w:tcBorders>
              <w:top w:val="single" w:sz="4" w:space="0" w:color="auto"/>
              <w:left w:val="nil"/>
              <w:bottom w:val="single" w:sz="4" w:space="0" w:color="auto"/>
              <w:right w:val="nil"/>
            </w:tcBorders>
          </w:tcPr>
          <w:p w14:paraId="2E606A28" w14:textId="77777777" w:rsidR="005F1BEC" w:rsidRPr="005F1BEC" w:rsidRDefault="005F1BEC" w:rsidP="005F1BEC">
            <w:pPr>
              <w:jc w:val="center"/>
              <w:rPr>
                <w:rFonts w:ascii="Arial" w:eastAsia="Times New Roman" w:hAnsi="Arial" w:cs="Arial" w:hint="default"/>
                <w:bCs/>
              </w:rPr>
            </w:pPr>
            <w:r w:rsidRPr="005F1BEC">
              <w:rPr>
                <w:rFonts w:ascii="Arial" w:eastAsia="Times New Roman" w:hAnsi="Arial" w:cs="Arial" w:hint="default"/>
                <w:bCs/>
                <w:lang w:bidi="ar"/>
              </w:rPr>
              <w:lastRenderedPageBreak/>
              <w:t>Total</w:t>
            </w:r>
          </w:p>
        </w:tc>
        <w:tc>
          <w:tcPr>
            <w:tcW w:w="2026" w:type="dxa"/>
            <w:tcBorders>
              <w:top w:val="single" w:sz="4" w:space="0" w:color="auto"/>
              <w:left w:val="nil"/>
              <w:bottom w:val="single" w:sz="4" w:space="0" w:color="auto"/>
              <w:right w:val="nil"/>
            </w:tcBorders>
            <w:noWrap/>
          </w:tcPr>
          <w:p w14:paraId="43D53A3A" w14:textId="77777777" w:rsidR="005F1BEC" w:rsidRPr="005F1BEC" w:rsidRDefault="005F1BEC" w:rsidP="005F1BEC">
            <w:pPr>
              <w:jc w:val="center"/>
              <w:rPr>
                <w:rFonts w:ascii="Arial" w:eastAsia="Times New Roman" w:hAnsi="Arial" w:cs="Arial" w:hint="default"/>
                <w:bCs/>
              </w:rPr>
            </w:pPr>
            <w:r w:rsidRPr="005F1BEC">
              <w:rPr>
                <w:rFonts w:ascii="Arial" w:eastAsia="Times New Roman" w:hAnsi="Arial" w:cs="Arial" w:hint="default"/>
                <w:bCs/>
                <w:lang w:bidi="ar"/>
              </w:rPr>
              <w:t>37</w:t>
            </w:r>
          </w:p>
        </w:tc>
        <w:tc>
          <w:tcPr>
            <w:tcW w:w="2058" w:type="dxa"/>
            <w:tcBorders>
              <w:top w:val="single" w:sz="4" w:space="0" w:color="auto"/>
              <w:left w:val="nil"/>
              <w:bottom w:val="single" w:sz="4" w:space="0" w:color="auto"/>
              <w:right w:val="nil"/>
            </w:tcBorders>
            <w:noWrap/>
          </w:tcPr>
          <w:p w14:paraId="662797AA" w14:textId="77777777" w:rsidR="005F1BEC" w:rsidRPr="005F1BEC" w:rsidRDefault="005F1BEC" w:rsidP="005F1BEC">
            <w:pPr>
              <w:jc w:val="center"/>
              <w:rPr>
                <w:rFonts w:ascii="Arial" w:eastAsia="Times New Roman" w:hAnsi="Arial" w:cs="Arial" w:hint="default"/>
                <w:bCs/>
              </w:rPr>
            </w:pPr>
            <w:r w:rsidRPr="005F1BEC">
              <w:rPr>
                <w:rFonts w:ascii="Arial" w:eastAsia="Times New Roman" w:hAnsi="Arial" w:cs="Arial" w:hint="default"/>
                <w:bCs/>
                <w:lang w:bidi="ar"/>
              </w:rPr>
              <w:t>100.00</w:t>
            </w:r>
          </w:p>
        </w:tc>
      </w:tr>
    </w:tbl>
    <w:p w14:paraId="415CD078" w14:textId="77777777" w:rsidR="005F1BEC" w:rsidRPr="005F1BEC" w:rsidRDefault="005F1BEC" w:rsidP="005F1BEC">
      <w:pPr>
        <w:jc w:val="both"/>
        <w:rPr>
          <w:rFonts w:ascii="Arial" w:eastAsia="Times New Roman" w:hAnsi="Arial" w:cs="Arial"/>
        </w:rPr>
      </w:pPr>
    </w:p>
    <w:p w14:paraId="044F79C6" w14:textId="371C730E" w:rsidR="0037632B" w:rsidRPr="0037632B" w:rsidRDefault="0037632B" w:rsidP="0037632B">
      <w:pPr>
        <w:jc w:val="both"/>
        <w:rPr>
          <w:rFonts w:ascii="Arial" w:eastAsia="DengXian" w:hAnsi="Arial" w:cs="Arial"/>
        </w:rPr>
      </w:pPr>
      <w:r w:rsidRPr="0037632B">
        <w:rPr>
          <w:rFonts w:ascii="Arial" w:eastAsia="DengXian" w:hAnsi="Arial" w:cs="Arial"/>
        </w:rPr>
        <w:t>Principals are consistently identified as the main source of employer feedback, as they directly observe and assess newly hired teachers. Aquino et al. (2015) emphasized that most tracer studies rely on principals for performance evaluations due to their authoritative insight. Likewise, Ulanday (2021) confirmed their central role in evaluating teacher performance, particularly in public elementary schools.</w:t>
      </w:r>
    </w:p>
    <w:p w14:paraId="77FF64BD" w14:textId="77777777" w:rsidR="0037632B" w:rsidRPr="0037632B" w:rsidRDefault="0037632B" w:rsidP="0037632B">
      <w:pPr>
        <w:jc w:val="both"/>
        <w:rPr>
          <w:rFonts w:ascii="Arial" w:eastAsia="DengXian" w:hAnsi="Arial" w:cs="Arial"/>
        </w:rPr>
      </w:pPr>
    </w:p>
    <w:p w14:paraId="0AAB0944" w14:textId="55065162" w:rsidR="005F1BEC" w:rsidRPr="005F1BEC" w:rsidRDefault="0037632B" w:rsidP="0037632B">
      <w:pPr>
        <w:jc w:val="both"/>
        <w:rPr>
          <w:rFonts w:ascii="Arial" w:eastAsia="DengXian" w:hAnsi="Arial" w:cs="Arial"/>
        </w:rPr>
      </w:pPr>
      <w:r w:rsidRPr="0037632B">
        <w:rPr>
          <w:rFonts w:ascii="Arial" w:eastAsia="DengXian" w:hAnsi="Arial" w:cs="Arial"/>
        </w:rPr>
        <w:t xml:space="preserve">Table </w:t>
      </w:r>
      <w:r w:rsidR="003733BF">
        <w:rPr>
          <w:rFonts w:ascii="Arial" w:eastAsia="DengXian" w:hAnsi="Arial" w:cs="Arial"/>
        </w:rPr>
        <w:t>4</w:t>
      </w:r>
      <w:r w:rsidRPr="0037632B">
        <w:rPr>
          <w:rFonts w:ascii="Arial" w:eastAsia="DengXian" w:hAnsi="Arial" w:cs="Arial"/>
        </w:rPr>
        <w:t xml:space="preserve"> shows that 59.46% of respondents have 16 or more years of service, indicating extensive experience that strengthens the c</w:t>
      </w:r>
      <w:r>
        <w:rPr>
          <w:rFonts w:ascii="Arial" w:eastAsia="DengXian" w:hAnsi="Arial" w:cs="Arial"/>
        </w:rPr>
        <w:t>redibility of their evaluations</w:t>
      </w:r>
      <w:r w:rsidR="005F1BEC" w:rsidRPr="005F1BEC">
        <w:rPr>
          <w:rFonts w:ascii="Arial" w:eastAsia="DengXian" w:hAnsi="Arial" w:cs="Arial"/>
        </w:rPr>
        <w:t xml:space="preserve">. </w:t>
      </w:r>
    </w:p>
    <w:p w14:paraId="5E8F2030" w14:textId="3C9A2E83" w:rsidR="005F1BEC" w:rsidRPr="005F1BEC" w:rsidRDefault="005F1BEC" w:rsidP="005F1BEC">
      <w:pPr>
        <w:jc w:val="both"/>
        <w:rPr>
          <w:rFonts w:ascii="Arial" w:eastAsia="DengXian" w:hAnsi="Arial" w:cs="Arial"/>
        </w:rPr>
      </w:pPr>
      <w:r w:rsidRPr="005F1BEC">
        <w:rPr>
          <w:rFonts w:ascii="Arial" w:eastAsia="Calibri" w:hAnsi="Arial" w:cs="Arial"/>
          <w:lang w:bidi="ar"/>
        </w:rPr>
        <w:t xml:space="preserve">Table </w:t>
      </w:r>
      <w:r w:rsidR="003733BF">
        <w:rPr>
          <w:rFonts w:ascii="Arial" w:eastAsia="Calibri" w:hAnsi="Arial" w:cs="Arial"/>
          <w:lang w:bidi="ar"/>
        </w:rPr>
        <w:t>4</w:t>
      </w:r>
      <w:r w:rsidRPr="005F1BEC">
        <w:rPr>
          <w:rFonts w:ascii="Arial" w:eastAsia="Calibri" w:hAnsi="Arial" w:cs="Arial"/>
          <w:lang w:bidi="ar"/>
        </w:rPr>
        <w:t>. Demographic profile of the respondents in terms of years in service</w:t>
      </w:r>
    </w:p>
    <w:tbl>
      <w:tblPr>
        <w:tblW w:w="8373" w:type="dxa"/>
        <w:tblInd w:w="146" w:type="dxa"/>
        <w:tblLook w:val="04A0" w:firstRow="1" w:lastRow="0" w:firstColumn="1" w:lastColumn="0" w:noHBand="0" w:noVBand="1"/>
      </w:tblPr>
      <w:tblGrid>
        <w:gridCol w:w="4421"/>
        <w:gridCol w:w="1961"/>
        <w:gridCol w:w="1991"/>
      </w:tblGrid>
      <w:tr w:rsidR="005F1BEC" w:rsidRPr="005F1BEC" w14:paraId="5E217AF9" w14:textId="77777777" w:rsidTr="0037632B">
        <w:trPr>
          <w:trHeight w:val="309"/>
        </w:trPr>
        <w:tc>
          <w:tcPr>
            <w:tcW w:w="4421" w:type="dxa"/>
            <w:tcBorders>
              <w:top w:val="single" w:sz="4" w:space="0" w:color="auto"/>
              <w:left w:val="nil"/>
              <w:bottom w:val="single" w:sz="4" w:space="0" w:color="auto"/>
              <w:right w:val="nil"/>
            </w:tcBorders>
          </w:tcPr>
          <w:p w14:paraId="33D2AAE7"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Years in Service</w:t>
            </w:r>
          </w:p>
        </w:tc>
        <w:tc>
          <w:tcPr>
            <w:tcW w:w="1961" w:type="dxa"/>
            <w:tcBorders>
              <w:top w:val="single" w:sz="4" w:space="0" w:color="auto"/>
              <w:left w:val="nil"/>
              <w:bottom w:val="single" w:sz="4" w:space="0" w:color="auto"/>
              <w:right w:val="nil"/>
            </w:tcBorders>
          </w:tcPr>
          <w:p w14:paraId="33F3351D"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Frequency</w:t>
            </w:r>
          </w:p>
        </w:tc>
        <w:tc>
          <w:tcPr>
            <w:tcW w:w="1991" w:type="dxa"/>
            <w:tcBorders>
              <w:top w:val="single" w:sz="4" w:space="0" w:color="auto"/>
              <w:left w:val="nil"/>
              <w:bottom w:val="single" w:sz="4" w:space="0" w:color="auto"/>
              <w:right w:val="nil"/>
            </w:tcBorders>
          </w:tcPr>
          <w:p w14:paraId="1449612B"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Percent</w:t>
            </w:r>
          </w:p>
        </w:tc>
      </w:tr>
      <w:tr w:rsidR="005F1BEC" w:rsidRPr="005F1BEC" w14:paraId="2844C29E" w14:textId="77777777" w:rsidTr="0037632B">
        <w:trPr>
          <w:trHeight w:val="309"/>
        </w:trPr>
        <w:tc>
          <w:tcPr>
            <w:tcW w:w="4421" w:type="dxa"/>
            <w:tcBorders>
              <w:top w:val="single" w:sz="4" w:space="0" w:color="auto"/>
              <w:left w:val="nil"/>
              <w:bottom w:val="single" w:sz="4" w:space="0" w:color="auto"/>
              <w:right w:val="nil"/>
            </w:tcBorders>
          </w:tcPr>
          <w:p w14:paraId="45777FD1"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1 to 5 years</w:t>
            </w:r>
          </w:p>
        </w:tc>
        <w:tc>
          <w:tcPr>
            <w:tcW w:w="1961" w:type="dxa"/>
            <w:tcBorders>
              <w:top w:val="single" w:sz="4" w:space="0" w:color="auto"/>
              <w:left w:val="nil"/>
              <w:bottom w:val="single" w:sz="4" w:space="0" w:color="auto"/>
              <w:right w:val="nil"/>
            </w:tcBorders>
            <w:noWrap/>
          </w:tcPr>
          <w:p w14:paraId="146F5B3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w:t>
            </w:r>
          </w:p>
        </w:tc>
        <w:tc>
          <w:tcPr>
            <w:tcW w:w="1991" w:type="dxa"/>
            <w:tcBorders>
              <w:top w:val="single" w:sz="4" w:space="0" w:color="auto"/>
              <w:left w:val="nil"/>
              <w:bottom w:val="single" w:sz="4" w:space="0" w:color="auto"/>
              <w:right w:val="nil"/>
            </w:tcBorders>
            <w:noWrap/>
          </w:tcPr>
          <w:p w14:paraId="0F0AB16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10.81</w:t>
            </w:r>
          </w:p>
        </w:tc>
      </w:tr>
      <w:tr w:rsidR="005F1BEC" w:rsidRPr="005F1BEC" w14:paraId="05FC72FA" w14:textId="77777777" w:rsidTr="0037632B">
        <w:trPr>
          <w:trHeight w:val="309"/>
        </w:trPr>
        <w:tc>
          <w:tcPr>
            <w:tcW w:w="4421" w:type="dxa"/>
            <w:tcBorders>
              <w:top w:val="single" w:sz="4" w:space="0" w:color="auto"/>
              <w:left w:val="nil"/>
              <w:bottom w:val="single" w:sz="4" w:space="0" w:color="auto"/>
              <w:right w:val="nil"/>
            </w:tcBorders>
          </w:tcPr>
          <w:p w14:paraId="70EAE716"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6 to 10 years</w:t>
            </w:r>
          </w:p>
        </w:tc>
        <w:tc>
          <w:tcPr>
            <w:tcW w:w="1961" w:type="dxa"/>
            <w:tcBorders>
              <w:top w:val="single" w:sz="4" w:space="0" w:color="auto"/>
              <w:left w:val="nil"/>
              <w:bottom w:val="single" w:sz="4" w:space="0" w:color="auto"/>
              <w:right w:val="nil"/>
            </w:tcBorders>
            <w:noWrap/>
          </w:tcPr>
          <w:p w14:paraId="7EB01FF7"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3</w:t>
            </w:r>
          </w:p>
        </w:tc>
        <w:tc>
          <w:tcPr>
            <w:tcW w:w="1991" w:type="dxa"/>
            <w:tcBorders>
              <w:top w:val="single" w:sz="4" w:space="0" w:color="auto"/>
              <w:left w:val="nil"/>
              <w:bottom w:val="single" w:sz="4" w:space="0" w:color="auto"/>
              <w:right w:val="nil"/>
            </w:tcBorders>
            <w:noWrap/>
          </w:tcPr>
          <w:p w14:paraId="45C73300"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8.11</w:t>
            </w:r>
          </w:p>
        </w:tc>
      </w:tr>
      <w:tr w:rsidR="005F1BEC" w:rsidRPr="005F1BEC" w14:paraId="00C17687" w14:textId="77777777" w:rsidTr="0037632B">
        <w:trPr>
          <w:trHeight w:val="309"/>
        </w:trPr>
        <w:tc>
          <w:tcPr>
            <w:tcW w:w="4421" w:type="dxa"/>
            <w:tcBorders>
              <w:top w:val="single" w:sz="4" w:space="0" w:color="auto"/>
              <w:left w:val="nil"/>
              <w:bottom w:val="single" w:sz="4" w:space="0" w:color="auto"/>
              <w:right w:val="nil"/>
            </w:tcBorders>
          </w:tcPr>
          <w:p w14:paraId="40D38A7B"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11 to 15 years</w:t>
            </w:r>
          </w:p>
        </w:tc>
        <w:tc>
          <w:tcPr>
            <w:tcW w:w="1961" w:type="dxa"/>
            <w:tcBorders>
              <w:top w:val="single" w:sz="4" w:space="0" w:color="auto"/>
              <w:left w:val="nil"/>
              <w:bottom w:val="single" w:sz="4" w:space="0" w:color="auto"/>
              <w:right w:val="nil"/>
            </w:tcBorders>
            <w:noWrap/>
          </w:tcPr>
          <w:p w14:paraId="0E746A3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8</w:t>
            </w:r>
          </w:p>
        </w:tc>
        <w:tc>
          <w:tcPr>
            <w:tcW w:w="1991" w:type="dxa"/>
            <w:tcBorders>
              <w:top w:val="single" w:sz="4" w:space="0" w:color="auto"/>
              <w:left w:val="nil"/>
              <w:bottom w:val="single" w:sz="4" w:space="0" w:color="auto"/>
              <w:right w:val="nil"/>
            </w:tcBorders>
            <w:noWrap/>
          </w:tcPr>
          <w:p w14:paraId="231BE8D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21.62</w:t>
            </w:r>
          </w:p>
        </w:tc>
      </w:tr>
      <w:tr w:rsidR="005F1BEC" w:rsidRPr="005F1BEC" w14:paraId="60C28AD3" w14:textId="77777777" w:rsidTr="0037632B">
        <w:trPr>
          <w:trHeight w:val="309"/>
        </w:trPr>
        <w:tc>
          <w:tcPr>
            <w:tcW w:w="4421" w:type="dxa"/>
            <w:tcBorders>
              <w:top w:val="single" w:sz="4" w:space="0" w:color="auto"/>
              <w:left w:val="nil"/>
              <w:bottom w:val="single" w:sz="4" w:space="0" w:color="auto"/>
              <w:right w:val="nil"/>
            </w:tcBorders>
          </w:tcPr>
          <w:p w14:paraId="18ECBF69"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16 years and above</w:t>
            </w:r>
          </w:p>
        </w:tc>
        <w:tc>
          <w:tcPr>
            <w:tcW w:w="1961" w:type="dxa"/>
            <w:tcBorders>
              <w:top w:val="single" w:sz="4" w:space="0" w:color="auto"/>
              <w:left w:val="nil"/>
              <w:bottom w:val="single" w:sz="4" w:space="0" w:color="auto"/>
              <w:right w:val="nil"/>
            </w:tcBorders>
            <w:noWrap/>
          </w:tcPr>
          <w:p w14:paraId="4D77D29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22</w:t>
            </w:r>
          </w:p>
        </w:tc>
        <w:tc>
          <w:tcPr>
            <w:tcW w:w="1991" w:type="dxa"/>
            <w:tcBorders>
              <w:top w:val="single" w:sz="4" w:space="0" w:color="auto"/>
              <w:left w:val="nil"/>
              <w:bottom w:val="single" w:sz="4" w:space="0" w:color="auto"/>
              <w:right w:val="nil"/>
            </w:tcBorders>
            <w:noWrap/>
          </w:tcPr>
          <w:p w14:paraId="08D7FAF0"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59.46</w:t>
            </w:r>
          </w:p>
        </w:tc>
      </w:tr>
      <w:tr w:rsidR="005F1BEC" w:rsidRPr="005F1BEC" w14:paraId="1E437C3B" w14:textId="77777777" w:rsidTr="0037632B">
        <w:trPr>
          <w:trHeight w:val="309"/>
        </w:trPr>
        <w:tc>
          <w:tcPr>
            <w:tcW w:w="4421" w:type="dxa"/>
            <w:tcBorders>
              <w:top w:val="single" w:sz="4" w:space="0" w:color="auto"/>
              <w:left w:val="nil"/>
              <w:bottom w:val="single" w:sz="4" w:space="0" w:color="auto"/>
              <w:right w:val="nil"/>
            </w:tcBorders>
          </w:tcPr>
          <w:p w14:paraId="22549EFD"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Total</w:t>
            </w:r>
          </w:p>
        </w:tc>
        <w:tc>
          <w:tcPr>
            <w:tcW w:w="1961" w:type="dxa"/>
            <w:tcBorders>
              <w:top w:val="single" w:sz="4" w:space="0" w:color="auto"/>
              <w:left w:val="nil"/>
              <w:bottom w:val="single" w:sz="4" w:space="0" w:color="auto"/>
              <w:right w:val="nil"/>
            </w:tcBorders>
            <w:noWrap/>
          </w:tcPr>
          <w:p w14:paraId="23641DB0"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37</w:t>
            </w:r>
          </w:p>
        </w:tc>
        <w:tc>
          <w:tcPr>
            <w:tcW w:w="1991" w:type="dxa"/>
            <w:tcBorders>
              <w:top w:val="single" w:sz="4" w:space="0" w:color="auto"/>
              <w:left w:val="nil"/>
              <w:bottom w:val="single" w:sz="4" w:space="0" w:color="auto"/>
              <w:right w:val="nil"/>
            </w:tcBorders>
            <w:noWrap/>
          </w:tcPr>
          <w:p w14:paraId="52D3B13E"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100.00</w:t>
            </w:r>
          </w:p>
        </w:tc>
      </w:tr>
    </w:tbl>
    <w:p w14:paraId="1E019BB5" w14:textId="77777777" w:rsidR="005F1BEC" w:rsidRPr="005F1BEC" w:rsidRDefault="005F1BEC" w:rsidP="005F1BEC">
      <w:pPr>
        <w:jc w:val="both"/>
        <w:rPr>
          <w:rFonts w:ascii="Arial" w:eastAsia="DengXian" w:hAnsi="Arial" w:cs="Arial"/>
        </w:rPr>
      </w:pPr>
    </w:p>
    <w:p w14:paraId="12D05C43" w14:textId="01D7D1D5" w:rsidR="0037632B" w:rsidRDefault="007C5F1E" w:rsidP="0037632B">
      <w:pPr>
        <w:jc w:val="both"/>
        <w:rPr>
          <w:rFonts w:ascii="Arial" w:eastAsia="DengXian" w:hAnsi="Arial" w:cs="Arial"/>
        </w:rPr>
      </w:pPr>
      <w:r w:rsidRPr="007C5F1E">
        <w:rPr>
          <w:rFonts w:ascii="Arial" w:eastAsia="DengXian" w:hAnsi="Arial" w:cs="Arial"/>
        </w:rPr>
        <w:t xml:space="preserve">he respondents’ long service enhances data reliability, as experience improves evaluation accuracy. Studies by </w:t>
      </w:r>
      <w:proofErr w:type="spellStart"/>
      <w:r w:rsidRPr="007C5F1E">
        <w:rPr>
          <w:rFonts w:ascii="Arial" w:eastAsia="DengXian" w:hAnsi="Arial" w:cs="Arial"/>
        </w:rPr>
        <w:t>Bayocot</w:t>
      </w:r>
      <w:proofErr w:type="spellEnd"/>
      <w:r w:rsidRPr="007C5F1E">
        <w:rPr>
          <w:rFonts w:ascii="Arial" w:eastAsia="DengXian" w:hAnsi="Arial" w:cs="Arial"/>
        </w:rPr>
        <w:t xml:space="preserve"> &amp; </w:t>
      </w:r>
      <w:proofErr w:type="spellStart"/>
      <w:r w:rsidRPr="007C5F1E">
        <w:rPr>
          <w:rFonts w:ascii="Arial" w:eastAsia="DengXian" w:hAnsi="Arial" w:cs="Arial"/>
        </w:rPr>
        <w:t>Dagdag</w:t>
      </w:r>
      <w:proofErr w:type="spellEnd"/>
      <w:r w:rsidRPr="007C5F1E">
        <w:rPr>
          <w:rFonts w:ascii="Arial" w:eastAsia="DengXian" w:hAnsi="Arial" w:cs="Arial"/>
        </w:rPr>
        <w:t xml:space="preserve"> (2016) and Padios (2021) support that seasoned supervisors (16+ years) are well-suited to assess graduate competencies.</w:t>
      </w:r>
    </w:p>
    <w:p w14:paraId="4F9977D9" w14:textId="77777777" w:rsidR="007C5F1E" w:rsidRPr="0037632B" w:rsidRDefault="007C5F1E" w:rsidP="0037632B">
      <w:pPr>
        <w:jc w:val="both"/>
        <w:rPr>
          <w:rFonts w:ascii="Arial" w:eastAsia="DengXian" w:hAnsi="Arial" w:cs="Arial"/>
        </w:rPr>
      </w:pPr>
    </w:p>
    <w:p w14:paraId="5E70332E" w14:textId="1BC9A0B1" w:rsidR="0037632B" w:rsidRPr="0037632B" w:rsidRDefault="0037632B" w:rsidP="0037632B">
      <w:pPr>
        <w:jc w:val="both"/>
        <w:rPr>
          <w:rFonts w:ascii="Arial" w:eastAsia="DengXian" w:hAnsi="Arial" w:cs="Arial"/>
        </w:rPr>
      </w:pPr>
      <w:r w:rsidRPr="0037632B">
        <w:rPr>
          <w:rFonts w:ascii="Arial" w:eastAsia="DengXian" w:hAnsi="Arial" w:cs="Arial"/>
        </w:rPr>
        <w:t xml:space="preserve">Table </w:t>
      </w:r>
      <w:r w:rsidR="003733BF">
        <w:rPr>
          <w:rFonts w:ascii="Arial" w:eastAsia="DengXian" w:hAnsi="Arial" w:cs="Arial"/>
        </w:rPr>
        <w:t>5</w:t>
      </w:r>
      <w:r w:rsidRPr="0037632B">
        <w:rPr>
          <w:rFonts w:ascii="Arial" w:eastAsia="DengXian" w:hAnsi="Arial" w:cs="Arial"/>
        </w:rPr>
        <w:t xml:space="preserve"> shows that 48.65% of respondents were from </w:t>
      </w:r>
      <w:proofErr w:type="spellStart"/>
      <w:r w:rsidRPr="0037632B">
        <w:rPr>
          <w:rFonts w:ascii="Arial" w:eastAsia="DengXian" w:hAnsi="Arial" w:cs="Arial"/>
        </w:rPr>
        <w:t>Cateel</w:t>
      </w:r>
      <w:proofErr w:type="spellEnd"/>
      <w:r w:rsidRPr="0037632B">
        <w:rPr>
          <w:rFonts w:ascii="Arial" w:eastAsia="DengXian" w:hAnsi="Arial" w:cs="Arial"/>
        </w:rPr>
        <w:t xml:space="preserve"> 2, with the rest from </w:t>
      </w:r>
      <w:proofErr w:type="spellStart"/>
      <w:r w:rsidRPr="0037632B">
        <w:rPr>
          <w:rFonts w:ascii="Arial" w:eastAsia="DengXian" w:hAnsi="Arial" w:cs="Arial"/>
        </w:rPr>
        <w:t>Cateel</w:t>
      </w:r>
      <w:proofErr w:type="spellEnd"/>
      <w:r w:rsidRPr="0037632B">
        <w:rPr>
          <w:rFonts w:ascii="Arial" w:eastAsia="DengXian" w:hAnsi="Arial" w:cs="Arial"/>
        </w:rPr>
        <w:t xml:space="preserve"> 1 (21.62%), Boston (21.62%), and </w:t>
      </w:r>
      <w:proofErr w:type="spellStart"/>
      <w:r w:rsidRPr="0037632B">
        <w:rPr>
          <w:rFonts w:ascii="Arial" w:eastAsia="DengXian" w:hAnsi="Arial" w:cs="Arial"/>
        </w:rPr>
        <w:t>Baganga</w:t>
      </w:r>
      <w:proofErr w:type="spellEnd"/>
      <w:r w:rsidRPr="0037632B">
        <w:rPr>
          <w:rFonts w:ascii="Arial" w:eastAsia="DengXian" w:hAnsi="Arial" w:cs="Arial"/>
        </w:rPr>
        <w:t xml:space="preserve"> North and South (8.11%). This reflects a broad district representation, supporting the study's validity.</w:t>
      </w:r>
    </w:p>
    <w:p w14:paraId="4B3A4321" w14:textId="2D2399B8" w:rsidR="005F1BEC" w:rsidRPr="005F1BEC" w:rsidRDefault="005F1BEC" w:rsidP="005F1BEC">
      <w:pPr>
        <w:jc w:val="both"/>
        <w:rPr>
          <w:rFonts w:ascii="Arial" w:eastAsia="Times New Roman" w:hAnsi="Arial" w:cs="Arial"/>
          <w:b/>
          <w:bCs/>
          <w:i/>
          <w:iCs/>
        </w:rPr>
      </w:pPr>
      <w:r w:rsidRPr="005F1BEC">
        <w:rPr>
          <w:rFonts w:ascii="Arial" w:eastAsia="Times New Roman" w:hAnsi="Arial" w:cs="Arial"/>
          <w:lang w:bidi="ar"/>
        </w:rPr>
        <w:t xml:space="preserve">Table </w:t>
      </w:r>
      <w:r w:rsidR="003733BF">
        <w:rPr>
          <w:rFonts w:ascii="Arial" w:eastAsia="Times New Roman" w:hAnsi="Arial" w:cs="Arial"/>
          <w:lang w:bidi="ar"/>
        </w:rPr>
        <w:t>5</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lang w:bidi="ar"/>
        </w:rPr>
        <w:t>Demographic profile of the respondents in terms of district</w:t>
      </w:r>
    </w:p>
    <w:tbl>
      <w:tblPr>
        <w:tblW w:w="8370" w:type="dxa"/>
        <w:tblInd w:w="88" w:type="dxa"/>
        <w:tblLook w:val="04A0" w:firstRow="1" w:lastRow="0" w:firstColumn="1" w:lastColumn="0" w:noHBand="0" w:noVBand="1"/>
      </w:tblPr>
      <w:tblGrid>
        <w:gridCol w:w="4821"/>
        <w:gridCol w:w="1761"/>
        <w:gridCol w:w="1788"/>
      </w:tblGrid>
      <w:tr w:rsidR="005F1BEC" w:rsidRPr="005F1BEC" w14:paraId="570EB099" w14:textId="77777777" w:rsidTr="0037632B">
        <w:trPr>
          <w:trHeight w:val="281"/>
        </w:trPr>
        <w:tc>
          <w:tcPr>
            <w:tcW w:w="4821" w:type="dxa"/>
            <w:tcBorders>
              <w:top w:val="single" w:sz="4" w:space="0" w:color="auto"/>
              <w:left w:val="nil"/>
              <w:bottom w:val="single" w:sz="4" w:space="0" w:color="auto"/>
              <w:right w:val="nil"/>
            </w:tcBorders>
          </w:tcPr>
          <w:p w14:paraId="152E198A"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School District</w:t>
            </w:r>
          </w:p>
        </w:tc>
        <w:tc>
          <w:tcPr>
            <w:tcW w:w="1761" w:type="dxa"/>
            <w:tcBorders>
              <w:top w:val="single" w:sz="4" w:space="0" w:color="auto"/>
              <w:left w:val="nil"/>
              <w:bottom w:val="single" w:sz="4" w:space="0" w:color="auto"/>
              <w:right w:val="nil"/>
            </w:tcBorders>
          </w:tcPr>
          <w:p w14:paraId="249680BA"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Frequency</w:t>
            </w:r>
          </w:p>
        </w:tc>
        <w:tc>
          <w:tcPr>
            <w:tcW w:w="1788" w:type="dxa"/>
            <w:tcBorders>
              <w:top w:val="single" w:sz="4" w:space="0" w:color="auto"/>
              <w:left w:val="nil"/>
              <w:bottom w:val="single" w:sz="4" w:space="0" w:color="auto"/>
              <w:right w:val="nil"/>
            </w:tcBorders>
          </w:tcPr>
          <w:p w14:paraId="3CD51EE3"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Percent</w:t>
            </w:r>
          </w:p>
        </w:tc>
      </w:tr>
      <w:tr w:rsidR="005F1BEC" w:rsidRPr="005F1BEC" w14:paraId="55E0B255" w14:textId="77777777" w:rsidTr="0037632B">
        <w:trPr>
          <w:trHeight w:val="281"/>
        </w:trPr>
        <w:tc>
          <w:tcPr>
            <w:tcW w:w="4821" w:type="dxa"/>
            <w:tcBorders>
              <w:top w:val="single" w:sz="4" w:space="0" w:color="auto"/>
              <w:left w:val="nil"/>
              <w:bottom w:val="single" w:sz="4" w:space="0" w:color="auto"/>
              <w:right w:val="nil"/>
            </w:tcBorders>
          </w:tcPr>
          <w:p w14:paraId="6999B805" w14:textId="77777777" w:rsidR="005F1BEC" w:rsidRPr="005F1BEC" w:rsidRDefault="005F1BEC" w:rsidP="005F1BEC">
            <w:pPr>
              <w:jc w:val="both"/>
              <w:rPr>
                <w:rFonts w:ascii="Arial" w:eastAsia="Times New Roman" w:hAnsi="Arial" w:cs="Arial"/>
                <w:color w:val="000000"/>
              </w:rPr>
            </w:pPr>
            <w:proofErr w:type="spellStart"/>
            <w:r w:rsidRPr="005F1BEC">
              <w:rPr>
                <w:rFonts w:ascii="Arial" w:eastAsia="Times New Roman" w:hAnsi="Arial" w:cs="Arial"/>
                <w:color w:val="000000"/>
                <w:lang w:bidi="ar"/>
              </w:rPr>
              <w:t>Baganga</w:t>
            </w:r>
            <w:proofErr w:type="spellEnd"/>
            <w:r w:rsidRPr="005F1BEC">
              <w:rPr>
                <w:rFonts w:ascii="Arial" w:eastAsia="Times New Roman" w:hAnsi="Arial" w:cs="Arial"/>
                <w:color w:val="000000"/>
                <w:lang w:bidi="ar"/>
              </w:rPr>
              <w:t xml:space="preserve"> North and South District</w:t>
            </w:r>
          </w:p>
        </w:tc>
        <w:tc>
          <w:tcPr>
            <w:tcW w:w="1761" w:type="dxa"/>
            <w:tcBorders>
              <w:top w:val="single" w:sz="4" w:space="0" w:color="auto"/>
              <w:left w:val="nil"/>
              <w:bottom w:val="single" w:sz="4" w:space="0" w:color="auto"/>
              <w:right w:val="nil"/>
            </w:tcBorders>
            <w:noWrap/>
          </w:tcPr>
          <w:p w14:paraId="49357AD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3</w:t>
            </w:r>
          </w:p>
        </w:tc>
        <w:tc>
          <w:tcPr>
            <w:tcW w:w="1788" w:type="dxa"/>
            <w:tcBorders>
              <w:top w:val="single" w:sz="4" w:space="0" w:color="auto"/>
              <w:left w:val="nil"/>
              <w:bottom w:val="single" w:sz="4" w:space="0" w:color="auto"/>
              <w:right w:val="nil"/>
            </w:tcBorders>
            <w:noWrap/>
          </w:tcPr>
          <w:p w14:paraId="23B79BC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8.11</w:t>
            </w:r>
          </w:p>
        </w:tc>
      </w:tr>
      <w:tr w:rsidR="005F1BEC" w:rsidRPr="005F1BEC" w14:paraId="4DA3F4A6" w14:textId="77777777" w:rsidTr="0037632B">
        <w:trPr>
          <w:trHeight w:val="281"/>
        </w:trPr>
        <w:tc>
          <w:tcPr>
            <w:tcW w:w="4821" w:type="dxa"/>
            <w:tcBorders>
              <w:top w:val="single" w:sz="4" w:space="0" w:color="auto"/>
              <w:left w:val="nil"/>
              <w:bottom w:val="single" w:sz="4" w:space="0" w:color="auto"/>
              <w:right w:val="nil"/>
            </w:tcBorders>
          </w:tcPr>
          <w:p w14:paraId="28263CD3" w14:textId="77777777" w:rsidR="005F1BEC" w:rsidRPr="005F1BEC" w:rsidRDefault="005F1BEC" w:rsidP="005F1BEC">
            <w:pPr>
              <w:jc w:val="both"/>
              <w:rPr>
                <w:rFonts w:ascii="Arial" w:eastAsia="Times New Roman" w:hAnsi="Arial" w:cs="Arial"/>
                <w:color w:val="000000"/>
              </w:rPr>
            </w:pPr>
            <w:proofErr w:type="spellStart"/>
            <w:r w:rsidRPr="005F1BEC">
              <w:rPr>
                <w:rFonts w:ascii="Arial" w:eastAsia="Times New Roman" w:hAnsi="Arial" w:cs="Arial"/>
                <w:color w:val="000000"/>
                <w:lang w:bidi="ar"/>
              </w:rPr>
              <w:t>Cateel</w:t>
            </w:r>
            <w:proofErr w:type="spellEnd"/>
            <w:r w:rsidRPr="005F1BEC">
              <w:rPr>
                <w:rFonts w:ascii="Arial" w:eastAsia="Times New Roman" w:hAnsi="Arial" w:cs="Arial"/>
                <w:color w:val="000000"/>
                <w:lang w:bidi="ar"/>
              </w:rPr>
              <w:t xml:space="preserve"> 2 District</w:t>
            </w:r>
          </w:p>
        </w:tc>
        <w:tc>
          <w:tcPr>
            <w:tcW w:w="1761" w:type="dxa"/>
            <w:tcBorders>
              <w:top w:val="single" w:sz="4" w:space="0" w:color="auto"/>
              <w:left w:val="nil"/>
              <w:bottom w:val="single" w:sz="4" w:space="0" w:color="auto"/>
              <w:right w:val="nil"/>
            </w:tcBorders>
            <w:noWrap/>
          </w:tcPr>
          <w:p w14:paraId="5DF82B3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18</w:t>
            </w:r>
          </w:p>
        </w:tc>
        <w:tc>
          <w:tcPr>
            <w:tcW w:w="1788" w:type="dxa"/>
            <w:tcBorders>
              <w:top w:val="single" w:sz="4" w:space="0" w:color="auto"/>
              <w:left w:val="nil"/>
              <w:bottom w:val="single" w:sz="4" w:space="0" w:color="auto"/>
              <w:right w:val="nil"/>
            </w:tcBorders>
            <w:noWrap/>
          </w:tcPr>
          <w:p w14:paraId="149FB308"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48.65</w:t>
            </w:r>
          </w:p>
        </w:tc>
      </w:tr>
      <w:tr w:rsidR="005F1BEC" w:rsidRPr="005F1BEC" w14:paraId="07DD2481" w14:textId="77777777" w:rsidTr="0037632B">
        <w:trPr>
          <w:trHeight w:val="281"/>
        </w:trPr>
        <w:tc>
          <w:tcPr>
            <w:tcW w:w="4821" w:type="dxa"/>
            <w:tcBorders>
              <w:top w:val="single" w:sz="4" w:space="0" w:color="auto"/>
              <w:left w:val="nil"/>
              <w:bottom w:val="single" w:sz="4" w:space="0" w:color="auto"/>
              <w:right w:val="nil"/>
            </w:tcBorders>
          </w:tcPr>
          <w:p w14:paraId="25ED6DBB" w14:textId="77777777" w:rsidR="005F1BEC" w:rsidRPr="005F1BEC" w:rsidRDefault="005F1BEC" w:rsidP="005F1BEC">
            <w:pPr>
              <w:jc w:val="both"/>
              <w:rPr>
                <w:rFonts w:ascii="Arial" w:eastAsia="Times New Roman" w:hAnsi="Arial" w:cs="Arial"/>
                <w:color w:val="000000"/>
              </w:rPr>
            </w:pPr>
            <w:proofErr w:type="spellStart"/>
            <w:r w:rsidRPr="005F1BEC">
              <w:rPr>
                <w:rFonts w:ascii="Arial" w:eastAsia="Times New Roman" w:hAnsi="Arial" w:cs="Arial"/>
                <w:color w:val="000000"/>
                <w:lang w:bidi="ar"/>
              </w:rPr>
              <w:t>Cateel</w:t>
            </w:r>
            <w:proofErr w:type="spellEnd"/>
            <w:r w:rsidRPr="005F1BEC">
              <w:rPr>
                <w:rFonts w:ascii="Arial" w:eastAsia="Times New Roman" w:hAnsi="Arial" w:cs="Arial"/>
                <w:color w:val="000000"/>
                <w:lang w:bidi="ar"/>
              </w:rPr>
              <w:t xml:space="preserve"> 1 District</w:t>
            </w:r>
          </w:p>
        </w:tc>
        <w:tc>
          <w:tcPr>
            <w:tcW w:w="1761" w:type="dxa"/>
            <w:tcBorders>
              <w:top w:val="single" w:sz="4" w:space="0" w:color="auto"/>
              <w:left w:val="nil"/>
              <w:bottom w:val="single" w:sz="4" w:space="0" w:color="auto"/>
              <w:right w:val="nil"/>
            </w:tcBorders>
            <w:noWrap/>
          </w:tcPr>
          <w:p w14:paraId="20976837"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8</w:t>
            </w:r>
          </w:p>
        </w:tc>
        <w:tc>
          <w:tcPr>
            <w:tcW w:w="1788" w:type="dxa"/>
            <w:tcBorders>
              <w:top w:val="single" w:sz="4" w:space="0" w:color="auto"/>
              <w:left w:val="nil"/>
              <w:bottom w:val="single" w:sz="4" w:space="0" w:color="auto"/>
              <w:right w:val="nil"/>
            </w:tcBorders>
            <w:noWrap/>
          </w:tcPr>
          <w:p w14:paraId="6B85D22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21.62</w:t>
            </w:r>
          </w:p>
        </w:tc>
      </w:tr>
      <w:tr w:rsidR="005F1BEC" w:rsidRPr="005F1BEC" w14:paraId="32B2D173" w14:textId="77777777" w:rsidTr="0037632B">
        <w:trPr>
          <w:trHeight w:val="281"/>
        </w:trPr>
        <w:tc>
          <w:tcPr>
            <w:tcW w:w="4821" w:type="dxa"/>
            <w:tcBorders>
              <w:top w:val="single" w:sz="4" w:space="0" w:color="auto"/>
              <w:left w:val="nil"/>
              <w:bottom w:val="single" w:sz="4" w:space="0" w:color="auto"/>
              <w:right w:val="nil"/>
            </w:tcBorders>
          </w:tcPr>
          <w:p w14:paraId="49CE0AA8"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Boston District</w:t>
            </w:r>
          </w:p>
        </w:tc>
        <w:tc>
          <w:tcPr>
            <w:tcW w:w="1761" w:type="dxa"/>
            <w:tcBorders>
              <w:top w:val="single" w:sz="4" w:space="0" w:color="auto"/>
              <w:left w:val="nil"/>
              <w:bottom w:val="single" w:sz="4" w:space="0" w:color="auto"/>
              <w:right w:val="nil"/>
            </w:tcBorders>
            <w:noWrap/>
          </w:tcPr>
          <w:p w14:paraId="007BA5C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8</w:t>
            </w:r>
          </w:p>
        </w:tc>
        <w:tc>
          <w:tcPr>
            <w:tcW w:w="1788" w:type="dxa"/>
            <w:tcBorders>
              <w:top w:val="single" w:sz="4" w:space="0" w:color="auto"/>
              <w:left w:val="nil"/>
              <w:bottom w:val="single" w:sz="4" w:space="0" w:color="auto"/>
              <w:right w:val="nil"/>
            </w:tcBorders>
            <w:noWrap/>
          </w:tcPr>
          <w:p w14:paraId="229469F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21.62</w:t>
            </w:r>
          </w:p>
        </w:tc>
      </w:tr>
      <w:tr w:rsidR="005F1BEC" w:rsidRPr="005F1BEC" w14:paraId="24E606D1" w14:textId="77777777" w:rsidTr="0037632B">
        <w:trPr>
          <w:trHeight w:val="281"/>
        </w:trPr>
        <w:tc>
          <w:tcPr>
            <w:tcW w:w="4821" w:type="dxa"/>
            <w:tcBorders>
              <w:top w:val="single" w:sz="4" w:space="0" w:color="auto"/>
              <w:left w:val="nil"/>
              <w:bottom w:val="single" w:sz="4" w:space="0" w:color="auto"/>
              <w:right w:val="nil"/>
            </w:tcBorders>
          </w:tcPr>
          <w:p w14:paraId="1119F326"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Total</w:t>
            </w:r>
          </w:p>
        </w:tc>
        <w:tc>
          <w:tcPr>
            <w:tcW w:w="1761" w:type="dxa"/>
            <w:tcBorders>
              <w:top w:val="single" w:sz="4" w:space="0" w:color="auto"/>
              <w:left w:val="nil"/>
              <w:bottom w:val="single" w:sz="4" w:space="0" w:color="auto"/>
              <w:right w:val="nil"/>
            </w:tcBorders>
            <w:noWrap/>
          </w:tcPr>
          <w:p w14:paraId="2B91A3C7"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37</w:t>
            </w:r>
          </w:p>
        </w:tc>
        <w:tc>
          <w:tcPr>
            <w:tcW w:w="1788" w:type="dxa"/>
            <w:tcBorders>
              <w:top w:val="single" w:sz="4" w:space="0" w:color="auto"/>
              <w:left w:val="nil"/>
              <w:bottom w:val="single" w:sz="4" w:space="0" w:color="auto"/>
              <w:right w:val="nil"/>
            </w:tcBorders>
            <w:noWrap/>
          </w:tcPr>
          <w:p w14:paraId="0D44D683"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100.00</w:t>
            </w:r>
          </w:p>
        </w:tc>
      </w:tr>
    </w:tbl>
    <w:p w14:paraId="27A049FF" w14:textId="77777777" w:rsidR="005F1BEC" w:rsidRPr="005F1BEC" w:rsidRDefault="005F1BEC" w:rsidP="005F1BEC">
      <w:pPr>
        <w:widowControl w:val="0"/>
        <w:autoSpaceDE w:val="0"/>
        <w:autoSpaceDN w:val="0"/>
        <w:jc w:val="both"/>
        <w:rPr>
          <w:rFonts w:ascii="Arial" w:eastAsia="Times New Roman" w:hAnsi="Arial" w:cs="Arial"/>
        </w:rPr>
      </w:pPr>
    </w:p>
    <w:p w14:paraId="2C0B85CB" w14:textId="2F472E99" w:rsidR="0037632B" w:rsidRDefault="007C5F1E" w:rsidP="005F1BEC">
      <w:pPr>
        <w:widowControl w:val="0"/>
        <w:autoSpaceDE w:val="0"/>
        <w:autoSpaceDN w:val="0"/>
        <w:jc w:val="both"/>
        <w:rPr>
          <w:rFonts w:ascii="Arial" w:eastAsia="Arial" w:hAnsi="Arial" w:cs="Arial"/>
        </w:rPr>
      </w:pPr>
      <w:r w:rsidRPr="007C5F1E">
        <w:rPr>
          <w:rFonts w:ascii="Arial" w:eastAsia="Arial" w:hAnsi="Arial" w:cs="Arial"/>
        </w:rPr>
        <w:t xml:space="preserve">Including respondents from multiple districts ensures a more representative and meaningful assessment. As noted by </w:t>
      </w:r>
      <w:proofErr w:type="spellStart"/>
      <w:r w:rsidRPr="007C5F1E">
        <w:rPr>
          <w:rFonts w:ascii="Arial" w:eastAsia="Arial" w:hAnsi="Arial" w:cs="Arial"/>
        </w:rPr>
        <w:t>Batucan</w:t>
      </w:r>
      <w:proofErr w:type="spellEnd"/>
      <w:r w:rsidRPr="007C5F1E">
        <w:rPr>
          <w:rFonts w:ascii="Arial" w:eastAsia="Arial" w:hAnsi="Arial" w:cs="Arial"/>
        </w:rPr>
        <w:t xml:space="preserve"> (2024), </w:t>
      </w:r>
      <w:proofErr w:type="spellStart"/>
      <w:r w:rsidRPr="007C5F1E">
        <w:rPr>
          <w:rFonts w:ascii="Arial" w:eastAsia="Arial" w:hAnsi="Arial" w:cs="Arial"/>
        </w:rPr>
        <w:t>Camara</w:t>
      </w:r>
      <w:proofErr w:type="spellEnd"/>
      <w:r w:rsidRPr="007C5F1E">
        <w:rPr>
          <w:rFonts w:ascii="Arial" w:eastAsia="Arial" w:hAnsi="Arial" w:cs="Arial"/>
        </w:rPr>
        <w:t xml:space="preserve"> (2024), and Orleans (2007), local context and school location influence performance evaluations and support fair, holistic insights.</w:t>
      </w:r>
    </w:p>
    <w:p w14:paraId="58D373AE" w14:textId="77777777" w:rsidR="007C5F1E" w:rsidRDefault="007C5F1E" w:rsidP="005F1BEC">
      <w:pPr>
        <w:widowControl w:val="0"/>
        <w:autoSpaceDE w:val="0"/>
        <w:autoSpaceDN w:val="0"/>
        <w:jc w:val="both"/>
        <w:rPr>
          <w:rFonts w:ascii="Arial" w:eastAsia="Times New Roman" w:hAnsi="Arial" w:cs="Arial"/>
          <w:b/>
          <w:bCs/>
        </w:rPr>
      </w:pPr>
    </w:p>
    <w:p w14:paraId="18BC29C9" w14:textId="2E9BDA1E" w:rsidR="005F1BEC" w:rsidRPr="005F1BEC" w:rsidRDefault="005F1BEC" w:rsidP="005F1BEC">
      <w:pPr>
        <w:widowControl w:val="0"/>
        <w:autoSpaceDE w:val="0"/>
        <w:autoSpaceDN w:val="0"/>
        <w:jc w:val="both"/>
        <w:rPr>
          <w:rFonts w:ascii="Arial" w:eastAsia="Times New Roman" w:hAnsi="Arial" w:cs="Arial"/>
          <w:b/>
          <w:bCs/>
        </w:rPr>
      </w:pPr>
      <w:r w:rsidRPr="005F1BEC">
        <w:rPr>
          <w:rFonts w:ascii="Arial" w:eastAsia="Times New Roman" w:hAnsi="Arial" w:cs="Arial"/>
          <w:b/>
          <w:bCs/>
        </w:rPr>
        <w:t>Level of Employer Feedback on BEED Graduates</w:t>
      </w:r>
    </w:p>
    <w:p w14:paraId="059BCC7B" w14:textId="02CBD269" w:rsidR="005F1BEC" w:rsidRPr="005F1BEC" w:rsidRDefault="005F1BEC" w:rsidP="005F1BEC">
      <w:pPr>
        <w:widowControl w:val="0"/>
        <w:autoSpaceDE w:val="0"/>
        <w:autoSpaceDN w:val="0"/>
        <w:ind w:firstLine="720"/>
        <w:jc w:val="both"/>
        <w:rPr>
          <w:rFonts w:ascii="Arial" w:eastAsia="Arial" w:hAnsi="Arial" w:cs="Arial"/>
        </w:rPr>
      </w:pPr>
      <w:r w:rsidRPr="005F1BEC">
        <w:rPr>
          <w:rFonts w:ascii="Arial" w:eastAsia="Arial" w:hAnsi="Arial" w:cs="Arial"/>
        </w:rPr>
        <w:t xml:space="preserve">Table </w:t>
      </w:r>
      <w:r w:rsidR="003733BF">
        <w:rPr>
          <w:rFonts w:ascii="Arial" w:eastAsia="Arial" w:hAnsi="Arial" w:cs="Arial"/>
        </w:rPr>
        <w:t>6</w:t>
      </w:r>
      <w:r w:rsidRPr="005F1BEC">
        <w:rPr>
          <w:rFonts w:ascii="Arial" w:eastAsia="Arial" w:hAnsi="Arial" w:cs="Arial"/>
        </w:rPr>
        <w:t xml:space="preserve"> shows the overall performance of BEED graduates, as evaluated by their employers. The graduates' overall performance is </w:t>
      </w:r>
      <w:r w:rsidRPr="005F1BEC">
        <w:rPr>
          <w:rFonts w:ascii="Arial" w:eastAsia="Arial" w:hAnsi="Arial" w:cs="Arial"/>
          <w:color w:val="000000"/>
        </w:rPr>
        <w:t>very satisfactory</w:t>
      </w:r>
      <w:r w:rsidRPr="005F1BEC">
        <w:rPr>
          <w:rFonts w:ascii="Arial" w:eastAsia="Arial" w:hAnsi="Arial" w:cs="Arial"/>
          <w:color w:val="4472C4"/>
        </w:rPr>
        <w:t xml:space="preserve"> </w:t>
      </w:r>
      <w:r w:rsidRPr="005F1BEC">
        <w:rPr>
          <w:rFonts w:ascii="Arial" w:eastAsia="Arial" w:hAnsi="Arial" w:cs="Arial"/>
        </w:rPr>
        <w:t>(x̄ = 4.44, s = 0.35). This overall rating indicates a strong and consistent level of competency across a broad range of teaching domains.</w:t>
      </w:r>
    </w:p>
    <w:p w14:paraId="45003099" w14:textId="0070ACA7" w:rsidR="005F1BEC" w:rsidRPr="005F1BEC" w:rsidRDefault="005F1BEC" w:rsidP="005F1BEC">
      <w:pPr>
        <w:jc w:val="both"/>
        <w:rPr>
          <w:rFonts w:ascii="Arial" w:eastAsia="Times New Roman" w:hAnsi="Arial" w:cs="Arial"/>
          <w:iCs/>
        </w:rPr>
      </w:pPr>
      <w:r w:rsidRPr="005F1BEC">
        <w:rPr>
          <w:rFonts w:ascii="Arial" w:eastAsia="Times New Roman" w:hAnsi="Arial" w:cs="Arial"/>
          <w:lang w:bidi="ar"/>
        </w:rPr>
        <w:t xml:space="preserve">Table </w:t>
      </w:r>
      <w:r w:rsidR="003733BF">
        <w:rPr>
          <w:rFonts w:ascii="Arial" w:eastAsia="Times New Roman" w:hAnsi="Arial" w:cs="Arial"/>
          <w:lang w:bidi="ar"/>
        </w:rPr>
        <w:t>6</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Level of employer feedback on BEED graduates’ workplace   performance</w:t>
      </w:r>
    </w:p>
    <w:tbl>
      <w:tblPr>
        <w:tblW w:w="8419" w:type="dxa"/>
        <w:jc w:val="center"/>
        <w:tblLook w:val="04A0" w:firstRow="1" w:lastRow="0" w:firstColumn="1" w:lastColumn="0" w:noHBand="0" w:noVBand="1"/>
      </w:tblPr>
      <w:tblGrid>
        <w:gridCol w:w="3951"/>
        <w:gridCol w:w="974"/>
        <w:gridCol w:w="1422"/>
        <w:gridCol w:w="2072"/>
      </w:tblGrid>
      <w:tr w:rsidR="005F1BEC" w:rsidRPr="005F1BEC" w14:paraId="64CC4EE5" w14:textId="77777777" w:rsidTr="0037632B">
        <w:trPr>
          <w:trHeight w:val="560"/>
          <w:jc w:val="center"/>
        </w:trPr>
        <w:tc>
          <w:tcPr>
            <w:tcW w:w="3951" w:type="dxa"/>
            <w:tcBorders>
              <w:top w:val="single" w:sz="4" w:space="0" w:color="auto"/>
              <w:left w:val="nil"/>
              <w:bottom w:val="single" w:sz="4" w:space="0" w:color="auto"/>
              <w:right w:val="nil"/>
            </w:tcBorders>
            <w:vAlign w:val="center"/>
          </w:tcPr>
          <w:p w14:paraId="335533FA"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Factors</w:t>
            </w:r>
          </w:p>
        </w:tc>
        <w:tc>
          <w:tcPr>
            <w:tcW w:w="974" w:type="dxa"/>
            <w:tcBorders>
              <w:top w:val="single" w:sz="4" w:space="0" w:color="auto"/>
              <w:left w:val="nil"/>
              <w:bottom w:val="single" w:sz="4" w:space="0" w:color="auto"/>
              <w:right w:val="nil"/>
            </w:tcBorders>
            <w:vAlign w:val="center"/>
          </w:tcPr>
          <w:p w14:paraId="66B7C1DA"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Mean</w:t>
            </w:r>
          </w:p>
        </w:tc>
        <w:tc>
          <w:tcPr>
            <w:tcW w:w="1422" w:type="dxa"/>
            <w:tcBorders>
              <w:top w:val="single" w:sz="4" w:space="0" w:color="auto"/>
              <w:left w:val="nil"/>
              <w:bottom w:val="single" w:sz="4" w:space="0" w:color="auto"/>
              <w:right w:val="nil"/>
            </w:tcBorders>
            <w:vAlign w:val="center"/>
          </w:tcPr>
          <w:p w14:paraId="3294C5B4"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Std. Deviation</w:t>
            </w:r>
          </w:p>
        </w:tc>
        <w:tc>
          <w:tcPr>
            <w:tcW w:w="2072" w:type="dxa"/>
            <w:tcBorders>
              <w:top w:val="single" w:sz="4" w:space="0" w:color="auto"/>
              <w:left w:val="nil"/>
              <w:bottom w:val="single" w:sz="4" w:space="0" w:color="auto"/>
              <w:right w:val="nil"/>
            </w:tcBorders>
            <w:noWrap/>
            <w:vAlign w:val="center"/>
          </w:tcPr>
          <w:p w14:paraId="10714763"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Interpretation</w:t>
            </w:r>
          </w:p>
        </w:tc>
      </w:tr>
      <w:tr w:rsidR="005F1BEC" w:rsidRPr="005F1BEC" w14:paraId="64C7C68A" w14:textId="77777777" w:rsidTr="0037632B">
        <w:trPr>
          <w:trHeight w:val="294"/>
          <w:jc w:val="center"/>
        </w:trPr>
        <w:tc>
          <w:tcPr>
            <w:tcW w:w="3951" w:type="dxa"/>
            <w:tcBorders>
              <w:top w:val="single" w:sz="4" w:space="0" w:color="auto"/>
              <w:left w:val="nil"/>
              <w:bottom w:val="single" w:sz="4" w:space="0" w:color="auto"/>
              <w:right w:val="nil"/>
            </w:tcBorders>
          </w:tcPr>
          <w:p w14:paraId="0CFB8E4C"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Subject Knowledge</w:t>
            </w:r>
          </w:p>
        </w:tc>
        <w:tc>
          <w:tcPr>
            <w:tcW w:w="974" w:type="dxa"/>
            <w:tcBorders>
              <w:top w:val="single" w:sz="4" w:space="0" w:color="auto"/>
              <w:left w:val="nil"/>
              <w:bottom w:val="single" w:sz="4" w:space="0" w:color="auto"/>
              <w:right w:val="nil"/>
            </w:tcBorders>
            <w:noWrap/>
            <w:vAlign w:val="center"/>
          </w:tcPr>
          <w:p w14:paraId="298EAAB0"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4.45</w:t>
            </w:r>
          </w:p>
        </w:tc>
        <w:tc>
          <w:tcPr>
            <w:tcW w:w="1422" w:type="dxa"/>
            <w:tcBorders>
              <w:top w:val="single" w:sz="4" w:space="0" w:color="auto"/>
              <w:left w:val="nil"/>
              <w:bottom w:val="single" w:sz="4" w:space="0" w:color="auto"/>
              <w:right w:val="nil"/>
            </w:tcBorders>
            <w:noWrap/>
            <w:vAlign w:val="center"/>
          </w:tcPr>
          <w:p w14:paraId="6136FAC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0.35</w:t>
            </w:r>
          </w:p>
        </w:tc>
        <w:tc>
          <w:tcPr>
            <w:tcW w:w="2072" w:type="dxa"/>
            <w:tcBorders>
              <w:top w:val="single" w:sz="4" w:space="0" w:color="auto"/>
              <w:left w:val="nil"/>
              <w:bottom w:val="single" w:sz="4" w:space="0" w:color="auto"/>
              <w:right w:val="nil"/>
            </w:tcBorders>
            <w:noWrap/>
            <w:vAlign w:val="bottom"/>
          </w:tcPr>
          <w:p w14:paraId="154074A6"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3DD975BB" w14:textId="77777777" w:rsidTr="0037632B">
        <w:trPr>
          <w:trHeight w:val="294"/>
          <w:jc w:val="center"/>
        </w:trPr>
        <w:tc>
          <w:tcPr>
            <w:tcW w:w="3951" w:type="dxa"/>
            <w:tcBorders>
              <w:top w:val="single" w:sz="4" w:space="0" w:color="auto"/>
              <w:left w:val="nil"/>
              <w:bottom w:val="single" w:sz="4" w:space="0" w:color="auto"/>
              <w:right w:val="nil"/>
            </w:tcBorders>
          </w:tcPr>
          <w:p w14:paraId="5F188BD9"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Management of Learning</w:t>
            </w:r>
          </w:p>
        </w:tc>
        <w:tc>
          <w:tcPr>
            <w:tcW w:w="974" w:type="dxa"/>
            <w:tcBorders>
              <w:top w:val="single" w:sz="4" w:space="0" w:color="auto"/>
              <w:left w:val="nil"/>
              <w:bottom w:val="single" w:sz="4" w:space="0" w:color="auto"/>
              <w:right w:val="nil"/>
            </w:tcBorders>
            <w:noWrap/>
            <w:vAlign w:val="center"/>
          </w:tcPr>
          <w:p w14:paraId="4BB9FD5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4.46</w:t>
            </w:r>
          </w:p>
        </w:tc>
        <w:tc>
          <w:tcPr>
            <w:tcW w:w="1422" w:type="dxa"/>
            <w:tcBorders>
              <w:top w:val="single" w:sz="4" w:space="0" w:color="auto"/>
              <w:left w:val="nil"/>
              <w:bottom w:val="single" w:sz="4" w:space="0" w:color="auto"/>
              <w:right w:val="nil"/>
            </w:tcBorders>
            <w:noWrap/>
            <w:vAlign w:val="center"/>
          </w:tcPr>
          <w:p w14:paraId="3939CA7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0.42</w:t>
            </w:r>
          </w:p>
        </w:tc>
        <w:tc>
          <w:tcPr>
            <w:tcW w:w="2072" w:type="dxa"/>
            <w:tcBorders>
              <w:top w:val="single" w:sz="4" w:space="0" w:color="auto"/>
              <w:left w:val="nil"/>
              <w:bottom w:val="single" w:sz="4" w:space="0" w:color="auto"/>
              <w:right w:val="nil"/>
            </w:tcBorders>
            <w:noWrap/>
            <w:vAlign w:val="bottom"/>
          </w:tcPr>
          <w:p w14:paraId="79188CAB"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0DE7B952" w14:textId="77777777" w:rsidTr="0037632B">
        <w:trPr>
          <w:trHeight w:val="294"/>
          <w:jc w:val="center"/>
        </w:trPr>
        <w:tc>
          <w:tcPr>
            <w:tcW w:w="3951" w:type="dxa"/>
            <w:tcBorders>
              <w:top w:val="single" w:sz="4" w:space="0" w:color="auto"/>
              <w:left w:val="nil"/>
              <w:bottom w:val="single" w:sz="4" w:space="0" w:color="auto"/>
              <w:right w:val="nil"/>
            </w:tcBorders>
          </w:tcPr>
          <w:p w14:paraId="5A865947"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lastRenderedPageBreak/>
              <w:t>Assessment and Evaluation</w:t>
            </w:r>
          </w:p>
        </w:tc>
        <w:tc>
          <w:tcPr>
            <w:tcW w:w="974" w:type="dxa"/>
            <w:tcBorders>
              <w:top w:val="single" w:sz="4" w:space="0" w:color="auto"/>
              <w:left w:val="nil"/>
              <w:bottom w:val="single" w:sz="4" w:space="0" w:color="auto"/>
              <w:right w:val="nil"/>
            </w:tcBorders>
            <w:noWrap/>
            <w:vAlign w:val="center"/>
          </w:tcPr>
          <w:p w14:paraId="6F1BEA88"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4.46</w:t>
            </w:r>
          </w:p>
        </w:tc>
        <w:tc>
          <w:tcPr>
            <w:tcW w:w="1422" w:type="dxa"/>
            <w:tcBorders>
              <w:top w:val="single" w:sz="4" w:space="0" w:color="auto"/>
              <w:left w:val="nil"/>
              <w:bottom w:val="single" w:sz="4" w:space="0" w:color="auto"/>
              <w:right w:val="nil"/>
            </w:tcBorders>
            <w:noWrap/>
            <w:vAlign w:val="center"/>
          </w:tcPr>
          <w:p w14:paraId="1D01594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0.36</w:t>
            </w:r>
          </w:p>
        </w:tc>
        <w:tc>
          <w:tcPr>
            <w:tcW w:w="2072" w:type="dxa"/>
            <w:tcBorders>
              <w:top w:val="single" w:sz="4" w:space="0" w:color="auto"/>
              <w:left w:val="nil"/>
              <w:bottom w:val="single" w:sz="4" w:space="0" w:color="auto"/>
              <w:right w:val="nil"/>
            </w:tcBorders>
            <w:noWrap/>
            <w:vAlign w:val="bottom"/>
          </w:tcPr>
          <w:p w14:paraId="57CA7B44"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776C05F7" w14:textId="77777777" w:rsidTr="0037632B">
        <w:trPr>
          <w:trHeight w:val="294"/>
          <w:jc w:val="center"/>
        </w:trPr>
        <w:tc>
          <w:tcPr>
            <w:tcW w:w="3951" w:type="dxa"/>
            <w:tcBorders>
              <w:top w:val="single" w:sz="4" w:space="0" w:color="auto"/>
              <w:left w:val="nil"/>
              <w:bottom w:val="single" w:sz="4" w:space="0" w:color="auto"/>
              <w:right w:val="nil"/>
            </w:tcBorders>
          </w:tcPr>
          <w:p w14:paraId="0DBD3B8F"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Flexibility and Adaptability</w:t>
            </w:r>
          </w:p>
        </w:tc>
        <w:tc>
          <w:tcPr>
            <w:tcW w:w="974" w:type="dxa"/>
            <w:tcBorders>
              <w:top w:val="single" w:sz="4" w:space="0" w:color="auto"/>
              <w:left w:val="nil"/>
              <w:bottom w:val="single" w:sz="4" w:space="0" w:color="auto"/>
              <w:right w:val="nil"/>
            </w:tcBorders>
            <w:noWrap/>
            <w:vAlign w:val="center"/>
          </w:tcPr>
          <w:p w14:paraId="2FA29C57"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4.36</w:t>
            </w:r>
          </w:p>
        </w:tc>
        <w:tc>
          <w:tcPr>
            <w:tcW w:w="1422" w:type="dxa"/>
            <w:tcBorders>
              <w:top w:val="single" w:sz="4" w:space="0" w:color="auto"/>
              <w:left w:val="nil"/>
              <w:bottom w:val="single" w:sz="4" w:space="0" w:color="auto"/>
              <w:right w:val="nil"/>
            </w:tcBorders>
            <w:noWrap/>
            <w:vAlign w:val="center"/>
          </w:tcPr>
          <w:p w14:paraId="0C5482B6"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0.36</w:t>
            </w:r>
          </w:p>
        </w:tc>
        <w:tc>
          <w:tcPr>
            <w:tcW w:w="2072" w:type="dxa"/>
            <w:tcBorders>
              <w:top w:val="single" w:sz="4" w:space="0" w:color="auto"/>
              <w:left w:val="nil"/>
              <w:bottom w:val="single" w:sz="4" w:space="0" w:color="auto"/>
              <w:right w:val="nil"/>
            </w:tcBorders>
            <w:noWrap/>
            <w:vAlign w:val="bottom"/>
          </w:tcPr>
          <w:p w14:paraId="21273013"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1E53EB3D" w14:textId="77777777" w:rsidTr="0037632B">
        <w:trPr>
          <w:trHeight w:val="294"/>
          <w:jc w:val="center"/>
        </w:trPr>
        <w:tc>
          <w:tcPr>
            <w:tcW w:w="3951" w:type="dxa"/>
            <w:tcBorders>
              <w:top w:val="single" w:sz="4" w:space="0" w:color="auto"/>
              <w:left w:val="nil"/>
              <w:bottom w:val="single" w:sz="4" w:space="0" w:color="auto"/>
              <w:right w:val="nil"/>
            </w:tcBorders>
          </w:tcPr>
          <w:p w14:paraId="062DD65C"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Dependability</w:t>
            </w:r>
          </w:p>
        </w:tc>
        <w:tc>
          <w:tcPr>
            <w:tcW w:w="974" w:type="dxa"/>
            <w:tcBorders>
              <w:top w:val="single" w:sz="4" w:space="0" w:color="auto"/>
              <w:left w:val="nil"/>
              <w:bottom w:val="single" w:sz="4" w:space="0" w:color="auto"/>
              <w:right w:val="nil"/>
            </w:tcBorders>
            <w:noWrap/>
            <w:vAlign w:val="center"/>
          </w:tcPr>
          <w:p w14:paraId="2785443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4.45</w:t>
            </w:r>
          </w:p>
        </w:tc>
        <w:tc>
          <w:tcPr>
            <w:tcW w:w="1422" w:type="dxa"/>
            <w:tcBorders>
              <w:top w:val="single" w:sz="4" w:space="0" w:color="auto"/>
              <w:left w:val="nil"/>
              <w:bottom w:val="single" w:sz="4" w:space="0" w:color="auto"/>
              <w:right w:val="nil"/>
            </w:tcBorders>
            <w:noWrap/>
            <w:vAlign w:val="center"/>
          </w:tcPr>
          <w:p w14:paraId="3E95CB3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0.40</w:t>
            </w:r>
          </w:p>
        </w:tc>
        <w:tc>
          <w:tcPr>
            <w:tcW w:w="2072" w:type="dxa"/>
            <w:tcBorders>
              <w:top w:val="single" w:sz="4" w:space="0" w:color="auto"/>
              <w:left w:val="nil"/>
              <w:bottom w:val="single" w:sz="4" w:space="0" w:color="auto"/>
              <w:right w:val="nil"/>
            </w:tcBorders>
            <w:noWrap/>
            <w:vAlign w:val="bottom"/>
          </w:tcPr>
          <w:p w14:paraId="13A0E3E8"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537C2E01" w14:textId="77777777" w:rsidTr="0037632B">
        <w:trPr>
          <w:trHeight w:val="294"/>
          <w:jc w:val="center"/>
        </w:trPr>
        <w:tc>
          <w:tcPr>
            <w:tcW w:w="3951" w:type="dxa"/>
            <w:tcBorders>
              <w:top w:val="single" w:sz="4" w:space="0" w:color="auto"/>
              <w:left w:val="nil"/>
              <w:bottom w:val="single" w:sz="4" w:space="0" w:color="auto"/>
              <w:right w:val="nil"/>
            </w:tcBorders>
          </w:tcPr>
          <w:p w14:paraId="1474403B"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Communication Skills</w:t>
            </w:r>
          </w:p>
        </w:tc>
        <w:tc>
          <w:tcPr>
            <w:tcW w:w="974" w:type="dxa"/>
            <w:tcBorders>
              <w:top w:val="single" w:sz="4" w:space="0" w:color="auto"/>
              <w:left w:val="nil"/>
              <w:bottom w:val="single" w:sz="4" w:space="0" w:color="auto"/>
              <w:right w:val="nil"/>
            </w:tcBorders>
            <w:noWrap/>
            <w:vAlign w:val="center"/>
          </w:tcPr>
          <w:p w14:paraId="4AD0CC5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4.44</w:t>
            </w:r>
          </w:p>
        </w:tc>
        <w:tc>
          <w:tcPr>
            <w:tcW w:w="1422" w:type="dxa"/>
            <w:tcBorders>
              <w:top w:val="single" w:sz="4" w:space="0" w:color="auto"/>
              <w:left w:val="nil"/>
              <w:bottom w:val="single" w:sz="4" w:space="0" w:color="auto"/>
              <w:right w:val="nil"/>
            </w:tcBorders>
            <w:noWrap/>
            <w:vAlign w:val="center"/>
          </w:tcPr>
          <w:p w14:paraId="473BBBD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0.40</w:t>
            </w:r>
          </w:p>
        </w:tc>
        <w:tc>
          <w:tcPr>
            <w:tcW w:w="2072" w:type="dxa"/>
            <w:tcBorders>
              <w:top w:val="single" w:sz="4" w:space="0" w:color="auto"/>
              <w:left w:val="nil"/>
              <w:bottom w:val="single" w:sz="4" w:space="0" w:color="auto"/>
              <w:right w:val="nil"/>
            </w:tcBorders>
            <w:noWrap/>
            <w:vAlign w:val="bottom"/>
          </w:tcPr>
          <w:p w14:paraId="59A2BEBD"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3775071E" w14:textId="77777777" w:rsidTr="0037632B">
        <w:trPr>
          <w:trHeight w:val="294"/>
          <w:jc w:val="center"/>
        </w:trPr>
        <w:tc>
          <w:tcPr>
            <w:tcW w:w="3951" w:type="dxa"/>
            <w:tcBorders>
              <w:top w:val="single" w:sz="4" w:space="0" w:color="auto"/>
              <w:left w:val="nil"/>
              <w:bottom w:val="single" w:sz="4" w:space="0" w:color="auto"/>
              <w:right w:val="nil"/>
            </w:tcBorders>
          </w:tcPr>
          <w:p w14:paraId="5DFDB1EE"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Leadership Skills</w:t>
            </w:r>
          </w:p>
        </w:tc>
        <w:tc>
          <w:tcPr>
            <w:tcW w:w="974" w:type="dxa"/>
            <w:tcBorders>
              <w:top w:val="single" w:sz="4" w:space="0" w:color="auto"/>
              <w:left w:val="nil"/>
              <w:bottom w:val="single" w:sz="4" w:space="0" w:color="auto"/>
              <w:right w:val="nil"/>
            </w:tcBorders>
            <w:noWrap/>
            <w:vAlign w:val="center"/>
          </w:tcPr>
          <w:p w14:paraId="689FE1E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4.47</w:t>
            </w:r>
          </w:p>
        </w:tc>
        <w:tc>
          <w:tcPr>
            <w:tcW w:w="1422" w:type="dxa"/>
            <w:tcBorders>
              <w:top w:val="single" w:sz="4" w:space="0" w:color="auto"/>
              <w:left w:val="nil"/>
              <w:bottom w:val="single" w:sz="4" w:space="0" w:color="auto"/>
              <w:right w:val="nil"/>
            </w:tcBorders>
            <w:noWrap/>
            <w:vAlign w:val="center"/>
          </w:tcPr>
          <w:p w14:paraId="58AB6BE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0.39</w:t>
            </w:r>
          </w:p>
        </w:tc>
        <w:tc>
          <w:tcPr>
            <w:tcW w:w="2072" w:type="dxa"/>
            <w:tcBorders>
              <w:top w:val="single" w:sz="4" w:space="0" w:color="auto"/>
              <w:left w:val="nil"/>
              <w:bottom w:val="single" w:sz="4" w:space="0" w:color="auto"/>
              <w:right w:val="nil"/>
            </w:tcBorders>
            <w:noWrap/>
            <w:vAlign w:val="bottom"/>
          </w:tcPr>
          <w:p w14:paraId="43588F0F"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4A7AA4F8" w14:textId="77777777" w:rsidTr="0037632B">
        <w:trPr>
          <w:trHeight w:val="294"/>
          <w:jc w:val="center"/>
        </w:trPr>
        <w:tc>
          <w:tcPr>
            <w:tcW w:w="3951" w:type="dxa"/>
            <w:tcBorders>
              <w:top w:val="single" w:sz="4" w:space="0" w:color="auto"/>
              <w:left w:val="nil"/>
              <w:bottom w:val="single" w:sz="4" w:space="0" w:color="auto"/>
              <w:right w:val="nil"/>
            </w:tcBorders>
          </w:tcPr>
          <w:p w14:paraId="1F9EED7B"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Commitment</w:t>
            </w:r>
          </w:p>
        </w:tc>
        <w:tc>
          <w:tcPr>
            <w:tcW w:w="974" w:type="dxa"/>
            <w:tcBorders>
              <w:top w:val="single" w:sz="4" w:space="0" w:color="auto"/>
              <w:left w:val="nil"/>
              <w:bottom w:val="single" w:sz="4" w:space="0" w:color="auto"/>
              <w:right w:val="nil"/>
            </w:tcBorders>
            <w:noWrap/>
            <w:vAlign w:val="center"/>
          </w:tcPr>
          <w:p w14:paraId="2F094A8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4.41</w:t>
            </w:r>
          </w:p>
        </w:tc>
        <w:tc>
          <w:tcPr>
            <w:tcW w:w="1422" w:type="dxa"/>
            <w:tcBorders>
              <w:top w:val="single" w:sz="4" w:space="0" w:color="auto"/>
              <w:left w:val="nil"/>
              <w:bottom w:val="single" w:sz="4" w:space="0" w:color="auto"/>
              <w:right w:val="nil"/>
            </w:tcBorders>
            <w:noWrap/>
            <w:vAlign w:val="center"/>
          </w:tcPr>
          <w:p w14:paraId="127CAB0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0.44</w:t>
            </w:r>
          </w:p>
        </w:tc>
        <w:tc>
          <w:tcPr>
            <w:tcW w:w="2072" w:type="dxa"/>
            <w:tcBorders>
              <w:top w:val="single" w:sz="4" w:space="0" w:color="auto"/>
              <w:left w:val="nil"/>
              <w:bottom w:val="single" w:sz="4" w:space="0" w:color="auto"/>
              <w:right w:val="nil"/>
            </w:tcBorders>
            <w:noWrap/>
            <w:vAlign w:val="bottom"/>
          </w:tcPr>
          <w:p w14:paraId="53BB10A6"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576895C3" w14:textId="77777777" w:rsidTr="0037632B">
        <w:trPr>
          <w:trHeight w:val="294"/>
          <w:jc w:val="center"/>
        </w:trPr>
        <w:tc>
          <w:tcPr>
            <w:tcW w:w="3951" w:type="dxa"/>
            <w:tcBorders>
              <w:top w:val="single" w:sz="4" w:space="0" w:color="auto"/>
              <w:left w:val="nil"/>
              <w:bottom w:val="single" w:sz="4" w:space="0" w:color="auto"/>
              <w:right w:val="nil"/>
            </w:tcBorders>
          </w:tcPr>
          <w:p w14:paraId="5E1790D0"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Collaboration</w:t>
            </w:r>
          </w:p>
        </w:tc>
        <w:tc>
          <w:tcPr>
            <w:tcW w:w="974" w:type="dxa"/>
            <w:tcBorders>
              <w:top w:val="single" w:sz="4" w:space="0" w:color="auto"/>
              <w:left w:val="nil"/>
              <w:bottom w:val="single" w:sz="4" w:space="0" w:color="auto"/>
              <w:right w:val="nil"/>
            </w:tcBorders>
            <w:noWrap/>
            <w:vAlign w:val="center"/>
          </w:tcPr>
          <w:p w14:paraId="491B69C8"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4.50</w:t>
            </w:r>
          </w:p>
        </w:tc>
        <w:tc>
          <w:tcPr>
            <w:tcW w:w="1422" w:type="dxa"/>
            <w:tcBorders>
              <w:top w:val="single" w:sz="4" w:space="0" w:color="auto"/>
              <w:left w:val="nil"/>
              <w:bottom w:val="single" w:sz="4" w:space="0" w:color="auto"/>
              <w:right w:val="nil"/>
            </w:tcBorders>
            <w:noWrap/>
            <w:vAlign w:val="center"/>
          </w:tcPr>
          <w:p w14:paraId="3BB5FEE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0.44</w:t>
            </w:r>
          </w:p>
        </w:tc>
        <w:tc>
          <w:tcPr>
            <w:tcW w:w="2072" w:type="dxa"/>
            <w:tcBorders>
              <w:top w:val="single" w:sz="4" w:space="0" w:color="auto"/>
              <w:left w:val="nil"/>
              <w:bottom w:val="single" w:sz="4" w:space="0" w:color="auto"/>
              <w:right w:val="nil"/>
            </w:tcBorders>
            <w:noWrap/>
            <w:vAlign w:val="bottom"/>
          </w:tcPr>
          <w:p w14:paraId="50012801"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Outstanding</w:t>
            </w:r>
          </w:p>
        </w:tc>
      </w:tr>
      <w:tr w:rsidR="005F1BEC" w:rsidRPr="005F1BEC" w14:paraId="04CD8B37" w14:textId="77777777" w:rsidTr="0037632B">
        <w:trPr>
          <w:trHeight w:val="294"/>
          <w:jc w:val="center"/>
        </w:trPr>
        <w:tc>
          <w:tcPr>
            <w:tcW w:w="3951" w:type="dxa"/>
            <w:tcBorders>
              <w:top w:val="single" w:sz="4" w:space="0" w:color="auto"/>
              <w:left w:val="nil"/>
              <w:bottom w:val="single" w:sz="4" w:space="0" w:color="auto"/>
              <w:right w:val="nil"/>
            </w:tcBorders>
          </w:tcPr>
          <w:p w14:paraId="62464D27"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Overall Performance</w:t>
            </w:r>
          </w:p>
        </w:tc>
        <w:tc>
          <w:tcPr>
            <w:tcW w:w="974" w:type="dxa"/>
            <w:tcBorders>
              <w:top w:val="single" w:sz="4" w:space="0" w:color="auto"/>
              <w:left w:val="nil"/>
              <w:bottom w:val="single" w:sz="4" w:space="0" w:color="auto"/>
              <w:right w:val="nil"/>
            </w:tcBorders>
            <w:noWrap/>
            <w:vAlign w:val="center"/>
          </w:tcPr>
          <w:p w14:paraId="3E0ABFEA"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4.44</w:t>
            </w:r>
          </w:p>
        </w:tc>
        <w:tc>
          <w:tcPr>
            <w:tcW w:w="1422" w:type="dxa"/>
            <w:tcBorders>
              <w:top w:val="single" w:sz="4" w:space="0" w:color="auto"/>
              <w:left w:val="nil"/>
              <w:bottom w:val="single" w:sz="4" w:space="0" w:color="auto"/>
              <w:right w:val="nil"/>
            </w:tcBorders>
            <w:noWrap/>
            <w:vAlign w:val="center"/>
          </w:tcPr>
          <w:p w14:paraId="3D713951"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0.35</w:t>
            </w:r>
          </w:p>
        </w:tc>
        <w:tc>
          <w:tcPr>
            <w:tcW w:w="2072" w:type="dxa"/>
            <w:tcBorders>
              <w:top w:val="single" w:sz="4" w:space="0" w:color="auto"/>
              <w:left w:val="nil"/>
              <w:bottom w:val="single" w:sz="4" w:space="0" w:color="auto"/>
              <w:right w:val="nil"/>
            </w:tcBorders>
            <w:noWrap/>
            <w:vAlign w:val="bottom"/>
          </w:tcPr>
          <w:p w14:paraId="3BB0B2F1"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Very Satisfactory</w:t>
            </w:r>
          </w:p>
        </w:tc>
      </w:tr>
    </w:tbl>
    <w:p w14:paraId="5C627147" w14:textId="77777777" w:rsidR="005F1BEC" w:rsidRPr="005F1BEC" w:rsidRDefault="005F1BEC" w:rsidP="005F1BEC">
      <w:pPr>
        <w:widowControl w:val="0"/>
        <w:autoSpaceDE w:val="0"/>
        <w:autoSpaceDN w:val="0"/>
        <w:jc w:val="both"/>
        <w:rPr>
          <w:rFonts w:ascii="Arial" w:eastAsia="Arial" w:hAnsi="Arial" w:cs="Arial"/>
        </w:rPr>
      </w:pPr>
      <w:r w:rsidRPr="005F1BEC">
        <w:rPr>
          <w:rFonts w:ascii="Arial" w:eastAsia="Arial" w:hAnsi="Arial" w:cs="Arial"/>
        </w:rPr>
        <w:t xml:space="preserve">  </w:t>
      </w:r>
    </w:p>
    <w:p w14:paraId="0DF557B0" w14:textId="039D28CD" w:rsidR="0037632B" w:rsidRDefault="005F1BEC" w:rsidP="007C5F1E">
      <w:pPr>
        <w:widowControl w:val="0"/>
        <w:autoSpaceDE w:val="0"/>
        <w:autoSpaceDN w:val="0"/>
        <w:ind w:firstLine="720"/>
        <w:jc w:val="both"/>
        <w:rPr>
          <w:rFonts w:ascii="Arial" w:eastAsia="Arial" w:hAnsi="Arial" w:cs="Arial"/>
        </w:rPr>
      </w:pPr>
      <w:r w:rsidRPr="005F1BEC">
        <w:rPr>
          <w:rFonts w:ascii="Arial" w:eastAsia="Arial" w:hAnsi="Arial" w:cs="Arial"/>
        </w:rPr>
        <w:t xml:space="preserve"> </w:t>
      </w:r>
      <w:r w:rsidR="007C5F1E" w:rsidRPr="007C5F1E">
        <w:rPr>
          <w:rFonts w:ascii="Arial" w:eastAsia="Arial" w:hAnsi="Arial" w:cs="Arial"/>
        </w:rPr>
        <w:t>Collaboration received the highest mean rating (x̄ = 4.50), marking it as the only outstanding domain, while Flexibility and Adaptability had the lowest (x̄ = 4.36), indicating room for growth in managing classroom changes. Overall, high scores across domains affirm the BEED program’s effectiveness. Supporting studies (</w:t>
      </w:r>
      <w:proofErr w:type="spellStart"/>
      <w:r w:rsidR="007C5F1E" w:rsidRPr="007C5F1E">
        <w:rPr>
          <w:rFonts w:ascii="Arial" w:eastAsia="Arial" w:hAnsi="Arial" w:cs="Arial"/>
        </w:rPr>
        <w:t>Salendab</w:t>
      </w:r>
      <w:proofErr w:type="spellEnd"/>
      <w:r w:rsidR="007C5F1E" w:rsidRPr="007C5F1E">
        <w:rPr>
          <w:rFonts w:ascii="Arial" w:eastAsia="Arial" w:hAnsi="Arial" w:cs="Arial"/>
        </w:rPr>
        <w:t xml:space="preserve"> &amp; </w:t>
      </w:r>
      <w:proofErr w:type="spellStart"/>
      <w:r w:rsidR="007C5F1E" w:rsidRPr="007C5F1E">
        <w:rPr>
          <w:rFonts w:ascii="Arial" w:eastAsia="Arial" w:hAnsi="Arial" w:cs="Arial"/>
        </w:rPr>
        <w:t>Ocariza-Salendab</w:t>
      </w:r>
      <w:proofErr w:type="spellEnd"/>
      <w:r w:rsidR="007C5F1E" w:rsidRPr="007C5F1E">
        <w:rPr>
          <w:rFonts w:ascii="Arial" w:eastAsia="Arial" w:hAnsi="Arial" w:cs="Arial"/>
        </w:rPr>
        <w:t xml:space="preserve">, 2023; </w:t>
      </w:r>
      <w:proofErr w:type="spellStart"/>
      <w:r w:rsidR="007C5F1E" w:rsidRPr="007C5F1E">
        <w:rPr>
          <w:rFonts w:ascii="Arial" w:eastAsia="Arial" w:hAnsi="Arial" w:cs="Arial"/>
        </w:rPr>
        <w:t>Batisla-ong</w:t>
      </w:r>
      <w:proofErr w:type="spellEnd"/>
      <w:r w:rsidR="007C5F1E" w:rsidRPr="007C5F1E">
        <w:rPr>
          <w:rFonts w:ascii="Arial" w:eastAsia="Arial" w:hAnsi="Arial" w:cs="Arial"/>
        </w:rPr>
        <w:t xml:space="preserve">, 2022; </w:t>
      </w:r>
      <w:proofErr w:type="spellStart"/>
      <w:r w:rsidR="007C5F1E" w:rsidRPr="007C5F1E">
        <w:rPr>
          <w:rFonts w:ascii="Arial" w:eastAsia="Arial" w:hAnsi="Arial" w:cs="Arial"/>
        </w:rPr>
        <w:t>Sinsay</w:t>
      </w:r>
      <w:proofErr w:type="spellEnd"/>
      <w:r w:rsidR="007C5F1E" w:rsidRPr="007C5F1E">
        <w:rPr>
          <w:rFonts w:ascii="Arial" w:eastAsia="Arial" w:hAnsi="Arial" w:cs="Arial"/>
        </w:rPr>
        <w:t xml:space="preserve">-Villanueva et al., 2025; Khoo et al., 2020; </w:t>
      </w:r>
      <w:proofErr w:type="spellStart"/>
      <w:r w:rsidR="007C5F1E" w:rsidRPr="007C5F1E">
        <w:rPr>
          <w:rFonts w:ascii="Arial" w:eastAsia="Arial" w:hAnsi="Arial" w:cs="Arial"/>
        </w:rPr>
        <w:t>Favoretto</w:t>
      </w:r>
      <w:proofErr w:type="spellEnd"/>
      <w:r w:rsidR="007C5F1E" w:rsidRPr="007C5F1E">
        <w:rPr>
          <w:rFonts w:ascii="Arial" w:eastAsia="Arial" w:hAnsi="Arial" w:cs="Arial"/>
        </w:rPr>
        <w:t xml:space="preserve"> et al., 2019) confirm strong graduate performance in teaching and leadership, aligning with global employer expectations.</w:t>
      </w:r>
    </w:p>
    <w:p w14:paraId="3F32F154" w14:textId="77777777" w:rsidR="007C5F1E" w:rsidRDefault="007C5F1E" w:rsidP="007C5F1E">
      <w:pPr>
        <w:widowControl w:val="0"/>
        <w:autoSpaceDE w:val="0"/>
        <w:autoSpaceDN w:val="0"/>
        <w:ind w:firstLine="720"/>
        <w:jc w:val="both"/>
        <w:rPr>
          <w:rFonts w:ascii="Arial" w:eastAsia="Arial" w:hAnsi="Arial" w:cs="Arial"/>
        </w:rPr>
      </w:pPr>
    </w:p>
    <w:p w14:paraId="31FA725A" w14:textId="5F59AAAB" w:rsidR="005F1BEC" w:rsidRPr="005F1BEC" w:rsidRDefault="005F1BEC" w:rsidP="0037632B">
      <w:pPr>
        <w:widowControl w:val="0"/>
        <w:autoSpaceDE w:val="0"/>
        <w:autoSpaceDN w:val="0"/>
        <w:jc w:val="both"/>
        <w:rPr>
          <w:rFonts w:ascii="Arial" w:eastAsia="Times New Roman" w:hAnsi="Arial" w:cs="Arial"/>
          <w:b/>
          <w:bCs/>
        </w:rPr>
      </w:pPr>
      <w:r w:rsidRPr="005F1BEC">
        <w:rPr>
          <w:rFonts w:ascii="Arial" w:eastAsia="Times New Roman" w:hAnsi="Arial" w:cs="Arial"/>
          <w:b/>
          <w:bCs/>
        </w:rPr>
        <w:t>Level of Employer Feedback on BEED Graduates</w:t>
      </w:r>
    </w:p>
    <w:p w14:paraId="7001BD29" w14:textId="5E5AD532" w:rsidR="005F1BEC" w:rsidRPr="005F1BEC" w:rsidRDefault="005F1BEC" w:rsidP="005F1BEC">
      <w:pPr>
        <w:widowControl w:val="0"/>
        <w:autoSpaceDE w:val="0"/>
        <w:autoSpaceDN w:val="0"/>
        <w:ind w:firstLine="720"/>
        <w:jc w:val="both"/>
        <w:rPr>
          <w:rFonts w:ascii="Arial" w:eastAsia="Arial" w:hAnsi="Arial" w:cs="Arial"/>
        </w:rPr>
      </w:pPr>
      <w:r w:rsidRPr="005F1BEC">
        <w:rPr>
          <w:rFonts w:ascii="Arial" w:eastAsia="Arial" w:hAnsi="Arial" w:cs="Arial"/>
        </w:rPr>
        <w:t xml:space="preserve">Table </w:t>
      </w:r>
      <w:r w:rsidR="003733BF">
        <w:rPr>
          <w:rFonts w:ascii="Arial" w:eastAsia="Arial" w:hAnsi="Arial" w:cs="Arial"/>
        </w:rPr>
        <w:t>7</w:t>
      </w:r>
      <w:r w:rsidRPr="005F1BEC">
        <w:rPr>
          <w:rFonts w:ascii="Arial" w:eastAsia="Arial" w:hAnsi="Arial" w:cs="Arial"/>
        </w:rPr>
        <w:t xml:space="preserve"> presents the evaluation of BEED graduates in the Subject Knowledge domain, yielding a mean of 4.45 (SD = 0.35), which is interpreted </w:t>
      </w:r>
      <w:r w:rsidRPr="005F1BEC">
        <w:rPr>
          <w:rFonts w:ascii="Arial" w:eastAsia="Arial" w:hAnsi="Arial" w:cs="Arial"/>
          <w:color w:val="000000"/>
        </w:rPr>
        <w:t>as very satisfactory</w:t>
      </w:r>
      <w:r w:rsidRPr="005F1BEC">
        <w:rPr>
          <w:rFonts w:ascii="Arial" w:eastAsia="Arial" w:hAnsi="Arial" w:cs="Arial"/>
        </w:rPr>
        <w:t>. This indicates that graduates possess a strong grasp of the content they are expected to teach, as well as the ability to apply this knowledge effectively in classroom settings.</w:t>
      </w:r>
    </w:p>
    <w:tbl>
      <w:tblPr>
        <w:tblW w:w="8367" w:type="dxa"/>
        <w:tblInd w:w="93" w:type="dxa"/>
        <w:tblLook w:val="04A0" w:firstRow="1" w:lastRow="0" w:firstColumn="1" w:lastColumn="0" w:noHBand="0" w:noVBand="1"/>
      </w:tblPr>
      <w:tblGrid>
        <w:gridCol w:w="4612"/>
        <w:gridCol w:w="960"/>
        <w:gridCol w:w="1400"/>
        <w:gridCol w:w="1395"/>
      </w:tblGrid>
      <w:tr w:rsidR="005F1BEC" w:rsidRPr="005F1BEC" w14:paraId="03304070" w14:textId="77777777" w:rsidTr="0037632B">
        <w:trPr>
          <w:trHeight w:val="570"/>
        </w:trPr>
        <w:tc>
          <w:tcPr>
            <w:tcW w:w="8367" w:type="dxa"/>
            <w:gridSpan w:val="4"/>
            <w:tcBorders>
              <w:top w:val="nil"/>
              <w:left w:val="nil"/>
              <w:bottom w:val="single" w:sz="4" w:space="0" w:color="auto"/>
              <w:right w:val="nil"/>
            </w:tcBorders>
            <w:vAlign w:val="center"/>
          </w:tcPr>
          <w:p w14:paraId="0DC2BF44" w14:textId="6C8D4323" w:rsidR="005F1BEC" w:rsidRPr="005F1BEC" w:rsidRDefault="005F1BEC" w:rsidP="005F1BEC">
            <w:pPr>
              <w:jc w:val="both"/>
              <w:rPr>
                <w:rFonts w:ascii="Arial" w:eastAsia="Times New Roman" w:hAnsi="Arial" w:cs="Arial"/>
                <w:b/>
                <w:bCs/>
              </w:rPr>
            </w:pPr>
            <w:r w:rsidRPr="005F1BEC">
              <w:rPr>
                <w:rFonts w:ascii="Arial" w:eastAsia="Times New Roman" w:hAnsi="Arial" w:cs="Arial"/>
                <w:lang w:bidi="ar"/>
              </w:rPr>
              <w:t xml:space="preserve">Table </w:t>
            </w:r>
            <w:r w:rsidR="003733BF">
              <w:rPr>
                <w:rFonts w:ascii="Arial" w:eastAsia="Times New Roman" w:hAnsi="Arial" w:cs="Arial"/>
                <w:lang w:bidi="ar"/>
              </w:rPr>
              <w:t>7</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Level of employer feedback on BEED graduates’ workplace performance in terms of subject knowledge domain</w:t>
            </w:r>
          </w:p>
        </w:tc>
      </w:tr>
      <w:tr w:rsidR="005F1BEC" w:rsidRPr="005F1BEC" w14:paraId="1F151972" w14:textId="77777777" w:rsidTr="0037632B">
        <w:trPr>
          <w:trHeight w:val="570"/>
        </w:trPr>
        <w:tc>
          <w:tcPr>
            <w:tcW w:w="4860" w:type="dxa"/>
            <w:tcBorders>
              <w:top w:val="single" w:sz="4" w:space="0" w:color="auto"/>
              <w:left w:val="nil"/>
              <w:bottom w:val="single" w:sz="4" w:space="0" w:color="auto"/>
              <w:right w:val="nil"/>
            </w:tcBorders>
            <w:vAlign w:val="center"/>
          </w:tcPr>
          <w:p w14:paraId="6D24CD05"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Indicators</w:t>
            </w:r>
          </w:p>
        </w:tc>
        <w:tc>
          <w:tcPr>
            <w:tcW w:w="960" w:type="dxa"/>
            <w:tcBorders>
              <w:top w:val="single" w:sz="4" w:space="0" w:color="auto"/>
              <w:left w:val="nil"/>
              <w:bottom w:val="single" w:sz="4" w:space="0" w:color="auto"/>
              <w:right w:val="nil"/>
            </w:tcBorders>
            <w:vAlign w:val="center"/>
          </w:tcPr>
          <w:p w14:paraId="37DA2BD6"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Mean</w:t>
            </w:r>
          </w:p>
        </w:tc>
        <w:tc>
          <w:tcPr>
            <w:tcW w:w="1400" w:type="dxa"/>
            <w:tcBorders>
              <w:top w:val="single" w:sz="4" w:space="0" w:color="auto"/>
              <w:left w:val="nil"/>
              <w:bottom w:val="single" w:sz="4" w:space="0" w:color="auto"/>
              <w:right w:val="nil"/>
            </w:tcBorders>
            <w:vAlign w:val="center"/>
          </w:tcPr>
          <w:p w14:paraId="47D07441"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Std. Deviation</w:t>
            </w:r>
          </w:p>
        </w:tc>
        <w:tc>
          <w:tcPr>
            <w:tcW w:w="1147" w:type="dxa"/>
            <w:tcBorders>
              <w:top w:val="single" w:sz="4" w:space="0" w:color="auto"/>
              <w:left w:val="nil"/>
              <w:bottom w:val="single" w:sz="4" w:space="0" w:color="auto"/>
              <w:right w:val="nil"/>
            </w:tcBorders>
            <w:noWrap/>
            <w:vAlign w:val="center"/>
          </w:tcPr>
          <w:p w14:paraId="2308AE58"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Interpretation</w:t>
            </w:r>
          </w:p>
        </w:tc>
      </w:tr>
      <w:tr w:rsidR="005F1BEC" w:rsidRPr="005F1BEC" w14:paraId="60103B8B" w14:textId="77777777" w:rsidTr="0037632B">
        <w:trPr>
          <w:trHeight w:val="300"/>
        </w:trPr>
        <w:tc>
          <w:tcPr>
            <w:tcW w:w="4860" w:type="dxa"/>
            <w:tcBorders>
              <w:top w:val="single" w:sz="4" w:space="0" w:color="auto"/>
              <w:left w:val="nil"/>
              <w:bottom w:val="single" w:sz="4" w:space="0" w:color="auto"/>
              <w:right w:val="nil"/>
            </w:tcBorders>
            <w:vAlign w:val="center"/>
          </w:tcPr>
          <w:p w14:paraId="077DFC17" w14:textId="77777777" w:rsidR="005F1BEC" w:rsidRPr="005F1BEC" w:rsidRDefault="005F1BEC" w:rsidP="005F1BEC">
            <w:pPr>
              <w:rPr>
                <w:rFonts w:ascii="Arial" w:eastAsia="Times New Roman" w:hAnsi="Arial" w:cs="Arial"/>
                <w:color w:val="000000"/>
              </w:rPr>
            </w:pPr>
            <w:r w:rsidRPr="005F1BEC">
              <w:rPr>
                <w:rFonts w:ascii="Arial" w:eastAsia="Times New Roman" w:hAnsi="Arial" w:cs="Arial"/>
                <w:color w:val="000000"/>
                <w:lang w:bidi="ar"/>
              </w:rPr>
              <w:t>Demonstrates a solid understanding of the key concepts, facts, and skills taught at the elementary level.</w:t>
            </w:r>
          </w:p>
        </w:tc>
        <w:tc>
          <w:tcPr>
            <w:tcW w:w="960" w:type="dxa"/>
            <w:tcBorders>
              <w:top w:val="single" w:sz="4" w:space="0" w:color="auto"/>
              <w:left w:val="nil"/>
              <w:bottom w:val="single" w:sz="4" w:space="0" w:color="auto"/>
              <w:right w:val="nil"/>
            </w:tcBorders>
            <w:noWrap/>
            <w:vAlign w:val="center"/>
          </w:tcPr>
          <w:p w14:paraId="073CB163"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4.51</w:t>
            </w:r>
          </w:p>
        </w:tc>
        <w:tc>
          <w:tcPr>
            <w:tcW w:w="1400" w:type="dxa"/>
            <w:tcBorders>
              <w:top w:val="single" w:sz="4" w:space="0" w:color="auto"/>
              <w:left w:val="nil"/>
              <w:bottom w:val="single" w:sz="4" w:space="0" w:color="auto"/>
              <w:right w:val="nil"/>
            </w:tcBorders>
            <w:noWrap/>
            <w:vAlign w:val="center"/>
          </w:tcPr>
          <w:p w14:paraId="3E6DCAD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0.38</w:t>
            </w:r>
          </w:p>
        </w:tc>
        <w:tc>
          <w:tcPr>
            <w:tcW w:w="1147" w:type="dxa"/>
            <w:tcBorders>
              <w:top w:val="single" w:sz="4" w:space="0" w:color="auto"/>
              <w:left w:val="nil"/>
              <w:bottom w:val="single" w:sz="4" w:space="0" w:color="auto"/>
              <w:right w:val="nil"/>
            </w:tcBorders>
            <w:noWrap/>
            <w:vAlign w:val="center"/>
          </w:tcPr>
          <w:p w14:paraId="150AF2C5"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Outstanding</w:t>
            </w:r>
          </w:p>
        </w:tc>
      </w:tr>
      <w:tr w:rsidR="005F1BEC" w:rsidRPr="005F1BEC" w14:paraId="3D21F0BF" w14:textId="77777777" w:rsidTr="0037632B">
        <w:trPr>
          <w:trHeight w:val="300"/>
        </w:trPr>
        <w:tc>
          <w:tcPr>
            <w:tcW w:w="4860" w:type="dxa"/>
            <w:tcBorders>
              <w:top w:val="single" w:sz="4" w:space="0" w:color="auto"/>
              <w:left w:val="nil"/>
              <w:bottom w:val="single" w:sz="4" w:space="0" w:color="auto"/>
              <w:right w:val="nil"/>
            </w:tcBorders>
            <w:vAlign w:val="center"/>
          </w:tcPr>
          <w:p w14:paraId="69C92460" w14:textId="77777777" w:rsidR="005F1BEC" w:rsidRPr="005F1BEC" w:rsidRDefault="005F1BEC" w:rsidP="005F1BEC">
            <w:pPr>
              <w:rPr>
                <w:rFonts w:ascii="Arial" w:eastAsia="Times New Roman" w:hAnsi="Arial" w:cs="Arial"/>
                <w:color w:val="000000"/>
              </w:rPr>
            </w:pPr>
            <w:r w:rsidRPr="005F1BEC">
              <w:rPr>
                <w:rFonts w:ascii="Arial" w:eastAsia="Times New Roman" w:hAnsi="Arial" w:cs="Arial"/>
                <w:color w:val="000000"/>
                <w:lang w:bidi="ar"/>
              </w:rPr>
              <w:t>Discusses the topic without relying exclusively on the required reading.</w:t>
            </w:r>
          </w:p>
        </w:tc>
        <w:tc>
          <w:tcPr>
            <w:tcW w:w="960" w:type="dxa"/>
            <w:tcBorders>
              <w:top w:val="single" w:sz="4" w:space="0" w:color="auto"/>
              <w:left w:val="nil"/>
              <w:bottom w:val="single" w:sz="4" w:space="0" w:color="auto"/>
              <w:right w:val="nil"/>
            </w:tcBorders>
            <w:noWrap/>
            <w:vAlign w:val="center"/>
          </w:tcPr>
          <w:p w14:paraId="648571C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4.31</w:t>
            </w:r>
          </w:p>
        </w:tc>
        <w:tc>
          <w:tcPr>
            <w:tcW w:w="1400" w:type="dxa"/>
            <w:tcBorders>
              <w:top w:val="single" w:sz="4" w:space="0" w:color="auto"/>
              <w:left w:val="nil"/>
              <w:bottom w:val="single" w:sz="4" w:space="0" w:color="auto"/>
              <w:right w:val="nil"/>
            </w:tcBorders>
            <w:noWrap/>
            <w:vAlign w:val="center"/>
          </w:tcPr>
          <w:p w14:paraId="6E69F51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0.44</w:t>
            </w:r>
          </w:p>
        </w:tc>
        <w:tc>
          <w:tcPr>
            <w:tcW w:w="1147" w:type="dxa"/>
            <w:tcBorders>
              <w:top w:val="single" w:sz="4" w:space="0" w:color="auto"/>
              <w:left w:val="nil"/>
              <w:bottom w:val="single" w:sz="4" w:space="0" w:color="auto"/>
              <w:right w:val="nil"/>
            </w:tcBorders>
            <w:noWrap/>
            <w:vAlign w:val="center"/>
          </w:tcPr>
          <w:p w14:paraId="71ED7156"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A112989" w14:textId="77777777" w:rsidTr="0037632B">
        <w:trPr>
          <w:trHeight w:val="300"/>
        </w:trPr>
        <w:tc>
          <w:tcPr>
            <w:tcW w:w="4860" w:type="dxa"/>
            <w:tcBorders>
              <w:top w:val="single" w:sz="4" w:space="0" w:color="auto"/>
              <w:left w:val="nil"/>
              <w:bottom w:val="single" w:sz="4" w:space="0" w:color="auto"/>
              <w:right w:val="nil"/>
            </w:tcBorders>
            <w:vAlign w:val="center"/>
          </w:tcPr>
          <w:p w14:paraId="5A1D96A4" w14:textId="77777777" w:rsidR="005F1BEC" w:rsidRPr="005F1BEC" w:rsidRDefault="005F1BEC" w:rsidP="005F1BEC">
            <w:pPr>
              <w:rPr>
                <w:rFonts w:ascii="Arial" w:eastAsia="Times New Roman" w:hAnsi="Arial" w:cs="Arial"/>
                <w:color w:val="000000"/>
              </w:rPr>
            </w:pPr>
            <w:r w:rsidRPr="005F1BEC">
              <w:rPr>
                <w:rFonts w:ascii="Arial" w:eastAsia="Times New Roman" w:hAnsi="Arial" w:cs="Arial"/>
                <w:color w:val="000000"/>
                <w:lang w:bidi="ar"/>
              </w:rPr>
              <w:t>Integrates subject matter with students' practical contexts and learning objectives/goals.</w:t>
            </w:r>
          </w:p>
        </w:tc>
        <w:tc>
          <w:tcPr>
            <w:tcW w:w="960" w:type="dxa"/>
            <w:tcBorders>
              <w:top w:val="single" w:sz="4" w:space="0" w:color="auto"/>
              <w:left w:val="nil"/>
              <w:bottom w:val="single" w:sz="4" w:space="0" w:color="auto"/>
              <w:right w:val="nil"/>
            </w:tcBorders>
            <w:noWrap/>
            <w:vAlign w:val="center"/>
          </w:tcPr>
          <w:p w14:paraId="3C2907D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4.52</w:t>
            </w:r>
          </w:p>
        </w:tc>
        <w:tc>
          <w:tcPr>
            <w:tcW w:w="1400" w:type="dxa"/>
            <w:tcBorders>
              <w:top w:val="single" w:sz="4" w:space="0" w:color="auto"/>
              <w:left w:val="nil"/>
              <w:bottom w:val="single" w:sz="4" w:space="0" w:color="auto"/>
              <w:right w:val="nil"/>
            </w:tcBorders>
            <w:noWrap/>
            <w:vAlign w:val="center"/>
          </w:tcPr>
          <w:p w14:paraId="0D1DA888"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0.37</w:t>
            </w:r>
          </w:p>
        </w:tc>
        <w:tc>
          <w:tcPr>
            <w:tcW w:w="1147" w:type="dxa"/>
            <w:tcBorders>
              <w:top w:val="single" w:sz="4" w:space="0" w:color="auto"/>
              <w:left w:val="nil"/>
              <w:bottom w:val="single" w:sz="4" w:space="0" w:color="auto"/>
              <w:right w:val="nil"/>
            </w:tcBorders>
            <w:noWrap/>
            <w:vAlign w:val="center"/>
          </w:tcPr>
          <w:p w14:paraId="45D72772"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Outstanding</w:t>
            </w:r>
          </w:p>
        </w:tc>
      </w:tr>
      <w:tr w:rsidR="005F1BEC" w:rsidRPr="005F1BEC" w14:paraId="29245019" w14:textId="77777777" w:rsidTr="0037632B">
        <w:trPr>
          <w:trHeight w:val="300"/>
        </w:trPr>
        <w:tc>
          <w:tcPr>
            <w:tcW w:w="4860" w:type="dxa"/>
            <w:tcBorders>
              <w:top w:val="single" w:sz="4" w:space="0" w:color="auto"/>
              <w:left w:val="nil"/>
              <w:bottom w:val="single" w:sz="4" w:space="0" w:color="auto"/>
              <w:right w:val="nil"/>
            </w:tcBorders>
            <w:vAlign w:val="center"/>
          </w:tcPr>
          <w:p w14:paraId="2F7366E7" w14:textId="77777777" w:rsidR="005F1BEC" w:rsidRPr="005F1BEC" w:rsidRDefault="005F1BEC" w:rsidP="005F1BEC">
            <w:pPr>
              <w:rPr>
                <w:rFonts w:ascii="Arial" w:eastAsia="Times New Roman" w:hAnsi="Arial" w:cs="Arial"/>
                <w:color w:val="000000"/>
              </w:rPr>
            </w:pPr>
            <w:r w:rsidRPr="005F1BEC">
              <w:rPr>
                <w:rFonts w:ascii="Arial" w:eastAsia="Times New Roman" w:hAnsi="Arial" w:cs="Arial"/>
                <w:color w:val="000000"/>
                <w:lang w:bidi="ar"/>
              </w:rPr>
              <w:t>Shows expertise in using educational technology in the classroom.</w:t>
            </w:r>
          </w:p>
        </w:tc>
        <w:tc>
          <w:tcPr>
            <w:tcW w:w="960" w:type="dxa"/>
            <w:tcBorders>
              <w:top w:val="single" w:sz="4" w:space="0" w:color="auto"/>
              <w:left w:val="nil"/>
              <w:bottom w:val="single" w:sz="4" w:space="0" w:color="auto"/>
              <w:right w:val="nil"/>
            </w:tcBorders>
            <w:noWrap/>
            <w:vAlign w:val="center"/>
          </w:tcPr>
          <w:p w14:paraId="793F889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4.48</w:t>
            </w:r>
          </w:p>
        </w:tc>
        <w:tc>
          <w:tcPr>
            <w:tcW w:w="1400" w:type="dxa"/>
            <w:tcBorders>
              <w:top w:val="single" w:sz="4" w:space="0" w:color="auto"/>
              <w:left w:val="nil"/>
              <w:bottom w:val="single" w:sz="4" w:space="0" w:color="auto"/>
              <w:right w:val="nil"/>
            </w:tcBorders>
            <w:noWrap/>
            <w:vAlign w:val="center"/>
          </w:tcPr>
          <w:p w14:paraId="1568703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0.44</w:t>
            </w:r>
          </w:p>
        </w:tc>
        <w:tc>
          <w:tcPr>
            <w:tcW w:w="1147" w:type="dxa"/>
            <w:tcBorders>
              <w:top w:val="single" w:sz="4" w:space="0" w:color="auto"/>
              <w:left w:val="nil"/>
              <w:bottom w:val="single" w:sz="4" w:space="0" w:color="auto"/>
              <w:right w:val="nil"/>
            </w:tcBorders>
            <w:noWrap/>
            <w:vAlign w:val="center"/>
          </w:tcPr>
          <w:p w14:paraId="62A6840A"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415AFE6" w14:textId="77777777" w:rsidTr="0037632B">
        <w:trPr>
          <w:trHeight w:val="300"/>
        </w:trPr>
        <w:tc>
          <w:tcPr>
            <w:tcW w:w="4860" w:type="dxa"/>
            <w:tcBorders>
              <w:top w:val="single" w:sz="4" w:space="0" w:color="auto"/>
              <w:left w:val="nil"/>
              <w:bottom w:val="single" w:sz="4" w:space="0" w:color="auto"/>
              <w:right w:val="nil"/>
            </w:tcBorders>
            <w:vAlign w:val="center"/>
          </w:tcPr>
          <w:p w14:paraId="7121881A" w14:textId="77777777" w:rsidR="005F1BEC" w:rsidRPr="005F1BEC" w:rsidRDefault="005F1BEC" w:rsidP="005F1BEC">
            <w:pPr>
              <w:rPr>
                <w:rFonts w:ascii="Arial" w:eastAsia="Times New Roman" w:hAnsi="Arial" w:cs="Arial"/>
                <w:color w:val="000000"/>
              </w:rPr>
            </w:pPr>
            <w:r w:rsidRPr="005F1BEC">
              <w:rPr>
                <w:rFonts w:ascii="Arial" w:eastAsia="Times New Roman" w:hAnsi="Arial" w:cs="Arial"/>
                <w:color w:val="000000"/>
                <w:lang w:bidi="ar"/>
              </w:rPr>
              <w:t>Explain the relevance of current topics to prior lessons and relate the topic to pertinent current issues or daily activities.</w:t>
            </w:r>
          </w:p>
        </w:tc>
        <w:tc>
          <w:tcPr>
            <w:tcW w:w="960" w:type="dxa"/>
            <w:tcBorders>
              <w:top w:val="single" w:sz="4" w:space="0" w:color="auto"/>
              <w:left w:val="nil"/>
              <w:bottom w:val="single" w:sz="4" w:space="0" w:color="auto"/>
              <w:right w:val="nil"/>
            </w:tcBorders>
            <w:noWrap/>
            <w:vAlign w:val="center"/>
          </w:tcPr>
          <w:p w14:paraId="2E6F300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4.46</w:t>
            </w:r>
          </w:p>
        </w:tc>
        <w:tc>
          <w:tcPr>
            <w:tcW w:w="1400" w:type="dxa"/>
            <w:tcBorders>
              <w:top w:val="single" w:sz="4" w:space="0" w:color="auto"/>
              <w:left w:val="nil"/>
              <w:bottom w:val="single" w:sz="4" w:space="0" w:color="auto"/>
              <w:right w:val="nil"/>
            </w:tcBorders>
            <w:noWrap/>
            <w:vAlign w:val="center"/>
          </w:tcPr>
          <w:p w14:paraId="7A933E0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0.39</w:t>
            </w:r>
          </w:p>
        </w:tc>
        <w:tc>
          <w:tcPr>
            <w:tcW w:w="1147" w:type="dxa"/>
            <w:tcBorders>
              <w:top w:val="single" w:sz="4" w:space="0" w:color="auto"/>
              <w:left w:val="nil"/>
              <w:bottom w:val="single" w:sz="4" w:space="0" w:color="auto"/>
              <w:right w:val="nil"/>
            </w:tcBorders>
            <w:noWrap/>
            <w:vAlign w:val="center"/>
          </w:tcPr>
          <w:p w14:paraId="7DC0AF65"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245B74DD" w14:textId="77777777" w:rsidTr="0037632B">
        <w:trPr>
          <w:trHeight w:val="300"/>
        </w:trPr>
        <w:tc>
          <w:tcPr>
            <w:tcW w:w="4860" w:type="dxa"/>
            <w:tcBorders>
              <w:top w:val="single" w:sz="4" w:space="0" w:color="auto"/>
              <w:left w:val="nil"/>
              <w:bottom w:val="single" w:sz="4" w:space="0" w:color="auto"/>
              <w:right w:val="nil"/>
            </w:tcBorders>
            <w:vAlign w:val="center"/>
          </w:tcPr>
          <w:p w14:paraId="2F09EE49"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Average</w:t>
            </w:r>
          </w:p>
        </w:tc>
        <w:tc>
          <w:tcPr>
            <w:tcW w:w="960" w:type="dxa"/>
            <w:tcBorders>
              <w:top w:val="single" w:sz="4" w:space="0" w:color="auto"/>
              <w:left w:val="nil"/>
              <w:bottom w:val="single" w:sz="4" w:space="0" w:color="auto"/>
              <w:right w:val="nil"/>
            </w:tcBorders>
            <w:noWrap/>
            <w:vAlign w:val="center"/>
          </w:tcPr>
          <w:p w14:paraId="2B07374B"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4.45</w:t>
            </w:r>
          </w:p>
        </w:tc>
        <w:tc>
          <w:tcPr>
            <w:tcW w:w="1400" w:type="dxa"/>
            <w:tcBorders>
              <w:top w:val="single" w:sz="4" w:space="0" w:color="auto"/>
              <w:left w:val="nil"/>
              <w:bottom w:val="single" w:sz="4" w:space="0" w:color="auto"/>
              <w:right w:val="nil"/>
            </w:tcBorders>
            <w:noWrap/>
            <w:vAlign w:val="center"/>
          </w:tcPr>
          <w:p w14:paraId="4EE10ABE"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0.35</w:t>
            </w:r>
          </w:p>
        </w:tc>
        <w:tc>
          <w:tcPr>
            <w:tcW w:w="1147" w:type="dxa"/>
            <w:tcBorders>
              <w:top w:val="single" w:sz="4" w:space="0" w:color="auto"/>
              <w:left w:val="nil"/>
              <w:bottom w:val="single" w:sz="4" w:space="0" w:color="auto"/>
              <w:right w:val="nil"/>
            </w:tcBorders>
            <w:noWrap/>
            <w:vAlign w:val="center"/>
          </w:tcPr>
          <w:p w14:paraId="2A65F457"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Very Satisfactory</w:t>
            </w:r>
          </w:p>
        </w:tc>
      </w:tr>
    </w:tbl>
    <w:p w14:paraId="639F1228" w14:textId="77777777" w:rsidR="005F1BEC" w:rsidRPr="005F1BEC" w:rsidRDefault="005F1BEC" w:rsidP="005F1BEC">
      <w:pPr>
        <w:widowControl w:val="0"/>
        <w:autoSpaceDE w:val="0"/>
        <w:autoSpaceDN w:val="0"/>
        <w:jc w:val="both"/>
        <w:rPr>
          <w:rFonts w:ascii="Arial" w:eastAsia="Arial" w:hAnsi="Arial" w:cs="Arial"/>
        </w:rPr>
      </w:pPr>
      <w:r w:rsidRPr="005F1BEC">
        <w:rPr>
          <w:rFonts w:ascii="Arial" w:eastAsia="Arial" w:hAnsi="Arial" w:cs="Arial"/>
        </w:rPr>
        <w:t xml:space="preserve"> </w:t>
      </w:r>
    </w:p>
    <w:p w14:paraId="3F1BEE4C" w14:textId="77777777" w:rsidR="007C5F1E" w:rsidRPr="007C5F1E" w:rsidRDefault="007C5F1E" w:rsidP="007C5F1E">
      <w:pPr>
        <w:widowControl w:val="0"/>
        <w:autoSpaceDE w:val="0"/>
        <w:autoSpaceDN w:val="0"/>
        <w:ind w:firstLine="720"/>
        <w:jc w:val="both"/>
        <w:rPr>
          <w:rFonts w:ascii="Arial" w:eastAsia="Arial" w:hAnsi="Arial" w:cs="Arial"/>
        </w:rPr>
      </w:pPr>
      <w:r w:rsidRPr="007C5F1E">
        <w:rPr>
          <w:rFonts w:ascii="Arial" w:eastAsia="Arial" w:hAnsi="Arial" w:cs="Arial"/>
        </w:rPr>
        <w:t xml:space="preserve">BEED graduates scored highest in integrating subject matter with students’ goals (x̄ = 4.52) and demonstrating strong content knowledge (x̄ = 4.51), reflecting excellence in contextualized instruction. The lowest score was in using varied sources beyond required readings (x̄ = 4.31), highlighting a need for broader resource use. These results align with studies (Estacio &amp; Cabrera, 2018; Rodriguez &amp; Cuesta, 2022; </w:t>
      </w:r>
      <w:proofErr w:type="spellStart"/>
      <w:r w:rsidRPr="007C5F1E">
        <w:rPr>
          <w:rFonts w:ascii="Arial" w:eastAsia="Arial" w:hAnsi="Arial" w:cs="Arial"/>
        </w:rPr>
        <w:t>Malahay</w:t>
      </w:r>
      <w:proofErr w:type="spellEnd"/>
      <w:r w:rsidRPr="007C5F1E">
        <w:rPr>
          <w:rFonts w:ascii="Arial" w:eastAsia="Arial" w:hAnsi="Arial" w:cs="Arial"/>
        </w:rPr>
        <w:t>, 2021; Espiritu, 2021; Rubio &amp; Saenz, 2023) affirming strong content mastery and planning.</w:t>
      </w:r>
    </w:p>
    <w:p w14:paraId="10EFBC14" w14:textId="2D91BFAA" w:rsidR="005F1BEC" w:rsidRPr="005F1BEC" w:rsidRDefault="007C5F1E" w:rsidP="007C5F1E">
      <w:pPr>
        <w:widowControl w:val="0"/>
        <w:autoSpaceDE w:val="0"/>
        <w:autoSpaceDN w:val="0"/>
        <w:ind w:firstLine="720"/>
        <w:jc w:val="both"/>
        <w:rPr>
          <w:rFonts w:ascii="Arial" w:eastAsia="Arial" w:hAnsi="Arial" w:cs="Arial"/>
        </w:rPr>
      </w:pPr>
      <w:r w:rsidRPr="007C5F1E">
        <w:rPr>
          <w:rFonts w:ascii="Arial" w:eastAsia="Arial" w:hAnsi="Arial" w:cs="Arial"/>
        </w:rPr>
        <w:t xml:space="preserve">In Learning Management, the overall mean was 4.46. Encouraging curiosity scored highest (x̄ = 4.53), while facilitating constructive dialogue scored lowest (x̄ = 4.38), suggesting </w:t>
      </w:r>
      <w:r w:rsidRPr="007C5F1E">
        <w:rPr>
          <w:rFonts w:ascii="Arial" w:eastAsia="Arial" w:hAnsi="Arial" w:cs="Arial"/>
        </w:rPr>
        <w:lastRenderedPageBreak/>
        <w:t>room for growth in inclusive interactions. These findings echo prior research confirming BEED graduates’ competence in managing learning environments.</w:t>
      </w:r>
    </w:p>
    <w:p w14:paraId="580EF2D4" w14:textId="77777777" w:rsidR="005F1BEC" w:rsidRPr="005F1BEC" w:rsidRDefault="005F1BEC" w:rsidP="005F1BEC">
      <w:pPr>
        <w:widowControl w:val="0"/>
        <w:autoSpaceDE w:val="0"/>
        <w:autoSpaceDN w:val="0"/>
        <w:ind w:firstLine="720"/>
        <w:jc w:val="both"/>
        <w:rPr>
          <w:rFonts w:ascii="Arial" w:eastAsia="Arial" w:hAnsi="Arial" w:cs="Arial"/>
        </w:rPr>
      </w:pPr>
    </w:p>
    <w:p w14:paraId="50868542" w14:textId="4595DF58" w:rsidR="005F1BEC" w:rsidRPr="005F1BEC" w:rsidRDefault="005F1BEC" w:rsidP="005F1BEC">
      <w:pPr>
        <w:jc w:val="both"/>
        <w:rPr>
          <w:rFonts w:ascii="Arial" w:eastAsia="Times New Roman" w:hAnsi="Arial" w:cs="Arial"/>
          <w:b/>
          <w:bCs/>
          <w:iCs/>
        </w:rPr>
      </w:pPr>
      <w:r w:rsidRPr="005F1BEC">
        <w:rPr>
          <w:rFonts w:ascii="Arial" w:eastAsia="Times New Roman" w:hAnsi="Arial" w:cs="Arial"/>
          <w:lang w:bidi="ar"/>
        </w:rPr>
        <w:t xml:space="preserve">Table </w:t>
      </w:r>
      <w:r w:rsidR="003733BF">
        <w:rPr>
          <w:rFonts w:ascii="Arial" w:eastAsia="Times New Roman" w:hAnsi="Arial" w:cs="Arial"/>
          <w:lang w:bidi="ar"/>
        </w:rPr>
        <w:t>8</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Level of employer feedback on BEED graduates' workplace    performance in the management of the learning domain</w:t>
      </w:r>
    </w:p>
    <w:tbl>
      <w:tblPr>
        <w:tblW w:w="8362" w:type="dxa"/>
        <w:tblInd w:w="93" w:type="dxa"/>
        <w:tblLook w:val="04A0" w:firstRow="1" w:lastRow="0" w:firstColumn="1" w:lastColumn="0" w:noHBand="0" w:noVBand="1"/>
      </w:tblPr>
      <w:tblGrid>
        <w:gridCol w:w="4368"/>
        <w:gridCol w:w="960"/>
        <w:gridCol w:w="1400"/>
        <w:gridCol w:w="1634"/>
      </w:tblGrid>
      <w:tr w:rsidR="005F1BEC" w:rsidRPr="005F1BEC" w14:paraId="4316F051" w14:textId="77777777" w:rsidTr="0037632B">
        <w:trPr>
          <w:trHeight w:val="570"/>
        </w:trPr>
        <w:tc>
          <w:tcPr>
            <w:tcW w:w="4368" w:type="dxa"/>
            <w:tcBorders>
              <w:top w:val="single" w:sz="4" w:space="0" w:color="auto"/>
              <w:left w:val="nil"/>
              <w:bottom w:val="single" w:sz="4" w:space="0" w:color="auto"/>
              <w:right w:val="nil"/>
            </w:tcBorders>
            <w:vAlign w:val="center"/>
          </w:tcPr>
          <w:p w14:paraId="53B31170"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Indicators</w:t>
            </w:r>
          </w:p>
        </w:tc>
        <w:tc>
          <w:tcPr>
            <w:tcW w:w="960" w:type="dxa"/>
            <w:tcBorders>
              <w:top w:val="single" w:sz="4" w:space="0" w:color="auto"/>
              <w:left w:val="nil"/>
              <w:bottom w:val="single" w:sz="4" w:space="0" w:color="auto"/>
              <w:right w:val="nil"/>
            </w:tcBorders>
            <w:vAlign w:val="center"/>
          </w:tcPr>
          <w:p w14:paraId="17B0D513"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Mean</w:t>
            </w:r>
          </w:p>
        </w:tc>
        <w:tc>
          <w:tcPr>
            <w:tcW w:w="1400" w:type="dxa"/>
            <w:tcBorders>
              <w:top w:val="single" w:sz="4" w:space="0" w:color="auto"/>
              <w:left w:val="nil"/>
              <w:bottom w:val="single" w:sz="4" w:space="0" w:color="auto"/>
              <w:right w:val="nil"/>
            </w:tcBorders>
            <w:vAlign w:val="center"/>
          </w:tcPr>
          <w:p w14:paraId="75EAF624"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Std. Deviation</w:t>
            </w:r>
          </w:p>
        </w:tc>
        <w:tc>
          <w:tcPr>
            <w:tcW w:w="1634" w:type="dxa"/>
            <w:tcBorders>
              <w:top w:val="single" w:sz="4" w:space="0" w:color="auto"/>
              <w:left w:val="nil"/>
              <w:bottom w:val="single" w:sz="4" w:space="0" w:color="auto"/>
              <w:right w:val="nil"/>
            </w:tcBorders>
            <w:noWrap/>
            <w:vAlign w:val="center"/>
          </w:tcPr>
          <w:p w14:paraId="51F1C4C7"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Interpretation</w:t>
            </w:r>
          </w:p>
        </w:tc>
      </w:tr>
      <w:tr w:rsidR="005F1BEC" w:rsidRPr="005F1BEC" w14:paraId="5586E045" w14:textId="77777777" w:rsidTr="0037632B">
        <w:trPr>
          <w:trHeight w:val="300"/>
        </w:trPr>
        <w:tc>
          <w:tcPr>
            <w:tcW w:w="4368" w:type="dxa"/>
            <w:tcBorders>
              <w:top w:val="single" w:sz="4" w:space="0" w:color="auto"/>
              <w:left w:val="nil"/>
              <w:bottom w:val="single" w:sz="4" w:space="0" w:color="auto"/>
              <w:right w:val="nil"/>
            </w:tcBorders>
            <w:vAlign w:val="center"/>
          </w:tcPr>
          <w:p w14:paraId="620E2E16"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Facilitates opportunities for students to engage in class activities through active, intensive, or extensive participation.</w:t>
            </w:r>
          </w:p>
        </w:tc>
        <w:tc>
          <w:tcPr>
            <w:tcW w:w="960" w:type="dxa"/>
            <w:tcBorders>
              <w:top w:val="single" w:sz="4" w:space="0" w:color="auto"/>
              <w:left w:val="nil"/>
              <w:bottom w:val="single" w:sz="4" w:space="0" w:color="auto"/>
              <w:right w:val="nil"/>
            </w:tcBorders>
            <w:noWrap/>
            <w:vAlign w:val="center"/>
          </w:tcPr>
          <w:p w14:paraId="550AF9F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4.47</w:t>
            </w:r>
          </w:p>
        </w:tc>
        <w:tc>
          <w:tcPr>
            <w:tcW w:w="1400" w:type="dxa"/>
            <w:tcBorders>
              <w:top w:val="single" w:sz="4" w:space="0" w:color="auto"/>
              <w:left w:val="nil"/>
              <w:bottom w:val="single" w:sz="4" w:space="0" w:color="auto"/>
              <w:right w:val="nil"/>
            </w:tcBorders>
            <w:noWrap/>
            <w:vAlign w:val="center"/>
          </w:tcPr>
          <w:p w14:paraId="2123D810"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0.53</w:t>
            </w:r>
          </w:p>
        </w:tc>
        <w:tc>
          <w:tcPr>
            <w:tcW w:w="1634" w:type="dxa"/>
            <w:tcBorders>
              <w:top w:val="single" w:sz="4" w:space="0" w:color="auto"/>
              <w:left w:val="nil"/>
              <w:bottom w:val="single" w:sz="4" w:space="0" w:color="auto"/>
              <w:right w:val="nil"/>
            </w:tcBorders>
            <w:noWrap/>
            <w:vAlign w:val="center"/>
          </w:tcPr>
          <w:p w14:paraId="7724B028"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1A8A46D9" w14:textId="77777777" w:rsidTr="0037632B">
        <w:trPr>
          <w:trHeight w:val="300"/>
        </w:trPr>
        <w:tc>
          <w:tcPr>
            <w:tcW w:w="4368" w:type="dxa"/>
            <w:tcBorders>
              <w:top w:val="single" w:sz="4" w:space="0" w:color="auto"/>
              <w:left w:val="nil"/>
              <w:bottom w:val="single" w:sz="4" w:space="0" w:color="auto"/>
              <w:right w:val="nil"/>
            </w:tcBorders>
            <w:vAlign w:val="center"/>
          </w:tcPr>
          <w:p w14:paraId="3256AD14"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Undertakes several responsibilities within the educational context, including that of a teacher, resource person, coach, adviser, and referee.</w:t>
            </w:r>
          </w:p>
        </w:tc>
        <w:tc>
          <w:tcPr>
            <w:tcW w:w="960" w:type="dxa"/>
            <w:tcBorders>
              <w:top w:val="single" w:sz="4" w:space="0" w:color="auto"/>
              <w:left w:val="nil"/>
              <w:bottom w:val="single" w:sz="4" w:space="0" w:color="auto"/>
              <w:right w:val="nil"/>
            </w:tcBorders>
            <w:noWrap/>
            <w:vAlign w:val="center"/>
          </w:tcPr>
          <w:p w14:paraId="423AB55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4.47</w:t>
            </w:r>
          </w:p>
        </w:tc>
        <w:tc>
          <w:tcPr>
            <w:tcW w:w="1400" w:type="dxa"/>
            <w:tcBorders>
              <w:top w:val="single" w:sz="4" w:space="0" w:color="auto"/>
              <w:left w:val="nil"/>
              <w:bottom w:val="single" w:sz="4" w:space="0" w:color="auto"/>
              <w:right w:val="nil"/>
            </w:tcBorders>
            <w:noWrap/>
            <w:vAlign w:val="center"/>
          </w:tcPr>
          <w:p w14:paraId="614B21EB"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0.41</w:t>
            </w:r>
          </w:p>
        </w:tc>
        <w:tc>
          <w:tcPr>
            <w:tcW w:w="1634" w:type="dxa"/>
            <w:tcBorders>
              <w:top w:val="single" w:sz="4" w:space="0" w:color="auto"/>
              <w:left w:val="nil"/>
              <w:bottom w:val="single" w:sz="4" w:space="0" w:color="auto"/>
              <w:right w:val="nil"/>
            </w:tcBorders>
            <w:noWrap/>
            <w:vAlign w:val="center"/>
          </w:tcPr>
          <w:p w14:paraId="1A611C60"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33928B6" w14:textId="77777777" w:rsidTr="0037632B">
        <w:trPr>
          <w:trHeight w:val="300"/>
        </w:trPr>
        <w:tc>
          <w:tcPr>
            <w:tcW w:w="4368" w:type="dxa"/>
            <w:tcBorders>
              <w:top w:val="single" w:sz="4" w:space="0" w:color="auto"/>
              <w:left w:val="nil"/>
              <w:bottom w:val="single" w:sz="4" w:space="0" w:color="auto"/>
              <w:right w:val="nil"/>
            </w:tcBorders>
            <w:vAlign w:val="center"/>
          </w:tcPr>
          <w:p w14:paraId="45CCC09C"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Develop and execute educational environments and opportunities that facilitate constructive dialogue or interactions.</w:t>
            </w:r>
          </w:p>
        </w:tc>
        <w:tc>
          <w:tcPr>
            <w:tcW w:w="960" w:type="dxa"/>
            <w:tcBorders>
              <w:top w:val="single" w:sz="4" w:space="0" w:color="auto"/>
              <w:left w:val="nil"/>
              <w:bottom w:val="single" w:sz="4" w:space="0" w:color="auto"/>
              <w:right w:val="nil"/>
            </w:tcBorders>
            <w:noWrap/>
            <w:vAlign w:val="center"/>
          </w:tcPr>
          <w:p w14:paraId="5B05E8F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4.38</w:t>
            </w:r>
          </w:p>
        </w:tc>
        <w:tc>
          <w:tcPr>
            <w:tcW w:w="1400" w:type="dxa"/>
            <w:tcBorders>
              <w:top w:val="single" w:sz="4" w:space="0" w:color="auto"/>
              <w:left w:val="nil"/>
              <w:bottom w:val="single" w:sz="4" w:space="0" w:color="auto"/>
              <w:right w:val="nil"/>
            </w:tcBorders>
            <w:noWrap/>
            <w:vAlign w:val="center"/>
          </w:tcPr>
          <w:p w14:paraId="0CC7A387"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0.46</w:t>
            </w:r>
          </w:p>
        </w:tc>
        <w:tc>
          <w:tcPr>
            <w:tcW w:w="1634" w:type="dxa"/>
            <w:tcBorders>
              <w:top w:val="single" w:sz="4" w:space="0" w:color="auto"/>
              <w:left w:val="nil"/>
              <w:bottom w:val="single" w:sz="4" w:space="0" w:color="auto"/>
              <w:right w:val="nil"/>
            </w:tcBorders>
            <w:noWrap/>
            <w:vAlign w:val="center"/>
          </w:tcPr>
          <w:p w14:paraId="61D92A50"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7CCCC44" w14:textId="77777777" w:rsidTr="0037632B">
        <w:trPr>
          <w:trHeight w:val="300"/>
        </w:trPr>
        <w:tc>
          <w:tcPr>
            <w:tcW w:w="4368" w:type="dxa"/>
            <w:tcBorders>
              <w:top w:val="single" w:sz="4" w:space="0" w:color="auto"/>
              <w:left w:val="nil"/>
              <w:bottom w:val="single" w:sz="4" w:space="0" w:color="auto"/>
              <w:right w:val="nil"/>
            </w:tcBorders>
            <w:vAlign w:val="center"/>
          </w:tcPr>
          <w:p w14:paraId="22DBAC4E"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Structure or restructure the learning and teaching context to facilitate the achievement of collective learning goals.</w:t>
            </w:r>
          </w:p>
        </w:tc>
        <w:tc>
          <w:tcPr>
            <w:tcW w:w="960" w:type="dxa"/>
            <w:tcBorders>
              <w:top w:val="single" w:sz="4" w:space="0" w:color="auto"/>
              <w:left w:val="nil"/>
              <w:bottom w:val="single" w:sz="4" w:space="0" w:color="auto"/>
              <w:right w:val="nil"/>
            </w:tcBorders>
            <w:noWrap/>
            <w:vAlign w:val="center"/>
          </w:tcPr>
          <w:p w14:paraId="606DEC2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4.44</w:t>
            </w:r>
          </w:p>
        </w:tc>
        <w:tc>
          <w:tcPr>
            <w:tcW w:w="1400" w:type="dxa"/>
            <w:tcBorders>
              <w:top w:val="single" w:sz="4" w:space="0" w:color="auto"/>
              <w:left w:val="nil"/>
              <w:bottom w:val="single" w:sz="4" w:space="0" w:color="auto"/>
              <w:right w:val="nil"/>
            </w:tcBorders>
            <w:noWrap/>
            <w:vAlign w:val="center"/>
          </w:tcPr>
          <w:p w14:paraId="740A4AE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0.49</w:t>
            </w:r>
          </w:p>
        </w:tc>
        <w:tc>
          <w:tcPr>
            <w:tcW w:w="1634" w:type="dxa"/>
            <w:tcBorders>
              <w:top w:val="single" w:sz="4" w:space="0" w:color="auto"/>
              <w:left w:val="nil"/>
              <w:bottom w:val="single" w:sz="4" w:space="0" w:color="auto"/>
              <w:right w:val="nil"/>
            </w:tcBorders>
            <w:noWrap/>
            <w:vAlign w:val="center"/>
          </w:tcPr>
          <w:p w14:paraId="49E81725"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0BF8A8B2" w14:textId="77777777" w:rsidTr="0037632B">
        <w:trPr>
          <w:trHeight w:val="300"/>
        </w:trPr>
        <w:tc>
          <w:tcPr>
            <w:tcW w:w="4368" w:type="dxa"/>
            <w:tcBorders>
              <w:top w:val="single" w:sz="4" w:space="0" w:color="auto"/>
              <w:left w:val="nil"/>
              <w:bottom w:val="single" w:sz="4" w:space="0" w:color="auto"/>
              <w:right w:val="nil"/>
            </w:tcBorders>
            <w:vAlign w:val="center"/>
          </w:tcPr>
          <w:p w14:paraId="36C54723"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Encourages students' curiosity and desire to learn more about the topic.</w:t>
            </w:r>
          </w:p>
        </w:tc>
        <w:tc>
          <w:tcPr>
            <w:tcW w:w="960" w:type="dxa"/>
            <w:tcBorders>
              <w:top w:val="single" w:sz="4" w:space="0" w:color="auto"/>
              <w:left w:val="nil"/>
              <w:bottom w:val="single" w:sz="4" w:space="0" w:color="auto"/>
              <w:right w:val="nil"/>
            </w:tcBorders>
            <w:noWrap/>
            <w:vAlign w:val="center"/>
          </w:tcPr>
          <w:p w14:paraId="4946DBE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4.53</w:t>
            </w:r>
          </w:p>
        </w:tc>
        <w:tc>
          <w:tcPr>
            <w:tcW w:w="1400" w:type="dxa"/>
            <w:tcBorders>
              <w:top w:val="single" w:sz="4" w:space="0" w:color="auto"/>
              <w:left w:val="nil"/>
              <w:bottom w:val="single" w:sz="4" w:space="0" w:color="auto"/>
              <w:right w:val="nil"/>
            </w:tcBorders>
            <w:noWrap/>
            <w:vAlign w:val="center"/>
          </w:tcPr>
          <w:p w14:paraId="3E6F5D73"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0.43</w:t>
            </w:r>
          </w:p>
        </w:tc>
        <w:tc>
          <w:tcPr>
            <w:tcW w:w="1634" w:type="dxa"/>
            <w:tcBorders>
              <w:top w:val="single" w:sz="4" w:space="0" w:color="auto"/>
              <w:left w:val="nil"/>
              <w:bottom w:val="single" w:sz="4" w:space="0" w:color="auto"/>
              <w:right w:val="nil"/>
            </w:tcBorders>
            <w:noWrap/>
            <w:vAlign w:val="center"/>
          </w:tcPr>
          <w:p w14:paraId="5160DC85"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Outstanding</w:t>
            </w:r>
          </w:p>
        </w:tc>
      </w:tr>
      <w:tr w:rsidR="005F1BEC" w:rsidRPr="005F1BEC" w14:paraId="6CFA2159" w14:textId="77777777" w:rsidTr="0037632B">
        <w:trPr>
          <w:trHeight w:val="300"/>
        </w:trPr>
        <w:tc>
          <w:tcPr>
            <w:tcW w:w="4368" w:type="dxa"/>
            <w:tcBorders>
              <w:top w:val="single" w:sz="4" w:space="0" w:color="auto"/>
              <w:left w:val="nil"/>
              <w:bottom w:val="single" w:sz="4" w:space="0" w:color="auto"/>
              <w:right w:val="nil"/>
            </w:tcBorders>
            <w:vAlign w:val="center"/>
          </w:tcPr>
          <w:p w14:paraId="5D6C67FD"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Average</w:t>
            </w:r>
          </w:p>
        </w:tc>
        <w:tc>
          <w:tcPr>
            <w:tcW w:w="960" w:type="dxa"/>
            <w:tcBorders>
              <w:top w:val="single" w:sz="4" w:space="0" w:color="auto"/>
              <w:left w:val="nil"/>
              <w:bottom w:val="single" w:sz="4" w:space="0" w:color="auto"/>
              <w:right w:val="nil"/>
            </w:tcBorders>
            <w:noWrap/>
            <w:vAlign w:val="center"/>
          </w:tcPr>
          <w:p w14:paraId="22DE3F03"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4.46</w:t>
            </w:r>
          </w:p>
        </w:tc>
        <w:tc>
          <w:tcPr>
            <w:tcW w:w="1400" w:type="dxa"/>
            <w:tcBorders>
              <w:top w:val="single" w:sz="4" w:space="0" w:color="auto"/>
              <w:left w:val="nil"/>
              <w:bottom w:val="single" w:sz="4" w:space="0" w:color="auto"/>
              <w:right w:val="nil"/>
            </w:tcBorders>
            <w:noWrap/>
            <w:vAlign w:val="center"/>
          </w:tcPr>
          <w:p w14:paraId="4324115C"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0.42</w:t>
            </w:r>
          </w:p>
        </w:tc>
        <w:tc>
          <w:tcPr>
            <w:tcW w:w="1634" w:type="dxa"/>
            <w:tcBorders>
              <w:top w:val="single" w:sz="4" w:space="0" w:color="auto"/>
              <w:left w:val="nil"/>
              <w:bottom w:val="single" w:sz="4" w:space="0" w:color="auto"/>
              <w:right w:val="nil"/>
            </w:tcBorders>
            <w:noWrap/>
            <w:vAlign w:val="center"/>
          </w:tcPr>
          <w:p w14:paraId="59BAC3E6"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Very Satisfactory</w:t>
            </w:r>
          </w:p>
        </w:tc>
      </w:tr>
    </w:tbl>
    <w:p w14:paraId="52DE4885" w14:textId="77777777" w:rsidR="005F1BEC" w:rsidRPr="005F1BEC" w:rsidRDefault="005F1BEC" w:rsidP="005F1BEC">
      <w:pPr>
        <w:widowControl w:val="0"/>
        <w:autoSpaceDE w:val="0"/>
        <w:autoSpaceDN w:val="0"/>
        <w:jc w:val="both"/>
        <w:rPr>
          <w:rFonts w:ascii="Arial" w:eastAsia="Arial" w:hAnsi="Arial" w:cs="Arial"/>
        </w:rPr>
      </w:pPr>
    </w:p>
    <w:p w14:paraId="3EB3AE58" w14:textId="77777777" w:rsidR="008636AD" w:rsidRPr="008636AD" w:rsidRDefault="008636AD" w:rsidP="008636AD">
      <w:pPr>
        <w:widowControl w:val="0"/>
        <w:autoSpaceDE w:val="0"/>
        <w:autoSpaceDN w:val="0"/>
        <w:ind w:firstLine="720"/>
        <w:jc w:val="both"/>
        <w:rPr>
          <w:rFonts w:ascii="Arial" w:eastAsia="Arial" w:hAnsi="Arial" w:cs="Arial"/>
        </w:rPr>
      </w:pPr>
      <w:proofErr w:type="spellStart"/>
      <w:r w:rsidRPr="008636AD">
        <w:rPr>
          <w:rFonts w:ascii="Arial" w:eastAsia="Arial" w:hAnsi="Arial" w:cs="Arial"/>
        </w:rPr>
        <w:t>Gepila</w:t>
      </w:r>
      <w:proofErr w:type="spellEnd"/>
      <w:r w:rsidRPr="008636AD">
        <w:rPr>
          <w:rFonts w:ascii="Arial" w:eastAsia="Arial" w:hAnsi="Arial" w:cs="Arial"/>
        </w:rPr>
        <w:t xml:space="preserve"> Jr. (2020) emphasized that adherence to PPST Domains 2 and 4 enhances teachers’ capacity to manage inclusive classrooms—affirming the BEED program’s effectiveness.</w:t>
      </w:r>
    </w:p>
    <w:p w14:paraId="7AB6F54D" w14:textId="4FF64564" w:rsidR="005F1BEC" w:rsidRPr="005F1BEC" w:rsidRDefault="008636AD" w:rsidP="008636AD">
      <w:pPr>
        <w:widowControl w:val="0"/>
        <w:autoSpaceDE w:val="0"/>
        <w:autoSpaceDN w:val="0"/>
        <w:ind w:firstLine="720"/>
        <w:jc w:val="both"/>
        <w:rPr>
          <w:rFonts w:ascii="Arial" w:eastAsia="Arial" w:hAnsi="Arial" w:cs="Arial"/>
        </w:rPr>
      </w:pPr>
      <w:r w:rsidRPr="008636AD">
        <w:rPr>
          <w:rFonts w:ascii="Arial" w:eastAsia="Arial" w:hAnsi="Arial" w:cs="Arial"/>
        </w:rPr>
        <w:t xml:space="preserve">As shown in Table </w:t>
      </w:r>
      <w:r w:rsidR="003733BF">
        <w:rPr>
          <w:rFonts w:ascii="Arial" w:eastAsia="Arial" w:hAnsi="Arial" w:cs="Arial"/>
        </w:rPr>
        <w:t>9</w:t>
      </w:r>
      <w:r w:rsidRPr="008636AD">
        <w:rPr>
          <w:rFonts w:ascii="Arial" w:eastAsia="Arial" w:hAnsi="Arial" w:cs="Arial"/>
        </w:rPr>
        <w:t>, Assessment and Evaluation scored a mean of 4.46 (s = 0.36), with top indicators being alignment of assessments with objectives and timely evaluation (both x̄ = 4.49). The lowest, yet still strong, was the use of performance-based assessments (x̄ = 4.40, s = 0.46), suggesting room for growth in authentic assessment practices. These results confirm BEED graduates’ strong outcome-based and reflective teaching skills.</w:t>
      </w:r>
    </w:p>
    <w:p w14:paraId="5D76E2D1" w14:textId="6CB49D8A" w:rsidR="005F1BEC" w:rsidRPr="005F1BEC" w:rsidRDefault="005F1BEC" w:rsidP="002200F1">
      <w:pPr>
        <w:widowControl w:val="0"/>
        <w:tabs>
          <w:tab w:val="left" w:pos="3840"/>
        </w:tabs>
        <w:autoSpaceDE w:val="0"/>
        <w:autoSpaceDN w:val="0"/>
        <w:jc w:val="both"/>
        <w:rPr>
          <w:rFonts w:ascii="Arial" w:eastAsia="Arial" w:hAnsi="Arial" w:cs="Arial"/>
        </w:rPr>
      </w:pPr>
    </w:p>
    <w:p w14:paraId="34E85B32" w14:textId="6B49E7E9" w:rsidR="005F1BEC" w:rsidRPr="005F1BEC" w:rsidRDefault="005F1BEC" w:rsidP="005F1BEC">
      <w:pPr>
        <w:widowControl w:val="0"/>
        <w:autoSpaceDE w:val="0"/>
        <w:autoSpaceDN w:val="0"/>
        <w:jc w:val="both"/>
        <w:rPr>
          <w:rFonts w:ascii="Arial" w:eastAsia="Arial" w:hAnsi="Arial" w:cs="Arial"/>
          <w:iCs/>
        </w:rPr>
      </w:pPr>
      <w:r w:rsidRPr="005F1BEC">
        <w:rPr>
          <w:rFonts w:ascii="Arial" w:eastAsia="Times New Roman" w:hAnsi="Arial" w:cs="Arial"/>
          <w:lang w:bidi="ar"/>
        </w:rPr>
        <w:t xml:space="preserve">Table </w:t>
      </w:r>
      <w:r w:rsidR="003733BF">
        <w:rPr>
          <w:rFonts w:ascii="Arial" w:eastAsia="Times New Roman" w:hAnsi="Arial" w:cs="Arial"/>
          <w:lang w:bidi="ar"/>
        </w:rPr>
        <w:t>9</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 xml:space="preserve">Level of employer feedback on BEED graduates’ workplace performance in the </w:t>
      </w:r>
      <w:r w:rsidRPr="005F1BEC">
        <w:rPr>
          <w:rFonts w:ascii="Arial" w:eastAsia="Arial" w:hAnsi="Arial" w:cs="Arial"/>
          <w:iCs/>
          <w:lang w:bidi="ar"/>
        </w:rPr>
        <w:t>assessment and evaluation</w:t>
      </w:r>
    </w:p>
    <w:tbl>
      <w:tblPr>
        <w:tblW w:w="8479" w:type="dxa"/>
        <w:jc w:val="center"/>
        <w:tblLook w:val="04A0" w:firstRow="1" w:lastRow="0" w:firstColumn="1" w:lastColumn="0" w:noHBand="0" w:noVBand="1"/>
      </w:tblPr>
      <w:tblGrid>
        <w:gridCol w:w="3934"/>
        <w:gridCol w:w="961"/>
        <w:gridCol w:w="1401"/>
        <w:gridCol w:w="2183"/>
      </w:tblGrid>
      <w:tr w:rsidR="005F1BEC" w:rsidRPr="005F1BEC" w14:paraId="7D1CFA70" w14:textId="77777777" w:rsidTr="0037632B">
        <w:trPr>
          <w:trHeight w:val="568"/>
          <w:jc w:val="center"/>
        </w:trPr>
        <w:tc>
          <w:tcPr>
            <w:tcW w:w="3934" w:type="dxa"/>
            <w:tcBorders>
              <w:top w:val="single" w:sz="4" w:space="0" w:color="auto"/>
              <w:left w:val="nil"/>
              <w:bottom w:val="single" w:sz="4" w:space="0" w:color="auto"/>
              <w:right w:val="nil"/>
            </w:tcBorders>
            <w:vAlign w:val="center"/>
          </w:tcPr>
          <w:p w14:paraId="50FF5CE3"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Indicators</w:t>
            </w:r>
          </w:p>
        </w:tc>
        <w:tc>
          <w:tcPr>
            <w:tcW w:w="961" w:type="dxa"/>
            <w:tcBorders>
              <w:top w:val="single" w:sz="4" w:space="0" w:color="auto"/>
              <w:left w:val="nil"/>
              <w:bottom w:val="single" w:sz="4" w:space="0" w:color="auto"/>
              <w:right w:val="nil"/>
            </w:tcBorders>
            <w:vAlign w:val="center"/>
          </w:tcPr>
          <w:p w14:paraId="6F9B547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Mean</w:t>
            </w:r>
          </w:p>
        </w:tc>
        <w:tc>
          <w:tcPr>
            <w:tcW w:w="1401" w:type="dxa"/>
            <w:tcBorders>
              <w:top w:val="single" w:sz="4" w:space="0" w:color="auto"/>
              <w:left w:val="nil"/>
              <w:bottom w:val="single" w:sz="4" w:space="0" w:color="auto"/>
              <w:right w:val="nil"/>
            </w:tcBorders>
            <w:vAlign w:val="center"/>
          </w:tcPr>
          <w:p w14:paraId="3505526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Std. Deviation</w:t>
            </w:r>
          </w:p>
        </w:tc>
        <w:tc>
          <w:tcPr>
            <w:tcW w:w="2183" w:type="dxa"/>
            <w:tcBorders>
              <w:top w:val="single" w:sz="4" w:space="0" w:color="auto"/>
              <w:left w:val="nil"/>
              <w:bottom w:val="single" w:sz="4" w:space="0" w:color="auto"/>
              <w:right w:val="nil"/>
            </w:tcBorders>
            <w:noWrap/>
            <w:vAlign w:val="center"/>
          </w:tcPr>
          <w:p w14:paraId="2837BB66"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Interpretation</w:t>
            </w:r>
          </w:p>
        </w:tc>
      </w:tr>
      <w:tr w:rsidR="005F1BEC" w:rsidRPr="005F1BEC" w14:paraId="57543492" w14:textId="77777777" w:rsidTr="0037632B">
        <w:trPr>
          <w:trHeight w:val="299"/>
          <w:jc w:val="center"/>
        </w:trPr>
        <w:tc>
          <w:tcPr>
            <w:tcW w:w="3934" w:type="dxa"/>
            <w:tcBorders>
              <w:top w:val="single" w:sz="4" w:space="0" w:color="auto"/>
              <w:left w:val="nil"/>
              <w:bottom w:val="single" w:sz="4" w:space="0" w:color="auto"/>
              <w:right w:val="nil"/>
            </w:tcBorders>
          </w:tcPr>
          <w:p w14:paraId="5BC09857"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Design assessment strategies that align with the lesson objectives or learning goals.</w:t>
            </w:r>
          </w:p>
        </w:tc>
        <w:tc>
          <w:tcPr>
            <w:tcW w:w="961" w:type="dxa"/>
            <w:tcBorders>
              <w:top w:val="single" w:sz="4" w:space="0" w:color="auto"/>
              <w:left w:val="nil"/>
              <w:bottom w:val="single" w:sz="4" w:space="0" w:color="auto"/>
              <w:right w:val="nil"/>
            </w:tcBorders>
            <w:noWrap/>
            <w:vAlign w:val="center"/>
          </w:tcPr>
          <w:p w14:paraId="06A132F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4.49</w:t>
            </w:r>
          </w:p>
        </w:tc>
        <w:tc>
          <w:tcPr>
            <w:tcW w:w="1401" w:type="dxa"/>
            <w:tcBorders>
              <w:top w:val="single" w:sz="4" w:space="0" w:color="auto"/>
              <w:left w:val="nil"/>
              <w:bottom w:val="single" w:sz="4" w:space="0" w:color="auto"/>
              <w:right w:val="nil"/>
            </w:tcBorders>
            <w:noWrap/>
            <w:vAlign w:val="center"/>
          </w:tcPr>
          <w:p w14:paraId="712D4D7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0.38</w:t>
            </w:r>
          </w:p>
        </w:tc>
        <w:tc>
          <w:tcPr>
            <w:tcW w:w="2183" w:type="dxa"/>
            <w:tcBorders>
              <w:top w:val="single" w:sz="4" w:space="0" w:color="auto"/>
              <w:left w:val="nil"/>
              <w:bottom w:val="single" w:sz="4" w:space="0" w:color="auto"/>
              <w:right w:val="nil"/>
            </w:tcBorders>
            <w:noWrap/>
            <w:vAlign w:val="center"/>
          </w:tcPr>
          <w:p w14:paraId="7202250C"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12202DEB" w14:textId="77777777" w:rsidTr="0037632B">
        <w:trPr>
          <w:trHeight w:val="299"/>
          <w:jc w:val="center"/>
        </w:trPr>
        <w:tc>
          <w:tcPr>
            <w:tcW w:w="3934" w:type="dxa"/>
            <w:tcBorders>
              <w:top w:val="single" w:sz="4" w:space="0" w:color="auto"/>
              <w:left w:val="nil"/>
              <w:bottom w:val="single" w:sz="4" w:space="0" w:color="auto"/>
              <w:right w:val="nil"/>
            </w:tcBorders>
          </w:tcPr>
          <w:p w14:paraId="54719E94"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Assess the lesson to determine the desired outcome within the allotted time.</w:t>
            </w:r>
          </w:p>
        </w:tc>
        <w:tc>
          <w:tcPr>
            <w:tcW w:w="961" w:type="dxa"/>
            <w:tcBorders>
              <w:top w:val="single" w:sz="4" w:space="0" w:color="auto"/>
              <w:left w:val="nil"/>
              <w:bottom w:val="single" w:sz="4" w:space="0" w:color="auto"/>
              <w:right w:val="nil"/>
            </w:tcBorders>
            <w:noWrap/>
            <w:vAlign w:val="center"/>
          </w:tcPr>
          <w:p w14:paraId="25DD6FE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4.49</w:t>
            </w:r>
          </w:p>
        </w:tc>
        <w:tc>
          <w:tcPr>
            <w:tcW w:w="1401" w:type="dxa"/>
            <w:tcBorders>
              <w:top w:val="single" w:sz="4" w:space="0" w:color="auto"/>
              <w:left w:val="nil"/>
              <w:bottom w:val="single" w:sz="4" w:space="0" w:color="auto"/>
              <w:right w:val="nil"/>
            </w:tcBorders>
            <w:noWrap/>
            <w:vAlign w:val="center"/>
          </w:tcPr>
          <w:p w14:paraId="3B1BC0F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0.41</w:t>
            </w:r>
          </w:p>
        </w:tc>
        <w:tc>
          <w:tcPr>
            <w:tcW w:w="2183" w:type="dxa"/>
            <w:tcBorders>
              <w:top w:val="single" w:sz="4" w:space="0" w:color="auto"/>
              <w:left w:val="nil"/>
              <w:bottom w:val="single" w:sz="4" w:space="0" w:color="auto"/>
              <w:right w:val="nil"/>
            </w:tcBorders>
            <w:noWrap/>
            <w:vAlign w:val="center"/>
          </w:tcPr>
          <w:p w14:paraId="32C6DD2F"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5430B887" w14:textId="77777777" w:rsidTr="0037632B">
        <w:trPr>
          <w:trHeight w:val="299"/>
          <w:jc w:val="center"/>
        </w:trPr>
        <w:tc>
          <w:tcPr>
            <w:tcW w:w="3934" w:type="dxa"/>
            <w:tcBorders>
              <w:top w:val="single" w:sz="4" w:space="0" w:color="auto"/>
              <w:left w:val="nil"/>
              <w:bottom w:val="single" w:sz="4" w:space="0" w:color="auto"/>
              <w:right w:val="nil"/>
            </w:tcBorders>
          </w:tcPr>
          <w:p w14:paraId="778E3BAD"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Employs performance-based assessment and criteria or rubrics to measure students’ performance authentically.</w:t>
            </w:r>
          </w:p>
        </w:tc>
        <w:tc>
          <w:tcPr>
            <w:tcW w:w="961" w:type="dxa"/>
            <w:tcBorders>
              <w:top w:val="single" w:sz="4" w:space="0" w:color="auto"/>
              <w:left w:val="nil"/>
              <w:bottom w:val="single" w:sz="4" w:space="0" w:color="auto"/>
              <w:right w:val="nil"/>
            </w:tcBorders>
            <w:noWrap/>
            <w:vAlign w:val="center"/>
          </w:tcPr>
          <w:p w14:paraId="26945B9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4.40</w:t>
            </w:r>
          </w:p>
        </w:tc>
        <w:tc>
          <w:tcPr>
            <w:tcW w:w="1401" w:type="dxa"/>
            <w:tcBorders>
              <w:top w:val="single" w:sz="4" w:space="0" w:color="auto"/>
              <w:left w:val="nil"/>
              <w:bottom w:val="single" w:sz="4" w:space="0" w:color="auto"/>
              <w:right w:val="nil"/>
            </w:tcBorders>
            <w:noWrap/>
            <w:vAlign w:val="center"/>
          </w:tcPr>
          <w:p w14:paraId="248AF13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0.46</w:t>
            </w:r>
          </w:p>
        </w:tc>
        <w:tc>
          <w:tcPr>
            <w:tcW w:w="2183" w:type="dxa"/>
            <w:tcBorders>
              <w:top w:val="single" w:sz="4" w:space="0" w:color="auto"/>
              <w:left w:val="nil"/>
              <w:bottom w:val="single" w:sz="4" w:space="0" w:color="auto"/>
              <w:right w:val="nil"/>
            </w:tcBorders>
            <w:noWrap/>
            <w:vAlign w:val="center"/>
          </w:tcPr>
          <w:p w14:paraId="0155D09D"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0093AD8C" w14:textId="77777777" w:rsidTr="0037632B">
        <w:trPr>
          <w:trHeight w:val="299"/>
          <w:jc w:val="center"/>
        </w:trPr>
        <w:tc>
          <w:tcPr>
            <w:tcW w:w="3934" w:type="dxa"/>
            <w:tcBorders>
              <w:top w:val="single" w:sz="4" w:space="0" w:color="auto"/>
              <w:left w:val="nil"/>
              <w:bottom w:val="single" w:sz="4" w:space="0" w:color="auto"/>
              <w:right w:val="nil"/>
            </w:tcBorders>
          </w:tcPr>
          <w:p w14:paraId="6C23F44C"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Compiles learners' output with a summary of results.</w:t>
            </w:r>
          </w:p>
        </w:tc>
        <w:tc>
          <w:tcPr>
            <w:tcW w:w="961" w:type="dxa"/>
            <w:tcBorders>
              <w:top w:val="single" w:sz="4" w:space="0" w:color="auto"/>
              <w:left w:val="nil"/>
              <w:bottom w:val="single" w:sz="4" w:space="0" w:color="auto"/>
              <w:right w:val="nil"/>
            </w:tcBorders>
            <w:noWrap/>
            <w:vAlign w:val="center"/>
          </w:tcPr>
          <w:p w14:paraId="3A600A6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4.44</w:t>
            </w:r>
          </w:p>
        </w:tc>
        <w:tc>
          <w:tcPr>
            <w:tcW w:w="1401" w:type="dxa"/>
            <w:tcBorders>
              <w:top w:val="single" w:sz="4" w:space="0" w:color="auto"/>
              <w:left w:val="nil"/>
              <w:bottom w:val="single" w:sz="4" w:space="0" w:color="auto"/>
              <w:right w:val="nil"/>
            </w:tcBorders>
            <w:noWrap/>
            <w:vAlign w:val="center"/>
          </w:tcPr>
          <w:p w14:paraId="117D23D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0.39</w:t>
            </w:r>
          </w:p>
        </w:tc>
        <w:tc>
          <w:tcPr>
            <w:tcW w:w="2183" w:type="dxa"/>
            <w:tcBorders>
              <w:top w:val="single" w:sz="4" w:space="0" w:color="auto"/>
              <w:left w:val="nil"/>
              <w:bottom w:val="single" w:sz="4" w:space="0" w:color="auto"/>
              <w:right w:val="nil"/>
            </w:tcBorders>
            <w:noWrap/>
            <w:vAlign w:val="center"/>
          </w:tcPr>
          <w:p w14:paraId="08D5791B"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53F47C7" w14:textId="77777777" w:rsidTr="0037632B">
        <w:trPr>
          <w:trHeight w:val="299"/>
          <w:jc w:val="center"/>
        </w:trPr>
        <w:tc>
          <w:tcPr>
            <w:tcW w:w="3934" w:type="dxa"/>
            <w:tcBorders>
              <w:top w:val="single" w:sz="4" w:space="0" w:color="auto"/>
              <w:left w:val="nil"/>
              <w:bottom w:val="single" w:sz="4" w:space="0" w:color="auto"/>
              <w:right w:val="nil"/>
            </w:tcBorders>
          </w:tcPr>
          <w:p w14:paraId="3C7571D5"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Communicate promptly and clearly to the learners as to the result of the assessment and evaluation</w:t>
            </w:r>
          </w:p>
        </w:tc>
        <w:tc>
          <w:tcPr>
            <w:tcW w:w="961" w:type="dxa"/>
            <w:tcBorders>
              <w:top w:val="single" w:sz="4" w:space="0" w:color="auto"/>
              <w:left w:val="nil"/>
              <w:bottom w:val="single" w:sz="4" w:space="0" w:color="auto"/>
              <w:right w:val="nil"/>
            </w:tcBorders>
            <w:noWrap/>
            <w:vAlign w:val="center"/>
          </w:tcPr>
          <w:p w14:paraId="009CC50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4.47</w:t>
            </w:r>
          </w:p>
        </w:tc>
        <w:tc>
          <w:tcPr>
            <w:tcW w:w="1401" w:type="dxa"/>
            <w:tcBorders>
              <w:top w:val="single" w:sz="4" w:space="0" w:color="auto"/>
              <w:left w:val="nil"/>
              <w:bottom w:val="single" w:sz="4" w:space="0" w:color="auto"/>
              <w:right w:val="nil"/>
            </w:tcBorders>
            <w:noWrap/>
            <w:vAlign w:val="center"/>
          </w:tcPr>
          <w:p w14:paraId="193FA23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0.44</w:t>
            </w:r>
          </w:p>
        </w:tc>
        <w:tc>
          <w:tcPr>
            <w:tcW w:w="2183" w:type="dxa"/>
            <w:tcBorders>
              <w:top w:val="single" w:sz="4" w:space="0" w:color="auto"/>
              <w:left w:val="nil"/>
              <w:bottom w:val="single" w:sz="4" w:space="0" w:color="auto"/>
              <w:right w:val="nil"/>
            </w:tcBorders>
            <w:noWrap/>
            <w:vAlign w:val="center"/>
          </w:tcPr>
          <w:p w14:paraId="393FF24D"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08A4374A" w14:textId="77777777" w:rsidTr="0037632B">
        <w:trPr>
          <w:trHeight w:val="299"/>
          <w:jc w:val="center"/>
        </w:trPr>
        <w:tc>
          <w:tcPr>
            <w:tcW w:w="3934" w:type="dxa"/>
            <w:tcBorders>
              <w:top w:val="single" w:sz="4" w:space="0" w:color="auto"/>
              <w:left w:val="nil"/>
              <w:bottom w:val="single" w:sz="4" w:space="0" w:color="auto"/>
              <w:right w:val="nil"/>
            </w:tcBorders>
          </w:tcPr>
          <w:p w14:paraId="47B190AF"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Average</w:t>
            </w:r>
          </w:p>
        </w:tc>
        <w:tc>
          <w:tcPr>
            <w:tcW w:w="961" w:type="dxa"/>
            <w:tcBorders>
              <w:top w:val="single" w:sz="4" w:space="0" w:color="auto"/>
              <w:left w:val="nil"/>
              <w:bottom w:val="single" w:sz="4" w:space="0" w:color="auto"/>
              <w:right w:val="nil"/>
            </w:tcBorders>
            <w:noWrap/>
            <w:vAlign w:val="center"/>
          </w:tcPr>
          <w:p w14:paraId="020858ED"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4.46</w:t>
            </w:r>
          </w:p>
        </w:tc>
        <w:tc>
          <w:tcPr>
            <w:tcW w:w="1401" w:type="dxa"/>
            <w:tcBorders>
              <w:top w:val="single" w:sz="4" w:space="0" w:color="auto"/>
              <w:left w:val="nil"/>
              <w:bottom w:val="single" w:sz="4" w:space="0" w:color="auto"/>
              <w:right w:val="nil"/>
            </w:tcBorders>
            <w:noWrap/>
            <w:vAlign w:val="center"/>
          </w:tcPr>
          <w:p w14:paraId="15483D4A"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0.36</w:t>
            </w:r>
          </w:p>
        </w:tc>
        <w:tc>
          <w:tcPr>
            <w:tcW w:w="2183" w:type="dxa"/>
            <w:tcBorders>
              <w:top w:val="single" w:sz="4" w:space="0" w:color="auto"/>
              <w:left w:val="nil"/>
              <w:bottom w:val="single" w:sz="4" w:space="0" w:color="auto"/>
              <w:right w:val="nil"/>
            </w:tcBorders>
            <w:noWrap/>
            <w:vAlign w:val="center"/>
          </w:tcPr>
          <w:p w14:paraId="0F63F46A"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Very Satisfactory</w:t>
            </w:r>
          </w:p>
        </w:tc>
      </w:tr>
    </w:tbl>
    <w:p w14:paraId="1EE9CEE0" w14:textId="77777777" w:rsidR="005F1BEC" w:rsidRPr="005F1BEC" w:rsidRDefault="005F1BEC" w:rsidP="005F1BEC">
      <w:pPr>
        <w:widowControl w:val="0"/>
        <w:autoSpaceDE w:val="0"/>
        <w:autoSpaceDN w:val="0"/>
        <w:jc w:val="both"/>
        <w:rPr>
          <w:rFonts w:ascii="Arial" w:eastAsia="Arial" w:hAnsi="Arial" w:cs="Arial"/>
        </w:rPr>
      </w:pPr>
    </w:p>
    <w:p w14:paraId="370B25A9" w14:textId="77777777" w:rsidR="008636AD" w:rsidRPr="008636AD" w:rsidRDefault="008636AD" w:rsidP="008636AD">
      <w:pPr>
        <w:ind w:firstLine="720"/>
        <w:jc w:val="both"/>
        <w:rPr>
          <w:rFonts w:ascii="Arial" w:eastAsia="Arial" w:hAnsi="Arial" w:cs="Arial"/>
        </w:rPr>
      </w:pPr>
      <w:proofErr w:type="spellStart"/>
      <w:r w:rsidRPr="008636AD">
        <w:rPr>
          <w:rFonts w:ascii="Arial" w:eastAsia="Arial" w:hAnsi="Arial" w:cs="Arial"/>
        </w:rPr>
        <w:t>Pacpaco</w:t>
      </w:r>
      <w:proofErr w:type="spellEnd"/>
      <w:r w:rsidRPr="008636AD">
        <w:rPr>
          <w:rFonts w:ascii="Arial" w:eastAsia="Arial" w:hAnsi="Arial" w:cs="Arial"/>
        </w:rPr>
        <w:t xml:space="preserve"> et al. (2022) found that BEED graduates excelled in PPST Domain 5, especially in aligning assessments with learning goals. </w:t>
      </w:r>
      <w:proofErr w:type="spellStart"/>
      <w:r w:rsidRPr="008636AD">
        <w:rPr>
          <w:rFonts w:ascii="Arial" w:eastAsia="Arial" w:hAnsi="Arial" w:cs="Arial"/>
        </w:rPr>
        <w:t>Gepila</w:t>
      </w:r>
      <w:proofErr w:type="spellEnd"/>
      <w:r w:rsidRPr="008636AD">
        <w:rPr>
          <w:rFonts w:ascii="Arial" w:eastAsia="Arial" w:hAnsi="Arial" w:cs="Arial"/>
        </w:rPr>
        <w:t xml:space="preserve"> Jr. (2020) noted effective use of formative and summative tools, while </w:t>
      </w:r>
      <w:proofErr w:type="spellStart"/>
      <w:r w:rsidRPr="008636AD">
        <w:rPr>
          <w:rFonts w:ascii="Arial" w:eastAsia="Arial" w:hAnsi="Arial" w:cs="Arial"/>
        </w:rPr>
        <w:t>Sinsay</w:t>
      </w:r>
      <w:proofErr w:type="spellEnd"/>
      <w:r w:rsidRPr="008636AD">
        <w:rPr>
          <w:rFonts w:ascii="Arial" w:eastAsia="Arial" w:hAnsi="Arial" w:cs="Arial"/>
        </w:rPr>
        <w:t>-Villanueva et al. (2025) stressed the role of assessment literacy in top-performing institutions.</w:t>
      </w:r>
    </w:p>
    <w:p w14:paraId="41B09731" w14:textId="4215127E" w:rsidR="008636AD" w:rsidRPr="008636AD" w:rsidRDefault="008636AD" w:rsidP="008636AD">
      <w:pPr>
        <w:ind w:firstLine="720"/>
        <w:jc w:val="both"/>
        <w:rPr>
          <w:rFonts w:ascii="Arial" w:eastAsia="Arial" w:hAnsi="Arial" w:cs="Arial"/>
        </w:rPr>
      </w:pPr>
      <w:r w:rsidRPr="008636AD">
        <w:rPr>
          <w:rFonts w:ascii="Arial" w:eastAsia="Arial" w:hAnsi="Arial" w:cs="Arial"/>
        </w:rPr>
        <w:t xml:space="preserve">Table </w:t>
      </w:r>
      <w:r w:rsidR="003733BF">
        <w:rPr>
          <w:rFonts w:ascii="Arial" w:eastAsia="Arial" w:hAnsi="Arial" w:cs="Arial"/>
        </w:rPr>
        <w:t>10</w:t>
      </w:r>
      <w:r w:rsidRPr="008636AD">
        <w:rPr>
          <w:rFonts w:ascii="Arial" w:eastAsia="Arial" w:hAnsi="Arial" w:cs="Arial"/>
        </w:rPr>
        <w:t xml:space="preserve"> shows Flexibility and Adaptability had a mean of 4.36 (s = 0.36), with “Demonstrates exceptional flexibility” rated highest (x̄ = 4.44) and “Thrives in ambiguous situations” lowest (x̄ = 4.28), indicating a need for greater confidence in complex settings.</w:t>
      </w:r>
    </w:p>
    <w:p w14:paraId="5DEB2499" w14:textId="77777777" w:rsidR="008636AD" w:rsidRDefault="008636AD" w:rsidP="008636AD">
      <w:pPr>
        <w:jc w:val="both"/>
        <w:rPr>
          <w:rFonts w:ascii="Arial" w:eastAsia="Arial" w:hAnsi="Arial" w:cs="Arial"/>
        </w:rPr>
      </w:pPr>
      <w:r w:rsidRPr="008636AD">
        <w:rPr>
          <w:rFonts w:ascii="Arial" w:eastAsia="Arial" w:hAnsi="Arial" w:cs="Arial"/>
        </w:rPr>
        <w:t xml:space="preserve">These align with Panlaqui et al. (2022), Pardo and </w:t>
      </w:r>
      <w:proofErr w:type="spellStart"/>
      <w:r w:rsidRPr="008636AD">
        <w:rPr>
          <w:rFonts w:ascii="Arial" w:eastAsia="Arial" w:hAnsi="Arial" w:cs="Arial"/>
        </w:rPr>
        <w:t>Relon</w:t>
      </w:r>
      <w:proofErr w:type="spellEnd"/>
      <w:r w:rsidRPr="008636AD">
        <w:rPr>
          <w:rFonts w:ascii="Arial" w:eastAsia="Arial" w:hAnsi="Arial" w:cs="Arial"/>
        </w:rPr>
        <w:t xml:space="preserve"> (2023), </w:t>
      </w:r>
      <w:proofErr w:type="spellStart"/>
      <w:r w:rsidRPr="008636AD">
        <w:rPr>
          <w:rFonts w:ascii="Arial" w:eastAsia="Arial" w:hAnsi="Arial" w:cs="Arial"/>
        </w:rPr>
        <w:t>Domine</w:t>
      </w:r>
      <w:proofErr w:type="spellEnd"/>
      <w:r w:rsidRPr="008636AD">
        <w:rPr>
          <w:rFonts w:ascii="Arial" w:eastAsia="Arial" w:hAnsi="Arial" w:cs="Arial"/>
        </w:rPr>
        <w:t xml:space="preserve"> (2025), and Abana et al. (2021), who highlighted flexibility as vital to teacher success, especially in digital and blended learning contexts.</w:t>
      </w:r>
    </w:p>
    <w:p w14:paraId="13FD4C2B" w14:textId="3847B2BA" w:rsidR="005F1BEC" w:rsidRPr="008636AD" w:rsidRDefault="005F1BEC" w:rsidP="008636AD">
      <w:pPr>
        <w:jc w:val="both"/>
        <w:rPr>
          <w:rFonts w:ascii="Arial" w:eastAsia="Arial" w:hAnsi="Arial" w:cs="Arial"/>
        </w:rPr>
      </w:pPr>
      <w:r w:rsidRPr="005F1BEC">
        <w:rPr>
          <w:rFonts w:ascii="Arial" w:eastAsia="Times New Roman" w:hAnsi="Arial" w:cs="Arial"/>
          <w:lang w:bidi="ar"/>
        </w:rPr>
        <w:t xml:space="preserve">Table </w:t>
      </w:r>
      <w:r w:rsidR="003733BF">
        <w:rPr>
          <w:rFonts w:ascii="Arial" w:eastAsia="Times New Roman" w:hAnsi="Arial" w:cs="Arial"/>
          <w:lang w:bidi="ar"/>
        </w:rPr>
        <w:t>10</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Level of employer feedback on BEED graduates’ workplace performance in the flexibility and adaptability</w:t>
      </w:r>
    </w:p>
    <w:tbl>
      <w:tblPr>
        <w:tblW w:w="8531" w:type="dxa"/>
        <w:jc w:val="center"/>
        <w:tblLook w:val="04A0" w:firstRow="1" w:lastRow="0" w:firstColumn="1" w:lastColumn="0" w:noHBand="0" w:noVBand="1"/>
      </w:tblPr>
      <w:tblGrid>
        <w:gridCol w:w="4379"/>
        <w:gridCol w:w="960"/>
        <w:gridCol w:w="1400"/>
        <w:gridCol w:w="1792"/>
      </w:tblGrid>
      <w:tr w:rsidR="005F1BEC" w:rsidRPr="005F1BEC" w14:paraId="510979A8" w14:textId="77777777" w:rsidTr="0037632B">
        <w:trPr>
          <w:trHeight w:val="570"/>
          <w:jc w:val="center"/>
        </w:trPr>
        <w:tc>
          <w:tcPr>
            <w:tcW w:w="4379" w:type="dxa"/>
            <w:tcBorders>
              <w:top w:val="single" w:sz="4" w:space="0" w:color="auto"/>
              <w:left w:val="nil"/>
              <w:bottom w:val="single" w:sz="4" w:space="0" w:color="auto"/>
              <w:right w:val="nil"/>
            </w:tcBorders>
            <w:vAlign w:val="center"/>
          </w:tcPr>
          <w:p w14:paraId="775FCBB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Indicators</w:t>
            </w:r>
          </w:p>
        </w:tc>
        <w:tc>
          <w:tcPr>
            <w:tcW w:w="960" w:type="dxa"/>
            <w:tcBorders>
              <w:top w:val="single" w:sz="4" w:space="0" w:color="auto"/>
              <w:left w:val="nil"/>
              <w:bottom w:val="single" w:sz="4" w:space="0" w:color="auto"/>
              <w:right w:val="nil"/>
            </w:tcBorders>
            <w:vAlign w:val="center"/>
          </w:tcPr>
          <w:p w14:paraId="3117DB6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Mean</w:t>
            </w:r>
          </w:p>
        </w:tc>
        <w:tc>
          <w:tcPr>
            <w:tcW w:w="1400" w:type="dxa"/>
            <w:tcBorders>
              <w:top w:val="single" w:sz="4" w:space="0" w:color="auto"/>
              <w:left w:val="nil"/>
              <w:bottom w:val="single" w:sz="4" w:space="0" w:color="auto"/>
              <w:right w:val="nil"/>
            </w:tcBorders>
            <w:vAlign w:val="center"/>
          </w:tcPr>
          <w:p w14:paraId="7B485AF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Std. Deviation</w:t>
            </w:r>
          </w:p>
        </w:tc>
        <w:tc>
          <w:tcPr>
            <w:tcW w:w="1792" w:type="dxa"/>
            <w:tcBorders>
              <w:top w:val="single" w:sz="4" w:space="0" w:color="auto"/>
              <w:left w:val="nil"/>
              <w:bottom w:val="single" w:sz="4" w:space="0" w:color="auto"/>
              <w:right w:val="nil"/>
            </w:tcBorders>
            <w:noWrap/>
            <w:vAlign w:val="center"/>
          </w:tcPr>
          <w:p w14:paraId="21D705E2"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Interpretation</w:t>
            </w:r>
          </w:p>
        </w:tc>
      </w:tr>
      <w:tr w:rsidR="005F1BEC" w:rsidRPr="005F1BEC" w14:paraId="6557DC8F" w14:textId="77777777" w:rsidTr="0037632B">
        <w:trPr>
          <w:trHeight w:val="300"/>
          <w:jc w:val="center"/>
        </w:trPr>
        <w:tc>
          <w:tcPr>
            <w:tcW w:w="4379" w:type="dxa"/>
            <w:tcBorders>
              <w:top w:val="single" w:sz="4" w:space="0" w:color="auto"/>
              <w:left w:val="nil"/>
              <w:bottom w:val="single" w:sz="4" w:space="0" w:color="auto"/>
              <w:right w:val="nil"/>
            </w:tcBorders>
          </w:tcPr>
          <w:p w14:paraId="738CF19A"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Demonstrates exceptional flexibility by easily adjusting to changing priorities and deadlines.</w:t>
            </w:r>
          </w:p>
        </w:tc>
        <w:tc>
          <w:tcPr>
            <w:tcW w:w="960" w:type="dxa"/>
            <w:tcBorders>
              <w:top w:val="single" w:sz="4" w:space="0" w:color="auto"/>
              <w:left w:val="nil"/>
              <w:bottom w:val="single" w:sz="4" w:space="0" w:color="auto"/>
              <w:right w:val="nil"/>
            </w:tcBorders>
            <w:noWrap/>
            <w:vAlign w:val="center"/>
          </w:tcPr>
          <w:p w14:paraId="011D9D68"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4.44</w:t>
            </w:r>
          </w:p>
        </w:tc>
        <w:tc>
          <w:tcPr>
            <w:tcW w:w="1400" w:type="dxa"/>
            <w:tcBorders>
              <w:top w:val="single" w:sz="4" w:space="0" w:color="auto"/>
              <w:left w:val="nil"/>
              <w:bottom w:val="single" w:sz="4" w:space="0" w:color="auto"/>
              <w:right w:val="nil"/>
            </w:tcBorders>
            <w:noWrap/>
            <w:vAlign w:val="center"/>
          </w:tcPr>
          <w:p w14:paraId="682C470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0.45</w:t>
            </w:r>
          </w:p>
        </w:tc>
        <w:tc>
          <w:tcPr>
            <w:tcW w:w="1792" w:type="dxa"/>
            <w:tcBorders>
              <w:top w:val="single" w:sz="4" w:space="0" w:color="auto"/>
              <w:left w:val="nil"/>
              <w:bottom w:val="single" w:sz="4" w:space="0" w:color="auto"/>
              <w:right w:val="nil"/>
            </w:tcBorders>
            <w:noWrap/>
            <w:vAlign w:val="center"/>
          </w:tcPr>
          <w:p w14:paraId="05AD530D"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C70C8D2" w14:textId="77777777" w:rsidTr="0037632B">
        <w:trPr>
          <w:trHeight w:val="300"/>
          <w:jc w:val="center"/>
        </w:trPr>
        <w:tc>
          <w:tcPr>
            <w:tcW w:w="4379" w:type="dxa"/>
            <w:tcBorders>
              <w:top w:val="single" w:sz="4" w:space="0" w:color="auto"/>
              <w:left w:val="nil"/>
              <w:bottom w:val="single" w:sz="4" w:space="0" w:color="auto"/>
              <w:right w:val="nil"/>
            </w:tcBorders>
          </w:tcPr>
          <w:p w14:paraId="76B534AF"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Displays high adaptability by quickly learning and mastering new technologies, tools, and processes.</w:t>
            </w:r>
          </w:p>
        </w:tc>
        <w:tc>
          <w:tcPr>
            <w:tcW w:w="960" w:type="dxa"/>
            <w:tcBorders>
              <w:top w:val="single" w:sz="4" w:space="0" w:color="auto"/>
              <w:left w:val="nil"/>
              <w:bottom w:val="single" w:sz="4" w:space="0" w:color="auto"/>
              <w:right w:val="nil"/>
            </w:tcBorders>
            <w:noWrap/>
            <w:vAlign w:val="center"/>
          </w:tcPr>
          <w:p w14:paraId="20B31C8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4.40</w:t>
            </w:r>
          </w:p>
        </w:tc>
        <w:tc>
          <w:tcPr>
            <w:tcW w:w="1400" w:type="dxa"/>
            <w:tcBorders>
              <w:top w:val="single" w:sz="4" w:space="0" w:color="auto"/>
              <w:left w:val="nil"/>
              <w:bottom w:val="single" w:sz="4" w:space="0" w:color="auto"/>
              <w:right w:val="nil"/>
            </w:tcBorders>
            <w:noWrap/>
            <w:vAlign w:val="center"/>
          </w:tcPr>
          <w:p w14:paraId="12594F5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0.39</w:t>
            </w:r>
          </w:p>
        </w:tc>
        <w:tc>
          <w:tcPr>
            <w:tcW w:w="1792" w:type="dxa"/>
            <w:tcBorders>
              <w:top w:val="single" w:sz="4" w:space="0" w:color="auto"/>
              <w:left w:val="nil"/>
              <w:bottom w:val="single" w:sz="4" w:space="0" w:color="auto"/>
              <w:right w:val="nil"/>
            </w:tcBorders>
            <w:noWrap/>
            <w:vAlign w:val="center"/>
          </w:tcPr>
          <w:p w14:paraId="074490B9"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0AF37DDD" w14:textId="77777777" w:rsidTr="0037632B">
        <w:trPr>
          <w:trHeight w:val="300"/>
          <w:jc w:val="center"/>
        </w:trPr>
        <w:tc>
          <w:tcPr>
            <w:tcW w:w="4379" w:type="dxa"/>
            <w:tcBorders>
              <w:top w:val="single" w:sz="4" w:space="0" w:color="auto"/>
              <w:left w:val="nil"/>
              <w:bottom w:val="single" w:sz="4" w:space="0" w:color="auto"/>
              <w:right w:val="nil"/>
            </w:tcBorders>
          </w:tcPr>
          <w:p w14:paraId="3DD5024C"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Exhibits flexibility in collaborating with diverse teams, effectively adjusting communication and work styles to accommodate different perspectives and personalities.</w:t>
            </w:r>
          </w:p>
        </w:tc>
        <w:tc>
          <w:tcPr>
            <w:tcW w:w="960" w:type="dxa"/>
            <w:tcBorders>
              <w:top w:val="single" w:sz="4" w:space="0" w:color="auto"/>
              <w:left w:val="nil"/>
              <w:bottom w:val="single" w:sz="4" w:space="0" w:color="auto"/>
              <w:right w:val="nil"/>
            </w:tcBorders>
            <w:noWrap/>
            <w:vAlign w:val="center"/>
          </w:tcPr>
          <w:p w14:paraId="2FC5E79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4.38</w:t>
            </w:r>
          </w:p>
        </w:tc>
        <w:tc>
          <w:tcPr>
            <w:tcW w:w="1400" w:type="dxa"/>
            <w:tcBorders>
              <w:top w:val="single" w:sz="4" w:space="0" w:color="auto"/>
              <w:left w:val="nil"/>
              <w:bottom w:val="single" w:sz="4" w:space="0" w:color="auto"/>
              <w:right w:val="nil"/>
            </w:tcBorders>
            <w:noWrap/>
            <w:vAlign w:val="center"/>
          </w:tcPr>
          <w:p w14:paraId="565163D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0.43</w:t>
            </w:r>
          </w:p>
        </w:tc>
        <w:tc>
          <w:tcPr>
            <w:tcW w:w="1792" w:type="dxa"/>
            <w:tcBorders>
              <w:top w:val="single" w:sz="4" w:space="0" w:color="auto"/>
              <w:left w:val="nil"/>
              <w:bottom w:val="single" w:sz="4" w:space="0" w:color="auto"/>
              <w:right w:val="nil"/>
            </w:tcBorders>
            <w:noWrap/>
            <w:vAlign w:val="center"/>
          </w:tcPr>
          <w:p w14:paraId="0B710C5A"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49611E9C" w14:textId="77777777" w:rsidTr="0037632B">
        <w:trPr>
          <w:trHeight w:val="300"/>
          <w:jc w:val="center"/>
        </w:trPr>
        <w:tc>
          <w:tcPr>
            <w:tcW w:w="4379" w:type="dxa"/>
            <w:tcBorders>
              <w:top w:val="single" w:sz="4" w:space="0" w:color="auto"/>
              <w:left w:val="nil"/>
              <w:bottom w:val="single" w:sz="4" w:space="0" w:color="auto"/>
              <w:right w:val="nil"/>
            </w:tcBorders>
          </w:tcPr>
          <w:p w14:paraId="3A303E5C"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Thrives in ambiguous situations, displaying adaptability by embracing uncertainty and finding innovative solutions to complex problems.</w:t>
            </w:r>
          </w:p>
        </w:tc>
        <w:tc>
          <w:tcPr>
            <w:tcW w:w="960" w:type="dxa"/>
            <w:tcBorders>
              <w:top w:val="single" w:sz="4" w:space="0" w:color="auto"/>
              <w:left w:val="nil"/>
              <w:bottom w:val="single" w:sz="4" w:space="0" w:color="auto"/>
              <w:right w:val="nil"/>
            </w:tcBorders>
            <w:noWrap/>
            <w:vAlign w:val="center"/>
          </w:tcPr>
          <w:p w14:paraId="67D5164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4.28</w:t>
            </w:r>
          </w:p>
        </w:tc>
        <w:tc>
          <w:tcPr>
            <w:tcW w:w="1400" w:type="dxa"/>
            <w:tcBorders>
              <w:top w:val="single" w:sz="4" w:space="0" w:color="auto"/>
              <w:left w:val="nil"/>
              <w:bottom w:val="single" w:sz="4" w:space="0" w:color="auto"/>
              <w:right w:val="nil"/>
            </w:tcBorders>
            <w:noWrap/>
            <w:vAlign w:val="center"/>
          </w:tcPr>
          <w:p w14:paraId="74C581B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0.38</w:t>
            </w:r>
          </w:p>
        </w:tc>
        <w:tc>
          <w:tcPr>
            <w:tcW w:w="1792" w:type="dxa"/>
            <w:tcBorders>
              <w:top w:val="single" w:sz="4" w:space="0" w:color="auto"/>
              <w:left w:val="nil"/>
              <w:bottom w:val="single" w:sz="4" w:space="0" w:color="auto"/>
              <w:right w:val="nil"/>
            </w:tcBorders>
            <w:noWrap/>
            <w:vAlign w:val="center"/>
          </w:tcPr>
          <w:p w14:paraId="580EC324"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776624B5" w14:textId="77777777" w:rsidTr="0037632B">
        <w:trPr>
          <w:trHeight w:val="300"/>
          <w:jc w:val="center"/>
        </w:trPr>
        <w:tc>
          <w:tcPr>
            <w:tcW w:w="4379" w:type="dxa"/>
            <w:tcBorders>
              <w:top w:val="single" w:sz="4" w:space="0" w:color="auto"/>
              <w:left w:val="nil"/>
              <w:bottom w:val="single" w:sz="4" w:space="0" w:color="auto"/>
              <w:right w:val="nil"/>
            </w:tcBorders>
          </w:tcPr>
          <w:p w14:paraId="2DE01B0B"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Shows flexibility in balancing multiple projects simultaneously, efficiently reallocating resources, and adapting strategies to meet evolving needs</w:t>
            </w:r>
          </w:p>
        </w:tc>
        <w:tc>
          <w:tcPr>
            <w:tcW w:w="960" w:type="dxa"/>
            <w:tcBorders>
              <w:top w:val="single" w:sz="4" w:space="0" w:color="auto"/>
              <w:left w:val="nil"/>
              <w:bottom w:val="single" w:sz="4" w:space="0" w:color="auto"/>
              <w:right w:val="nil"/>
            </w:tcBorders>
            <w:noWrap/>
            <w:vAlign w:val="center"/>
          </w:tcPr>
          <w:p w14:paraId="097A3CB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4.31</w:t>
            </w:r>
          </w:p>
        </w:tc>
        <w:tc>
          <w:tcPr>
            <w:tcW w:w="1400" w:type="dxa"/>
            <w:tcBorders>
              <w:top w:val="single" w:sz="4" w:space="0" w:color="auto"/>
              <w:left w:val="nil"/>
              <w:bottom w:val="single" w:sz="4" w:space="0" w:color="auto"/>
              <w:right w:val="nil"/>
            </w:tcBorders>
            <w:noWrap/>
            <w:vAlign w:val="center"/>
          </w:tcPr>
          <w:p w14:paraId="317798B6"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0.41</w:t>
            </w:r>
          </w:p>
        </w:tc>
        <w:tc>
          <w:tcPr>
            <w:tcW w:w="1792" w:type="dxa"/>
            <w:tcBorders>
              <w:top w:val="single" w:sz="4" w:space="0" w:color="auto"/>
              <w:left w:val="nil"/>
              <w:bottom w:val="single" w:sz="4" w:space="0" w:color="auto"/>
              <w:right w:val="nil"/>
            </w:tcBorders>
            <w:noWrap/>
            <w:vAlign w:val="center"/>
          </w:tcPr>
          <w:p w14:paraId="542A575B"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45BFE23" w14:textId="77777777" w:rsidTr="0037632B">
        <w:trPr>
          <w:trHeight w:val="300"/>
          <w:jc w:val="center"/>
        </w:trPr>
        <w:tc>
          <w:tcPr>
            <w:tcW w:w="4379" w:type="dxa"/>
            <w:tcBorders>
              <w:top w:val="single" w:sz="4" w:space="0" w:color="auto"/>
              <w:left w:val="nil"/>
              <w:bottom w:val="single" w:sz="4" w:space="0" w:color="auto"/>
              <w:right w:val="nil"/>
            </w:tcBorders>
            <w:vAlign w:val="center"/>
          </w:tcPr>
          <w:p w14:paraId="249B2E1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Average</w:t>
            </w:r>
          </w:p>
        </w:tc>
        <w:tc>
          <w:tcPr>
            <w:tcW w:w="960" w:type="dxa"/>
            <w:tcBorders>
              <w:top w:val="single" w:sz="4" w:space="0" w:color="auto"/>
              <w:left w:val="nil"/>
              <w:bottom w:val="single" w:sz="4" w:space="0" w:color="auto"/>
              <w:right w:val="nil"/>
            </w:tcBorders>
            <w:noWrap/>
            <w:vAlign w:val="center"/>
          </w:tcPr>
          <w:p w14:paraId="7044D9D6"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4.36</w:t>
            </w:r>
          </w:p>
        </w:tc>
        <w:tc>
          <w:tcPr>
            <w:tcW w:w="1400" w:type="dxa"/>
            <w:tcBorders>
              <w:top w:val="single" w:sz="4" w:space="0" w:color="auto"/>
              <w:left w:val="nil"/>
              <w:bottom w:val="single" w:sz="4" w:space="0" w:color="auto"/>
              <w:right w:val="nil"/>
            </w:tcBorders>
            <w:noWrap/>
            <w:vAlign w:val="center"/>
          </w:tcPr>
          <w:p w14:paraId="1C65D5A3"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0.36</w:t>
            </w:r>
          </w:p>
        </w:tc>
        <w:tc>
          <w:tcPr>
            <w:tcW w:w="1792" w:type="dxa"/>
            <w:tcBorders>
              <w:top w:val="single" w:sz="4" w:space="0" w:color="auto"/>
              <w:left w:val="nil"/>
              <w:bottom w:val="single" w:sz="4" w:space="0" w:color="auto"/>
              <w:right w:val="nil"/>
            </w:tcBorders>
            <w:noWrap/>
            <w:vAlign w:val="center"/>
          </w:tcPr>
          <w:p w14:paraId="09C1A177"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bl>
    <w:p w14:paraId="38316F7D" w14:textId="77777777" w:rsidR="005F1BEC" w:rsidRPr="005F1BEC" w:rsidRDefault="005F1BEC" w:rsidP="005F1BEC">
      <w:pPr>
        <w:widowControl w:val="0"/>
        <w:autoSpaceDE w:val="0"/>
        <w:autoSpaceDN w:val="0"/>
        <w:jc w:val="both"/>
        <w:rPr>
          <w:rFonts w:ascii="Arial" w:eastAsia="Arial" w:hAnsi="Arial" w:cs="Arial"/>
        </w:rPr>
      </w:pPr>
    </w:p>
    <w:p w14:paraId="1AF3B876" w14:textId="77777777" w:rsidR="008636AD" w:rsidRPr="008636AD" w:rsidRDefault="008636AD" w:rsidP="008636AD">
      <w:pPr>
        <w:widowControl w:val="0"/>
        <w:autoSpaceDE w:val="0"/>
        <w:autoSpaceDN w:val="0"/>
        <w:adjustRightInd w:val="0"/>
        <w:ind w:firstLine="720"/>
        <w:jc w:val="both"/>
        <w:rPr>
          <w:rFonts w:ascii="Arial" w:eastAsia="Arial" w:hAnsi="Arial" w:cs="Arial"/>
        </w:rPr>
      </w:pPr>
      <w:r w:rsidRPr="008636AD">
        <w:rPr>
          <w:rFonts w:ascii="Arial" w:eastAsia="Arial" w:hAnsi="Arial" w:cs="Arial"/>
        </w:rPr>
        <w:t>Andres, De la Cruz, and Gonzaga (2021) emphasized adaptability as a key trait of Filipino teachers across modalities.</w:t>
      </w:r>
    </w:p>
    <w:p w14:paraId="12F84343" w14:textId="67681EF4" w:rsidR="008636AD" w:rsidRPr="008636AD" w:rsidRDefault="008636AD" w:rsidP="008636AD">
      <w:pPr>
        <w:widowControl w:val="0"/>
        <w:autoSpaceDE w:val="0"/>
        <w:autoSpaceDN w:val="0"/>
        <w:adjustRightInd w:val="0"/>
        <w:ind w:firstLine="720"/>
        <w:jc w:val="both"/>
        <w:rPr>
          <w:rFonts w:ascii="Arial" w:eastAsia="Arial" w:hAnsi="Arial" w:cs="Arial"/>
        </w:rPr>
      </w:pPr>
      <w:r w:rsidRPr="008636AD">
        <w:rPr>
          <w:rFonts w:ascii="Arial" w:eastAsia="Arial" w:hAnsi="Arial" w:cs="Arial"/>
        </w:rPr>
        <w:t xml:space="preserve">Table </w:t>
      </w:r>
      <w:r w:rsidR="003733BF">
        <w:rPr>
          <w:rFonts w:ascii="Arial" w:eastAsia="Arial" w:hAnsi="Arial" w:cs="Arial"/>
        </w:rPr>
        <w:t>11</w:t>
      </w:r>
      <w:r w:rsidRPr="008636AD">
        <w:rPr>
          <w:rFonts w:ascii="Arial" w:eastAsia="Arial" w:hAnsi="Arial" w:cs="Arial"/>
        </w:rPr>
        <w:t xml:space="preserve"> shows Dependability had a very satisfactory mean (x̄ = 4.45, s = 0.40). “Inspires trust and confidence” was highest (x̄ = 4.53), while “Understands the importance of punctuality” was lowest (x̄ = 4.38).</w:t>
      </w:r>
    </w:p>
    <w:p w14:paraId="7CBAA5DC" w14:textId="59392440" w:rsidR="005F1BEC" w:rsidRPr="005F1BEC" w:rsidRDefault="008636AD" w:rsidP="008636AD">
      <w:pPr>
        <w:widowControl w:val="0"/>
        <w:autoSpaceDE w:val="0"/>
        <w:autoSpaceDN w:val="0"/>
        <w:adjustRightInd w:val="0"/>
        <w:ind w:firstLine="720"/>
        <w:jc w:val="both"/>
        <w:rPr>
          <w:rFonts w:ascii="Arial" w:eastAsia="Arial" w:hAnsi="Arial" w:cs="Arial"/>
        </w:rPr>
      </w:pPr>
      <w:r w:rsidRPr="008636AD">
        <w:rPr>
          <w:rFonts w:ascii="Arial" w:eastAsia="Arial" w:hAnsi="Arial" w:cs="Arial"/>
        </w:rPr>
        <w:t>Overall, BEED graduates are viewed as reliable, accountable, and professional, meeting expectations in trust and responsibility.</w:t>
      </w:r>
    </w:p>
    <w:p w14:paraId="1F79D831" w14:textId="77777777" w:rsidR="005F1BEC" w:rsidRPr="005F1BEC" w:rsidRDefault="005F1BEC" w:rsidP="005F1BEC">
      <w:pPr>
        <w:widowControl w:val="0"/>
        <w:autoSpaceDE w:val="0"/>
        <w:autoSpaceDN w:val="0"/>
        <w:adjustRightInd w:val="0"/>
        <w:jc w:val="both"/>
        <w:rPr>
          <w:rFonts w:ascii="Arial" w:eastAsia="Times New Roman" w:hAnsi="Arial" w:cs="Arial"/>
          <w:bCs/>
        </w:rPr>
      </w:pPr>
    </w:p>
    <w:p w14:paraId="20679F9A" w14:textId="2753E72E" w:rsidR="005F1BEC" w:rsidRPr="005F1BEC" w:rsidRDefault="005F1BEC" w:rsidP="005F1BEC">
      <w:pPr>
        <w:jc w:val="both"/>
        <w:rPr>
          <w:rFonts w:ascii="Arial" w:eastAsia="Times New Roman" w:hAnsi="Arial" w:cs="Arial"/>
          <w:bCs/>
          <w:i/>
        </w:rPr>
      </w:pPr>
      <w:r w:rsidRPr="005F1BEC">
        <w:rPr>
          <w:rFonts w:ascii="Arial" w:eastAsia="Times New Roman" w:hAnsi="Arial" w:cs="Arial"/>
          <w:lang w:bidi="ar"/>
        </w:rPr>
        <w:t xml:space="preserve">Table </w:t>
      </w:r>
      <w:r w:rsidR="003733BF">
        <w:rPr>
          <w:rFonts w:ascii="Arial" w:eastAsia="Times New Roman" w:hAnsi="Arial" w:cs="Arial"/>
          <w:lang w:bidi="ar"/>
        </w:rPr>
        <w:t>11</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Level of employer feedback on BEED graduates’ workplace performance in the</w:t>
      </w:r>
      <w:r w:rsidRPr="005F1BEC">
        <w:rPr>
          <w:rFonts w:ascii="Arial" w:eastAsia="Calibri" w:hAnsi="Arial" w:cs="Arial"/>
          <w:iCs/>
          <w:lang w:bidi="ar"/>
        </w:rPr>
        <w:t xml:space="preserve"> </w:t>
      </w:r>
      <w:r w:rsidRPr="005F1BEC">
        <w:rPr>
          <w:rFonts w:ascii="Arial" w:eastAsia="Times New Roman" w:hAnsi="Arial" w:cs="Arial"/>
          <w:bCs/>
          <w:iCs/>
          <w:lang w:bidi="ar"/>
        </w:rPr>
        <w:t>Dependability</w:t>
      </w:r>
      <w:r w:rsidRPr="005F1BEC">
        <w:rPr>
          <w:rFonts w:ascii="Arial" w:eastAsia="Times New Roman" w:hAnsi="Arial" w:cs="Arial"/>
          <w:bCs/>
          <w:i/>
          <w:lang w:bidi="ar"/>
        </w:rPr>
        <w:t xml:space="preserve">     </w:t>
      </w:r>
    </w:p>
    <w:tbl>
      <w:tblPr>
        <w:tblW w:w="8604" w:type="dxa"/>
        <w:tblInd w:w="93" w:type="dxa"/>
        <w:tblBorders>
          <w:insideH w:val="single" w:sz="4" w:space="0" w:color="auto"/>
        </w:tblBorders>
        <w:tblLook w:val="04A0" w:firstRow="1" w:lastRow="0" w:firstColumn="1" w:lastColumn="0" w:noHBand="0" w:noVBand="1"/>
      </w:tblPr>
      <w:tblGrid>
        <w:gridCol w:w="4191"/>
        <w:gridCol w:w="960"/>
        <w:gridCol w:w="1400"/>
        <w:gridCol w:w="2053"/>
      </w:tblGrid>
      <w:tr w:rsidR="005F1BEC" w:rsidRPr="005F1BEC" w14:paraId="09D96C60" w14:textId="77777777" w:rsidTr="0037632B">
        <w:trPr>
          <w:trHeight w:val="570"/>
        </w:trPr>
        <w:tc>
          <w:tcPr>
            <w:tcW w:w="4191" w:type="dxa"/>
            <w:tcBorders>
              <w:top w:val="single" w:sz="4" w:space="0" w:color="auto"/>
              <w:left w:val="nil"/>
              <w:right w:val="nil"/>
            </w:tcBorders>
            <w:vAlign w:val="center"/>
          </w:tcPr>
          <w:p w14:paraId="42629B9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Indicators</w:t>
            </w:r>
          </w:p>
        </w:tc>
        <w:tc>
          <w:tcPr>
            <w:tcW w:w="960" w:type="dxa"/>
            <w:tcBorders>
              <w:top w:val="single" w:sz="4" w:space="0" w:color="auto"/>
              <w:left w:val="nil"/>
              <w:right w:val="nil"/>
            </w:tcBorders>
            <w:vAlign w:val="center"/>
          </w:tcPr>
          <w:p w14:paraId="5BF7654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Mean</w:t>
            </w:r>
          </w:p>
        </w:tc>
        <w:tc>
          <w:tcPr>
            <w:tcW w:w="1400" w:type="dxa"/>
            <w:tcBorders>
              <w:top w:val="single" w:sz="4" w:space="0" w:color="auto"/>
              <w:left w:val="nil"/>
              <w:right w:val="nil"/>
            </w:tcBorders>
            <w:vAlign w:val="center"/>
          </w:tcPr>
          <w:p w14:paraId="3CF5B0A2"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Std. Deviation</w:t>
            </w:r>
          </w:p>
        </w:tc>
        <w:tc>
          <w:tcPr>
            <w:tcW w:w="2053" w:type="dxa"/>
            <w:tcBorders>
              <w:top w:val="single" w:sz="4" w:space="0" w:color="auto"/>
              <w:left w:val="nil"/>
              <w:right w:val="nil"/>
            </w:tcBorders>
            <w:noWrap/>
            <w:vAlign w:val="center"/>
          </w:tcPr>
          <w:p w14:paraId="38860E25"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Interpretation</w:t>
            </w:r>
          </w:p>
        </w:tc>
      </w:tr>
      <w:tr w:rsidR="005F1BEC" w:rsidRPr="005F1BEC" w14:paraId="5A3AC80F" w14:textId="77777777" w:rsidTr="0037632B">
        <w:trPr>
          <w:trHeight w:val="300"/>
        </w:trPr>
        <w:tc>
          <w:tcPr>
            <w:tcW w:w="4191" w:type="dxa"/>
            <w:tcBorders>
              <w:left w:val="nil"/>
              <w:right w:val="nil"/>
            </w:tcBorders>
          </w:tcPr>
          <w:p w14:paraId="751F4490"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Ensures that tasks and responsibilities are completed consistently and on time.</w:t>
            </w:r>
          </w:p>
        </w:tc>
        <w:tc>
          <w:tcPr>
            <w:tcW w:w="960" w:type="dxa"/>
            <w:tcBorders>
              <w:left w:val="nil"/>
              <w:right w:val="nil"/>
            </w:tcBorders>
            <w:noWrap/>
            <w:vAlign w:val="center"/>
          </w:tcPr>
          <w:p w14:paraId="4B96302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4.42</w:t>
            </w:r>
          </w:p>
        </w:tc>
        <w:tc>
          <w:tcPr>
            <w:tcW w:w="1400" w:type="dxa"/>
            <w:tcBorders>
              <w:left w:val="nil"/>
              <w:right w:val="nil"/>
            </w:tcBorders>
            <w:noWrap/>
            <w:vAlign w:val="center"/>
          </w:tcPr>
          <w:p w14:paraId="5BC28BC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0.47</w:t>
            </w:r>
          </w:p>
        </w:tc>
        <w:tc>
          <w:tcPr>
            <w:tcW w:w="2053" w:type="dxa"/>
            <w:tcBorders>
              <w:left w:val="nil"/>
              <w:right w:val="nil"/>
            </w:tcBorders>
            <w:noWrap/>
            <w:vAlign w:val="center"/>
          </w:tcPr>
          <w:p w14:paraId="517A41CA"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1ED15CFF" w14:textId="77777777" w:rsidTr="0037632B">
        <w:trPr>
          <w:trHeight w:val="300"/>
        </w:trPr>
        <w:tc>
          <w:tcPr>
            <w:tcW w:w="4191" w:type="dxa"/>
            <w:tcBorders>
              <w:left w:val="nil"/>
              <w:right w:val="nil"/>
            </w:tcBorders>
          </w:tcPr>
          <w:p w14:paraId="1C19D3F3"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Follows through on commitment and delivering high-quality work, even when faced with challenges or obstacles.</w:t>
            </w:r>
          </w:p>
        </w:tc>
        <w:tc>
          <w:tcPr>
            <w:tcW w:w="960" w:type="dxa"/>
            <w:tcBorders>
              <w:left w:val="nil"/>
              <w:right w:val="nil"/>
            </w:tcBorders>
            <w:noWrap/>
            <w:vAlign w:val="center"/>
          </w:tcPr>
          <w:p w14:paraId="25E4C55B"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4.46</w:t>
            </w:r>
          </w:p>
        </w:tc>
        <w:tc>
          <w:tcPr>
            <w:tcW w:w="1400" w:type="dxa"/>
            <w:tcBorders>
              <w:left w:val="nil"/>
              <w:right w:val="nil"/>
            </w:tcBorders>
            <w:noWrap/>
            <w:vAlign w:val="center"/>
          </w:tcPr>
          <w:p w14:paraId="5473F0C0"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0.45</w:t>
            </w:r>
          </w:p>
        </w:tc>
        <w:tc>
          <w:tcPr>
            <w:tcW w:w="2053" w:type="dxa"/>
            <w:tcBorders>
              <w:left w:val="nil"/>
              <w:right w:val="nil"/>
            </w:tcBorders>
            <w:noWrap/>
            <w:vAlign w:val="center"/>
          </w:tcPr>
          <w:p w14:paraId="7EE7D488"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51F0680E" w14:textId="77777777" w:rsidTr="0037632B">
        <w:trPr>
          <w:trHeight w:val="300"/>
        </w:trPr>
        <w:tc>
          <w:tcPr>
            <w:tcW w:w="4191" w:type="dxa"/>
            <w:tcBorders>
              <w:left w:val="nil"/>
              <w:right w:val="nil"/>
            </w:tcBorders>
          </w:tcPr>
          <w:p w14:paraId="60E95237"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lastRenderedPageBreak/>
              <w:t>Inspires trust and confidence among colleagues, superiors, and students.</w:t>
            </w:r>
          </w:p>
        </w:tc>
        <w:tc>
          <w:tcPr>
            <w:tcW w:w="960" w:type="dxa"/>
            <w:tcBorders>
              <w:left w:val="nil"/>
              <w:right w:val="nil"/>
            </w:tcBorders>
            <w:noWrap/>
            <w:vAlign w:val="center"/>
          </w:tcPr>
          <w:p w14:paraId="7203EEE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4.53</w:t>
            </w:r>
          </w:p>
        </w:tc>
        <w:tc>
          <w:tcPr>
            <w:tcW w:w="1400" w:type="dxa"/>
            <w:tcBorders>
              <w:left w:val="nil"/>
              <w:right w:val="nil"/>
            </w:tcBorders>
            <w:noWrap/>
            <w:vAlign w:val="center"/>
          </w:tcPr>
          <w:p w14:paraId="1BF2105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0.42</w:t>
            </w:r>
          </w:p>
        </w:tc>
        <w:tc>
          <w:tcPr>
            <w:tcW w:w="2053" w:type="dxa"/>
            <w:tcBorders>
              <w:left w:val="nil"/>
              <w:right w:val="nil"/>
            </w:tcBorders>
            <w:noWrap/>
            <w:vAlign w:val="center"/>
          </w:tcPr>
          <w:p w14:paraId="306947B3"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Outstanding</w:t>
            </w:r>
          </w:p>
        </w:tc>
      </w:tr>
      <w:tr w:rsidR="005F1BEC" w:rsidRPr="005F1BEC" w14:paraId="7B9CD044" w14:textId="77777777" w:rsidTr="0037632B">
        <w:trPr>
          <w:trHeight w:val="300"/>
        </w:trPr>
        <w:tc>
          <w:tcPr>
            <w:tcW w:w="4191" w:type="dxa"/>
            <w:tcBorders>
              <w:left w:val="nil"/>
              <w:right w:val="nil"/>
            </w:tcBorders>
          </w:tcPr>
          <w:p w14:paraId="0ED4CC9D"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Proactively works, takes initiative, and anticipates needs or potential issues to ensure smooth academic operations.</w:t>
            </w:r>
          </w:p>
        </w:tc>
        <w:tc>
          <w:tcPr>
            <w:tcW w:w="960" w:type="dxa"/>
            <w:tcBorders>
              <w:left w:val="nil"/>
              <w:right w:val="nil"/>
            </w:tcBorders>
            <w:noWrap/>
            <w:vAlign w:val="center"/>
          </w:tcPr>
          <w:p w14:paraId="14BA4940"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4.44</w:t>
            </w:r>
          </w:p>
        </w:tc>
        <w:tc>
          <w:tcPr>
            <w:tcW w:w="1400" w:type="dxa"/>
            <w:tcBorders>
              <w:left w:val="nil"/>
              <w:right w:val="nil"/>
            </w:tcBorders>
            <w:noWrap/>
            <w:vAlign w:val="center"/>
          </w:tcPr>
          <w:p w14:paraId="4998E827"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0.44</w:t>
            </w:r>
          </w:p>
        </w:tc>
        <w:tc>
          <w:tcPr>
            <w:tcW w:w="2053" w:type="dxa"/>
            <w:tcBorders>
              <w:left w:val="nil"/>
              <w:right w:val="nil"/>
            </w:tcBorders>
            <w:noWrap/>
            <w:vAlign w:val="center"/>
          </w:tcPr>
          <w:p w14:paraId="0A0EFA16"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4F227300" w14:textId="77777777" w:rsidTr="0037632B">
        <w:trPr>
          <w:trHeight w:val="300"/>
        </w:trPr>
        <w:tc>
          <w:tcPr>
            <w:tcW w:w="4191" w:type="dxa"/>
            <w:tcBorders>
              <w:left w:val="nil"/>
              <w:right w:val="nil"/>
            </w:tcBorders>
          </w:tcPr>
          <w:p w14:paraId="49EEBC56"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Understand the importance of punctuality and reliability, consistently showing up on time and fulfilling their obligations.</w:t>
            </w:r>
          </w:p>
        </w:tc>
        <w:tc>
          <w:tcPr>
            <w:tcW w:w="960" w:type="dxa"/>
            <w:tcBorders>
              <w:left w:val="nil"/>
              <w:right w:val="nil"/>
            </w:tcBorders>
            <w:noWrap/>
            <w:vAlign w:val="center"/>
          </w:tcPr>
          <w:p w14:paraId="66BBFDF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4.38</w:t>
            </w:r>
          </w:p>
        </w:tc>
        <w:tc>
          <w:tcPr>
            <w:tcW w:w="1400" w:type="dxa"/>
            <w:tcBorders>
              <w:left w:val="nil"/>
              <w:right w:val="nil"/>
            </w:tcBorders>
            <w:noWrap/>
            <w:vAlign w:val="center"/>
          </w:tcPr>
          <w:p w14:paraId="550BCF7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0.43</w:t>
            </w:r>
          </w:p>
        </w:tc>
        <w:tc>
          <w:tcPr>
            <w:tcW w:w="2053" w:type="dxa"/>
            <w:tcBorders>
              <w:left w:val="nil"/>
              <w:right w:val="nil"/>
            </w:tcBorders>
            <w:noWrap/>
            <w:vAlign w:val="center"/>
          </w:tcPr>
          <w:p w14:paraId="4121F78B"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2C1B2C56" w14:textId="77777777" w:rsidTr="0037632B">
        <w:trPr>
          <w:trHeight w:val="300"/>
        </w:trPr>
        <w:tc>
          <w:tcPr>
            <w:tcW w:w="4191" w:type="dxa"/>
            <w:tcBorders>
              <w:left w:val="nil"/>
              <w:bottom w:val="single" w:sz="4" w:space="0" w:color="auto"/>
              <w:right w:val="nil"/>
            </w:tcBorders>
          </w:tcPr>
          <w:p w14:paraId="77A2A93A"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Average</w:t>
            </w:r>
          </w:p>
        </w:tc>
        <w:tc>
          <w:tcPr>
            <w:tcW w:w="960" w:type="dxa"/>
            <w:tcBorders>
              <w:left w:val="nil"/>
              <w:bottom w:val="single" w:sz="4" w:space="0" w:color="auto"/>
              <w:right w:val="nil"/>
            </w:tcBorders>
            <w:noWrap/>
            <w:vAlign w:val="center"/>
          </w:tcPr>
          <w:p w14:paraId="36431B4B"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4.45</w:t>
            </w:r>
          </w:p>
        </w:tc>
        <w:tc>
          <w:tcPr>
            <w:tcW w:w="1400" w:type="dxa"/>
            <w:tcBorders>
              <w:left w:val="nil"/>
              <w:bottom w:val="single" w:sz="4" w:space="0" w:color="auto"/>
              <w:right w:val="nil"/>
            </w:tcBorders>
            <w:noWrap/>
            <w:vAlign w:val="center"/>
          </w:tcPr>
          <w:p w14:paraId="477AE496"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0.40</w:t>
            </w:r>
          </w:p>
        </w:tc>
        <w:tc>
          <w:tcPr>
            <w:tcW w:w="2053" w:type="dxa"/>
            <w:tcBorders>
              <w:left w:val="nil"/>
              <w:bottom w:val="single" w:sz="4" w:space="0" w:color="auto"/>
              <w:right w:val="nil"/>
            </w:tcBorders>
            <w:noWrap/>
            <w:vAlign w:val="center"/>
          </w:tcPr>
          <w:p w14:paraId="50A02E40"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Very Satisfactory</w:t>
            </w:r>
          </w:p>
        </w:tc>
      </w:tr>
    </w:tbl>
    <w:p w14:paraId="2980A5FA" w14:textId="77777777" w:rsidR="005F1BEC" w:rsidRPr="005F1BEC" w:rsidRDefault="005F1BEC" w:rsidP="005F1BEC">
      <w:pPr>
        <w:widowControl w:val="0"/>
        <w:autoSpaceDE w:val="0"/>
        <w:autoSpaceDN w:val="0"/>
        <w:jc w:val="both"/>
        <w:rPr>
          <w:rFonts w:ascii="Arial" w:eastAsia="Arial" w:hAnsi="Arial" w:cs="Arial"/>
        </w:rPr>
      </w:pPr>
    </w:p>
    <w:p w14:paraId="53D1EDD6" w14:textId="7C36D116" w:rsidR="008636AD" w:rsidRPr="008636AD" w:rsidRDefault="008636AD" w:rsidP="008636AD">
      <w:pPr>
        <w:widowControl w:val="0"/>
        <w:autoSpaceDE w:val="0"/>
        <w:autoSpaceDN w:val="0"/>
        <w:ind w:firstLine="720"/>
        <w:jc w:val="both"/>
        <w:rPr>
          <w:rFonts w:ascii="Arial" w:eastAsia="Arial" w:hAnsi="Arial" w:cs="Arial"/>
        </w:rPr>
      </w:pPr>
      <w:r w:rsidRPr="008636AD">
        <w:rPr>
          <w:rFonts w:ascii="Arial" w:eastAsia="Arial" w:hAnsi="Arial" w:cs="Arial"/>
        </w:rPr>
        <w:t xml:space="preserve">Albay et al. (2024) reported that BEED graduates in Central Luzon showed strong reliability and punctuality, echoed by Samonte and De Guzman (2018) for NEUST education majors. Nationally, Cunningham and Villaseñor (2014) found punctuality, honesty, and commitment as top employer priorities. Panlaqui et al. (2022) and </w:t>
      </w:r>
      <w:proofErr w:type="spellStart"/>
      <w:r w:rsidRPr="008636AD">
        <w:rPr>
          <w:rFonts w:ascii="Arial" w:eastAsia="Arial" w:hAnsi="Arial" w:cs="Arial"/>
        </w:rPr>
        <w:t>Tapadera</w:t>
      </w:r>
      <w:proofErr w:type="spellEnd"/>
      <w:r w:rsidRPr="008636AD">
        <w:rPr>
          <w:rFonts w:ascii="Arial" w:eastAsia="Arial" w:hAnsi="Arial" w:cs="Arial"/>
        </w:rPr>
        <w:t xml:space="preserve"> et al. (2024) also highlighted dependability and </w:t>
      </w:r>
      <w:r>
        <w:rPr>
          <w:rFonts w:ascii="Arial" w:eastAsia="Arial" w:hAnsi="Arial" w:cs="Arial"/>
        </w:rPr>
        <w:t>initiative as top-rated traits.</w:t>
      </w:r>
    </w:p>
    <w:p w14:paraId="6E12866B" w14:textId="62BF4459" w:rsidR="008636AD" w:rsidRDefault="008636AD" w:rsidP="008636AD">
      <w:pPr>
        <w:widowControl w:val="0"/>
        <w:autoSpaceDE w:val="0"/>
        <w:autoSpaceDN w:val="0"/>
        <w:ind w:firstLine="720"/>
        <w:jc w:val="both"/>
        <w:rPr>
          <w:rFonts w:ascii="Arial" w:eastAsia="Arial" w:hAnsi="Arial" w:cs="Arial"/>
        </w:rPr>
      </w:pPr>
      <w:r w:rsidRPr="008636AD">
        <w:rPr>
          <w:rFonts w:ascii="Arial" w:eastAsia="Arial" w:hAnsi="Arial" w:cs="Arial"/>
        </w:rPr>
        <w:t xml:space="preserve">Table </w:t>
      </w:r>
      <w:r w:rsidR="003733BF">
        <w:rPr>
          <w:rFonts w:ascii="Arial" w:eastAsia="Arial" w:hAnsi="Arial" w:cs="Arial"/>
        </w:rPr>
        <w:t>12</w:t>
      </w:r>
      <w:r w:rsidRPr="008636AD">
        <w:rPr>
          <w:rFonts w:ascii="Arial" w:eastAsia="Arial" w:hAnsi="Arial" w:cs="Arial"/>
        </w:rPr>
        <w:t xml:space="preserve"> shows Communication Skills had a very satisfactory mean of 4.44 (s = 0.40). Top indicators were active listening (x̄ = 4.49) and verbal engagement (x̄ = 4.47), while clarity and empathy (both x̄ = 4.40) were slightly lower, suggesting minor areas for growth. Overall, results affirm BEED graduates’ strong interpersonal and classroom communication skills.</w:t>
      </w:r>
    </w:p>
    <w:p w14:paraId="75945D4D" w14:textId="7B279CD7" w:rsidR="005F1BEC" w:rsidRPr="005F1BEC" w:rsidRDefault="005F1BEC" w:rsidP="008636AD">
      <w:pPr>
        <w:widowControl w:val="0"/>
        <w:autoSpaceDE w:val="0"/>
        <w:autoSpaceDN w:val="0"/>
        <w:jc w:val="both"/>
        <w:rPr>
          <w:rFonts w:ascii="Arial" w:eastAsia="Arial" w:hAnsi="Arial" w:cs="Arial"/>
        </w:rPr>
      </w:pPr>
      <w:r w:rsidRPr="005F1BEC">
        <w:rPr>
          <w:rFonts w:ascii="Arial" w:eastAsia="Arial" w:hAnsi="Arial" w:cs="Arial"/>
        </w:rPr>
        <w:t xml:space="preserve">Table </w:t>
      </w:r>
      <w:r w:rsidR="003733BF">
        <w:rPr>
          <w:rFonts w:ascii="Arial" w:eastAsia="Arial" w:hAnsi="Arial" w:cs="Arial"/>
        </w:rPr>
        <w:t>12</w:t>
      </w:r>
      <w:r w:rsidRPr="005F1BEC">
        <w:rPr>
          <w:rFonts w:ascii="Arial" w:eastAsia="Arial" w:hAnsi="Arial" w:cs="Arial"/>
        </w:rPr>
        <w:t xml:space="preserve">. Level of employer feedback on BEED graduates' workplace performance in communication skills     </w:t>
      </w:r>
    </w:p>
    <w:tbl>
      <w:tblPr>
        <w:tblW w:w="8668" w:type="dxa"/>
        <w:tblInd w:w="93" w:type="dxa"/>
        <w:tblLook w:val="04A0" w:firstRow="1" w:lastRow="0" w:firstColumn="1" w:lastColumn="0" w:noHBand="0" w:noVBand="1"/>
      </w:tblPr>
      <w:tblGrid>
        <w:gridCol w:w="4264"/>
        <w:gridCol w:w="930"/>
        <w:gridCol w:w="1357"/>
        <w:gridCol w:w="2117"/>
      </w:tblGrid>
      <w:tr w:rsidR="005F1BEC" w:rsidRPr="005F1BEC" w14:paraId="42ECFC2F" w14:textId="77777777" w:rsidTr="0037632B">
        <w:trPr>
          <w:trHeight w:val="408"/>
        </w:trPr>
        <w:tc>
          <w:tcPr>
            <w:tcW w:w="4264" w:type="dxa"/>
            <w:tcBorders>
              <w:top w:val="single" w:sz="4" w:space="0" w:color="auto"/>
              <w:left w:val="nil"/>
              <w:bottom w:val="single" w:sz="4" w:space="0" w:color="auto"/>
              <w:right w:val="nil"/>
            </w:tcBorders>
            <w:vAlign w:val="center"/>
          </w:tcPr>
          <w:p w14:paraId="57CC54B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Indicators</w:t>
            </w:r>
          </w:p>
        </w:tc>
        <w:tc>
          <w:tcPr>
            <w:tcW w:w="930" w:type="dxa"/>
            <w:tcBorders>
              <w:top w:val="single" w:sz="4" w:space="0" w:color="auto"/>
              <w:left w:val="nil"/>
              <w:bottom w:val="single" w:sz="4" w:space="0" w:color="auto"/>
              <w:right w:val="nil"/>
            </w:tcBorders>
            <w:vAlign w:val="center"/>
          </w:tcPr>
          <w:p w14:paraId="54DC144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Mean</w:t>
            </w:r>
          </w:p>
        </w:tc>
        <w:tc>
          <w:tcPr>
            <w:tcW w:w="1357" w:type="dxa"/>
            <w:tcBorders>
              <w:top w:val="single" w:sz="4" w:space="0" w:color="auto"/>
              <w:left w:val="nil"/>
              <w:bottom w:val="single" w:sz="4" w:space="0" w:color="auto"/>
              <w:right w:val="nil"/>
            </w:tcBorders>
            <w:vAlign w:val="center"/>
          </w:tcPr>
          <w:p w14:paraId="1A03C3E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Std. Deviation</w:t>
            </w:r>
          </w:p>
        </w:tc>
        <w:tc>
          <w:tcPr>
            <w:tcW w:w="2117" w:type="dxa"/>
            <w:tcBorders>
              <w:top w:val="single" w:sz="4" w:space="0" w:color="auto"/>
              <w:left w:val="nil"/>
              <w:bottom w:val="single" w:sz="4" w:space="0" w:color="auto"/>
              <w:right w:val="nil"/>
            </w:tcBorders>
            <w:noWrap/>
            <w:vAlign w:val="center"/>
          </w:tcPr>
          <w:p w14:paraId="1D7F97BD"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Interpretation</w:t>
            </w:r>
          </w:p>
        </w:tc>
      </w:tr>
      <w:tr w:rsidR="005F1BEC" w:rsidRPr="005F1BEC" w14:paraId="48FF4F81" w14:textId="77777777" w:rsidTr="0037632B">
        <w:trPr>
          <w:trHeight w:val="214"/>
        </w:trPr>
        <w:tc>
          <w:tcPr>
            <w:tcW w:w="4264" w:type="dxa"/>
            <w:tcBorders>
              <w:top w:val="single" w:sz="4" w:space="0" w:color="auto"/>
              <w:left w:val="nil"/>
              <w:bottom w:val="single" w:sz="4" w:space="0" w:color="auto"/>
              <w:right w:val="nil"/>
            </w:tcBorders>
          </w:tcPr>
          <w:p w14:paraId="18937EB4"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Develop strong verbal communication skills to effectively engage students in discussion and posters in a participatory learning environment.</w:t>
            </w:r>
          </w:p>
        </w:tc>
        <w:tc>
          <w:tcPr>
            <w:tcW w:w="930" w:type="dxa"/>
            <w:tcBorders>
              <w:top w:val="single" w:sz="4" w:space="0" w:color="auto"/>
              <w:left w:val="nil"/>
              <w:bottom w:val="single" w:sz="4" w:space="0" w:color="auto"/>
              <w:right w:val="nil"/>
            </w:tcBorders>
            <w:noWrap/>
            <w:vAlign w:val="center"/>
          </w:tcPr>
          <w:p w14:paraId="6D707AE2"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4.47</w:t>
            </w:r>
          </w:p>
        </w:tc>
        <w:tc>
          <w:tcPr>
            <w:tcW w:w="1357" w:type="dxa"/>
            <w:tcBorders>
              <w:top w:val="single" w:sz="4" w:space="0" w:color="auto"/>
              <w:left w:val="nil"/>
              <w:bottom w:val="single" w:sz="4" w:space="0" w:color="auto"/>
              <w:right w:val="nil"/>
            </w:tcBorders>
            <w:noWrap/>
            <w:vAlign w:val="center"/>
          </w:tcPr>
          <w:p w14:paraId="0F27127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0.45</w:t>
            </w:r>
          </w:p>
        </w:tc>
        <w:tc>
          <w:tcPr>
            <w:tcW w:w="2117" w:type="dxa"/>
            <w:tcBorders>
              <w:top w:val="single" w:sz="4" w:space="0" w:color="auto"/>
              <w:left w:val="nil"/>
              <w:bottom w:val="single" w:sz="4" w:space="0" w:color="auto"/>
              <w:right w:val="nil"/>
            </w:tcBorders>
            <w:noWrap/>
            <w:vAlign w:val="center"/>
          </w:tcPr>
          <w:p w14:paraId="68FCE58D"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1DC7FE70" w14:textId="77777777" w:rsidTr="0037632B">
        <w:trPr>
          <w:trHeight w:val="214"/>
        </w:trPr>
        <w:tc>
          <w:tcPr>
            <w:tcW w:w="4264" w:type="dxa"/>
            <w:tcBorders>
              <w:top w:val="single" w:sz="4" w:space="0" w:color="auto"/>
              <w:left w:val="nil"/>
              <w:bottom w:val="single" w:sz="4" w:space="0" w:color="auto"/>
              <w:right w:val="nil"/>
            </w:tcBorders>
          </w:tcPr>
          <w:p w14:paraId="0599D651"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Fosters a positive learning atmosphere rather than relying on negative teacher-student interactions.</w:t>
            </w:r>
          </w:p>
        </w:tc>
        <w:tc>
          <w:tcPr>
            <w:tcW w:w="930" w:type="dxa"/>
            <w:tcBorders>
              <w:top w:val="single" w:sz="4" w:space="0" w:color="auto"/>
              <w:left w:val="nil"/>
              <w:bottom w:val="single" w:sz="4" w:space="0" w:color="auto"/>
              <w:right w:val="nil"/>
            </w:tcBorders>
            <w:noWrap/>
            <w:vAlign w:val="center"/>
          </w:tcPr>
          <w:p w14:paraId="79BF9BB8"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4.44</w:t>
            </w:r>
          </w:p>
        </w:tc>
        <w:tc>
          <w:tcPr>
            <w:tcW w:w="1357" w:type="dxa"/>
            <w:tcBorders>
              <w:top w:val="single" w:sz="4" w:space="0" w:color="auto"/>
              <w:left w:val="nil"/>
              <w:bottom w:val="single" w:sz="4" w:space="0" w:color="auto"/>
              <w:right w:val="nil"/>
            </w:tcBorders>
            <w:noWrap/>
            <w:vAlign w:val="center"/>
          </w:tcPr>
          <w:p w14:paraId="46C5C7D2"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0.42</w:t>
            </w:r>
          </w:p>
        </w:tc>
        <w:tc>
          <w:tcPr>
            <w:tcW w:w="2117" w:type="dxa"/>
            <w:tcBorders>
              <w:top w:val="single" w:sz="4" w:space="0" w:color="auto"/>
              <w:left w:val="nil"/>
              <w:bottom w:val="single" w:sz="4" w:space="0" w:color="auto"/>
              <w:right w:val="nil"/>
            </w:tcBorders>
            <w:noWrap/>
            <w:vAlign w:val="center"/>
          </w:tcPr>
          <w:p w14:paraId="2C8FA55F"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0693C176" w14:textId="77777777" w:rsidTr="0037632B">
        <w:trPr>
          <w:trHeight w:val="214"/>
        </w:trPr>
        <w:tc>
          <w:tcPr>
            <w:tcW w:w="4264" w:type="dxa"/>
            <w:tcBorders>
              <w:top w:val="single" w:sz="4" w:space="0" w:color="auto"/>
              <w:left w:val="nil"/>
              <w:bottom w:val="single" w:sz="4" w:space="0" w:color="auto"/>
              <w:right w:val="nil"/>
            </w:tcBorders>
          </w:tcPr>
          <w:p w14:paraId="1C78C8C2"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Conveys information clearly and concisely to their students.</w:t>
            </w:r>
          </w:p>
        </w:tc>
        <w:tc>
          <w:tcPr>
            <w:tcW w:w="930" w:type="dxa"/>
            <w:tcBorders>
              <w:top w:val="single" w:sz="4" w:space="0" w:color="auto"/>
              <w:left w:val="nil"/>
              <w:bottom w:val="single" w:sz="4" w:space="0" w:color="auto"/>
              <w:right w:val="nil"/>
            </w:tcBorders>
            <w:noWrap/>
            <w:vAlign w:val="center"/>
          </w:tcPr>
          <w:p w14:paraId="60BA8B8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4.40</w:t>
            </w:r>
          </w:p>
        </w:tc>
        <w:tc>
          <w:tcPr>
            <w:tcW w:w="1357" w:type="dxa"/>
            <w:tcBorders>
              <w:top w:val="single" w:sz="4" w:space="0" w:color="auto"/>
              <w:left w:val="nil"/>
              <w:bottom w:val="single" w:sz="4" w:space="0" w:color="auto"/>
              <w:right w:val="nil"/>
            </w:tcBorders>
            <w:noWrap/>
            <w:vAlign w:val="center"/>
          </w:tcPr>
          <w:p w14:paraId="6F88683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0.49</w:t>
            </w:r>
          </w:p>
        </w:tc>
        <w:tc>
          <w:tcPr>
            <w:tcW w:w="2117" w:type="dxa"/>
            <w:tcBorders>
              <w:top w:val="single" w:sz="4" w:space="0" w:color="auto"/>
              <w:left w:val="nil"/>
              <w:bottom w:val="single" w:sz="4" w:space="0" w:color="auto"/>
              <w:right w:val="nil"/>
            </w:tcBorders>
            <w:noWrap/>
            <w:vAlign w:val="center"/>
          </w:tcPr>
          <w:p w14:paraId="5F136843"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5B80C6E9" w14:textId="77777777" w:rsidTr="0037632B">
        <w:trPr>
          <w:trHeight w:val="214"/>
        </w:trPr>
        <w:tc>
          <w:tcPr>
            <w:tcW w:w="4264" w:type="dxa"/>
            <w:tcBorders>
              <w:top w:val="single" w:sz="4" w:space="0" w:color="auto"/>
              <w:left w:val="nil"/>
              <w:bottom w:val="single" w:sz="4" w:space="0" w:color="auto"/>
              <w:right w:val="nil"/>
            </w:tcBorders>
          </w:tcPr>
          <w:p w14:paraId="6D718DA7"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Practices empathy to connect with students emotionally and create a supportive learning environment.</w:t>
            </w:r>
          </w:p>
        </w:tc>
        <w:tc>
          <w:tcPr>
            <w:tcW w:w="930" w:type="dxa"/>
            <w:tcBorders>
              <w:top w:val="single" w:sz="4" w:space="0" w:color="auto"/>
              <w:left w:val="nil"/>
              <w:bottom w:val="single" w:sz="4" w:space="0" w:color="auto"/>
              <w:right w:val="nil"/>
            </w:tcBorders>
            <w:noWrap/>
            <w:vAlign w:val="center"/>
          </w:tcPr>
          <w:p w14:paraId="38542BF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4.40</w:t>
            </w:r>
          </w:p>
        </w:tc>
        <w:tc>
          <w:tcPr>
            <w:tcW w:w="1357" w:type="dxa"/>
            <w:tcBorders>
              <w:top w:val="single" w:sz="4" w:space="0" w:color="auto"/>
              <w:left w:val="nil"/>
              <w:bottom w:val="single" w:sz="4" w:space="0" w:color="auto"/>
              <w:right w:val="nil"/>
            </w:tcBorders>
            <w:noWrap/>
            <w:vAlign w:val="center"/>
          </w:tcPr>
          <w:p w14:paraId="1026822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0.48</w:t>
            </w:r>
          </w:p>
        </w:tc>
        <w:tc>
          <w:tcPr>
            <w:tcW w:w="2117" w:type="dxa"/>
            <w:tcBorders>
              <w:top w:val="single" w:sz="4" w:space="0" w:color="auto"/>
              <w:left w:val="nil"/>
              <w:bottom w:val="single" w:sz="4" w:space="0" w:color="auto"/>
              <w:right w:val="nil"/>
            </w:tcBorders>
            <w:noWrap/>
            <w:vAlign w:val="center"/>
          </w:tcPr>
          <w:p w14:paraId="305C2EEB"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0F416844" w14:textId="77777777" w:rsidTr="0037632B">
        <w:trPr>
          <w:trHeight w:val="214"/>
        </w:trPr>
        <w:tc>
          <w:tcPr>
            <w:tcW w:w="4264" w:type="dxa"/>
            <w:tcBorders>
              <w:top w:val="single" w:sz="4" w:space="0" w:color="auto"/>
              <w:left w:val="nil"/>
              <w:bottom w:val="single" w:sz="4" w:space="0" w:color="auto"/>
              <w:right w:val="nil"/>
            </w:tcBorders>
          </w:tcPr>
          <w:p w14:paraId="765BB4CE"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Practices active listening to understand the student's needs and concerns.</w:t>
            </w:r>
          </w:p>
        </w:tc>
        <w:tc>
          <w:tcPr>
            <w:tcW w:w="930" w:type="dxa"/>
            <w:tcBorders>
              <w:top w:val="single" w:sz="4" w:space="0" w:color="auto"/>
              <w:left w:val="nil"/>
              <w:bottom w:val="single" w:sz="4" w:space="0" w:color="auto"/>
              <w:right w:val="nil"/>
            </w:tcBorders>
            <w:noWrap/>
            <w:vAlign w:val="center"/>
          </w:tcPr>
          <w:p w14:paraId="37342CB6"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4.49</w:t>
            </w:r>
          </w:p>
        </w:tc>
        <w:tc>
          <w:tcPr>
            <w:tcW w:w="1357" w:type="dxa"/>
            <w:tcBorders>
              <w:top w:val="single" w:sz="4" w:space="0" w:color="auto"/>
              <w:left w:val="nil"/>
              <w:bottom w:val="single" w:sz="4" w:space="0" w:color="auto"/>
              <w:right w:val="nil"/>
            </w:tcBorders>
            <w:noWrap/>
            <w:vAlign w:val="center"/>
          </w:tcPr>
          <w:p w14:paraId="67A40EEB"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0.40</w:t>
            </w:r>
          </w:p>
        </w:tc>
        <w:tc>
          <w:tcPr>
            <w:tcW w:w="2117" w:type="dxa"/>
            <w:tcBorders>
              <w:top w:val="single" w:sz="4" w:space="0" w:color="auto"/>
              <w:left w:val="nil"/>
              <w:bottom w:val="single" w:sz="4" w:space="0" w:color="auto"/>
              <w:right w:val="nil"/>
            </w:tcBorders>
            <w:noWrap/>
            <w:vAlign w:val="center"/>
          </w:tcPr>
          <w:p w14:paraId="1BDD2E2E"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31DF8AE2" w14:textId="77777777" w:rsidTr="0037632B">
        <w:trPr>
          <w:trHeight w:val="214"/>
        </w:trPr>
        <w:tc>
          <w:tcPr>
            <w:tcW w:w="4264" w:type="dxa"/>
            <w:tcBorders>
              <w:top w:val="single" w:sz="4" w:space="0" w:color="auto"/>
              <w:left w:val="nil"/>
              <w:bottom w:val="single" w:sz="4" w:space="0" w:color="auto"/>
              <w:right w:val="nil"/>
            </w:tcBorders>
          </w:tcPr>
          <w:p w14:paraId="5B49AC1A"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Average</w:t>
            </w:r>
          </w:p>
        </w:tc>
        <w:tc>
          <w:tcPr>
            <w:tcW w:w="930" w:type="dxa"/>
            <w:tcBorders>
              <w:top w:val="single" w:sz="4" w:space="0" w:color="auto"/>
              <w:left w:val="nil"/>
              <w:bottom w:val="single" w:sz="4" w:space="0" w:color="auto"/>
              <w:right w:val="nil"/>
            </w:tcBorders>
            <w:noWrap/>
            <w:vAlign w:val="center"/>
          </w:tcPr>
          <w:p w14:paraId="345C5283"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4.44</w:t>
            </w:r>
          </w:p>
        </w:tc>
        <w:tc>
          <w:tcPr>
            <w:tcW w:w="1357" w:type="dxa"/>
            <w:tcBorders>
              <w:top w:val="single" w:sz="4" w:space="0" w:color="auto"/>
              <w:left w:val="nil"/>
              <w:bottom w:val="single" w:sz="4" w:space="0" w:color="auto"/>
              <w:right w:val="nil"/>
            </w:tcBorders>
            <w:noWrap/>
            <w:vAlign w:val="center"/>
          </w:tcPr>
          <w:p w14:paraId="54D64919"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0.40</w:t>
            </w:r>
          </w:p>
        </w:tc>
        <w:tc>
          <w:tcPr>
            <w:tcW w:w="2117" w:type="dxa"/>
            <w:tcBorders>
              <w:top w:val="single" w:sz="4" w:space="0" w:color="auto"/>
              <w:left w:val="nil"/>
              <w:bottom w:val="single" w:sz="4" w:space="0" w:color="auto"/>
              <w:right w:val="nil"/>
            </w:tcBorders>
            <w:noWrap/>
            <w:vAlign w:val="center"/>
          </w:tcPr>
          <w:p w14:paraId="3BBF384C"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Very Satisfactory</w:t>
            </w:r>
          </w:p>
        </w:tc>
      </w:tr>
    </w:tbl>
    <w:p w14:paraId="67DFE0AF" w14:textId="77777777" w:rsidR="005F1BEC" w:rsidRPr="005F1BEC" w:rsidRDefault="005F1BEC" w:rsidP="005F1BEC">
      <w:pPr>
        <w:widowControl w:val="0"/>
        <w:autoSpaceDE w:val="0"/>
        <w:autoSpaceDN w:val="0"/>
        <w:jc w:val="both"/>
        <w:rPr>
          <w:rFonts w:ascii="Arial" w:eastAsia="Arial" w:hAnsi="Arial" w:cs="Arial"/>
        </w:rPr>
      </w:pPr>
    </w:p>
    <w:p w14:paraId="6DE0171A" w14:textId="5CA140A2" w:rsidR="008636AD" w:rsidRPr="008636AD" w:rsidRDefault="008636AD" w:rsidP="008636AD">
      <w:pPr>
        <w:jc w:val="both"/>
        <w:rPr>
          <w:rFonts w:ascii="Arial" w:eastAsia="Arial" w:hAnsi="Arial" w:cs="Arial"/>
        </w:rPr>
      </w:pPr>
      <w:r w:rsidRPr="008636AD">
        <w:rPr>
          <w:rFonts w:ascii="Arial" w:eastAsia="Arial" w:hAnsi="Arial" w:cs="Arial"/>
        </w:rPr>
        <w:t xml:space="preserve">High scores in communication reflect BEED graduates’ clarity, empathy, and listening skills. </w:t>
      </w:r>
      <w:proofErr w:type="spellStart"/>
      <w:r w:rsidRPr="008636AD">
        <w:rPr>
          <w:rFonts w:ascii="Arial" w:eastAsia="Arial" w:hAnsi="Arial" w:cs="Arial"/>
        </w:rPr>
        <w:t>Salendab</w:t>
      </w:r>
      <w:proofErr w:type="spellEnd"/>
      <w:r w:rsidRPr="008636AD">
        <w:rPr>
          <w:rFonts w:ascii="Arial" w:eastAsia="Arial" w:hAnsi="Arial" w:cs="Arial"/>
        </w:rPr>
        <w:t xml:space="preserve"> and </w:t>
      </w:r>
      <w:proofErr w:type="spellStart"/>
      <w:r w:rsidRPr="008636AD">
        <w:rPr>
          <w:rFonts w:ascii="Arial" w:eastAsia="Arial" w:hAnsi="Arial" w:cs="Arial"/>
        </w:rPr>
        <w:t>Ocariza-Salendab</w:t>
      </w:r>
      <w:proofErr w:type="spellEnd"/>
      <w:r w:rsidRPr="008636AD">
        <w:rPr>
          <w:rFonts w:ascii="Arial" w:eastAsia="Arial" w:hAnsi="Arial" w:cs="Arial"/>
        </w:rPr>
        <w:t xml:space="preserve"> (2023) and Mamaclay and Santos (2023) emphasized empathetic and precise communication for inclusive classrooms. </w:t>
      </w:r>
      <w:proofErr w:type="spellStart"/>
      <w:r w:rsidRPr="008636AD">
        <w:rPr>
          <w:rFonts w:ascii="Arial" w:eastAsia="Arial" w:hAnsi="Arial" w:cs="Arial"/>
        </w:rPr>
        <w:t>Sarsale</w:t>
      </w:r>
      <w:proofErr w:type="spellEnd"/>
      <w:r w:rsidRPr="008636AD">
        <w:rPr>
          <w:rFonts w:ascii="Arial" w:eastAsia="Arial" w:hAnsi="Arial" w:cs="Arial"/>
        </w:rPr>
        <w:t xml:space="preserve"> et al. (2024), Miranda et al. (2022), and </w:t>
      </w:r>
      <w:proofErr w:type="spellStart"/>
      <w:r w:rsidRPr="008636AD">
        <w:rPr>
          <w:rFonts w:ascii="Arial" w:eastAsia="Arial" w:hAnsi="Arial" w:cs="Arial"/>
        </w:rPr>
        <w:t>Leabres</w:t>
      </w:r>
      <w:proofErr w:type="spellEnd"/>
      <w:r w:rsidRPr="008636AD">
        <w:rPr>
          <w:rFonts w:ascii="Arial" w:eastAsia="Arial" w:hAnsi="Arial" w:cs="Arial"/>
        </w:rPr>
        <w:t xml:space="preserve"> Jr. (2020) linked strong communication to employability and employer satisfaction, aligning with PPST Domain </w:t>
      </w:r>
      <w:r>
        <w:rPr>
          <w:rFonts w:ascii="Arial" w:eastAsia="Arial" w:hAnsi="Arial" w:cs="Arial"/>
        </w:rPr>
        <w:t>4 and socio-emotional learning.</w:t>
      </w:r>
    </w:p>
    <w:p w14:paraId="48E32779" w14:textId="77777777" w:rsidR="008636AD" w:rsidRPr="008636AD" w:rsidRDefault="008636AD" w:rsidP="008636AD">
      <w:pPr>
        <w:jc w:val="both"/>
        <w:rPr>
          <w:rFonts w:ascii="Arial" w:eastAsia="Arial" w:hAnsi="Arial" w:cs="Arial"/>
        </w:rPr>
      </w:pPr>
      <w:r w:rsidRPr="008636AD">
        <w:rPr>
          <w:rFonts w:ascii="Arial" w:eastAsia="Arial" w:hAnsi="Arial" w:cs="Arial"/>
        </w:rPr>
        <w:t>Leadership Skills:</w:t>
      </w:r>
    </w:p>
    <w:p w14:paraId="56F985A5" w14:textId="461A4437" w:rsidR="008636AD" w:rsidRDefault="008636AD" w:rsidP="008636AD">
      <w:pPr>
        <w:jc w:val="both"/>
        <w:rPr>
          <w:rFonts w:ascii="Arial" w:eastAsia="Arial" w:hAnsi="Arial" w:cs="Arial"/>
        </w:rPr>
      </w:pPr>
      <w:r w:rsidRPr="008636AD">
        <w:rPr>
          <w:rFonts w:ascii="Arial" w:eastAsia="Arial" w:hAnsi="Arial" w:cs="Arial"/>
        </w:rPr>
        <w:t xml:space="preserve">Table </w:t>
      </w:r>
      <w:r w:rsidR="003733BF">
        <w:rPr>
          <w:rFonts w:ascii="Arial" w:eastAsia="Arial" w:hAnsi="Arial" w:cs="Arial"/>
        </w:rPr>
        <w:t>13</w:t>
      </w:r>
      <w:r w:rsidRPr="008636AD">
        <w:rPr>
          <w:rFonts w:ascii="Arial" w:eastAsia="Arial" w:hAnsi="Arial" w:cs="Arial"/>
        </w:rPr>
        <w:t xml:space="preserve"> shows a very satisfactory mean of 4.47 (s = 0.39). Top-rated was “Establishes a supportive classroom” (x̄ = 4.53); lowest was on decision-making and peer influence (x̄ = 4.44), suggesting room for growth in broader leadership roles.</w:t>
      </w:r>
    </w:p>
    <w:p w14:paraId="5E345023" w14:textId="77777777" w:rsidR="008636AD" w:rsidRDefault="008636AD" w:rsidP="008636AD">
      <w:pPr>
        <w:jc w:val="both"/>
        <w:rPr>
          <w:rFonts w:ascii="Arial" w:eastAsia="Arial" w:hAnsi="Arial" w:cs="Arial"/>
        </w:rPr>
      </w:pPr>
    </w:p>
    <w:p w14:paraId="21F0EAAA" w14:textId="0DC6035A" w:rsidR="005F1BEC" w:rsidRPr="005F1BEC" w:rsidRDefault="005F1BEC" w:rsidP="008636AD">
      <w:pPr>
        <w:jc w:val="both"/>
        <w:rPr>
          <w:rFonts w:ascii="Arial" w:eastAsia="Times New Roman" w:hAnsi="Arial" w:cs="Arial"/>
          <w:b/>
          <w:bCs/>
          <w:iCs/>
        </w:rPr>
      </w:pPr>
      <w:r w:rsidRPr="005F1BEC">
        <w:rPr>
          <w:rFonts w:ascii="Arial" w:eastAsia="Times New Roman" w:hAnsi="Arial" w:cs="Arial"/>
          <w:lang w:bidi="ar"/>
        </w:rPr>
        <w:t xml:space="preserve">Table </w:t>
      </w:r>
      <w:r w:rsidR="003733BF">
        <w:rPr>
          <w:rFonts w:ascii="Arial" w:eastAsia="Times New Roman" w:hAnsi="Arial" w:cs="Arial"/>
          <w:lang w:bidi="ar"/>
        </w:rPr>
        <w:t>13</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Level of employer feedback on BEED graduates' workplace performance in leadership skills.</w:t>
      </w:r>
    </w:p>
    <w:tbl>
      <w:tblPr>
        <w:tblW w:w="8272" w:type="dxa"/>
        <w:tblInd w:w="93" w:type="dxa"/>
        <w:tblLook w:val="04A0" w:firstRow="1" w:lastRow="0" w:firstColumn="1" w:lastColumn="0" w:noHBand="0" w:noVBand="1"/>
      </w:tblPr>
      <w:tblGrid>
        <w:gridCol w:w="4278"/>
        <w:gridCol w:w="960"/>
        <w:gridCol w:w="1400"/>
        <w:gridCol w:w="1634"/>
      </w:tblGrid>
      <w:tr w:rsidR="005F1BEC" w:rsidRPr="005F1BEC" w14:paraId="6633BA23" w14:textId="77777777" w:rsidTr="0037632B">
        <w:trPr>
          <w:trHeight w:val="570"/>
        </w:trPr>
        <w:tc>
          <w:tcPr>
            <w:tcW w:w="4278" w:type="dxa"/>
            <w:tcBorders>
              <w:top w:val="single" w:sz="4" w:space="0" w:color="auto"/>
              <w:left w:val="nil"/>
              <w:bottom w:val="single" w:sz="4" w:space="0" w:color="auto"/>
              <w:right w:val="nil"/>
            </w:tcBorders>
            <w:vAlign w:val="center"/>
          </w:tcPr>
          <w:p w14:paraId="32673AB3"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lastRenderedPageBreak/>
              <w:t>Indicators</w:t>
            </w:r>
          </w:p>
        </w:tc>
        <w:tc>
          <w:tcPr>
            <w:tcW w:w="960" w:type="dxa"/>
            <w:tcBorders>
              <w:top w:val="single" w:sz="4" w:space="0" w:color="auto"/>
              <w:left w:val="nil"/>
              <w:bottom w:val="single" w:sz="4" w:space="0" w:color="auto"/>
              <w:right w:val="nil"/>
            </w:tcBorders>
            <w:vAlign w:val="center"/>
          </w:tcPr>
          <w:p w14:paraId="3D43AEAF"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Mean</w:t>
            </w:r>
          </w:p>
        </w:tc>
        <w:tc>
          <w:tcPr>
            <w:tcW w:w="1400" w:type="dxa"/>
            <w:tcBorders>
              <w:top w:val="single" w:sz="4" w:space="0" w:color="auto"/>
              <w:left w:val="nil"/>
              <w:bottom w:val="single" w:sz="4" w:space="0" w:color="auto"/>
              <w:right w:val="nil"/>
            </w:tcBorders>
            <w:vAlign w:val="center"/>
          </w:tcPr>
          <w:p w14:paraId="68913841"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Std. Deviation</w:t>
            </w:r>
          </w:p>
        </w:tc>
        <w:tc>
          <w:tcPr>
            <w:tcW w:w="1634" w:type="dxa"/>
            <w:tcBorders>
              <w:top w:val="single" w:sz="4" w:space="0" w:color="auto"/>
              <w:left w:val="nil"/>
              <w:bottom w:val="single" w:sz="4" w:space="0" w:color="auto"/>
              <w:right w:val="nil"/>
            </w:tcBorders>
            <w:noWrap/>
            <w:vAlign w:val="center"/>
          </w:tcPr>
          <w:p w14:paraId="2627F6CC"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Interpretation</w:t>
            </w:r>
          </w:p>
        </w:tc>
      </w:tr>
      <w:tr w:rsidR="005F1BEC" w:rsidRPr="005F1BEC" w14:paraId="4D7D39B6" w14:textId="77777777" w:rsidTr="0037632B">
        <w:trPr>
          <w:trHeight w:val="300"/>
        </w:trPr>
        <w:tc>
          <w:tcPr>
            <w:tcW w:w="4278" w:type="dxa"/>
            <w:tcBorders>
              <w:top w:val="single" w:sz="4" w:space="0" w:color="auto"/>
              <w:left w:val="nil"/>
              <w:bottom w:val="single" w:sz="4" w:space="0" w:color="auto"/>
              <w:right w:val="nil"/>
            </w:tcBorders>
          </w:tcPr>
          <w:p w14:paraId="6978BC3C"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Establishes a supportive and valuable classroom environment where students feel supported and valued.</w:t>
            </w:r>
          </w:p>
        </w:tc>
        <w:tc>
          <w:tcPr>
            <w:tcW w:w="960" w:type="dxa"/>
            <w:tcBorders>
              <w:top w:val="single" w:sz="4" w:space="0" w:color="auto"/>
              <w:left w:val="nil"/>
              <w:bottom w:val="single" w:sz="4" w:space="0" w:color="auto"/>
              <w:right w:val="nil"/>
            </w:tcBorders>
            <w:noWrap/>
            <w:vAlign w:val="center"/>
          </w:tcPr>
          <w:p w14:paraId="57DA3CB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4.53</w:t>
            </w:r>
          </w:p>
        </w:tc>
        <w:tc>
          <w:tcPr>
            <w:tcW w:w="1400" w:type="dxa"/>
            <w:tcBorders>
              <w:top w:val="single" w:sz="4" w:space="0" w:color="auto"/>
              <w:left w:val="nil"/>
              <w:bottom w:val="single" w:sz="4" w:space="0" w:color="auto"/>
              <w:right w:val="nil"/>
            </w:tcBorders>
            <w:noWrap/>
            <w:vAlign w:val="center"/>
          </w:tcPr>
          <w:p w14:paraId="6A58EA8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0.45</w:t>
            </w:r>
          </w:p>
        </w:tc>
        <w:tc>
          <w:tcPr>
            <w:tcW w:w="1634" w:type="dxa"/>
            <w:tcBorders>
              <w:top w:val="single" w:sz="4" w:space="0" w:color="auto"/>
              <w:left w:val="nil"/>
              <w:bottom w:val="single" w:sz="4" w:space="0" w:color="auto"/>
              <w:right w:val="nil"/>
            </w:tcBorders>
            <w:noWrap/>
            <w:vAlign w:val="center"/>
          </w:tcPr>
          <w:p w14:paraId="702B7039"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Outstanding</w:t>
            </w:r>
          </w:p>
        </w:tc>
      </w:tr>
      <w:tr w:rsidR="005F1BEC" w:rsidRPr="005F1BEC" w14:paraId="45294394" w14:textId="77777777" w:rsidTr="0037632B">
        <w:trPr>
          <w:trHeight w:val="300"/>
        </w:trPr>
        <w:tc>
          <w:tcPr>
            <w:tcW w:w="4278" w:type="dxa"/>
            <w:tcBorders>
              <w:top w:val="single" w:sz="4" w:space="0" w:color="auto"/>
              <w:left w:val="nil"/>
              <w:bottom w:val="single" w:sz="4" w:space="0" w:color="auto"/>
              <w:right w:val="nil"/>
            </w:tcBorders>
          </w:tcPr>
          <w:p w14:paraId="581BD076"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Manages and organizes classroom activities effectively, ensuring that instructional time is maximized and students are engaged in meaningful learning experiences.</w:t>
            </w:r>
          </w:p>
        </w:tc>
        <w:tc>
          <w:tcPr>
            <w:tcW w:w="960" w:type="dxa"/>
            <w:tcBorders>
              <w:top w:val="single" w:sz="4" w:space="0" w:color="auto"/>
              <w:left w:val="nil"/>
              <w:bottom w:val="single" w:sz="4" w:space="0" w:color="auto"/>
              <w:right w:val="nil"/>
            </w:tcBorders>
            <w:noWrap/>
            <w:vAlign w:val="center"/>
          </w:tcPr>
          <w:p w14:paraId="3E191470"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4.44</w:t>
            </w:r>
          </w:p>
        </w:tc>
        <w:tc>
          <w:tcPr>
            <w:tcW w:w="1400" w:type="dxa"/>
            <w:tcBorders>
              <w:top w:val="single" w:sz="4" w:space="0" w:color="auto"/>
              <w:left w:val="nil"/>
              <w:bottom w:val="single" w:sz="4" w:space="0" w:color="auto"/>
              <w:right w:val="nil"/>
            </w:tcBorders>
            <w:noWrap/>
            <w:vAlign w:val="center"/>
          </w:tcPr>
          <w:p w14:paraId="6331D0C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0.42</w:t>
            </w:r>
          </w:p>
        </w:tc>
        <w:tc>
          <w:tcPr>
            <w:tcW w:w="1634" w:type="dxa"/>
            <w:tcBorders>
              <w:top w:val="single" w:sz="4" w:space="0" w:color="auto"/>
              <w:left w:val="nil"/>
              <w:bottom w:val="single" w:sz="4" w:space="0" w:color="auto"/>
              <w:right w:val="nil"/>
            </w:tcBorders>
            <w:noWrap/>
            <w:vAlign w:val="center"/>
          </w:tcPr>
          <w:p w14:paraId="09240039"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3DE9DBC8" w14:textId="77777777" w:rsidTr="0037632B">
        <w:trPr>
          <w:trHeight w:val="300"/>
        </w:trPr>
        <w:tc>
          <w:tcPr>
            <w:tcW w:w="4278" w:type="dxa"/>
            <w:tcBorders>
              <w:top w:val="single" w:sz="4" w:space="0" w:color="auto"/>
              <w:left w:val="nil"/>
              <w:bottom w:val="single" w:sz="4" w:space="0" w:color="auto"/>
              <w:right w:val="nil"/>
            </w:tcBorders>
          </w:tcPr>
          <w:p w14:paraId="5B12596F"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 xml:space="preserve"> Demonstrates strong communication skills, effectively conveying information and ideas to students, colleagues, and parents.</w:t>
            </w:r>
          </w:p>
        </w:tc>
        <w:tc>
          <w:tcPr>
            <w:tcW w:w="960" w:type="dxa"/>
            <w:tcBorders>
              <w:top w:val="single" w:sz="4" w:space="0" w:color="auto"/>
              <w:left w:val="nil"/>
              <w:bottom w:val="single" w:sz="4" w:space="0" w:color="auto"/>
              <w:right w:val="nil"/>
            </w:tcBorders>
            <w:noWrap/>
            <w:vAlign w:val="center"/>
          </w:tcPr>
          <w:p w14:paraId="69FDDAE7"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4.47</w:t>
            </w:r>
          </w:p>
        </w:tc>
        <w:tc>
          <w:tcPr>
            <w:tcW w:w="1400" w:type="dxa"/>
            <w:tcBorders>
              <w:top w:val="single" w:sz="4" w:space="0" w:color="auto"/>
              <w:left w:val="nil"/>
              <w:bottom w:val="single" w:sz="4" w:space="0" w:color="auto"/>
              <w:right w:val="nil"/>
            </w:tcBorders>
            <w:noWrap/>
            <w:vAlign w:val="center"/>
          </w:tcPr>
          <w:p w14:paraId="4AC3B91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0.40</w:t>
            </w:r>
          </w:p>
        </w:tc>
        <w:tc>
          <w:tcPr>
            <w:tcW w:w="1634" w:type="dxa"/>
            <w:tcBorders>
              <w:top w:val="single" w:sz="4" w:space="0" w:color="auto"/>
              <w:left w:val="nil"/>
              <w:bottom w:val="single" w:sz="4" w:space="0" w:color="auto"/>
              <w:right w:val="nil"/>
            </w:tcBorders>
            <w:noWrap/>
            <w:vAlign w:val="center"/>
          </w:tcPr>
          <w:p w14:paraId="51A18EA3"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BF0516D" w14:textId="77777777" w:rsidTr="0037632B">
        <w:trPr>
          <w:trHeight w:val="300"/>
        </w:trPr>
        <w:tc>
          <w:tcPr>
            <w:tcW w:w="4278" w:type="dxa"/>
            <w:tcBorders>
              <w:top w:val="single" w:sz="4" w:space="0" w:color="auto"/>
              <w:left w:val="nil"/>
              <w:bottom w:val="single" w:sz="4" w:space="0" w:color="auto"/>
              <w:right w:val="nil"/>
            </w:tcBorders>
          </w:tcPr>
          <w:p w14:paraId="4FA155F5"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 xml:space="preserve"> Possess strong decision-making skills, making informed choices that benefit student learning.</w:t>
            </w:r>
          </w:p>
        </w:tc>
        <w:tc>
          <w:tcPr>
            <w:tcW w:w="960" w:type="dxa"/>
            <w:tcBorders>
              <w:top w:val="single" w:sz="4" w:space="0" w:color="auto"/>
              <w:left w:val="nil"/>
              <w:bottom w:val="single" w:sz="4" w:space="0" w:color="auto"/>
              <w:right w:val="nil"/>
            </w:tcBorders>
            <w:noWrap/>
            <w:vAlign w:val="center"/>
          </w:tcPr>
          <w:p w14:paraId="7B6B6AB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4.44</w:t>
            </w:r>
          </w:p>
        </w:tc>
        <w:tc>
          <w:tcPr>
            <w:tcW w:w="1400" w:type="dxa"/>
            <w:tcBorders>
              <w:top w:val="single" w:sz="4" w:space="0" w:color="auto"/>
              <w:left w:val="nil"/>
              <w:bottom w:val="single" w:sz="4" w:space="0" w:color="auto"/>
              <w:right w:val="nil"/>
            </w:tcBorders>
            <w:noWrap/>
            <w:vAlign w:val="center"/>
          </w:tcPr>
          <w:p w14:paraId="62EA296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0.43</w:t>
            </w:r>
          </w:p>
        </w:tc>
        <w:tc>
          <w:tcPr>
            <w:tcW w:w="1634" w:type="dxa"/>
            <w:tcBorders>
              <w:top w:val="single" w:sz="4" w:space="0" w:color="auto"/>
              <w:left w:val="nil"/>
              <w:bottom w:val="single" w:sz="4" w:space="0" w:color="auto"/>
              <w:right w:val="nil"/>
            </w:tcBorders>
            <w:noWrap/>
            <w:vAlign w:val="center"/>
          </w:tcPr>
          <w:p w14:paraId="4C441BEE"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52F1D0B9" w14:textId="77777777" w:rsidTr="0037632B">
        <w:trPr>
          <w:trHeight w:val="300"/>
        </w:trPr>
        <w:tc>
          <w:tcPr>
            <w:tcW w:w="4278" w:type="dxa"/>
            <w:tcBorders>
              <w:top w:val="single" w:sz="4" w:space="0" w:color="auto"/>
              <w:left w:val="nil"/>
              <w:bottom w:val="single" w:sz="4" w:space="0" w:color="auto"/>
              <w:right w:val="nil"/>
            </w:tcBorders>
          </w:tcPr>
          <w:p w14:paraId="7D70A5E0"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Influences others to take professional development and other teaching endeavors to improve student outcomes</w:t>
            </w:r>
          </w:p>
        </w:tc>
        <w:tc>
          <w:tcPr>
            <w:tcW w:w="960" w:type="dxa"/>
            <w:tcBorders>
              <w:top w:val="single" w:sz="4" w:space="0" w:color="auto"/>
              <w:left w:val="nil"/>
              <w:bottom w:val="single" w:sz="4" w:space="0" w:color="auto"/>
              <w:right w:val="nil"/>
            </w:tcBorders>
            <w:noWrap/>
            <w:vAlign w:val="center"/>
          </w:tcPr>
          <w:p w14:paraId="65987623"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4.44</w:t>
            </w:r>
          </w:p>
        </w:tc>
        <w:tc>
          <w:tcPr>
            <w:tcW w:w="1400" w:type="dxa"/>
            <w:tcBorders>
              <w:top w:val="single" w:sz="4" w:space="0" w:color="auto"/>
              <w:left w:val="nil"/>
              <w:bottom w:val="single" w:sz="4" w:space="0" w:color="auto"/>
              <w:right w:val="nil"/>
            </w:tcBorders>
            <w:noWrap/>
            <w:vAlign w:val="center"/>
          </w:tcPr>
          <w:p w14:paraId="24F90EF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0.42</w:t>
            </w:r>
          </w:p>
        </w:tc>
        <w:tc>
          <w:tcPr>
            <w:tcW w:w="1634" w:type="dxa"/>
            <w:tcBorders>
              <w:top w:val="single" w:sz="4" w:space="0" w:color="auto"/>
              <w:left w:val="nil"/>
              <w:bottom w:val="single" w:sz="4" w:space="0" w:color="auto"/>
              <w:right w:val="nil"/>
            </w:tcBorders>
            <w:noWrap/>
            <w:vAlign w:val="center"/>
          </w:tcPr>
          <w:p w14:paraId="01C08D1A"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45EC9C3C" w14:textId="77777777" w:rsidTr="0037632B">
        <w:trPr>
          <w:trHeight w:val="300"/>
        </w:trPr>
        <w:tc>
          <w:tcPr>
            <w:tcW w:w="4278" w:type="dxa"/>
            <w:tcBorders>
              <w:top w:val="single" w:sz="4" w:space="0" w:color="auto"/>
              <w:left w:val="nil"/>
              <w:bottom w:val="single" w:sz="4" w:space="0" w:color="auto"/>
              <w:right w:val="nil"/>
            </w:tcBorders>
            <w:vAlign w:val="center"/>
          </w:tcPr>
          <w:p w14:paraId="21E11E7B"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Average</w:t>
            </w:r>
          </w:p>
        </w:tc>
        <w:tc>
          <w:tcPr>
            <w:tcW w:w="960" w:type="dxa"/>
            <w:tcBorders>
              <w:top w:val="single" w:sz="4" w:space="0" w:color="auto"/>
              <w:left w:val="nil"/>
              <w:bottom w:val="single" w:sz="4" w:space="0" w:color="auto"/>
              <w:right w:val="nil"/>
            </w:tcBorders>
            <w:noWrap/>
            <w:vAlign w:val="center"/>
          </w:tcPr>
          <w:p w14:paraId="545B13EC"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4.47</w:t>
            </w:r>
          </w:p>
        </w:tc>
        <w:tc>
          <w:tcPr>
            <w:tcW w:w="1400" w:type="dxa"/>
            <w:tcBorders>
              <w:top w:val="single" w:sz="4" w:space="0" w:color="auto"/>
              <w:left w:val="nil"/>
              <w:bottom w:val="single" w:sz="4" w:space="0" w:color="auto"/>
              <w:right w:val="nil"/>
            </w:tcBorders>
            <w:noWrap/>
            <w:vAlign w:val="center"/>
          </w:tcPr>
          <w:p w14:paraId="45182A43"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0.39</w:t>
            </w:r>
          </w:p>
        </w:tc>
        <w:tc>
          <w:tcPr>
            <w:tcW w:w="1634" w:type="dxa"/>
            <w:tcBorders>
              <w:top w:val="single" w:sz="4" w:space="0" w:color="auto"/>
              <w:left w:val="nil"/>
              <w:bottom w:val="single" w:sz="4" w:space="0" w:color="auto"/>
              <w:right w:val="nil"/>
            </w:tcBorders>
            <w:noWrap/>
            <w:vAlign w:val="center"/>
          </w:tcPr>
          <w:p w14:paraId="4B1A2AE6"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Very Satisfactory</w:t>
            </w:r>
          </w:p>
        </w:tc>
      </w:tr>
    </w:tbl>
    <w:p w14:paraId="21328C1B" w14:textId="77777777" w:rsidR="005F1BEC" w:rsidRPr="005F1BEC" w:rsidRDefault="005F1BEC" w:rsidP="005F1BEC">
      <w:pPr>
        <w:widowControl w:val="0"/>
        <w:autoSpaceDE w:val="0"/>
        <w:autoSpaceDN w:val="0"/>
        <w:jc w:val="both"/>
        <w:rPr>
          <w:rFonts w:ascii="Arial" w:eastAsia="Arial" w:hAnsi="Arial" w:cs="Arial"/>
        </w:rPr>
      </w:pPr>
    </w:p>
    <w:p w14:paraId="22FAB886" w14:textId="77777777" w:rsidR="008636AD" w:rsidRPr="008636AD" w:rsidRDefault="008636AD" w:rsidP="008636AD">
      <w:pPr>
        <w:jc w:val="both"/>
        <w:rPr>
          <w:rFonts w:ascii="Arial" w:eastAsia="Times New Roman" w:hAnsi="Arial" w:cs="Arial"/>
          <w:bCs/>
        </w:rPr>
      </w:pPr>
      <w:r w:rsidRPr="008636AD">
        <w:rPr>
          <w:rFonts w:ascii="Arial" w:eastAsia="Times New Roman" w:hAnsi="Arial" w:cs="Arial"/>
          <w:bCs/>
        </w:rPr>
        <w:t xml:space="preserve">BEED graduates are viewed as strong classroom leaders with effective communication, teamwork, and decision-making skills. </w:t>
      </w:r>
      <w:proofErr w:type="spellStart"/>
      <w:r w:rsidRPr="008636AD">
        <w:rPr>
          <w:rFonts w:ascii="Arial" w:eastAsia="Times New Roman" w:hAnsi="Arial" w:cs="Arial"/>
          <w:bCs/>
        </w:rPr>
        <w:t>Otermans</w:t>
      </w:r>
      <w:proofErr w:type="spellEnd"/>
      <w:r w:rsidRPr="008636AD">
        <w:rPr>
          <w:rFonts w:ascii="Arial" w:eastAsia="Times New Roman" w:hAnsi="Arial" w:cs="Arial"/>
          <w:bCs/>
        </w:rPr>
        <w:t xml:space="preserve"> et al. (2024) noted that soft skills are top global employer priorities. Salvador (2024), Orr (2024), and </w:t>
      </w:r>
      <w:proofErr w:type="spellStart"/>
      <w:r w:rsidRPr="008636AD">
        <w:rPr>
          <w:rFonts w:ascii="Arial" w:eastAsia="Times New Roman" w:hAnsi="Arial" w:cs="Arial"/>
          <w:bCs/>
        </w:rPr>
        <w:t>Shivarajan</w:t>
      </w:r>
      <w:proofErr w:type="spellEnd"/>
      <w:r w:rsidRPr="008636AD">
        <w:rPr>
          <w:rFonts w:ascii="Arial" w:eastAsia="Times New Roman" w:hAnsi="Arial" w:cs="Arial"/>
          <w:bCs/>
        </w:rPr>
        <w:t xml:space="preserve"> &amp; </w:t>
      </w:r>
      <w:proofErr w:type="spellStart"/>
      <w:r w:rsidRPr="008636AD">
        <w:rPr>
          <w:rFonts w:ascii="Arial" w:eastAsia="Times New Roman" w:hAnsi="Arial" w:cs="Arial"/>
          <w:bCs/>
        </w:rPr>
        <w:t>Skowronski</w:t>
      </w:r>
      <w:proofErr w:type="spellEnd"/>
      <w:r w:rsidRPr="008636AD">
        <w:rPr>
          <w:rFonts w:ascii="Arial" w:eastAsia="Times New Roman" w:hAnsi="Arial" w:cs="Arial"/>
          <w:bCs/>
        </w:rPr>
        <w:t xml:space="preserve"> (2024) emphasized the value of initiative, collaboration, and adaptability, while Daugaard and Colbeck (2024) highlighted the role of real-world tasks in building leadership.</w:t>
      </w:r>
    </w:p>
    <w:p w14:paraId="0785B823" w14:textId="77777777" w:rsidR="008636AD" w:rsidRPr="008636AD" w:rsidRDefault="008636AD" w:rsidP="008636AD">
      <w:pPr>
        <w:jc w:val="both"/>
        <w:rPr>
          <w:rFonts w:ascii="Arial" w:eastAsia="Times New Roman" w:hAnsi="Arial" w:cs="Arial"/>
          <w:bCs/>
        </w:rPr>
      </w:pPr>
    </w:p>
    <w:p w14:paraId="273247D2" w14:textId="1AA34D89" w:rsidR="005F1BEC" w:rsidRPr="005F1BEC" w:rsidRDefault="008636AD" w:rsidP="008636AD">
      <w:pPr>
        <w:jc w:val="both"/>
        <w:rPr>
          <w:rFonts w:ascii="Arial" w:eastAsia="Times New Roman" w:hAnsi="Arial" w:cs="Arial"/>
          <w:bCs/>
        </w:rPr>
      </w:pPr>
      <w:r w:rsidRPr="008636AD">
        <w:rPr>
          <w:rFonts w:ascii="Arial" w:eastAsia="Times New Roman" w:hAnsi="Arial" w:cs="Arial"/>
          <w:bCs/>
        </w:rPr>
        <w:t xml:space="preserve">Table </w:t>
      </w:r>
      <w:r w:rsidR="003733BF">
        <w:rPr>
          <w:rFonts w:ascii="Arial" w:eastAsia="Times New Roman" w:hAnsi="Arial" w:cs="Arial"/>
          <w:bCs/>
        </w:rPr>
        <w:t>14</w:t>
      </w:r>
      <w:r w:rsidRPr="008636AD">
        <w:rPr>
          <w:rFonts w:ascii="Arial" w:eastAsia="Times New Roman" w:hAnsi="Arial" w:cs="Arial"/>
          <w:bCs/>
        </w:rPr>
        <w:t xml:space="preserve"> shows a very satisfactory Commitment mean of 4.41 (s = 0.44). “Provides personalized guidance” was highest (x̄ = 4.47), showing inclusivity; “Practices effective attendance and punctuality” was lowest (x̄ = 4.37), indicating slight improvement needed in time management.</w:t>
      </w:r>
    </w:p>
    <w:tbl>
      <w:tblPr>
        <w:tblW w:w="8182" w:type="dxa"/>
        <w:tblInd w:w="93" w:type="dxa"/>
        <w:tblLook w:val="04A0" w:firstRow="1" w:lastRow="0" w:firstColumn="1" w:lastColumn="0" w:noHBand="0" w:noVBand="1"/>
      </w:tblPr>
      <w:tblGrid>
        <w:gridCol w:w="4188"/>
        <w:gridCol w:w="960"/>
        <w:gridCol w:w="1400"/>
        <w:gridCol w:w="1634"/>
      </w:tblGrid>
      <w:tr w:rsidR="005F1BEC" w:rsidRPr="005F1BEC" w14:paraId="6B2B38F2" w14:textId="77777777" w:rsidTr="0037632B">
        <w:trPr>
          <w:trHeight w:val="570"/>
        </w:trPr>
        <w:tc>
          <w:tcPr>
            <w:tcW w:w="8182" w:type="dxa"/>
            <w:gridSpan w:val="4"/>
            <w:tcBorders>
              <w:top w:val="nil"/>
              <w:left w:val="nil"/>
              <w:bottom w:val="single" w:sz="4" w:space="0" w:color="auto"/>
              <w:right w:val="nil"/>
            </w:tcBorders>
            <w:vAlign w:val="bottom"/>
          </w:tcPr>
          <w:p w14:paraId="4EFA1602" w14:textId="699268E6" w:rsidR="005F1BEC" w:rsidRPr="005F1BEC" w:rsidRDefault="005F1BEC" w:rsidP="005F1BEC">
            <w:pPr>
              <w:rPr>
                <w:rFonts w:ascii="Arial" w:eastAsia="Times New Roman" w:hAnsi="Arial" w:cs="Arial"/>
                <w:bCs/>
              </w:rPr>
            </w:pPr>
            <w:r w:rsidRPr="005F1BEC">
              <w:rPr>
                <w:rFonts w:ascii="Arial" w:eastAsia="Times New Roman" w:hAnsi="Arial" w:cs="Arial"/>
                <w:bCs/>
                <w:lang w:bidi="ar"/>
              </w:rPr>
              <w:t xml:space="preserve">Table </w:t>
            </w:r>
            <w:r w:rsidR="003733BF">
              <w:rPr>
                <w:rFonts w:ascii="Arial" w:eastAsia="Times New Roman" w:hAnsi="Arial" w:cs="Arial"/>
                <w:bCs/>
                <w:lang w:bidi="ar"/>
              </w:rPr>
              <w:t>14</w:t>
            </w:r>
            <w:r w:rsidRPr="005F1BEC">
              <w:rPr>
                <w:rFonts w:ascii="Arial" w:eastAsia="Times New Roman" w:hAnsi="Arial" w:cs="Arial"/>
                <w:bCs/>
                <w:lang w:bidi="ar"/>
              </w:rPr>
              <w:t>. Level of employer feedback on BEED graduates’ workplace performance in the commitment.</w:t>
            </w:r>
          </w:p>
        </w:tc>
      </w:tr>
      <w:tr w:rsidR="005F1BEC" w:rsidRPr="005F1BEC" w14:paraId="503B6C17" w14:textId="77777777" w:rsidTr="0037632B">
        <w:trPr>
          <w:trHeight w:val="570"/>
        </w:trPr>
        <w:tc>
          <w:tcPr>
            <w:tcW w:w="4188" w:type="dxa"/>
            <w:tcBorders>
              <w:top w:val="single" w:sz="4" w:space="0" w:color="auto"/>
              <w:left w:val="nil"/>
              <w:bottom w:val="single" w:sz="4" w:space="0" w:color="auto"/>
              <w:right w:val="nil"/>
            </w:tcBorders>
            <w:vAlign w:val="center"/>
          </w:tcPr>
          <w:p w14:paraId="74347D2B"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Indicators</w:t>
            </w:r>
          </w:p>
        </w:tc>
        <w:tc>
          <w:tcPr>
            <w:tcW w:w="960" w:type="dxa"/>
            <w:tcBorders>
              <w:top w:val="single" w:sz="4" w:space="0" w:color="auto"/>
              <w:left w:val="nil"/>
              <w:bottom w:val="single" w:sz="4" w:space="0" w:color="auto"/>
              <w:right w:val="nil"/>
            </w:tcBorders>
            <w:vAlign w:val="center"/>
          </w:tcPr>
          <w:p w14:paraId="1CB2D222"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Mean</w:t>
            </w:r>
          </w:p>
        </w:tc>
        <w:tc>
          <w:tcPr>
            <w:tcW w:w="1400" w:type="dxa"/>
            <w:tcBorders>
              <w:top w:val="single" w:sz="4" w:space="0" w:color="auto"/>
              <w:left w:val="nil"/>
              <w:bottom w:val="single" w:sz="4" w:space="0" w:color="auto"/>
              <w:right w:val="nil"/>
            </w:tcBorders>
            <w:vAlign w:val="center"/>
          </w:tcPr>
          <w:p w14:paraId="13343167"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Std. Deviation</w:t>
            </w:r>
          </w:p>
        </w:tc>
        <w:tc>
          <w:tcPr>
            <w:tcW w:w="1634" w:type="dxa"/>
            <w:tcBorders>
              <w:top w:val="single" w:sz="4" w:space="0" w:color="auto"/>
              <w:left w:val="nil"/>
              <w:bottom w:val="single" w:sz="4" w:space="0" w:color="auto"/>
              <w:right w:val="nil"/>
            </w:tcBorders>
            <w:noWrap/>
            <w:vAlign w:val="center"/>
          </w:tcPr>
          <w:p w14:paraId="54580818"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Interpretation</w:t>
            </w:r>
          </w:p>
        </w:tc>
      </w:tr>
      <w:tr w:rsidR="005F1BEC" w:rsidRPr="005F1BEC" w14:paraId="447AF780" w14:textId="77777777" w:rsidTr="0037632B">
        <w:trPr>
          <w:trHeight w:val="300"/>
        </w:trPr>
        <w:tc>
          <w:tcPr>
            <w:tcW w:w="4188" w:type="dxa"/>
            <w:tcBorders>
              <w:top w:val="single" w:sz="4" w:space="0" w:color="auto"/>
              <w:left w:val="nil"/>
              <w:bottom w:val="single" w:sz="4" w:space="0" w:color="auto"/>
              <w:right w:val="nil"/>
            </w:tcBorders>
          </w:tcPr>
          <w:p w14:paraId="12AE935D"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Practices effective attendance and punctuality, shows up on time and is present for classes and meetings</w:t>
            </w:r>
          </w:p>
        </w:tc>
        <w:tc>
          <w:tcPr>
            <w:tcW w:w="960" w:type="dxa"/>
            <w:tcBorders>
              <w:top w:val="single" w:sz="4" w:space="0" w:color="auto"/>
              <w:left w:val="nil"/>
              <w:bottom w:val="single" w:sz="4" w:space="0" w:color="auto"/>
              <w:right w:val="nil"/>
            </w:tcBorders>
            <w:noWrap/>
            <w:vAlign w:val="center"/>
          </w:tcPr>
          <w:p w14:paraId="4E58049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4.37</w:t>
            </w:r>
          </w:p>
        </w:tc>
        <w:tc>
          <w:tcPr>
            <w:tcW w:w="1400" w:type="dxa"/>
            <w:tcBorders>
              <w:top w:val="single" w:sz="4" w:space="0" w:color="auto"/>
              <w:left w:val="nil"/>
              <w:bottom w:val="single" w:sz="4" w:space="0" w:color="auto"/>
              <w:right w:val="nil"/>
            </w:tcBorders>
            <w:noWrap/>
            <w:vAlign w:val="center"/>
          </w:tcPr>
          <w:p w14:paraId="21B407D8"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0.49</w:t>
            </w:r>
          </w:p>
        </w:tc>
        <w:tc>
          <w:tcPr>
            <w:tcW w:w="1634" w:type="dxa"/>
            <w:tcBorders>
              <w:top w:val="single" w:sz="4" w:space="0" w:color="auto"/>
              <w:left w:val="nil"/>
              <w:bottom w:val="single" w:sz="4" w:space="0" w:color="auto"/>
              <w:right w:val="nil"/>
            </w:tcBorders>
            <w:noWrap/>
            <w:vAlign w:val="center"/>
          </w:tcPr>
          <w:p w14:paraId="129DA2CB"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EC887EC" w14:textId="77777777" w:rsidTr="0037632B">
        <w:trPr>
          <w:trHeight w:val="300"/>
        </w:trPr>
        <w:tc>
          <w:tcPr>
            <w:tcW w:w="4188" w:type="dxa"/>
            <w:tcBorders>
              <w:top w:val="single" w:sz="4" w:space="0" w:color="auto"/>
              <w:left w:val="nil"/>
              <w:bottom w:val="single" w:sz="4" w:space="0" w:color="auto"/>
              <w:right w:val="nil"/>
            </w:tcBorders>
          </w:tcPr>
          <w:p w14:paraId="3C75B45B"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Demonstrates unwavering dedication to the education and well-being of the students.</w:t>
            </w:r>
          </w:p>
        </w:tc>
        <w:tc>
          <w:tcPr>
            <w:tcW w:w="960" w:type="dxa"/>
            <w:tcBorders>
              <w:top w:val="single" w:sz="4" w:space="0" w:color="auto"/>
              <w:left w:val="nil"/>
              <w:bottom w:val="single" w:sz="4" w:space="0" w:color="auto"/>
              <w:right w:val="nil"/>
            </w:tcBorders>
            <w:noWrap/>
            <w:vAlign w:val="center"/>
          </w:tcPr>
          <w:p w14:paraId="0A94CC2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4.40</w:t>
            </w:r>
          </w:p>
        </w:tc>
        <w:tc>
          <w:tcPr>
            <w:tcW w:w="1400" w:type="dxa"/>
            <w:tcBorders>
              <w:top w:val="single" w:sz="4" w:space="0" w:color="auto"/>
              <w:left w:val="nil"/>
              <w:bottom w:val="single" w:sz="4" w:space="0" w:color="auto"/>
              <w:right w:val="nil"/>
            </w:tcBorders>
            <w:noWrap/>
            <w:vAlign w:val="center"/>
          </w:tcPr>
          <w:p w14:paraId="09686D0E"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0.48</w:t>
            </w:r>
          </w:p>
        </w:tc>
        <w:tc>
          <w:tcPr>
            <w:tcW w:w="1634" w:type="dxa"/>
            <w:tcBorders>
              <w:top w:val="single" w:sz="4" w:space="0" w:color="auto"/>
              <w:left w:val="nil"/>
              <w:bottom w:val="single" w:sz="4" w:space="0" w:color="auto"/>
              <w:right w:val="nil"/>
            </w:tcBorders>
            <w:noWrap/>
            <w:vAlign w:val="center"/>
          </w:tcPr>
          <w:p w14:paraId="062C5BC0"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67783F7A" w14:textId="77777777" w:rsidTr="0037632B">
        <w:trPr>
          <w:trHeight w:val="300"/>
        </w:trPr>
        <w:tc>
          <w:tcPr>
            <w:tcW w:w="4188" w:type="dxa"/>
            <w:tcBorders>
              <w:top w:val="single" w:sz="4" w:space="0" w:color="auto"/>
              <w:left w:val="nil"/>
              <w:bottom w:val="single" w:sz="4" w:space="0" w:color="auto"/>
              <w:right w:val="nil"/>
            </w:tcBorders>
          </w:tcPr>
          <w:p w14:paraId="1E136B43"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Invests time and resources to enhance their teaching methods and stay current with the latest educational practices.</w:t>
            </w:r>
          </w:p>
        </w:tc>
        <w:tc>
          <w:tcPr>
            <w:tcW w:w="960" w:type="dxa"/>
            <w:tcBorders>
              <w:top w:val="single" w:sz="4" w:space="0" w:color="auto"/>
              <w:left w:val="nil"/>
              <w:bottom w:val="single" w:sz="4" w:space="0" w:color="auto"/>
              <w:right w:val="nil"/>
            </w:tcBorders>
            <w:noWrap/>
            <w:vAlign w:val="center"/>
          </w:tcPr>
          <w:p w14:paraId="6A06ACFF"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4.41</w:t>
            </w:r>
          </w:p>
        </w:tc>
        <w:tc>
          <w:tcPr>
            <w:tcW w:w="1400" w:type="dxa"/>
            <w:tcBorders>
              <w:top w:val="single" w:sz="4" w:space="0" w:color="auto"/>
              <w:left w:val="nil"/>
              <w:bottom w:val="single" w:sz="4" w:space="0" w:color="auto"/>
              <w:right w:val="nil"/>
            </w:tcBorders>
            <w:noWrap/>
            <w:vAlign w:val="center"/>
          </w:tcPr>
          <w:p w14:paraId="1D27B3A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0.43</w:t>
            </w:r>
          </w:p>
        </w:tc>
        <w:tc>
          <w:tcPr>
            <w:tcW w:w="1634" w:type="dxa"/>
            <w:tcBorders>
              <w:top w:val="single" w:sz="4" w:space="0" w:color="auto"/>
              <w:left w:val="nil"/>
              <w:bottom w:val="single" w:sz="4" w:space="0" w:color="auto"/>
              <w:right w:val="nil"/>
            </w:tcBorders>
            <w:noWrap/>
            <w:vAlign w:val="center"/>
          </w:tcPr>
          <w:p w14:paraId="1724525C"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128EA033" w14:textId="77777777" w:rsidTr="0037632B">
        <w:trPr>
          <w:trHeight w:val="300"/>
        </w:trPr>
        <w:tc>
          <w:tcPr>
            <w:tcW w:w="4188" w:type="dxa"/>
            <w:tcBorders>
              <w:top w:val="single" w:sz="4" w:space="0" w:color="auto"/>
              <w:left w:val="nil"/>
              <w:bottom w:val="single" w:sz="4" w:space="0" w:color="auto"/>
              <w:right w:val="nil"/>
            </w:tcBorders>
          </w:tcPr>
          <w:p w14:paraId="0B282409"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Fosters a positive and inclusive classroom environment where students feel valued, supported, and motivated to learn.</w:t>
            </w:r>
          </w:p>
        </w:tc>
        <w:tc>
          <w:tcPr>
            <w:tcW w:w="960" w:type="dxa"/>
            <w:tcBorders>
              <w:top w:val="single" w:sz="4" w:space="0" w:color="auto"/>
              <w:left w:val="nil"/>
              <w:bottom w:val="single" w:sz="4" w:space="0" w:color="auto"/>
              <w:right w:val="nil"/>
            </w:tcBorders>
            <w:noWrap/>
            <w:vAlign w:val="center"/>
          </w:tcPr>
          <w:p w14:paraId="1DFB124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4.41</w:t>
            </w:r>
          </w:p>
        </w:tc>
        <w:tc>
          <w:tcPr>
            <w:tcW w:w="1400" w:type="dxa"/>
            <w:tcBorders>
              <w:top w:val="single" w:sz="4" w:space="0" w:color="auto"/>
              <w:left w:val="nil"/>
              <w:bottom w:val="single" w:sz="4" w:space="0" w:color="auto"/>
              <w:right w:val="nil"/>
            </w:tcBorders>
            <w:noWrap/>
            <w:vAlign w:val="center"/>
          </w:tcPr>
          <w:p w14:paraId="43F94A05"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0.49</w:t>
            </w:r>
          </w:p>
        </w:tc>
        <w:tc>
          <w:tcPr>
            <w:tcW w:w="1634" w:type="dxa"/>
            <w:tcBorders>
              <w:top w:val="single" w:sz="4" w:space="0" w:color="auto"/>
              <w:left w:val="nil"/>
              <w:bottom w:val="single" w:sz="4" w:space="0" w:color="auto"/>
              <w:right w:val="nil"/>
            </w:tcBorders>
            <w:noWrap/>
            <w:vAlign w:val="center"/>
          </w:tcPr>
          <w:p w14:paraId="4D9970F1"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51F94590" w14:textId="77777777" w:rsidTr="0037632B">
        <w:trPr>
          <w:trHeight w:val="300"/>
        </w:trPr>
        <w:tc>
          <w:tcPr>
            <w:tcW w:w="4188" w:type="dxa"/>
            <w:tcBorders>
              <w:top w:val="single" w:sz="4" w:space="0" w:color="auto"/>
              <w:left w:val="nil"/>
              <w:bottom w:val="single" w:sz="4" w:space="0" w:color="auto"/>
              <w:right w:val="nil"/>
            </w:tcBorders>
          </w:tcPr>
          <w:p w14:paraId="04A4856B"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Understand each student's unique needs and challenges and provide personalized attention and guidance to help them reach their full potential.</w:t>
            </w:r>
          </w:p>
        </w:tc>
        <w:tc>
          <w:tcPr>
            <w:tcW w:w="960" w:type="dxa"/>
            <w:tcBorders>
              <w:top w:val="single" w:sz="4" w:space="0" w:color="auto"/>
              <w:left w:val="nil"/>
              <w:bottom w:val="single" w:sz="4" w:space="0" w:color="auto"/>
              <w:right w:val="nil"/>
            </w:tcBorders>
            <w:noWrap/>
            <w:vAlign w:val="center"/>
          </w:tcPr>
          <w:p w14:paraId="369F18E3"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4.47</w:t>
            </w:r>
          </w:p>
        </w:tc>
        <w:tc>
          <w:tcPr>
            <w:tcW w:w="1400" w:type="dxa"/>
            <w:tcBorders>
              <w:top w:val="single" w:sz="4" w:space="0" w:color="auto"/>
              <w:left w:val="nil"/>
              <w:bottom w:val="single" w:sz="4" w:space="0" w:color="auto"/>
              <w:right w:val="nil"/>
            </w:tcBorders>
            <w:noWrap/>
            <w:vAlign w:val="center"/>
          </w:tcPr>
          <w:p w14:paraId="108A8D17"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0.47</w:t>
            </w:r>
          </w:p>
        </w:tc>
        <w:tc>
          <w:tcPr>
            <w:tcW w:w="1634" w:type="dxa"/>
            <w:tcBorders>
              <w:top w:val="single" w:sz="4" w:space="0" w:color="auto"/>
              <w:left w:val="nil"/>
              <w:bottom w:val="single" w:sz="4" w:space="0" w:color="auto"/>
              <w:right w:val="nil"/>
            </w:tcBorders>
            <w:noWrap/>
            <w:vAlign w:val="center"/>
          </w:tcPr>
          <w:p w14:paraId="2E536FEB"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Satisfactory</w:t>
            </w:r>
          </w:p>
        </w:tc>
      </w:tr>
      <w:tr w:rsidR="005F1BEC" w:rsidRPr="005F1BEC" w14:paraId="0E2B5E23" w14:textId="77777777" w:rsidTr="0037632B">
        <w:trPr>
          <w:trHeight w:val="300"/>
        </w:trPr>
        <w:tc>
          <w:tcPr>
            <w:tcW w:w="4188" w:type="dxa"/>
            <w:tcBorders>
              <w:top w:val="single" w:sz="4" w:space="0" w:color="auto"/>
              <w:left w:val="nil"/>
              <w:bottom w:val="single" w:sz="4" w:space="0" w:color="auto"/>
              <w:right w:val="nil"/>
            </w:tcBorders>
            <w:vAlign w:val="center"/>
          </w:tcPr>
          <w:p w14:paraId="62EE922E"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lastRenderedPageBreak/>
              <w:t>Average</w:t>
            </w:r>
          </w:p>
        </w:tc>
        <w:tc>
          <w:tcPr>
            <w:tcW w:w="960" w:type="dxa"/>
            <w:tcBorders>
              <w:top w:val="single" w:sz="4" w:space="0" w:color="auto"/>
              <w:left w:val="nil"/>
              <w:bottom w:val="single" w:sz="4" w:space="0" w:color="auto"/>
              <w:right w:val="nil"/>
            </w:tcBorders>
            <w:noWrap/>
            <w:vAlign w:val="center"/>
          </w:tcPr>
          <w:p w14:paraId="756AEBFD"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4.41</w:t>
            </w:r>
          </w:p>
        </w:tc>
        <w:tc>
          <w:tcPr>
            <w:tcW w:w="1400" w:type="dxa"/>
            <w:tcBorders>
              <w:top w:val="single" w:sz="4" w:space="0" w:color="auto"/>
              <w:left w:val="nil"/>
              <w:bottom w:val="single" w:sz="4" w:space="0" w:color="auto"/>
              <w:right w:val="nil"/>
            </w:tcBorders>
            <w:noWrap/>
            <w:vAlign w:val="center"/>
          </w:tcPr>
          <w:p w14:paraId="21EC3DBA"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0.44</w:t>
            </w:r>
          </w:p>
        </w:tc>
        <w:tc>
          <w:tcPr>
            <w:tcW w:w="1634" w:type="dxa"/>
            <w:tcBorders>
              <w:top w:val="single" w:sz="4" w:space="0" w:color="auto"/>
              <w:left w:val="nil"/>
              <w:bottom w:val="single" w:sz="4" w:space="0" w:color="auto"/>
              <w:right w:val="nil"/>
            </w:tcBorders>
            <w:noWrap/>
            <w:vAlign w:val="center"/>
          </w:tcPr>
          <w:p w14:paraId="7F08C2F0"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Very Satisfactory</w:t>
            </w:r>
          </w:p>
        </w:tc>
      </w:tr>
    </w:tbl>
    <w:p w14:paraId="30C71C63" w14:textId="77777777" w:rsidR="005F1BEC" w:rsidRPr="005F1BEC" w:rsidRDefault="005F1BEC" w:rsidP="005F1BEC">
      <w:pPr>
        <w:ind w:firstLine="720"/>
        <w:jc w:val="both"/>
        <w:rPr>
          <w:rFonts w:ascii="Arial" w:eastAsia="Times New Roman" w:hAnsi="Arial" w:cs="Arial"/>
          <w:bCs/>
        </w:rPr>
      </w:pPr>
    </w:p>
    <w:p w14:paraId="3808E42F" w14:textId="66736D9D" w:rsidR="002200F1" w:rsidRPr="002200F1" w:rsidRDefault="002200F1" w:rsidP="002200F1">
      <w:pPr>
        <w:jc w:val="both"/>
        <w:rPr>
          <w:rFonts w:ascii="Arial" w:eastAsia="Times New Roman" w:hAnsi="Arial" w:cs="Arial"/>
          <w:bCs/>
        </w:rPr>
      </w:pPr>
      <w:r w:rsidRPr="002200F1">
        <w:rPr>
          <w:rFonts w:ascii="Arial" w:eastAsia="Times New Roman" w:hAnsi="Arial" w:cs="Arial"/>
          <w:bCs/>
        </w:rPr>
        <w:t>High ratings in the Commitment domain—especially in understanding student needs and offering individualized support—are supported by global studies. Mlambo et al. (2019) noted that teacher punctuality, consistency, and inclusive support are key to education quality. Dar and Jan (2023) highlighted employer focus on professional reliability and student engagement. Bonsu (2021) linked teacher commitment to job performance in Ghana, while Khodadad (2023) identified preparation and punctuality as key traits in Europe. Gao and Mohamad (2025) confirmed that soft skill development improves employer satisfa</w:t>
      </w:r>
      <w:r>
        <w:rPr>
          <w:rFonts w:ascii="Arial" w:eastAsia="Times New Roman" w:hAnsi="Arial" w:cs="Arial"/>
          <w:bCs/>
        </w:rPr>
        <w:t>ction with teacher performance.</w:t>
      </w:r>
    </w:p>
    <w:p w14:paraId="4826ADD3" w14:textId="77777777" w:rsidR="002200F1" w:rsidRPr="002200F1" w:rsidRDefault="002200F1" w:rsidP="002200F1">
      <w:pPr>
        <w:jc w:val="both"/>
        <w:rPr>
          <w:rFonts w:ascii="Arial" w:eastAsia="Times New Roman" w:hAnsi="Arial" w:cs="Arial"/>
          <w:bCs/>
        </w:rPr>
      </w:pPr>
      <w:r w:rsidRPr="002200F1">
        <w:rPr>
          <w:rFonts w:ascii="Arial" w:eastAsia="Times New Roman" w:hAnsi="Arial" w:cs="Arial"/>
          <w:bCs/>
        </w:rPr>
        <w:t>Collaboration</w:t>
      </w:r>
    </w:p>
    <w:p w14:paraId="5AA146C8" w14:textId="781F5E11" w:rsidR="002200F1" w:rsidRPr="002200F1" w:rsidRDefault="002200F1" w:rsidP="002200F1">
      <w:pPr>
        <w:ind w:firstLine="720"/>
        <w:jc w:val="both"/>
        <w:rPr>
          <w:rFonts w:ascii="Arial" w:eastAsia="Times New Roman" w:hAnsi="Arial" w:cs="Arial"/>
          <w:bCs/>
        </w:rPr>
      </w:pPr>
      <w:r w:rsidRPr="002200F1">
        <w:rPr>
          <w:rFonts w:ascii="Arial" w:eastAsia="Times New Roman" w:hAnsi="Arial" w:cs="Arial"/>
          <w:bCs/>
        </w:rPr>
        <w:t xml:space="preserve">Table </w:t>
      </w:r>
      <w:r w:rsidR="003733BF">
        <w:rPr>
          <w:rFonts w:ascii="Arial" w:eastAsia="Times New Roman" w:hAnsi="Arial" w:cs="Arial"/>
          <w:bCs/>
        </w:rPr>
        <w:t>15</w:t>
      </w:r>
      <w:r w:rsidRPr="002200F1">
        <w:rPr>
          <w:rFonts w:ascii="Arial" w:eastAsia="Times New Roman" w:hAnsi="Arial" w:cs="Arial"/>
          <w:bCs/>
        </w:rPr>
        <w:t xml:space="preserve"> shows the highest average score across domains (x̄ = 4.50, s = 0.44), rated Exceptional. The top indicator</w:t>
      </w:r>
      <w:proofErr w:type="gramStart"/>
      <w:r w:rsidRPr="002200F1">
        <w:rPr>
          <w:rFonts w:ascii="Arial" w:eastAsia="Times New Roman" w:hAnsi="Arial" w:cs="Arial"/>
          <w:bCs/>
        </w:rPr>
        <w:t>—“</w:t>
      </w:r>
      <w:proofErr w:type="gramEnd"/>
      <w:r w:rsidRPr="002200F1">
        <w:rPr>
          <w:rFonts w:ascii="Arial" w:eastAsia="Times New Roman" w:hAnsi="Arial" w:cs="Arial"/>
          <w:bCs/>
        </w:rPr>
        <w:t>Promotes a positive image of the organization through effective student service” (x̄ = 4.52)—reflects graduates’ professionalism and school advocacy. Strong participation in collaborative planning (x̄ = 4.51) shows their role in shared decision-making. The lowest-rated items, “Cooperates with others” and “Creates a sense of family” (x̄ = 4.47), remain Very Satisfactory but point to areas for gr</w:t>
      </w:r>
      <w:r>
        <w:rPr>
          <w:rFonts w:ascii="Arial" w:eastAsia="Times New Roman" w:hAnsi="Arial" w:cs="Arial"/>
          <w:bCs/>
        </w:rPr>
        <w:t>owth in interpersonal dynamics.</w:t>
      </w:r>
    </w:p>
    <w:p w14:paraId="41593DB0" w14:textId="77777777" w:rsidR="003733BF" w:rsidRDefault="002200F1" w:rsidP="002200F1">
      <w:pPr>
        <w:ind w:firstLine="720"/>
        <w:jc w:val="both"/>
        <w:rPr>
          <w:rFonts w:ascii="Arial" w:eastAsia="Times New Roman" w:hAnsi="Arial" w:cs="Arial"/>
          <w:bCs/>
        </w:rPr>
      </w:pPr>
      <w:r w:rsidRPr="002200F1">
        <w:rPr>
          <w:rFonts w:ascii="Arial" w:eastAsia="Times New Roman" w:hAnsi="Arial" w:cs="Arial"/>
          <w:bCs/>
        </w:rPr>
        <w:t>These findings highlight BEED graduates’ strengths not only in teaching but also in building collegial and community-oriented school environments, aligning with PPST Domains 6 and 7.</w:t>
      </w:r>
    </w:p>
    <w:p w14:paraId="3769E25E" w14:textId="3800BF3A" w:rsidR="005F1BEC" w:rsidRPr="005F1BEC" w:rsidRDefault="005F1BEC" w:rsidP="002200F1">
      <w:pPr>
        <w:ind w:firstLine="720"/>
        <w:jc w:val="both"/>
        <w:rPr>
          <w:rFonts w:ascii="Arial" w:eastAsia="Times New Roman" w:hAnsi="Arial" w:cs="Arial"/>
          <w:b/>
          <w:bCs/>
        </w:rPr>
      </w:pPr>
      <w:r w:rsidRPr="005F1BEC">
        <w:rPr>
          <w:rFonts w:ascii="Arial" w:eastAsia="Times New Roman" w:hAnsi="Arial" w:cs="Arial"/>
          <w:lang w:bidi="ar"/>
        </w:rPr>
        <w:t xml:space="preserve">Table </w:t>
      </w:r>
      <w:r w:rsidR="003733BF">
        <w:rPr>
          <w:rFonts w:ascii="Arial" w:eastAsia="Times New Roman" w:hAnsi="Arial" w:cs="Arial"/>
          <w:lang w:bidi="ar"/>
        </w:rPr>
        <w:t>15</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Level of employer feedback on BEED graduates’ workplace performance in the</w:t>
      </w:r>
      <w:r w:rsidRPr="005F1BEC">
        <w:rPr>
          <w:rFonts w:ascii="Arial" w:eastAsia="Calibri" w:hAnsi="Arial" w:cs="Arial"/>
          <w:iCs/>
          <w:lang w:bidi="ar"/>
        </w:rPr>
        <w:t xml:space="preserve"> </w:t>
      </w:r>
      <w:r w:rsidRPr="005F1BEC">
        <w:rPr>
          <w:rFonts w:ascii="Arial" w:eastAsia="Times New Roman" w:hAnsi="Arial" w:cs="Arial"/>
          <w:bCs/>
          <w:iCs/>
          <w:lang w:bidi="ar"/>
        </w:rPr>
        <w:t>collaboration</w:t>
      </w:r>
    </w:p>
    <w:tbl>
      <w:tblPr>
        <w:tblW w:w="8902" w:type="dxa"/>
        <w:tblInd w:w="93" w:type="dxa"/>
        <w:tblLook w:val="04A0" w:firstRow="1" w:lastRow="0" w:firstColumn="1" w:lastColumn="0" w:noHBand="0" w:noVBand="1"/>
      </w:tblPr>
      <w:tblGrid>
        <w:gridCol w:w="4188"/>
        <w:gridCol w:w="1024"/>
        <w:gridCol w:w="1530"/>
        <w:gridCol w:w="2160"/>
      </w:tblGrid>
      <w:tr w:rsidR="005F1BEC" w:rsidRPr="005F1BEC" w14:paraId="13E8611E" w14:textId="77777777" w:rsidTr="0037632B">
        <w:trPr>
          <w:trHeight w:val="570"/>
        </w:trPr>
        <w:tc>
          <w:tcPr>
            <w:tcW w:w="4188" w:type="dxa"/>
            <w:tcBorders>
              <w:top w:val="single" w:sz="4" w:space="0" w:color="auto"/>
              <w:left w:val="nil"/>
              <w:bottom w:val="single" w:sz="4" w:space="0" w:color="auto"/>
              <w:right w:val="nil"/>
            </w:tcBorders>
            <w:vAlign w:val="center"/>
          </w:tcPr>
          <w:p w14:paraId="741DF920"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Indicators</w:t>
            </w:r>
          </w:p>
        </w:tc>
        <w:tc>
          <w:tcPr>
            <w:tcW w:w="1024" w:type="dxa"/>
            <w:tcBorders>
              <w:top w:val="single" w:sz="4" w:space="0" w:color="auto"/>
              <w:left w:val="nil"/>
              <w:bottom w:val="single" w:sz="4" w:space="0" w:color="auto"/>
              <w:right w:val="nil"/>
            </w:tcBorders>
            <w:vAlign w:val="center"/>
          </w:tcPr>
          <w:p w14:paraId="3CEB3DAE"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Mean</w:t>
            </w:r>
          </w:p>
        </w:tc>
        <w:tc>
          <w:tcPr>
            <w:tcW w:w="1530" w:type="dxa"/>
            <w:tcBorders>
              <w:top w:val="single" w:sz="4" w:space="0" w:color="auto"/>
              <w:left w:val="nil"/>
              <w:bottom w:val="single" w:sz="4" w:space="0" w:color="auto"/>
              <w:right w:val="nil"/>
            </w:tcBorders>
            <w:vAlign w:val="center"/>
          </w:tcPr>
          <w:p w14:paraId="27AA1C32"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Std. Deviation</w:t>
            </w:r>
          </w:p>
        </w:tc>
        <w:tc>
          <w:tcPr>
            <w:tcW w:w="2160" w:type="dxa"/>
            <w:tcBorders>
              <w:top w:val="single" w:sz="4" w:space="0" w:color="auto"/>
              <w:left w:val="nil"/>
              <w:bottom w:val="single" w:sz="4" w:space="0" w:color="auto"/>
              <w:right w:val="nil"/>
            </w:tcBorders>
            <w:noWrap/>
            <w:vAlign w:val="center"/>
          </w:tcPr>
          <w:p w14:paraId="440877CA"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Interpretation</w:t>
            </w:r>
          </w:p>
        </w:tc>
      </w:tr>
      <w:tr w:rsidR="005F1BEC" w:rsidRPr="005F1BEC" w14:paraId="3E37633E" w14:textId="77777777" w:rsidTr="0037632B">
        <w:trPr>
          <w:trHeight w:val="300"/>
        </w:trPr>
        <w:tc>
          <w:tcPr>
            <w:tcW w:w="4188" w:type="dxa"/>
            <w:tcBorders>
              <w:top w:val="single" w:sz="4" w:space="0" w:color="auto"/>
              <w:left w:val="nil"/>
              <w:bottom w:val="single" w:sz="4" w:space="0" w:color="auto"/>
              <w:right w:val="nil"/>
            </w:tcBorders>
          </w:tcPr>
          <w:p w14:paraId="54E2827B"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Participates in collaborative planning and decision-making to collectively identify and address the diverse needs of the students.</w:t>
            </w:r>
          </w:p>
        </w:tc>
        <w:tc>
          <w:tcPr>
            <w:tcW w:w="1024" w:type="dxa"/>
            <w:tcBorders>
              <w:top w:val="single" w:sz="4" w:space="0" w:color="auto"/>
              <w:left w:val="nil"/>
              <w:bottom w:val="single" w:sz="4" w:space="0" w:color="auto"/>
              <w:right w:val="nil"/>
            </w:tcBorders>
            <w:noWrap/>
            <w:vAlign w:val="center"/>
          </w:tcPr>
          <w:p w14:paraId="10B48692"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4.51</w:t>
            </w:r>
          </w:p>
        </w:tc>
        <w:tc>
          <w:tcPr>
            <w:tcW w:w="1530" w:type="dxa"/>
            <w:tcBorders>
              <w:top w:val="single" w:sz="4" w:space="0" w:color="auto"/>
              <w:left w:val="nil"/>
              <w:bottom w:val="single" w:sz="4" w:space="0" w:color="auto"/>
              <w:right w:val="nil"/>
            </w:tcBorders>
            <w:noWrap/>
            <w:vAlign w:val="center"/>
          </w:tcPr>
          <w:p w14:paraId="789B595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0.46</w:t>
            </w:r>
          </w:p>
        </w:tc>
        <w:tc>
          <w:tcPr>
            <w:tcW w:w="2160" w:type="dxa"/>
            <w:tcBorders>
              <w:top w:val="single" w:sz="4" w:space="0" w:color="auto"/>
              <w:left w:val="nil"/>
              <w:bottom w:val="single" w:sz="4" w:space="0" w:color="auto"/>
              <w:right w:val="nil"/>
            </w:tcBorders>
            <w:noWrap/>
            <w:vAlign w:val="center"/>
          </w:tcPr>
          <w:p w14:paraId="7AC04C2D"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Outstanding</w:t>
            </w:r>
          </w:p>
        </w:tc>
      </w:tr>
      <w:tr w:rsidR="005F1BEC" w:rsidRPr="005F1BEC" w14:paraId="277451FD" w14:textId="77777777" w:rsidTr="0037632B">
        <w:trPr>
          <w:trHeight w:val="300"/>
        </w:trPr>
        <w:tc>
          <w:tcPr>
            <w:tcW w:w="4188" w:type="dxa"/>
            <w:tcBorders>
              <w:top w:val="single" w:sz="4" w:space="0" w:color="auto"/>
              <w:left w:val="nil"/>
              <w:bottom w:val="single" w:sz="4" w:space="0" w:color="auto"/>
              <w:right w:val="nil"/>
            </w:tcBorders>
          </w:tcPr>
          <w:p w14:paraId="6DE715F7"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Cooperates with others to help overcome problems and challenges in the school.</w:t>
            </w:r>
          </w:p>
        </w:tc>
        <w:tc>
          <w:tcPr>
            <w:tcW w:w="1024" w:type="dxa"/>
            <w:tcBorders>
              <w:top w:val="single" w:sz="4" w:space="0" w:color="auto"/>
              <w:left w:val="nil"/>
              <w:bottom w:val="single" w:sz="4" w:space="0" w:color="auto"/>
              <w:right w:val="nil"/>
            </w:tcBorders>
            <w:noWrap/>
            <w:vAlign w:val="center"/>
          </w:tcPr>
          <w:p w14:paraId="554299C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4.47</w:t>
            </w:r>
          </w:p>
        </w:tc>
        <w:tc>
          <w:tcPr>
            <w:tcW w:w="1530" w:type="dxa"/>
            <w:tcBorders>
              <w:top w:val="single" w:sz="4" w:space="0" w:color="auto"/>
              <w:left w:val="nil"/>
              <w:bottom w:val="single" w:sz="4" w:space="0" w:color="auto"/>
              <w:right w:val="nil"/>
            </w:tcBorders>
            <w:noWrap/>
            <w:vAlign w:val="center"/>
          </w:tcPr>
          <w:p w14:paraId="7711E9E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0.47</w:t>
            </w:r>
          </w:p>
        </w:tc>
        <w:tc>
          <w:tcPr>
            <w:tcW w:w="2160" w:type="dxa"/>
            <w:tcBorders>
              <w:top w:val="single" w:sz="4" w:space="0" w:color="auto"/>
              <w:left w:val="nil"/>
              <w:bottom w:val="single" w:sz="4" w:space="0" w:color="auto"/>
              <w:right w:val="nil"/>
            </w:tcBorders>
            <w:noWrap/>
            <w:vAlign w:val="center"/>
          </w:tcPr>
          <w:p w14:paraId="05479D90"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satisfied</w:t>
            </w:r>
          </w:p>
        </w:tc>
      </w:tr>
      <w:tr w:rsidR="005F1BEC" w:rsidRPr="005F1BEC" w14:paraId="090F4685" w14:textId="77777777" w:rsidTr="0037632B">
        <w:trPr>
          <w:trHeight w:val="300"/>
        </w:trPr>
        <w:tc>
          <w:tcPr>
            <w:tcW w:w="4188" w:type="dxa"/>
            <w:tcBorders>
              <w:top w:val="single" w:sz="4" w:space="0" w:color="auto"/>
              <w:left w:val="nil"/>
              <w:bottom w:val="single" w:sz="4" w:space="0" w:color="auto"/>
              <w:right w:val="nil"/>
            </w:tcBorders>
          </w:tcPr>
          <w:p w14:paraId="347A24FD"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Creates a sense of family in the workplace by assisting those who are having difficulty completing their assignments</w:t>
            </w:r>
          </w:p>
        </w:tc>
        <w:tc>
          <w:tcPr>
            <w:tcW w:w="1024" w:type="dxa"/>
            <w:tcBorders>
              <w:top w:val="single" w:sz="4" w:space="0" w:color="auto"/>
              <w:left w:val="nil"/>
              <w:bottom w:val="single" w:sz="4" w:space="0" w:color="auto"/>
              <w:right w:val="nil"/>
            </w:tcBorders>
            <w:noWrap/>
            <w:vAlign w:val="center"/>
          </w:tcPr>
          <w:p w14:paraId="4CE9BBB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4.47</w:t>
            </w:r>
          </w:p>
        </w:tc>
        <w:tc>
          <w:tcPr>
            <w:tcW w:w="1530" w:type="dxa"/>
            <w:tcBorders>
              <w:top w:val="single" w:sz="4" w:space="0" w:color="auto"/>
              <w:left w:val="nil"/>
              <w:bottom w:val="single" w:sz="4" w:space="0" w:color="auto"/>
              <w:right w:val="nil"/>
            </w:tcBorders>
            <w:noWrap/>
            <w:vAlign w:val="center"/>
          </w:tcPr>
          <w:p w14:paraId="3DD3A2C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0.46</w:t>
            </w:r>
          </w:p>
        </w:tc>
        <w:tc>
          <w:tcPr>
            <w:tcW w:w="2160" w:type="dxa"/>
            <w:tcBorders>
              <w:top w:val="single" w:sz="4" w:space="0" w:color="auto"/>
              <w:left w:val="nil"/>
              <w:bottom w:val="single" w:sz="4" w:space="0" w:color="auto"/>
              <w:right w:val="nil"/>
            </w:tcBorders>
            <w:noWrap/>
            <w:vAlign w:val="center"/>
          </w:tcPr>
          <w:p w14:paraId="7B18FF83"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satisfied</w:t>
            </w:r>
          </w:p>
        </w:tc>
      </w:tr>
      <w:tr w:rsidR="005F1BEC" w:rsidRPr="005F1BEC" w14:paraId="52724A65" w14:textId="77777777" w:rsidTr="0037632B">
        <w:trPr>
          <w:trHeight w:val="300"/>
        </w:trPr>
        <w:tc>
          <w:tcPr>
            <w:tcW w:w="4188" w:type="dxa"/>
            <w:tcBorders>
              <w:top w:val="single" w:sz="4" w:space="0" w:color="auto"/>
              <w:left w:val="nil"/>
              <w:bottom w:val="single" w:sz="4" w:space="0" w:color="auto"/>
              <w:right w:val="nil"/>
            </w:tcBorders>
          </w:tcPr>
          <w:p w14:paraId="2A110E98"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Demonstrates the organization's significant values in attaining its vision and mission.</w:t>
            </w:r>
          </w:p>
        </w:tc>
        <w:tc>
          <w:tcPr>
            <w:tcW w:w="1024" w:type="dxa"/>
            <w:tcBorders>
              <w:top w:val="single" w:sz="4" w:space="0" w:color="auto"/>
              <w:left w:val="nil"/>
              <w:bottom w:val="single" w:sz="4" w:space="0" w:color="auto"/>
              <w:right w:val="nil"/>
            </w:tcBorders>
            <w:noWrap/>
            <w:vAlign w:val="center"/>
          </w:tcPr>
          <w:p w14:paraId="6B69B27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4.48</w:t>
            </w:r>
          </w:p>
        </w:tc>
        <w:tc>
          <w:tcPr>
            <w:tcW w:w="1530" w:type="dxa"/>
            <w:tcBorders>
              <w:top w:val="single" w:sz="4" w:space="0" w:color="auto"/>
              <w:left w:val="nil"/>
              <w:bottom w:val="single" w:sz="4" w:space="0" w:color="auto"/>
              <w:right w:val="nil"/>
            </w:tcBorders>
            <w:noWrap/>
            <w:vAlign w:val="center"/>
          </w:tcPr>
          <w:p w14:paraId="50F13402"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0.44</w:t>
            </w:r>
          </w:p>
        </w:tc>
        <w:tc>
          <w:tcPr>
            <w:tcW w:w="2160" w:type="dxa"/>
            <w:tcBorders>
              <w:top w:val="single" w:sz="4" w:space="0" w:color="auto"/>
              <w:left w:val="nil"/>
              <w:bottom w:val="single" w:sz="4" w:space="0" w:color="auto"/>
              <w:right w:val="nil"/>
            </w:tcBorders>
            <w:noWrap/>
            <w:vAlign w:val="center"/>
          </w:tcPr>
          <w:p w14:paraId="50651F65"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Very satisfied</w:t>
            </w:r>
          </w:p>
        </w:tc>
      </w:tr>
      <w:tr w:rsidR="005F1BEC" w:rsidRPr="005F1BEC" w14:paraId="50276B37" w14:textId="77777777" w:rsidTr="0037632B">
        <w:trPr>
          <w:trHeight w:val="300"/>
        </w:trPr>
        <w:tc>
          <w:tcPr>
            <w:tcW w:w="4188" w:type="dxa"/>
            <w:tcBorders>
              <w:top w:val="single" w:sz="4" w:space="0" w:color="auto"/>
              <w:left w:val="nil"/>
              <w:bottom w:val="single" w:sz="4" w:space="0" w:color="auto"/>
              <w:right w:val="nil"/>
            </w:tcBorders>
          </w:tcPr>
          <w:p w14:paraId="059CE354"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Promotes a positive image of the organization through serving the students effectively.</w:t>
            </w:r>
          </w:p>
        </w:tc>
        <w:tc>
          <w:tcPr>
            <w:tcW w:w="1024" w:type="dxa"/>
            <w:tcBorders>
              <w:top w:val="single" w:sz="4" w:space="0" w:color="auto"/>
              <w:left w:val="nil"/>
              <w:bottom w:val="single" w:sz="4" w:space="0" w:color="auto"/>
              <w:right w:val="nil"/>
            </w:tcBorders>
            <w:noWrap/>
            <w:vAlign w:val="center"/>
          </w:tcPr>
          <w:p w14:paraId="6EC9D0CC"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4.52</w:t>
            </w:r>
          </w:p>
        </w:tc>
        <w:tc>
          <w:tcPr>
            <w:tcW w:w="1530" w:type="dxa"/>
            <w:tcBorders>
              <w:top w:val="single" w:sz="4" w:space="0" w:color="auto"/>
              <w:left w:val="nil"/>
              <w:bottom w:val="single" w:sz="4" w:space="0" w:color="auto"/>
              <w:right w:val="nil"/>
            </w:tcBorders>
            <w:noWrap/>
            <w:vAlign w:val="center"/>
          </w:tcPr>
          <w:p w14:paraId="4F5C26A8"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0.45</w:t>
            </w:r>
          </w:p>
        </w:tc>
        <w:tc>
          <w:tcPr>
            <w:tcW w:w="2160" w:type="dxa"/>
            <w:tcBorders>
              <w:top w:val="single" w:sz="4" w:space="0" w:color="auto"/>
              <w:left w:val="nil"/>
              <w:bottom w:val="single" w:sz="4" w:space="0" w:color="auto"/>
              <w:right w:val="nil"/>
            </w:tcBorders>
            <w:noWrap/>
            <w:vAlign w:val="center"/>
          </w:tcPr>
          <w:p w14:paraId="1D43E150" w14:textId="77777777" w:rsidR="005F1BEC" w:rsidRPr="005F1BEC" w:rsidRDefault="005F1BEC" w:rsidP="005F1BEC">
            <w:pPr>
              <w:jc w:val="center"/>
              <w:rPr>
                <w:rFonts w:ascii="Arial" w:eastAsia="Times New Roman" w:hAnsi="Arial" w:cs="Arial"/>
              </w:rPr>
            </w:pPr>
            <w:r w:rsidRPr="005F1BEC">
              <w:rPr>
                <w:rFonts w:ascii="Arial" w:eastAsia="Times New Roman" w:hAnsi="Arial" w:cs="Arial"/>
                <w:lang w:bidi="ar"/>
              </w:rPr>
              <w:t>Outstanding</w:t>
            </w:r>
          </w:p>
        </w:tc>
      </w:tr>
      <w:tr w:rsidR="005F1BEC" w:rsidRPr="005F1BEC" w14:paraId="3FBA7B89" w14:textId="77777777" w:rsidTr="0037632B">
        <w:trPr>
          <w:trHeight w:val="300"/>
        </w:trPr>
        <w:tc>
          <w:tcPr>
            <w:tcW w:w="4188" w:type="dxa"/>
            <w:tcBorders>
              <w:top w:val="single" w:sz="4" w:space="0" w:color="auto"/>
              <w:left w:val="nil"/>
              <w:bottom w:val="single" w:sz="4" w:space="0" w:color="auto"/>
              <w:right w:val="nil"/>
            </w:tcBorders>
            <w:vAlign w:val="center"/>
          </w:tcPr>
          <w:p w14:paraId="1348FCD1"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Average</w:t>
            </w:r>
          </w:p>
        </w:tc>
        <w:tc>
          <w:tcPr>
            <w:tcW w:w="1024" w:type="dxa"/>
            <w:tcBorders>
              <w:top w:val="single" w:sz="4" w:space="0" w:color="auto"/>
              <w:left w:val="nil"/>
              <w:bottom w:val="single" w:sz="4" w:space="0" w:color="auto"/>
              <w:right w:val="nil"/>
            </w:tcBorders>
            <w:noWrap/>
            <w:vAlign w:val="center"/>
          </w:tcPr>
          <w:p w14:paraId="72179D9D"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4.50</w:t>
            </w:r>
          </w:p>
        </w:tc>
        <w:tc>
          <w:tcPr>
            <w:tcW w:w="1530" w:type="dxa"/>
            <w:tcBorders>
              <w:top w:val="single" w:sz="4" w:space="0" w:color="auto"/>
              <w:left w:val="nil"/>
              <w:bottom w:val="single" w:sz="4" w:space="0" w:color="auto"/>
              <w:right w:val="nil"/>
            </w:tcBorders>
            <w:noWrap/>
            <w:vAlign w:val="center"/>
          </w:tcPr>
          <w:p w14:paraId="0F067903" w14:textId="77777777" w:rsidR="005F1BEC" w:rsidRPr="005F1BEC" w:rsidRDefault="005F1BEC" w:rsidP="005F1BEC">
            <w:pPr>
              <w:jc w:val="center"/>
              <w:rPr>
                <w:rFonts w:ascii="Arial" w:eastAsia="Times New Roman" w:hAnsi="Arial" w:cs="Arial"/>
                <w:bCs/>
                <w:color w:val="000000"/>
              </w:rPr>
            </w:pPr>
            <w:r w:rsidRPr="005F1BEC">
              <w:rPr>
                <w:rFonts w:ascii="Arial" w:eastAsia="Times New Roman" w:hAnsi="Arial" w:cs="Arial"/>
                <w:bCs/>
                <w:color w:val="000000"/>
                <w:lang w:bidi="ar"/>
              </w:rPr>
              <w:t>0.44</w:t>
            </w:r>
          </w:p>
        </w:tc>
        <w:tc>
          <w:tcPr>
            <w:tcW w:w="2160" w:type="dxa"/>
            <w:tcBorders>
              <w:top w:val="single" w:sz="4" w:space="0" w:color="auto"/>
              <w:left w:val="nil"/>
              <w:bottom w:val="single" w:sz="4" w:space="0" w:color="auto"/>
              <w:right w:val="nil"/>
            </w:tcBorders>
            <w:noWrap/>
            <w:vAlign w:val="center"/>
          </w:tcPr>
          <w:p w14:paraId="065D2E00" w14:textId="77777777" w:rsidR="005F1BEC" w:rsidRPr="005F1BEC" w:rsidRDefault="005F1BEC" w:rsidP="005F1BEC">
            <w:pPr>
              <w:jc w:val="center"/>
              <w:rPr>
                <w:rFonts w:ascii="Arial" w:eastAsia="Times New Roman" w:hAnsi="Arial" w:cs="Arial"/>
                <w:bCs/>
              </w:rPr>
            </w:pPr>
            <w:r w:rsidRPr="005F1BEC">
              <w:rPr>
                <w:rFonts w:ascii="Arial" w:eastAsia="Times New Roman" w:hAnsi="Arial" w:cs="Arial"/>
                <w:bCs/>
                <w:lang w:bidi="ar"/>
              </w:rPr>
              <w:t>Outstanding</w:t>
            </w:r>
          </w:p>
        </w:tc>
      </w:tr>
    </w:tbl>
    <w:p w14:paraId="7021FFD2" w14:textId="77777777" w:rsidR="005F1BEC" w:rsidRPr="005F1BEC" w:rsidRDefault="005F1BEC" w:rsidP="005F1BEC">
      <w:pPr>
        <w:widowControl w:val="0"/>
        <w:autoSpaceDE w:val="0"/>
        <w:autoSpaceDN w:val="0"/>
        <w:jc w:val="both"/>
        <w:rPr>
          <w:rFonts w:ascii="Arial" w:eastAsia="Times New Roman" w:hAnsi="Arial" w:cs="Arial"/>
          <w:bCs/>
        </w:rPr>
      </w:pPr>
    </w:p>
    <w:p w14:paraId="0A707EF3" w14:textId="77777777" w:rsidR="002200F1" w:rsidRDefault="002200F1" w:rsidP="005F1BEC">
      <w:pPr>
        <w:jc w:val="both"/>
        <w:rPr>
          <w:rFonts w:ascii="Arial" w:eastAsia="Times New Roman" w:hAnsi="Arial" w:cs="Arial"/>
          <w:bCs/>
        </w:rPr>
      </w:pPr>
      <w:r w:rsidRPr="002200F1">
        <w:rPr>
          <w:rFonts w:ascii="Arial" w:eastAsia="Times New Roman" w:hAnsi="Arial" w:cs="Arial"/>
          <w:bCs/>
        </w:rPr>
        <w:t xml:space="preserve">The exceptional average rating in the Collaboration domain (x̄ = 4.50) is backed by global research emphasizing the importance of teamwork, collegiality, and shared responsibility in teacher performance. Khoo et al. (2020) highlighted that employers highly value interpersonal collaboration for school integration. Mehrotra and Elias (2017) found that soft skills, particularly teamwork, often outweigh technical qualifications in education settings. </w:t>
      </w:r>
      <w:proofErr w:type="spellStart"/>
      <w:r w:rsidRPr="002200F1">
        <w:rPr>
          <w:rFonts w:ascii="Arial" w:eastAsia="Times New Roman" w:hAnsi="Arial" w:cs="Arial"/>
          <w:bCs/>
        </w:rPr>
        <w:t>Enaifoghe</w:t>
      </w:r>
      <w:proofErr w:type="spellEnd"/>
      <w:r w:rsidRPr="002200F1">
        <w:rPr>
          <w:rFonts w:ascii="Arial" w:eastAsia="Times New Roman" w:hAnsi="Arial" w:cs="Arial"/>
          <w:bCs/>
        </w:rPr>
        <w:t xml:space="preserve"> (2022) noted that collegiality strengthens trust and institutional cohesion. Ferns, Dawson, and Howitt (2019) linked employability to relationship-building and shared planning. Riebe (2022) further emphasized that teamwork boosts both student engagement and teacher satisfaction—echoing the strong evaluations received by BEED graduates.</w:t>
      </w:r>
    </w:p>
    <w:p w14:paraId="388D4F21" w14:textId="77777777" w:rsidR="002200F1" w:rsidRDefault="002200F1" w:rsidP="005F1BEC">
      <w:pPr>
        <w:jc w:val="both"/>
        <w:rPr>
          <w:rFonts w:ascii="Arial" w:eastAsia="Times New Roman" w:hAnsi="Arial" w:cs="Arial"/>
          <w:bCs/>
        </w:rPr>
      </w:pPr>
    </w:p>
    <w:p w14:paraId="799E1BFF" w14:textId="47AC5031" w:rsidR="005F1BEC" w:rsidRPr="005F1BEC" w:rsidRDefault="005F1BEC" w:rsidP="005F1BEC">
      <w:pPr>
        <w:jc w:val="both"/>
        <w:rPr>
          <w:rFonts w:ascii="Arial" w:eastAsia="Times New Roman" w:hAnsi="Arial" w:cs="Arial"/>
          <w:b/>
          <w:bCs/>
        </w:rPr>
      </w:pPr>
      <w:r w:rsidRPr="005F1BEC">
        <w:rPr>
          <w:rFonts w:ascii="Arial" w:eastAsia="Times New Roman" w:hAnsi="Arial" w:cs="Arial"/>
          <w:b/>
          <w:bCs/>
        </w:rPr>
        <w:t>Differences in Employer Feedback in Terms of Age</w:t>
      </w:r>
    </w:p>
    <w:p w14:paraId="41A500F8" w14:textId="51441143" w:rsidR="005F1BEC" w:rsidRPr="005F1BEC" w:rsidRDefault="005F1BEC" w:rsidP="005F1BEC">
      <w:pPr>
        <w:ind w:firstLine="720"/>
        <w:jc w:val="both"/>
        <w:rPr>
          <w:rFonts w:ascii="Arial" w:eastAsia="Times New Roman" w:hAnsi="Arial" w:cs="Arial"/>
        </w:rPr>
      </w:pPr>
      <w:r w:rsidRPr="005F1BEC">
        <w:rPr>
          <w:rFonts w:ascii="Arial" w:eastAsia="Times New Roman" w:hAnsi="Arial" w:cs="Arial"/>
        </w:rPr>
        <w:lastRenderedPageBreak/>
        <w:t xml:space="preserve">Table </w:t>
      </w:r>
      <w:r w:rsidR="003733BF">
        <w:rPr>
          <w:rFonts w:ascii="Arial" w:eastAsia="Times New Roman" w:hAnsi="Arial" w:cs="Arial"/>
        </w:rPr>
        <w:t>16</w:t>
      </w:r>
      <w:r w:rsidRPr="005F1BEC">
        <w:rPr>
          <w:rFonts w:ascii="Arial" w:eastAsia="Times New Roman" w:hAnsi="Arial" w:cs="Arial"/>
        </w:rPr>
        <w:t xml:space="preserve"> presents the ANOVA results (F = 0.197, p = 0.898), which reveal no significant difference in feedback scores when respondents are grouped by age, suggesting that age does not influence employer assessments of BEED graduates. This implies a shared perception of graduate performance among evaluators, regardless of their generational background.</w:t>
      </w:r>
    </w:p>
    <w:p w14:paraId="72230355" w14:textId="77777777" w:rsidR="005F1BEC" w:rsidRPr="005F1BEC" w:rsidRDefault="005F1BEC" w:rsidP="005F1BEC">
      <w:pPr>
        <w:jc w:val="both"/>
        <w:rPr>
          <w:rFonts w:ascii="Arial" w:eastAsia="Times New Roman" w:hAnsi="Arial" w:cs="Arial"/>
        </w:rPr>
      </w:pPr>
    </w:p>
    <w:p w14:paraId="4443BA88" w14:textId="77777777" w:rsidR="005F1BEC" w:rsidRPr="005F1BEC" w:rsidRDefault="005F1BEC" w:rsidP="005F1BEC">
      <w:pPr>
        <w:jc w:val="both"/>
        <w:rPr>
          <w:rFonts w:ascii="Arial" w:eastAsia="Times New Roman" w:hAnsi="Arial" w:cs="Arial"/>
        </w:rPr>
      </w:pPr>
    </w:p>
    <w:p w14:paraId="7557C78C" w14:textId="77777777" w:rsidR="005F1BEC" w:rsidRPr="005F1BEC" w:rsidRDefault="005F1BEC" w:rsidP="005F1BEC">
      <w:pPr>
        <w:jc w:val="both"/>
        <w:rPr>
          <w:rFonts w:ascii="Arial" w:eastAsia="Times New Roman" w:hAnsi="Arial" w:cs="Arial"/>
        </w:rPr>
      </w:pPr>
    </w:p>
    <w:p w14:paraId="438F4563" w14:textId="2845AE96" w:rsidR="005F1BEC" w:rsidRPr="005F1BEC" w:rsidRDefault="005F1BEC" w:rsidP="005F1BEC">
      <w:pPr>
        <w:widowControl w:val="0"/>
        <w:autoSpaceDE w:val="0"/>
        <w:autoSpaceDN w:val="0"/>
        <w:jc w:val="both"/>
        <w:rPr>
          <w:rFonts w:ascii="Arial" w:eastAsia="Times New Roman" w:hAnsi="Arial" w:cs="Arial"/>
          <w:bCs/>
        </w:rPr>
      </w:pPr>
      <w:r w:rsidRPr="005F1BEC">
        <w:rPr>
          <w:rFonts w:ascii="Arial" w:eastAsia="Times New Roman" w:hAnsi="Arial" w:cs="Arial"/>
        </w:rPr>
        <w:t>Table 1</w:t>
      </w:r>
      <w:r w:rsidR="003733BF">
        <w:rPr>
          <w:rFonts w:ascii="Arial" w:eastAsia="Times New Roman" w:hAnsi="Arial" w:cs="Arial"/>
        </w:rPr>
        <w:t>6</w:t>
      </w:r>
      <w:r w:rsidRPr="005F1BEC">
        <w:rPr>
          <w:rFonts w:ascii="Arial" w:eastAsia="Times New Roman" w:hAnsi="Arial" w:cs="Arial"/>
        </w:rPr>
        <w:t>.</w:t>
      </w:r>
      <w:r w:rsidRPr="005F1BEC">
        <w:rPr>
          <w:rFonts w:ascii="Arial" w:eastAsia="Times New Roman" w:hAnsi="Arial" w:cs="Arial"/>
          <w:b/>
          <w:bCs/>
        </w:rPr>
        <w:t xml:space="preserve"> </w:t>
      </w:r>
      <w:r w:rsidRPr="005F1BEC">
        <w:rPr>
          <w:rFonts w:ascii="Arial" w:eastAsia="Times New Roman" w:hAnsi="Arial" w:cs="Arial"/>
          <w:bCs/>
          <w:iCs/>
        </w:rPr>
        <w:t>Significant differences in employer feedback based on demographics (age).</w:t>
      </w:r>
    </w:p>
    <w:tbl>
      <w:tblPr>
        <w:tblW w:w="8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15"/>
        <w:gridCol w:w="1569"/>
        <w:gridCol w:w="1207"/>
        <w:gridCol w:w="1507"/>
        <w:gridCol w:w="1241"/>
        <w:gridCol w:w="1418"/>
      </w:tblGrid>
      <w:tr w:rsidR="005F1BEC" w:rsidRPr="005F1BEC" w14:paraId="05EC5FBA" w14:textId="77777777" w:rsidTr="0037632B">
        <w:trPr>
          <w:cantSplit/>
          <w:trHeight w:val="387"/>
        </w:trPr>
        <w:tc>
          <w:tcPr>
            <w:tcW w:w="1815" w:type="dxa"/>
            <w:tcBorders>
              <w:top w:val="single" w:sz="4" w:space="0" w:color="auto"/>
              <w:left w:val="nil"/>
              <w:bottom w:val="single" w:sz="4" w:space="0" w:color="auto"/>
              <w:right w:val="nil"/>
            </w:tcBorders>
            <w:shd w:val="clear" w:color="auto" w:fill="FFFFFF"/>
            <w:vAlign w:val="center"/>
          </w:tcPr>
          <w:p w14:paraId="6A65C6CC" w14:textId="77777777" w:rsidR="005F1BEC" w:rsidRPr="005F1BEC" w:rsidRDefault="005F1BEC" w:rsidP="005F1BEC">
            <w:pPr>
              <w:autoSpaceDE w:val="0"/>
              <w:autoSpaceDN w:val="0"/>
              <w:adjustRightInd w:val="0"/>
              <w:jc w:val="both"/>
              <w:rPr>
                <w:rFonts w:ascii="Arial" w:eastAsia="DengXian" w:hAnsi="Arial" w:cs="Arial"/>
              </w:rPr>
            </w:pPr>
          </w:p>
        </w:tc>
        <w:tc>
          <w:tcPr>
            <w:tcW w:w="1569" w:type="dxa"/>
            <w:tcBorders>
              <w:top w:val="single" w:sz="4" w:space="0" w:color="auto"/>
              <w:left w:val="nil"/>
              <w:bottom w:val="single" w:sz="4" w:space="0" w:color="auto"/>
              <w:right w:val="nil"/>
            </w:tcBorders>
            <w:shd w:val="clear" w:color="auto" w:fill="FFFFFF"/>
            <w:vAlign w:val="center"/>
          </w:tcPr>
          <w:p w14:paraId="5D886629"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Sum of Squares</w:t>
            </w:r>
          </w:p>
        </w:tc>
        <w:tc>
          <w:tcPr>
            <w:tcW w:w="1207" w:type="dxa"/>
            <w:tcBorders>
              <w:top w:val="single" w:sz="4" w:space="0" w:color="auto"/>
              <w:left w:val="nil"/>
              <w:bottom w:val="single" w:sz="4" w:space="0" w:color="auto"/>
              <w:right w:val="nil"/>
            </w:tcBorders>
            <w:shd w:val="clear" w:color="auto" w:fill="FFFFFF"/>
            <w:vAlign w:val="center"/>
          </w:tcPr>
          <w:p w14:paraId="54C41BDE"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df</w:t>
            </w:r>
          </w:p>
        </w:tc>
        <w:tc>
          <w:tcPr>
            <w:tcW w:w="1507" w:type="dxa"/>
            <w:tcBorders>
              <w:top w:val="single" w:sz="4" w:space="0" w:color="auto"/>
              <w:left w:val="nil"/>
              <w:bottom w:val="single" w:sz="4" w:space="0" w:color="auto"/>
              <w:right w:val="nil"/>
            </w:tcBorders>
            <w:shd w:val="clear" w:color="auto" w:fill="FFFFFF"/>
            <w:vAlign w:val="center"/>
          </w:tcPr>
          <w:p w14:paraId="026DFFD9"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Mean Square</w:t>
            </w:r>
          </w:p>
        </w:tc>
        <w:tc>
          <w:tcPr>
            <w:tcW w:w="1241" w:type="dxa"/>
            <w:tcBorders>
              <w:top w:val="single" w:sz="4" w:space="0" w:color="auto"/>
              <w:left w:val="nil"/>
              <w:bottom w:val="single" w:sz="4" w:space="0" w:color="auto"/>
              <w:right w:val="nil"/>
            </w:tcBorders>
            <w:shd w:val="clear" w:color="auto" w:fill="FFFFFF"/>
            <w:vAlign w:val="center"/>
          </w:tcPr>
          <w:p w14:paraId="50FCE665"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F</w:t>
            </w:r>
          </w:p>
        </w:tc>
        <w:tc>
          <w:tcPr>
            <w:tcW w:w="1418" w:type="dxa"/>
            <w:tcBorders>
              <w:top w:val="single" w:sz="4" w:space="0" w:color="auto"/>
              <w:left w:val="nil"/>
              <w:bottom w:val="single" w:sz="4" w:space="0" w:color="auto"/>
              <w:right w:val="nil"/>
            </w:tcBorders>
            <w:shd w:val="clear" w:color="auto" w:fill="FFFFFF"/>
            <w:vAlign w:val="center"/>
          </w:tcPr>
          <w:p w14:paraId="111FA43D"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Sig.</w:t>
            </w:r>
          </w:p>
        </w:tc>
      </w:tr>
      <w:tr w:rsidR="005F1BEC" w:rsidRPr="005F1BEC" w14:paraId="194FE802" w14:textId="77777777" w:rsidTr="0037632B">
        <w:trPr>
          <w:cantSplit/>
          <w:trHeight w:val="387"/>
        </w:trPr>
        <w:tc>
          <w:tcPr>
            <w:tcW w:w="1815" w:type="dxa"/>
            <w:tcBorders>
              <w:top w:val="single" w:sz="4" w:space="0" w:color="auto"/>
              <w:left w:val="nil"/>
              <w:bottom w:val="single" w:sz="4" w:space="0" w:color="auto"/>
              <w:right w:val="nil"/>
            </w:tcBorders>
            <w:shd w:val="clear" w:color="auto" w:fill="FFFFFF"/>
          </w:tcPr>
          <w:p w14:paraId="58211273" w14:textId="77777777" w:rsidR="005F1BEC" w:rsidRPr="005F1BEC" w:rsidRDefault="005F1BEC" w:rsidP="005F1BEC">
            <w:pPr>
              <w:autoSpaceDE w:val="0"/>
              <w:autoSpaceDN w:val="0"/>
              <w:adjustRightInd w:val="0"/>
              <w:jc w:val="both"/>
              <w:rPr>
                <w:rFonts w:ascii="Arial" w:eastAsia="DengXian" w:hAnsi="Arial" w:cs="Arial"/>
                <w:color w:val="000000"/>
              </w:rPr>
            </w:pPr>
            <w:r w:rsidRPr="005F1BEC">
              <w:rPr>
                <w:rFonts w:ascii="Arial" w:eastAsia="DengXian" w:hAnsi="Arial" w:cs="Arial"/>
                <w:color w:val="000000"/>
              </w:rPr>
              <w:t>Between Groups</w:t>
            </w:r>
          </w:p>
        </w:tc>
        <w:tc>
          <w:tcPr>
            <w:tcW w:w="1569" w:type="dxa"/>
            <w:tcBorders>
              <w:top w:val="single" w:sz="4" w:space="0" w:color="auto"/>
              <w:left w:val="nil"/>
              <w:bottom w:val="single" w:sz="4" w:space="0" w:color="auto"/>
              <w:right w:val="nil"/>
            </w:tcBorders>
            <w:shd w:val="clear" w:color="auto" w:fill="FFFFFF"/>
            <w:vAlign w:val="center"/>
          </w:tcPr>
          <w:p w14:paraId="07CDA23E"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0.079</w:t>
            </w:r>
          </w:p>
        </w:tc>
        <w:tc>
          <w:tcPr>
            <w:tcW w:w="1207" w:type="dxa"/>
            <w:tcBorders>
              <w:top w:val="single" w:sz="4" w:space="0" w:color="auto"/>
              <w:left w:val="nil"/>
              <w:bottom w:val="single" w:sz="4" w:space="0" w:color="auto"/>
              <w:right w:val="nil"/>
            </w:tcBorders>
            <w:shd w:val="clear" w:color="auto" w:fill="FFFFFF"/>
            <w:vAlign w:val="center"/>
          </w:tcPr>
          <w:p w14:paraId="76D5DD8A"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3</w:t>
            </w:r>
          </w:p>
        </w:tc>
        <w:tc>
          <w:tcPr>
            <w:tcW w:w="1507" w:type="dxa"/>
            <w:tcBorders>
              <w:top w:val="single" w:sz="4" w:space="0" w:color="auto"/>
              <w:left w:val="nil"/>
              <w:bottom w:val="single" w:sz="4" w:space="0" w:color="auto"/>
              <w:right w:val="nil"/>
            </w:tcBorders>
            <w:shd w:val="clear" w:color="auto" w:fill="FFFFFF"/>
            <w:vAlign w:val="center"/>
          </w:tcPr>
          <w:p w14:paraId="05A1001B"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0.026</w:t>
            </w:r>
          </w:p>
        </w:tc>
        <w:tc>
          <w:tcPr>
            <w:tcW w:w="1241" w:type="dxa"/>
            <w:tcBorders>
              <w:top w:val="single" w:sz="4" w:space="0" w:color="auto"/>
              <w:left w:val="nil"/>
              <w:bottom w:val="single" w:sz="4" w:space="0" w:color="auto"/>
              <w:right w:val="nil"/>
            </w:tcBorders>
            <w:shd w:val="clear" w:color="auto" w:fill="FFFFFF"/>
            <w:vAlign w:val="center"/>
          </w:tcPr>
          <w:p w14:paraId="0C8DC0C9"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0.197</w:t>
            </w:r>
          </w:p>
        </w:tc>
        <w:tc>
          <w:tcPr>
            <w:tcW w:w="1418" w:type="dxa"/>
            <w:tcBorders>
              <w:top w:val="single" w:sz="4" w:space="0" w:color="auto"/>
              <w:left w:val="nil"/>
              <w:bottom w:val="single" w:sz="4" w:space="0" w:color="auto"/>
              <w:right w:val="nil"/>
            </w:tcBorders>
            <w:shd w:val="clear" w:color="auto" w:fill="FFFFFF"/>
            <w:vAlign w:val="center"/>
          </w:tcPr>
          <w:p w14:paraId="3529A29B"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0.898</w:t>
            </w:r>
          </w:p>
        </w:tc>
      </w:tr>
      <w:tr w:rsidR="005F1BEC" w:rsidRPr="005F1BEC" w14:paraId="35F70CD4" w14:textId="77777777" w:rsidTr="0037632B">
        <w:trPr>
          <w:cantSplit/>
          <w:trHeight w:val="245"/>
        </w:trPr>
        <w:tc>
          <w:tcPr>
            <w:tcW w:w="1815" w:type="dxa"/>
            <w:tcBorders>
              <w:top w:val="single" w:sz="4" w:space="0" w:color="auto"/>
              <w:left w:val="nil"/>
              <w:bottom w:val="single" w:sz="4" w:space="0" w:color="auto"/>
              <w:right w:val="nil"/>
            </w:tcBorders>
            <w:shd w:val="clear" w:color="auto" w:fill="FFFFFF"/>
          </w:tcPr>
          <w:p w14:paraId="29844415" w14:textId="77777777" w:rsidR="005F1BEC" w:rsidRPr="005F1BEC" w:rsidRDefault="005F1BEC" w:rsidP="005F1BEC">
            <w:pPr>
              <w:autoSpaceDE w:val="0"/>
              <w:autoSpaceDN w:val="0"/>
              <w:adjustRightInd w:val="0"/>
              <w:jc w:val="both"/>
              <w:rPr>
                <w:rFonts w:ascii="Arial" w:eastAsia="DengXian" w:hAnsi="Arial" w:cs="Arial"/>
                <w:color w:val="000000"/>
              </w:rPr>
            </w:pPr>
            <w:r w:rsidRPr="005F1BEC">
              <w:rPr>
                <w:rFonts w:ascii="Arial" w:eastAsia="DengXian" w:hAnsi="Arial" w:cs="Arial"/>
                <w:color w:val="000000"/>
              </w:rPr>
              <w:t>Within Groups</w:t>
            </w:r>
          </w:p>
        </w:tc>
        <w:tc>
          <w:tcPr>
            <w:tcW w:w="1569" w:type="dxa"/>
            <w:tcBorders>
              <w:top w:val="single" w:sz="4" w:space="0" w:color="auto"/>
              <w:left w:val="nil"/>
              <w:bottom w:val="single" w:sz="4" w:space="0" w:color="auto"/>
              <w:right w:val="nil"/>
            </w:tcBorders>
            <w:shd w:val="clear" w:color="auto" w:fill="FFFFFF"/>
            <w:vAlign w:val="center"/>
          </w:tcPr>
          <w:p w14:paraId="5234ABAD"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4.418</w:t>
            </w:r>
          </w:p>
        </w:tc>
        <w:tc>
          <w:tcPr>
            <w:tcW w:w="1207" w:type="dxa"/>
            <w:tcBorders>
              <w:top w:val="single" w:sz="4" w:space="0" w:color="auto"/>
              <w:left w:val="nil"/>
              <w:bottom w:val="single" w:sz="4" w:space="0" w:color="auto"/>
              <w:right w:val="nil"/>
            </w:tcBorders>
            <w:shd w:val="clear" w:color="auto" w:fill="FFFFFF"/>
            <w:vAlign w:val="center"/>
          </w:tcPr>
          <w:p w14:paraId="49AAE1B7"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33</w:t>
            </w:r>
          </w:p>
        </w:tc>
        <w:tc>
          <w:tcPr>
            <w:tcW w:w="1507" w:type="dxa"/>
            <w:tcBorders>
              <w:top w:val="single" w:sz="4" w:space="0" w:color="auto"/>
              <w:left w:val="nil"/>
              <w:bottom w:val="single" w:sz="4" w:space="0" w:color="auto"/>
              <w:right w:val="nil"/>
            </w:tcBorders>
            <w:shd w:val="clear" w:color="auto" w:fill="FFFFFF"/>
            <w:vAlign w:val="center"/>
          </w:tcPr>
          <w:p w14:paraId="3BA20977"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0.134</w:t>
            </w:r>
          </w:p>
        </w:tc>
        <w:tc>
          <w:tcPr>
            <w:tcW w:w="1241" w:type="dxa"/>
            <w:tcBorders>
              <w:top w:val="single" w:sz="4" w:space="0" w:color="auto"/>
              <w:left w:val="nil"/>
              <w:bottom w:val="single" w:sz="4" w:space="0" w:color="auto"/>
              <w:right w:val="nil"/>
            </w:tcBorders>
            <w:shd w:val="clear" w:color="auto" w:fill="FFFFFF"/>
            <w:vAlign w:val="center"/>
          </w:tcPr>
          <w:p w14:paraId="5251E7DB" w14:textId="77777777" w:rsidR="005F1BEC" w:rsidRPr="005F1BEC" w:rsidRDefault="005F1BEC" w:rsidP="005F1BEC">
            <w:pPr>
              <w:autoSpaceDE w:val="0"/>
              <w:autoSpaceDN w:val="0"/>
              <w:adjustRightInd w:val="0"/>
              <w:jc w:val="center"/>
              <w:rPr>
                <w:rFonts w:ascii="Arial" w:eastAsia="DengXian" w:hAnsi="Arial" w:cs="Arial"/>
              </w:rPr>
            </w:pPr>
          </w:p>
        </w:tc>
        <w:tc>
          <w:tcPr>
            <w:tcW w:w="1418" w:type="dxa"/>
            <w:tcBorders>
              <w:top w:val="single" w:sz="4" w:space="0" w:color="auto"/>
              <w:left w:val="nil"/>
              <w:bottom w:val="single" w:sz="4" w:space="0" w:color="auto"/>
              <w:right w:val="nil"/>
            </w:tcBorders>
            <w:shd w:val="clear" w:color="auto" w:fill="FFFFFF"/>
            <w:vAlign w:val="center"/>
          </w:tcPr>
          <w:p w14:paraId="2B389D4B" w14:textId="77777777" w:rsidR="005F1BEC" w:rsidRPr="005F1BEC" w:rsidRDefault="005F1BEC" w:rsidP="005F1BEC">
            <w:pPr>
              <w:autoSpaceDE w:val="0"/>
              <w:autoSpaceDN w:val="0"/>
              <w:adjustRightInd w:val="0"/>
              <w:jc w:val="center"/>
              <w:rPr>
                <w:rFonts w:ascii="Arial" w:eastAsia="DengXian" w:hAnsi="Arial" w:cs="Arial"/>
              </w:rPr>
            </w:pPr>
          </w:p>
        </w:tc>
      </w:tr>
      <w:tr w:rsidR="005F1BEC" w:rsidRPr="005F1BEC" w14:paraId="405FFFF9" w14:textId="77777777" w:rsidTr="0037632B">
        <w:trPr>
          <w:cantSplit/>
          <w:trHeight w:val="276"/>
        </w:trPr>
        <w:tc>
          <w:tcPr>
            <w:tcW w:w="1815" w:type="dxa"/>
            <w:tcBorders>
              <w:top w:val="single" w:sz="4" w:space="0" w:color="auto"/>
              <w:left w:val="nil"/>
              <w:bottom w:val="single" w:sz="4" w:space="0" w:color="auto"/>
              <w:right w:val="nil"/>
            </w:tcBorders>
            <w:shd w:val="clear" w:color="auto" w:fill="FFFFFF"/>
          </w:tcPr>
          <w:p w14:paraId="61B3FEE6" w14:textId="77777777" w:rsidR="005F1BEC" w:rsidRPr="005F1BEC" w:rsidRDefault="005F1BEC" w:rsidP="005F1BEC">
            <w:pPr>
              <w:autoSpaceDE w:val="0"/>
              <w:autoSpaceDN w:val="0"/>
              <w:adjustRightInd w:val="0"/>
              <w:jc w:val="both"/>
              <w:rPr>
                <w:rFonts w:ascii="Arial" w:eastAsia="DengXian" w:hAnsi="Arial" w:cs="Arial"/>
                <w:color w:val="000000"/>
              </w:rPr>
            </w:pPr>
            <w:r w:rsidRPr="005F1BEC">
              <w:rPr>
                <w:rFonts w:ascii="Arial" w:eastAsia="DengXian" w:hAnsi="Arial" w:cs="Arial"/>
                <w:color w:val="000000"/>
              </w:rPr>
              <w:t>Total</w:t>
            </w:r>
          </w:p>
        </w:tc>
        <w:tc>
          <w:tcPr>
            <w:tcW w:w="1569" w:type="dxa"/>
            <w:tcBorders>
              <w:top w:val="single" w:sz="4" w:space="0" w:color="auto"/>
              <w:left w:val="nil"/>
              <w:bottom w:val="single" w:sz="4" w:space="0" w:color="auto"/>
              <w:right w:val="nil"/>
            </w:tcBorders>
            <w:shd w:val="clear" w:color="auto" w:fill="FFFFFF"/>
            <w:vAlign w:val="center"/>
          </w:tcPr>
          <w:p w14:paraId="5146AE3F"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4.497</w:t>
            </w:r>
          </w:p>
        </w:tc>
        <w:tc>
          <w:tcPr>
            <w:tcW w:w="1207" w:type="dxa"/>
            <w:tcBorders>
              <w:top w:val="single" w:sz="4" w:space="0" w:color="auto"/>
              <w:left w:val="nil"/>
              <w:bottom w:val="single" w:sz="4" w:space="0" w:color="auto"/>
              <w:right w:val="nil"/>
            </w:tcBorders>
            <w:shd w:val="clear" w:color="auto" w:fill="FFFFFF"/>
            <w:vAlign w:val="center"/>
          </w:tcPr>
          <w:p w14:paraId="1F9787EC"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DengXian" w:hAnsi="Arial" w:cs="Arial"/>
                <w:color w:val="000000"/>
              </w:rPr>
              <w:t>36</w:t>
            </w:r>
          </w:p>
        </w:tc>
        <w:tc>
          <w:tcPr>
            <w:tcW w:w="1507" w:type="dxa"/>
            <w:tcBorders>
              <w:top w:val="single" w:sz="4" w:space="0" w:color="auto"/>
              <w:left w:val="nil"/>
              <w:bottom w:val="single" w:sz="4" w:space="0" w:color="auto"/>
              <w:right w:val="nil"/>
            </w:tcBorders>
            <w:shd w:val="clear" w:color="auto" w:fill="FFFFFF"/>
            <w:vAlign w:val="center"/>
          </w:tcPr>
          <w:p w14:paraId="134624D4" w14:textId="77777777" w:rsidR="005F1BEC" w:rsidRPr="005F1BEC" w:rsidRDefault="005F1BEC" w:rsidP="005F1BEC">
            <w:pPr>
              <w:autoSpaceDE w:val="0"/>
              <w:autoSpaceDN w:val="0"/>
              <w:adjustRightInd w:val="0"/>
              <w:jc w:val="center"/>
              <w:rPr>
                <w:rFonts w:ascii="Arial" w:eastAsia="DengXian" w:hAnsi="Arial" w:cs="Arial"/>
              </w:rPr>
            </w:pPr>
          </w:p>
        </w:tc>
        <w:tc>
          <w:tcPr>
            <w:tcW w:w="1241" w:type="dxa"/>
            <w:tcBorders>
              <w:top w:val="single" w:sz="4" w:space="0" w:color="auto"/>
              <w:left w:val="nil"/>
              <w:bottom w:val="single" w:sz="4" w:space="0" w:color="auto"/>
              <w:right w:val="nil"/>
            </w:tcBorders>
            <w:shd w:val="clear" w:color="auto" w:fill="FFFFFF"/>
            <w:vAlign w:val="center"/>
          </w:tcPr>
          <w:p w14:paraId="04FFA66C" w14:textId="77777777" w:rsidR="005F1BEC" w:rsidRPr="005F1BEC" w:rsidRDefault="005F1BEC" w:rsidP="005F1BEC">
            <w:pPr>
              <w:autoSpaceDE w:val="0"/>
              <w:autoSpaceDN w:val="0"/>
              <w:adjustRightInd w:val="0"/>
              <w:jc w:val="center"/>
              <w:rPr>
                <w:rFonts w:ascii="Arial" w:eastAsia="DengXian" w:hAnsi="Arial" w:cs="Arial"/>
              </w:rPr>
            </w:pPr>
          </w:p>
        </w:tc>
        <w:tc>
          <w:tcPr>
            <w:tcW w:w="1418" w:type="dxa"/>
            <w:tcBorders>
              <w:top w:val="single" w:sz="4" w:space="0" w:color="auto"/>
              <w:left w:val="nil"/>
              <w:bottom w:val="single" w:sz="4" w:space="0" w:color="auto"/>
              <w:right w:val="nil"/>
            </w:tcBorders>
            <w:shd w:val="clear" w:color="auto" w:fill="FFFFFF"/>
            <w:vAlign w:val="center"/>
          </w:tcPr>
          <w:p w14:paraId="5EA022B2" w14:textId="77777777" w:rsidR="005F1BEC" w:rsidRPr="005F1BEC" w:rsidRDefault="005F1BEC" w:rsidP="005F1BEC">
            <w:pPr>
              <w:autoSpaceDE w:val="0"/>
              <w:autoSpaceDN w:val="0"/>
              <w:adjustRightInd w:val="0"/>
              <w:jc w:val="center"/>
              <w:rPr>
                <w:rFonts w:ascii="Arial" w:eastAsia="DengXian" w:hAnsi="Arial" w:cs="Arial"/>
              </w:rPr>
            </w:pPr>
          </w:p>
        </w:tc>
      </w:tr>
    </w:tbl>
    <w:p w14:paraId="3DEBD038" w14:textId="77777777" w:rsidR="005F1BEC" w:rsidRPr="005F1BEC" w:rsidRDefault="005F1BEC" w:rsidP="005F1BEC">
      <w:pPr>
        <w:rPr>
          <w:rFonts w:ascii="Arial" w:eastAsia="DengXian" w:hAnsi="Arial" w:cs="Arial"/>
        </w:rPr>
      </w:pPr>
    </w:p>
    <w:p w14:paraId="4AC98342" w14:textId="77777777" w:rsidR="002200F1" w:rsidRDefault="002200F1" w:rsidP="005F1BEC">
      <w:pPr>
        <w:jc w:val="both"/>
        <w:rPr>
          <w:rFonts w:ascii="Arial" w:eastAsia="Times New Roman" w:hAnsi="Arial" w:cs="Arial"/>
        </w:rPr>
      </w:pPr>
      <w:r w:rsidRPr="002200F1">
        <w:rPr>
          <w:rFonts w:ascii="Arial" w:eastAsia="Times New Roman" w:hAnsi="Arial" w:cs="Arial"/>
        </w:rPr>
        <w:t xml:space="preserve">Similarly, </w:t>
      </w:r>
      <w:proofErr w:type="spellStart"/>
      <w:r w:rsidRPr="002200F1">
        <w:rPr>
          <w:rFonts w:ascii="Arial" w:eastAsia="Times New Roman" w:hAnsi="Arial" w:cs="Arial"/>
        </w:rPr>
        <w:t>Salendab</w:t>
      </w:r>
      <w:proofErr w:type="spellEnd"/>
      <w:r w:rsidRPr="002200F1">
        <w:rPr>
          <w:rFonts w:ascii="Arial" w:eastAsia="Times New Roman" w:hAnsi="Arial" w:cs="Arial"/>
        </w:rPr>
        <w:t xml:space="preserve"> and </w:t>
      </w:r>
      <w:proofErr w:type="spellStart"/>
      <w:r w:rsidRPr="002200F1">
        <w:rPr>
          <w:rFonts w:ascii="Arial" w:eastAsia="Times New Roman" w:hAnsi="Arial" w:cs="Arial"/>
        </w:rPr>
        <w:t>Ocariza-Salendab</w:t>
      </w:r>
      <w:proofErr w:type="spellEnd"/>
      <w:r w:rsidRPr="002200F1">
        <w:rPr>
          <w:rFonts w:ascii="Arial" w:eastAsia="Times New Roman" w:hAnsi="Arial" w:cs="Arial"/>
        </w:rPr>
        <w:t xml:space="preserve"> (2023) found no significant differences in employer feedback based on demographics, including age, in evaluating BEED graduates. </w:t>
      </w:r>
      <w:proofErr w:type="spellStart"/>
      <w:r w:rsidRPr="002200F1">
        <w:rPr>
          <w:rFonts w:ascii="Arial" w:eastAsia="Times New Roman" w:hAnsi="Arial" w:cs="Arial"/>
        </w:rPr>
        <w:t>Gaytos</w:t>
      </w:r>
      <w:proofErr w:type="spellEnd"/>
      <w:r w:rsidRPr="002200F1">
        <w:rPr>
          <w:rFonts w:ascii="Arial" w:eastAsia="Times New Roman" w:hAnsi="Arial" w:cs="Arial"/>
        </w:rPr>
        <w:t xml:space="preserve"> et al. (2023) also noted consistent perceptions across age groups, suggesting that professional standards are upheld regardless of evaluator age.</w:t>
      </w:r>
    </w:p>
    <w:p w14:paraId="60699637" w14:textId="77777777" w:rsidR="002200F1" w:rsidRDefault="002200F1" w:rsidP="005F1BEC">
      <w:pPr>
        <w:jc w:val="both"/>
        <w:rPr>
          <w:rFonts w:ascii="Arial" w:eastAsia="Times New Roman" w:hAnsi="Arial" w:cs="Arial"/>
        </w:rPr>
      </w:pPr>
    </w:p>
    <w:p w14:paraId="7EF7FB47" w14:textId="4104637D" w:rsidR="005F1BEC" w:rsidRPr="005F1BEC" w:rsidRDefault="005F1BEC" w:rsidP="005F1BEC">
      <w:pPr>
        <w:jc w:val="both"/>
        <w:rPr>
          <w:rFonts w:ascii="Arial" w:eastAsia="Times New Roman" w:hAnsi="Arial" w:cs="Arial"/>
          <w:b/>
          <w:bCs/>
        </w:rPr>
      </w:pPr>
      <w:r w:rsidRPr="005F1BEC">
        <w:rPr>
          <w:rFonts w:ascii="Arial" w:eastAsia="Times New Roman" w:hAnsi="Arial" w:cs="Arial"/>
          <w:b/>
          <w:bCs/>
        </w:rPr>
        <w:t>Differences in Employer Feedback in Terms of Gender</w:t>
      </w:r>
    </w:p>
    <w:p w14:paraId="0A6FD5FF" w14:textId="40967FAD" w:rsidR="005F1BEC" w:rsidRPr="005F1BEC" w:rsidRDefault="005F1BEC" w:rsidP="005F1BEC">
      <w:pPr>
        <w:ind w:firstLine="720"/>
        <w:jc w:val="both"/>
        <w:rPr>
          <w:rFonts w:ascii="Arial" w:eastAsia="Times New Roman" w:hAnsi="Arial" w:cs="Arial"/>
          <w:bCs/>
        </w:rPr>
      </w:pPr>
      <w:r w:rsidRPr="005F1BEC">
        <w:rPr>
          <w:rFonts w:ascii="Arial" w:eastAsia="Times New Roman" w:hAnsi="Arial" w:cs="Arial"/>
          <w:bCs/>
        </w:rPr>
        <w:t xml:space="preserve">Table </w:t>
      </w:r>
      <w:r w:rsidR="003733BF">
        <w:rPr>
          <w:rFonts w:ascii="Arial" w:eastAsia="Times New Roman" w:hAnsi="Arial" w:cs="Arial"/>
          <w:bCs/>
        </w:rPr>
        <w:t>17</w:t>
      </w:r>
      <w:r w:rsidRPr="005F1BEC">
        <w:rPr>
          <w:rFonts w:ascii="Arial" w:eastAsia="Times New Roman" w:hAnsi="Arial" w:cs="Arial"/>
          <w:bCs/>
        </w:rPr>
        <w:t xml:space="preserve"> shows that, using a t-test, the result (t = 0.436, p = .666) indicates no statistically significant difference in graduate performance evaluation scores between the male and female groups. This suggests that gender does not influence employer perception of BEED graduates' teaching competencies. </w:t>
      </w:r>
    </w:p>
    <w:p w14:paraId="7F714D35" w14:textId="5A05F508" w:rsidR="005F1BEC" w:rsidRPr="005F1BEC" w:rsidRDefault="005F1BEC" w:rsidP="005F1BEC">
      <w:pPr>
        <w:jc w:val="both"/>
        <w:rPr>
          <w:rFonts w:ascii="Arial" w:eastAsia="Times New Roman" w:hAnsi="Arial" w:cs="Arial"/>
          <w:b/>
          <w:bCs/>
          <w:iCs/>
        </w:rPr>
      </w:pPr>
      <w:r w:rsidRPr="005F1BEC">
        <w:rPr>
          <w:rFonts w:ascii="Arial" w:eastAsia="Times New Roman" w:hAnsi="Arial" w:cs="Arial"/>
          <w:lang w:bidi="ar"/>
        </w:rPr>
        <w:t xml:space="preserve">Table </w:t>
      </w:r>
      <w:r w:rsidR="003733BF">
        <w:rPr>
          <w:rFonts w:ascii="Arial" w:eastAsia="Times New Roman" w:hAnsi="Arial" w:cs="Arial"/>
          <w:lang w:bidi="ar"/>
        </w:rPr>
        <w:t>17</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Significant differences in employer feedback based on demographics (gender).</w:t>
      </w:r>
    </w:p>
    <w:tbl>
      <w:tblPr>
        <w:tblW w:w="8779" w:type="dxa"/>
        <w:tblInd w:w="93" w:type="dxa"/>
        <w:tblLook w:val="04A0" w:firstRow="1" w:lastRow="0" w:firstColumn="1" w:lastColumn="0" w:noHBand="0" w:noVBand="1"/>
      </w:tblPr>
      <w:tblGrid>
        <w:gridCol w:w="1542"/>
        <w:gridCol w:w="792"/>
        <w:gridCol w:w="922"/>
        <w:gridCol w:w="843"/>
        <w:gridCol w:w="1270"/>
        <w:gridCol w:w="1270"/>
        <w:gridCol w:w="1106"/>
        <w:gridCol w:w="1034"/>
      </w:tblGrid>
      <w:tr w:rsidR="005F1BEC" w:rsidRPr="005F1BEC" w14:paraId="7757E095" w14:textId="77777777" w:rsidTr="0037632B">
        <w:trPr>
          <w:trHeight w:val="365"/>
        </w:trPr>
        <w:tc>
          <w:tcPr>
            <w:tcW w:w="1542" w:type="dxa"/>
            <w:vMerge w:val="restart"/>
            <w:tcBorders>
              <w:top w:val="single" w:sz="4" w:space="0" w:color="auto"/>
              <w:left w:val="nil"/>
              <w:bottom w:val="single" w:sz="4" w:space="0" w:color="auto"/>
              <w:right w:val="nil"/>
            </w:tcBorders>
            <w:vAlign w:val="bottom"/>
          </w:tcPr>
          <w:p w14:paraId="38ABE596"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 </w:t>
            </w:r>
          </w:p>
        </w:tc>
        <w:tc>
          <w:tcPr>
            <w:tcW w:w="7237" w:type="dxa"/>
            <w:gridSpan w:val="7"/>
            <w:tcBorders>
              <w:top w:val="single" w:sz="4" w:space="0" w:color="auto"/>
              <w:left w:val="nil"/>
              <w:bottom w:val="single" w:sz="4" w:space="0" w:color="auto"/>
              <w:right w:val="nil"/>
            </w:tcBorders>
            <w:vAlign w:val="bottom"/>
          </w:tcPr>
          <w:p w14:paraId="359384BC"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ANOVA for Equality of Means</w:t>
            </w:r>
          </w:p>
        </w:tc>
      </w:tr>
      <w:tr w:rsidR="005F1BEC" w:rsidRPr="005F1BEC" w14:paraId="6814BABA" w14:textId="77777777" w:rsidTr="0037632B">
        <w:trPr>
          <w:trHeight w:val="688"/>
        </w:trPr>
        <w:tc>
          <w:tcPr>
            <w:tcW w:w="1542" w:type="dxa"/>
            <w:vMerge/>
            <w:tcBorders>
              <w:top w:val="single" w:sz="4" w:space="0" w:color="auto"/>
              <w:left w:val="nil"/>
              <w:bottom w:val="single" w:sz="4" w:space="0" w:color="auto"/>
              <w:right w:val="nil"/>
            </w:tcBorders>
            <w:vAlign w:val="bottom"/>
          </w:tcPr>
          <w:p w14:paraId="014FAE7E" w14:textId="77777777" w:rsidR="005F1BEC" w:rsidRPr="005F1BEC" w:rsidRDefault="005F1BEC" w:rsidP="005F1BEC">
            <w:pPr>
              <w:rPr>
                <w:rFonts w:ascii="Arial" w:eastAsia="DengXian" w:hAnsi="Arial" w:cs="Arial"/>
              </w:rPr>
            </w:pPr>
          </w:p>
        </w:tc>
        <w:tc>
          <w:tcPr>
            <w:tcW w:w="792" w:type="dxa"/>
            <w:vMerge w:val="restart"/>
            <w:tcBorders>
              <w:top w:val="single" w:sz="4" w:space="0" w:color="auto"/>
              <w:left w:val="nil"/>
              <w:bottom w:val="single" w:sz="4" w:space="0" w:color="auto"/>
              <w:right w:val="nil"/>
            </w:tcBorders>
            <w:vAlign w:val="center"/>
          </w:tcPr>
          <w:p w14:paraId="68E5BCB6"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t</w:t>
            </w:r>
          </w:p>
        </w:tc>
        <w:tc>
          <w:tcPr>
            <w:tcW w:w="922" w:type="dxa"/>
            <w:vMerge w:val="restart"/>
            <w:tcBorders>
              <w:top w:val="single" w:sz="4" w:space="0" w:color="auto"/>
              <w:left w:val="nil"/>
              <w:bottom w:val="single" w:sz="4" w:space="0" w:color="auto"/>
              <w:right w:val="nil"/>
            </w:tcBorders>
            <w:vAlign w:val="center"/>
          </w:tcPr>
          <w:p w14:paraId="50858103"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df</w:t>
            </w:r>
          </w:p>
        </w:tc>
        <w:tc>
          <w:tcPr>
            <w:tcW w:w="843" w:type="dxa"/>
            <w:vMerge w:val="restart"/>
            <w:tcBorders>
              <w:top w:val="single" w:sz="4" w:space="0" w:color="auto"/>
              <w:left w:val="nil"/>
              <w:bottom w:val="single" w:sz="4" w:space="0" w:color="auto"/>
              <w:right w:val="nil"/>
            </w:tcBorders>
            <w:vAlign w:val="center"/>
          </w:tcPr>
          <w:p w14:paraId="2CB32EC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Sig. (2-tailed)</w:t>
            </w:r>
          </w:p>
        </w:tc>
        <w:tc>
          <w:tcPr>
            <w:tcW w:w="1270" w:type="dxa"/>
            <w:vMerge w:val="restart"/>
            <w:tcBorders>
              <w:top w:val="single" w:sz="4" w:space="0" w:color="auto"/>
              <w:left w:val="nil"/>
              <w:bottom w:val="single" w:sz="4" w:space="0" w:color="auto"/>
              <w:right w:val="nil"/>
            </w:tcBorders>
            <w:vAlign w:val="center"/>
          </w:tcPr>
          <w:p w14:paraId="711738B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Mean Difference</w:t>
            </w:r>
          </w:p>
        </w:tc>
        <w:tc>
          <w:tcPr>
            <w:tcW w:w="1270" w:type="dxa"/>
            <w:vMerge w:val="restart"/>
            <w:tcBorders>
              <w:top w:val="single" w:sz="4" w:space="0" w:color="auto"/>
              <w:left w:val="nil"/>
              <w:bottom w:val="single" w:sz="4" w:space="0" w:color="auto"/>
              <w:right w:val="nil"/>
            </w:tcBorders>
            <w:vAlign w:val="center"/>
          </w:tcPr>
          <w:p w14:paraId="22E811A3"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Std. Error Difference</w:t>
            </w:r>
          </w:p>
        </w:tc>
        <w:tc>
          <w:tcPr>
            <w:tcW w:w="2140" w:type="dxa"/>
            <w:gridSpan w:val="2"/>
            <w:tcBorders>
              <w:top w:val="single" w:sz="4" w:space="0" w:color="auto"/>
              <w:left w:val="nil"/>
              <w:bottom w:val="single" w:sz="4" w:space="0" w:color="auto"/>
              <w:right w:val="nil"/>
            </w:tcBorders>
            <w:vAlign w:val="center"/>
          </w:tcPr>
          <w:p w14:paraId="3BF95A9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95% Confidence Interval of the Difference</w:t>
            </w:r>
          </w:p>
        </w:tc>
      </w:tr>
      <w:tr w:rsidR="005F1BEC" w:rsidRPr="005F1BEC" w14:paraId="267CA73B" w14:textId="77777777" w:rsidTr="0037632B">
        <w:trPr>
          <w:trHeight w:val="349"/>
        </w:trPr>
        <w:tc>
          <w:tcPr>
            <w:tcW w:w="1542" w:type="dxa"/>
            <w:vMerge/>
            <w:tcBorders>
              <w:top w:val="single" w:sz="4" w:space="0" w:color="auto"/>
              <w:left w:val="nil"/>
              <w:bottom w:val="single" w:sz="4" w:space="0" w:color="auto"/>
              <w:right w:val="nil"/>
            </w:tcBorders>
            <w:vAlign w:val="bottom"/>
          </w:tcPr>
          <w:p w14:paraId="7E4C5F09" w14:textId="77777777" w:rsidR="005F1BEC" w:rsidRPr="005F1BEC" w:rsidRDefault="005F1BEC" w:rsidP="005F1BEC">
            <w:pPr>
              <w:rPr>
                <w:rFonts w:ascii="Arial" w:eastAsia="DengXian" w:hAnsi="Arial" w:cs="Arial"/>
              </w:rPr>
            </w:pPr>
          </w:p>
        </w:tc>
        <w:tc>
          <w:tcPr>
            <w:tcW w:w="792" w:type="dxa"/>
            <w:vMerge/>
            <w:tcBorders>
              <w:top w:val="single" w:sz="4" w:space="0" w:color="auto"/>
              <w:left w:val="nil"/>
              <w:bottom w:val="single" w:sz="4" w:space="0" w:color="auto"/>
              <w:right w:val="nil"/>
            </w:tcBorders>
            <w:vAlign w:val="center"/>
          </w:tcPr>
          <w:p w14:paraId="52E6EAEF" w14:textId="77777777" w:rsidR="005F1BEC" w:rsidRPr="005F1BEC" w:rsidRDefault="005F1BEC" w:rsidP="005F1BEC">
            <w:pPr>
              <w:rPr>
                <w:rFonts w:ascii="Arial" w:eastAsia="DengXian" w:hAnsi="Arial" w:cs="Arial"/>
              </w:rPr>
            </w:pPr>
          </w:p>
        </w:tc>
        <w:tc>
          <w:tcPr>
            <w:tcW w:w="922" w:type="dxa"/>
            <w:vMerge/>
            <w:tcBorders>
              <w:top w:val="single" w:sz="4" w:space="0" w:color="auto"/>
              <w:left w:val="nil"/>
              <w:bottom w:val="single" w:sz="4" w:space="0" w:color="auto"/>
              <w:right w:val="nil"/>
            </w:tcBorders>
            <w:vAlign w:val="center"/>
          </w:tcPr>
          <w:p w14:paraId="7FCFA6AA" w14:textId="77777777" w:rsidR="005F1BEC" w:rsidRPr="005F1BEC" w:rsidRDefault="005F1BEC" w:rsidP="005F1BEC">
            <w:pPr>
              <w:rPr>
                <w:rFonts w:ascii="Arial" w:eastAsia="DengXian" w:hAnsi="Arial" w:cs="Arial"/>
              </w:rPr>
            </w:pPr>
          </w:p>
        </w:tc>
        <w:tc>
          <w:tcPr>
            <w:tcW w:w="843" w:type="dxa"/>
            <w:vMerge/>
            <w:tcBorders>
              <w:top w:val="single" w:sz="4" w:space="0" w:color="auto"/>
              <w:left w:val="nil"/>
              <w:bottom w:val="single" w:sz="4" w:space="0" w:color="auto"/>
              <w:right w:val="nil"/>
            </w:tcBorders>
            <w:vAlign w:val="center"/>
          </w:tcPr>
          <w:p w14:paraId="5C39D1C6" w14:textId="77777777" w:rsidR="005F1BEC" w:rsidRPr="005F1BEC" w:rsidRDefault="005F1BEC" w:rsidP="005F1BEC">
            <w:pPr>
              <w:rPr>
                <w:rFonts w:ascii="Arial" w:eastAsia="DengXian" w:hAnsi="Arial" w:cs="Arial"/>
              </w:rPr>
            </w:pPr>
          </w:p>
        </w:tc>
        <w:tc>
          <w:tcPr>
            <w:tcW w:w="1270" w:type="dxa"/>
            <w:vMerge/>
            <w:tcBorders>
              <w:top w:val="single" w:sz="4" w:space="0" w:color="auto"/>
              <w:left w:val="nil"/>
              <w:bottom w:val="single" w:sz="4" w:space="0" w:color="auto"/>
              <w:right w:val="nil"/>
            </w:tcBorders>
            <w:vAlign w:val="center"/>
          </w:tcPr>
          <w:p w14:paraId="31318940" w14:textId="77777777" w:rsidR="005F1BEC" w:rsidRPr="005F1BEC" w:rsidRDefault="005F1BEC" w:rsidP="005F1BEC">
            <w:pPr>
              <w:rPr>
                <w:rFonts w:ascii="Arial" w:eastAsia="DengXian" w:hAnsi="Arial" w:cs="Arial"/>
              </w:rPr>
            </w:pPr>
          </w:p>
        </w:tc>
        <w:tc>
          <w:tcPr>
            <w:tcW w:w="1270" w:type="dxa"/>
            <w:vMerge/>
            <w:tcBorders>
              <w:top w:val="single" w:sz="4" w:space="0" w:color="auto"/>
              <w:left w:val="nil"/>
              <w:bottom w:val="single" w:sz="4" w:space="0" w:color="auto"/>
              <w:right w:val="nil"/>
            </w:tcBorders>
            <w:vAlign w:val="center"/>
          </w:tcPr>
          <w:p w14:paraId="546B1A71" w14:textId="77777777" w:rsidR="005F1BEC" w:rsidRPr="005F1BEC" w:rsidRDefault="005F1BEC" w:rsidP="005F1BEC">
            <w:pPr>
              <w:rPr>
                <w:rFonts w:ascii="Arial" w:eastAsia="DengXian" w:hAnsi="Arial" w:cs="Arial"/>
              </w:rPr>
            </w:pPr>
          </w:p>
        </w:tc>
        <w:tc>
          <w:tcPr>
            <w:tcW w:w="1106" w:type="dxa"/>
            <w:tcBorders>
              <w:top w:val="single" w:sz="4" w:space="0" w:color="auto"/>
              <w:left w:val="nil"/>
              <w:bottom w:val="single" w:sz="4" w:space="0" w:color="auto"/>
              <w:right w:val="nil"/>
            </w:tcBorders>
            <w:vAlign w:val="center"/>
          </w:tcPr>
          <w:p w14:paraId="2BE231C0"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Lower</w:t>
            </w:r>
          </w:p>
        </w:tc>
        <w:tc>
          <w:tcPr>
            <w:tcW w:w="1034" w:type="dxa"/>
            <w:tcBorders>
              <w:top w:val="single" w:sz="4" w:space="0" w:color="auto"/>
              <w:left w:val="nil"/>
              <w:bottom w:val="single" w:sz="4" w:space="0" w:color="auto"/>
              <w:right w:val="nil"/>
            </w:tcBorders>
            <w:vAlign w:val="center"/>
          </w:tcPr>
          <w:p w14:paraId="1F9B5E48"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Upper</w:t>
            </w:r>
          </w:p>
        </w:tc>
      </w:tr>
      <w:tr w:rsidR="005F1BEC" w:rsidRPr="005F1BEC" w14:paraId="75152B7C" w14:textId="77777777" w:rsidTr="0037632B">
        <w:trPr>
          <w:trHeight w:val="665"/>
        </w:trPr>
        <w:tc>
          <w:tcPr>
            <w:tcW w:w="1542" w:type="dxa"/>
            <w:tcBorders>
              <w:top w:val="single" w:sz="4" w:space="0" w:color="auto"/>
              <w:left w:val="nil"/>
              <w:bottom w:val="single" w:sz="4" w:space="0" w:color="auto"/>
              <w:right w:val="nil"/>
            </w:tcBorders>
            <w:vAlign w:val="center"/>
          </w:tcPr>
          <w:p w14:paraId="17284952" w14:textId="77777777" w:rsidR="005F1BEC" w:rsidRPr="005F1BEC" w:rsidRDefault="005F1BEC" w:rsidP="005F1BEC">
            <w:pPr>
              <w:jc w:val="both"/>
              <w:rPr>
                <w:rFonts w:ascii="Arial" w:eastAsia="Times New Roman" w:hAnsi="Arial" w:cs="Arial"/>
                <w:color w:val="000000"/>
              </w:rPr>
            </w:pPr>
            <w:r w:rsidRPr="005F1BEC">
              <w:rPr>
                <w:rFonts w:ascii="Arial" w:eastAsia="Times New Roman" w:hAnsi="Arial" w:cs="Arial"/>
                <w:color w:val="000000"/>
                <w:lang w:bidi="ar"/>
              </w:rPr>
              <w:t>Overall Performance</w:t>
            </w:r>
          </w:p>
        </w:tc>
        <w:tc>
          <w:tcPr>
            <w:tcW w:w="792" w:type="dxa"/>
            <w:tcBorders>
              <w:top w:val="single" w:sz="4" w:space="0" w:color="auto"/>
              <w:left w:val="nil"/>
              <w:bottom w:val="single" w:sz="4" w:space="0" w:color="auto"/>
              <w:right w:val="nil"/>
            </w:tcBorders>
            <w:noWrap/>
            <w:vAlign w:val="center"/>
          </w:tcPr>
          <w:p w14:paraId="7F917BD1"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0.436</w:t>
            </w:r>
          </w:p>
        </w:tc>
        <w:tc>
          <w:tcPr>
            <w:tcW w:w="922" w:type="dxa"/>
            <w:tcBorders>
              <w:top w:val="single" w:sz="4" w:space="0" w:color="auto"/>
              <w:left w:val="nil"/>
              <w:bottom w:val="single" w:sz="4" w:space="0" w:color="auto"/>
              <w:right w:val="nil"/>
            </w:tcBorders>
            <w:noWrap/>
            <w:vAlign w:val="center"/>
          </w:tcPr>
          <w:p w14:paraId="0B480780"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35.000</w:t>
            </w:r>
          </w:p>
        </w:tc>
        <w:tc>
          <w:tcPr>
            <w:tcW w:w="843" w:type="dxa"/>
            <w:tcBorders>
              <w:top w:val="single" w:sz="4" w:space="0" w:color="auto"/>
              <w:left w:val="nil"/>
              <w:bottom w:val="single" w:sz="4" w:space="0" w:color="auto"/>
              <w:right w:val="nil"/>
            </w:tcBorders>
            <w:noWrap/>
            <w:vAlign w:val="center"/>
          </w:tcPr>
          <w:p w14:paraId="655475A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0.666</w:t>
            </w:r>
          </w:p>
        </w:tc>
        <w:tc>
          <w:tcPr>
            <w:tcW w:w="1270" w:type="dxa"/>
            <w:tcBorders>
              <w:top w:val="single" w:sz="4" w:space="0" w:color="auto"/>
              <w:left w:val="nil"/>
              <w:bottom w:val="single" w:sz="4" w:space="0" w:color="auto"/>
              <w:right w:val="nil"/>
            </w:tcBorders>
            <w:noWrap/>
            <w:vAlign w:val="center"/>
          </w:tcPr>
          <w:p w14:paraId="7432F57D"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0.052</w:t>
            </w:r>
          </w:p>
        </w:tc>
        <w:tc>
          <w:tcPr>
            <w:tcW w:w="1270" w:type="dxa"/>
            <w:tcBorders>
              <w:top w:val="single" w:sz="4" w:space="0" w:color="auto"/>
              <w:left w:val="nil"/>
              <w:bottom w:val="single" w:sz="4" w:space="0" w:color="auto"/>
              <w:right w:val="nil"/>
            </w:tcBorders>
            <w:noWrap/>
            <w:vAlign w:val="center"/>
          </w:tcPr>
          <w:p w14:paraId="6200AA7A"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0.120</w:t>
            </w:r>
          </w:p>
        </w:tc>
        <w:tc>
          <w:tcPr>
            <w:tcW w:w="1106" w:type="dxa"/>
            <w:tcBorders>
              <w:top w:val="single" w:sz="4" w:space="0" w:color="auto"/>
              <w:left w:val="nil"/>
              <w:bottom w:val="single" w:sz="4" w:space="0" w:color="auto"/>
              <w:right w:val="nil"/>
            </w:tcBorders>
            <w:noWrap/>
            <w:vAlign w:val="center"/>
          </w:tcPr>
          <w:p w14:paraId="4E990414"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-0.191</w:t>
            </w:r>
          </w:p>
        </w:tc>
        <w:tc>
          <w:tcPr>
            <w:tcW w:w="1034" w:type="dxa"/>
            <w:tcBorders>
              <w:top w:val="single" w:sz="4" w:space="0" w:color="auto"/>
              <w:left w:val="nil"/>
              <w:bottom w:val="single" w:sz="4" w:space="0" w:color="auto"/>
              <w:right w:val="nil"/>
            </w:tcBorders>
            <w:noWrap/>
            <w:vAlign w:val="center"/>
          </w:tcPr>
          <w:p w14:paraId="5F3E5379" w14:textId="77777777" w:rsidR="005F1BEC" w:rsidRPr="005F1BEC" w:rsidRDefault="005F1BEC" w:rsidP="005F1BEC">
            <w:pPr>
              <w:jc w:val="center"/>
              <w:rPr>
                <w:rFonts w:ascii="Arial" w:eastAsia="Times New Roman" w:hAnsi="Arial" w:cs="Arial"/>
                <w:color w:val="000000"/>
              </w:rPr>
            </w:pPr>
            <w:r w:rsidRPr="005F1BEC">
              <w:rPr>
                <w:rFonts w:ascii="Arial" w:eastAsia="Times New Roman" w:hAnsi="Arial" w:cs="Arial"/>
                <w:color w:val="000000"/>
                <w:lang w:bidi="ar"/>
              </w:rPr>
              <w:t>0.295</w:t>
            </w:r>
          </w:p>
        </w:tc>
      </w:tr>
    </w:tbl>
    <w:p w14:paraId="48322EC7" w14:textId="77777777" w:rsidR="005F1BEC" w:rsidRPr="005F1BEC" w:rsidRDefault="005F1BEC" w:rsidP="005F1BEC">
      <w:pPr>
        <w:spacing w:before="100" w:beforeAutospacing="1" w:after="100" w:afterAutospacing="1"/>
        <w:ind w:firstLine="720"/>
        <w:jc w:val="both"/>
        <w:outlineLvl w:val="2"/>
        <w:rPr>
          <w:rFonts w:ascii="Arial" w:eastAsia="Times New Roman" w:hAnsi="Arial" w:cs="Arial"/>
          <w:bCs/>
        </w:rPr>
      </w:pPr>
      <w:r w:rsidRPr="005F1BEC">
        <w:rPr>
          <w:rFonts w:ascii="Arial" w:eastAsia="Times New Roman" w:hAnsi="Arial" w:cs="Arial"/>
          <w:bCs/>
        </w:rPr>
        <w:t xml:space="preserve">Supporting this, Reyes et al. (2021) found no significant gender difference in STEAM assessment and instructional competence among higher education teachers. Similarly, Pascua and Navalta (2011) reported that gender did not significantly affect English proficiency or performance in teacher licensure outcomes. In a study of BEED graduates, </w:t>
      </w:r>
      <w:proofErr w:type="spellStart"/>
      <w:r w:rsidRPr="005F1BEC">
        <w:rPr>
          <w:rFonts w:ascii="Arial" w:eastAsia="Times New Roman" w:hAnsi="Arial" w:cs="Arial"/>
          <w:bCs/>
        </w:rPr>
        <w:t>Amanonce</w:t>
      </w:r>
      <w:proofErr w:type="spellEnd"/>
      <w:r w:rsidRPr="005F1BEC">
        <w:rPr>
          <w:rFonts w:ascii="Arial" w:eastAsia="Times New Roman" w:hAnsi="Arial" w:cs="Arial"/>
          <w:bCs/>
        </w:rPr>
        <w:t xml:space="preserve"> (2020) revealed that professional success and instructional ratings were consistent across gender lines. Lastly, Panlaqui et al. (2022) applied a t-test to compare perceptions of teaching quality and reported no significant variation between male and female respondents. These findings validate the neutrality of gender in evaluating BEED graduate performance in your study.</w:t>
      </w:r>
    </w:p>
    <w:p w14:paraId="48397683" w14:textId="77777777" w:rsidR="005F1BEC" w:rsidRPr="005F1BEC" w:rsidRDefault="005F1BEC" w:rsidP="005F1BEC">
      <w:pPr>
        <w:spacing w:before="100" w:beforeAutospacing="1" w:after="100" w:afterAutospacing="1"/>
        <w:jc w:val="both"/>
        <w:outlineLvl w:val="2"/>
        <w:rPr>
          <w:rFonts w:ascii="Arial" w:eastAsia="Times New Roman" w:hAnsi="Arial" w:cs="Arial"/>
          <w:b/>
          <w:bCs/>
        </w:rPr>
      </w:pPr>
      <w:r w:rsidRPr="005F1BEC">
        <w:rPr>
          <w:rFonts w:ascii="Arial" w:eastAsia="Times New Roman" w:hAnsi="Arial" w:cs="Arial"/>
          <w:b/>
          <w:bCs/>
        </w:rPr>
        <w:t>Differences in Employer Feedback in Terms of Position</w:t>
      </w:r>
    </w:p>
    <w:p w14:paraId="5F8460D8" w14:textId="538555D1" w:rsidR="005F1BEC" w:rsidRPr="005F1BEC" w:rsidRDefault="005F1BEC" w:rsidP="005F1BEC">
      <w:pPr>
        <w:spacing w:before="100" w:beforeAutospacing="1" w:after="100" w:afterAutospacing="1"/>
        <w:ind w:firstLine="720"/>
        <w:jc w:val="both"/>
        <w:outlineLvl w:val="2"/>
        <w:rPr>
          <w:rFonts w:ascii="Arial" w:eastAsia="Times New Roman" w:hAnsi="Arial" w:cs="Arial"/>
          <w:bCs/>
        </w:rPr>
      </w:pPr>
      <w:r w:rsidRPr="005F1BEC">
        <w:rPr>
          <w:rFonts w:ascii="Arial" w:eastAsia="Times New Roman" w:hAnsi="Arial" w:cs="Arial"/>
          <w:bCs/>
        </w:rPr>
        <w:t xml:space="preserve">Table </w:t>
      </w:r>
      <w:r w:rsidR="003733BF">
        <w:rPr>
          <w:rFonts w:ascii="Arial" w:eastAsia="Times New Roman" w:hAnsi="Arial" w:cs="Arial"/>
          <w:bCs/>
        </w:rPr>
        <w:t>18</w:t>
      </w:r>
      <w:r w:rsidRPr="005F1BEC">
        <w:rPr>
          <w:rFonts w:ascii="Arial" w:eastAsia="Times New Roman" w:hAnsi="Arial" w:cs="Arial"/>
          <w:bCs/>
        </w:rPr>
        <w:t xml:space="preserve"> shows the ANOVA output (F = 0.094, p = .911), which confirms that the respondents' job titles—whether principal, head teacher, or school in charge—did not significantly influence their evaluations of BEED graduates. This finding implies a consistent perception of graduate competencies across supervisory roles. </w:t>
      </w:r>
    </w:p>
    <w:p w14:paraId="748435D4" w14:textId="14E3C7FE" w:rsidR="005F1BEC" w:rsidRPr="005F1BEC" w:rsidRDefault="005F1BEC" w:rsidP="005F1BEC">
      <w:pPr>
        <w:jc w:val="both"/>
        <w:rPr>
          <w:rFonts w:ascii="Arial" w:eastAsia="Times New Roman" w:hAnsi="Arial" w:cs="Arial"/>
          <w:b/>
          <w:bCs/>
          <w:iCs/>
        </w:rPr>
      </w:pPr>
      <w:r w:rsidRPr="005F1BEC">
        <w:rPr>
          <w:rFonts w:ascii="Arial" w:eastAsia="Times New Roman" w:hAnsi="Arial" w:cs="Arial"/>
          <w:lang w:bidi="ar"/>
        </w:rPr>
        <w:lastRenderedPageBreak/>
        <w:t xml:space="preserve">Table </w:t>
      </w:r>
      <w:r w:rsidR="003733BF">
        <w:rPr>
          <w:rFonts w:ascii="Arial" w:eastAsia="Times New Roman" w:hAnsi="Arial" w:cs="Arial"/>
          <w:lang w:bidi="ar"/>
        </w:rPr>
        <w:t>18</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Significant differences in employer feedback based on demographics (position).</w:t>
      </w:r>
    </w:p>
    <w:tbl>
      <w:tblPr>
        <w:tblW w:w="87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37"/>
        <w:gridCol w:w="1673"/>
        <w:gridCol w:w="1167"/>
        <w:gridCol w:w="1605"/>
        <w:gridCol w:w="1167"/>
        <w:gridCol w:w="1167"/>
      </w:tblGrid>
      <w:tr w:rsidR="005F1BEC" w:rsidRPr="005F1BEC" w14:paraId="00E6B098" w14:textId="77777777" w:rsidTr="0037632B">
        <w:trPr>
          <w:cantSplit/>
          <w:trHeight w:val="357"/>
        </w:trPr>
        <w:tc>
          <w:tcPr>
            <w:tcW w:w="1937" w:type="dxa"/>
            <w:tcBorders>
              <w:top w:val="single" w:sz="4" w:space="0" w:color="auto"/>
              <w:left w:val="nil"/>
              <w:bottom w:val="single" w:sz="4" w:space="0" w:color="auto"/>
              <w:right w:val="nil"/>
            </w:tcBorders>
            <w:shd w:val="clear" w:color="auto" w:fill="FFFFFF"/>
            <w:vAlign w:val="bottom"/>
          </w:tcPr>
          <w:p w14:paraId="0F11ED6C" w14:textId="77777777" w:rsidR="005F1BEC" w:rsidRPr="005F1BEC" w:rsidRDefault="005F1BEC" w:rsidP="005F1BEC">
            <w:pPr>
              <w:autoSpaceDE w:val="0"/>
              <w:autoSpaceDN w:val="0"/>
              <w:adjustRightInd w:val="0"/>
              <w:jc w:val="both"/>
              <w:rPr>
                <w:rFonts w:ascii="Arial" w:eastAsia="DengXian" w:hAnsi="Arial" w:cs="Arial"/>
              </w:rPr>
            </w:pPr>
          </w:p>
        </w:tc>
        <w:tc>
          <w:tcPr>
            <w:tcW w:w="1673" w:type="dxa"/>
            <w:tcBorders>
              <w:top w:val="single" w:sz="4" w:space="0" w:color="auto"/>
              <w:left w:val="nil"/>
              <w:bottom w:val="single" w:sz="4" w:space="0" w:color="auto"/>
              <w:right w:val="nil"/>
            </w:tcBorders>
            <w:shd w:val="clear" w:color="auto" w:fill="FFFFFF"/>
            <w:vAlign w:val="center"/>
          </w:tcPr>
          <w:p w14:paraId="3DCDEED3"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Sum of Squares</w:t>
            </w:r>
          </w:p>
        </w:tc>
        <w:tc>
          <w:tcPr>
            <w:tcW w:w="1167" w:type="dxa"/>
            <w:tcBorders>
              <w:top w:val="single" w:sz="4" w:space="0" w:color="auto"/>
              <w:left w:val="nil"/>
              <w:bottom w:val="single" w:sz="4" w:space="0" w:color="auto"/>
              <w:right w:val="nil"/>
            </w:tcBorders>
            <w:shd w:val="clear" w:color="auto" w:fill="FFFFFF"/>
            <w:vAlign w:val="center"/>
          </w:tcPr>
          <w:p w14:paraId="204FDD09"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df</w:t>
            </w:r>
          </w:p>
        </w:tc>
        <w:tc>
          <w:tcPr>
            <w:tcW w:w="1605" w:type="dxa"/>
            <w:tcBorders>
              <w:top w:val="single" w:sz="4" w:space="0" w:color="auto"/>
              <w:left w:val="nil"/>
              <w:bottom w:val="single" w:sz="4" w:space="0" w:color="auto"/>
              <w:right w:val="nil"/>
            </w:tcBorders>
            <w:shd w:val="clear" w:color="auto" w:fill="FFFFFF"/>
            <w:vAlign w:val="center"/>
          </w:tcPr>
          <w:p w14:paraId="32DF6794"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Mean Square</w:t>
            </w:r>
          </w:p>
        </w:tc>
        <w:tc>
          <w:tcPr>
            <w:tcW w:w="1167" w:type="dxa"/>
            <w:tcBorders>
              <w:top w:val="single" w:sz="4" w:space="0" w:color="auto"/>
              <w:left w:val="nil"/>
              <w:bottom w:val="single" w:sz="4" w:space="0" w:color="auto"/>
              <w:right w:val="nil"/>
            </w:tcBorders>
            <w:shd w:val="clear" w:color="auto" w:fill="FFFFFF"/>
            <w:vAlign w:val="center"/>
          </w:tcPr>
          <w:p w14:paraId="3F957348"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F</w:t>
            </w:r>
          </w:p>
        </w:tc>
        <w:tc>
          <w:tcPr>
            <w:tcW w:w="1167" w:type="dxa"/>
            <w:tcBorders>
              <w:top w:val="single" w:sz="4" w:space="0" w:color="auto"/>
              <w:left w:val="nil"/>
              <w:bottom w:val="single" w:sz="4" w:space="0" w:color="auto"/>
              <w:right w:val="nil"/>
            </w:tcBorders>
            <w:shd w:val="clear" w:color="auto" w:fill="FFFFFF"/>
            <w:vAlign w:val="center"/>
          </w:tcPr>
          <w:p w14:paraId="637454D1"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Sig.</w:t>
            </w:r>
          </w:p>
        </w:tc>
      </w:tr>
      <w:tr w:rsidR="005F1BEC" w:rsidRPr="005F1BEC" w14:paraId="5F1470D5" w14:textId="77777777" w:rsidTr="0037632B">
        <w:trPr>
          <w:cantSplit/>
          <w:trHeight w:val="357"/>
        </w:trPr>
        <w:tc>
          <w:tcPr>
            <w:tcW w:w="1937" w:type="dxa"/>
            <w:tcBorders>
              <w:top w:val="single" w:sz="4" w:space="0" w:color="auto"/>
              <w:left w:val="nil"/>
              <w:bottom w:val="single" w:sz="4" w:space="0" w:color="auto"/>
              <w:right w:val="nil"/>
            </w:tcBorders>
            <w:shd w:val="clear" w:color="auto" w:fill="FFFFFF"/>
            <w:vAlign w:val="center"/>
          </w:tcPr>
          <w:p w14:paraId="2D116274" w14:textId="77777777" w:rsidR="005F1BEC" w:rsidRPr="005F1BEC" w:rsidRDefault="005F1BEC" w:rsidP="005F1BEC">
            <w:pPr>
              <w:autoSpaceDE w:val="0"/>
              <w:autoSpaceDN w:val="0"/>
              <w:adjustRightInd w:val="0"/>
              <w:rPr>
                <w:rFonts w:ascii="Arial" w:eastAsia="DengXian" w:hAnsi="Arial" w:cs="Arial"/>
                <w:color w:val="000000"/>
              </w:rPr>
            </w:pPr>
            <w:r w:rsidRPr="005F1BEC">
              <w:rPr>
                <w:rFonts w:ascii="Arial" w:eastAsia="Calibri" w:hAnsi="Arial" w:cs="Arial"/>
                <w:color w:val="000000"/>
                <w:lang w:bidi="ar"/>
              </w:rPr>
              <w:t>Between Groups</w:t>
            </w:r>
          </w:p>
        </w:tc>
        <w:tc>
          <w:tcPr>
            <w:tcW w:w="1673" w:type="dxa"/>
            <w:tcBorders>
              <w:top w:val="single" w:sz="4" w:space="0" w:color="auto"/>
              <w:left w:val="nil"/>
              <w:bottom w:val="single" w:sz="4" w:space="0" w:color="auto"/>
              <w:right w:val="nil"/>
            </w:tcBorders>
            <w:shd w:val="clear" w:color="auto" w:fill="FFFFFF"/>
            <w:vAlign w:val="center"/>
          </w:tcPr>
          <w:p w14:paraId="0EFACE91"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0.025</w:t>
            </w:r>
          </w:p>
        </w:tc>
        <w:tc>
          <w:tcPr>
            <w:tcW w:w="1167" w:type="dxa"/>
            <w:tcBorders>
              <w:top w:val="single" w:sz="4" w:space="0" w:color="auto"/>
              <w:left w:val="nil"/>
              <w:bottom w:val="single" w:sz="4" w:space="0" w:color="auto"/>
              <w:right w:val="nil"/>
            </w:tcBorders>
            <w:shd w:val="clear" w:color="auto" w:fill="FFFFFF"/>
            <w:vAlign w:val="center"/>
          </w:tcPr>
          <w:p w14:paraId="46D34829"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2</w:t>
            </w:r>
          </w:p>
        </w:tc>
        <w:tc>
          <w:tcPr>
            <w:tcW w:w="1605" w:type="dxa"/>
            <w:tcBorders>
              <w:top w:val="single" w:sz="4" w:space="0" w:color="auto"/>
              <w:left w:val="nil"/>
              <w:bottom w:val="single" w:sz="4" w:space="0" w:color="auto"/>
              <w:right w:val="nil"/>
            </w:tcBorders>
            <w:shd w:val="clear" w:color="auto" w:fill="FFFFFF"/>
            <w:vAlign w:val="center"/>
          </w:tcPr>
          <w:p w14:paraId="328426EC"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0.012</w:t>
            </w:r>
          </w:p>
        </w:tc>
        <w:tc>
          <w:tcPr>
            <w:tcW w:w="1167" w:type="dxa"/>
            <w:tcBorders>
              <w:top w:val="single" w:sz="4" w:space="0" w:color="auto"/>
              <w:left w:val="nil"/>
              <w:bottom w:val="single" w:sz="4" w:space="0" w:color="auto"/>
              <w:right w:val="nil"/>
            </w:tcBorders>
            <w:shd w:val="clear" w:color="auto" w:fill="FFFFFF"/>
            <w:vAlign w:val="center"/>
          </w:tcPr>
          <w:p w14:paraId="12D5FB9C"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0.094</w:t>
            </w:r>
          </w:p>
        </w:tc>
        <w:tc>
          <w:tcPr>
            <w:tcW w:w="1167" w:type="dxa"/>
            <w:tcBorders>
              <w:top w:val="single" w:sz="4" w:space="0" w:color="auto"/>
              <w:left w:val="nil"/>
              <w:bottom w:val="single" w:sz="4" w:space="0" w:color="auto"/>
              <w:right w:val="nil"/>
            </w:tcBorders>
            <w:shd w:val="clear" w:color="auto" w:fill="FFFFFF"/>
            <w:vAlign w:val="center"/>
          </w:tcPr>
          <w:p w14:paraId="36225B47"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0.911</w:t>
            </w:r>
          </w:p>
        </w:tc>
      </w:tr>
      <w:tr w:rsidR="005F1BEC" w:rsidRPr="005F1BEC" w14:paraId="6AE3B42F" w14:textId="77777777" w:rsidTr="0037632B">
        <w:trPr>
          <w:cantSplit/>
          <w:trHeight w:val="298"/>
        </w:trPr>
        <w:tc>
          <w:tcPr>
            <w:tcW w:w="1937" w:type="dxa"/>
            <w:tcBorders>
              <w:top w:val="single" w:sz="4" w:space="0" w:color="auto"/>
              <w:left w:val="nil"/>
              <w:bottom w:val="single" w:sz="4" w:space="0" w:color="auto"/>
              <w:right w:val="nil"/>
            </w:tcBorders>
            <w:shd w:val="clear" w:color="auto" w:fill="FFFFFF"/>
            <w:vAlign w:val="center"/>
          </w:tcPr>
          <w:p w14:paraId="2E398481" w14:textId="77777777" w:rsidR="005F1BEC" w:rsidRPr="005F1BEC" w:rsidRDefault="005F1BEC" w:rsidP="005F1BEC">
            <w:pPr>
              <w:autoSpaceDE w:val="0"/>
              <w:autoSpaceDN w:val="0"/>
              <w:adjustRightInd w:val="0"/>
              <w:rPr>
                <w:rFonts w:ascii="Arial" w:eastAsia="DengXian" w:hAnsi="Arial" w:cs="Arial"/>
                <w:color w:val="000000"/>
              </w:rPr>
            </w:pPr>
            <w:r w:rsidRPr="005F1BEC">
              <w:rPr>
                <w:rFonts w:ascii="Arial" w:eastAsia="Calibri" w:hAnsi="Arial" w:cs="Arial"/>
                <w:color w:val="000000"/>
                <w:lang w:bidi="ar"/>
              </w:rPr>
              <w:t>Within Groups</w:t>
            </w:r>
          </w:p>
        </w:tc>
        <w:tc>
          <w:tcPr>
            <w:tcW w:w="1673" w:type="dxa"/>
            <w:tcBorders>
              <w:top w:val="single" w:sz="4" w:space="0" w:color="auto"/>
              <w:left w:val="nil"/>
              <w:bottom w:val="single" w:sz="4" w:space="0" w:color="auto"/>
              <w:right w:val="nil"/>
            </w:tcBorders>
            <w:shd w:val="clear" w:color="auto" w:fill="FFFFFF"/>
            <w:vAlign w:val="center"/>
          </w:tcPr>
          <w:p w14:paraId="6F9D1CA1"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4.473</w:t>
            </w:r>
          </w:p>
        </w:tc>
        <w:tc>
          <w:tcPr>
            <w:tcW w:w="1167" w:type="dxa"/>
            <w:tcBorders>
              <w:top w:val="single" w:sz="4" w:space="0" w:color="auto"/>
              <w:left w:val="nil"/>
              <w:bottom w:val="single" w:sz="4" w:space="0" w:color="auto"/>
              <w:right w:val="nil"/>
            </w:tcBorders>
            <w:shd w:val="clear" w:color="auto" w:fill="FFFFFF"/>
            <w:vAlign w:val="center"/>
          </w:tcPr>
          <w:p w14:paraId="79604F89"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34</w:t>
            </w:r>
          </w:p>
        </w:tc>
        <w:tc>
          <w:tcPr>
            <w:tcW w:w="1605" w:type="dxa"/>
            <w:tcBorders>
              <w:top w:val="single" w:sz="4" w:space="0" w:color="auto"/>
              <w:left w:val="nil"/>
              <w:bottom w:val="single" w:sz="4" w:space="0" w:color="auto"/>
              <w:right w:val="nil"/>
            </w:tcBorders>
            <w:shd w:val="clear" w:color="auto" w:fill="FFFFFF"/>
            <w:vAlign w:val="center"/>
          </w:tcPr>
          <w:p w14:paraId="7ED82F21"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0.132</w:t>
            </w:r>
          </w:p>
        </w:tc>
        <w:tc>
          <w:tcPr>
            <w:tcW w:w="1167" w:type="dxa"/>
            <w:tcBorders>
              <w:top w:val="single" w:sz="4" w:space="0" w:color="auto"/>
              <w:left w:val="nil"/>
              <w:bottom w:val="single" w:sz="4" w:space="0" w:color="auto"/>
              <w:right w:val="nil"/>
            </w:tcBorders>
            <w:shd w:val="clear" w:color="auto" w:fill="FFFFFF"/>
            <w:vAlign w:val="center"/>
          </w:tcPr>
          <w:p w14:paraId="469508A3" w14:textId="77777777" w:rsidR="005F1BEC" w:rsidRPr="005F1BEC" w:rsidRDefault="005F1BEC" w:rsidP="005F1BEC">
            <w:pPr>
              <w:autoSpaceDE w:val="0"/>
              <w:autoSpaceDN w:val="0"/>
              <w:adjustRightInd w:val="0"/>
              <w:jc w:val="center"/>
              <w:rPr>
                <w:rFonts w:ascii="Arial" w:eastAsia="DengXian" w:hAnsi="Arial" w:cs="Arial"/>
              </w:rPr>
            </w:pPr>
          </w:p>
        </w:tc>
        <w:tc>
          <w:tcPr>
            <w:tcW w:w="1167" w:type="dxa"/>
            <w:tcBorders>
              <w:top w:val="single" w:sz="4" w:space="0" w:color="auto"/>
              <w:left w:val="nil"/>
              <w:bottom w:val="single" w:sz="4" w:space="0" w:color="auto"/>
              <w:right w:val="nil"/>
            </w:tcBorders>
            <w:shd w:val="clear" w:color="auto" w:fill="FFFFFF"/>
            <w:vAlign w:val="center"/>
          </w:tcPr>
          <w:p w14:paraId="5E793499" w14:textId="77777777" w:rsidR="005F1BEC" w:rsidRPr="005F1BEC" w:rsidRDefault="005F1BEC" w:rsidP="005F1BEC">
            <w:pPr>
              <w:autoSpaceDE w:val="0"/>
              <w:autoSpaceDN w:val="0"/>
              <w:adjustRightInd w:val="0"/>
              <w:jc w:val="center"/>
              <w:rPr>
                <w:rFonts w:ascii="Arial" w:eastAsia="DengXian" w:hAnsi="Arial" w:cs="Arial"/>
              </w:rPr>
            </w:pPr>
          </w:p>
        </w:tc>
      </w:tr>
      <w:tr w:rsidR="005F1BEC" w:rsidRPr="005F1BEC" w14:paraId="7913DC2C" w14:textId="77777777" w:rsidTr="0037632B">
        <w:trPr>
          <w:cantSplit/>
          <w:trHeight w:val="229"/>
        </w:trPr>
        <w:tc>
          <w:tcPr>
            <w:tcW w:w="1937" w:type="dxa"/>
            <w:tcBorders>
              <w:top w:val="single" w:sz="4" w:space="0" w:color="auto"/>
              <w:left w:val="nil"/>
              <w:bottom w:val="single" w:sz="4" w:space="0" w:color="auto"/>
              <w:right w:val="nil"/>
            </w:tcBorders>
            <w:shd w:val="clear" w:color="auto" w:fill="FFFFFF"/>
            <w:vAlign w:val="center"/>
          </w:tcPr>
          <w:p w14:paraId="3C8470C7" w14:textId="77777777" w:rsidR="005F1BEC" w:rsidRPr="005F1BEC" w:rsidRDefault="005F1BEC" w:rsidP="005F1BEC">
            <w:pPr>
              <w:autoSpaceDE w:val="0"/>
              <w:autoSpaceDN w:val="0"/>
              <w:adjustRightInd w:val="0"/>
              <w:rPr>
                <w:rFonts w:ascii="Arial" w:eastAsia="DengXian" w:hAnsi="Arial" w:cs="Arial"/>
                <w:color w:val="000000"/>
              </w:rPr>
            </w:pPr>
            <w:r w:rsidRPr="005F1BEC">
              <w:rPr>
                <w:rFonts w:ascii="Arial" w:eastAsia="Calibri" w:hAnsi="Arial" w:cs="Arial"/>
                <w:color w:val="000000"/>
                <w:lang w:bidi="ar"/>
              </w:rPr>
              <w:t>Total</w:t>
            </w:r>
          </w:p>
        </w:tc>
        <w:tc>
          <w:tcPr>
            <w:tcW w:w="1673" w:type="dxa"/>
            <w:tcBorders>
              <w:top w:val="single" w:sz="4" w:space="0" w:color="auto"/>
              <w:left w:val="nil"/>
              <w:bottom w:val="single" w:sz="4" w:space="0" w:color="auto"/>
              <w:right w:val="nil"/>
            </w:tcBorders>
            <w:shd w:val="clear" w:color="auto" w:fill="FFFFFF"/>
            <w:vAlign w:val="center"/>
          </w:tcPr>
          <w:p w14:paraId="3FE745F4"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4.497</w:t>
            </w:r>
          </w:p>
        </w:tc>
        <w:tc>
          <w:tcPr>
            <w:tcW w:w="1167" w:type="dxa"/>
            <w:tcBorders>
              <w:top w:val="single" w:sz="4" w:space="0" w:color="auto"/>
              <w:left w:val="nil"/>
              <w:bottom w:val="single" w:sz="4" w:space="0" w:color="auto"/>
              <w:right w:val="nil"/>
            </w:tcBorders>
            <w:shd w:val="clear" w:color="auto" w:fill="FFFFFF"/>
            <w:vAlign w:val="center"/>
          </w:tcPr>
          <w:p w14:paraId="26737C4E"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36</w:t>
            </w:r>
          </w:p>
        </w:tc>
        <w:tc>
          <w:tcPr>
            <w:tcW w:w="1605" w:type="dxa"/>
            <w:tcBorders>
              <w:top w:val="single" w:sz="4" w:space="0" w:color="auto"/>
              <w:left w:val="nil"/>
              <w:bottom w:val="single" w:sz="4" w:space="0" w:color="auto"/>
              <w:right w:val="nil"/>
            </w:tcBorders>
            <w:shd w:val="clear" w:color="auto" w:fill="FFFFFF"/>
            <w:vAlign w:val="center"/>
          </w:tcPr>
          <w:p w14:paraId="37748DEF" w14:textId="77777777" w:rsidR="005F1BEC" w:rsidRPr="005F1BEC" w:rsidRDefault="005F1BEC" w:rsidP="005F1BEC">
            <w:pPr>
              <w:autoSpaceDE w:val="0"/>
              <w:autoSpaceDN w:val="0"/>
              <w:adjustRightInd w:val="0"/>
              <w:jc w:val="center"/>
              <w:rPr>
                <w:rFonts w:ascii="Arial" w:eastAsia="DengXian" w:hAnsi="Arial" w:cs="Arial"/>
              </w:rPr>
            </w:pPr>
          </w:p>
        </w:tc>
        <w:tc>
          <w:tcPr>
            <w:tcW w:w="1167" w:type="dxa"/>
            <w:tcBorders>
              <w:top w:val="single" w:sz="4" w:space="0" w:color="auto"/>
              <w:left w:val="nil"/>
              <w:bottom w:val="single" w:sz="4" w:space="0" w:color="auto"/>
              <w:right w:val="nil"/>
            </w:tcBorders>
            <w:shd w:val="clear" w:color="auto" w:fill="FFFFFF"/>
            <w:vAlign w:val="center"/>
          </w:tcPr>
          <w:p w14:paraId="0D75DC40" w14:textId="77777777" w:rsidR="005F1BEC" w:rsidRPr="005F1BEC" w:rsidRDefault="005F1BEC" w:rsidP="005F1BEC">
            <w:pPr>
              <w:autoSpaceDE w:val="0"/>
              <w:autoSpaceDN w:val="0"/>
              <w:adjustRightInd w:val="0"/>
              <w:jc w:val="center"/>
              <w:rPr>
                <w:rFonts w:ascii="Arial" w:eastAsia="DengXian" w:hAnsi="Arial" w:cs="Arial"/>
              </w:rPr>
            </w:pPr>
          </w:p>
        </w:tc>
        <w:tc>
          <w:tcPr>
            <w:tcW w:w="1167" w:type="dxa"/>
            <w:tcBorders>
              <w:top w:val="single" w:sz="4" w:space="0" w:color="auto"/>
              <w:left w:val="nil"/>
              <w:bottom w:val="single" w:sz="4" w:space="0" w:color="auto"/>
              <w:right w:val="nil"/>
            </w:tcBorders>
            <w:shd w:val="clear" w:color="auto" w:fill="FFFFFF"/>
            <w:vAlign w:val="center"/>
          </w:tcPr>
          <w:p w14:paraId="7D8F2F3B" w14:textId="77777777" w:rsidR="005F1BEC" w:rsidRPr="005F1BEC" w:rsidRDefault="005F1BEC" w:rsidP="005F1BEC">
            <w:pPr>
              <w:autoSpaceDE w:val="0"/>
              <w:autoSpaceDN w:val="0"/>
              <w:adjustRightInd w:val="0"/>
              <w:jc w:val="center"/>
              <w:rPr>
                <w:rFonts w:ascii="Arial" w:eastAsia="DengXian" w:hAnsi="Arial" w:cs="Arial"/>
              </w:rPr>
            </w:pPr>
          </w:p>
        </w:tc>
      </w:tr>
    </w:tbl>
    <w:p w14:paraId="09F27A00" w14:textId="77777777" w:rsidR="005F1BEC" w:rsidRPr="005F1BEC" w:rsidRDefault="005F1BEC" w:rsidP="005F1BEC">
      <w:pPr>
        <w:spacing w:before="100" w:beforeAutospacing="1" w:after="100" w:afterAutospacing="1"/>
        <w:ind w:firstLine="720"/>
        <w:jc w:val="both"/>
        <w:outlineLvl w:val="2"/>
        <w:rPr>
          <w:rFonts w:ascii="Arial" w:eastAsia="Times New Roman" w:hAnsi="Arial" w:cs="Arial"/>
          <w:bCs/>
        </w:rPr>
      </w:pPr>
      <w:r w:rsidRPr="005F1BEC">
        <w:rPr>
          <w:rFonts w:ascii="Arial" w:eastAsia="Times New Roman" w:hAnsi="Arial" w:cs="Arial"/>
          <w:bCs/>
        </w:rPr>
        <w:t xml:space="preserve">Supporting this, </w:t>
      </w:r>
      <w:proofErr w:type="spellStart"/>
      <w:r w:rsidRPr="005F1BEC">
        <w:rPr>
          <w:rFonts w:ascii="Arial" w:eastAsia="Times New Roman" w:hAnsi="Arial" w:cs="Arial"/>
          <w:bCs/>
        </w:rPr>
        <w:t>Salendab</w:t>
      </w:r>
      <w:proofErr w:type="spellEnd"/>
      <w:r w:rsidRPr="005F1BEC">
        <w:rPr>
          <w:rFonts w:ascii="Arial" w:eastAsia="Times New Roman" w:hAnsi="Arial" w:cs="Arial"/>
          <w:bCs/>
        </w:rPr>
        <w:t xml:space="preserve"> and </w:t>
      </w:r>
      <w:proofErr w:type="spellStart"/>
      <w:r w:rsidRPr="005F1BEC">
        <w:rPr>
          <w:rFonts w:ascii="Arial" w:eastAsia="Times New Roman" w:hAnsi="Arial" w:cs="Arial"/>
          <w:bCs/>
        </w:rPr>
        <w:t>Ocariza-Salendab</w:t>
      </w:r>
      <w:proofErr w:type="spellEnd"/>
      <w:r w:rsidRPr="005F1BEC">
        <w:rPr>
          <w:rFonts w:ascii="Arial" w:eastAsia="Times New Roman" w:hAnsi="Arial" w:cs="Arial"/>
          <w:bCs/>
        </w:rPr>
        <w:t xml:space="preserve"> (2023) found that assessments of BEED graduates were statistically similar regardless of the professional designation of the evaluators. German et al. (2021) also used ANOVA and reported uniform performance ratings of engineering graduates across different managerial evaluators, reinforcing the neutrality of job titles in such evaluations. </w:t>
      </w:r>
    </w:p>
    <w:p w14:paraId="363F08C6" w14:textId="77777777" w:rsidR="005F1BEC" w:rsidRPr="005F1BEC" w:rsidRDefault="005F1BEC" w:rsidP="005F1BEC">
      <w:pPr>
        <w:spacing w:before="100" w:beforeAutospacing="1" w:after="100" w:afterAutospacing="1"/>
        <w:ind w:firstLine="720"/>
        <w:jc w:val="both"/>
        <w:outlineLvl w:val="2"/>
        <w:rPr>
          <w:rFonts w:ascii="Arial" w:eastAsia="Times New Roman" w:hAnsi="Arial" w:cs="Arial"/>
          <w:bCs/>
        </w:rPr>
      </w:pPr>
      <w:r w:rsidRPr="005F1BEC">
        <w:rPr>
          <w:rFonts w:ascii="Arial" w:eastAsia="Times New Roman" w:hAnsi="Arial" w:cs="Arial"/>
          <w:bCs/>
        </w:rPr>
        <w:t>Similarly, Panlaqui et al. (2022) noted that respondents' job positions did not influence their ratings of the employability of education graduates. Cuizon (2020) emphasized the value of role-independent criteria when assessing teacher competencies, especially in large-scale tracer or evaluation studies. These findings collectively support the conclusion that job title is not a determinant of employer perception, thereby enhancing the credibility of your data set.</w:t>
      </w:r>
    </w:p>
    <w:p w14:paraId="2B40654E" w14:textId="77777777" w:rsidR="005F1BEC" w:rsidRPr="005F1BEC" w:rsidRDefault="005F1BEC" w:rsidP="005F1BEC">
      <w:pPr>
        <w:spacing w:before="100" w:beforeAutospacing="1" w:after="100" w:afterAutospacing="1"/>
        <w:jc w:val="both"/>
        <w:outlineLvl w:val="2"/>
        <w:rPr>
          <w:rFonts w:ascii="Arial" w:eastAsia="Times New Roman" w:hAnsi="Arial" w:cs="Arial"/>
          <w:bCs/>
        </w:rPr>
      </w:pPr>
      <w:r w:rsidRPr="005F1BEC">
        <w:rPr>
          <w:rFonts w:ascii="Arial" w:eastAsia="Times New Roman" w:hAnsi="Arial" w:cs="Arial"/>
          <w:b/>
          <w:bCs/>
        </w:rPr>
        <w:t>Differences in Employer Feedback in Terms of Years in Service</w:t>
      </w:r>
    </w:p>
    <w:p w14:paraId="347A4A24" w14:textId="77777777" w:rsidR="002200F1" w:rsidRDefault="002200F1" w:rsidP="005F1BEC">
      <w:pPr>
        <w:jc w:val="both"/>
        <w:rPr>
          <w:rFonts w:ascii="Arial" w:eastAsia="Times New Roman" w:hAnsi="Arial" w:cs="Arial"/>
        </w:rPr>
      </w:pPr>
      <w:r w:rsidRPr="002200F1">
        <w:rPr>
          <w:rFonts w:ascii="Arial" w:eastAsia="Times New Roman" w:hAnsi="Arial" w:cs="Arial"/>
        </w:rPr>
        <w:t>ANOVA results (F = 1.475, p = .239) showed no significant difference in feedback based on respondents’ years of service, indicating consistent evaluations of BEED graduates across experience levels. This aligns with Donahue and Vogel (2018), who found that both novice and veteran educators provide valid assessments when using standardized rubrics that reduce experience-based bias.</w:t>
      </w:r>
    </w:p>
    <w:p w14:paraId="63A452D6" w14:textId="77777777" w:rsidR="002200F1" w:rsidRDefault="002200F1" w:rsidP="005F1BEC">
      <w:pPr>
        <w:jc w:val="both"/>
        <w:rPr>
          <w:rFonts w:ascii="Arial" w:eastAsia="Times New Roman" w:hAnsi="Arial" w:cs="Arial"/>
        </w:rPr>
      </w:pPr>
    </w:p>
    <w:p w14:paraId="44E0E189" w14:textId="3C7D90A0" w:rsidR="005F1BEC" w:rsidRPr="005F1BEC" w:rsidRDefault="005F1BEC" w:rsidP="005F1BEC">
      <w:pPr>
        <w:jc w:val="both"/>
        <w:rPr>
          <w:rFonts w:ascii="Arial" w:eastAsia="Times New Roman" w:hAnsi="Arial" w:cs="Arial"/>
          <w:b/>
          <w:bCs/>
        </w:rPr>
      </w:pPr>
      <w:r w:rsidRPr="005F1BEC">
        <w:rPr>
          <w:rFonts w:ascii="Arial" w:eastAsia="Times New Roman" w:hAnsi="Arial" w:cs="Arial"/>
          <w:lang w:bidi="ar"/>
        </w:rPr>
        <w:t xml:space="preserve">Table </w:t>
      </w:r>
      <w:r w:rsidR="003733BF">
        <w:rPr>
          <w:rFonts w:ascii="Arial" w:eastAsia="Times New Roman" w:hAnsi="Arial" w:cs="Arial"/>
          <w:lang w:bidi="ar"/>
        </w:rPr>
        <w:t>19</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Significant differences in employer feedback based on demographics (years in service).</w:t>
      </w:r>
    </w:p>
    <w:tbl>
      <w:tblPr>
        <w:tblW w:w="8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09"/>
        <w:gridCol w:w="1651"/>
        <w:gridCol w:w="1151"/>
        <w:gridCol w:w="1584"/>
        <w:gridCol w:w="1151"/>
        <w:gridCol w:w="1152"/>
      </w:tblGrid>
      <w:tr w:rsidR="005F1BEC" w:rsidRPr="005F1BEC" w14:paraId="6428F458" w14:textId="77777777" w:rsidTr="0037632B">
        <w:trPr>
          <w:cantSplit/>
          <w:trHeight w:val="228"/>
        </w:trPr>
        <w:tc>
          <w:tcPr>
            <w:tcW w:w="1909" w:type="dxa"/>
            <w:tcBorders>
              <w:top w:val="single" w:sz="4" w:space="0" w:color="auto"/>
              <w:left w:val="nil"/>
              <w:bottom w:val="single" w:sz="4" w:space="0" w:color="auto"/>
              <w:right w:val="nil"/>
            </w:tcBorders>
            <w:shd w:val="clear" w:color="auto" w:fill="FFFFFF"/>
            <w:vAlign w:val="bottom"/>
          </w:tcPr>
          <w:p w14:paraId="02391EEA" w14:textId="77777777" w:rsidR="005F1BEC" w:rsidRPr="005F1BEC" w:rsidRDefault="005F1BEC" w:rsidP="005F1BEC">
            <w:pPr>
              <w:autoSpaceDE w:val="0"/>
              <w:autoSpaceDN w:val="0"/>
              <w:adjustRightInd w:val="0"/>
              <w:jc w:val="both"/>
              <w:rPr>
                <w:rFonts w:ascii="Arial" w:eastAsia="DengXian" w:hAnsi="Arial" w:cs="Arial"/>
              </w:rPr>
            </w:pPr>
          </w:p>
        </w:tc>
        <w:tc>
          <w:tcPr>
            <w:tcW w:w="1651" w:type="dxa"/>
            <w:tcBorders>
              <w:top w:val="single" w:sz="4" w:space="0" w:color="auto"/>
              <w:left w:val="nil"/>
              <w:bottom w:val="single" w:sz="4" w:space="0" w:color="auto"/>
              <w:right w:val="nil"/>
            </w:tcBorders>
            <w:shd w:val="clear" w:color="auto" w:fill="FFFFFF"/>
            <w:vAlign w:val="center"/>
          </w:tcPr>
          <w:p w14:paraId="646397D3"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Sum of Squares</w:t>
            </w:r>
          </w:p>
        </w:tc>
        <w:tc>
          <w:tcPr>
            <w:tcW w:w="1151" w:type="dxa"/>
            <w:tcBorders>
              <w:top w:val="single" w:sz="4" w:space="0" w:color="auto"/>
              <w:left w:val="nil"/>
              <w:bottom w:val="single" w:sz="4" w:space="0" w:color="auto"/>
              <w:right w:val="nil"/>
            </w:tcBorders>
            <w:shd w:val="clear" w:color="auto" w:fill="FFFFFF"/>
            <w:vAlign w:val="center"/>
          </w:tcPr>
          <w:p w14:paraId="5BC468EC"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df</w:t>
            </w:r>
          </w:p>
        </w:tc>
        <w:tc>
          <w:tcPr>
            <w:tcW w:w="1584" w:type="dxa"/>
            <w:tcBorders>
              <w:top w:val="single" w:sz="4" w:space="0" w:color="auto"/>
              <w:left w:val="nil"/>
              <w:bottom w:val="single" w:sz="4" w:space="0" w:color="auto"/>
              <w:right w:val="nil"/>
            </w:tcBorders>
            <w:shd w:val="clear" w:color="auto" w:fill="FFFFFF"/>
            <w:vAlign w:val="center"/>
          </w:tcPr>
          <w:p w14:paraId="18FA0C77"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Mean Square</w:t>
            </w:r>
          </w:p>
        </w:tc>
        <w:tc>
          <w:tcPr>
            <w:tcW w:w="1151" w:type="dxa"/>
            <w:tcBorders>
              <w:top w:val="single" w:sz="4" w:space="0" w:color="auto"/>
              <w:left w:val="nil"/>
              <w:bottom w:val="single" w:sz="4" w:space="0" w:color="auto"/>
              <w:right w:val="nil"/>
            </w:tcBorders>
            <w:shd w:val="clear" w:color="auto" w:fill="FFFFFF"/>
            <w:vAlign w:val="center"/>
          </w:tcPr>
          <w:p w14:paraId="4BBCE5D4"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F</w:t>
            </w:r>
          </w:p>
        </w:tc>
        <w:tc>
          <w:tcPr>
            <w:tcW w:w="1152" w:type="dxa"/>
            <w:tcBorders>
              <w:top w:val="single" w:sz="4" w:space="0" w:color="auto"/>
              <w:left w:val="nil"/>
              <w:bottom w:val="single" w:sz="4" w:space="0" w:color="auto"/>
              <w:right w:val="nil"/>
            </w:tcBorders>
            <w:shd w:val="clear" w:color="auto" w:fill="FFFFFF"/>
            <w:vAlign w:val="center"/>
          </w:tcPr>
          <w:p w14:paraId="28C9E37D"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Sig.</w:t>
            </w:r>
          </w:p>
        </w:tc>
      </w:tr>
      <w:tr w:rsidR="005F1BEC" w:rsidRPr="005F1BEC" w14:paraId="138D7430" w14:textId="77777777" w:rsidTr="0037632B">
        <w:trPr>
          <w:cantSplit/>
          <w:trHeight w:val="355"/>
        </w:trPr>
        <w:tc>
          <w:tcPr>
            <w:tcW w:w="1909" w:type="dxa"/>
            <w:tcBorders>
              <w:top w:val="single" w:sz="4" w:space="0" w:color="auto"/>
              <w:left w:val="nil"/>
              <w:bottom w:val="single" w:sz="4" w:space="0" w:color="auto"/>
              <w:right w:val="nil"/>
            </w:tcBorders>
            <w:shd w:val="clear" w:color="auto" w:fill="FFFFFF"/>
            <w:vAlign w:val="center"/>
          </w:tcPr>
          <w:p w14:paraId="1232CE2E" w14:textId="77777777" w:rsidR="005F1BEC" w:rsidRPr="005F1BEC" w:rsidRDefault="005F1BEC" w:rsidP="005F1BEC">
            <w:pPr>
              <w:autoSpaceDE w:val="0"/>
              <w:autoSpaceDN w:val="0"/>
              <w:adjustRightInd w:val="0"/>
              <w:rPr>
                <w:rFonts w:ascii="Arial" w:eastAsia="DengXian" w:hAnsi="Arial" w:cs="Arial"/>
                <w:color w:val="000000"/>
              </w:rPr>
            </w:pPr>
            <w:r w:rsidRPr="005F1BEC">
              <w:rPr>
                <w:rFonts w:ascii="Arial" w:eastAsia="Calibri" w:hAnsi="Arial" w:cs="Arial"/>
                <w:color w:val="000000"/>
                <w:lang w:bidi="ar"/>
              </w:rPr>
              <w:t>Between Groups</w:t>
            </w:r>
          </w:p>
        </w:tc>
        <w:tc>
          <w:tcPr>
            <w:tcW w:w="1651" w:type="dxa"/>
            <w:tcBorders>
              <w:top w:val="single" w:sz="4" w:space="0" w:color="auto"/>
              <w:left w:val="nil"/>
              <w:bottom w:val="single" w:sz="4" w:space="0" w:color="auto"/>
              <w:right w:val="nil"/>
            </w:tcBorders>
            <w:shd w:val="clear" w:color="auto" w:fill="FFFFFF"/>
            <w:vAlign w:val="center"/>
          </w:tcPr>
          <w:p w14:paraId="421C7801"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0.532</w:t>
            </w:r>
          </w:p>
        </w:tc>
        <w:tc>
          <w:tcPr>
            <w:tcW w:w="1151" w:type="dxa"/>
            <w:tcBorders>
              <w:top w:val="single" w:sz="4" w:space="0" w:color="auto"/>
              <w:left w:val="nil"/>
              <w:bottom w:val="single" w:sz="4" w:space="0" w:color="auto"/>
              <w:right w:val="nil"/>
            </w:tcBorders>
            <w:shd w:val="clear" w:color="auto" w:fill="FFFFFF"/>
            <w:vAlign w:val="center"/>
          </w:tcPr>
          <w:p w14:paraId="5934882B"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3</w:t>
            </w:r>
          </w:p>
        </w:tc>
        <w:tc>
          <w:tcPr>
            <w:tcW w:w="1584" w:type="dxa"/>
            <w:tcBorders>
              <w:top w:val="single" w:sz="4" w:space="0" w:color="auto"/>
              <w:left w:val="nil"/>
              <w:bottom w:val="single" w:sz="4" w:space="0" w:color="auto"/>
              <w:right w:val="nil"/>
            </w:tcBorders>
            <w:shd w:val="clear" w:color="auto" w:fill="FFFFFF"/>
            <w:vAlign w:val="center"/>
          </w:tcPr>
          <w:p w14:paraId="4F58B03D"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0.177</w:t>
            </w:r>
          </w:p>
        </w:tc>
        <w:tc>
          <w:tcPr>
            <w:tcW w:w="1151" w:type="dxa"/>
            <w:tcBorders>
              <w:top w:val="single" w:sz="4" w:space="0" w:color="auto"/>
              <w:left w:val="nil"/>
              <w:bottom w:val="single" w:sz="4" w:space="0" w:color="auto"/>
              <w:right w:val="nil"/>
            </w:tcBorders>
            <w:shd w:val="clear" w:color="auto" w:fill="FFFFFF"/>
            <w:vAlign w:val="center"/>
          </w:tcPr>
          <w:p w14:paraId="186DED1A"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1.475</w:t>
            </w:r>
          </w:p>
        </w:tc>
        <w:tc>
          <w:tcPr>
            <w:tcW w:w="1152" w:type="dxa"/>
            <w:tcBorders>
              <w:top w:val="single" w:sz="4" w:space="0" w:color="auto"/>
              <w:left w:val="nil"/>
              <w:bottom w:val="single" w:sz="4" w:space="0" w:color="auto"/>
              <w:right w:val="nil"/>
            </w:tcBorders>
            <w:shd w:val="clear" w:color="auto" w:fill="FFFFFF"/>
            <w:vAlign w:val="center"/>
          </w:tcPr>
          <w:p w14:paraId="4C2DC939"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0.239</w:t>
            </w:r>
          </w:p>
        </w:tc>
      </w:tr>
      <w:tr w:rsidR="005F1BEC" w:rsidRPr="005F1BEC" w14:paraId="6CCDF4F8" w14:textId="77777777" w:rsidTr="0037632B">
        <w:trPr>
          <w:cantSplit/>
          <w:trHeight w:val="172"/>
        </w:trPr>
        <w:tc>
          <w:tcPr>
            <w:tcW w:w="1909" w:type="dxa"/>
            <w:tcBorders>
              <w:top w:val="single" w:sz="4" w:space="0" w:color="auto"/>
              <w:left w:val="nil"/>
              <w:bottom w:val="single" w:sz="4" w:space="0" w:color="auto"/>
              <w:right w:val="nil"/>
            </w:tcBorders>
            <w:shd w:val="clear" w:color="auto" w:fill="FFFFFF"/>
            <w:vAlign w:val="center"/>
          </w:tcPr>
          <w:p w14:paraId="34AF1F2B" w14:textId="77777777" w:rsidR="005F1BEC" w:rsidRPr="005F1BEC" w:rsidRDefault="005F1BEC" w:rsidP="005F1BEC">
            <w:pPr>
              <w:autoSpaceDE w:val="0"/>
              <w:autoSpaceDN w:val="0"/>
              <w:adjustRightInd w:val="0"/>
              <w:rPr>
                <w:rFonts w:ascii="Arial" w:eastAsia="DengXian" w:hAnsi="Arial" w:cs="Arial"/>
                <w:color w:val="000000"/>
              </w:rPr>
            </w:pPr>
            <w:r w:rsidRPr="005F1BEC">
              <w:rPr>
                <w:rFonts w:ascii="Arial" w:eastAsia="Calibri" w:hAnsi="Arial" w:cs="Arial"/>
                <w:color w:val="000000"/>
                <w:lang w:bidi="ar"/>
              </w:rPr>
              <w:t>Within Groups</w:t>
            </w:r>
          </w:p>
        </w:tc>
        <w:tc>
          <w:tcPr>
            <w:tcW w:w="1651" w:type="dxa"/>
            <w:tcBorders>
              <w:top w:val="single" w:sz="4" w:space="0" w:color="auto"/>
              <w:left w:val="nil"/>
              <w:bottom w:val="single" w:sz="4" w:space="0" w:color="auto"/>
              <w:right w:val="nil"/>
            </w:tcBorders>
            <w:shd w:val="clear" w:color="auto" w:fill="FFFFFF"/>
            <w:vAlign w:val="center"/>
          </w:tcPr>
          <w:p w14:paraId="3D4B8445"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3.966</w:t>
            </w:r>
          </w:p>
        </w:tc>
        <w:tc>
          <w:tcPr>
            <w:tcW w:w="1151" w:type="dxa"/>
            <w:tcBorders>
              <w:top w:val="single" w:sz="4" w:space="0" w:color="auto"/>
              <w:left w:val="nil"/>
              <w:bottom w:val="single" w:sz="4" w:space="0" w:color="auto"/>
              <w:right w:val="nil"/>
            </w:tcBorders>
            <w:shd w:val="clear" w:color="auto" w:fill="FFFFFF"/>
            <w:vAlign w:val="center"/>
          </w:tcPr>
          <w:p w14:paraId="151E2821"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33</w:t>
            </w:r>
          </w:p>
        </w:tc>
        <w:tc>
          <w:tcPr>
            <w:tcW w:w="1584" w:type="dxa"/>
            <w:tcBorders>
              <w:top w:val="single" w:sz="4" w:space="0" w:color="auto"/>
              <w:left w:val="nil"/>
              <w:bottom w:val="single" w:sz="4" w:space="0" w:color="auto"/>
              <w:right w:val="nil"/>
            </w:tcBorders>
            <w:shd w:val="clear" w:color="auto" w:fill="FFFFFF"/>
            <w:vAlign w:val="center"/>
          </w:tcPr>
          <w:p w14:paraId="40F64464"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0.120</w:t>
            </w:r>
          </w:p>
        </w:tc>
        <w:tc>
          <w:tcPr>
            <w:tcW w:w="1151" w:type="dxa"/>
            <w:tcBorders>
              <w:top w:val="single" w:sz="4" w:space="0" w:color="auto"/>
              <w:left w:val="nil"/>
              <w:bottom w:val="single" w:sz="4" w:space="0" w:color="auto"/>
              <w:right w:val="nil"/>
            </w:tcBorders>
            <w:shd w:val="clear" w:color="auto" w:fill="FFFFFF"/>
            <w:vAlign w:val="center"/>
          </w:tcPr>
          <w:p w14:paraId="42AA9854" w14:textId="77777777" w:rsidR="005F1BEC" w:rsidRPr="005F1BEC" w:rsidRDefault="005F1BEC" w:rsidP="005F1BEC">
            <w:pPr>
              <w:autoSpaceDE w:val="0"/>
              <w:autoSpaceDN w:val="0"/>
              <w:adjustRightInd w:val="0"/>
              <w:jc w:val="center"/>
              <w:rPr>
                <w:rFonts w:ascii="Arial" w:eastAsia="DengXian" w:hAnsi="Arial" w:cs="Arial"/>
              </w:rPr>
            </w:pPr>
          </w:p>
        </w:tc>
        <w:tc>
          <w:tcPr>
            <w:tcW w:w="1152" w:type="dxa"/>
            <w:tcBorders>
              <w:top w:val="single" w:sz="4" w:space="0" w:color="auto"/>
              <w:left w:val="nil"/>
              <w:bottom w:val="single" w:sz="4" w:space="0" w:color="auto"/>
              <w:right w:val="nil"/>
            </w:tcBorders>
            <w:shd w:val="clear" w:color="auto" w:fill="FFFFFF"/>
            <w:vAlign w:val="center"/>
          </w:tcPr>
          <w:p w14:paraId="25A2ACDA" w14:textId="77777777" w:rsidR="005F1BEC" w:rsidRPr="005F1BEC" w:rsidRDefault="005F1BEC" w:rsidP="005F1BEC">
            <w:pPr>
              <w:autoSpaceDE w:val="0"/>
              <w:autoSpaceDN w:val="0"/>
              <w:adjustRightInd w:val="0"/>
              <w:jc w:val="center"/>
              <w:rPr>
                <w:rFonts w:ascii="Arial" w:eastAsia="DengXian" w:hAnsi="Arial" w:cs="Arial"/>
              </w:rPr>
            </w:pPr>
          </w:p>
        </w:tc>
      </w:tr>
      <w:tr w:rsidR="005F1BEC" w:rsidRPr="005F1BEC" w14:paraId="62328C6E" w14:textId="77777777" w:rsidTr="0037632B">
        <w:trPr>
          <w:cantSplit/>
          <w:trHeight w:val="240"/>
        </w:trPr>
        <w:tc>
          <w:tcPr>
            <w:tcW w:w="1909" w:type="dxa"/>
            <w:tcBorders>
              <w:top w:val="single" w:sz="4" w:space="0" w:color="auto"/>
              <w:left w:val="nil"/>
              <w:bottom w:val="single" w:sz="4" w:space="0" w:color="auto"/>
              <w:right w:val="nil"/>
            </w:tcBorders>
            <w:shd w:val="clear" w:color="auto" w:fill="FFFFFF"/>
            <w:vAlign w:val="center"/>
          </w:tcPr>
          <w:p w14:paraId="343BBCC4" w14:textId="77777777" w:rsidR="005F1BEC" w:rsidRPr="005F1BEC" w:rsidRDefault="005F1BEC" w:rsidP="005F1BEC">
            <w:pPr>
              <w:autoSpaceDE w:val="0"/>
              <w:autoSpaceDN w:val="0"/>
              <w:adjustRightInd w:val="0"/>
              <w:rPr>
                <w:rFonts w:ascii="Arial" w:eastAsia="DengXian" w:hAnsi="Arial" w:cs="Arial"/>
                <w:color w:val="000000"/>
              </w:rPr>
            </w:pPr>
            <w:r w:rsidRPr="005F1BEC">
              <w:rPr>
                <w:rFonts w:ascii="Arial" w:eastAsia="Calibri" w:hAnsi="Arial" w:cs="Arial"/>
                <w:color w:val="000000"/>
                <w:lang w:bidi="ar"/>
              </w:rPr>
              <w:t>Total</w:t>
            </w:r>
          </w:p>
        </w:tc>
        <w:tc>
          <w:tcPr>
            <w:tcW w:w="1651" w:type="dxa"/>
            <w:tcBorders>
              <w:top w:val="single" w:sz="4" w:space="0" w:color="auto"/>
              <w:left w:val="nil"/>
              <w:bottom w:val="single" w:sz="4" w:space="0" w:color="auto"/>
              <w:right w:val="nil"/>
            </w:tcBorders>
            <w:shd w:val="clear" w:color="auto" w:fill="FFFFFF"/>
            <w:vAlign w:val="center"/>
          </w:tcPr>
          <w:p w14:paraId="72C5699E"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4.497</w:t>
            </w:r>
          </w:p>
        </w:tc>
        <w:tc>
          <w:tcPr>
            <w:tcW w:w="1151" w:type="dxa"/>
            <w:tcBorders>
              <w:top w:val="single" w:sz="4" w:space="0" w:color="auto"/>
              <w:left w:val="nil"/>
              <w:bottom w:val="single" w:sz="4" w:space="0" w:color="auto"/>
              <w:right w:val="nil"/>
            </w:tcBorders>
            <w:shd w:val="clear" w:color="auto" w:fill="FFFFFF"/>
            <w:vAlign w:val="center"/>
          </w:tcPr>
          <w:p w14:paraId="1A71B801"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36</w:t>
            </w:r>
          </w:p>
        </w:tc>
        <w:tc>
          <w:tcPr>
            <w:tcW w:w="1584" w:type="dxa"/>
            <w:tcBorders>
              <w:top w:val="single" w:sz="4" w:space="0" w:color="auto"/>
              <w:left w:val="nil"/>
              <w:bottom w:val="single" w:sz="4" w:space="0" w:color="auto"/>
              <w:right w:val="nil"/>
            </w:tcBorders>
            <w:shd w:val="clear" w:color="auto" w:fill="FFFFFF"/>
            <w:vAlign w:val="center"/>
          </w:tcPr>
          <w:p w14:paraId="17ACBD88" w14:textId="77777777" w:rsidR="005F1BEC" w:rsidRPr="005F1BEC" w:rsidRDefault="005F1BEC" w:rsidP="005F1BEC">
            <w:pPr>
              <w:autoSpaceDE w:val="0"/>
              <w:autoSpaceDN w:val="0"/>
              <w:adjustRightInd w:val="0"/>
              <w:jc w:val="center"/>
              <w:rPr>
                <w:rFonts w:ascii="Arial" w:eastAsia="DengXian" w:hAnsi="Arial" w:cs="Arial"/>
              </w:rPr>
            </w:pPr>
          </w:p>
        </w:tc>
        <w:tc>
          <w:tcPr>
            <w:tcW w:w="1151" w:type="dxa"/>
            <w:tcBorders>
              <w:top w:val="single" w:sz="4" w:space="0" w:color="auto"/>
              <w:left w:val="nil"/>
              <w:bottom w:val="single" w:sz="4" w:space="0" w:color="auto"/>
              <w:right w:val="nil"/>
            </w:tcBorders>
            <w:shd w:val="clear" w:color="auto" w:fill="FFFFFF"/>
            <w:vAlign w:val="center"/>
          </w:tcPr>
          <w:p w14:paraId="58EFC29A" w14:textId="77777777" w:rsidR="005F1BEC" w:rsidRPr="005F1BEC" w:rsidRDefault="005F1BEC" w:rsidP="005F1BEC">
            <w:pPr>
              <w:autoSpaceDE w:val="0"/>
              <w:autoSpaceDN w:val="0"/>
              <w:adjustRightInd w:val="0"/>
              <w:jc w:val="center"/>
              <w:rPr>
                <w:rFonts w:ascii="Arial" w:eastAsia="DengXian" w:hAnsi="Arial" w:cs="Arial"/>
              </w:rPr>
            </w:pPr>
          </w:p>
        </w:tc>
        <w:tc>
          <w:tcPr>
            <w:tcW w:w="1152" w:type="dxa"/>
            <w:tcBorders>
              <w:top w:val="single" w:sz="4" w:space="0" w:color="auto"/>
              <w:left w:val="nil"/>
              <w:bottom w:val="single" w:sz="4" w:space="0" w:color="auto"/>
              <w:right w:val="nil"/>
            </w:tcBorders>
            <w:shd w:val="clear" w:color="auto" w:fill="FFFFFF"/>
            <w:vAlign w:val="center"/>
          </w:tcPr>
          <w:p w14:paraId="010970A1" w14:textId="77777777" w:rsidR="005F1BEC" w:rsidRPr="005F1BEC" w:rsidRDefault="005F1BEC" w:rsidP="005F1BEC">
            <w:pPr>
              <w:autoSpaceDE w:val="0"/>
              <w:autoSpaceDN w:val="0"/>
              <w:adjustRightInd w:val="0"/>
              <w:jc w:val="center"/>
              <w:rPr>
                <w:rFonts w:ascii="Arial" w:eastAsia="DengXian" w:hAnsi="Arial" w:cs="Arial"/>
              </w:rPr>
            </w:pPr>
          </w:p>
        </w:tc>
      </w:tr>
    </w:tbl>
    <w:p w14:paraId="48423DCA" w14:textId="77777777" w:rsidR="005F1BEC" w:rsidRPr="005F1BEC" w:rsidRDefault="005F1BEC" w:rsidP="005F1BEC">
      <w:pPr>
        <w:ind w:firstLine="720"/>
        <w:jc w:val="both"/>
        <w:rPr>
          <w:rFonts w:ascii="Arial" w:eastAsia="Times New Roman" w:hAnsi="Arial" w:cs="Arial"/>
          <w:bCs/>
          <w:lang w:bidi="ar"/>
        </w:rPr>
      </w:pPr>
    </w:p>
    <w:p w14:paraId="34877834" w14:textId="2EB31922" w:rsidR="002200F1" w:rsidRDefault="002200F1" w:rsidP="005F1BEC">
      <w:pPr>
        <w:ind w:firstLine="720"/>
        <w:jc w:val="both"/>
        <w:rPr>
          <w:rFonts w:ascii="Arial" w:eastAsia="Times New Roman" w:hAnsi="Arial" w:cs="Arial"/>
          <w:bCs/>
          <w:lang w:bidi="ar"/>
        </w:rPr>
      </w:pPr>
      <w:r w:rsidRPr="002200F1">
        <w:rPr>
          <w:rFonts w:ascii="Arial" w:eastAsia="Times New Roman" w:hAnsi="Arial" w:cs="Arial"/>
          <w:bCs/>
          <w:lang w:bidi="ar"/>
        </w:rPr>
        <w:t>Similarly, Trygstad (2020) found no significant difference in feedback reliability between novice and veteran science educators when institutional training was in place. Williams and Hebert (2020) emphasized that evaluation systems are most effective when guided by shared standards, regardless of evaluator tenure. Losser et al. (2018) also reported aligned evaluation outcomes across experience levels due to professional development. Kraft and Gilmour (2016) concluded that consistency in evaluations depends more on system design and leadership than on evaluator experience.</w:t>
      </w:r>
    </w:p>
    <w:p w14:paraId="27D7F8BB" w14:textId="77777777" w:rsidR="002200F1" w:rsidRPr="005F1BEC" w:rsidRDefault="002200F1" w:rsidP="005F1BEC">
      <w:pPr>
        <w:ind w:firstLine="720"/>
        <w:jc w:val="both"/>
        <w:rPr>
          <w:rFonts w:ascii="Arial" w:eastAsia="Times New Roman" w:hAnsi="Arial" w:cs="Arial"/>
          <w:bCs/>
        </w:rPr>
      </w:pPr>
    </w:p>
    <w:p w14:paraId="073EFA8E" w14:textId="77777777" w:rsidR="005F1BEC" w:rsidRPr="005F1BEC" w:rsidRDefault="005F1BEC" w:rsidP="005F1BEC">
      <w:pPr>
        <w:widowControl w:val="0"/>
        <w:autoSpaceDE w:val="0"/>
        <w:autoSpaceDN w:val="0"/>
        <w:jc w:val="both"/>
        <w:rPr>
          <w:rFonts w:ascii="Arial" w:eastAsia="Times New Roman" w:hAnsi="Arial" w:cs="Arial"/>
        </w:rPr>
      </w:pPr>
      <w:r w:rsidRPr="005F1BEC">
        <w:rPr>
          <w:rFonts w:ascii="Arial" w:eastAsia="Times New Roman" w:hAnsi="Arial" w:cs="Arial"/>
          <w:b/>
          <w:bCs/>
        </w:rPr>
        <w:t>Differences in Employer Feedback in Terms of District</w:t>
      </w:r>
    </w:p>
    <w:p w14:paraId="161EC652" w14:textId="77777777" w:rsidR="005F1BEC" w:rsidRPr="005F1BEC" w:rsidRDefault="005F1BEC" w:rsidP="005F1BEC">
      <w:pPr>
        <w:widowControl w:val="0"/>
        <w:autoSpaceDE w:val="0"/>
        <w:autoSpaceDN w:val="0"/>
        <w:ind w:firstLine="720"/>
        <w:jc w:val="both"/>
        <w:rPr>
          <w:rFonts w:ascii="Arial" w:eastAsia="Times New Roman" w:hAnsi="Arial" w:cs="Arial"/>
        </w:rPr>
      </w:pPr>
      <w:proofErr w:type="gramStart"/>
      <w:r w:rsidRPr="005F1BEC">
        <w:rPr>
          <w:rFonts w:ascii="Arial" w:eastAsia="Times New Roman" w:hAnsi="Arial" w:cs="Arial"/>
        </w:rPr>
        <w:t>The  ANOVA</w:t>
      </w:r>
      <w:proofErr w:type="gramEnd"/>
      <w:r w:rsidRPr="005F1BEC">
        <w:rPr>
          <w:rFonts w:ascii="Arial" w:eastAsia="Times New Roman" w:hAnsi="Arial" w:cs="Arial"/>
        </w:rPr>
        <w:t xml:space="preserve"> result (F = 0.620, p = .607) reveals no significant difference in feedback across district groupings, suggesting a high degree of consistency in how BEED graduates are evaluated regardless of school location. This supports the implication that employer perceptions remain stable across geographic divisions, reinforcing the credibility of the feedback. </w:t>
      </w:r>
    </w:p>
    <w:p w14:paraId="35AAFC20" w14:textId="3A589AD9" w:rsidR="005F1BEC" w:rsidRPr="005F1BEC" w:rsidRDefault="005F1BEC" w:rsidP="005F1BEC">
      <w:pPr>
        <w:jc w:val="both"/>
        <w:rPr>
          <w:rFonts w:ascii="Arial" w:eastAsia="Times New Roman" w:hAnsi="Arial" w:cs="Arial"/>
          <w:b/>
          <w:bCs/>
          <w:iCs/>
        </w:rPr>
      </w:pPr>
      <w:bookmarkStart w:id="0" w:name="_GoBack"/>
      <w:r w:rsidRPr="005F1BEC">
        <w:rPr>
          <w:rFonts w:ascii="Arial" w:eastAsia="Times New Roman" w:hAnsi="Arial" w:cs="Arial"/>
          <w:lang w:bidi="ar"/>
        </w:rPr>
        <w:t>Table</w:t>
      </w:r>
      <w:bookmarkEnd w:id="0"/>
      <w:r w:rsidRPr="005F1BEC">
        <w:rPr>
          <w:rFonts w:ascii="Arial" w:eastAsia="Times New Roman" w:hAnsi="Arial" w:cs="Arial"/>
          <w:lang w:bidi="ar"/>
        </w:rPr>
        <w:t xml:space="preserve"> </w:t>
      </w:r>
      <w:r w:rsidR="003733BF">
        <w:rPr>
          <w:rFonts w:ascii="Arial" w:eastAsia="Times New Roman" w:hAnsi="Arial" w:cs="Arial"/>
          <w:lang w:bidi="ar"/>
        </w:rPr>
        <w:t>20</w:t>
      </w:r>
      <w:r w:rsidRPr="005F1BEC">
        <w:rPr>
          <w:rFonts w:ascii="Arial" w:eastAsia="Times New Roman" w:hAnsi="Arial" w:cs="Arial"/>
          <w:lang w:bidi="ar"/>
        </w:rPr>
        <w:t>.</w:t>
      </w:r>
      <w:r w:rsidRPr="005F1BEC">
        <w:rPr>
          <w:rFonts w:ascii="Arial" w:eastAsia="Times New Roman" w:hAnsi="Arial" w:cs="Arial"/>
          <w:b/>
          <w:bCs/>
          <w:lang w:bidi="ar"/>
        </w:rPr>
        <w:t xml:space="preserve"> </w:t>
      </w:r>
      <w:r w:rsidRPr="005F1BEC">
        <w:rPr>
          <w:rFonts w:ascii="Arial" w:eastAsia="Times New Roman" w:hAnsi="Arial" w:cs="Arial"/>
          <w:bCs/>
          <w:iCs/>
          <w:lang w:bidi="ar"/>
        </w:rPr>
        <w:t>Significant differences in employer feedback based on demographics (district).</w:t>
      </w:r>
    </w:p>
    <w:tbl>
      <w:tblPr>
        <w:tblW w:w="8657" w:type="dxa"/>
        <w:tblBorders>
          <w:top w:val="single" w:sz="2" w:space="0" w:color="FFFFFF"/>
          <w:left w:val="single" w:sz="2" w:space="0" w:color="FFFFFF"/>
          <w:bottom w:val="single" w:sz="2" w:space="0" w:color="FFFFFF"/>
          <w:right w:val="single" w:sz="2" w:space="0" w:color="FFFFFF"/>
        </w:tblBorders>
        <w:tblLayout w:type="fixed"/>
        <w:tblCellMar>
          <w:left w:w="0" w:type="dxa"/>
          <w:right w:w="0" w:type="dxa"/>
        </w:tblCellMar>
        <w:tblLook w:val="04A0" w:firstRow="1" w:lastRow="0" w:firstColumn="1" w:lastColumn="0" w:noHBand="0" w:noVBand="1"/>
      </w:tblPr>
      <w:tblGrid>
        <w:gridCol w:w="1923"/>
        <w:gridCol w:w="1663"/>
        <w:gridCol w:w="1159"/>
        <w:gridCol w:w="1594"/>
        <w:gridCol w:w="1159"/>
        <w:gridCol w:w="1159"/>
      </w:tblGrid>
      <w:tr w:rsidR="005F1BEC" w:rsidRPr="005F1BEC" w14:paraId="0EEA305E" w14:textId="77777777" w:rsidTr="0037632B">
        <w:trPr>
          <w:cantSplit/>
          <w:trHeight w:val="502"/>
        </w:trPr>
        <w:tc>
          <w:tcPr>
            <w:tcW w:w="1923" w:type="dxa"/>
            <w:tcBorders>
              <w:top w:val="single" w:sz="4" w:space="0" w:color="auto"/>
              <w:left w:val="nil"/>
              <w:bottom w:val="single" w:sz="4" w:space="0" w:color="auto"/>
              <w:right w:val="nil"/>
              <w:tl2br w:val="nil"/>
              <w:tr2bl w:val="nil"/>
            </w:tcBorders>
            <w:shd w:val="clear" w:color="auto" w:fill="FFFFFF"/>
            <w:vAlign w:val="bottom"/>
          </w:tcPr>
          <w:p w14:paraId="7B972446" w14:textId="77777777" w:rsidR="005F1BEC" w:rsidRPr="005F1BEC" w:rsidRDefault="005F1BEC" w:rsidP="005F1BEC">
            <w:pPr>
              <w:autoSpaceDE w:val="0"/>
              <w:autoSpaceDN w:val="0"/>
              <w:adjustRightInd w:val="0"/>
              <w:jc w:val="both"/>
              <w:rPr>
                <w:rFonts w:ascii="Arial" w:eastAsia="DengXian" w:hAnsi="Arial" w:cs="Arial"/>
                <w:color w:val="000000"/>
              </w:rPr>
            </w:pPr>
          </w:p>
        </w:tc>
        <w:tc>
          <w:tcPr>
            <w:tcW w:w="1663" w:type="dxa"/>
            <w:tcBorders>
              <w:top w:val="single" w:sz="4" w:space="0" w:color="auto"/>
              <w:left w:val="nil"/>
              <w:bottom w:val="single" w:sz="4" w:space="0" w:color="auto"/>
              <w:right w:val="nil"/>
              <w:tl2br w:val="nil"/>
              <w:tr2bl w:val="nil"/>
            </w:tcBorders>
            <w:shd w:val="clear" w:color="auto" w:fill="FFFFFF"/>
            <w:vAlign w:val="bottom"/>
          </w:tcPr>
          <w:p w14:paraId="70578AA9"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Sum of Squares</w:t>
            </w:r>
          </w:p>
        </w:tc>
        <w:tc>
          <w:tcPr>
            <w:tcW w:w="1159" w:type="dxa"/>
            <w:tcBorders>
              <w:top w:val="single" w:sz="4" w:space="0" w:color="auto"/>
              <w:left w:val="nil"/>
              <w:bottom w:val="single" w:sz="4" w:space="0" w:color="auto"/>
              <w:right w:val="nil"/>
              <w:tl2br w:val="nil"/>
              <w:tr2bl w:val="nil"/>
            </w:tcBorders>
            <w:shd w:val="clear" w:color="auto" w:fill="FFFFFF"/>
            <w:vAlign w:val="bottom"/>
          </w:tcPr>
          <w:p w14:paraId="696F71B3"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df</w:t>
            </w:r>
          </w:p>
        </w:tc>
        <w:tc>
          <w:tcPr>
            <w:tcW w:w="1594" w:type="dxa"/>
            <w:tcBorders>
              <w:top w:val="single" w:sz="4" w:space="0" w:color="auto"/>
              <w:left w:val="nil"/>
              <w:bottom w:val="single" w:sz="4" w:space="0" w:color="auto"/>
              <w:right w:val="nil"/>
              <w:tl2br w:val="nil"/>
              <w:tr2bl w:val="nil"/>
            </w:tcBorders>
            <w:shd w:val="clear" w:color="auto" w:fill="FFFFFF"/>
            <w:vAlign w:val="bottom"/>
          </w:tcPr>
          <w:p w14:paraId="7369C70D"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Mean Square</w:t>
            </w:r>
          </w:p>
        </w:tc>
        <w:tc>
          <w:tcPr>
            <w:tcW w:w="1159" w:type="dxa"/>
            <w:tcBorders>
              <w:top w:val="single" w:sz="4" w:space="0" w:color="auto"/>
              <w:left w:val="nil"/>
              <w:bottom w:val="single" w:sz="4" w:space="0" w:color="auto"/>
              <w:right w:val="nil"/>
              <w:tl2br w:val="nil"/>
              <w:tr2bl w:val="nil"/>
            </w:tcBorders>
            <w:shd w:val="clear" w:color="auto" w:fill="FFFFFF"/>
            <w:vAlign w:val="bottom"/>
          </w:tcPr>
          <w:p w14:paraId="3C06348F"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F</w:t>
            </w:r>
          </w:p>
        </w:tc>
        <w:tc>
          <w:tcPr>
            <w:tcW w:w="1159" w:type="dxa"/>
            <w:tcBorders>
              <w:top w:val="single" w:sz="4" w:space="0" w:color="auto"/>
              <w:left w:val="nil"/>
              <w:bottom w:val="single" w:sz="4" w:space="0" w:color="auto"/>
              <w:right w:val="nil"/>
              <w:tl2br w:val="nil"/>
              <w:tr2bl w:val="nil"/>
            </w:tcBorders>
            <w:shd w:val="clear" w:color="auto" w:fill="FFFFFF"/>
            <w:vAlign w:val="bottom"/>
          </w:tcPr>
          <w:p w14:paraId="551B2F16"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Sig.</w:t>
            </w:r>
          </w:p>
        </w:tc>
      </w:tr>
      <w:tr w:rsidR="005F1BEC" w:rsidRPr="005F1BEC" w14:paraId="1CD21180" w14:textId="77777777" w:rsidTr="0037632B">
        <w:trPr>
          <w:cantSplit/>
          <w:trHeight w:val="502"/>
        </w:trPr>
        <w:tc>
          <w:tcPr>
            <w:tcW w:w="1923" w:type="dxa"/>
            <w:tcBorders>
              <w:top w:val="single" w:sz="4" w:space="0" w:color="auto"/>
              <w:left w:val="nil"/>
              <w:bottom w:val="single" w:sz="4" w:space="0" w:color="auto"/>
              <w:right w:val="nil"/>
              <w:tl2br w:val="nil"/>
              <w:tr2bl w:val="nil"/>
            </w:tcBorders>
            <w:shd w:val="clear" w:color="auto" w:fill="FFFFFF"/>
            <w:vAlign w:val="center"/>
          </w:tcPr>
          <w:p w14:paraId="494E43AA" w14:textId="77777777" w:rsidR="005F1BEC" w:rsidRPr="005F1BEC" w:rsidRDefault="005F1BEC" w:rsidP="005F1BEC">
            <w:pPr>
              <w:autoSpaceDE w:val="0"/>
              <w:autoSpaceDN w:val="0"/>
              <w:adjustRightInd w:val="0"/>
              <w:rPr>
                <w:rFonts w:ascii="Arial" w:eastAsia="DengXian" w:hAnsi="Arial" w:cs="Arial"/>
                <w:color w:val="000000"/>
              </w:rPr>
            </w:pPr>
            <w:r w:rsidRPr="005F1BEC">
              <w:rPr>
                <w:rFonts w:ascii="Arial" w:eastAsia="Calibri" w:hAnsi="Arial" w:cs="Arial"/>
                <w:color w:val="000000"/>
                <w:lang w:bidi="ar"/>
              </w:rPr>
              <w:lastRenderedPageBreak/>
              <w:t>Between Groups</w:t>
            </w:r>
          </w:p>
        </w:tc>
        <w:tc>
          <w:tcPr>
            <w:tcW w:w="1663" w:type="dxa"/>
            <w:tcBorders>
              <w:top w:val="single" w:sz="4" w:space="0" w:color="auto"/>
              <w:left w:val="nil"/>
              <w:bottom w:val="single" w:sz="4" w:space="0" w:color="auto"/>
              <w:right w:val="nil"/>
              <w:tl2br w:val="nil"/>
              <w:tr2bl w:val="nil"/>
            </w:tcBorders>
            <w:shd w:val="clear" w:color="auto" w:fill="FFFFFF"/>
            <w:vAlign w:val="center"/>
          </w:tcPr>
          <w:p w14:paraId="5A86AF77"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0.240</w:t>
            </w:r>
          </w:p>
        </w:tc>
        <w:tc>
          <w:tcPr>
            <w:tcW w:w="1159" w:type="dxa"/>
            <w:tcBorders>
              <w:top w:val="single" w:sz="4" w:space="0" w:color="auto"/>
              <w:left w:val="nil"/>
              <w:bottom w:val="single" w:sz="4" w:space="0" w:color="auto"/>
              <w:right w:val="nil"/>
              <w:tl2br w:val="nil"/>
              <w:tr2bl w:val="nil"/>
            </w:tcBorders>
            <w:shd w:val="clear" w:color="auto" w:fill="FFFFFF"/>
            <w:vAlign w:val="center"/>
          </w:tcPr>
          <w:p w14:paraId="7C0658D8"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3</w:t>
            </w:r>
          </w:p>
        </w:tc>
        <w:tc>
          <w:tcPr>
            <w:tcW w:w="1594" w:type="dxa"/>
            <w:tcBorders>
              <w:top w:val="single" w:sz="4" w:space="0" w:color="auto"/>
              <w:left w:val="nil"/>
              <w:bottom w:val="single" w:sz="4" w:space="0" w:color="auto"/>
              <w:right w:val="nil"/>
              <w:tl2br w:val="nil"/>
              <w:tr2bl w:val="nil"/>
            </w:tcBorders>
            <w:shd w:val="clear" w:color="auto" w:fill="FFFFFF"/>
            <w:vAlign w:val="center"/>
          </w:tcPr>
          <w:p w14:paraId="1A8B56E6"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0.080</w:t>
            </w:r>
          </w:p>
        </w:tc>
        <w:tc>
          <w:tcPr>
            <w:tcW w:w="1159" w:type="dxa"/>
            <w:tcBorders>
              <w:top w:val="single" w:sz="4" w:space="0" w:color="auto"/>
              <w:left w:val="nil"/>
              <w:bottom w:val="single" w:sz="4" w:space="0" w:color="auto"/>
              <w:right w:val="nil"/>
              <w:tl2br w:val="nil"/>
              <w:tr2bl w:val="nil"/>
            </w:tcBorders>
            <w:shd w:val="clear" w:color="auto" w:fill="FFFFFF"/>
            <w:vAlign w:val="center"/>
          </w:tcPr>
          <w:p w14:paraId="6E9175EA"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0.620</w:t>
            </w:r>
          </w:p>
        </w:tc>
        <w:tc>
          <w:tcPr>
            <w:tcW w:w="1159" w:type="dxa"/>
            <w:tcBorders>
              <w:top w:val="single" w:sz="4" w:space="0" w:color="auto"/>
              <w:left w:val="nil"/>
              <w:bottom w:val="single" w:sz="4" w:space="0" w:color="auto"/>
              <w:right w:val="nil"/>
              <w:tl2br w:val="nil"/>
              <w:tr2bl w:val="nil"/>
            </w:tcBorders>
            <w:shd w:val="clear" w:color="auto" w:fill="FFFFFF"/>
            <w:vAlign w:val="center"/>
          </w:tcPr>
          <w:p w14:paraId="5D659355"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0.607</w:t>
            </w:r>
          </w:p>
        </w:tc>
      </w:tr>
      <w:tr w:rsidR="005F1BEC" w:rsidRPr="005F1BEC" w14:paraId="40A01933" w14:textId="77777777" w:rsidTr="0037632B">
        <w:trPr>
          <w:cantSplit/>
          <w:trHeight w:val="401"/>
        </w:trPr>
        <w:tc>
          <w:tcPr>
            <w:tcW w:w="1923" w:type="dxa"/>
            <w:tcBorders>
              <w:top w:val="single" w:sz="4" w:space="0" w:color="auto"/>
              <w:left w:val="nil"/>
              <w:bottom w:val="single" w:sz="4" w:space="0" w:color="auto"/>
              <w:right w:val="nil"/>
              <w:tl2br w:val="nil"/>
              <w:tr2bl w:val="nil"/>
            </w:tcBorders>
            <w:shd w:val="clear" w:color="auto" w:fill="FFFFFF"/>
            <w:vAlign w:val="center"/>
          </w:tcPr>
          <w:p w14:paraId="41F62B60" w14:textId="77777777" w:rsidR="005F1BEC" w:rsidRPr="005F1BEC" w:rsidRDefault="005F1BEC" w:rsidP="005F1BEC">
            <w:pPr>
              <w:autoSpaceDE w:val="0"/>
              <w:autoSpaceDN w:val="0"/>
              <w:adjustRightInd w:val="0"/>
              <w:rPr>
                <w:rFonts w:ascii="Arial" w:eastAsia="DengXian" w:hAnsi="Arial" w:cs="Arial"/>
                <w:color w:val="000000"/>
              </w:rPr>
            </w:pPr>
            <w:r w:rsidRPr="005F1BEC">
              <w:rPr>
                <w:rFonts w:ascii="Arial" w:eastAsia="Calibri" w:hAnsi="Arial" w:cs="Arial"/>
                <w:color w:val="000000"/>
                <w:lang w:bidi="ar"/>
              </w:rPr>
              <w:t>Within Groups</w:t>
            </w:r>
          </w:p>
        </w:tc>
        <w:tc>
          <w:tcPr>
            <w:tcW w:w="1663" w:type="dxa"/>
            <w:tcBorders>
              <w:top w:val="single" w:sz="4" w:space="0" w:color="auto"/>
              <w:left w:val="nil"/>
              <w:bottom w:val="single" w:sz="4" w:space="0" w:color="auto"/>
              <w:right w:val="nil"/>
              <w:tl2br w:val="nil"/>
              <w:tr2bl w:val="nil"/>
            </w:tcBorders>
            <w:shd w:val="clear" w:color="auto" w:fill="FFFFFF"/>
            <w:vAlign w:val="center"/>
          </w:tcPr>
          <w:p w14:paraId="1BEACD7B"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4.257</w:t>
            </w:r>
          </w:p>
        </w:tc>
        <w:tc>
          <w:tcPr>
            <w:tcW w:w="1159" w:type="dxa"/>
            <w:tcBorders>
              <w:top w:val="single" w:sz="4" w:space="0" w:color="auto"/>
              <w:left w:val="nil"/>
              <w:bottom w:val="single" w:sz="4" w:space="0" w:color="auto"/>
              <w:right w:val="nil"/>
              <w:tl2br w:val="nil"/>
              <w:tr2bl w:val="nil"/>
            </w:tcBorders>
            <w:shd w:val="clear" w:color="auto" w:fill="FFFFFF"/>
            <w:vAlign w:val="center"/>
          </w:tcPr>
          <w:p w14:paraId="19D9A5BA"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33</w:t>
            </w:r>
          </w:p>
        </w:tc>
        <w:tc>
          <w:tcPr>
            <w:tcW w:w="1594" w:type="dxa"/>
            <w:tcBorders>
              <w:top w:val="single" w:sz="4" w:space="0" w:color="auto"/>
              <w:left w:val="nil"/>
              <w:bottom w:val="single" w:sz="4" w:space="0" w:color="auto"/>
              <w:right w:val="nil"/>
              <w:tl2br w:val="nil"/>
              <w:tr2bl w:val="nil"/>
            </w:tcBorders>
            <w:shd w:val="clear" w:color="auto" w:fill="FFFFFF"/>
            <w:vAlign w:val="center"/>
          </w:tcPr>
          <w:p w14:paraId="4DB79355"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0.129</w:t>
            </w:r>
          </w:p>
        </w:tc>
        <w:tc>
          <w:tcPr>
            <w:tcW w:w="1159" w:type="dxa"/>
            <w:tcBorders>
              <w:top w:val="single" w:sz="4" w:space="0" w:color="auto"/>
              <w:left w:val="nil"/>
              <w:bottom w:val="single" w:sz="4" w:space="0" w:color="auto"/>
              <w:right w:val="nil"/>
              <w:tl2br w:val="nil"/>
              <w:tr2bl w:val="nil"/>
            </w:tcBorders>
            <w:shd w:val="clear" w:color="auto" w:fill="FFFFFF"/>
            <w:vAlign w:val="center"/>
          </w:tcPr>
          <w:p w14:paraId="169BF7A7" w14:textId="77777777" w:rsidR="005F1BEC" w:rsidRPr="005F1BEC" w:rsidRDefault="005F1BEC" w:rsidP="005F1BEC">
            <w:pPr>
              <w:autoSpaceDE w:val="0"/>
              <w:autoSpaceDN w:val="0"/>
              <w:adjustRightInd w:val="0"/>
              <w:jc w:val="center"/>
              <w:rPr>
                <w:rFonts w:ascii="Arial" w:eastAsia="DengXian" w:hAnsi="Arial" w:cs="Arial"/>
                <w:color w:val="000000"/>
              </w:rPr>
            </w:pPr>
          </w:p>
        </w:tc>
        <w:tc>
          <w:tcPr>
            <w:tcW w:w="1159" w:type="dxa"/>
            <w:tcBorders>
              <w:top w:val="single" w:sz="4" w:space="0" w:color="auto"/>
              <w:left w:val="nil"/>
              <w:bottom w:val="single" w:sz="4" w:space="0" w:color="auto"/>
              <w:right w:val="nil"/>
              <w:tl2br w:val="nil"/>
              <w:tr2bl w:val="nil"/>
            </w:tcBorders>
            <w:shd w:val="clear" w:color="auto" w:fill="FFFFFF"/>
            <w:vAlign w:val="center"/>
          </w:tcPr>
          <w:p w14:paraId="787877FD" w14:textId="77777777" w:rsidR="005F1BEC" w:rsidRPr="005F1BEC" w:rsidRDefault="005F1BEC" w:rsidP="005F1BEC">
            <w:pPr>
              <w:autoSpaceDE w:val="0"/>
              <w:autoSpaceDN w:val="0"/>
              <w:adjustRightInd w:val="0"/>
              <w:jc w:val="center"/>
              <w:rPr>
                <w:rFonts w:ascii="Arial" w:eastAsia="DengXian" w:hAnsi="Arial" w:cs="Arial"/>
                <w:color w:val="000000"/>
              </w:rPr>
            </w:pPr>
          </w:p>
        </w:tc>
      </w:tr>
      <w:tr w:rsidR="005F1BEC" w:rsidRPr="005F1BEC" w14:paraId="274AC52A" w14:textId="77777777" w:rsidTr="0037632B">
        <w:trPr>
          <w:cantSplit/>
          <w:trHeight w:val="311"/>
        </w:trPr>
        <w:tc>
          <w:tcPr>
            <w:tcW w:w="1923" w:type="dxa"/>
            <w:tcBorders>
              <w:top w:val="single" w:sz="4" w:space="0" w:color="auto"/>
              <w:left w:val="nil"/>
              <w:bottom w:val="single" w:sz="4" w:space="0" w:color="auto"/>
              <w:right w:val="nil"/>
              <w:tl2br w:val="nil"/>
              <w:tr2bl w:val="nil"/>
            </w:tcBorders>
            <w:shd w:val="clear" w:color="auto" w:fill="FFFFFF"/>
            <w:vAlign w:val="center"/>
          </w:tcPr>
          <w:p w14:paraId="58F38FC5" w14:textId="77777777" w:rsidR="005F1BEC" w:rsidRPr="005F1BEC" w:rsidRDefault="005F1BEC" w:rsidP="005F1BEC">
            <w:pPr>
              <w:autoSpaceDE w:val="0"/>
              <w:autoSpaceDN w:val="0"/>
              <w:adjustRightInd w:val="0"/>
              <w:rPr>
                <w:rFonts w:ascii="Arial" w:eastAsia="DengXian" w:hAnsi="Arial" w:cs="Arial"/>
                <w:color w:val="000000"/>
              </w:rPr>
            </w:pPr>
            <w:r w:rsidRPr="005F1BEC">
              <w:rPr>
                <w:rFonts w:ascii="Arial" w:eastAsia="Calibri" w:hAnsi="Arial" w:cs="Arial"/>
                <w:color w:val="000000"/>
                <w:lang w:bidi="ar"/>
              </w:rPr>
              <w:t>Total</w:t>
            </w:r>
          </w:p>
        </w:tc>
        <w:tc>
          <w:tcPr>
            <w:tcW w:w="1663" w:type="dxa"/>
            <w:tcBorders>
              <w:top w:val="single" w:sz="4" w:space="0" w:color="auto"/>
              <w:left w:val="nil"/>
              <w:bottom w:val="single" w:sz="4" w:space="0" w:color="auto"/>
              <w:right w:val="nil"/>
              <w:tl2br w:val="nil"/>
              <w:tr2bl w:val="nil"/>
            </w:tcBorders>
            <w:shd w:val="clear" w:color="auto" w:fill="FFFFFF"/>
            <w:vAlign w:val="center"/>
          </w:tcPr>
          <w:p w14:paraId="12DF5508"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4.497</w:t>
            </w:r>
          </w:p>
        </w:tc>
        <w:tc>
          <w:tcPr>
            <w:tcW w:w="1159" w:type="dxa"/>
            <w:tcBorders>
              <w:top w:val="single" w:sz="4" w:space="0" w:color="auto"/>
              <w:left w:val="nil"/>
              <w:bottom w:val="single" w:sz="4" w:space="0" w:color="auto"/>
              <w:right w:val="nil"/>
              <w:tl2br w:val="nil"/>
              <w:tr2bl w:val="nil"/>
            </w:tcBorders>
            <w:shd w:val="clear" w:color="auto" w:fill="FFFFFF"/>
            <w:vAlign w:val="center"/>
          </w:tcPr>
          <w:p w14:paraId="1CCDCCEE" w14:textId="77777777" w:rsidR="005F1BEC" w:rsidRPr="005F1BEC" w:rsidRDefault="005F1BEC" w:rsidP="005F1BEC">
            <w:pPr>
              <w:autoSpaceDE w:val="0"/>
              <w:autoSpaceDN w:val="0"/>
              <w:adjustRightInd w:val="0"/>
              <w:jc w:val="center"/>
              <w:rPr>
                <w:rFonts w:ascii="Arial" w:eastAsia="DengXian" w:hAnsi="Arial" w:cs="Arial"/>
                <w:color w:val="000000"/>
              </w:rPr>
            </w:pPr>
            <w:r w:rsidRPr="005F1BEC">
              <w:rPr>
                <w:rFonts w:ascii="Arial" w:eastAsia="Calibri" w:hAnsi="Arial" w:cs="Arial"/>
                <w:color w:val="000000"/>
                <w:lang w:bidi="ar"/>
              </w:rPr>
              <w:t>36</w:t>
            </w:r>
          </w:p>
        </w:tc>
        <w:tc>
          <w:tcPr>
            <w:tcW w:w="1594" w:type="dxa"/>
            <w:tcBorders>
              <w:top w:val="single" w:sz="4" w:space="0" w:color="auto"/>
              <w:left w:val="nil"/>
              <w:bottom w:val="single" w:sz="4" w:space="0" w:color="auto"/>
              <w:right w:val="nil"/>
              <w:tl2br w:val="nil"/>
              <w:tr2bl w:val="nil"/>
            </w:tcBorders>
            <w:shd w:val="clear" w:color="auto" w:fill="FFFFFF"/>
            <w:vAlign w:val="center"/>
          </w:tcPr>
          <w:p w14:paraId="1E3B82B5" w14:textId="77777777" w:rsidR="005F1BEC" w:rsidRPr="005F1BEC" w:rsidRDefault="005F1BEC" w:rsidP="005F1BEC">
            <w:pPr>
              <w:autoSpaceDE w:val="0"/>
              <w:autoSpaceDN w:val="0"/>
              <w:adjustRightInd w:val="0"/>
              <w:jc w:val="center"/>
              <w:rPr>
                <w:rFonts w:ascii="Arial" w:eastAsia="DengXian" w:hAnsi="Arial" w:cs="Arial"/>
                <w:color w:val="000000"/>
              </w:rPr>
            </w:pPr>
          </w:p>
        </w:tc>
        <w:tc>
          <w:tcPr>
            <w:tcW w:w="1159" w:type="dxa"/>
            <w:tcBorders>
              <w:top w:val="single" w:sz="4" w:space="0" w:color="auto"/>
              <w:left w:val="nil"/>
              <w:bottom w:val="single" w:sz="4" w:space="0" w:color="auto"/>
              <w:right w:val="nil"/>
              <w:tl2br w:val="nil"/>
              <w:tr2bl w:val="nil"/>
            </w:tcBorders>
            <w:shd w:val="clear" w:color="auto" w:fill="FFFFFF"/>
            <w:vAlign w:val="center"/>
          </w:tcPr>
          <w:p w14:paraId="6C120EBA" w14:textId="77777777" w:rsidR="005F1BEC" w:rsidRPr="005F1BEC" w:rsidRDefault="005F1BEC" w:rsidP="005F1BEC">
            <w:pPr>
              <w:autoSpaceDE w:val="0"/>
              <w:autoSpaceDN w:val="0"/>
              <w:adjustRightInd w:val="0"/>
              <w:jc w:val="center"/>
              <w:rPr>
                <w:rFonts w:ascii="Arial" w:eastAsia="DengXian" w:hAnsi="Arial" w:cs="Arial"/>
                <w:color w:val="000000"/>
              </w:rPr>
            </w:pPr>
          </w:p>
        </w:tc>
        <w:tc>
          <w:tcPr>
            <w:tcW w:w="1159" w:type="dxa"/>
            <w:tcBorders>
              <w:top w:val="single" w:sz="4" w:space="0" w:color="auto"/>
              <w:left w:val="nil"/>
              <w:bottom w:val="single" w:sz="4" w:space="0" w:color="auto"/>
              <w:right w:val="nil"/>
              <w:tl2br w:val="nil"/>
              <w:tr2bl w:val="nil"/>
            </w:tcBorders>
            <w:shd w:val="clear" w:color="auto" w:fill="FFFFFF"/>
            <w:vAlign w:val="center"/>
          </w:tcPr>
          <w:p w14:paraId="0BCBDF86" w14:textId="77777777" w:rsidR="005F1BEC" w:rsidRPr="005F1BEC" w:rsidRDefault="005F1BEC" w:rsidP="005F1BEC">
            <w:pPr>
              <w:autoSpaceDE w:val="0"/>
              <w:autoSpaceDN w:val="0"/>
              <w:adjustRightInd w:val="0"/>
              <w:jc w:val="center"/>
              <w:rPr>
                <w:rFonts w:ascii="Arial" w:eastAsia="DengXian" w:hAnsi="Arial" w:cs="Arial"/>
                <w:color w:val="000000"/>
              </w:rPr>
            </w:pPr>
          </w:p>
        </w:tc>
      </w:tr>
    </w:tbl>
    <w:p w14:paraId="7A7A998C" w14:textId="77777777" w:rsidR="005F1BEC" w:rsidRPr="005F1BEC" w:rsidRDefault="005F1BEC" w:rsidP="005F1BEC">
      <w:pPr>
        <w:widowControl w:val="0"/>
        <w:autoSpaceDE w:val="0"/>
        <w:autoSpaceDN w:val="0"/>
        <w:jc w:val="both"/>
        <w:rPr>
          <w:rFonts w:ascii="Arial" w:eastAsia="Times New Roman" w:hAnsi="Arial" w:cs="Arial"/>
        </w:rPr>
      </w:pPr>
    </w:p>
    <w:p w14:paraId="358539EB" w14:textId="3899E3DC" w:rsidR="002200F1" w:rsidRPr="002200F1" w:rsidRDefault="002200F1" w:rsidP="002200F1">
      <w:pPr>
        <w:ind w:right="-630"/>
        <w:jc w:val="both"/>
        <w:rPr>
          <w:rFonts w:ascii="Arial" w:eastAsia="Times New Roman" w:hAnsi="Arial" w:cs="Arial"/>
        </w:rPr>
      </w:pPr>
      <w:r w:rsidRPr="002200F1">
        <w:rPr>
          <w:rFonts w:ascii="Arial" w:eastAsia="Times New Roman" w:hAnsi="Arial" w:cs="Arial"/>
        </w:rPr>
        <w:t>The finding that school district grouping does not significantly affect how BEED graduates are evaluated reinforces the consistency and objectivity of employer feedback. Smith et al. (2020) found that standardized evaluation frameworks and mentorship systems yield consistent results across districts. McMaster and Lembke (2024) similarly confirmed inter-district alignment through training-based frameworks, while Saunders et al. (2019) emphasized that structured leadership protocols reduce district-level discrepancies.</w:t>
      </w:r>
    </w:p>
    <w:p w14:paraId="530BAA56" w14:textId="77777777" w:rsidR="002200F1" w:rsidRPr="002200F1" w:rsidRDefault="002200F1" w:rsidP="002200F1">
      <w:pPr>
        <w:ind w:right="-630"/>
        <w:jc w:val="both"/>
        <w:rPr>
          <w:rFonts w:ascii="Arial" w:eastAsia="Times New Roman" w:hAnsi="Arial" w:cs="Arial"/>
        </w:rPr>
      </w:pPr>
    </w:p>
    <w:p w14:paraId="01928767" w14:textId="77777777" w:rsidR="002200F1" w:rsidRPr="002200F1" w:rsidRDefault="002200F1" w:rsidP="002200F1">
      <w:pPr>
        <w:ind w:right="-630"/>
        <w:jc w:val="both"/>
        <w:rPr>
          <w:rFonts w:ascii="Arial" w:eastAsia="Times New Roman" w:hAnsi="Arial" w:cs="Arial"/>
        </w:rPr>
      </w:pPr>
      <w:r w:rsidRPr="002200F1">
        <w:rPr>
          <w:rFonts w:ascii="Arial" w:eastAsia="Times New Roman" w:hAnsi="Arial" w:cs="Arial"/>
        </w:rPr>
        <w:t>These results support the strong and consistent performance ratings of BEED graduates in collaboration (x̄ = 4.50), leadership (x̄ = 4.47), and assessment (x̄ = 4.46), affirming Becker’s Human Capital Theory (1964). This theory highlights how education enhances productivity and labor market value. The BEED program clearly transforms student potential into employable, competent professionals by cultivating both cognitive (e.g., subject knowledge) and non-cognitive skills (e.g., communication, flexibility).</w:t>
      </w:r>
    </w:p>
    <w:p w14:paraId="6D612BF1" w14:textId="77777777" w:rsidR="002200F1" w:rsidRPr="002200F1" w:rsidRDefault="002200F1" w:rsidP="002200F1">
      <w:pPr>
        <w:ind w:right="-630"/>
        <w:jc w:val="both"/>
        <w:rPr>
          <w:rFonts w:ascii="Arial" w:eastAsia="Times New Roman" w:hAnsi="Arial" w:cs="Arial"/>
        </w:rPr>
      </w:pPr>
    </w:p>
    <w:p w14:paraId="1C5A7E0D" w14:textId="6094D4D7" w:rsidR="000B1D44" w:rsidRPr="005F1BEC" w:rsidRDefault="002200F1" w:rsidP="002200F1">
      <w:pPr>
        <w:ind w:right="-630"/>
        <w:jc w:val="both"/>
        <w:rPr>
          <w:rFonts w:ascii="Arial" w:eastAsia="Arial" w:hAnsi="Arial" w:cs="Arial"/>
        </w:rPr>
      </w:pPr>
      <w:r w:rsidRPr="002200F1">
        <w:rPr>
          <w:rFonts w:ascii="Arial" w:eastAsia="Times New Roman" w:hAnsi="Arial" w:cs="Arial"/>
        </w:rPr>
        <w:t xml:space="preserve">Supporting this, </w:t>
      </w:r>
      <w:proofErr w:type="spellStart"/>
      <w:r w:rsidRPr="002200F1">
        <w:rPr>
          <w:rFonts w:ascii="Arial" w:eastAsia="Times New Roman" w:hAnsi="Arial" w:cs="Arial"/>
        </w:rPr>
        <w:t>Salendab</w:t>
      </w:r>
      <w:proofErr w:type="spellEnd"/>
      <w:r w:rsidRPr="002200F1">
        <w:rPr>
          <w:rFonts w:ascii="Arial" w:eastAsia="Times New Roman" w:hAnsi="Arial" w:cs="Arial"/>
        </w:rPr>
        <w:t xml:space="preserve"> and </w:t>
      </w:r>
      <w:proofErr w:type="spellStart"/>
      <w:r w:rsidRPr="002200F1">
        <w:rPr>
          <w:rFonts w:ascii="Arial" w:eastAsia="Times New Roman" w:hAnsi="Arial" w:cs="Arial"/>
        </w:rPr>
        <w:t>Ocariza-Salendab</w:t>
      </w:r>
      <w:proofErr w:type="spellEnd"/>
      <w:r w:rsidRPr="002200F1">
        <w:rPr>
          <w:rFonts w:ascii="Arial" w:eastAsia="Times New Roman" w:hAnsi="Arial" w:cs="Arial"/>
        </w:rPr>
        <w:t xml:space="preserve"> (2023) and </w:t>
      </w:r>
      <w:proofErr w:type="spellStart"/>
      <w:r w:rsidRPr="002200F1">
        <w:rPr>
          <w:rFonts w:ascii="Arial" w:eastAsia="Times New Roman" w:hAnsi="Arial" w:cs="Arial"/>
        </w:rPr>
        <w:t>Tapadera</w:t>
      </w:r>
      <w:proofErr w:type="spellEnd"/>
      <w:r w:rsidRPr="002200F1">
        <w:rPr>
          <w:rFonts w:ascii="Arial" w:eastAsia="Times New Roman" w:hAnsi="Arial" w:cs="Arial"/>
        </w:rPr>
        <w:t xml:space="preserve"> et al. (2024) found that BEED graduates exhibit strong teaching adaptability and interpersonal skills. </w:t>
      </w:r>
      <w:proofErr w:type="spellStart"/>
      <w:r w:rsidR="00345412" w:rsidRPr="00345412">
        <w:rPr>
          <w:rFonts w:ascii="Arial" w:eastAsia="Times New Roman" w:hAnsi="Arial" w:cs="Arial"/>
        </w:rPr>
        <w:t>Gacasan</w:t>
      </w:r>
      <w:proofErr w:type="spellEnd"/>
      <w:r w:rsidR="00345412" w:rsidRPr="00345412">
        <w:rPr>
          <w:rFonts w:ascii="Arial" w:eastAsia="Times New Roman" w:hAnsi="Arial" w:cs="Arial"/>
        </w:rPr>
        <w:t xml:space="preserve"> et al. (2024)</w:t>
      </w:r>
      <w:r w:rsidR="00345412">
        <w:rPr>
          <w:rFonts w:ascii="Arial" w:eastAsia="Times New Roman" w:hAnsi="Arial" w:cs="Arial"/>
        </w:rPr>
        <w:t xml:space="preserve"> </w:t>
      </w:r>
      <w:r w:rsidRPr="002200F1">
        <w:rPr>
          <w:rFonts w:ascii="Arial" w:eastAsia="Times New Roman" w:hAnsi="Arial" w:cs="Arial"/>
        </w:rPr>
        <w:t xml:space="preserve">linked employer satisfaction to robust academic training, while </w:t>
      </w:r>
      <w:proofErr w:type="spellStart"/>
      <w:r w:rsidRPr="002200F1">
        <w:rPr>
          <w:rFonts w:ascii="Arial" w:eastAsia="Times New Roman" w:hAnsi="Arial" w:cs="Arial"/>
        </w:rPr>
        <w:t>Batisla-ong</w:t>
      </w:r>
      <w:proofErr w:type="spellEnd"/>
      <w:r w:rsidRPr="002200F1">
        <w:rPr>
          <w:rFonts w:ascii="Arial" w:eastAsia="Times New Roman" w:hAnsi="Arial" w:cs="Arial"/>
        </w:rPr>
        <w:t xml:space="preserve"> (2022) and </w:t>
      </w:r>
      <w:proofErr w:type="spellStart"/>
      <w:r w:rsidRPr="002200F1">
        <w:rPr>
          <w:rFonts w:ascii="Arial" w:eastAsia="Times New Roman" w:hAnsi="Arial" w:cs="Arial"/>
        </w:rPr>
        <w:t>Caingcoy</w:t>
      </w:r>
      <w:proofErr w:type="spellEnd"/>
      <w:r w:rsidRPr="002200F1">
        <w:rPr>
          <w:rFonts w:ascii="Arial" w:eastAsia="Times New Roman" w:hAnsi="Arial" w:cs="Arial"/>
        </w:rPr>
        <w:t xml:space="preserve"> and Barroso (2020) highlighted key workplace competencies like leadership and collaboration. Altogether, these findings demonstrate that BEED graduates represent strong returns on educational investment, as predicted by Human Capital Theory.</w:t>
      </w:r>
    </w:p>
    <w:p w14:paraId="56A26AA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2FE154EB" w14:textId="726871B2" w:rsidR="000B1D44" w:rsidRDefault="009D549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6</w:t>
      </w:r>
      <w:r w:rsidR="00DA622F">
        <w:rPr>
          <w:rFonts w:ascii="Arial" w:eastAsia="Arial" w:hAnsi="Arial" w:cs="Arial"/>
          <w:b/>
          <w:smallCaps/>
          <w:color w:val="000000"/>
          <w:sz w:val="22"/>
          <w:szCs w:val="22"/>
        </w:rPr>
        <w:t xml:space="preserve">. CONCLUSIONS AND RECOMMENDATIONS </w:t>
      </w:r>
    </w:p>
    <w:p w14:paraId="72837836"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8A79C57"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Conclusion</w:t>
      </w:r>
      <w:r>
        <w:rPr>
          <w:rFonts w:ascii="Arial" w:eastAsia="Arial" w:hAnsi="Arial" w:cs="Arial"/>
          <w:b/>
          <w:color w:val="000000"/>
          <w:highlight w:val="white"/>
        </w:rPr>
        <w:br/>
      </w:r>
    </w:p>
    <w:p w14:paraId="09B58947" w14:textId="5B06BBEE" w:rsidR="00026464" w:rsidRPr="00026464" w:rsidRDefault="005F1BEC" w:rsidP="00026464">
      <w:pPr>
        <w:ind w:firstLine="360"/>
        <w:jc w:val="both"/>
        <w:rPr>
          <w:rFonts w:ascii="Arial" w:eastAsia="Arial" w:hAnsi="Arial" w:cs="Arial"/>
          <w:color w:val="000000"/>
        </w:rPr>
      </w:pPr>
      <w:r w:rsidRPr="005F1BEC">
        <w:rPr>
          <w:rFonts w:ascii="Arial" w:eastAsia="Arial" w:hAnsi="Arial" w:cs="Arial"/>
          <w:color w:val="000000"/>
        </w:rPr>
        <w:t>Based on the findings, this paper concluded:</w:t>
      </w:r>
    </w:p>
    <w:p w14:paraId="2783A294" w14:textId="1D21682A" w:rsidR="00940B5C" w:rsidRPr="00940B5C" w:rsidRDefault="00940B5C" w:rsidP="00940B5C">
      <w:pPr>
        <w:pStyle w:val="ListParagraph"/>
        <w:numPr>
          <w:ilvl w:val="0"/>
          <w:numId w:val="27"/>
        </w:numPr>
        <w:jc w:val="both"/>
        <w:rPr>
          <w:rFonts w:ascii="Arial" w:eastAsia="Arial" w:hAnsi="Arial" w:cs="Arial"/>
          <w:color w:val="000000"/>
        </w:rPr>
      </w:pPr>
      <w:r w:rsidRPr="00940B5C">
        <w:rPr>
          <w:rFonts w:ascii="Arial" w:eastAsia="Arial" w:hAnsi="Arial" w:cs="Arial"/>
          <w:color w:val="000000"/>
        </w:rPr>
        <w:t xml:space="preserve">Most respondents providing feedback on BEED graduates are female school principals, aged 41–60, with over 16 years of service, primarily from </w:t>
      </w:r>
      <w:proofErr w:type="spellStart"/>
      <w:r w:rsidRPr="00940B5C">
        <w:rPr>
          <w:rFonts w:ascii="Arial" w:eastAsia="Arial" w:hAnsi="Arial" w:cs="Arial"/>
          <w:color w:val="000000"/>
        </w:rPr>
        <w:t>Cateel</w:t>
      </w:r>
      <w:proofErr w:type="spellEnd"/>
      <w:r w:rsidRPr="00940B5C">
        <w:rPr>
          <w:rFonts w:ascii="Arial" w:eastAsia="Arial" w:hAnsi="Arial" w:cs="Arial"/>
          <w:color w:val="000000"/>
        </w:rPr>
        <w:t xml:space="preserve"> 2 District. Their depth of experience and leadership positions lend credibility and reliability to the evaluations gathered. This affirms that the feedback is not only informed by extensive professional exposure but can also be used as a dependable basis for improving teacher preparation, aligning it with the expectations of seasoned school leaders who directly observe graduate performance in real classroom settings.</w:t>
      </w:r>
    </w:p>
    <w:p w14:paraId="750C85C7" w14:textId="77777777" w:rsidR="00940B5C" w:rsidRDefault="00940B5C" w:rsidP="00940B5C">
      <w:pPr>
        <w:pStyle w:val="ListParagraph"/>
        <w:numPr>
          <w:ilvl w:val="0"/>
          <w:numId w:val="27"/>
        </w:numPr>
        <w:jc w:val="both"/>
        <w:rPr>
          <w:rFonts w:ascii="Arial" w:eastAsia="Arial" w:hAnsi="Arial" w:cs="Arial"/>
          <w:color w:val="000000"/>
        </w:rPr>
      </w:pPr>
      <w:r w:rsidRPr="00940B5C">
        <w:rPr>
          <w:rFonts w:ascii="Arial" w:eastAsia="Arial" w:hAnsi="Arial" w:cs="Arial"/>
          <w:color w:val="000000"/>
        </w:rPr>
        <w:t xml:space="preserve">BEED graduates from Davao Oriental State University – </w:t>
      </w:r>
      <w:proofErr w:type="spellStart"/>
      <w:r w:rsidRPr="00940B5C">
        <w:rPr>
          <w:rFonts w:ascii="Arial" w:eastAsia="Arial" w:hAnsi="Arial" w:cs="Arial"/>
          <w:color w:val="000000"/>
        </w:rPr>
        <w:t>Cateel</w:t>
      </w:r>
      <w:proofErr w:type="spellEnd"/>
      <w:r w:rsidRPr="00940B5C">
        <w:rPr>
          <w:rFonts w:ascii="Arial" w:eastAsia="Arial" w:hAnsi="Arial" w:cs="Arial"/>
          <w:color w:val="000000"/>
        </w:rPr>
        <w:t xml:space="preserve"> Campus are performing at a very satisfactory level across essential teaching domains, with collaboration receiving the highest rating. This reflects graduates' strong teamwork, professionalism, and community engagement. High ratings in leadership, subject knowledge, and classroom management further validate their readiness for the teaching profession. Although flexibility and adaptability scored the lowest among the domains, it still reflected strength. These results suggest that the BEED curriculum is generally effective, but could benefit from targeted enhancements such as resilience training, adaptive pedagogy, and exposure to dynamic classroom scenarios. Such improvements would better equip graduates to navigate the rapidly evolving demands of the education sector.</w:t>
      </w:r>
    </w:p>
    <w:p w14:paraId="23C36720" w14:textId="4C1C4EEC" w:rsidR="00AF3C8B" w:rsidRPr="00940B5C" w:rsidRDefault="00940B5C" w:rsidP="00940B5C">
      <w:pPr>
        <w:pStyle w:val="ListParagraph"/>
        <w:numPr>
          <w:ilvl w:val="0"/>
          <w:numId w:val="27"/>
        </w:numPr>
        <w:jc w:val="both"/>
        <w:rPr>
          <w:rFonts w:ascii="Arial" w:eastAsia="Arial" w:hAnsi="Arial" w:cs="Arial"/>
          <w:color w:val="000000"/>
        </w:rPr>
      </w:pPr>
      <w:r w:rsidRPr="00940B5C">
        <w:rPr>
          <w:rFonts w:ascii="Arial" w:eastAsia="Arial" w:hAnsi="Arial" w:cs="Arial"/>
          <w:color w:val="000000"/>
        </w:rPr>
        <w:t xml:space="preserve">The absence of significant differences in employer feedback across variables such as age, gender, position, years in service, and district highlights the consistency, impartiality, and validity of the assessments. This consistency implies that the BEED </w:t>
      </w:r>
      <w:r w:rsidRPr="00940B5C">
        <w:rPr>
          <w:rFonts w:ascii="Arial" w:eastAsia="Arial" w:hAnsi="Arial" w:cs="Arial"/>
          <w:color w:val="000000"/>
        </w:rPr>
        <w:lastRenderedPageBreak/>
        <w:t>program is producing uniformly competent graduates, regardless of deployment location or evaluator profile, which strengthens stakeholder confidence in the program. It also suggests that future program evaluations and improvements can be confidently based on such feedback, knowing it reflects shared professional standards rather than subjective bias.</w:t>
      </w:r>
    </w:p>
    <w:p w14:paraId="675E8701" w14:textId="77777777" w:rsidR="00AF3C8B" w:rsidRDefault="00AF3C8B">
      <w:pPr>
        <w:pBdr>
          <w:top w:val="nil"/>
          <w:left w:val="nil"/>
          <w:bottom w:val="nil"/>
          <w:right w:val="nil"/>
          <w:between w:val="nil"/>
        </w:pBdr>
        <w:jc w:val="both"/>
        <w:rPr>
          <w:rFonts w:ascii="Arial" w:eastAsia="Arial" w:hAnsi="Arial" w:cs="Arial"/>
          <w:b/>
          <w:color w:val="000000"/>
          <w:highlight w:val="white"/>
        </w:rPr>
      </w:pPr>
    </w:p>
    <w:p w14:paraId="430B1868" w14:textId="168A1FAC"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Recommendation</w:t>
      </w:r>
    </w:p>
    <w:p w14:paraId="4BEDC5CD" w14:textId="31E56197" w:rsidR="007B5D8D" w:rsidRDefault="007B5D8D">
      <w:pPr>
        <w:pBdr>
          <w:top w:val="nil"/>
          <w:left w:val="nil"/>
          <w:bottom w:val="nil"/>
          <w:right w:val="nil"/>
          <w:between w:val="nil"/>
        </w:pBdr>
        <w:jc w:val="both"/>
        <w:rPr>
          <w:rFonts w:ascii="Arial" w:eastAsia="Arial" w:hAnsi="Arial" w:cs="Arial"/>
          <w:b/>
          <w:color w:val="000000"/>
          <w:highlight w:val="white"/>
        </w:rPr>
      </w:pPr>
    </w:p>
    <w:p w14:paraId="47DDA2DD" w14:textId="103B5616" w:rsidR="007B5D8D" w:rsidRPr="007B5D8D" w:rsidRDefault="007B5D8D">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ab/>
      </w:r>
      <w:r w:rsidR="005F1BEC" w:rsidRPr="005F1BEC">
        <w:rPr>
          <w:rFonts w:ascii="Arial" w:eastAsia="Arial" w:hAnsi="Arial" w:cs="Arial"/>
          <w:color w:val="000000"/>
        </w:rPr>
        <w:t>Based on the study’s results and conclusion, the following recommendations were made:</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DB3D8E1" w14:textId="77777777" w:rsidR="005F1BEC" w:rsidRPr="005F1BEC" w:rsidRDefault="005F1BEC" w:rsidP="005F1BEC">
      <w:pPr>
        <w:pStyle w:val="ListParagraph"/>
        <w:numPr>
          <w:ilvl w:val="0"/>
          <w:numId w:val="4"/>
        </w:numPr>
        <w:jc w:val="both"/>
        <w:rPr>
          <w:rFonts w:ascii="Arial" w:eastAsia="Arial" w:hAnsi="Arial" w:cs="Arial"/>
          <w:color w:val="000000"/>
        </w:rPr>
      </w:pPr>
      <w:r w:rsidRPr="005F1BEC">
        <w:rPr>
          <w:rFonts w:ascii="Arial" w:eastAsia="Arial" w:hAnsi="Arial" w:cs="Arial"/>
          <w:color w:val="000000"/>
        </w:rPr>
        <w:t xml:space="preserve">Future tracer studies may aim for a broader geographical reach, extending beyond the three municipalities (Boston, </w:t>
      </w:r>
      <w:proofErr w:type="spellStart"/>
      <w:r w:rsidRPr="005F1BEC">
        <w:rPr>
          <w:rFonts w:ascii="Arial" w:eastAsia="Arial" w:hAnsi="Arial" w:cs="Arial"/>
          <w:color w:val="000000"/>
        </w:rPr>
        <w:t>Cateel</w:t>
      </w:r>
      <w:proofErr w:type="spellEnd"/>
      <w:r w:rsidRPr="005F1BEC">
        <w:rPr>
          <w:rFonts w:ascii="Arial" w:eastAsia="Arial" w:hAnsi="Arial" w:cs="Arial"/>
          <w:color w:val="000000"/>
        </w:rPr>
        <w:t xml:space="preserve">, and </w:t>
      </w:r>
      <w:proofErr w:type="spellStart"/>
      <w:r w:rsidRPr="005F1BEC">
        <w:rPr>
          <w:rFonts w:ascii="Arial" w:eastAsia="Arial" w:hAnsi="Arial" w:cs="Arial"/>
          <w:color w:val="000000"/>
        </w:rPr>
        <w:t>Baganga</w:t>
      </w:r>
      <w:proofErr w:type="spellEnd"/>
      <w:r w:rsidRPr="005F1BEC">
        <w:rPr>
          <w:rFonts w:ascii="Arial" w:eastAsia="Arial" w:hAnsi="Arial" w:cs="Arial"/>
          <w:color w:val="000000"/>
        </w:rPr>
        <w:t>) to gather more diverse employer insights, thereby enhancing the generalizability of the findings.</w:t>
      </w:r>
    </w:p>
    <w:p w14:paraId="379415A4" w14:textId="77777777" w:rsidR="005F1BEC" w:rsidRPr="005F1BEC" w:rsidRDefault="005F1BEC" w:rsidP="005F1BEC">
      <w:pPr>
        <w:pStyle w:val="ListParagraph"/>
        <w:numPr>
          <w:ilvl w:val="0"/>
          <w:numId w:val="4"/>
        </w:numPr>
        <w:jc w:val="both"/>
        <w:rPr>
          <w:rFonts w:ascii="Arial" w:eastAsia="Arial" w:hAnsi="Arial" w:cs="Arial"/>
          <w:color w:val="000000"/>
        </w:rPr>
      </w:pPr>
      <w:r w:rsidRPr="005F1BEC">
        <w:rPr>
          <w:rFonts w:ascii="Arial" w:eastAsia="Arial" w:hAnsi="Arial" w:cs="Arial"/>
          <w:color w:val="000000"/>
        </w:rPr>
        <w:t>Intensify Experiential and Contextual Learning- Provide more exposure to diverse teaching situations through enhanced practicum placements, immersion in remote or multi-grade schools, and scenario-based classroom simulations to strengthen real-time decision-making and responsiveness.</w:t>
      </w:r>
    </w:p>
    <w:p w14:paraId="2E812897" w14:textId="57E304BD" w:rsidR="00026464" w:rsidRDefault="005F1BEC" w:rsidP="005F1BEC">
      <w:pPr>
        <w:pStyle w:val="ListParagraph"/>
        <w:numPr>
          <w:ilvl w:val="0"/>
          <w:numId w:val="4"/>
        </w:numPr>
        <w:jc w:val="both"/>
        <w:rPr>
          <w:rFonts w:ascii="Arial" w:eastAsia="Arial" w:hAnsi="Arial" w:cs="Arial"/>
          <w:color w:val="000000"/>
        </w:rPr>
      </w:pPr>
      <w:r w:rsidRPr="005F1BEC">
        <w:rPr>
          <w:rFonts w:ascii="Arial" w:eastAsia="Arial" w:hAnsi="Arial" w:cs="Arial"/>
          <w:color w:val="000000"/>
        </w:rPr>
        <w:t>Future researchers may explore qualitative insights for depth, as quantitative data revealed no significant differences. Future studies may benefit from qualitative interviews or focus groups to gain deeper insights into subtle perceptions or context-based observations that statistical measures may not capture.</w:t>
      </w:r>
    </w:p>
    <w:p w14:paraId="3B399ABB" w14:textId="2DCCE4C6" w:rsidR="00EE4CB3" w:rsidRDefault="00EE4CB3" w:rsidP="00EE4CB3">
      <w:pPr>
        <w:jc w:val="both"/>
        <w:rPr>
          <w:rFonts w:ascii="Arial" w:eastAsia="Arial" w:hAnsi="Arial" w:cs="Arial"/>
          <w:color w:val="000000"/>
        </w:rPr>
      </w:pPr>
    </w:p>
    <w:p w14:paraId="3FA771C2" w14:textId="0B8089B8" w:rsidR="009B7BAE" w:rsidRDefault="009B7BAE" w:rsidP="00664AEA">
      <w:pPr>
        <w:spacing w:after="200" w:line="276" w:lineRule="auto"/>
        <w:rPr>
          <w:rFonts w:ascii="Calibri" w:eastAsia="Calibri" w:hAnsi="Calibri" w:cs="Times New Roman"/>
          <w:b/>
          <w:kern w:val="2"/>
          <w:sz w:val="22"/>
          <w:szCs w:val="22"/>
          <w:highlight w:val="yellow"/>
          <w:lang w:eastAsia="en-US"/>
        </w:rPr>
      </w:pPr>
      <w:bookmarkStart w:id="1" w:name="_Hlk197682619"/>
      <w:bookmarkStart w:id="2" w:name="_Hlk180402183"/>
      <w:bookmarkStart w:id="3" w:name="_Hlk183680988"/>
    </w:p>
    <w:p w14:paraId="5D3006D3" w14:textId="160EDBFA" w:rsidR="009B7BAE" w:rsidRDefault="009B7BAE" w:rsidP="00664AEA">
      <w:pPr>
        <w:spacing w:after="200" w:line="276" w:lineRule="auto"/>
        <w:rPr>
          <w:rFonts w:ascii="Calibri" w:eastAsia="Calibri" w:hAnsi="Calibri" w:cs="Times New Roman"/>
          <w:b/>
          <w:kern w:val="2"/>
          <w:sz w:val="22"/>
          <w:szCs w:val="22"/>
          <w:highlight w:val="yellow"/>
          <w:lang w:eastAsia="en-US"/>
        </w:rPr>
      </w:pPr>
      <w:r>
        <w:rPr>
          <w:rFonts w:ascii="Calibri" w:eastAsia="Calibri" w:hAnsi="Calibri" w:cs="Times New Roman"/>
          <w:b/>
          <w:kern w:val="2"/>
          <w:sz w:val="22"/>
          <w:szCs w:val="22"/>
          <w:highlight w:val="yellow"/>
          <w:lang w:eastAsia="en-US"/>
        </w:rPr>
        <w:t xml:space="preserve">Ethical Approval: </w:t>
      </w:r>
    </w:p>
    <w:p w14:paraId="5319BE3E" w14:textId="26A14B63" w:rsidR="009B7BAE" w:rsidRPr="009B7BAE" w:rsidRDefault="009B7BAE" w:rsidP="00664AEA">
      <w:pPr>
        <w:spacing w:after="200" w:line="276" w:lineRule="auto"/>
        <w:rPr>
          <w:rFonts w:ascii="Calibri" w:eastAsia="Calibri" w:hAnsi="Calibri" w:cs="Times New Roman"/>
          <w:kern w:val="2"/>
          <w:sz w:val="22"/>
          <w:szCs w:val="22"/>
          <w:lang w:eastAsia="en-US"/>
        </w:rPr>
      </w:pPr>
      <w:r w:rsidRPr="009B7BAE">
        <w:rPr>
          <w:rFonts w:ascii="Calibri" w:eastAsia="Calibri" w:hAnsi="Calibri" w:cs="Times New Roman"/>
          <w:kern w:val="2"/>
          <w:sz w:val="22"/>
          <w:szCs w:val="22"/>
          <w:lang w:eastAsia="en-US"/>
        </w:rPr>
        <w:t>The researcher obtained ethical clearance from the University Research Ethics Board (UREB) prior to commencing the study.</w:t>
      </w:r>
    </w:p>
    <w:p w14:paraId="116EB4FA" w14:textId="77777777" w:rsidR="009B7BAE" w:rsidRPr="009B7BAE" w:rsidRDefault="009B7BAE" w:rsidP="009B7BAE">
      <w:pPr>
        <w:spacing w:after="200" w:line="276" w:lineRule="auto"/>
        <w:rPr>
          <w:rFonts w:ascii="Calibri" w:eastAsia="Calibri" w:hAnsi="Calibri" w:cs="Times New Roman"/>
          <w:b/>
          <w:kern w:val="2"/>
          <w:sz w:val="22"/>
          <w:szCs w:val="22"/>
          <w:lang w:eastAsia="en-US"/>
        </w:rPr>
      </w:pPr>
      <w:r w:rsidRPr="009B7BAE">
        <w:rPr>
          <w:rFonts w:ascii="Calibri" w:eastAsia="Calibri" w:hAnsi="Calibri" w:cs="Times New Roman"/>
          <w:b/>
          <w:kern w:val="2"/>
          <w:sz w:val="22"/>
          <w:szCs w:val="22"/>
          <w:lang w:eastAsia="en-US"/>
        </w:rPr>
        <w:t xml:space="preserve">Consent </w:t>
      </w:r>
    </w:p>
    <w:p w14:paraId="14D5E06C" w14:textId="5F219A6F" w:rsidR="009B7BAE" w:rsidRPr="009B7BAE" w:rsidRDefault="009B7BAE" w:rsidP="009B7BAE">
      <w:pPr>
        <w:spacing w:after="200" w:line="276" w:lineRule="auto"/>
        <w:rPr>
          <w:rFonts w:ascii="Calibri" w:eastAsia="Calibri" w:hAnsi="Calibri" w:cs="Times New Roman"/>
          <w:kern w:val="2"/>
          <w:sz w:val="22"/>
          <w:szCs w:val="22"/>
          <w:highlight w:val="yellow"/>
          <w:lang w:eastAsia="en-US"/>
        </w:rPr>
      </w:pPr>
      <w:r w:rsidRPr="009B7BAE">
        <w:rPr>
          <w:rFonts w:ascii="Calibri" w:eastAsia="Calibri" w:hAnsi="Calibri" w:cs="Times New Roman"/>
          <w:kern w:val="2"/>
          <w:sz w:val="22"/>
          <w:szCs w:val="22"/>
          <w:lang w:eastAsia="en-US"/>
        </w:rPr>
        <w:t>As per international standards or university standards, Participants’ written consent has been collected and preserved by the author(s).</w:t>
      </w:r>
    </w:p>
    <w:p w14:paraId="2B14E530" w14:textId="4728347F" w:rsidR="00664AEA" w:rsidRPr="009B7BAE" w:rsidRDefault="00664AEA" w:rsidP="00664AEA">
      <w:pPr>
        <w:spacing w:after="200" w:line="276" w:lineRule="auto"/>
        <w:rPr>
          <w:rFonts w:ascii="Calibri" w:eastAsia="Calibri" w:hAnsi="Calibri" w:cs="Times New Roman"/>
          <w:b/>
          <w:kern w:val="2"/>
          <w:sz w:val="22"/>
          <w:szCs w:val="22"/>
          <w:highlight w:val="yellow"/>
          <w:lang w:eastAsia="en-US"/>
        </w:rPr>
      </w:pPr>
      <w:r w:rsidRPr="009B7BAE">
        <w:rPr>
          <w:rFonts w:ascii="Calibri" w:eastAsia="Calibri" w:hAnsi="Calibri" w:cs="Times New Roman"/>
          <w:b/>
          <w:kern w:val="2"/>
          <w:sz w:val="22"/>
          <w:szCs w:val="22"/>
          <w:highlight w:val="yellow"/>
          <w:lang w:eastAsia="en-US"/>
        </w:rPr>
        <w:t>Disclaimer (Artificial intelligence)</w:t>
      </w:r>
    </w:p>
    <w:p w14:paraId="5BA92605" w14:textId="77777777" w:rsidR="00664AEA" w:rsidRPr="00664AEA" w:rsidRDefault="00664AEA" w:rsidP="00664AEA">
      <w:pPr>
        <w:spacing w:after="200" w:line="276" w:lineRule="auto"/>
        <w:rPr>
          <w:rFonts w:ascii="Calibri" w:eastAsia="Calibri" w:hAnsi="Calibri" w:cs="Times New Roman"/>
          <w:kern w:val="2"/>
          <w:sz w:val="22"/>
          <w:szCs w:val="22"/>
          <w:highlight w:val="yellow"/>
          <w:lang w:eastAsia="en-US"/>
        </w:rPr>
      </w:pPr>
      <w:r w:rsidRPr="00664AEA">
        <w:rPr>
          <w:rFonts w:ascii="Calibri" w:eastAsia="Calibri" w:hAnsi="Calibri" w:cs="Times New Roman"/>
          <w:kern w:val="2"/>
          <w:sz w:val="22"/>
          <w:szCs w:val="22"/>
          <w:highlight w:val="yellow"/>
          <w:lang w:eastAsia="en-US"/>
        </w:rPr>
        <w:t xml:space="preserve">Option 1: </w:t>
      </w:r>
    </w:p>
    <w:p w14:paraId="032487E1" w14:textId="77777777" w:rsidR="00664AEA" w:rsidRPr="00664AEA" w:rsidRDefault="00664AEA" w:rsidP="00664AEA">
      <w:pPr>
        <w:spacing w:after="200" w:line="276" w:lineRule="auto"/>
        <w:rPr>
          <w:rFonts w:ascii="Calibri" w:eastAsia="Calibri" w:hAnsi="Calibri" w:cs="Times New Roman"/>
          <w:kern w:val="2"/>
          <w:sz w:val="22"/>
          <w:szCs w:val="22"/>
          <w:highlight w:val="yellow"/>
          <w:lang w:eastAsia="en-US"/>
        </w:rPr>
      </w:pPr>
      <w:r w:rsidRPr="00664AEA">
        <w:rPr>
          <w:rFonts w:ascii="Calibri" w:eastAsia="Calibri" w:hAnsi="Calibri" w:cs="Times New Roman"/>
          <w:kern w:val="2"/>
          <w:sz w:val="22"/>
          <w:szCs w:val="22"/>
          <w:highlight w:val="yellow"/>
          <w:lang w:eastAsia="en-US"/>
        </w:rPr>
        <w:t xml:space="preserve">Author(s) hereby declare that NO generative AI technologies such as Large Language Models (ChatGPT, COPILOT, etc.) and text-to-image generators have been used during the writing or editing of this manuscript. </w:t>
      </w:r>
    </w:p>
    <w:p w14:paraId="2B7D7218" w14:textId="77777777" w:rsidR="00664AEA" w:rsidRPr="00664AEA" w:rsidRDefault="00664AEA" w:rsidP="00664AEA">
      <w:pPr>
        <w:spacing w:after="200" w:line="276" w:lineRule="auto"/>
        <w:rPr>
          <w:rFonts w:ascii="Calibri" w:eastAsia="Calibri" w:hAnsi="Calibri" w:cs="Times New Roman"/>
          <w:kern w:val="2"/>
          <w:sz w:val="22"/>
          <w:szCs w:val="22"/>
          <w:highlight w:val="yellow"/>
          <w:lang w:eastAsia="en-US"/>
        </w:rPr>
      </w:pPr>
      <w:r w:rsidRPr="00664AEA">
        <w:rPr>
          <w:rFonts w:ascii="Calibri" w:eastAsia="Calibri" w:hAnsi="Calibri" w:cs="Times New Roman"/>
          <w:kern w:val="2"/>
          <w:sz w:val="22"/>
          <w:szCs w:val="22"/>
          <w:highlight w:val="yellow"/>
          <w:lang w:eastAsia="en-US"/>
        </w:rPr>
        <w:t xml:space="preserve">Option 2: </w:t>
      </w:r>
    </w:p>
    <w:p w14:paraId="068ED4C5" w14:textId="77777777" w:rsidR="00664AEA" w:rsidRPr="00664AEA" w:rsidRDefault="00664AEA" w:rsidP="00664AEA">
      <w:pPr>
        <w:spacing w:after="200" w:line="276" w:lineRule="auto"/>
        <w:rPr>
          <w:rFonts w:ascii="Calibri" w:eastAsia="Calibri" w:hAnsi="Calibri" w:cs="Times New Roman"/>
          <w:kern w:val="2"/>
          <w:sz w:val="22"/>
          <w:szCs w:val="22"/>
          <w:highlight w:val="yellow"/>
          <w:lang w:eastAsia="en-US"/>
        </w:rPr>
      </w:pPr>
      <w:r w:rsidRPr="00664AEA">
        <w:rPr>
          <w:rFonts w:ascii="Calibri" w:eastAsia="Calibri" w:hAnsi="Calibri" w:cs="Times New Roman"/>
          <w:kern w:val="2"/>
          <w:sz w:val="22"/>
          <w:szCs w:val="22"/>
          <w:highlight w:val="yellow"/>
          <w:lang w:eastAsia="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0855013" w14:textId="77777777" w:rsidR="00664AEA" w:rsidRPr="00664AEA" w:rsidRDefault="00664AEA" w:rsidP="00664AEA">
      <w:pPr>
        <w:spacing w:after="200" w:line="276" w:lineRule="auto"/>
        <w:rPr>
          <w:rFonts w:ascii="Calibri" w:eastAsia="Calibri" w:hAnsi="Calibri" w:cs="Times New Roman"/>
          <w:kern w:val="2"/>
          <w:sz w:val="22"/>
          <w:szCs w:val="22"/>
          <w:highlight w:val="yellow"/>
          <w:lang w:eastAsia="en-US"/>
        </w:rPr>
      </w:pPr>
      <w:r w:rsidRPr="00664AEA">
        <w:rPr>
          <w:rFonts w:ascii="Calibri" w:eastAsia="Calibri" w:hAnsi="Calibri" w:cs="Times New Roman"/>
          <w:kern w:val="2"/>
          <w:sz w:val="22"/>
          <w:szCs w:val="22"/>
          <w:highlight w:val="yellow"/>
          <w:lang w:eastAsia="en-US"/>
        </w:rPr>
        <w:lastRenderedPageBreak/>
        <w:t>Details of the AI usage are given below:</w:t>
      </w:r>
    </w:p>
    <w:p w14:paraId="055DBFD3" w14:textId="77777777" w:rsidR="00664AEA" w:rsidRPr="00664AEA" w:rsidRDefault="00664AEA" w:rsidP="00664AEA">
      <w:pPr>
        <w:spacing w:after="200" w:line="276" w:lineRule="auto"/>
        <w:rPr>
          <w:rFonts w:ascii="Calibri" w:eastAsia="Calibri" w:hAnsi="Calibri" w:cs="Times New Roman"/>
          <w:kern w:val="2"/>
          <w:sz w:val="22"/>
          <w:szCs w:val="22"/>
          <w:highlight w:val="yellow"/>
          <w:lang w:eastAsia="en-US"/>
        </w:rPr>
      </w:pPr>
      <w:r w:rsidRPr="00664AEA">
        <w:rPr>
          <w:rFonts w:ascii="Calibri" w:eastAsia="Calibri" w:hAnsi="Calibri" w:cs="Times New Roman"/>
          <w:kern w:val="2"/>
          <w:sz w:val="22"/>
          <w:szCs w:val="22"/>
          <w:highlight w:val="yellow"/>
          <w:lang w:eastAsia="en-US"/>
        </w:rPr>
        <w:t>1.</w:t>
      </w:r>
    </w:p>
    <w:p w14:paraId="7894A9BC" w14:textId="77777777" w:rsidR="00664AEA" w:rsidRPr="00664AEA" w:rsidRDefault="00664AEA" w:rsidP="00664AEA">
      <w:pPr>
        <w:spacing w:after="200" w:line="276" w:lineRule="auto"/>
        <w:rPr>
          <w:rFonts w:ascii="Calibri" w:eastAsia="Calibri" w:hAnsi="Calibri" w:cs="Times New Roman"/>
          <w:kern w:val="2"/>
          <w:sz w:val="22"/>
          <w:szCs w:val="22"/>
          <w:highlight w:val="yellow"/>
          <w:lang w:eastAsia="en-US"/>
        </w:rPr>
      </w:pPr>
      <w:r w:rsidRPr="00664AEA">
        <w:rPr>
          <w:rFonts w:ascii="Calibri" w:eastAsia="Calibri" w:hAnsi="Calibri" w:cs="Times New Roman"/>
          <w:kern w:val="2"/>
          <w:sz w:val="22"/>
          <w:szCs w:val="22"/>
          <w:highlight w:val="yellow"/>
          <w:lang w:eastAsia="en-US"/>
        </w:rPr>
        <w:t>2.</w:t>
      </w:r>
    </w:p>
    <w:p w14:paraId="7A409850" w14:textId="77777777" w:rsidR="00664AEA" w:rsidRPr="00664AEA" w:rsidRDefault="00664AEA" w:rsidP="00664AEA">
      <w:pPr>
        <w:spacing w:after="200" w:line="276" w:lineRule="auto"/>
        <w:rPr>
          <w:rFonts w:ascii="Calibri" w:eastAsia="Calibri" w:hAnsi="Calibri" w:cs="Times New Roman"/>
          <w:kern w:val="2"/>
          <w:sz w:val="22"/>
          <w:szCs w:val="22"/>
          <w:lang w:eastAsia="en-US"/>
        </w:rPr>
      </w:pPr>
      <w:bookmarkStart w:id="4" w:name="_Hlk197682629"/>
      <w:bookmarkEnd w:id="1"/>
      <w:r w:rsidRPr="00664AEA">
        <w:rPr>
          <w:rFonts w:ascii="Calibri" w:eastAsia="Calibri" w:hAnsi="Calibri" w:cs="Times New Roman"/>
          <w:kern w:val="2"/>
          <w:sz w:val="22"/>
          <w:szCs w:val="22"/>
          <w:highlight w:val="yellow"/>
          <w:lang w:eastAsia="en-US"/>
        </w:rPr>
        <w:t>3.</w:t>
      </w:r>
    </w:p>
    <w:bookmarkEnd w:id="2"/>
    <w:bookmarkEnd w:id="3"/>
    <w:bookmarkEnd w:id="4"/>
    <w:p w14:paraId="287141A5" w14:textId="77777777" w:rsidR="00EE4CB3" w:rsidRPr="00EE4CB3" w:rsidRDefault="00EE4CB3" w:rsidP="00EE4CB3">
      <w:pPr>
        <w:jc w:val="both"/>
        <w:rPr>
          <w:rFonts w:ascii="Arial" w:eastAsia="Arial" w:hAnsi="Arial" w:cs="Arial"/>
          <w:color w:val="000000"/>
        </w:rPr>
      </w:pPr>
    </w:p>
    <w:p w14:paraId="6031E49D" w14:textId="77777777" w:rsidR="00AF3C8B" w:rsidRDefault="00AF3C8B" w:rsidP="00AF3C8B">
      <w:pPr>
        <w:pBdr>
          <w:top w:val="nil"/>
          <w:left w:val="nil"/>
          <w:bottom w:val="nil"/>
          <w:right w:val="nil"/>
          <w:between w:val="nil"/>
        </w:pBdr>
        <w:jc w:val="both"/>
        <w:rPr>
          <w:rFonts w:ascii="Arial" w:eastAsia="Arial" w:hAnsi="Arial" w:cs="Arial"/>
          <w:b/>
          <w:color w:val="000000"/>
          <w:highlight w:val="white"/>
        </w:rPr>
      </w:pPr>
    </w:p>
    <w:p w14:paraId="228B7727" w14:textId="77777777" w:rsidR="000B1D44" w:rsidRDefault="000B1D44" w:rsidP="00AF3C8B">
      <w:pPr>
        <w:pBdr>
          <w:top w:val="nil"/>
          <w:left w:val="nil"/>
          <w:bottom w:val="nil"/>
          <w:right w:val="nil"/>
          <w:between w:val="nil"/>
        </w:pBdr>
        <w:jc w:val="both"/>
        <w:rPr>
          <w:rFonts w:ascii="Arial" w:eastAsia="Arial" w:hAnsi="Arial" w:cs="Arial"/>
          <w:color w:val="000000"/>
          <w:highlight w:val="white"/>
        </w:rPr>
      </w:pPr>
    </w:p>
    <w:p w14:paraId="5B66E60A" w14:textId="77777777" w:rsidR="000B1D44" w:rsidRDefault="00DA622F"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REFERENCES</w:t>
      </w:r>
    </w:p>
    <w:p w14:paraId="1FD64782" w14:textId="77777777" w:rsidR="00026464" w:rsidRDefault="00026464" w:rsidP="00AF3C8B">
      <w:pPr>
        <w:pBdr>
          <w:top w:val="nil"/>
          <w:left w:val="nil"/>
          <w:bottom w:val="nil"/>
          <w:right w:val="nil"/>
          <w:between w:val="nil"/>
        </w:pBdr>
        <w:jc w:val="both"/>
        <w:rPr>
          <w:rFonts w:ascii="Arial" w:eastAsia="Arial" w:hAnsi="Arial" w:cs="Arial"/>
          <w:color w:val="000000"/>
          <w:highlight w:val="white"/>
        </w:rPr>
      </w:pPr>
    </w:p>
    <w:p w14:paraId="619B19FE"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Albay, E. M., Aquino, R. L., Alambra, R. V. E., Eisma, D. V., &amp; Quiambao, R. D. (2024). Assessing graduates’ attributes and job performance for program curriculum enhancement. International Journal of Evaluation and Research in Education, 13(4), 2689–2697.</w:t>
      </w:r>
    </w:p>
    <w:p w14:paraId="16410C87" w14:textId="77777777" w:rsidR="00940B5C" w:rsidRDefault="00940B5C" w:rsidP="001561AE">
      <w:pPr>
        <w:pStyle w:val="ListParagraph"/>
        <w:numPr>
          <w:ilvl w:val="0"/>
          <w:numId w:val="2"/>
        </w:numPr>
        <w:pBdr>
          <w:top w:val="nil"/>
          <w:left w:val="nil"/>
          <w:bottom w:val="nil"/>
          <w:right w:val="nil"/>
          <w:between w:val="nil"/>
        </w:pBdr>
        <w:ind w:left="360"/>
        <w:jc w:val="both"/>
        <w:rPr>
          <w:rFonts w:ascii="Arial" w:eastAsia="Arial" w:hAnsi="Arial" w:cs="Arial"/>
          <w:color w:val="000000"/>
        </w:rPr>
      </w:pPr>
      <w:r w:rsidRPr="001561AE">
        <w:rPr>
          <w:rFonts w:ascii="Arial" w:eastAsia="Arial" w:hAnsi="Arial" w:cs="Arial"/>
          <w:color w:val="000000"/>
        </w:rPr>
        <w:t>Anderson, J., &amp; Simpson, J. (2023). "Integrating Technology in Teacher Professional Development: Effects on Feedback and Performance." Computers in Education Journal, 49(6), 455-468.</w:t>
      </w:r>
    </w:p>
    <w:p w14:paraId="588A560E" w14:textId="77777777" w:rsidR="00940B5C" w:rsidRDefault="00940B5C" w:rsidP="00940B5C">
      <w:pPr>
        <w:pStyle w:val="ListParagraph"/>
        <w:numPr>
          <w:ilvl w:val="0"/>
          <w:numId w:val="2"/>
        </w:numPr>
        <w:pBdr>
          <w:top w:val="nil"/>
          <w:left w:val="nil"/>
          <w:bottom w:val="nil"/>
          <w:right w:val="nil"/>
          <w:between w:val="nil"/>
        </w:pBdr>
        <w:ind w:left="360"/>
        <w:jc w:val="both"/>
        <w:rPr>
          <w:rFonts w:ascii="Arial" w:eastAsia="Arial" w:hAnsi="Arial" w:cs="Arial"/>
          <w:color w:val="000000"/>
        </w:rPr>
      </w:pPr>
      <w:r w:rsidRPr="00345412">
        <w:rPr>
          <w:rFonts w:ascii="Arial" w:eastAsia="Arial" w:hAnsi="Arial" w:cs="Arial"/>
          <w:color w:val="000000"/>
        </w:rPr>
        <w:t xml:space="preserve">Apostol, J. M. A., &amp; </w:t>
      </w:r>
      <w:proofErr w:type="spellStart"/>
      <w:r w:rsidRPr="00345412">
        <w:rPr>
          <w:rFonts w:ascii="Arial" w:eastAsia="Arial" w:hAnsi="Arial" w:cs="Arial"/>
          <w:color w:val="000000"/>
        </w:rPr>
        <w:t>Susada</w:t>
      </w:r>
      <w:proofErr w:type="spellEnd"/>
      <w:r w:rsidRPr="00345412">
        <w:rPr>
          <w:rFonts w:ascii="Arial" w:eastAsia="Arial" w:hAnsi="Arial" w:cs="Arial"/>
          <w:color w:val="000000"/>
        </w:rPr>
        <w:t xml:space="preserve">, B. L. (2022). Tracer study of Bachelor of Elementary Education graduates of the Davao Oriental State University – </w:t>
      </w:r>
      <w:proofErr w:type="spellStart"/>
      <w:r w:rsidRPr="00345412">
        <w:rPr>
          <w:rFonts w:ascii="Arial" w:eastAsia="Arial" w:hAnsi="Arial" w:cs="Arial"/>
          <w:color w:val="000000"/>
        </w:rPr>
        <w:t>Cateel</w:t>
      </w:r>
      <w:proofErr w:type="spellEnd"/>
      <w:r w:rsidRPr="00345412">
        <w:rPr>
          <w:rFonts w:ascii="Arial" w:eastAsia="Arial" w:hAnsi="Arial" w:cs="Arial"/>
          <w:color w:val="000000"/>
        </w:rPr>
        <w:t xml:space="preserve"> Extension Campus, Philippines. International Journal of Multidisciplinary: Applied Business and Education Research. </w:t>
      </w:r>
      <w:r w:rsidRPr="00940B5C">
        <w:rPr>
          <w:rFonts w:ascii="Arial" w:eastAsia="Arial" w:hAnsi="Arial" w:cs="Arial"/>
          <w:color w:val="000000"/>
        </w:rPr>
        <w:t>https://doi.org/10.11594/ijmaber.03.10.12</w:t>
      </w:r>
    </w:p>
    <w:p w14:paraId="4E144E12"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Aquino, A., &amp; </w:t>
      </w:r>
      <w:proofErr w:type="spellStart"/>
      <w:r w:rsidRPr="005F1BEC">
        <w:rPr>
          <w:rFonts w:ascii="Arial" w:eastAsia="Arial" w:hAnsi="Arial" w:cs="Arial"/>
          <w:color w:val="000000"/>
        </w:rPr>
        <w:t>Balilla</w:t>
      </w:r>
      <w:proofErr w:type="spellEnd"/>
      <w:r w:rsidRPr="005F1BEC">
        <w:rPr>
          <w:rFonts w:ascii="Arial" w:eastAsia="Arial" w:hAnsi="Arial" w:cs="Arial"/>
          <w:color w:val="000000"/>
        </w:rPr>
        <w:t>, L. (2015). Pre-service teachers’ licensure examination plans and content knowledge. Asia Pacific Journal of Education, Arts and Sciences, 2(2), 110–116.</w:t>
      </w:r>
    </w:p>
    <w:p w14:paraId="7C03F375"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Baird, A. M., &amp; </w:t>
      </w:r>
      <w:proofErr w:type="spellStart"/>
      <w:r w:rsidRPr="005F1BEC">
        <w:rPr>
          <w:rFonts w:ascii="Arial" w:eastAsia="Arial" w:hAnsi="Arial" w:cs="Arial"/>
          <w:color w:val="000000"/>
        </w:rPr>
        <w:t>Parayitam</w:t>
      </w:r>
      <w:proofErr w:type="spellEnd"/>
      <w:r w:rsidRPr="005F1BEC">
        <w:rPr>
          <w:rFonts w:ascii="Arial" w:eastAsia="Arial" w:hAnsi="Arial" w:cs="Arial"/>
          <w:color w:val="000000"/>
        </w:rPr>
        <w:t>, S. (2019). Employers’ ratings of importance of skills and competencies college graduates need to get hired. Education + Training, 61(5), 622–634. https://doi.org/10.1108/et-12-2018-0250</w:t>
      </w:r>
    </w:p>
    <w:p w14:paraId="3E9FD76D"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Batisla-ong</w:t>
      </w:r>
      <w:proofErr w:type="spellEnd"/>
      <w:r w:rsidRPr="005F1BEC">
        <w:rPr>
          <w:rFonts w:ascii="Arial" w:eastAsia="Arial" w:hAnsi="Arial" w:cs="Arial"/>
          <w:color w:val="000000"/>
        </w:rPr>
        <w:t>, S. N. (2022). Immediate supervisor’s satisfaction on teaching competence of teachers produced by one state college in Western Visayas, Philippines. International Research Journal of Science, Technology, Education, &amp; Management (IRJSTEM), 2(1).</w:t>
      </w:r>
    </w:p>
    <w:p w14:paraId="15183742"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Batucan</w:t>
      </w:r>
      <w:proofErr w:type="spellEnd"/>
      <w:r w:rsidRPr="005F1BEC">
        <w:rPr>
          <w:rFonts w:ascii="Arial" w:eastAsia="Arial" w:hAnsi="Arial" w:cs="Arial"/>
          <w:color w:val="000000"/>
        </w:rPr>
        <w:t>, N. A. (2024). Demographic profile of senior high schools as a predictor of Grade 12 National Achievement Test (NAT) results: Basis for an intervention program. Science International (Lahore), 36(6), 677–688.</w:t>
      </w:r>
    </w:p>
    <w:p w14:paraId="5D0C9D77"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Becker, G. S. (1964). Human capital: A theoretical and empirical analysis, with special reference to education. SSRN Electronic Journal. https://papers.ssrn.com/sol3/papers.cfm?abstract_id=1496221</w:t>
      </w:r>
    </w:p>
    <w:p w14:paraId="4801CACD"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Berry, T. E. S. (2020). Teacher absenteeism and its impact on student achievement in a middle rural school [Doctoral dissertation, ProQuest]. https://search.proquest.com/openview/b7d43ea9096f952207e6e4213cf587ac</w:t>
      </w:r>
    </w:p>
    <w:p w14:paraId="07CDFBE2"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Bonsu, D. (2021). The influence of in-service education and training on teacher’s job performance at senior high schools of the </w:t>
      </w:r>
      <w:proofErr w:type="spellStart"/>
      <w:r w:rsidRPr="005F1BEC">
        <w:rPr>
          <w:rFonts w:ascii="Arial" w:eastAsia="Arial" w:hAnsi="Arial" w:cs="Arial"/>
          <w:color w:val="000000"/>
        </w:rPr>
        <w:t>Atwima</w:t>
      </w:r>
      <w:proofErr w:type="spellEnd"/>
      <w:r w:rsidRPr="005F1BEC">
        <w:rPr>
          <w:rFonts w:ascii="Arial" w:eastAsia="Arial" w:hAnsi="Arial" w:cs="Arial"/>
          <w:color w:val="000000"/>
        </w:rPr>
        <w:t xml:space="preserve"> </w:t>
      </w:r>
      <w:proofErr w:type="spellStart"/>
      <w:r w:rsidRPr="005F1BEC">
        <w:rPr>
          <w:rFonts w:ascii="Arial" w:eastAsia="Arial" w:hAnsi="Arial" w:cs="Arial"/>
          <w:color w:val="000000"/>
        </w:rPr>
        <w:t>Nwabiagya</w:t>
      </w:r>
      <w:proofErr w:type="spellEnd"/>
      <w:r w:rsidRPr="005F1BEC">
        <w:rPr>
          <w:rFonts w:ascii="Arial" w:eastAsia="Arial" w:hAnsi="Arial" w:cs="Arial"/>
          <w:color w:val="000000"/>
        </w:rPr>
        <w:t xml:space="preserve"> South [Doctoral dissertation, University of Education, Winneba].</w:t>
      </w:r>
    </w:p>
    <w:p w14:paraId="0444C5AD"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Brown, G. T. L., Gebril, A., &amp; Michaelides, M. P. (2019). Teachers’ conceptions of assessment: A global phenomenon or a global localism. Frontiers in Education, 4. https://doi.org/10.3389/feduc.2019.00016</w:t>
      </w:r>
    </w:p>
    <w:p w14:paraId="5D6036A4"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Camara, J. S. (2024). The correlation between principal’s gender, school geography and school success. </w:t>
      </w:r>
      <w:proofErr w:type="spellStart"/>
      <w:r w:rsidRPr="005F1BEC">
        <w:rPr>
          <w:rFonts w:ascii="Arial" w:eastAsia="Arial" w:hAnsi="Arial" w:cs="Arial"/>
          <w:color w:val="000000"/>
        </w:rPr>
        <w:t>Jurnal</w:t>
      </w:r>
      <w:proofErr w:type="spellEnd"/>
      <w:r w:rsidRPr="005F1BEC">
        <w:rPr>
          <w:rFonts w:ascii="Arial" w:eastAsia="Arial" w:hAnsi="Arial" w:cs="Arial"/>
          <w:color w:val="000000"/>
        </w:rPr>
        <w:t xml:space="preserve"> Pendidikan Indonesia </w:t>
      </w:r>
      <w:proofErr w:type="spellStart"/>
      <w:r w:rsidRPr="005F1BEC">
        <w:rPr>
          <w:rFonts w:ascii="Arial" w:eastAsia="Arial" w:hAnsi="Arial" w:cs="Arial"/>
          <w:color w:val="000000"/>
        </w:rPr>
        <w:t>Gemilang</w:t>
      </w:r>
      <w:proofErr w:type="spellEnd"/>
      <w:r w:rsidRPr="005F1BEC">
        <w:rPr>
          <w:rFonts w:ascii="Arial" w:eastAsia="Arial" w:hAnsi="Arial" w:cs="Arial"/>
          <w:color w:val="000000"/>
        </w:rPr>
        <w:t>, 4(1), 20–32. https://doi.org/10.53889/jpig.v4i1.345</w:t>
      </w:r>
    </w:p>
    <w:p w14:paraId="4F1D25A4"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Cruz, S., &amp; Vargas, D. (2021). Open high school program (OHSP): Efficacy in its implementation. SSRN. https://doi.org/10.2139/ssrn.3800933</w:t>
      </w:r>
    </w:p>
    <w:p w14:paraId="2C39EC48"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lastRenderedPageBreak/>
        <w:t>Cunningham, W., &amp; Villaseñor, P. (2014). Employer voices, employer demands, and implications for public skills development policy (World Bank Policy Research Paper No. 6853). https://documents1.worldbank.org/curated/en/424791468149389907/pdf/WPS6853.pdf</w:t>
      </w:r>
    </w:p>
    <w:p w14:paraId="452A489E"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Dar, R. A., &amp; Jan, T. (2023). Changing role of teacher educators in view of NEP 2020. Journal of Xi'an University of Architecture &amp; Technology, 15(1), 144–156.</w:t>
      </w:r>
    </w:p>
    <w:p w14:paraId="0230B3AA"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Daugaard, D., &amp; Colbeck, R. (2024). Innovative pedagogy for sustainable finance: Integrating SDGs, experiential learning, and certificates in finance education. [Publication pending or not provided]</w:t>
      </w:r>
    </w:p>
    <w:p w14:paraId="21692134"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Diaz-Fernandez, M., </w:t>
      </w:r>
      <w:proofErr w:type="spellStart"/>
      <w:r w:rsidRPr="005F1BEC">
        <w:rPr>
          <w:rFonts w:ascii="Arial" w:eastAsia="Arial" w:hAnsi="Arial" w:cs="Arial"/>
          <w:color w:val="000000"/>
        </w:rPr>
        <w:t>Pasamar</w:t>
      </w:r>
      <w:proofErr w:type="spellEnd"/>
      <w:r w:rsidRPr="005F1BEC">
        <w:rPr>
          <w:rFonts w:ascii="Arial" w:eastAsia="Arial" w:hAnsi="Arial" w:cs="Arial"/>
          <w:color w:val="000000"/>
        </w:rPr>
        <w:t>-Reyes, S., &amp; Valle-Cabrera, R. (2016). Human capital and human resource management to achieve ambidextrous learning: A structural perspective. BRQ Business Research Quarterly, 20(1), 63–77. https://doi.org/10.1016/j.brq.2016.03.002</w:t>
      </w:r>
    </w:p>
    <w:p w14:paraId="592B9452"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Donahue, E., &amp; Vogel, L. R. (2018). Teacher perceptions of the impact of an evaluation system on classroom instructional practices. Journal of School Leadership, 28(1), 31–55.</w:t>
      </w:r>
    </w:p>
    <w:p w14:paraId="77E5E2C1"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Espiritu, R. (2021). Awareness and competency of pre-service teachers on the Philippine professional standards for teachers (PPST): A basis for training program. Journal NX: A Multidisciplinary Peer Reviewed Journal, 7(11).</w:t>
      </w:r>
    </w:p>
    <w:p w14:paraId="49390591"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Estacio, A. D. L., &amp; Cabrera, W. (2018). Instructional leadership in Philippine public schools: A gendered perspective on school heads’ role in teacher evaluation. [Publication information not provided]</w:t>
      </w:r>
    </w:p>
    <w:p w14:paraId="2B976478"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Favoretto</w:t>
      </w:r>
      <w:proofErr w:type="spellEnd"/>
      <w:r w:rsidRPr="005F1BEC">
        <w:rPr>
          <w:rFonts w:ascii="Arial" w:eastAsia="Arial" w:hAnsi="Arial" w:cs="Arial"/>
          <w:color w:val="000000"/>
        </w:rPr>
        <w:t xml:space="preserve">, L., </w:t>
      </w:r>
      <w:proofErr w:type="spellStart"/>
      <w:r w:rsidRPr="005F1BEC">
        <w:rPr>
          <w:rFonts w:ascii="Arial" w:eastAsia="Arial" w:hAnsi="Arial" w:cs="Arial"/>
          <w:color w:val="000000"/>
        </w:rPr>
        <w:t>Mowling</w:t>
      </w:r>
      <w:proofErr w:type="spellEnd"/>
      <w:r w:rsidRPr="005F1BEC">
        <w:rPr>
          <w:rFonts w:ascii="Arial" w:eastAsia="Arial" w:hAnsi="Arial" w:cs="Arial"/>
          <w:color w:val="000000"/>
        </w:rPr>
        <w:t>, C. M., Belisario, J., Spurling, R., Hagensick, M., &amp; Pangelinan, M. M. (2019). Behavioral supports to increase skill learning, on-task behavior, and enjoyment of an adapted tennis program (</w:t>
      </w:r>
      <w:proofErr w:type="spellStart"/>
      <w:r w:rsidRPr="005F1BEC">
        <w:rPr>
          <w:rFonts w:ascii="Arial" w:eastAsia="Arial" w:hAnsi="Arial" w:cs="Arial"/>
          <w:color w:val="000000"/>
        </w:rPr>
        <w:t>ACEing</w:t>
      </w:r>
      <w:proofErr w:type="spellEnd"/>
      <w:r w:rsidRPr="005F1BEC">
        <w:rPr>
          <w:rFonts w:ascii="Arial" w:eastAsia="Arial" w:hAnsi="Arial" w:cs="Arial"/>
          <w:color w:val="000000"/>
        </w:rPr>
        <w:t xml:space="preserve"> Autism) for children and adolescents with autism spectrum disorder. </w:t>
      </w:r>
      <w:proofErr w:type="spellStart"/>
      <w:r w:rsidRPr="005F1BEC">
        <w:rPr>
          <w:rFonts w:ascii="Arial" w:eastAsia="Arial" w:hAnsi="Arial" w:cs="Arial"/>
          <w:color w:val="000000"/>
        </w:rPr>
        <w:t>Palaestra</w:t>
      </w:r>
      <w:proofErr w:type="spellEnd"/>
      <w:r w:rsidRPr="005F1BEC">
        <w:rPr>
          <w:rFonts w:ascii="Arial" w:eastAsia="Arial" w:hAnsi="Arial" w:cs="Arial"/>
          <w:color w:val="000000"/>
        </w:rPr>
        <w:t>, 33(4).</w:t>
      </w:r>
    </w:p>
    <w:p w14:paraId="69F60C6F" w14:textId="77777777" w:rsidR="00940B5C" w:rsidRPr="009259DD" w:rsidRDefault="00940B5C" w:rsidP="009259DD">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Fernandez, M. D., &amp; </w:t>
      </w:r>
      <w:proofErr w:type="spellStart"/>
      <w:r w:rsidRPr="005F1BEC">
        <w:rPr>
          <w:rFonts w:ascii="Arial" w:eastAsia="Arial" w:hAnsi="Arial" w:cs="Arial"/>
          <w:color w:val="000000"/>
        </w:rPr>
        <w:t>Tagadiad</w:t>
      </w:r>
      <w:proofErr w:type="spellEnd"/>
      <w:r w:rsidRPr="005F1BEC">
        <w:rPr>
          <w:rFonts w:ascii="Arial" w:eastAsia="Arial" w:hAnsi="Arial" w:cs="Arial"/>
          <w:color w:val="000000"/>
        </w:rPr>
        <w:t>, C. L. (2024). Instructional leadership, work engagement, self-efficacy of school heads: A structural equation model. International Journal of Research and Innovation in Social Science, 8(9), 3350–</w:t>
      </w:r>
      <w:proofErr w:type="gramStart"/>
      <w:r w:rsidRPr="005F1BEC">
        <w:rPr>
          <w:rFonts w:ascii="Arial" w:eastAsia="Arial" w:hAnsi="Arial" w:cs="Arial"/>
          <w:color w:val="000000"/>
        </w:rPr>
        <w:t>3367.</w:t>
      </w:r>
      <w:r w:rsidRPr="009259DD">
        <w:rPr>
          <w:rFonts w:ascii="Arial" w:eastAsia="Arial" w:hAnsi="Arial" w:cs="Arial"/>
          <w:color w:val="000000"/>
        </w:rPr>
        <w:t>.</w:t>
      </w:r>
      <w:proofErr w:type="gramEnd"/>
    </w:p>
    <w:p w14:paraId="1F47EB0C" w14:textId="77777777" w:rsidR="00940B5C" w:rsidRPr="00940B5C" w:rsidRDefault="00940B5C" w:rsidP="00940B5C">
      <w:pPr>
        <w:pStyle w:val="ListParagraph"/>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940B5C">
        <w:rPr>
          <w:rFonts w:ascii="Arial" w:eastAsia="Arial" w:hAnsi="Arial" w:cs="Arial"/>
          <w:color w:val="000000"/>
        </w:rPr>
        <w:t>Gacasan</w:t>
      </w:r>
      <w:proofErr w:type="spellEnd"/>
      <w:r w:rsidRPr="00940B5C">
        <w:rPr>
          <w:rFonts w:ascii="Arial" w:eastAsia="Arial" w:hAnsi="Arial" w:cs="Arial"/>
          <w:color w:val="000000"/>
        </w:rPr>
        <w:t xml:space="preserve">, A. A., </w:t>
      </w:r>
      <w:proofErr w:type="spellStart"/>
      <w:r w:rsidRPr="00940B5C">
        <w:rPr>
          <w:rFonts w:ascii="Arial" w:eastAsia="Arial" w:hAnsi="Arial" w:cs="Arial"/>
          <w:color w:val="000000"/>
        </w:rPr>
        <w:t>Hornido</w:t>
      </w:r>
      <w:proofErr w:type="spellEnd"/>
      <w:r w:rsidRPr="00940B5C">
        <w:rPr>
          <w:rFonts w:ascii="Arial" w:eastAsia="Arial" w:hAnsi="Arial" w:cs="Arial"/>
          <w:color w:val="000000"/>
        </w:rPr>
        <w:t xml:space="preserve">, R. C. R., </w:t>
      </w:r>
      <w:proofErr w:type="spellStart"/>
      <w:r w:rsidRPr="00940B5C">
        <w:rPr>
          <w:rFonts w:ascii="Arial" w:eastAsia="Arial" w:hAnsi="Arial" w:cs="Arial"/>
          <w:color w:val="000000"/>
        </w:rPr>
        <w:t>Continedo</w:t>
      </w:r>
      <w:proofErr w:type="spellEnd"/>
      <w:r w:rsidRPr="00940B5C">
        <w:rPr>
          <w:rFonts w:ascii="Arial" w:eastAsia="Arial" w:hAnsi="Arial" w:cs="Arial"/>
          <w:color w:val="000000"/>
        </w:rPr>
        <w:t xml:space="preserve">, A. P., &amp; </w:t>
      </w:r>
      <w:proofErr w:type="spellStart"/>
      <w:r w:rsidRPr="00940B5C">
        <w:rPr>
          <w:rFonts w:ascii="Arial" w:eastAsia="Arial" w:hAnsi="Arial" w:cs="Arial"/>
          <w:color w:val="000000"/>
        </w:rPr>
        <w:t>Baluyos</w:t>
      </w:r>
      <w:proofErr w:type="spellEnd"/>
      <w:r w:rsidRPr="00940B5C">
        <w:rPr>
          <w:rFonts w:ascii="Arial" w:eastAsia="Arial" w:hAnsi="Arial" w:cs="Arial"/>
          <w:color w:val="000000"/>
        </w:rPr>
        <w:t>, G. (2024). Teacher education graduates’ work productivity and performance in relation to their employers’ satisfaction. International Journal of Research and Innovation in Social Science. https://doi.org/10.47772/ijriss.2024.803061</w:t>
      </w:r>
    </w:p>
    <w:p w14:paraId="2510F457"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Gao, Y., &amp; Mohamad, S. H. (2025). Unraveling the learning behaviors of Chinese private college students and effective guiding strategies. Nusantara Journal of Behavioral and Social Science, 4(1), 9–22.</w:t>
      </w:r>
    </w:p>
    <w:p w14:paraId="167A844D"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Gaytos</w:t>
      </w:r>
      <w:proofErr w:type="spellEnd"/>
      <w:r w:rsidRPr="005F1BEC">
        <w:rPr>
          <w:rFonts w:ascii="Arial" w:eastAsia="Arial" w:hAnsi="Arial" w:cs="Arial"/>
          <w:color w:val="000000"/>
        </w:rPr>
        <w:t>, C. E. G., Lacay, S. C., &amp; Manzano, E. C. (2023). Demographic profile, employment status, competencies, skills and values acquired among Bachelor of Elementary Education graduates. Academia.edu. https://www.academia.edu/</w:t>
      </w:r>
    </w:p>
    <w:p w14:paraId="75323784"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Gepila</w:t>
      </w:r>
      <w:proofErr w:type="spellEnd"/>
      <w:r w:rsidRPr="005F1BEC">
        <w:rPr>
          <w:rFonts w:ascii="Arial" w:eastAsia="Arial" w:hAnsi="Arial" w:cs="Arial"/>
          <w:color w:val="000000"/>
        </w:rPr>
        <w:t xml:space="preserve"> Jr, E. (2020). Assessing teachers using Philippine standards for teachers. Universal Journal of Educational Research, 8(3), 739–746.</w:t>
      </w:r>
    </w:p>
    <w:p w14:paraId="2288AFFA"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German, J. D., Buan, M. L. O., Carreon, A. B. G., &amp; Ochoa, M. J. D. (2016). Employability and achievement of program educational objectives: A graduate tracer study for industrial engineering (IE), engineering management (EMG), and service engineering management (SEM) programs of an HEI in the Philippines. In Proceedings of the International Conference on Industrial Engineering and Operations Management (pp. 2565–2574).</w:t>
      </w:r>
    </w:p>
    <w:p w14:paraId="70D3C862"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Hattie, J. A., &amp; Learning, V. (2009). A synthesis of over 800 meta-analyses relating to achievement. New York: Routledge.</w:t>
      </w:r>
    </w:p>
    <w:p w14:paraId="07BB4B25"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Hennessy, S., D’Angelo, S., McIntyre, N., </w:t>
      </w:r>
      <w:proofErr w:type="spellStart"/>
      <w:r w:rsidRPr="005F1BEC">
        <w:rPr>
          <w:rFonts w:ascii="Arial" w:eastAsia="Arial" w:hAnsi="Arial" w:cs="Arial"/>
          <w:color w:val="000000"/>
        </w:rPr>
        <w:t>Koomar</w:t>
      </w:r>
      <w:proofErr w:type="spellEnd"/>
      <w:r w:rsidRPr="005F1BEC">
        <w:rPr>
          <w:rFonts w:ascii="Arial" w:eastAsia="Arial" w:hAnsi="Arial" w:cs="Arial"/>
          <w:color w:val="000000"/>
        </w:rPr>
        <w:t xml:space="preserve">, S., </w:t>
      </w:r>
      <w:proofErr w:type="spellStart"/>
      <w:r w:rsidRPr="005F1BEC">
        <w:rPr>
          <w:rFonts w:ascii="Arial" w:eastAsia="Arial" w:hAnsi="Arial" w:cs="Arial"/>
          <w:color w:val="000000"/>
        </w:rPr>
        <w:t>Kreimeia</w:t>
      </w:r>
      <w:proofErr w:type="spellEnd"/>
      <w:r w:rsidRPr="005F1BEC">
        <w:rPr>
          <w:rFonts w:ascii="Arial" w:eastAsia="Arial" w:hAnsi="Arial" w:cs="Arial"/>
          <w:color w:val="000000"/>
        </w:rPr>
        <w:t xml:space="preserve">, A., Cao, L., </w:t>
      </w:r>
      <w:proofErr w:type="spellStart"/>
      <w:r w:rsidRPr="005F1BEC">
        <w:rPr>
          <w:rFonts w:ascii="Arial" w:eastAsia="Arial" w:hAnsi="Arial" w:cs="Arial"/>
          <w:color w:val="000000"/>
        </w:rPr>
        <w:t>Brugha</w:t>
      </w:r>
      <w:proofErr w:type="spellEnd"/>
      <w:r w:rsidRPr="005F1BEC">
        <w:rPr>
          <w:rFonts w:ascii="Arial" w:eastAsia="Arial" w:hAnsi="Arial" w:cs="Arial"/>
          <w:color w:val="000000"/>
        </w:rPr>
        <w:t>, M., &amp; Zubairi, A. (2022). Technology use for teacher professional development in low- and middle-income countries: A systematic review. Computers and Education Open, 3, 100080. https://doi.org/10.1016/j.caeo.2022.100080</w:t>
      </w:r>
    </w:p>
    <w:p w14:paraId="373E8184"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lastRenderedPageBreak/>
        <w:t>Hester, O. R., Bridges, S. A., &amp; Rollins, L. H. (2020). ‘Overworked and underappreciated’: Special education teachers describe stress and attrition. Teacher Development, 24(3), 348–365. https://doi.org/10.1080/13664530.2020.1767189</w:t>
      </w:r>
    </w:p>
    <w:p w14:paraId="73FB6BD5"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Kaiser, G., &amp; König, J. (2019). Competence measurement in (mathematics) teacher education and beyond: Implications for policy. Higher Education Policy, 32(4), 597–615. https://doi.org/10.1057/s41307-019-00139-z</w:t>
      </w:r>
    </w:p>
    <w:p w14:paraId="0F64C424"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Khodadad, D. (2023). Creating a supportive and effective learning environment for engineering students: Pedagogical strategies, engagement, and enhanced outcomes. International Journal of Engineering Pedagogy, 13(8), 33–50.</w:t>
      </w:r>
    </w:p>
    <w:p w14:paraId="27C55300"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Kraft, M. A., &amp; Gilmour, A. F. (2016). Can principals promote teacher development as evaluators? A case study of principals’ views and experiences. Educational Administration Quarterly, 52(5), 711–753.</w:t>
      </w:r>
    </w:p>
    <w:p w14:paraId="580DEA22"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Manfra, M. M. (2019). Action research and systematic, intentional change in teaching practice. Review of Research in Education, 43(1), 163–196. https://doi.org/10.3102/0091732x18821132</w:t>
      </w:r>
    </w:p>
    <w:p w14:paraId="28DC10F7"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Mlambo, Y., Nielsen, A., </w:t>
      </w:r>
      <w:proofErr w:type="spellStart"/>
      <w:r w:rsidRPr="005F1BEC">
        <w:rPr>
          <w:rFonts w:ascii="Arial" w:eastAsia="Arial" w:hAnsi="Arial" w:cs="Arial"/>
          <w:color w:val="000000"/>
        </w:rPr>
        <w:t>Silova</w:t>
      </w:r>
      <w:proofErr w:type="spellEnd"/>
      <w:r w:rsidRPr="005F1BEC">
        <w:rPr>
          <w:rFonts w:ascii="Arial" w:eastAsia="Arial" w:hAnsi="Arial" w:cs="Arial"/>
          <w:color w:val="000000"/>
        </w:rPr>
        <w:t>, I., Wolfenden, F., Rafaeli, T., &amp; Jones, C. (2019). Redesigning the education workforce: A design thinking approach.</w:t>
      </w:r>
    </w:p>
    <w:p w14:paraId="1D839BD0"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Nurhadi</w:t>
      </w:r>
      <w:proofErr w:type="spellEnd"/>
      <w:r w:rsidRPr="005F1BEC">
        <w:rPr>
          <w:rFonts w:ascii="Arial" w:eastAsia="Arial" w:hAnsi="Arial" w:cs="Arial"/>
          <w:color w:val="000000"/>
        </w:rPr>
        <w:t xml:space="preserve">, D., Wardani, K. K., &amp; Haryono, A. (2017). Analysis of teacher competence in implementing the 2013 curriculum for vocational high school teachers. </w:t>
      </w:r>
      <w:proofErr w:type="spellStart"/>
      <w:r w:rsidRPr="005F1BEC">
        <w:rPr>
          <w:rFonts w:ascii="Arial" w:eastAsia="Arial" w:hAnsi="Arial" w:cs="Arial"/>
          <w:color w:val="000000"/>
        </w:rPr>
        <w:t>Jurnal</w:t>
      </w:r>
      <w:proofErr w:type="spellEnd"/>
      <w:r w:rsidRPr="005F1BEC">
        <w:rPr>
          <w:rFonts w:ascii="Arial" w:eastAsia="Arial" w:hAnsi="Arial" w:cs="Arial"/>
          <w:color w:val="000000"/>
        </w:rPr>
        <w:t xml:space="preserve"> </w:t>
      </w:r>
      <w:proofErr w:type="spellStart"/>
      <w:r w:rsidRPr="005F1BEC">
        <w:rPr>
          <w:rFonts w:ascii="Arial" w:eastAsia="Arial" w:hAnsi="Arial" w:cs="Arial"/>
          <w:color w:val="000000"/>
        </w:rPr>
        <w:t>Teknologi</w:t>
      </w:r>
      <w:proofErr w:type="spellEnd"/>
      <w:r w:rsidRPr="005F1BEC">
        <w:rPr>
          <w:rFonts w:ascii="Arial" w:eastAsia="Arial" w:hAnsi="Arial" w:cs="Arial"/>
          <w:color w:val="000000"/>
        </w:rPr>
        <w:t xml:space="preserve">, </w:t>
      </w:r>
      <w:proofErr w:type="spellStart"/>
      <w:r w:rsidRPr="005F1BEC">
        <w:rPr>
          <w:rFonts w:ascii="Arial" w:eastAsia="Arial" w:hAnsi="Arial" w:cs="Arial"/>
          <w:color w:val="000000"/>
        </w:rPr>
        <w:t>Kejuruan</w:t>
      </w:r>
      <w:proofErr w:type="spellEnd"/>
      <w:r w:rsidRPr="005F1BEC">
        <w:rPr>
          <w:rFonts w:ascii="Arial" w:eastAsia="Arial" w:hAnsi="Arial" w:cs="Arial"/>
          <w:color w:val="000000"/>
        </w:rPr>
        <w:t xml:space="preserve">, dan </w:t>
      </w:r>
      <w:proofErr w:type="spellStart"/>
      <w:r w:rsidRPr="005F1BEC">
        <w:rPr>
          <w:rFonts w:ascii="Arial" w:eastAsia="Arial" w:hAnsi="Arial" w:cs="Arial"/>
          <w:color w:val="000000"/>
        </w:rPr>
        <w:t>Pengajarannya</w:t>
      </w:r>
      <w:proofErr w:type="spellEnd"/>
      <w:r w:rsidRPr="005F1BEC">
        <w:rPr>
          <w:rFonts w:ascii="Arial" w:eastAsia="Arial" w:hAnsi="Arial" w:cs="Arial"/>
          <w:color w:val="000000"/>
        </w:rPr>
        <w:t>.</w:t>
      </w:r>
    </w:p>
    <w:p w14:paraId="5CFD4A5C" w14:textId="77777777" w:rsidR="00940B5C" w:rsidRDefault="00940B5C" w:rsidP="001561AE">
      <w:pPr>
        <w:numPr>
          <w:ilvl w:val="0"/>
          <w:numId w:val="2"/>
        </w:numPr>
        <w:pBdr>
          <w:top w:val="nil"/>
          <w:left w:val="nil"/>
          <w:bottom w:val="nil"/>
          <w:right w:val="nil"/>
          <w:between w:val="nil"/>
        </w:pBdr>
        <w:ind w:left="360"/>
        <w:jc w:val="both"/>
        <w:rPr>
          <w:rFonts w:ascii="Arial" w:eastAsia="Arial" w:hAnsi="Arial" w:cs="Arial"/>
          <w:color w:val="000000"/>
        </w:rPr>
      </w:pPr>
      <w:r w:rsidRPr="001561AE">
        <w:rPr>
          <w:rFonts w:ascii="Arial" w:eastAsia="Arial" w:hAnsi="Arial" w:cs="Arial"/>
          <w:color w:val="000000"/>
        </w:rPr>
        <w:t>OECD (2021). "Teachers and Leaders in Vocational Education and Training."</w:t>
      </w:r>
    </w:p>
    <w:p w14:paraId="7C1A966B"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Okeke, C. I., &amp; </w:t>
      </w:r>
      <w:proofErr w:type="spellStart"/>
      <w:r w:rsidRPr="005F1BEC">
        <w:rPr>
          <w:rFonts w:ascii="Arial" w:eastAsia="Arial" w:hAnsi="Arial" w:cs="Arial"/>
          <w:color w:val="000000"/>
        </w:rPr>
        <w:t>Mtyuda</w:t>
      </w:r>
      <w:proofErr w:type="spellEnd"/>
      <w:r w:rsidRPr="005F1BEC">
        <w:rPr>
          <w:rFonts w:ascii="Arial" w:eastAsia="Arial" w:hAnsi="Arial" w:cs="Arial"/>
          <w:color w:val="000000"/>
        </w:rPr>
        <w:t>, P. N. (2017). Teacher job dissatisfaction: Implications for teacher sustainability and social transformation. Journal of Teacher Education for Sustainability, 19(1), 54–68. https://doi.org/10.1515/jtes-2017-0004</w:t>
      </w:r>
    </w:p>
    <w:p w14:paraId="23096F66"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Okolie, U. C., Nwosu, H. E., &amp; </w:t>
      </w:r>
      <w:proofErr w:type="spellStart"/>
      <w:r w:rsidRPr="005F1BEC">
        <w:rPr>
          <w:rFonts w:ascii="Arial" w:eastAsia="Arial" w:hAnsi="Arial" w:cs="Arial"/>
          <w:color w:val="000000"/>
        </w:rPr>
        <w:t>Mlanga</w:t>
      </w:r>
      <w:proofErr w:type="spellEnd"/>
      <w:r w:rsidRPr="005F1BEC">
        <w:rPr>
          <w:rFonts w:ascii="Arial" w:eastAsia="Arial" w:hAnsi="Arial" w:cs="Arial"/>
          <w:color w:val="000000"/>
        </w:rPr>
        <w:t>, S. (2019). Graduate employability. Higher Education Skills and Work-Based Learning, 9(4), 620–636. https://doi.org/10.1108/heswbl-09-2018-0089</w:t>
      </w:r>
    </w:p>
    <w:p w14:paraId="3C035E84" w14:textId="77777777" w:rsidR="00940B5C" w:rsidRDefault="00940B5C" w:rsidP="001561AE">
      <w:pPr>
        <w:pStyle w:val="ListParagraph"/>
        <w:numPr>
          <w:ilvl w:val="0"/>
          <w:numId w:val="2"/>
        </w:numPr>
        <w:pBdr>
          <w:top w:val="nil"/>
          <w:left w:val="nil"/>
          <w:bottom w:val="nil"/>
          <w:right w:val="nil"/>
          <w:between w:val="nil"/>
        </w:pBdr>
        <w:ind w:left="360"/>
        <w:jc w:val="both"/>
        <w:rPr>
          <w:rFonts w:ascii="Arial" w:eastAsia="Arial" w:hAnsi="Arial" w:cs="Arial"/>
          <w:color w:val="000000"/>
        </w:rPr>
      </w:pPr>
      <w:r w:rsidRPr="00345412">
        <w:rPr>
          <w:rFonts w:ascii="Arial" w:eastAsia="Arial" w:hAnsi="Arial" w:cs="Arial"/>
          <w:color w:val="000000"/>
        </w:rPr>
        <w:t>Oriel-</w:t>
      </w:r>
      <w:proofErr w:type="spellStart"/>
      <w:r w:rsidRPr="00345412">
        <w:rPr>
          <w:rFonts w:ascii="Arial" w:eastAsia="Arial" w:hAnsi="Arial" w:cs="Arial"/>
          <w:color w:val="000000"/>
        </w:rPr>
        <w:t>Estrellan</w:t>
      </w:r>
      <w:proofErr w:type="spellEnd"/>
      <w:r w:rsidRPr="00345412">
        <w:rPr>
          <w:rFonts w:ascii="Arial" w:eastAsia="Arial" w:hAnsi="Arial" w:cs="Arial"/>
          <w:color w:val="000000"/>
        </w:rPr>
        <w:t>, A. (2025). Bridging gaps and realizing gains: Lived experiences of teachers in the implementation of Philippine Professional Standards for Teachers (PPST). International Journal of Science, Architecture, Technology and Environment. https://doi.org/10.63680/bh6evt66ve3vg7byt</w:t>
      </w:r>
    </w:p>
    <w:p w14:paraId="684DCC36"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Orleans, A. V. (2007). The condition of secondary school physics education in the Philippines: Recent developments and remaining challenges for substantive improvements. The Australian Educational Researcher, 34(1), 33–54.</w:t>
      </w:r>
    </w:p>
    <w:p w14:paraId="0BA020CB"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Orr, M. A. (2024). A community of collaboration: Putting pathways into practice at a comprehensive high school [Doctoral dissertation, Northeastern University].</w:t>
      </w:r>
    </w:p>
    <w:p w14:paraId="1916B1D0"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Otermans</w:t>
      </w:r>
      <w:proofErr w:type="spellEnd"/>
      <w:r w:rsidRPr="005F1BEC">
        <w:rPr>
          <w:rFonts w:ascii="Arial" w:eastAsia="Arial" w:hAnsi="Arial" w:cs="Arial"/>
          <w:color w:val="000000"/>
        </w:rPr>
        <w:t xml:space="preserve">, P. C., </w:t>
      </w:r>
      <w:proofErr w:type="spellStart"/>
      <w:r w:rsidRPr="005F1BEC">
        <w:rPr>
          <w:rFonts w:ascii="Arial" w:eastAsia="Arial" w:hAnsi="Arial" w:cs="Arial"/>
          <w:color w:val="000000"/>
        </w:rPr>
        <w:t>Nagada</w:t>
      </w:r>
      <w:proofErr w:type="spellEnd"/>
      <w:r w:rsidRPr="005F1BEC">
        <w:rPr>
          <w:rFonts w:ascii="Arial" w:eastAsia="Arial" w:hAnsi="Arial" w:cs="Arial"/>
          <w:color w:val="000000"/>
        </w:rPr>
        <w:t>, U., Aditya, D., &amp; Pereira, M. (2024). A systematic literature review of teaching employability: A focus on soft skills. [Journal not specified – citation incomplete]</w:t>
      </w:r>
    </w:p>
    <w:p w14:paraId="16B03688"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Pacpaco</w:t>
      </w:r>
      <w:proofErr w:type="spellEnd"/>
      <w:r w:rsidRPr="005F1BEC">
        <w:rPr>
          <w:rFonts w:ascii="Arial" w:eastAsia="Arial" w:hAnsi="Arial" w:cs="Arial"/>
          <w:color w:val="000000"/>
        </w:rPr>
        <w:t>, E. R., Romo, N. C. V., &amp; Galapon, E. U. (2022). Performance of the pre-service teachers. Scientific International Journal. https://www.researchgate.net/publication/373166956</w:t>
      </w:r>
    </w:p>
    <w:p w14:paraId="0128BB34"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Panlaqui, C. P., </w:t>
      </w:r>
      <w:proofErr w:type="spellStart"/>
      <w:r w:rsidRPr="005F1BEC">
        <w:rPr>
          <w:rFonts w:ascii="Arial" w:eastAsia="Arial" w:hAnsi="Arial" w:cs="Arial"/>
          <w:color w:val="000000"/>
        </w:rPr>
        <w:t>Bardemorilla</w:t>
      </w:r>
      <w:proofErr w:type="spellEnd"/>
      <w:r w:rsidRPr="005F1BEC">
        <w:rPr>
          <w:rFonts w:ascii="Arial" w:eastAsia="Arial" w:hAnsi="Arial" w:cs="Arial"/>
          <w:color w:val="000000"/>
        </w:rPr>
        <w:t>, N. G., &amp; Monica, R. C. (2022). Perceptions of selected employers on the job performance of BEED graduates. https://www.researchgate.net/publication/364243480</w:t>
      </w:r>
    </w:p>
    <w:p w14:paraId="12A26B6C"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Pardo, C. G., &amp; Pichay, J. P. (2019). A tracer study on the College of Teacher Education graduates of a university in Northern Philippines. The Vector: International Journal of Emerging Science, Technology and Management, 28(1).</w:t>
      </w:r>
    </w:p>
    <w:p w14:paraId="7BFFC42E"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Pascua, J. B., &amp; Navalta, J. D. (2011). Determinants of LET performance of the teacher education graduates in a state university. JPAIR Multidisciplinary Research, 6(1), 90–102.</w:t>
      </w:r>
    </w:p>
    <w:p w14:paraId="1E161C06" w14:textId="77777777" w:rsidR="00940B5C" w:rsidRPr="000C043C" w:rsidRDefault="00940B5C" w:rsidP="000C043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Reyes, W., </w:t>
      </w:r>
      <w:proofErr w:type="spellStart"/>
      <w:r w:rsidRPr="005F1BEC">
        <w:rPr>
          <w:rFonts w:ascii="Arial" w:eastAsia="Arial" w:hAnsi="Arial" w:cs="Arial"/>
          <w:color w:val="000000"/>
        </w:rPr>
        <w:t>Bayten</w:t>
      </w:r>
      <w:proofErr w:type="spellEnd"/>
      <w:r w:rsidRPr="005F1BEC">
        <w:rPr>
          <w:rFonts w:ascii="Arial" w:eastAsia="Arial" w:hAnsi="Arial" w:cs="Arial"/>
          <w:color w:val="000000"/>
        </w:rPr>
        <w:t>, E., &amp; Mercado, F. (2021). Differences in gender perceptions of higher education institutions (HEI) students and teachers on STEAM education. The Normal Lights, 15(2</w:t>
      </w:r>
      <w:proofErr w:type="gramStart"/>
      <w:r w:rsidRPr="005F1BEC">
        <w:rPr>
          <w:rFonts w:ascii="Arial" w:eastAsia="Arial" w:hAnsi="Arial" w:cs="Arial"/>
          <w:color w:val="000000"/>
        </w:rPr>
        <w:t>).</w:t>
      </w:r>
      <w:r w:rsidRPr="000C043C">
        <w:rPr>
          <w:rFonts w:ascii="Arial" w:eastAsia="Arial" w:hAnsi="Arial" w:cs="Arial"/>
          <w:color w:val="000000"/>
        </w:rPr>
        <w:t>.</w:t>
      </w:r>
      <w:proofErr w:type="gramEnd"/>
    </w:p>
    <w:p w14:paraId="513DE56D"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lastRenderedPageBreak/>
        <w:t>Rubio, J., &amp; Saenz, C. (2023). Pre-service teacher competence in a teacher education institution. The Quest: Journal of Multidisciplinary Research and Development, 2(2).</w:t>
      </w:r>
    </w:p>
    <w:p w14:paraId="4E9758DE"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Salendab</w:t>
      </w:r>
      <w:proofErr w:type="spellEnd"/>
      <w:r w:rsidRPr="005F1BEC">
        <w:rPr>
          <w:rFonts w:ascii="Arial" w:eastAsia="Arial" w:hAnsi="Arial" w:cs="Arial"/>
          <w:color w:val="000000"/>
        </w:rPr>
        <w:t>, F. A., &amp; Dapitan, Y. C. (2021). Performance of private higher education institutions and the school heads’ supervision in South Central Mindanao. Psychology and Education, 58(3), 3980–3997.</w:t>
      </w:r>
    </w:p>
    <w:p w14:paraId="1F39276C"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Salendab</w:t>
      </w:r>
      <w:proofErr w:type="spellEnd"/>
      <w:r w:rsidRPr="005F1BEC">
        <w:rPr>
          <w:rFonts w:ascii="Arial" w:eastAsia="Arial" w:hAnsi="Arial" w:cs="Arial"/>
          <w:color w:val="000000"/>
        </w:rPr>
        <w:t xml:space="preserve">, F. A., </w:t>
      </w:r>
      <w:proofErr w:type="spellStart"/>
      <w:r w:rsidRPr="005F1BEC">
        <w:rPr>
          <w:rFonts w:ascii="Arial" w:eastAsia="Arial" w:hAnsi="Arial" w:cs="Arial"/>
          <w:color w:val="000000"/>
        </w:rPr>
        <w:t>Ocariza</w:t>
      </w:r>
      <w:proofErr w:type="spellEnd"/>
      <w:r w:rsidRPr="005F1BEC">
        <w:rPr>
          <w:rFonts w:ascii="Arial" w:eastAsia="Arial" w:hAnsi="Arial" w:cs="Arial"/>
          <w:color w:val="000000"/>
        </w:rPr>
        <w:t xml:space="preserve"> </w:t>
      </w:r>
      <w:proofErr w:type="spellStart"/>
      <w:r w:rsidRPr="005F1BEC">
        <w:rPr>
          <w:rFonts w:ascii="Arial" w:eastAsia="Arial" w:hAnsi="Arial" w:cs="Arial"/>
          <w:color w:val="000000"/>
        </w:rPr>
        <w:t>Salendab</w:t>
      </w:r>
      <w:proofErr w:type="spellEnd"/>
      <w:r w:rsidRPr="005F1BEC">
        <w:rPr>
          <w:rFonts w:ascii="Arial" w:eastAsia="Arial" w:hAnsi="Arial" w:cs="Arial"/>
          <w:color w:val="000000"/>
        </w:rPr>
        <w:t>, R. L. A., &amp; Sanchez, R. D. (2023). Employers’ feedback on the performance of Bachelor of Elementary Education (BEED) graduates in the workplace: A pre deployment training remediation implications. International Journal of Open access, Interdisciplinary and New Educational Discoveries of ETCOR Educational Research Center (</w:t>
      </w:r>
      <w:proofErr w:type="spellStart"/>
      <w:r w:rsidRPr="005F1BEC">
        <w:rPr>
          <w:rFonts w:ascii="Arial" w:eastAsia="Arial" w:hAnsi="Arial" w:cs="Arial"/>
          <w:color w:val="000000"/>
        </w:rPr>
        <w:t>iJOINED</w:t>
      </w:r>
      <w:proofErr w:type="spellEnd"/>
      <w:r w:rsidRPr="005F1BEC">
        <w:rPr>
          <w:rFonts w:ascii="Arial" w:eastAsia="Arial" w:hAnsi="Arial" w:cs="Arial"/>
          <w:color w:val="000000"/>
        </w:rPr>
        <w:t xml:space="preserve"> ETCOR), 2(3), 882–897. https://etcor.org/storage/iJOINED/Vol.%20II(3),%20882-897.pdf</w:t>
      </w:r>
    </w:p>
    <w:p w14:paraId="6EAA2DDA"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Salvador, C. N. L. (2024). Evaluating MOL Magsaysay Maritime Academy’s educational program: Performance of first graduates and stakeholders’ feedback. Asia Pacific Journal of Advanced Education and Technology, 3(3).</w:t>
      </w:r>
    </w:p>
    <w:p w14:paraId="11ADF950"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Samonte, K., &amp; De Guzman, P. (2018). Predictors of internship performance among graduating teacher education of Nueva Ecija University of Science and Technology. JPAIR Institutional Research, 11(1), 92–109.</w:t>
      </w:r>
    </w:p>
    <w:p w14:paraId="5A4221F1"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Sari, T., &amp; </w:t>
      </w:r>
      <w:proofErr w:type="spellStart"/>
      <w:r w:rsidRPr="005F1BEC">
        <w:rPr>
          <w:rFonts w:ascii="Arial" w:eastAsia="Arial" w:hAnsi="Arial" w:cs="Arial"/>
          <w:color w:val="000000"/>
        </w:rPr>
        <w:t>Nayır</w:t>
      </w:r>
      <w:proofErr w:type="spellEnd"/>
      <w:r w:rsidRPr="005F1BEC">
        <w:rPr>
          <w:rFonts w:ascii="Arial" w:eastAsia="Arial" w:hAnsi="Arial" w:cs="Arial"/>
          <w:color w:val="000000"/>
        </w:rPr>
        <w:t>, F. (2020). Challenges in distance education during the (COVID 19) pandemic period. Qualitative Research in Education, 9(3), 328. https://doi.org/10.17583/qre.2020.5872</w:t>
      </w:r>
    </w:p>
    <w:p w14:paraId="361CF703"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 xml:space="preserve">Skowronski, M. S., &amp; </w:t>
      </w:r>
      <w:proofErr w:type="spellStart"/>
      <w:r w:rsidRPr="005F1BEC">
        <w:rPr>
          <w:rFonts w:ascii="Arial" w:eastAsia="Arial" w:hAnsi="Arial" w:cs="Arial"/>
          <w:color w:val="000000"/>
        </w:rPr>
        <w:t>Shivarajan</w:t>
      </w:r>
      <w:proofErr w:type="spellEnd"/>
      <w:r w:rsidRPr="005F1BEC">
        <w:rPr>
          <w:rFonts w:ascii="Arial" w:eastAsia="Arial" w:hAnsi="Arial" w:cs="Arial"/>
          <w:color w:val="000000"/>
        </w:rPr>
        <w:t>, S. (2024). Using “mini mock trials” to explore the legalities and ethics of federal court cases. Management Teaching Review. https://doi.org/10.1177/23792981241299760</w:t>
      </w:r>
    </w:p>
    <w:p w14:paraId="103D0D7A"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5F1BEC">
        <w:rPr>
          <w:rFonts w:ascii="Arial" w:eastAsia="Arial" w:hAnsi="Arial" w:cs="Arial"/>
          <w:color w:val="000000"/>
        </w:rPr>
        <w:t>Tapadera</w:t>
      </w:r>
      <w:proofErr w:type="spellEnd"/>
      <w:r w:rsidRPr="005F1BEC">
        <w:rPr>
          <w:rFonts w:ascii="Arial" w:eastAsia="Arial" w:hAnsi="Arial" w:cs="Arial"/>
          <w:color w:val="000000"/>
        </w:rPr>
        <w:t>, M. R., Tomas, M. J. L., Andres, D. M., Cabacungan, M. A. A., Cortez, A. O., De Guzman, D. D., ... &amp; Veloso, L. D. (2024). Assessing job performance: Employers’ feedback on Bachelor of Elementary Education graduates of Nueva Ecija University of Science and Technology. Journal of Education and Teaching (JET), 5(2), 201–214.</w:t>
      </w:r>
    </w:p>
    <w:p w14:paraId="113ABD91" w14:textId="77777777" w:rsidR="00940B5C" w:rsidRPr="001561AE" w:rsidRDefault="00940B5C" w:rsidP="001561AE">
      <w:pPr>
        <w:pStyle w:val="ListParagraph"/>
        <w:numPr>
          <w:ilvl w:val="0"/>
          <w:numId w:val="2"/>
        </w:numPr>
        <w:pBdr>
          <w:top w:val="nil"/>
          <w:left w:val="nil"/>
          <w:bottom w:val="nil"/>
          <w:right w:val="nil"/>
          <w:between w:val="nil"/>
        </w:pBdr>
        <w:ind w:left="360"/>
        <w:jc w:val="both"/>
        <w:rPr>
          <w:rFonts w:ascii="Arial" w:eastAsia="Arial" w:hAnsi="Arial" w:cs="Arial"/>
          <w:color w:val="000000"/>
        </w:rPr>
      </w:pPr>
      <w:r w:rsidRPr="001561AE">
        <w:rPr>
          <w:rFonts w:ascii="Arial" w:eastAsia="Arial" w:hAnsi="Arial" w:cs="Arial"/>
          <w:color w:val="000000"/>
        </w:rPr>
        <w:t>Technological Impacts on Teacher Training and Feedback Systems:</w:t>
      </w:r>
    </w:p>
    <w:p w14:paraId="158718A7"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Toledo, W. A., &amp; Western Leyte College. (2025). Resource management strategies of school head in supporting MATATAG curriculum and performance of teachers and learners. International Journal of Advanced Multidisciplinary Studies, 5(3), 442–443. https://www.ijams-bbp.net/wp-content/uploads/2025/04/WELFE-A.-TOLEDO.pdf</w:t>
      </w:r>
    </w:p>
    <w:p w14:paraId="7AC98240" w14:textId="77777777" w:rsidR="00940B5C" w:rsidRPr="005F1BEC" w:rsidRDefault="00940B5C" w:rsidP="005F1BEC">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Trygstad, P. J. (2020). A comparison of novice and veteran science teachers: Data from the 2018 NSSME+. Horizon Research, Inc.</w:t>
      </w:r>
    </w:p>
    <w:p w14:paraId="1F96CB4F" w14:textId="77777777" w:rsidR="00940B5C" w:rsidRDefault="00940B5C" w:rsidP="001561AE">
      <w:pPr>
        <w:numPr>
          <w:ilvl w:val="0"/>
          <w:numId w:val="2"/>
        </w:numPr>
        <w:pBdr>
          <w:top w:val="nil"/>
          <w:left w:val="nil"/>
          <w:bottom w:val="nil"/>
          <w:right w:val="nil"/>
          <w:between w:val="nil"/>
        </w:pBdr>
        <w:ind w:left="360"/>
        <w:jc w:val="both"/>
        <w:rPr>
          <w:rFonts w:ascii="Arial" w:eastAsia="Arial" w:hAnsi="Arial" w:cs="Arial"/>
          <w:color w:val="000000"/>
        </w:rPr>
      </w:pPr>
      <w:r w:rsidRPr="005F1BEC">
        <w:rPr>
          <w:rFonts w:ascii="Arial" w:eastAsia="Arial" w:hAnsi="Arial" w:cs="Arial"/>
          <w:color w:val="000000"/>
        </w:rPr>
        <w:t>Williams, K., &amp; Hebert, D. (2020). Teacher evaluation systems: A literature review on issues and impact. Research Issues in Contemporary Education, 5(1), 42–50.</w:t>
      </w:r>
    </w:p>
    <w:p w14:paraId="77026B7D" w14:textId="77777777" w:rsidR="00940B5C" w:rsidRDefault="00940B5C" w:rsidP="001561AE">
      <w:pPr>
        <w:pStyle w:val="ListParagraph"/>
        <w:numPr>
          <w:ilvl w:val="0"/>
          <w:numId w:val="2"/>
        </w:numPr>
        <w:pBdr>
          <w:top w:val="nil"/>
          <w:left w:val="nil"/>
          <w:bottom w:val="nil"/>
          <w:right w:val="nil"/>
          <w:between w:val="nil"/>
        </w:pBdr>
        <w:ind w:left="360"/>
        <w:jc w:val="both"/>
        <w:rPr>
          <w:rFonts w:ascii="Arial" w:eastAsia="Arial" w:hAnsi="Arial" w:cs="Arial"/>
          <w:color w:val="000000"/>
        </w:rPr>
      </w:pPr>
      <w:r w:rsidRPr="001561AE">
        <w:rPr>
          <w:rFonts w:ascii="Arial" w:eastAsia="Arial" w:hAnsi="Arial" w:cs="Arial"/>
          <w:color w:val="000000"/>
        </w:rPr>
        <w:t>Zhou, M., &amp; Kim, J. (2023). "Employer Feedback and Curriculum Alignment: Enhancing Skills and Competencies in Higher Education." Journal of Education and Training, 55(2), 123-136.</w:t>
      </w:r>
    </w:p>
    <w:p w14:paraId="2410044D" w14:textId="0EF5254C" w:rsidR="00026464" w:rsidRPr="005F1BEC" w:rsidRDefault="00026464" w:rsidP="00345412">
      <w:pPr>
        <w:pBdr>
          <w:top w:val="nil"/>
          <w:left w:val="nil"/>
          <w:bottom w:val="nil"/>
          <w:right w:val="nil"/>
          <w:between w:val="nil"/>
        </w:pBdr>
        <w:jc w:val="both"/>
        <w:rPr>
          <w:rFonts w:ascii="Arial" w:eastAsia="Arial" w:hAnsi="Arial" w:cs="Arial"/>
          <w:color w:val="000000"/>
          <w:highlight w:val="white"/>
        </w:rPr>
      </w:pPr>
    </w:p>
    <w:sectPr w:rsidR="00026464" w:rsidRPr="005F1BEC" w:rsidSect="00867AF2">
      <w:headerReference w:type="even" r:id="rId14"/>
      <w:headerReference w:type="default" r:id="rId15"/>
      <w:footerReference w:type="default" r:id="rId16"/>
      <w:headerReference w:type="first" r:id="rId17"/>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09D3C" w14:textId="77777777" w:rsidR="00595B16" w:rsidRDefault="00595B16">
      <w:r>
        <w:separator/>
      </w:r>
    </w:p>
  </w:endnote>
  <w:endnote w:type="continuationSeparator" w:id="0">
    <w:p w14:paraId="32F009BC" w14:textId="77777777" w:rsidR="00595B16" w:rsidRDefault="00595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auto"/>
    <w:pitch w:val="default"/>
    <w:embedRegular r:id="rId1" w:fontKey="{B0E013CA-7168-4463-AD50-CA7673E66D24}"/>
    <w:embedBold r:id="rId2" w:fontKey="{9B02C255-BE3C-4B9C-9AED-02612A3620BD}"/>
  </w:font>
  <w:font w:name="Georgia">
    <w:panose1 w:val="02040502050405020303"/>
    <w:charset w:val="00"/>
    <w:family w:val="roman"/>
    <w:pitch w:val="variable"/>
    <w:sig w:usb0="00000287" w:usb1="00000000" w:usb2="00000000" w:usb3="00000000" w:csb0="0000009F" w:csb1="00000000"/>
    <w:embedRegular r:id="rId3" w:fontKey="{8A4FD8BB-16C0-42D1-95BE-937AFD5521B1}"/>
    <w:embedItalic r:id="rId4" w:fontKey="{5EC1D4EA-A2CB-4038-B0F3-9FA285729B5B}"/>
  </w:font>
  <w:font w:name="Calibri">
    <w:panose1 w:val="020F0502020204030204"/>
    <w:charset w:val="00"/>
    <w:family w:val="swiss"/>
    <w:pitch w:val="variable"/>
    <w:sig w:usb0="E4002EFF" w:usb1="C200247B" w:usb2="00000009" w:usb3="00000000" w:csb0="000001FF" w:csb1="00000000"/>
    <w:embedRegular r:id="rId5" w:fontKey="{7348C87E-28D3-4281-88DE-20F4A3E787F7}"/>
    <w:embedBold r:id="rId6" w:fontKey="{44A2A49B-BC85-4F87-A7D6-8A3D36028DC2}"/>
  </w:font>
  <w:font w:name="Cambria">
    <w:panose1 w:val="02040503050406030204"/>
    <w:charset w:val="00"/>
    <w:family w:val="roman"/>
    <w:pitch w:val="variable"/>
    <w:sig w:usb0="E00006FF" w:usb1="420024FF" w:usb2="02000000" w:usb3="00000000" w:csb0="0000019F" w:csb1="00000000"/>
    <w:embedRegular r:id="rId7" w:fontKey="{1627CA47-F16C-4379-BF23-C2477AA195A7}"/>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624A8" w14:textId="77777777" w:rsidR="00867AF2" w:rsidRDefault="00867A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E2680" w14:textId="3E9047F7" w:rsidR="009C4469" w:rsidRDefault="009C4469">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D3B86" w14:textId="77777777" w:rsidR="009C4469" w:rsidRDefault="009C4469">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12E1702E" w14:textId="77777777" w:rsidR="009C4469" w:rsidRDefault="009C4469">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6D9948C9" w14:textId="77777777" w:rsidR="009C4469" w:rsidRDefault="009C4469">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C8A2A14" w14:textId="77777777" w:rsidR="009C4469" w:rsidRDefault="009C4469">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9C4469" w:rsidRDefault="009C446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D3DBC" w14:textId="77777777" w:rsidR="00595B16" w:rsidRDefault="00595B16">
      <w:r>
        <w:separator/>
      </w:r>
    </w:p>
  </w:footnote>
  <w:footnote w:type="continuationSeparator" w:id="0">
    <w:p w14:paraId="4B4B4EE5" w14:textId="77777777" w:rsidR="00595B16" w:rsidRDefault="00595B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673B6" w14:textId="55BB2924" w:rsidR="00867AF2" w:rsidRDefault="00595B16">
    <w:pPr>
      <w:pStyle w:val="Header"/>
    </w:pPr>
    <w:r>
      <w:rPr>
        <w:noProof/>
      </w:rPr>
      <w:pict w14:anchorId="63768A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5961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C9504" w14:textId="7A11672F" w:rsidR="00867AF2" w:rsidRDefault="00595B16">
    <w:pPr>
      <w:pStyle w:val="Header"/>
    </w:pPr>
    <w:r>
      <w:rPr>
        <w:noProof/>
      </w:rPr>
      <w:pict w14:anchorId="08C148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5961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DA8CB" w14:textId="74B28F17" w:rsidR="009C4469" w:rsidRDefault="00595B16">
    <w:pPr>
      <w:ind w:left="2160"/>
      <w:jc w:val="center"/>
      <w:rPr>
        <w:rFonts w:ascii="Times New Roman" w:eastAsia="Times New Roman" w:hAnsi="Times New Roman" w:cs="Times New Roman"/>
        <w:i/>
        <w:sz w:val="18"/>
        <w:szCs w:val="18"/>
      </w:rPr>
    </w:pPr>
    <w:r>
      <w:rPr>
        <w:noProof/>
      </w:rPr>
      <w:pict w14:anchorId="4B00B1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5960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1E516F4F" w14:textId="77777777" w:rsidR="009C4469" w:rsidRDefault="009C4469">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527E1F9" w14:textId="77777777" w:rsidR="009C4469" w:rsidRDefault="009C446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614D0BE" w14:textId="77777777" w:rsidR="009C4469" w:rsidRDefault="009C4469">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798E735" w14:textId="77777777" w:rsidR="009C4469" w:rsidRDefault="009C446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FEAC275" w14:textId="77777777" w:rsidR="009C4469" w:rsidRDefault="009C4469">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C32D30E" w14:textId="77777777" w:rsidR="009C4469" w:rsidRDefault="009C4469">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3057E" w14:textId="7FBAD0AE" w:rsidR="00867AF2" w:rsidRDefault="00595B16">
    <w:pPr>
      <w:pStyle w:val="Header"/>
    </w:pPr>
    <w:r>
      <w:rPr>
        <w:noProof/>
      </w:rPr>
      <w:pict w14:anchorId="7DC814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5961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3D05B" w14:textId="7156EBE5" w:rsidR="00867AF2" w:rsidRDefault="00595B16">
    <w:pPr>
      <w:pStyle w:val="Header"/>
    </w:pPr>
    <w:r>
      <w:rPr>
        <w:noProof/>
      </w:rPr>
      <w:pict w14:anchorId="60211C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5961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1C88B" w14:textId="6D058C29" w:rsidR="00867AF2" w:rsidRDefault="00595B16">
    <w:pPr>
      <w:pStyle w:val="Header"/>
    </w:pPr>
    <w:r>
      <w:rPr>
        <w:noProof/>
      </w:rPr>
      <w:pict w14:anchorId="0E2643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95961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5CF2669"/>
    <w:multiLevelType w:val="multilevel"/>
    <w:tmpl w:val="C5CF266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D0614671"/>
    <w:multiLevelType w:val="singleLevel"/>
    <w:tmpl w:val="D0614671"/>
    <w:lvl w:ilvl="0">
      <w:start w:val="2"/>
      <w:numFmt w:val="decimal"/>
      <w:lvlText w:val="%1."/>
      <w:lvlJc w:val="left"/>
      <w:pPr>
        <w:tabs>
          <w:tab w:val="left" w:pos="432"/>
        </w:tabs>
        <w:ind w:left="432" w:hanging="432"/>
      </w:pPr>
      <w:rPr>
        <w:rFonts w:hint="default"/>
      </w:rPr>
    </w:lvl>
  </w:abstractNum>
  <w:abstractNum w:abstractNumId="2" w15:restartNumberingAfterBreak="0">
    <w:nsid w:val="D4F1A713"/>
    <w:multiLevelType w:val="singleLevel"/>
    <w:tmpl w:val="D4F1A713"/>
    <w:lvl w:ilvl="0">
      <w:start w:val="1"/>
      <w:numFmt w:val="decimal"/>
      <w:lvlText w:val="%1."/>
      <w:lvlJc w:val="left"/>
      <w:pPr>
        <w:tabs>
          <w:tab w:val="left" w:pos="425"/>
        </w:tabs>
        <w:ind w:left="425" w:hanging="425"/>
      </w:pPr>
      <w:rPr>
        <w:rFonts w:hint="default"/>
      </w:rPr>
    </w:lvl>
  </w:abstractNum>
  <w:abstractNum w:abstractNumId="3" w15:restartNumberingAfterBreak="0">
    <w:nsid w:val="DAA87032"/>
    <w:multiLevelType w:val="multilevel"/>
    <w:tmpl w:val="DAA8703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03D57AA"/>
    <w:multiLevelType w:val="hybridMultilevel"/>
    <w:tmpl w:val="B9C8D534"/>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0AF64AB"/>
    <w:multiLevelType w:val="hybridMultilevel"/>
    <w:tmpl w:val="2AD6D6A8"/>
    <w:lvl w:ilvl="0" w:tplc="984658A0">
      <w:start w:val="5"/>
      <w:numFmt w:val="bullet"/>
      <w:lvlText w:val="•"/>
      <w:lvlJc w:val="left"/>
      <w:pPr>
        <w:ind w:left="1608" w:hanging="888"/>
      </w:pPr>
      <w:rPr>
        <w:rFonts w:ascii="Arial" w:eastAsia="Arial" w:hAnsi="Arial" w:cs="Arial" w:hint="default"/>
      </w:rPr>
    </w:lvl>
    <w:lvl w:ilvl="1" w:tplc="9B685484">
      <w:start w:val="5"/>
      <w:numFmt w:val="bullet"/>
      <w:lvlText w:val=""/>
      <w:lvlJc w:val="left"/>
      <w:pPr>
        <w:ind w:left="1968" w:hanging="888"/>
      </w:pPr>
      <w:rPr>
        <w:rFonts w:ascii="Symbol" w:eastAsia="Arial" w:hAnsi="Symbo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6E36341"/>
    <w:multiLevelType w:val="hybridMultilevel"/>
    <w:tmpl w:val="F4EA732A"/>
    <w:lvl w:ilvl="0" w:tplc="D35ACA98">
      <w:start w:val="1"/>
      <w:numFmt w:val="decimal"/>
      <w:lvlText w:val="%1."/>
      <w:lvlJc w:val="left"/>
      <w:pPr>
        <w:ind w:left="1440" w:hanging="360"/>
      </w:pPr>
    </w:lvl>
    <w:lvl w:ilvl="1" w:tplc="B6E4D31E" w:tentative="1">
      <w:start w:val="1"/>
      <w:numFmt w:val="lowerLetter"/>
      <w:lvlText w:val="%2."/>
      <w:lvlJc w:val="left"/>
      <w:pPr>
        <w:ind w:left="2160" w:hanging="360"/>
      </w:pPr>
    </w:lvl>
    <w:lvl w:ilvl="2" w:tplc="D1F0A13E" w:tentative="1">
      <w:start w:val="1"/>
      <w:numFmt w:val="lowerRoman"/>
      <w:lvlText w:val="%3."/>
      <w:lvlJc w:val="right"/>
      <w:pPr>
        <w:ind w:left="2880" w:hanging="180"/>
      </w:pPr>
    </w:lvl>
    <w:lvl w:ilvl="3" w:tplc="59D0E274" w:tentative="1">
      <w:start w:val="1"/>
      <w:numFmt w:val="decimal"/>
      <w:lvlText w:val="%4."/>
      <w:lvlJc w:val="left"/>
      <w:pPr>
        <w:ind w:left="3600" w:hanging="360"/>
      </w:pPr>
    </w:lvl>
    <w:lvl w:ilvl="4" w:tplc="42B218F4" w:tentative="1">
      <w:start w:val="1"/>
      <w:numFmt w:val="lowerLetter"/>
      <w:lvlText w:val="%5."/>
      <w:lvlJc w:val="left"/>
      <w:pPr>
        <w:ind w:left="4320" w:hanging="360"/>
      </w:pPr>
    </w:lvl>
    <w:lvl w:ilvl="5" w:tplc="9A08B59A" w:tentative="1">
      <w:start w:val="1"/>
      <w:numFmt w:val="lowerRoman"/>
      <w:lvlText w:val="%6."/>
      <w:lvlJc w:val="right"/>
      <w:pPr>
        <w:ind w:left="5040" w:hanging="180"/>
      </w:pPr>
    </w:lvl>
    <w:lvl w:ilvl="6" w:tplc="81D0A258" w:tentative="1">
      <w:start w:val="1"/>
      <w:numFmt w:val="decimal"/>
      <w:lvlText w:val="%7."/>
      <w:lvlJc w:val="left"/>
      <w:pPr>
        <w:ind w:left="5760" w:hanging="360"/>
      </w:pPr>
    </w:lvl>
    <w:lvl w:ilvl="7" w:tplc="AC98C1FC" w:tentative="1">
      <w:start w:val="1"/>
      <w:numFmt w:val="lowerLetter"/>
      <w:lvlText w:val="%8."/>
      <w:lvlJc w:val="left"/>
      <w:pPr>
        <w:ind w:left="6480" w:hanging="360"/>
      </w:pPr>
    </w:lvl>
    <w:lvl w:ilvl="8" w:tplc="8DBA97AC" w:tentative="1">
      <w:start w:val="1"/>
      <w:numFmt w:val="lowerRoman"/>
      <w:lvlText w:val="%9."/>
      <w:lvlJc w:val="right"/>
      <w:pPr>
        <w:ind w:left="7200" w:hanging="180"/>
      </w:pPr>
    </w:lvl>
  </w:abstractNum>
  <w:abstractNum w:abstractNumId="8" w15:restartNumberingAfterBreak="0">
    <w:nsid w:val="08D2053F"/>
    <w:multiLevelType w:val="hybridMultilevel"/>
    <w:tmpl w:val="DB8E7204"/>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 w15:restartNumberingAfterBreak="0">
    <w:nsid w:val="176EBDF9"/>
    <w:multiLevelType w:val="multilevel"/>
    <w:tmpl w:val="176EBDF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CC5DD8"/>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E52563"/>
    <w:multiLevelType w:val="hybridMultilevel"/>
    <w:tmpl w:val="16648172"/>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3" w15:restartNumberingAfterBreak="0">
    <w:nsid w:val="29FB3C0C"/>
    <w:multiLevelType w:val="hybridMultilevel"/>
    <w:tmpl w:val="C6AEAEA0"/>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4" w15:restartNumberingAfterBreak="0">
    <w:nsid w:val="300F6A3C"/>
    <w:multiLevelType w:val="hybridMultilevel"/>
    <w:tmpl w:val="C1B2412A"/>
    <w:lvl w:ilvl="0" w:tplc="984658A0">
      <w:start w:val="5"/>
      <w:numFmt w:val="bullet"/>
      <w:lvlText w:val="•"/>
      <w:lvlJc w:val="left"/>
      <w:pPr>
        <w:ind w:left="1608" w:hanging="888"/>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31961205"/>
    <w:multiLevelType w:val="hybridMultilevel"/>
    <w:tmpl w:val="FCBED21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6" w15:restartNumberingAfterBreak="0">
    <w:nsid w:val="3D2872E9"/>
    <w:multiLevelType w:val="hybridMultilevel"/>
    <w:tmpl w:val="76226AB8"/>
    <w:lvl w:ilvl="0" w:tplc="984658A0">
      <w:start w:val="5"/>
      <w:numFmt w:val="bullet"/>
      <w:lvlText w:val="•"/>
      <w:lvlJc w:val="left"/>
      <w:pPr>
        <w:ind w:left="1608" w:hanging="888"/>
      </w:pPr>
      <w:rPr>
        <w:rFonts w:ascii="Arial" w:eastAsia="Arial" w:hAnsi="Aria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7" w15:restartNumberingAfterBreak="0">
    <w:nsid w:val="416E481A"/>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7DB5129"/>
    <w:multiLevelType w:val="hybridMultilevel"/>
    <w:tmpl w:val="8BE42342"/>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9" w15:restartNumberingAfterBreak="0">
    <w:nsid w:val="5C980B0D"/>
    <w:multiLevelType w:val="hybridMultilevel"/>
    <w:tmpl w:val="39F4AD5A"/>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5CC81EC3"/>
    <w:multiLevelType w:val="hybridMultilevel"/>
    <w:tmpl w:val="C44C4B6E"/>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1" w15:restartNumberingAfterBreak="0">
    <w:nsid w:val="60846EBB"/>
    <w:multiLevelType w:val="hybridMultilevel"/>
    <w:tmpl w:val="9E1E7E9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1CF1FBC"/>
    <w:multiLevelType w:val="hybridMultilevel"/>
    <w:tmpl w:val="4EF69866"/>
    <w:lvl w:ilvl="0" w:tplc="984658A0">
      <w:start w:val="5"/>
      <w:numFmt w:val="bullet"/>
      <w:lvlText w:val="•"/>
      <w:lvlJc w:val="left"/>
      <w:pPr>
        <w:ind w:left="1608" w:hanging="888"/>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687A6280"/>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F0308E3"/>
    <w:multiLevelType w:val="hybridMultilevel"/>
    <w:tmpl w:val="1D9A18BA"/>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5"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6"/>
  </w:num>
  <w:num w:numId="3">
    <w:abstractNumId w:val="25"/>
  </w:num>
  <w:num w:numId="4">
    <w:abstractNumId w:val="6"/>
  </w:num>
  <w:num w:numId="5">
    <w:abstractNumId w:val="21"/>
  </w:num>
  <w:num w:numId="6">
    <w:abstractNumId w:val="10"/>
  </w:num>
  <w:num w:numId="7">
    <w:abstractNumId w:val="7"/>
  </w:num>
  <w:num w:numId="8">
    <w:abstractNumId w:val="15"/>
  </w:num>
  <w:num w:numId="9">
    <w:abstractNumId w:val="16"/>
  </w:num>
  <w:num w:numId="10">
    <w:abstractNumId w:val="5"/>
  </w:num>
  <w:num w:numId="11">
    <w:abstractNumId w:val="20"/>
  </w:num>
  <w:num w:numId="12">
    <w:abstractNumId w:val="22"/>
  </w:num>
  <w:num w:numId="13">
    <w:abstractNumId w:val="12"/>
  </w:num>
  <w:num w:numId="14">
    <w:abstractNumId w:val="8"/>
  </w:num>
  <w:num w:numId="15">
    <w:abstractNumId w:val="13"/>
  </w:num>
  <w:num w:numId="16">
    <w:abstractNumId w:val="18"/>
  </w:num>
  <w:num w:numId="17">
    <w:abstractNumId w:val="24"/>
  </w:num>
  <w:num w:numId="18">
    <w:abstractNumId w:val="14"/>
  </w:num>
  <w:num w:numId="19">
    <w:abstractNumId w:val="2"/>
  </w:num>
  <w:num w:numId="20">
    <w:abstractNumId w:val="9"/>
  </w:num>
  <w:num w:numId="21">
    <w:abstractNumId w:val="1"/>
  </w:num>
  <w:num w:numId="22">
    <w:abstractNumId w:val="3"/>
  </w:num>
  <w:num w:numId="23">
    <w:abstractNumId w:val="0"/>
  </w:num>
  <w:num w:numId="24">
    <w:abstractNumId w:val="17"/>
  </w:num>
  <w:num w:numId="25">
    <w:abstractNumId w:val="23"/>
  </w:num>
  <w:num w:numId="26">
    <w:abstractNumId w:val="4"/>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ysDQxNDQxtTA1NrJQ0lEKTi0uzszPAykwrAUAp+LImiwAAAA="/>
  </w:docVars>
  <w:rsids>
    <w:rsidRoot w:val="000B1D44"/>
    <w:rsid w:val="00026464"/>
    <w:rsid w:val="00060459"/>
    <w:rsid w:val="000B1D44"/>
    <w:rsid w:val="000C043C"/>
    <w:rsid w:val="000D3E39"/>
    <w:rsid w:val="00107A6A"/>
    <w:rsid w:val="001561AE"/>
    <w:rsid w:val="001C19D9"/>
    <w:rsid w:val="001D4D72"/>
    <w:rsid w:val="001E0372"/>
    <w:rsid w:val="001E1277"/>
    <w:rsid w:val="002200F1"/>
    <w:rsid w:val="00220734"/>
    <w:rsid w:val="002A6084"/>
    <w:rsid w:val="002C3BA7"/>
    <w:rsid w:val="00323335"/>
    <w:rsid w:val="00345107"/>
    <w:rsid w:val="00345412"/>
    <w:rsid w:val="00372B97"/>
    <w:rsid w:val="003733BF"/>
    <w:rsid w:val="0037632B"/>
    <w:rsid w:val="003768C1"/>
    <w:rsid w:val="003770EC"/>
    <w:rsid w:val="003B0CD9"/>
    <w:rsid w:val="003D2F31"/>
    <w:rsid w:val="003D708C"/>
    <w:rsid w:val="00435B64"/>
    <w:rsid w:val="004775B6"/>
    <w:rsid w:val="004C24DF"/>
    <w:rsid w:val="004D5915"/>
    <w:rsid w:val="004F4C96"/>
    <w:rsid w:val="0051046C"/>
    <w:rsid w:val="005215C3"/>
    <w:rsid w:val="0056193A"/>
    <w:rsid w:val="00577306"/>
    <w:rsid w:val="00595B16"/>
    <w:rsid w:val="005B7A59"/>
    <w:rsid w:val="005E601C"/>
    <w:rsid w:val="005F1BEC"/>
    <w:rsid w:val="00620FD3"/>
    <w:rsid w:val="00625CF6"/>
    <w:rsid w:val="00645ED8"/>
    <w:rsid w:val="00653863"/>
    <w:rsid w:val="00655BFB"/>
    <w:rsid w:val="00656CAC"/>
    <w:rsid w:val="00664AEA"/>
    <w:rsid w:val="0066505B"/>
    <w:rsid w:val="00676701"/>
    <w:rsid w:val="006C2388"/>
    <w:rsid w:val="007049BF"/>
    <w:rsid w:val="00731C5D"/>
    <w:rsid w:val="00737EAD"/>
    <w:rsid w:val="0076325B"/>
    <w:rsid w:val="00781DB3"/>
    <w:rsid w:val="00783B33"/>
    <w:rsid w:val="007A2EFC"/>
    <w:rsid w:val="007A3C78"/>
    <w:rsid w:val="007B5D8D"/>
    <w:rsid w:val="007C5F1E"/>
    <w:rsid w:val="00802D8C"/>
    <w:rsid w:val="0080382E"/>
    <w:rsid w:val="008174FA"/>
    <w:rsid w:val="00831525"/>
    <w:rsid w:val="00831A33"/>
    <w:rsid w:val="0085238A"/>
    <w:rsid w:val="008636AD"/>
    <w:rsid w:val="00867AF2"/>
    <w:rsid w:val="008E7EB6"/>
    <w:rsid w:val="008F329B"/>
    <w:rsid w:val="009038A9"/>
    <w:rsid w:val="00910330"/>
    <w:rsid w:val="009259DD"/>
    <w:rsid w:val="00940B5C"/>
    <w:rsid w:val="00977B37"/>
    <w:rsid w:val="009B4418"/>
    <w:rsid w:val="009B7BAE"/>
    <w:rsid w:val="009C4469"/>
    <w:rsid w:val="009D5498"/>
    <w:rsid w:val="009E31D0"/>
    <w:rsid w:val="009F019F"/>
    <w:rsid w:val="00A05C91"/>
    <w:rsid w:val="00A14450"/>
    <w:rsid w:val="00A40F23"/>
    <w:rsid w:val="00A568EB"/>
    <w:rsid w:val="00A949EB"/>
    <w:rsid w:val="00AB6567"/>
    <w:rsid w:val="00AD43E9"/>
    <w:rsid w:val="00AE2101"/>
    <w:rsid w:val="00AF3C8B"/>
    <w:rsid w:val="00B32147"/>
    <w:rsid w:val="00B34EDB"/>
    <w:rsid w:val="00B40869"/>
    <w:rsid w:val="00B80854"/>
    <w:rsid w:val="00BB28AB"/>
    <w:rsid w:val="00BB47CB"/>
    <w:rsid w:val="00BD0C1D"/>
    <w:rsid w:val="00BE3714"/>
    <w:rsid w:val="00BE7740"/>
    <w:rsid w:val="00C16C0C"/>
    <w:rsid w:val="00C7142C"/>
    <w:rsid w:val="00C81E2A"/>
    <w:rsid w:val="00CB6446"/>
    <w:rsid w:val="00D019BA"/>
    <w:rsid w:val="00D64D9C"/>
    <w:rsid w:val="00DA1C23"/>
    <w:rsid w:val="00DA622F"/>
    <w:rsid w:val="00E26B62"/>
    <w:rsid w:val="00E401A6"/>
    <w:rsid w:val="00E54FFC"/>
    <w:rsid w:val="00E65376"/>
    <w:rsid w:val="00EE2AE9"/>
    <w:rsid w:val="00EE4CB3"/>
    <w:rsid w:val="00EF3867"/>
    <w:rsid w:val="00F00A67"/>
    <w:rsid w:val="00F010F8"/>
    <w:rsid w:val="00F12F4B"/>
    <w:rsid w:val="00F13E1D"/>
    <w:rsid w:val="00F214B1"/>
    <w:rsid w:val="00F75E66"/>
    <w:rsid w:val="00F92D59"/>
    <w:rsid w:val="00FA38A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34"/>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customStyle="1" w:styleId="UnresolvedMention1">
    <w:name w:val="Unresolved Mention1"/>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iPriority w:val="99"/>
    <w:unhideWhenUsed/>
    <w:rsid w:val="00AE2101"/>
    <w:pPr>
      <w:tabs>
        <w:tab w:val="center" w:pos="4680"/>
        <w:tab w:val="right" w:pos="9360"/>
      </w:tabs>
    </w:pPr>
  </w:style>
  <w:style w:type="character" w:customStyle="1" w:styleId="FooterChar">
    <w:name w:val="Footer Char"/>
    <w:basedOn w:val="DefaultParagraphFont"/>
    <w:link w:val="Footer"/>
    <w:uiPriority w:val="99"/>
    <w:rsid w:val="00AE2101"/>
  </w:style>
  <w:style w:type="paragraph" w:styleId="NormalWeb">
    <w:name w:val="Normal (Web)"/>
    <w:basedOn w:val="Normal"/>
    <w:qFormat/>
    <w:rsid w:val="007B5D8D"/>
    <w:rPr>
      <w:rFonts w:ascii="Times New Roman" w:eastAsiaTheme="minorEastAsia" w:hAnsi="Times New Roman" w:cs="Times New Roman"/>
      <w:sz w:val="24"/>
      <w:szCs w:val="24"/>
      <w:lang w:eastAsia="zh-CN"/>
    </w:rPr>
  </w:style>
  <w:style w:type="table" w:styleId="TableGrid">
    <w:name w:val="Table Grid"/>
    <w:basedOn w:val="TableNormal"/>
    <w:uiPriority w:val="39"/>
    <w:qFormat/>
    <w:rsid w:val="007B5D8D"/>
    <w:rPr>
      <w:rFonts w:ascii="Times New Roman" w:eastAsia="SimSu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7B5D8D"/>
    <w:rPr>
      <w:b/>
      <w:bCs/>
    </w:rPr>
  </w:style>
  <w:style w:type="table" w:customStyle="1" w:styleId="TableGridLight1">
    <w:name w:val="Table Grid Light1"/>
    <w:qFormat/>
    <w:rsid w:val="005F1BEC"/>
    <w:rPr>
      <w:rFonts w:ascii="Calibri" w:eastAsia="SimSun" w:hAnsi="Calibri" w:cs="Times New Roman" w:hint="eastAsia"/>
      <w:lang w:val="en-PH"/>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tcBorders>
        <w:top w:val="single" w:sz="4" w:space="0" w:color="BFBFBF"/>
        <w:left w:val="single" w:sz="4" w:space="0" w:color="BFBFBF"/>
        <w:bottom w:val="single" w:sz="4" w:space="0" w:color="BFBFBF"/>
        <w:right w:val="single" w:sz="4" w:space="0" w:color="BFBFBF"/>
      </w:tcBorders>
    </w:tcPr>
  </w:style>
  <w:style w:type="character" w:styleId="UnresolvedMention">
    <w:name w:val="Unresolved Mention"/>
    <w:basedOn w:val="DefaultParagraphFont"/>
    <w:uiPriority w:val="99"/>
    <w:semiHidden/>
    <w:unhideWhenUsed/>
    <w:rsid w:val="00A05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20</Pages>
  <Words>8763</Words>
  <Characters>49950</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1183</cp:lastModifiedBy>
  <cp:revision>13</cp:revision>
  <cp:lastPrinted>2025-04-08T00:39:00Z</cp:lastPrinted>
  <dcterms:created xsi:type="dcterms:W3CDTF">2025-07-16T07:20:00Z</dcterms:created>
  <dcterms:modified xsi:type="dcterms:W3CDTF">2025-07-24T11:05:00Z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8c7d0d1f-1310-4bd4-aaa5-88ecf51ef66e</vt:lpwstr>
  </property>
</Properties>
</file>