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39A5" w:rsidRDefault="00336C35">
      <w:pPr>
        <w:jc w:val="right"/>
        <w:rPr>
          <w:rFonts w:ascii="Arial" w:eastAsia="Arial" w:hAnsi="Arial" w:cs="Arial"/>
          <w:b/>
          <w:color w:val="000000"/>
          <w:sz w:val="36"/>
          <w:szCs w:val="36"/>
          <w:lang w:val="en-PH"/>
        </w:rPr>
      </w:pPr>
      <w:r>
        <w:rPr>
          <w:rFonts w:ascii="Arial" w:eastAsia="Arial" w:hAnsi="Arial" w:cs="Arial"/>
          <w:b/>
          <w:noProof/>
          <w:color w:val="000000"/>
          <w:sz w:val="36"/>
          <w:szCs w:val="36"/>
          <w:lang w:val="en-PH"/>
        </w:rPr>
        <mc:AlternateContent>
          <mc:Choice Requires="wps">
            <w:drawing>
              <wp:anchor distT="0" distB="0" distL="0" distR="0" simplePos="0" relativeHeight="2" behindDoc="0" locked="0" layoutInCell="1" allowOverlap="1">
                <wp:simplePos x="0" y="0"/>
                <wp:positionH relativeFrom="column">
                  <wp:posOffset>5269865</wp:posOffset>
                </wp:positionH>
                <wp:positionV relativeFrom="paragraph">
                  <wp:posOffset>-1433830</wp:posOffset>
                </wp:positionV>
                <wp:extent cx="440690" cy="278764"/>
                <wp:effectExtent l="0" t="0" r="3810" b="635"/>
                <wp:wrapNone/>
                <wp:docPr id="1026" name="Rectangles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690" cy="278764"/>
                        </a:xfrm>
                        <a:prstGeom prst="rect">
                          <a:avLst/>
                        </a:prstGeom>
                        <a:solidFill>
                          <a:srgbClr val="FFFFFF"/>
                        </a:solidFill>
                        <a:ln>
                          <a:noFill/>
                        </a:ln>
                      </wps:spPr>
                      <wps:bodyPr>
                        <a:prstTxWarp prst="textNoShape">
                          <a:avLst/>
                        </a:prstTxWarp>
                      </wps:bodyPr>
                    </wps:wsp>
                  </a:graphicData>
                </a:graphic>
              </wp:anchor>
            </w:drawing>
          </mc:Choice>
          <mc:Fallback xmlns:wpsCustomData="http://www.wps.cn/officeDocument/2013/wpsCustomData">
            <w:pict>
              <v:rect id="1026" fillcolor="white" stroked="f" style="position:absolute;margin-left:414.95pt;margin-top:-112.9pt;width:34.7pt;height:21.95pt;z-index:2;mso-position-horizontal-relative:text;mso-position-vertical-relative:text;mso-width-relative:page;mso-height-relative:page;mso-wrap-distance-left:0.0pt;mso-wrap-distance-right:0.0pt;visibility:visible;">
                <v:stroke on="f"/>
                <v:fill/>
              </v:rect>
            </w:pict>
          </mc:Fallback>
        </mc:AlternateContent>
      </w:r>
      <w:r w:rsidR="00273E93">
        <w:rPr>
          <w:rFonts w:ascii="Arial" w:eastAsia="Arial" w:hAnsi="Arial" w:cs="Arial"/>
          <w:b/>
          <w:color w:val="000000"/>
          <w:sz w:val="36"/>
          <w:szCs w:val="36"/>
        </w:rPr>
        <w:t>Improving Science Performance Through Mnemonic Keyword Method Among Fifth-Grade Learners</w:t>
      </w:r>
    </w:p>
    <w:p w:rsidR="009B39A5" w:rsidRDefault="009B39A5">
      <w:pPr>
        <w:jc w:val="both"/>
        <w:rPr>
          <w:rFonts w:ascii="Arial" w:eastAsia="Arial" w:hAnsi="Arial" w:cs="Arial"/>
          <w:b/>
          <w:color w:val="000000"/>
          <w:sz w:val="36"/>
          <w:szCs w:val="36"/>
        </w:rPr>
      </w:pPr>
    </w:p>
    <w:p w:rsidR="009B39A5" w:rsidRDefault="009B39A5">
      <w:pPr>
        <w:jc w:val="both"/>
        <w:rPr>
          <w:rFonts w:ascii="Arial" w:eastAsia="Arial" w:hAnsi="Arial" w:cs="Arial"/>
          <w:color w:val="000000"/>
        </w:rPr>
      </w:pPr>
    </w:p>
    <w:p w:rsidR="009B39A5" w:rsidRDefault="009B39A5">
      <w:pPr>
        <w:jc w:val="both"/>
        <w:rPr>
          <w:rFonts w:ascii="Arial" w:eastAsia="Arial" w:hAnsi="Arial" w:cs="Arial"/>
          <w:color w:val="000000"/>
        </w:rPr>
      </w:pPr>
    </w:p>
    <w:p w:rsidR="009B39A5" w:rsidRDefault="009B39A5">
      <w:pPr>
        <w:jc w:val="both"/>
        <w:rPr>
          <w:rFonts w:ascii="Arial" w:eastAsia="Arial" w:hAnsi="Arial" w:cs="Arial"/>
          <w:color w:val="000000"/>
        </w:rPr>
      </w:pPr>
    </w:p>
    <w:p w:rsidR="009B39A5" w:rsidRDefault="009B39A5">
      <w:pPr>
        <w:jc w:val="both"/>
        <w:rPr>
          <w:rFonts w:ascii="Arial" w:eastAsia="Arial" w:hAnsi="Arial" w:cs="Arial"/>
          <w:color w:val="000000"/>
        </w:rPr>
      </w:pPr>
    </w:p>
    <w:p w:rsidR="009B39A5" w:rsidRDefault="00336C35">
      <w:pPr>
        <w:jc w:val="both"/>
        <w:rPr>
          <w:rFonts w:ascii="Arial" w:eastAsia="Arial" w:hAnsi="Arial" w:cs="Arial"/>
          <w:color w:val="000000"/>
          <w:sz w:val="16"/>
          <w:szCs w:val="16"/>
        </w:rPr>
        <w:sectPr w:rsidR="009B39A5">
          <w:headerReference w:type="even" r:id="rId8"/>
          <w:headerReference w:type="default" r:id="rId9"/>
          <w:footerReference w:type="even" r:id="rId10"/>
          <w:footerReference w:type="default" r:id="rId11"/>
          <w:headerReference w:type="first" r:id="rId12"/>
          <w:pgSz w:w="12240" w:h="15840"/>
          <w:pgMar w:top="1440" w:right="1800" w:bottom="1440" w:left="1800" w:header="720" w:footer="1296" w:gutter="0"/>
          <w:pgNumType w:start="1"/>
          <w:cols w:space="720"/>
        </w:sectPr>
      </w:pPr>
      <w:r>
        <w:rPr>
          <w:rFonts w:ascii="Arial" w:eastAsia="Arial" w:hAnsi="Arial" w:cs="Arial"/>
          <w:noProof/>
          <w:color w:val="000000"/>
          <w:sz w:val="16"/>
          <w:szCs w:val="16"/>
        </w:rPr>
        <mc:AlternateContent>
          <mc:Choice Requires="wps">
            <w:drawing>
              <wp:inline distT="0" distB="0" distL="0" distR="0">
                <wp:extent cx="5303520" cy="19050"/>
                <wp:effectExtent l="0" t="0" r="0" b="0"/>
                <wp:docPr id="1027"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03520" cy="19050"/>
                        </a:xfrm>
                        <a:prstGeom prst="straightConnector1">
                          <a:avLst/>
                        </a:prstGeom>
                        <a:ln w="19050" cap="flat" cmpd="sng">
                          <a:solidFill>
                            <a:srgbClr val="000000"/>
                          </a:solidFill>
                          <a:prstDash val="solid"/>
                          <a:round/>
                          <a:headEnd type="none" w="med" len="med"/>
                          <a:tailEnd type="none" w="med" len="med"/>
                        </a:ln>
                      </wps:spPr>
                      <wps:bodyPr/>
                    </wps:wsp>
                  </a:graphicData>
                </a:graphic>
              </wp:inline>
            </w:drawing>
          </mc:Choice>
          <mc:Fallback xmlns:wpsCustomData="http://www.wps.cn/officeDocument/2013/wpsCustomData">
            <w:pict>
              <v:shapetype id="_x0000_t32" coordsize="21600,21600" o:spt="32" o:oned="t" path="m,l21600,21600e">
                <v:path arrowok="t" fillok="f" o:connecttype="none"/>
                <o:lock v:ext="edit" shapetype="t"/>
              </v:shapetype>
              <v:shape id="1027" type="#_x0000_t32" filled="f" style="margin-left:0.0pt;margin-top:0.0pt;width:417.6pt;height:1.5pt;mso-wrap-distance-left:0.0pt;mso-wrap-distance-right:0.0pt;visibility:visible;">
                <w10:anchorlock/>
                <v:stroke weight="1.5pt"/>
                <v:fill rotate="true"/>
              </v:shape>
            </w:pict>
          </mc:Fallback>
        </mc:AlternateContent>
      </w:r>
      <w:r>
        <w:rPr>
          <w:rFonts w:ascii="Arial" w:eastAsia="Arial" w:hAnsi="Arial" w:cs="Arial"/>
          <w:color w:val="000000"/>
          <w:sz w:val="16"/>
          <w:szCs w:val="16"/>
        </w:rPr>
        <w:t>.</w:t>
      </w:r>
    </w:p>
    <w:p w:rsidR="009B39A5" w:rsidRDefault="00336C35">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rsidR="009B39A5" w:rsidRDefault="009B39A5">
      <w:pPr>
        <w:keepNext/>
        <w:jc w:val="both"/>
        <w:rPr>
          <w:rFonts w:ascii="Arial" w:eastAsia="Arial" w:hAnsi="Arial" w:cs="Arial"/>
          <w:b/>
          <w:smallCaps/>
          <w:color w:val="000000"/>
          <w:sz w:val="22"/>
          <w:szCs w:val="22"/>
        </w:rPr>
      </w:pPr>
    </w:p>
    <w:tbl>
      <w:tblPr>
        <w:tblStyle w:val="Style11"/>
        <w:tblW w:w="8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00"/>
      </w:tblGrid>
      <w:tr w:rsidR="009B39A5">
        <w:trPr>
          <w:trHeight w:val="3899"/>
        </w:trPr>
        <w:tc>
          <w:tcPr>
            <w:tcW w:w="8700" w:type="dxa"/>
            <w:shd w:val="clear" w:color="auto" w:fill="F2F2F2"/>
          </w:tcPr>
          <w:p w:rsidR="009B39A5" w:rsidRDefault="00336C35">
            <w:pPr>
              <w:jc w:val="both"/>
              <w:rPr>
                <w:rFonts w:ascii="Arial" w:eastAsia="Arial" w:hAnsi="Arial" w:cs="Arial"/>
              </w:rPr>
            </w:pPr>
            <w:r>
              <w:rPr>
                <w:rFonts w:ascii="Arial" w:eastAsia="Segoe UI Historic" w:hAnsi="Arial" w:cs="Arial"/>
                <w:shd w:val="clear" w:color="auto" w:fill="FFFFFF"/>
              </w:rPr>
              <w:t>The low science performance among elementary learners highlights the need for innovative and engaging interventions such as the Mnemonic Keyword Method. A mnemonic is a device used to aid memory, which involves associating new information with something m</w:t>
            </w:r>
            <w:r>
              <w:rPr>
                <w:rFonts w:ascii="Arial" w:eastAsia="Segoe UI Historic" w:hAnsi="Arial" w:cs="Arial"/>
                <w:shd w:val="clear" w:color="auto" w:fill="FFFFFF"/>
              </w:rPr>
              <w:t>ore familiar, making it easier to remember. This study aimed to test the effectiveness of the Mnemonic Keyword Method in improving science performance among fifth-grade learners. A quasi-experimental research design was utilized, with the control group rec</w:t>
            </w:r>
            <w:r>
              <w:rPr>
                <w:rFonts w:ascii="Arial" w:eastAsia="Segoe UI Historic" w:hAnsi="Arial" w:cs="Arial"/>
                <w:shd w:val="clear" w:color="auto" w:fill="FFFFFF"/>
              </w:rPr>
              <w:t>eiving science teaching instruction without the intervention and the experimental group receiving science teaching instruction using the mnemonic keyword method. The study employed a researcher-made instrument consisting of 25 items designed to assess lear</w:t>
            </w:r>
            <w:r>
              <w:rPr>
                <w:rFonts w:ascii="Arial" w:eastAsia="Segoe UI Historic" w:hAnsi="Arial" w:cs="Arial"/>
                <w:shd w:val="clear" w:color="auto" w:fill="FFFFFF"/>
              </w:rPr>
              <w:t>ners' performance before and after the intervention. The instrument underwent validity testing (Aiken's V = 0.92) and reliability testing (Cronbach's alpha = 0.714). The findings showed that the experimental group (n = 77) significantly improved (p &lt; 0.000</w:t>
            </w:r>
            <w:r>
              <w:rPr>
                <w:rFonts w:ascii="Arial" w:eastAsia="Segoe UI Historic" w:hAnsi="Arial" w:cs="Arial"/>
                <w:shd w:val="clear" w:color="auto" w:fill="FFFFFF"/>
              </w:rPr>
              <w:t>) their science performance compared to the control group (n = 69). This study recommends that science teachers incorporate the Mnemonic Keyword Method into their science teaching to enhance learners' memory and understanding of complex scientific concepts</w:t>
            </w:r>
            <w:r>
              <w:rPr>
                <w:rFonts w:ascii="Arial" w:eastAsia="Segoe UI Historic" w:hAnsi="Arial" w:cs="Arial"/>
                <w:shd w:val="clear" w:color="auto" w:fill="FFFFFF"/>
              </w:rPr>
              <w:t xml:space="preserve">. Teachers can utilize keywords and images in science, both of which should encourage consistent review and provide positive reinforcement to enhance students' learning and improve their science performance. </w:t>
            </w:r>
          </w:p>
        </w:tc>
      </w:tr>
    </w:tbl>
    <w:p w:rsidR="009B39A5" w:rsidRDefault="009B39A5">
      <w:pPr>
        <w:jc w:val="both"/>
        <w:rPr>
          <w:rFonts w:ascii="Arial" w:eastAsia="Arial" w:hAnsi="Arial" w:cs="Arial"/>
          <w:i/>
          <w:color w:val="000000"/>
        </w:rPr>
      </w:pPr>
    </w:p>
    <w:p w:rsidR="009B39A5" w:rsidRDefault="00336C35">
      <w:pPr>
        <w:ind w:left="1080" w:hanging="1080"/>
        <w:jc w:val="both"/>
        <w:rPr>
          <w:rFonts w:ascii="Arial" w:eastAsia="Arial" w:hAnsi="Arial" w:cs="Arial"/>
          <w:i/>
          <w:color w:val="000000"/>
        </w:rPr>
      </w:pPr>
      <w:r>
        <w:rPr>
          <w:rFonts w:ascii="Arial" w:eastAsia="Arial" w:hAnsi="Arial" w:cs="Arial"/>
          <w:i/>
          <w:color w:val="000000"/>
        </w:rPr>
        <w:t xml:space="preserve">Keywords: </w:t>
      </w:r>
      <w:r>
        <w:rPr>
          <w:rFonts w:ascii="Arial" w:hAnsi="Arial" w:cs="Arial"/>
          <w:i/>
          <w:iCs/>
        </w:rPr>
        <w:t xml:space="preserve">Mnemonic keyword method, </w:t>
      </w:r>
      <w:r>
        <w:rPr>
          <w:rFonts w:ascii="Arial" w:hAnsi="Arial" w:cs="Arial"/>
          <w:i/>
          <w:iCs/>
          <w:lang w:val="en-PH"/>
        </w:rPr>
        <w:t>s</w:t>
      </w:r>
      <w:proofErr w:type="spellStart"/>
      <w:r>
        <w:rPr>
          <w:rFonts w:ascii="Arial" w:hAnsi="Arial" w:cs="Arial"/>
          <w:i/>
          <w:iCs/>
        </w:rPr>
        <w:t>cience</w:t>
      </w:r>
      <w:proofErr w:type="spellEnd"/>
      <w:r>
        <w:rPr>
          <w:rFonts w:ascii="Arial" w:hAnsi="Arial" w:cs="Arial"/>
          <w:i/>
          <w:iCs/>
        </w:rPr>
        <w:t xml:space="preserve"> performance, </w:t>
      </w:r>
      <w:r>
        <w:rPr>
          <w:rFonts w:ascii="Arial" w:hAnsi="Arial" w:cs="Arial"/>
          <w:i/>
          <w:iCs/>
          <w:lang w:val="en-PH"/>
        </w:rPr>
        <w:t>d</w:t>
      </w:r>
      <w:proofErr w:type="spellStart"/>
      <w:r>
        <w:rPr>
          <w:rFonts w:ascii="Arial" w:hAnsi="Arial" w:cs="Arial"/>
          <w:i/>
          <w:iCs/>
        </w:rPr>
        <w:t>ual</w:t>
      </w:r>
      <w:proofErr w:type="spellEnd"/>
      <w:r>
        <w:rPr>
          <w:rFonts w:ascii="Arial" w:hAnsi="Arial" w:cs="Arial"/>
          <w:i/>
          <w:iCs/>
        </w:rPr>
        <w:t xml:space="preserve"> </w:t>
      </w:r>
      <w:r>
        <w:rPr>
          <w:rFonts w:ascii="Arial" w:hAnsi="Arial" w:cs="Arial"/>
          <w:i/>
          <w:iCs/>
          <w:lang w:val="en-PH"/>
        </w:rPr>
        <w:t>c</w:t>
      </w:r>
      <w:proofErr w:type="spellStart"/>
      <w:r>
        <w:rPr>
          <w:rFonts w:ascii="Arial" w:hAnsi="Arial" w:cs="Arial"/>
          <w:i/>
          <w:iCs/>
        </w:rPr>
        <w:t>oding</w:t>
      </w:r>
      <w:proofErr w:type="spellEnd"/>
      <w:r>
        <w:rPr>
          <w:rFonts w:ascii="Arial" w:hAnsi="Arial" w:cs="Arial"/>
          <w:i/>
          <w:iCs/>
        </w:rPr>
        <w:t xml:space="preserve"> </w:t>
      </w:r>
      <w:r>
        <w:rPr>
          <w:rFonts w:ascii="Arial" w:hAnsi="Arial" w:cs="Arial"/>
          <w:i/>
          <w:iCs/>
          <w:lang w:val="en-PH"/>
        </w:rPr>
        <w:t>t</w:t>
      </w:r>
      <w:proofErr w:type="spellStart"/>
      <w:r>
        <w:rPr>
          <w:rFonts w:ascii="Arial" w:hAnsi="Arial" w:cs="Arial"/>
          <w:i/>
          <w:iCs/>
        </w:rPr>
        <w:t>heory</w:t>
      </w:r>
      <w:proofErr w:type="spellEnd"/>
      <w:r>
        <w:rPr>
          <w:rFonts w:ascii="Arial" w:hAnsi="Arial" w:cs="Arial"/>
          <w:i/>
          <w:iCs/>
        </w:rPr>
        <w:t xml:space="preserve">, </w:t>
      </w:r>
      <w:r>
        <w:rPr>
          <w:rFonts w:ascii="Arial" w:hAnsi="Arial" w:cs="Arial"/>
          <w:i/>
          <w:iCs/>
          <w:lang w:val="en-PH"/>
        </w:rPr>
        <w:t>f</w:t>
      </w:r>
      <w:proofErr w:type="spellStart"/>
      <w:r>
        <w:rPr>
          <w:rFonts w:ascii="Arial" w:hAnsi="Arial" w:cs="Arial"/>
          <w:i/>
          <w:iCs/>
        </w:rPr>
        <w:t>ifth</w:t>
      </w:r>
      <w:proofErr w:type="spellEnd"/>
      <w:r>
        <w:rPr>
          <w:rFonts w:ascii="Arial" w:hAnsi="Arial" w:cs="Arial"/>
          <w:i/>
          <w:iCs/>
        </w:rPr>
        <w:t xml:space="preserve">-grade </w:t>
      </w:r>
      <w:r>
        <w:rPr>
          <w:rFonts w:ascii="Arial" w:hAnsi="Arial" w:cs="Arial"/>
          <w:i/>
          <w:iCs/>
          <w:lang w:val="en-PH"/>
        </w:rPr>
        <w:t>l</w:t>
      </w:r>
      <w:r>
        <w:rPr>
          <w:rFonts w:ascii="Arial" w:hAnsi="Arial" w:cs="Arial"/>
          <w:i/>
          <w:iCs/>
        </w:rPr>
        <w:t xml:space="preserve">earners, </w:t>
      </w:r>
      <w:r>
        <w:rPr>
          <w:rFonts w:ascii="Arial" w:hAnsi="Arial" w:cs="Arial"/>
          <w:i/>
          <w:iCs/>
          <w:lang w:val="en-PH"/>
        </w:rPr>
        <w:t>q</w:t>
      </w:r>
      <w:proofErr w:type="spellStart"/>
      <w:r>
        <w:rPr>
          <w:rFonts w:ascii="Arial" w:hAnsi="Arial" w:cs="Arial"/>
          <w:i/>
          <w:iCs/>
        </w:rPr>
        <w:t>uasi</w:t>
      </w:r>
      <w:proofErr w:type="spellEnd"/>
      <w:r>
        <w:rPr>
          <w:rFonts w:ascii="Arial" w:hAnsi="Arial" w:cs="Arial"/>
          <w:i/>
          <w:iCs/>
        </w:rPr>
        <w:t>-</w:t>
      </w:r>
      <w:r>
        <w:rPr>
          <w:rFonts w:ascii="Arial" w:hAnsi="Arial" w:cs="Arial"/>
          <w:i/>
          <w:iCs/>
          <w:lang w:val="en-PH"/>
        </w:rPr>
        <w:t>e</w:t>
      </w:r>
      <w:proofErr w:type="spellStart"/>
      <w:r>
        <w:rPr>
          <w:rFonts w:ascii="Arial" w:hAnsi="Arial" w:cs="Arial"/>
          <w:i/>
          <w:iCs/>
        </w:rPr>
        <w:t>xperimental</w:t>
      </w:r>
      <w:proofErr w:type="spellEnd"/>
      <w:r>
        <w:rPr>
          <w:rFonts w:ascii="Arial" w:hAnsi="Arial" w:cs="Arial"/>
          <w:i/>
          <w:iCs/>
        </w:rPr>
        <w:t xml:space="preserve"> </w:t>
      </w:r>
      <w:r>
        <w:rPr>
          <w:rFonts w:ascii="Arial" w:hAnsi="Arial" w:cs="Arial"/>
          <w:i/>
          <w:iCs/>
          <w:lang w:val="en-PH"/>
        </w:rPr>
        <w:t>d</w:t>
      </w:r>
      <w:proofErr w:type="spellStart"/>
      <w:r>
        <w:rPr>
          <w:rFonts w:ascii="Arial" w:hAnsi="Arial" w:cs="Arial"/>
          <w:i/>
          <w:iCs/>
        </w:rPr>
        <w:t>esign</w:t>
      </w:r>
      <w:proofErr w:type="spellEnd"/>
      <w:r>
        <w:rPr>
          <w:rFonts w:ascii="Arial" w:hAnsi="Arial" w:cs="Arial"/>
          <w:i/>
          <w:iCs/>
        </w:rPr>
        <w:t xml:space="preserve">, </w:t>
      </w:r>
      <w:r>
        <w:rPr>
          <w:rFonts w:ascii="Arial" w:hAnsi="Arial" w:cs="Arial"/>
          <w:i/>
          <w:iCs/>
          <w:lang w:val="en-PH"/>
        </w:rPr>
        <w:t>s</w:t>
      </w:r>
      <w:r>
        <w:rPr>
          <w:rFonts w:ascii="Arial" w:hAnsi="Arial" w:cs="Arial"/>
          <w:i/>
          <w:iCs/>
        </w:rPr>
        <w:t xml:space="preserve">tar </w:t>
      </w:r>
      <w:r>
        <w:rPr>
          <w:rFonts w:ascii="Arial" w:hAnsi="Arial" w:cs="Arial"/>
          <w:i/>
          <w:iCs/>
          <w:lang w:val="en-PH"/>
        </w:rPr>
        <w:t>p</w:t>
      </w:r>
      <w:proofErr w:type="spellStart"/>
      <w:r>
        <w:rPr>
          <w:rFonts w:ascii="Arial" w:hAnsi="Arial" w:cs="Arial"/>
          <w:i/>
          <w:iCs/>
        </w:rPr>
        <w:t>atterns</w:t>
      </w:r>
      <w:proofErr w:type="spellEnd"/>
      <w:r>
        <w:rPr>
          <w:rFonts w:ascii="Arial" w:hAnsi="Arial" w:cs="Arial"/>
          <w:i/>
          <w:iCs/>
        </w:rPr>
        <w:t xml:space="preserve">, </w:t>
      </w:r>
      <w:r>
        <w:rPr>
          <w:rFonts w:ascii="Arial" w:hAnsi="Arial" w:cs="Arial"/>
          <w:i/>
          <w:iCs/>
          <w:lang w:val="en-PH"/>
        </w:rPr>
        <w:t>m</w:t>
      </w:r>
      <w:proofErr w:type="spellStart"/>
      <w:r>
        <w:rPr>
          <w:rFonts w:ascii="Arial" w:hAnsi="Arial" w:cs="Arial"/>
          <w:i/>
          <w:iCs/>
        </w:rPr>
        <w:t>emory</w:t>
      </w:r>
      <w:proofErr w:type="spellEnd"/>
      <w:r>
        <w:rPr>
          <w:rFonts w:ascii="Arial" w:hAnsi="Arial" w:cs="Arial"/>
          <w:i/>
          <w:iCs/>
        </w:rPr>
        <w:t xml:space="preserve"> </w:t>
      </w:r>
      <w:r>
        <w:rPr>
          <w:rFonts w:ascii="Arial" w:hAnsi="Arial" w:cs="Arial"/>
          <w:i/>
          <w:iCs/>
          <w:lang w:val="en-PH"/>
        </w:rPr>
        <w:t>s</w:t>
      </w:r>
      <w:proofErr w:type="spellStart"/>
      <w:r>
        <w:rPr>
          <w:rFonts w:ascii="Arial" w:hAnsi="Arial" w:cs="Arial"/>
          <w:i/>
          <w:iCs/>
        </w:rPr>
        <w:t>trategies</w:t>
      </w:r>
      <w:proofErr w:type="spellEnd"/>
    </w:p>
    <w:p w:rsidR="009B39A5" w:rsidRDefault="009B39A5">
      <w:pPr>
        <w:jc w:val="both"/>
        <w:rPr>
          <w:rFonts w:ascii="Arial" w:eastAsia="Arial" w:hAnsi="Arial" w:cs="Arial"/>
          <w:i/>
          <w:color w:val="000000"/>
        </w:rPr>
      </w:pPr>
    </w:p>
    <w:p w:rsidR="009B39A5" w:rsidRDefault="009B39A5">
      <w:pPr>
        <w:jc w:val="both"/>
        <w:rPr>
          <w:rFonts w:ascii="Arial" w:eastAsia="Arial" w:hAnsi="Arial" w:cs="Arial"/>
          <w:i/>
          <w:color w:val="000000"/>
        </w:rPr>
      </w:pPr>
    </w:p>
    <w:p w:rsidR="009B39A5" w:rsidRDefault="00336C35">
      <w:pPr>
        <w:keepNext/>
        <w:jc w:val="both"/>
        <w:rPr>
          <w:rFonts w:ascii="Arial" w:hAnsi="Arial"/>
          <w:lang w:val="en-PH"/>
        </w:rPr>
      </w:pPr>
      <w:r>
        <w:rPr>
          <w:rFonts w:ascii="Arial" w:eastAsia="Arial" w:hAnsi="Arial" w:cs="Arial"/>
          <w:b/>
          <w:smallCaps/>
          <w:color w:val="000000"/>
          <w:sz w:val="22"/>
          <w:szCs w:val="22"/>
        </w:rPr>
        <w:t xml:space="preserve">1. INTRODUCTION </w:t>
      </w:r>
    </w:p>
    <w:p w:rsidR="009B39A5" w:rsidRDefault="009B39A5">
      <w:pPr>
        <w:keepNext/>
        <w:jc w:val="both"/>
        <w:rPr>
          <w:rFonts w:ascii="Arial" w:hAnsi="Arial"/>
          <w:lang w:val="en-PH"/>
        </w:rPr>
      </w:pPr>
    </w:p>
    <w:p w:rsidR="009B39A5" w:rsidRDefault="00336C35">
      <w:pPr>
        <w:ind w:firstLine="720"/>
        <w:jc w:val="both"/>
        <w:rPr>
          <w:rFonts w:ascii="Arial" w:hAnsi="Arial"/>
          <w:lang w:val="en-PH"/>
        </w:rPr>
      </w:pPr>
      <w:r>
        <w:rPr>
          <w:rFonts w:ascii="Arial" w:hAnsi="Arial"/>
        </w:rPr>
        <w:t>The ability to understand and apply scientific concepts is crucial for students' academic success, particularly in</w:t>
      </w:r>
      <w:r>
        <w:rPr>
          <w:rFonts w:ascii="Arial" w:hAnsi="Arial"/>
        </w:rPr>
        <w:t xml:space="preserve"> subjects that involve complex terminology and abstract ideas, such as science. As students advance through their education, the capacity to grasp these concepts becomes crucial not only for academic achievement but also for applying them in real-world sit</w:t>
      </w:r>
      <w:r>
        <w:rPr>
          <w:rFonts w:ascii="Arial" w:hAnsi="Arial"/>
        </w:rPr>
        <w:t>uations (NASEM, 2016; Rivas et al., 2023). In elementary education, strengthening science performance at the Grade 5 level is crucial, as it lays the foundation for future learning in higher education and careers, particularly in Science, Technology, Engin</w:t>
      </w:r>
      <w:r>
        <w:rPr>
          <w:rFonts w:ascii="Arial" w:hAnsi="Arial"/>
        </w:rPr>
        <w:t xml:space="preserve">eering, and Mathematics (STEM) fields (Ahmad &amp; Siew, 2021; </w:t>
      </w:r>
      <w:proofErr w:type="spellStart"/>
      <w:r>
        <w:rPr>
          <w:rFonts w:ascii="Arial" w:hAnsi="Arial"/>
        </w:rPr>
        <w:t>Fomunyam</w:t>
      </w:r>
      <w:proofErr w:type="spellEnd"/>
      <w:r>
        <w:rPr>
          <w:rFonts w:ascii="Arial" w:hAnsi="Arial"/>
        </w:rPr>
        <w:t xml:space="preserve">, 2021). Grade 5 serves as a pivotal year in the K to 12 </w:t>
      </w:r>
      <w:proofErr w:type="gramStart"/>
      <w:r>
        <w:rPr>
          <w:rFonts w:ascii="Arial" w:hAnsi="Arial"/>
        </w:rPr>
        <w:t>curriculum</w:t>
      </w:r>
      <w:proofErr w:type="gramEnd"/>
      <w:r>
        <w:rPr>
          <w:rFonts w:ascii="Arial" w:hAnsi="Arial"/>
        </w:rPr>
        <w:t xml:space="preserve"> of the Philippines, where students begin to transition from basic knowledge to more complex content in science, such as a</w:t>
      </w:r>
      <w:r>
        <w:rPr>
          <w:rFonts w:ascii="Arial" w:hAnsi="Arial"/>
        </w:rPr>
        <w:t>stronomy and physics (</w:t>
      </w:r>
      <w:proofErr w:type="spellStart"/>
      <w:r>
        <w:rPr>
          <w:rFonts w:ascii="Arial" w:hAnsi="Arial"/>
        </w:rPr>
        <w:t>Dogomeo</w:t>
      </w:r>
      <w:proofErr w:type="spellEnd"/>
      <w:r>
        <w:rPr>
          <w:rFonts w:ascii="Arial" w:hAnsi="Arial"/>
        </w:rPr>
        <w:t xml:space="preserve"> &amp; </w:t>
      </w:r>
      <w:proofErr w:type="spellStart"/>
      <w:r>
        <w:rPr>
          <w:rFonts w:ascii="Arial" w:hAnsi="Arial"/>
        </w:rPr>
        <w:t>Aliazas</w:t>
      </w:r>
      <w:proofErr w:type="spellEnd"/>
      <w:r>
        <w:rPr>
          <w:rFonts w:ascii="Arial" w:hAnsi="Arial"/>
        </w:rPr>
        <w:t>, 2024; Madan, 2017). Targeting this grade level ensures that interventions like the mnemonic keyword method are implemented at a formative stage when students are cognitively ready to benefit from memory-enhancing st</w:t>
      </w:r>
      <w:r>
        <w:rPr>
          <w:rFonts w:ascii="Arial" w:hAnsi="Arial"/>
        </w:rPr>
        <w:t>rategies while still developing foundational scientific knowledge (Patterson et al., 2015).</w:t>
      </w:r>
    </w:p>
    <w:p w:rsidR="009B39A5" w:rsidRDefault="00336C35">
      <w:pPr>
        <w:ind w:firstLine="720"/>
        <w:jc w:val="both"/>
        <w:rPr>
          <w:rFonts w:ascii="Arial" w:hAnsi="Arial"/>
          <w:lang w:val="en-PH"/>
        </w:rPr>
      </w:pPr>
      <w:r>
        <w:rPr>
          <w:rFonts w:ascii="Arial" w:hAnsi="Arial"/>
        </w:rPr>
        <w:t>Globally, science performance remains a significant challenge, particularly in developing countries where educational resources and access to quality teaching metho</w:t>
      </w:r>
      <w:r>
        <w:rPr>
          <w:rFonts w:ascii="Arial" w:hAnsi="Arial"/>
        </w:rPr>
        <w:t xml:space="preserve">ds are often limited (Tan et al., 2023; </w:t>
      </w:r>
      <w:proofErr w:type="spellStart"/>
      <w:r>
        <w:rPr>
          <w:rFonts w:ascii="Arial" w:hAnsi="Arial"/>
        </w:rPr>
        <w:t>Rumbley</w:t>
      </w:r>
      <w:proofErr w:type="spellEnd"/>
      <w:r>
        <w:rPr>
          <w:rFonts w:ascii="Arial" w:hAnsi="Arial"/>
        </w:rPr>
        <w:t xml:space="preserve"> et al., 2023). In the Philippines, low science performance is a significant </w:t>
      </w:r>
      <w:r>
        <w:rPr>
          <w:rFonts w:ascii="Arial" w:hAnsi="Arial"/>
        </w:rPr>
        <w:lastRenderedPageBreak/>
        <w:t xml:space="preserve">issue, with many students scoring below international standards on assessments such as the </w:t>
      </w:r>
      <w:proofErr w:type="spellStart"/>
      <w:r>
        <w:rPr>
          <w:rFonts w:ascii="Arial" w:hAnsi="Arial"/>
        </w:rPr>
        <w:t>Programme</w:t>
      </w:r>
      <w:proofErr w:type="spellEnd"/>
      <w:r>
        <w:rPr>
          <w:rFonts w:ascii="Arial" w:hAnsi="Arial"/>
        </w:rPr>
        <w:t xml:space="preserve"> for International Student Asses</w:t>
      </w:r>
      <w:r>
        <w:rPr>
          <w:rFonts w:ascii="Arial" w:hAnsi="Arial"/>
        </w:rPr>
        <w:t>sment (PISA) due to difficulties in grasping abstract scientific principles (</w:t>
      </w:r>
      <w:proofErr w:type="spellStart"/>
      <w:r>
        <w:rPr>
          <w:rFonts w:ascii="Arial" w:hAnsi="Arial"/>
        </w:rPr>
        <w:t>Almerino</w:t>
      </w:r>
      <w:proofErr w:type="spellEnd"/>
      <w:r>
        <w:rPr>
          <w:rFonts w:ascii="Arial" w:hAnsi="Arial"/>
        </w:rPr>
        <w:t xml:space="preserve"> et al., 2020; OECD, 2023). Topics like physics, chemistry, and astronomy pose particular challenges due to their abstract nature (</w:t>
      </w:r>
      <w:proofErr w:type="spellStart"/>
      <w:r>
        <w:rPr>
          <w:rFonts w:ascii="Arial" w:hAnsi="Arial"/>
        </w:rPr>
        <w:t>Akram</w:t>
      </w:r>
      <w:proofErr w:type="spellEnd"/>
      <w:r>
        <w:rPr>
          <w:rFonts w:ascii="Arial" w:hAnsi="Arial"/>
        </w:rPr>
        <w:t xml:space="preserve"> et al., 2022; Hughes, 2023). This </w:t>
      </w:r>
      <w:r>
        <w:rPr>
          <w:rFonts w:ascii="Arial" w:hAnsi="Arial"/>
        </w:rPr>
        <w:t xml:space="preserve">is further hindered by limited resources and teaching methods that fail to engage students, leading to lower performance (Adil et al., 2024; </w:t>
      </w:r>
      <w:proofErr w:type="spellStart"/>
      <w:r>
        <w:rPr>
          <w:rFonts w:ascii="Arial" w:hAnsi="Arial"/>
        </w:rPr>
        <w:t>Shambare</w:t>
      </w:r>
      <w:proofErr w:type="spellEnd"/>
      <w:r>
        <w:rPr>
          <w:rFonts w:ascii="Arial" w:hAnsi="Arial"/>
        </w:rPr>
        <w:t xml:space="preserve">, 2023; Chew &amp; </w:t>
      </w:r>
      <w:proofErr w:type="spellStart"/>
      <w:r>
        <w:rPr>
          <w:rFonts w:ascii="Arial" w:hAnsi="Arial"/>
        </w:rPr>
        <w:t>Cerbin</w:t>
      </w:r>
      <w:proofErr w:type="spellEnd"/>
      <w:r>
        <w:rPr>
          <w:rFonts w:ascii="Arial" w:hAnsi="Arial"/>
        </w:rPr>
        <w:t>, 2021).</w:t>
      </w:r>
    </w:p>
    <w:p w:rsidR="009B39A5" w:rsidRDefault="00336C35">
      <w:pPr>
        <w:ind w:firstLine="720"/>
        <w:jc w:val="both"/>
        <w:rPr>
          <w:rFonts w:ascii="Arial" w:hAnsi="Arial"/>
          <w:lang w:val="en-PH"/>
        </w:rPr>
      </w:pPr>
      <w:r>
        <w:rPr>
          <w:rFonts w:ascii="Arial" w:hAnsi="Arial"/>
        </w:rPr>
        <w:t>In response to this challenge, the study examines the effectiveness of the mn</w:t>
      </w:r>
      <w:r>
        <w:rPr>
          <w:rFonts w:ascii="Arial" w:hAnsi="Arial"/>
        </w:rPr>
        <w:t>emonic keyword method, an evidence-based approach grounded in cognitive psychology. This method is based on dual coding theory (</w:t>
      </w:r>
      <w:proofErr w:type="spellStart"/>
      <w:r>
        <w:rPr>
          <w:rFonts w:ascii="Arial" w:hAnsi="Arial"/>
        </w:rPr>
        <w:t>Paivio</w:t>
      </w:r>
      <w:proofErr w:type="spellEnd"/>
      <w:r>
        <w:rPr>
          <w:rFonts w:ascii="Arial" w:hAnsi="Arial"/>
        </w:rPr>
        <w:t>, 1986), which suggests that information is more effectively remembered when processed both visually and verbally. By enga</w:t>
      </w:r>
      <w:r>
        <w:rPr>
          <w:rFonts w:ascii="Arial" w:hAnsi="Arial"/>
        </w:rPr>
        <w:t xml:space="preserve">ging these cognitive pathways, the method has been shown to enhance students' ability to recall and understand complex scientific concepts (Putnam, 2015; </w:t>
      </w:r>
      <w:proofErr w:type="spellStart"/>
      <w:r>
        <w:rPr>
          <w:rFonts w:ascii="Arial" w:hAnsi="Arial"/>
        </w:rPr>
        <w:t>Wyra</w:t>
      </w:r>
      <w:proofErr w:type="spellEnd"/>
      <w:r>
        <w:rPr>
          <w:rFonts w:ascii="Arial" w:hAnsi="Arial"/>
        </w:rPr>
        <w:t>, 2019). The method consists of three steps: recording, relating, and retrieving, which help stude</w:t>
      </w:r>
      <w:r>
        <w:rPr>
          <w:rFonts w:ascii="Arial" w:hAnsi="Arial"/>
        </w:rPr>
        <w:t>nts create strong associations between verbal keywords and visual images, improving memory retention and understanding (IRIS Center, 2021). This approach is particularly suitable for 5th-grade learners, who are at a developmental stage where visual learnin</w:t>
      </w:r>
      <w:r>
        <w:rPr>
          <w:rFonts w:ascii="Arial" w:hAnsi="Arial"/>
        </w:rPr>
        <w:t xml:space="preserve">g and memory-based strategies are highly effective. Its structure aligns well with the Department of Education’s focus on learner-centered pedagogies and supports the goals outlined in the K to 12 </w:t>
      </w:r>
      <w:proofErr w:type="gramStart"/>
      <w:r>
        <w:rPr>
          <w:rFonts w:ascii="Arial" w:hAnsi="Arial"/>
        </w:rPr>
        <w:t>curriculum</w:t>
      </w:r>
      <w:proofErr w:type="gramEnd"/>
      <w:r>
        <w:rPr>
          <w:rFonts w:ascii="Arial" w:hAnsi="Arial"/>
        </w:rPr>
        <w:t xml:space="preserve"> for developing scientific literacy and critical </w:t>
      </w:r>
      <w:r>
        <w:rPr>
          <w:rFonts w:ascii="Arial" w:hAnsi="Arial"/>
        </w:rPr>
        <w:t>thinking at the elementary level.</w:t>
      </w:r>
    </w:p>
    <w:p w:rsidR="009B39A5" w:rsidRDefault="00336C35">
      <w:pPr>
        <w:ind w:firstLine="720"/>
        <w:jc w:val="both"/>
        <w:rPr>
          <w:rFonts w:ascii="Arial" w:hAnsi="Arial"/>
          <w:lang w:val="en-PH"/>
        </w:rPr>
      </w:pPr>
      <w:r>
        <w:rPr>
          <w:rFonts w:ascii="Arial" w:hAnsi="Arial"/>
        </w:rPr>
        <w:t>Erikson (2019) reported that children struggle to retain astronomy concepts due to difficulties in understanding abstract thinking and interpreting specialized representations needed to grasp complex spatial relationships.</w:t>
      </w:r>
      <w:r>
        <w:rPr>
          <w:rFonts w:ascii="Arial" w:hAnsi="Arial"/>
        </w:rPr>
        <w:t xml:space="preserve"> This action research aimed to examine the impact of the mnemonic keyword method on the science performance of Grade 5 learners at </w:t>
      </w:r>
      <w:proofErr w:type="spellStart"/>
      <w:r>
        <w:rPr>
          <w:rFonts w:ascii="Arial" w:hAnsi="Arial"/>
        </w:rPr>
        <w:t>Cateel</w:t>
      </w:r>
      <w:proofErr w:type="spellEnd"/>
      <w:r>
        <w:rPr>
          <w:rFonts w:ascii="Arial" w:hAnsi="Arial"/>
        </w:rPr>
        <w:t xml:space="preserve"> Central Elementary School, specifically in the context of identifying star patterns visible at specific times of the y</w:t>
      </w:r>
      <w:r>
        <w:rPr>
          <w:rFonts w:ascii="Arial" w:hAnsi="Arial"/>
        </w:rPr>
        <w:t>ear. By applying this method to two Grade 5 sections, the study aimed to determine whether the mnemonic keyword method can enhance students' science performance, as measured by pre-test and post-test scores.</w:t>
      </w:r>
    </w:p>
    <w:p w:rsidR="009B39A5" w:rsidRDefault="00336C35">
      <w:pPr>
        <w:ind w:firstLine="720"/>
        <w:jc w:val="both"/>
        <w:rPr>
          <w:rFonts w:ascii="Arial" w:eastAsia="Arial" w:hAnsi="Arial" w:cs="Arial"/>
          <w:color w:val="000000"/>
          <w:highlight w:val="white"/>
        </w:rPr>
      </w:pPr>
      <w:r>
        <w:rPr>
          <w:rFonts w:ascii="Arial" w:hAnsi="Arial"/>
        </w:rPr>
        <w:t xml:space="preserve">The significance of this study extends beyond </w:t>
      </w:r>
      <w:r>
        <w:rPr>
          <w:rFonts w:ascii="Arial" w:hAnsi="Arial"/>
        </w:rPr>
        <w:t xml:space="preserve">academic performance. By improving students' science performance, this research also aims to foster greater student engagement and motivation in learning (Wang &amp; Wang, 2015; </w:t>
      </w:r>
      <w:proofErr w:type="spellStart"/>
      <w:r>
        <w:rPr>
          <w:rFonts w:ascii="Arial" w:hAnsi="Arial"/>
        </w:rPr>
        <w:t>Korankye</w:t>
      </w:r>
      <w:proofErr w:type="spellEnd"/>
      <w:r>
        <w:rPr>
          <w:rFonts w:ascii="Arial" w:hAnsi="Arial"/>
        </w:rPr>
        <w:t>-Mensah, 2022). Furthermore, this study offers valuable insights for educa</w:t>
      </w:r>
      <w:r>
        <w:rPr>
          <w:rFonts w:ascii="Arial" w:hAnsi="Arial"/>
        </w:rPr>
        <w:t>tors, parents, and future researchers interested in integrating effective teaching strategies in science education. The findings could contribute to curriculum development, teaching practices, and policy-making within the Department of Education, particula</w:t>
      </w:r>
      <w:r>
        <w:rPr>
          <w:rFonts w:ascii="Arial" w:hAnsi="Arial"/>
        </w:rPr>
        <w:t>rly in enhancing the engagement and effectiveness of science learning (Law et al., 2021; Mir et al., 2023). By aligning with national education standards and promoting active learning strategies, the study supports curriculum innovation that is both develo</w:t>
      </w:r>
      <w:r>
        <w:rPr>
          <w:rFonts w:ascii="Arial" w:hAnsi="Arial"/>
        </w:rPr>
        <w:t>pmentally appropriate and pedagogically sound for Filipino elementary students.</w:t>
      </w:r>
    </w:p>
    <w:p w:rsidR="009B39A5" w:rsidRDefault="009B39A5">
      <w:pPr>
        <w:jc w:val="both"/>
        <w:rPr>
          <w:rFonts w:ascii="Arial" w:eastAsia="Arial" w:hAnsi="Arial" w:cs="Arial"/>
          <w:color w:val="000000"/>
          <w:highlight w:val="white"/>
        </w:rPr>
      </w:pPr>
    </w:p>
    <w:p w:rsidR="009B39A5" w:rsidRDefault="00336C35">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OBJECTIVES </w:t>
      </w:r>
    </w:p>
    <w:p w:rsidR="009B39A5" w:rsidRDefault="009B39A5">
      <w:pPr>
        <w:keepNext/>
        <w:jc w:val="both"/>
        <w:rPr>
          <w:rFonts w:ascii="Arial" w:eastAsia="Arial" w:hAnsi="Arial" w:cs="Arial"/>
          <w:b/>
          <w:smallCaps/>
          <w:color w:val="000000"/>
          <w:sz w:val="22"/>
          <w:szCs w:val="22"/>
        </w:rPr>
      </w:pPr>
    </w:p>
    <w:p w:rsidR="009B39A5" w:rsidRDefault="00336C35">
      <w:pPr>
        <w:ind w:firstLine="720"/>
        <w:jc w:val="both"/>
        <w:rPr>
          <w:rFonts w:ascii="Arial" w:hAnsi="Arial"/>
          <w:lang w:val="en-PH"/>
        </w:rPr>
      </w:pPr>
      <w:r>
        <w:rPr>
          <w:rFonts w:ascii="Arial" w:hAnsi="Arial"/>
          <w:lang w:val="en-PH"/>
        </w:rPr>
        <w:t xml:space="preserve">The primary objective of this study was to enhance the science performance of Grade 5 learners at </w:t>
      </w:r>
      <w:proofErr w:type="spellStart"/>
      <w:r>
        <w:rPr>
          <w:rFonts w:ascii="Arial" w:hAnsi="Arial"/>
          <w:lang w:val="en-PH"/>
        </w:rPr>
        <w:t>Cateel</w:t>
      </w:r>
      <w:proofErr w:type="spellEnd"/>
      <w:r>
        <w:rPr>
          <w:rFonts w:ascii="Arial" w:hAnsi="Arial"/>
          <w:lang w:val="en-PH"/>
        </w:rPr>
        <w:t xml:space="preserve"> Central Elementary School by utilizing the mnemonic </w:t>
      </w:r>
      <w:r>
        <w:rPr>
          <w:rFonts w:ascii="Arial" w:hAnsi="Arial"/>
          <w:lang w:val="en-PH"/>
        </w:rPr>
        <w:t>keyword method in science lessons on star patterns visible at specific times of the year.</w:t>
      </w:r>
      <w:r>
        <w:rPr>
          <w:rFonts w:ascii="Arial" w:hAnsi="Arial"/>
        </w:rPr>
        <w:t xml:space="preserve"> </w:t>
      </w:r>
      <w:r>
        <w:rPr>
          <w:rFonts w:ascii="Arial" w:hAnsi="Arial"/>
          <w:lang w:val="en-PH"/>
        </w:rPr>
        <w:t>The specific objectives were the following:</w:t>
      </w:r>
    </w:p>
    <w:p w:rsidR="009B39A5" w:rsidRDefault="009B39A5">
      <w:pPr>
        <w:ind w:firstLine="720"/>
        <w:jc w:val="both"/>
        <w:rPr>
          <w:rFonts w:ascii="Arial" w:hAnsi="Arial"/>
          <w:lang w:val="en-PH"/>
        </w:rPr>
      </w:pPr>
    </w:p>
    <w:p w:rsidR="009B39A5" w:rsidRDefault="00336C35">
      <w:pPr>
        <w:numPr>
          <w:ilvl w:val="0"/>
          <w:numId w:val="1"/>
        </w:numPr>
        <w:ind w:leftChars="101" w:left="398" w:hangingChars="98" w:hanging="196"/>
        <w:jc w:val="both"/>
        <w:rPr>
          <w:rFonts w:ascii="Arial" w:hAnsi="Arial"/>
          <w:sz w:val="24"/>
          <w:szCs w:val="24"/>
          <w:lang w:val="en-PH"/>
        </w:rPr>
      </w:pPr>
      <w:r>
        <w:rPr>
          <w:rFonts w:ascii="Arial" w:hAnsi="Arial"/>
          <w:lang w:val="en-PH"/>
        </w:rPr>
        <w:t xml:space="preserve">To determine the average test score of the science performance among fifth-grade students measured by pre-test scores in </w:t>
      </w:r>
      <w:r>
        <w:rPr>
          <w:rFonts w:ascii="Arial" w:hAnsi="Arial"/>
          <w:lang w:val="en-PH"/>
        </w:rPr>
        <w:t>both control and experimental groups.</w:t>
      </w:r>
      <w:r>
        <w:rPr>
          <w:rFonts w:ascii="Arial" w:hAnsi="Arial"/>
          <w:sz w:val="24"/>
          <w:szCs w:val="24"/>
          <w:lang w:val="en-PH"/>
        </w:rPr>
        <w:t xml:space="preserve"> </w:t>
      </w:r>
    </w:p>
    <w:p w:rsidR="009B39A5" w:rsidRDefault="00336C35">
      <w:pPr>
        <w:numPr>
          <w:ilvl w:val="0"/>
          <w:numId w:val="1"/>
        </w:numPr>
        <w:ind w:leftChars="101" w:left="398" w:hangingChars="98" w:hanging="196"/>
        <w:jc w:val="both"/>
        <w:rPr>
          <w:rFonts w:ascii="Arial" w:hAnsi="Arial"/>
          <w:lang w:val="en-PH"/>
        </w:rPr>
      </w:pPr>
      <w:r>
        <w:rPr>
          <w:rFonts w:ascii="Arial" w:hAnsi="Arial"/>
          <w:lang w:val="en-PH"/>
        </w:rPr>
        <w:t>To determine if there is a significant difference in the mean score of pre-test scores between the control and experimental groups.</w:t>
      </w:r>
    </w:p>
    <w:p w:rsidR="009B39A5" w:rsidRDefault="00336C35">
      <w:pPr>
        <w:numPr>
          <w:ilvl w:val="0"/>
          <w:numId w:val="1"/>
        </w:numPr>
        <w:ind w:leftChars="101" w:left="398" w:hangingChars="98" w:hanging="196"/>
        <w:jc w:val="both"/>
        <w:rPr>
          <w:rFonts w:ascii="Arial" w:hAnsi="Arial"/>
          <w:lang w:val="en-PH"/>
        </w:rPr>
      </w:pPr>
      <w:r>
        <w:rPr>
          <w:rFonts w:ascii="Arial" w:hAnsi="Arial"/>
          <w:lang w:val="en-PH"/>
        </w:rPr>
        <w:t>To determine the average test score of the science performance among fifth-grade stud</w:t>
      </w:r>
      <w:r>
        <w:rPr>
          <w:rFonts w:ascii="Arial" w:hAnsi="Arial"/>
          <w:lang w:val="en-PH"/>
        </w:rPr>
        <w:t xml:space="preserve">ents measured by </w:t>
      </w:r>
      <w:r>
        <w:rPr>
          <w:rFonts w:ascii="Arial" w:hAnsi="Arial"/>
        </w:rPr>
        <w:t>post-test</w:t>
      </w:r>
      <w:r>
        <w:rPr>
          <w:rFonts w:ascii="Arial" w:hAnsi="Arial"/>
          <w:lang w:val="en-PH"/>
        </w:rPr>
        <w:t xml:space="preserve"> scores in both control and experimental groups.</w:t>
      </w:r>
    </w:p>
    <w:p w:rsidR="009B39A5" w:rsidRDefault="00336C35">
      <w:pPr>
        <w:numPr>
          <w:ilvl w:val="0"/>
          <w:numId w:val="1"/>
        </w:numPr>
        <w:ind w:leftChars="101" w:left="398" w:hangingChars="98" w:hanging="196"/>
        <w:jc w:val="both"/>
        <w:rPr>
          <w:rFonts w:ascii="Arial" w:hAnsi="Arial"/>
          <w:lang w:val="en-PH"/>
        </w:rPr>
      </w:pPr>
      <w:r>
        <w:rPr>
          <w:rFonts w:ascii="Arial" w:hAnsi="Arial"/>
          <w:lang w:val="en-PH"/>
        </w:rPr>
        <w:t xml:space="preserve">To determine if there is a significant difference in the mean </w:t>
      </w:r>
      <w:r>
        <w:rPr>
          <w:rFonts w:ascii="Arial" w:hAnsi="Arial"/>
        </w:rPr>
        <w:t>post-test</w:t>
      </w:r>
      <w:r>
        <w:rPr>
          <w:rFonts w:ascii="Arial" w:hAnsi="Arial"/>
          <w:lang w:val="en-PH"/>
        </w:rPr>
        <w:t xml:space="preserve"> scores between the control and experimental groups.</w:t>
      </w:r>
    </w:p>
    <w:p w:rsidR="009B39A5" w:rsidRDefault="00336C35">
      <w:pPr>
        <w:numPr>
          <w:ilvl w:val="0"/>
          <w:numId w:val="1"/>
        </w:numPr>
        <w:ind w:leftChars="101" w:left="398" w:hangingChars="98" w:hanging="196"/>
        <w:jc w:val="both"/>
        <w:rPr>
          <w:rFonts w:ascii="Arial" w:hAnsi="Arial"/>
          <w:lang w:val="en-PH"/>
        </w:rPr>
      </w:pPr>
      <w:r>
        <w:rPr>
          <w:rFonts w:ascii="Arial" w:hAnsi="Arial"/>
          <w:lang w:val="en-PH"/>
        </w:rPr>
        <w:t>To determine the extent to which the keyword mnemonic met</w:t>
      </w:r>
      <w:r>
        <w:rPr>
          <w:rFonts w:ascii="Arial" w:hAnsi="Arial"/>
          <w:lang w:val="en-PH"/>
        </w:rPr>
        <w:t>hod improves science performance among fifth-grade students.</w:t>
      </w:r>
    </w:p>
    <w:p w:rsidR="009B39A5" w:rsidRDefault="009B39A5">
      <w:pPr>
        <w:ind w:leftChars="3" w:left="6"/>
        <w:jc w:val="both"/>
        <w:rPr>
          <w:rFonts w:ascii="Arial" w:hAnsi="Arial"/>
          <w:lang w:val="en-PH"/>
        </w:rPr>
      </w:pPr>
    </w:p>
    <w:p w:rsidR="009B39A5" w:rsidRDefault="009B39A5">
      <w:pPr>
        <w:jc w:val="both"/>
        <w:rPr>
          <w:rFonts w:ascii="Arial" w:eastAsia="Arial" w:hAnsi="Arial" w:cs="Arial"/>
          <w:color w:val="000000"/>
          <w:highlight w:val="white"/>
        </w:rPr>
      </w:pPr>
    </w:p>
    <w:p w:rsidR="009B39A5" w:rsidRDefault="00336C35">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lastRenderedPageBreak/>
        <w:t xml:space="preserve">3. MATERIALS AND METHODS </w:t>
      </w:r>
    </w:p>
    <w:p w:rsidR="009B39A5" w:rsidRDefault="009B39A5">
      <w:pPr>
        <w:jc w:val="both"/>
        <w:rPr>
          <w:rFonts w:ascii="Arial" w:eastAsia="Arial" w:hAnsi="Arial" w:cs="Arial"/>
          <w:color w:val="000000"/>
          <w:highlight w:val="white"/>
        </w:rPr>
      </w:pPr>
    </w:p>
    <w:p w:rsidR="009B39A5" w:rsidRDefault="00336C35">
      <w:pPr>
        <w:jc w:val="both"/>
        <w:rPr>
          <w:rFonts w:ascii="Arial" w:eastAsia="Arial" w:hAnsi="Arial" w:cs="Arial"/>
          <w:b/>
          <w:color w:val="000000"/>
          <w:highlight w:val="white"/>
        </w:rPr>
      </w:pPr>
      <w:r>
        <w:rPr>
          <w:rFonts w:ascii="Arial" w:eastAsia="Arial" w:hAnsi="Arial" w:cs="Arial"/>
          <w:b/>
          <w:color w:val="000000"/>
          <w:highlight w:val="white"/>
        </w:rPr>
        <w:t>Research Design</w:t>
      </w:r>
    </w:p>
    <w:p w:rsidR="009B39A5" w:rsidRDefault="00336C35">
      <w:pPr>
        <w:ind w:firstLine="720"/>
        <w:jc w:val="both"/>
        <w:rPr>
          <w:rFonts w:ascii="Arial" w:eastAsia="SimSun" w:hAnsi="Arial"/>
        </w:rPr>
      </w:pPr>
      <w:r>
        <w:rPr>
          <w:rFonts w:ascii="Arial" w:eastAsia="SimSun" w:hAnsi="Arial"/>
        </w:rPr>
        <w:t>This study employed a quasi-experimental research design, which involves manipulating independent variables while controlling for other influencing fa</w:t>
      </w:r>
      <w:r>
        <w:rPr>
          <w:rFonts w:ascii="Arial" w:eastAsia="SimSun" w:hAnsi="Arial"/>
        </w:rPr>
        <w:t xml:space="preserve">ctors to isolate the effects of the intervention. It enables a clearer understanding of the relationship between the intervention and outcomes by minimizing the impact of external variables and ensuring the reliability and validity of the findings through </w:t>
      </w:r>
      <w:r>
        <w:rPr>
          <w:rFonts w:ascii="Arial" w:eastAsia="SimSun" w:hAnsi="Arial"/>
        </w:rPr>
        <w:t>the control of factors such as prior knowledge, teaching methods, and classroom environment (Andrade, 2021).</w:t>
      </w:r>
    </w:p>
    <w:p w:rsidR="009B39A5" w:rsidRDefault="009B39A5">
      <w:pPr>
        <w:ind w:firstLine="720"/>
        <w:jc w:val="both"/>
        <w:rPr>
          <w:rFonts w:ascii="Arial" w:eastAsia="SimSun" w:hAnsi="Arial"/>
        </w:rPr>
      </w:pPr>
    </w:p>
    <w:p w:rsidR="009B39A5" w:rsidRDefault="00336C35">
      <w:pPr>
        <w:jc w:val="both"/>
        <w:rPr>
          <w:rFonts w:ascii="Arial" w:eastAsia="Arial" w:hAnsi="Arial" w:cs="Arial"/>
          <w:b/>
          <w:color w:val="000000"/>
          <w:highlight w:val="white"/>
        </w:rPr>
      </w:pPr>
      <w:r>
        <w:rPr>
          <w:rFonts w:ascii="Arial" w:eastAsia="Arial" w:hAnsi="Arial" w:cs="Arial"/>
          <w:b/>
          <w:color w:val="000000"/>
          <w:highlight w:val="white"/>
        </w:rPr>
        <w:t>Research Instrument</w:t>
      </w:r>
    </w:p>
    <w:p w:rsidR="009B39A5" w:rsidRDefault="00336C35">
      <w:pPr>
        <w:ind w:firstLine="720"/>
        <w:jc w:val="both"/>
        <w:rPr>
          <w:rFonts w:ascii="Arial" w:eastAsia="SimSun" w:hAnsi="Arial"/>
        </w:rPr>
      </w:pPr>
      <w:r>
        <w:rPr>
          <w:rFonts w:ascii="Arial" w:eastAsia="SimSun" w:hAnsi="Arial"/>
        </w:rPr>
        <w:t>This study employed quantitative research to analyze how the mnemonic keyword method improved science performance among fifth-</w:t>
      </w:r>
      <w:r>
        <w:rPr>
          <w:rFonts w:ascii="Arial" w:eastAsia="SimSun" w:hAnsi="Arial"/>
        </w:rPr>
        <w:t>grade learners in the competency of identifying star patterns visible at particular times of the year, using the code S5FEIVi-j-9. The study employed a researcher-designed instrument comprising 25 items to evaluate the learning outcomes of the learners bef</w:t>
      </w:r>
      <w:r>
        <w:rPr>
          <w:rFonts w:ascii="Arial" w:eastAsia="SimSun" w:hAnsi="Arial"/>
        </w:rPr>
        <w:t>ore and after the intervention. It underwent content validity and reliability tests. Content validity was evaluated by three experts, who reviewed the content and its relevance to learning outcomes and objectives, as well as the validity of individual item</w:t>
      </w:r>
      <w:r>
        <w:rPr>
          <w:rFonts w:ascii="Arial" w:eastAsia="SimSun" w:hAnsi="Arial"/>
        </w:rPr>
        <w:t>s. Aiken's V coefficient results were at 0.92, reflecting excellent validity. The instrument was pilot-tested in other schools to confirm its reliability, yielding a Cronbach's alpha coefficient of 0.714. These ensured the validity and reliability of the i</w:t>
      </w:r>
      <w:r>
        <w:rPr>
          <w:rFonts w:ascii="Arial" w:eastAsia="SimSun" w:hAnsi="Arial"/>
        </w:rPr>
        <w:t>nstruments.</w:t>
      </w:r>
    </w:p>
    <w:p w:rsidR="009B39A5" w:rsidRDefault="009B39A5">
      <w:pPr>
        <w:ind w:firstLine="720"/>
        <w:jc w:val="both"/>
        <w:rPr>
          <w:rFonts w:ascii="Arial" w:eastAsia="SimSun" w:hAnsi="Arial"/>
        </w:rPr>
      </w:pPr>
    </w:p>
    <w:p w:rsidR="009B39A5" w:rsidRDefault="00336C35">
      <w:pPr>
        <w:jc w:val="both"/>
        <w:rPr>
          <w:rFonts w:ascii="Arial" w:eastAsia="Arial" w:hAnsi="Arial" w:cs="Arial"/>
          <w:b/>
          <w:color w:val="000000"/>
          <w:highlight w:val="white"/>
        </w:rPr>
      </w:pPr>
      <w:r>
        <w:rPr>
          <w:rFonts w:ascii="Arial" w:eastAsia="Arial" w:hAnsi="Arial" w:cs="Arial"/>
          <w:b/>
          <w:color w:val="000000"/>
          <w:highlight w:val="white"/>
        </w:rPr>
        <w:t>Respondents of the Study</w:t>
      </w:r>
    </w:p>
    <w:p w:rsidR="009B39A5" w:rsidRDefault="00336C35">
      <w:pPr>
        <w:ind w:firstLine="720"/>
        <w:jc w:val="both"/>
        <w:rPr>
          <w:rFonts w:ascii="Arial" w:eastAsia="SimSun" w:hAnsi="Arial"/>
        </w:rPr>
      </w:pPr>
      <w:r>
        <w:rPr>
          <w:rFonts w:ascii="Arial" w:eastAsia="SimSun" w:hAnsi="Arial"/>
        </w:rPr>
        <w:t xml:space="preserve">Grade five students were the respondents of this study at </w:t>
      </w:r>
      <w:proofErr w:type="spellStart"/>
      <w:r>
        <w:rPr>
          <w:rFonts w:ascii="Arial" w:eastAsia="SimSun" w:hAnsi="Arial"/>
        </w:rPr>
        <w:t>Cateel</w:t>
      </w:r>
      <w:proofErr w:type="spellEnd"/>
      <w:r>
        <w:rPr>
          <w:rFonts w:ascii="Arial" w:eastAsia="SimSun" w:hAnsi="Arial"/>
        </w:rPr>
        <w:t xml:space="preserve"> Central Elementary School. Two sections from the grade five level were selected through random sampling: Grade 5-Jacinto was the experimental group, and </w:t>
      </w:r>
      <w:r>
        <w:rPr>
          <w:rFonts w:ascii="Arial" w:eastAsia="SimSun" w:hAnsi="Arial"/>
        </w:rPr>
        <w:t>Grade 5-Aquino was the control group. Before selecting respondents, the researcher consulted with the school principal and grade five class advisers to identify sections willing to participate. To ensure fairness and avoid bias, a coin toss was conducted w</w:t>
      </w:r>
      <w:r>
        <w:rPr>
          <w:rFonts w:ascii="Arial" w:eastAsia="SimSun" w:hAnsi="Arial"/>
        </w:rPr>
        <w:t>ith the class advisers to determine which section would serve as the control group and which would be the experimental group.</w:t>
      </w:r>
    </w:p>
    <w:p w:rsidR="009B39A5" w:rsidRDefault="009B39A5">
      <w:pPr>
        <w:rPr>
          <w:rFonts w:ascii="Arial" w:eastAsia="Arial" w:hAnsi="Arial" w:cs="Arial"/>
          <w:b/>
          <w:color w:val="000000"/>
          <w:highlight w:val="white"/>
        </w:rPr>
      </w:pPr>
    </w:p>
    <w:p w:rsidR="009B39A5" w:rsidRDefault="00336C35">
      <w:pPr>
        <w:jc w:val="both"/>
        <w:rPr>
          <w:rFonts w:ascii="Arial" w:eastAsia="Arial" w:hAnsi="Arial" w:cs="Arial"/>
          <w:color w:val="000000"/>
          <w:highlight w:val="white"/>
        </w:rPr>
      </w:pPr>
      <w:r>
        <w:rPr>
          <w:rFonts w:ascii="Arial" w:eastAsia="Arial" w:hAnsi="Arial" w:cs="Arial"/>
          <w:b/>
          <w:color w:val="000000"/>
          <w:highlight w:val="white"/>
        </w:rPr>
        <w:t>Data Gathering</w:t>
      </w:r>
    </w:p>
    <w:p w:rsidR="009B39A5" w:rsidRDefault="00336C35">
      <w:pPr>
        <w:keepNext/>
        <w:ind w:firstLine="720"/>
        <w:jc w:val="both"/>
        <w:rPr>
          <w:rFonts w:ascii="Arial" w:eastAsia="SimSun" w:hAnsi="Arial"/>
          <w:lang w:val="en-PH"/>
        </w:rPr>
      </w:pPr>
      <w:r>
        <w:rPr>
          <w:rFonts w:ascii="Arial" w:eastAsia="Arial" w:hAnsi="Arial" w:cs="Arial"/>
          <w:color w:val="000000"/>
        </w:rPr>
        <w:t>The data gathering procedure began with the researcher</w:t>
      </w:r>
      <w:r>
        <w:rPr>
          <w:rFonts w:ascii="Arial" w:eastAsia="SimSun" w:hAnsi="Arial"/>
        </w:rPr>
        <w:t xml:space="preserve"> first obtained ethical clearance from the University Research Ethics Board (UREB) to comply with ethical guidelines and safeguard the rights of participants.</w:t>
      </w:r>
      <w:r>
        <w:rPr>
          <w:rFonts w:ascii="Arial" w:eastAsia="SimSun" w:hAnsi="Arial"/>
          <w:lang w:val="en-PH"/>
        </w:rPr>
        <w:t xml:space="preserve"> </w:t>
      </w:r>
    </w:p>
    <w:p w:rsidR="009B39A5" w:rsidRDefault="00336C35">
      <w:pPr>
        <w:keepNext/>
        <w:ind w:firstLine="720"/>
        <w:jc w:val="both"/>
        <w:rPr>
          <w:rFonts w:ascii="Arial" w:eastAsia="SimSun" w:hAnsi="Arial"/>
          <w:lang w:val="en-PH"/>
        </w:rPr>
      </w:pPr>
      <w:r>
        <w:rPr>
          <w:rFonts w:ascii="Arial" w:eastAsia="SimSun" w:hAnsi="Arial"/>
        </w:rPr>
        <w:t xml:space="preserve">After receiving ethical approval, the researcher requested permission from the school principal </w:t>
      </w:r>
      <w:r>
        <w:rPr>
          <w:rFonts w:ascii="Arial" w:eastAsia="SimSun" w:hAnsi="Arial"/>
        </w:rPr>
        <w:t xml:space="preserve">and grade 5 advisers at </w:t>
      </w:r>
      <w:proofErr w:type="spellStart"/>
      <w:r>
        <w:rPr>
          <w:rFonts w:ascii="Arial" w:eastAsia="SimSun" w:hAnsi="Arial"/>
        </w:rPr>
        <w:t>Cateel</w:t>
      </w:r>
      <w:proofErr w:type="spellEnd"/>
      <w:r>
        <w:rPr>
          <w:rFonts w:ascii="Arial" w:eastAsia="SimSun" w:hAnsi="Arial"/>
        </w:rPr>
        <w:t xml:space="preserve"> Central Elementary School to conduct the pre-test assessment and the intervention. The request stated the study's purpose, participant involvement, and methodology, ensuring transparency and collaboration with the school admi</w:t>
      </w:r>
      <w:r>
        <w:rPr>
          <w:rFonts w:ascii="Arial" w:eastAsia="SimSun" w:hAnsi="Arial"/>
        </w:rPr>
        <w:t>nistration.</w:t>
      </w:r>
      <w:r>
        <w:rPr>
          <w:rFonts w:ascii="Arial" w:eastAsia="SimSun" w:hAnsi="Arial"/>
          <w:lang w:val="en-PH"/>
        </w:rPr>
        <w:t xml:space="preserve"> </w:t>
      </w:r>
    </w:p>
    <w:p w:rsidR="009B39A5" w:rsidRDefault="00336C35">
      <w:pPr>
        <w:keepNext/>
        <w:ind w:firstLine="720"/>
        <w:jc w:val="both"/>
        <w:rPr>
          <w:rFonts w:ascii="Arial" w:eastAsia="SimSun" w:hAnsi="Arial"/>
        </w:rPr>
      </w:pPr>
      <w:r>
        <w:rPr>
          <w:rFonts w:ascii="Arial" w:eastAsia="SimSun" w:hAnsi="Arial"/>
        </w:rPr>
        <w:t>The assent form was first obtained from the parents or guardians of the learners, indicating their willingness for their child to participate in the study. Following this, learners were given time to complete the pre-test assessment, which was</w:t>
      </w:r>
      <w:r>
        <w:rPr>
          <w:rFonts w:ascii="Arial" w:eastAsia="SimSun" w:hAnsi="Arial"/>
        </w:rPr>
        <w:t xml:space="preserve"> designed to determine their initial test performance regarding the lessons on star patterns. The pre-test assessment consisted of multiple-choice questions to establish the students' baseline on science performance.</w:t>
      </w:r>
    </w:p>
    <w:p w:rsidR="009B39A5" w:rsidRDefault="00336C35">
      <w:pPr>
        <w:ind w:firstLine="720"/>
        <w:jc w:val="both"/>
        <w:rPr>
          <w:rFonts w:ascii="Arial" w:eastAsia="SimSun" w:hAnsi="Arial"/>
        </w:rPr>
      </w:pPr>
      <w:r>
        <w:rPr>
          <w:rFonts w:ascii="Arial" w:eastAsia="SimSun" w:hAnsi="Arial"/>
        </w:rPr>
        <w:t>Following the pre-test, the control gro</w:t>
      </w:r>
      <w:r>
        <w:rPr>
          <w:rFonts w:ascii="Arial" w:eastAsia="SimSun" w:hAnsi="Arial"/>
        </w:rPr>
        <w:t>up continued with standard instruction, focusing on rote memorization of the material. Students were expected to memorize the information presented through repetition and recall without connecting it to any meaningful context. On the other hand, the experi</w:t>
      </w:r>
      <w:r>
        <w:rPr>
          <w:rFonts w:ascii="Arial" w:eastAsia="SimSun" w:hAnsi="Arial"/>
        </w:rPr>
        <w:t>mental group received instruction using the mnemonic keyword method. The three steps —recoding, relating, and retrieving — of the method were embedded in the science lessons. In the recoding phase, the teacher linked the material to a familiar keyword to c</w:t>
      </w:r>
      <w:r>
        <w:rPr>
          <w:rFonts w:ascii="Arial" w:eastAsia="SimSun" w:hAnsi="Arial"/>
        </w:rPr>
        <w:t>reate a meaningful connection. During the relating phase, students were shown a visual representation to reinforce the keyword. In the retrieving phase, students recalled the keyword and its visuals, strengthening their understanding and retention. This ap</w:t>
      </w:r>
      <w:r>
        <w:rPr>
          <w:rFonts w:ascii="Arial" w:eastAsia="SimSun" w:hAnsi="Arial"/>
        </w:rPr>
        <w:t>proach engaged both cognitive pathways to enhance recall and understanding of the material, leading to improved scientific performance in the experimental group.</w:t>
      </w:r>
    </w:p>
    <w:p w:rsidR="009B39A5" w:rsidRDefault="00336C35">
      <w:pPr>
        <w:ind w:firstLine="720"/>
        <w:jc w:val="both"/>
        <w:rPr>
          <w:rFonts w:ascii="Arial" w:hAnsi="Arial" w:cs="Arial"/>
          <w:lang w:val="en-PH"/>
        </w:rPr>
      </w:pPr>
      <w:r>
        <w:rPr>
          <w:rFonts w:ascii="Arial" w:eastAsia="SimSun" w:hAnsi="Arial"/>
        </w:rPr>
        <w:lastRenderedPageBreak/>
        <w:t xml:space="preserve">At the end of the two-week intervention period, a post-test assessment was conducted for both </w:t>
      </w:r>
      <w:r>
        <w:rPr>
          <w:rFonts w:ascii="Arial" w:eastAsia="SimSun" w:hAnsi="Arial"/>
        </w:rPr>
        <w:t>the control group and the experimental groups, using the same assessment as the pre-test. This assessment would determine the effectiveness of the keyword mnemonic method by comparing the average test scores for the science performance of both groups befor</w:t>
      </w:r>
      <w:r>
        <w:rPr>
          <w:rFonts w:ascii="Arial" w:eastAsia="SimSun" w:hAnsi="Arial"/>
        </w:rPr>
        <w:t xml:space="preserve">e and after the intervention was implemented. </w:t>
      </w:r>
      <w:r>
        <w:rPr>
          <w:rFonts w:ascii="Arial" w:hAnsi="Arial" w:cs="Arial"/>
        </w:rPr>
        <w:t xml:space="preserve"> </w:t>
      </w:r>
    </w:p>
    <w:p w:rsidR="009B39A5" w:rsidRDefault="00336C35">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4. RESULTS AND DISCUSSION </w:t>
      </w:r>
    </w:p>
    <w:p w:rsidR="009B39A5" w:rsidRDefault="009B39A5">
      <w:pPr>
        <w:jc w:val="both"/>
        <w:rPr>
          <w:rFonts w:ascii="Arial" w:eastAsia="Arial" w:hAnsi="Arial" w:cs="Arial"/>
          <w:b/>
          <w:color w:val="000000"/>
        </w:rPr>
      </w:pPr>
    </w:p>
    <w:p w:rsidR="009B39A5" w:rsidRDefault="00336C35">
      <w:pPr>
        <w:jc w:val="center"/>
        <w:rPr>
          <w:rFonts w:ascii="Arial" w:eastAsia="Arial" w:hAnsi="Arial" w:cs="Arial"/>
          <w:b/>
          <w:color w:val="000000"/>
          <w:lang w:val="en-PH"/>
        </w:rPr>
      </w:pPr>
      <w:r>
        <w:rPr>
          <w:rFonts w:ascii="Arial" w:hAnsi="Arial"/>
          <w:b/>
          <w:bCs/>
        </w:rPr>
        <w:t>Pre-test Scores of the Control and Experimental Group</w:t>
      </w:r>
    </w:p>
    <w:p w:rsidR="009B39A5" w:rsidRDefault="009B39A5">
      <w:pPr>
        <w:jc w:val="center"/>
        <w:rPr>
          <w:rFonts w:ascii="Arial" w:eastAsia="Arial" w:hAnsi="Arial" w:cs="Arial"/>
          <w:b/>
          <w:color w:val="000000"/>
          <w:lang w:val="en-PH"/>
        </w:rPr>
      </w:pPr>
    </w:p>
    <w:p w:rsidR="009B39A5" w:rsidRDefault="00336C35">
      <w:pPr>
        <w:ind w:firstLine="720"/>
        <w:jc w:val="both"/>
        <w:rPr>
          <w:rFonts w:ascii="Arial" w:hAnsi="Arial"/>
        </w:rPr>
      </w:pPr>
      <w:r>
        <w:rPr>
          <w:rFonts w:ascii="Arial" w:hAnsi="Arial"/>
        </w:rPr>
        <w:t>Table 1</w:t>
      </w:r>
      <w:r>
        <w:rPr>
          <w:rFonts w:ascii="Arial" w:hAnsi="Arial"/>
        </w:rPr>
        <w:t xml:space="preserve"> presents the average test score of the pre-test assessment among fifth-grade students in both control and experimental groups. The control group has a mean score of 6.28 with a standard deviation of 2.67, while the experimental group has a mean score of 6</w:t>
      </w:r>
      <w:r>
        <w:rPr>
          <w:rFonts w:ascii="Arial" w:hAnsi="Arial"/>
        </w:rPr>
        <w:t>.12 with a standard deviation of 2.55. Both groups fall under the "Did Not Meet Expectations" category, indicating that the initial performance of students in both groups was relatively low before the intervention.</w:t>
      </w:r>
    </w:p>
    <w:p w:rsidR="009B39A5" w:rsidRDefault="00336C35">
      <w:pPr>
        <w:ind w:firstLine="720"/>
        <w:jc w:val="both"/>
        <w:rPr>
          <w:rFonts w:ascii="Arial" w:hAnsi="Arial"/>
        </w:rPr>
      </w:pPr>
      <w:r>
        <w:rPr>
          <w:rFonts w:ascii="Arial" w:hAnsi="Arial"/>
        </w:rPr>
        <w:t>The low pre-test scores can be attributed</w:t>
      </w:r>
      <w:r>
        <w:rPr>
          <w:rFonts w:ascii="Arial" w:hAnsi="Arial"/>
        </w:rPr>
        <w:t xml:space="preserve"> to several factors, as outlined in the related literature. Students often struggle with science concepts due to cognitive overload, lack of motivation, or ineffective teaching methods, all of which can contribute to lower assessment scores (</w:t>
      </w:r>
      <w:proofErr w:type="spellStart"/>
      <w:r>
        <w:rPr>
          <w:rFonts w:ascii="Arial" w:hAnsi="Arial"/>
        </w:rPr>
        <w:t>Grageda</w:t>
      </w:r>
      <w:proofErr w:type="spellEnd"/>
      <w:r>
        <w:rPr>
          <w:rFonts w:ascii="Arial" w:hAnsi="Arial"/>
        </w:rPr>
        <w:t>, 2022;</w:t>
      </w:r>
      <w:r>
        <w:rPr>
          <w:rFonts w:ascii="Arial" w:hAnsi="Arial"/>
        </w:rPr>
        <w:t xml:space="preserve"> Mason &amp; </w:t>
      </w:r>
      <w:proofErr w:type="spellStart"/>
      <w:r>
        <w:rPr>
          <w:rFonts w:ascii="Arial" w:hAnsi="Arial"/>
        </w:rPr>
        <w:t>Zaccoletti</w:t>
      </w:r>
      <w:proofErr w:type="spellEnd"/>
      <w:r>
        <w:rPr>
          <w:rFonts w:ascii="Arial" w:hAnsi="Arial"/>
        </w:rPr>
        <w:t>, 2021; Hughes, 2023). This aligns with the observation that many students find science concepts abstract and challenging to retain, leading to poor performance in initial assessments (</w:t>
      </w:r>
      <w:proofErr w:type="spellStart"/>
      <w:r>
        <w:rPr>
          <w:rFonts w:ascii="Arial" w:hAnsi="Arial"/>
        </w:rPr>
        <w:t>Akram</w:t>
      </w:r>
      <w:proofErr w:type="spellEnd"/>
      <w:r>
        <w:rPr>
          <w:rFonts w:ascii="Arial" w:hAnsi="Arial"/>
        </w:rPr>
        <w:t xml:space="preserve"> et al., 2022; OECD, 2023). Erikson (2019) also</w:t>
      </w:r>
      <w:r>
        <w:rPr>
          <w:rFonts w:ascii="Arial" w:hAnsi="Arial"/>
        </w:rPr>
        <w:t xml:space="preserve"> highlighted that students face challenges in comprehending scientific concepts, especially those that are abstract or require multidimensional thinking, which further supports the idea that complex scientific concepts can hinder understanding and performa</w:t>
      </w:r>
      <w:r>
        <w:rPr>
          <w:rFonts w:ascii="Arial" w:hAnsi="Arial"/>
        </w:rPr>
        <w:t xml:space="preserve">nce. Additionally, the student's prior exposure to scientific content and learning methods may have influenced their initial understanding, further explaining the low pre-test scores. </w:t>
      </w:r>
    </w:p>
    <w:p w:rsidR="009B39A5" w:rsidRDefault="009B39A5">
      <w:pPr>
        <w:ind w:firstLine="720"/>
        <w:jc w:val="both"/>
        <w:rPr>
          <w:rFonts w:ascii="Arial" w:hAnsi="Arial"/>
        </w:rPr>
      </w:pPr>
    </w:p>
    <w:p w:rsidR="009B39A5" w:rsidRDefault="00336C35">
      <w:pPr>
        <w:tabs>
          <w:tab w:val="left" w:pos="2173"/>
        </w:tabs>
        <w:ind w:right="-630"/>
        <w:jc w:val="both"/>
        <w:rPr>
          <w:rFonts w:ascii="Arial" w:eastAsia="Arial" w:hAnsi="Arial" w:cs="Arial"/>
        </w:rPr>
      </w:pPr>
      <w:r>
        <w:rPr>
          <w:rFonts w:ascii="Arial" w:eastAsia="Arial" w:hAnsi="Arial" w:cs="Arial"/>
        </w:rPr>
        <w:t xml:space="preserve">Table </w:t>
      </w:r>
      <w:r>
        <w:rPr>
          <w:rFonts w:ascii="Arial" w:eastAsia="Arial" w:hAnsi="Arial" w:cs="Arial"/>
          <w:lang w:val="en-PH"/>
        </w:rPr>
        <w:t>1</w:t>
      </w:r>
      <w:r>
        <w:rPr>
          <w:rFonts w:ascii="Arial" w:eastAsia="Arial" w:hAnsi="Arial" w:cs="Arial"/>
        </w:rPr>
        <w:t xml:space="preserve">: </w:t>
      </w:r>
      <w:r>
        <w:rPr>
          <w:rFonts w:ascii="Arial" w:hAnsi="Arial" w:cs="Arial"/>
          <w:i/>
        </w:rPr>
        <w:t>Level of pre-test scores between the experimental and control</w:t>
      </w:r>
      <w:r>
        <w:rPr>
          <w:rFonts w:ascii="Arial" w:hAnsi="Arial" w:cs="Arial"/>
          <w:i/>
        </w:rPr>
        <w:t xml:space="preserve"> group</w:t>
      </w:r>
    </w:p>
    <w:tbl>
      <w:tblPr>
        <w:tblW w:w="8678" w:type="dxa"/>
        <w:tblInd w:w="139" w:type="dxa"/>
        <w:tblLook w:val="04A0" w:firstRow="1" w:lastRow="0" w:firstColumn="1" w:lastColumn="0" w:noHBand="0" w:noVBand="1"/>
      </w:tblPr>
      <w:tblGrid>
        <w:gridCol w:w="1643"/>
        <w:gridCol w:w="1009"/>
        <w:gridCol w:w="1301"/>
        <w:gridCol w:w="980"/>
        <w:gridCol w:w="1524"/>
        <w:gridCol w:w="2221"/>
      </w:tblGrid>
      <w:tr w:rsidR="009B39A5">
        <w:trPr>
          <w:trHeight w:val="672"/>
        </w:trPr>
        <w:tc>
          <w:tcPr>
            <w:tcW w:w="1643" w:type="dxa"/>
            <w:tcBorders>
              <w:top w:val="single" w:sz="4" w:space="0" w:color="auto"/>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Group</w:t>
            </w:r>
          </w:p>
        </w:tc>
        <w:tc>
          <w:tcPr>
            <w:tcW w:w="1009"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Total Score</w:t>
            </w:r>
          </w:p>
        </w:tc>
        <w:tc>
          <w:tcPr>
            <w:tcW w:w="1301"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Standard Deviation</w:t>
            </w:r>
          </w:p>
        </w:tc>
        <w:tc>
          <w:tcPr>
            <w:tcW w:w="980"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Mean</w:t>
            </w:r>
          </w:p>
        </w:tc>
        <w:tc>
          <w:tcPr>
            <w:tcW w:w="1524"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Transmuted Grade</w:t>
            </w:r>
          </w:p>
        </w:tc>
        <w:tc>
          <w:tcPr>
            <w:tcW w:w="2221"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Remarks</w:t>
            </w:r>
          </w:p>
        </w:tc>
      </w:tr>
      <w:tr w:rsidR="009B39A5">
        <w:trPr>
          <w:trHeight w:val="672"/>
        </w:trPr>
        <w:tc>
          <w:tcPr>
            <w:tcW w:w="1643" w:type="dxa"/>
            <w:tcBorders>
              <w:top w:val="single" w:sz="4" w:space="0" w:color="auto"/>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Control Group</w:t>
            </w:r>
          </w:p>
        </w:tc>
        <w:tc>
          <w:tcPr>
            <w:tcW w:w="1009"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25</w:t>
            </w:r>
          </w:p>
        </w:tc>
        <w:tc>
          <w:tcPr>
            <w:tcW w:w="1301"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2.67</w:t>
            </w:r>
          </w:p>
        </w:tc>
        <w:tc>
          <w:tcPr>
            <w:tcW w:w="980"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6.28</w:t>
            </w:r>
          </w:p>
        </w:tc>
        <w:tc>
          <w:tcPr>
            <w:tcW w:w="1524"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66</w:t>
            </w:r>
          </w:p>
        </w:tc>
        <w:tc>
          <w:tcPr>
            <w:tcW w:w="2221"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Did Not Meet Expectations</w:t>
            </w:r>
          </w:p>
        </w:tc>
      </w:tr>
      <w:tr w:rsidR="009B39A5">
        <w:trPr>
          <w:trHeight w:val="684"/>
        </w:trPr>
        <w:tc>
          <w:tcPr>
            <w:tcW w:w="1643" w:type="dxa"/>
            <w:tcBorders>
              <w:top w:val="single" w:sz="4" w:space="0" w:color="auto"/>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Experimental Group</w:t>
            </w:r>
          </w:p>
        </w:tc>
        <w:tc>
          <w:tcPr>
            <w:tcW w:w="1009"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25</w:t>
            </w:r>
          </w:p>
        </w:tc>
        <w:tc>
          <w:tcPr>
            <w:tcW w:w="1301"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2.55</w:t>
            </w:r>
          </w:p>
        </w:tc>
        <w:tc>
          <w:tcPr>
            <w:tcW w:w="980"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6.12</w:t>
            </w:r>
          </w:p>
        </w:tc>
        <w:tc>
          <w:tcPr>
            <w:tcW w:w="1524"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66</w:t>
            </w:r>
          </w:p>
        </w:tc>
        <w:tc>
          <w:tcPr>
            <w:tcW w:w="2221"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Did Not Meet Expectations</w:t>
            </w:r>
          </w:p>
        </w:tc>
      </w:tr>
    </w:tbl>
    <w:p w:rsidR="009B39A5" w:rsidRDefault="009B39A5">
      <w:pPr>
        <w:tabs>
          <w:tab w:val="left" w:pos="2173"/>
        </w:tabs>
        <w:ind w:right="-630"/>
        <w:jc w:val="both"/>
        <w:rPr>
          <w:rFonts w:ascii="Arial" w:eastAsia="Arial" w:hAnsi="Arial" w:cs="Arial"/>
        </w:rPr>
      </w:pPr>
    </w:p>
    <w:p w:rsidR="009B39A5" w:rsidRDefault="009B39A5">
      <w:pPr>
        <w:tabs>
          <w:tab w:val="left" w:pos="2173"/>
        </w:tabs>
        <w:ind w:right="-72"/>
        <w:jc w:val="center"/>
        <w:rPr>
          <w:rFonts w:ascii="Arial" w:eastAsia="Arial" w:hAnsi="Arial" w:cs="Arial"/>
          <w:b/>
        </w:rPr>
      </w:pPr>
      <w:bookmarkStart w:id="0" w:name="_ak9k0tslw6xz" w:colFirst="0" w:colLast="0"/>
      <w:bookmarkEnd w:id="0"/>
    </w:p>
    <w:p w:rsidR="009B39A5" w:rsidRDefault="00336C35">
      <w:pPr>
        <w:spacing w:line="480" w:lineRule="auto"/>
        <w:jc w:val="center"/>
        <w:rPr>
          <w:rFonts w:ascii="Arial" w:eastAsia="Arial" w:hAnsi="Arial" w:cs="Arial"/>
          <w:b/>
        </w:rPr>
      </w:pPr>
      <w:r>
        <w:rPr>
          <w:rFonts w:ascii="Arial" w:hAnsi="Arial"/>
          <w:b/>
          <w:bCs/>
        </w:rPr>
        <w:t xml:space="preserve">Difference in Pre-test Scores in Control and Experimental </w:t>
      </w:r>
      <w:r>
        <w:rPr>
          <w:rFonts w:ascii="Arial" w:hAnsi="Arial"/>
          <w:b/>
          <w:bCs/>
        </w:rPr>
        <w:t>Group</w:t>
      </w:r>
    </w:p>
    <w:p w:rsidR="009B39A5" w:rsidRDefault="00336C35">
      <w:pPr>
        <w:ind w:firstLine="720"/>
        <w:jc w:val="both"/>
        <w:rPr>
          <w:rFonts w:ascii="Arial" w:eastAsia="SimSun" w:hAnsi="Arial"/>
          <w:lang w:eastAsia="zh-CN"/>
        </w:rPr>
      </w:pPr>
      <w:r>
        <w:rPr>
          <w:rFonts w:ascii="Arial" w:eastAsia="Arial" w:hAnsi="Arial" w:cs="Arial"/>
        </w:rPr>
        <w:tab/>
      </w:r>
      <w:r>
        <w:rPr>
          <w:rFonts w:ascii="Arial" w:eastAsia="SimSun" w:hAnsi="Arial"/>
          <w:lang w:eastAsia="zh-CN"/>
        </w:rPr>
        <w:t>Table 2</w:t>
      </w:r>
      <w:r>
        <w:rPr>
          <w:rFonts w:ascii="Arial" w:eastAsia="SimSun" w:hAnsi="Arial"/>
          <w:lang w:eastAsia="zh-CN"/>
        </w:rPr>
        <w:t xml:space="preserve"> presents a statistical comparison of the pre-test scores between the control and experimental groups. The t-value of 0.217 and p-value of 0.830 suggest that there is no statistically significant difference between the two groups in terms of their pre-test</w:t>
      </w:r>
      <w:r>
        <w:rPr>
          <w:rFonts w:ascii="Arial" w:eastAsia="SimSun" w:hAnsi="Arial"/>
          <w:lang w:eastAsia="zh-CN"/>
        </w:rPr>
        <w:t xml:space="preserve"> performance. This indicates that both groups were equivalent at baseline in terms of their initial knowledge and understanding before the intervention.</w:t>
      </w:r>
    </w:p>
    <w:p w:rsidR="009B39A5" w:rsidRDefault="00336C35">
      <w:pPr>
        <w:ind w:firstLine="720"/>
        <w:jc w:val="both"/>
        <w:rPr>
          <w:rFonts w:ascii="Arial" w:eastAsia="SimSun" w:hAnsi="Arial"/>
          <w:lang w:eastAsia="zh-CN"/>
        </w:rPr>
      </w:pPr>
      <w:r>
        <w:rPr>
          <w:rFonts w:ascii="Arial" w:eastAsia="SimSun" w:hAnsi="Arial"/>
          <w:lang w:eastAsia="zh-CN"/>
        </w:rPr>
        <w:t>As discussed in the literature, pre-test similarities between groups are not uncommon, especially in st</w:t>
      </w:r>
      <w:r>
        <w:rPr>
          <w:rFonts w:ascii="Arial" w:eastAsia="SimSun" w:hAnsi="Arial"/>
          <w:lang w:eastAsia="zh-CN"/>
        </w:rPr>
        <w:t xml:space="preserve">udies where students have not been exposed to specific interventions. As de Boer et al. (2015) emphasized, establishing comparability at the start of an experiment is crucial for the validity of subsequent findings. By ensuring that both groups start at a </w:t>
      </w:r>
      <w:r>
        <w:rPr>
          <w:rFonts w:ascii="Arial" w:eastAsia="SimSun" w:hAnsi="Arial"/>
          <w:lang w:eastAsia="zh-CN"/>
        </w:rPr>
        <w:t xml:space="preserve">similar level, any observed changes in performance can be attributed more confidently to the intervention rather than pre-existing differences. </w:t>
      </w:r>
    </w:p>
    <w:p w:rsidR="009B39A5" w:rsidRDefault="00336C35">
      <w:pPr>
        <w:ind w:firstLine="720"/>
        <w:jc w:val="both"/>
        <w:rPr>
          <w:rFonts w:ascii="Arial" w:eastAsia="SimSun" w:hAnsi="Arial"/>
          <w:lang w:eastAsia="zh-CN"/>
        </w:rPr>
      </w:pPr>
      <w:r>
        <w:rPr>
          <w:rFonts w:ascii="Arial" w:eastAsia="SimSun" w:hAnsi="Arial"/>
          <w:lang w:eastAsia="zh-CN"/>
        </w:rPr>
        <w:t>The lack of significant differences between groups in the pre-test reflects that these challenges are widesprea</w:t>
      </w:r>
      <w:r>
        <w:rPr>
          <w:rFonts w:ascii="Arial" w:eastAsia="SimSun" w:hAnsi="Arial"/>
          <w:lang w:eastAsia="zh-CN"/>
        </w:rPr>
        <w:t xml:space="preserve">d, affecting students regardless of the instructional method they are initially exposed </w:t>
      </w:r>
      <w:proofErr w:type="gramStart"/>
      <w:r>
        <w:rPr>
          <w:rFonts w:ascii="Arial" w:eastAsia="SimSun" w:hAnsi="Arial"/>
          <w:lang w:eastAsia="zh-CN"/>
        </w:rPr>
        <w:t>to  (</w:t>
      </w:r>
      <w:proofErr w:type="spellStart"/>
      <w:proofErr w:type="gramEnd"/>
      <w:r>
        <w:rPr>
          <w:rFonts w:ascii="Arial" w:eastAsia="SimSun" w:hAnsi="Arial"/>
          <w:lang w:eastAsia="zh-CN"/>
        </w:rPr>
        <w:t>Khelifi</w:t>
      </w:r>
      <w:proofErr w:type="spellEnd"/>
      <w:r>
        <w:rPr>
          <w:rFonts w:ascii="Arial" w:eastAsia="SimSun" w:hAnsi="Arial"/>
          <w:lang w:eastAsia="zh-CN"/>
        </w:rPr>
        <w:t xml:space="preserve"> &amp; </w:t>
      </w:r>
      <w:proofErr w:type="spellStart"/>
      <w:r>
        <w:rPr>
          <w:rFonts w:ascii="Arial" w:eastAsia="SimSun" w:hAnsi="Arial"/>
          <w:lang w:eastAsia="zh-CN"/>
        </w:rPr>
        <w:t>Hamzaoui-Elachachi</w:t>
      </w:r>
      <w:proofErr w:type="spellEnd"/>
      <w:r>
        <w:rPr>
          <w:rFonts w:ascii="Arial" w:eastAsia="SimSun" w:hAnsi="Arial"/>
          <w:lang w:eastAsia="zh-CN"/>
        </w:rPr>
        <w:t xml:space="preserve">, 2024; Chew &amp; </w:t>
      </w:r>
      <w:proofErr w:type="spellStart"/>
      <w:r>
        <w:rPr>
          <w:rFonts w:ascii="Arial" w:eastAsia="SimSun" w:hAnsi="Arial"/>
          <w:lang w:eastAsia="zh-CN"/>
        </w:rPr>
        <w:t>Cerbin</w:t>
      </w:r>
      <w:proofErr w:type="spellEnd"/>
      <w:r>
        <w:rPr>
          <w:rFonts w:ascii="Arial" w:eastAsia="SimSun" w:hAnsi="Arial"/>
          <w:lang w:eastAsia="zh-CN"/>
        </w:rPr>
        <w:t>, 2021). Studies have highlighted that students' difficulties in grasping science concepts stem from various educa</w:t>
      </w:r>
      <w:r>
        <w:rPr>
          <w:rFonts w:ascii="Arial" w:eastAsia="SimSun" w:hAnsi="Arial"/>
          <w:lang w:eastAsia="zh-CN"/>
        </w:rPr>
        <w:t xml:space="preserve">tional </w:t>
      </w:r>
      <w:r>
        <w:rPr>
          <w:rFonts w:ascii="Arial" w:eastAsia="SimSun" w:hAnsi="Arial"/>
          <w:lang w:eastAsia="zh-CN"/>
        </w:rPr>
        <w:lastRenderedPageBreak/>
        <w:t>and cognitive factors, such as the complexity of scientific language and conceptual overload (</w:t>
      </w:r>
      <w:proofErr w:type="spellStart"/>
      <w:r>
        <w:rPr>
          <w:rFonts w:ascii="Arial" w:eastAsia="SimSun" w:hAnsi="Arial"/>
          <w:lang w:eastAsia="zh-CN"/>
        </w:rPr>
        <w:t>Avraamidou</w:t>
      </w:r>
      <w:proofErr w:type="spellEnd"/>
      <w:r>
        <w:rPr>
          <w:rFonts w:ascii="Arial" w:eastAsia="SimSun" w:hAnsi="Arial"/>
          <w:lang w:eastAsia="zh-CN"/>
        </w:rPr>
        <w:t xml:space="preserve">, 2022; Jia et al., 2024). </w:t>
      </w:r>
    </w:p>
    <w:p w:rsidR="009B39A5" w:rsidRDefault="009B39A5">
      <w:pPr>
        <w:ind w:firstLine="720"/>
        <w:jc w:val="both"/>
        <w:rPr>
          <w:rFonts w:ascii="Arial" w:eastAsia="Arial" w:hAnsi="Arial" w:cs="Arial"/>
        </w:rPr>
      </w:pPr>
    </w:p>
    <w:p w:rsidR="009B39A5" w:rsidRDefault="009B39A5">
      <w:pPr>
        <w:jc w:val="both"/>
        <w:rPr>
          <w:rFonts w:ascii="Arial" w:eastAsia="Arial" w:hAnsi="Arial" w:cs="Arial"/>
        </w:rPr>
      </w:pPr>
    </w:p>
    <w:p w:rsidR="009B39A5" w:rsidRDefault="009B39A5">
      <w:pPr>
        <w:jc w:val="both"/>
        <w:rPr>
          <w:rFonts w:ascii="Arial" w:eastAsia="Arial" w:hAnsi="Arial" w:cs="Arial"/>
        </w:rPr>
      </w:pPr>
    </w:p>
    <w:p w:rsidR="009B39A5" w:rsidRDefault="00336C35">
      <w:pPr>
        <w:jc w:val="both"/>
        <w:rPr>
          <w:rFonts w:ascii="Arial" w:eastAsia="Arial" w:hAnsi="Arial" w:cs="Arial"/>
        </w:rPr>
      </w:pPr>
      <w:r>
        <w:rPr>
          <w:rFonts w:ascii="Arial" w:eastAsia="Arial" w:hAnsi="Arial" w:cs="Arial"/>
        </w:rPr>
        <w:t xml:space="preserve">Table </w:t>
      </w:r>
      <w:r>
        <w:rPr>
          <w:rFonts w:ascii="Arial" w:eastAsia="Arial" w:hAnsi="Arial" w:cs="Arial"/>
          <w:lang w:val="en-PH"/>
        </w:rPr>
        <w:t>2</w:t>
      </w:r>
      <w:r>
        <w:rPr>
          <w:rFonts w:ascii="Arial" w:eastAsia="Arial" w:hAnsi="Arial" w:cs="Arial"/>
        </w:rPr>
        <w:t>:</w:t>
      </w:r>
      <w:r>
        <w:rPr>
          <w:rFonts w:ascii="Arial" w:eastAsia="Arial" w:hAnsi="Arial" w:cs="Arial"/>
          <w:lang w:val="en-PH"/>
        </w:rPr>
        <w:t xml:space="preserve"> </w:t>
      </w:r>
      <w:r>
        <w:rPr>
          <w:rFonts w:ascii="Arial" w:hAnsi="Arial" w:cs="Arial"/>
          <w:i/>
        </w:rPr>
        <w:t>Mean comparison between pre-test scores of control and experimental group</w:t>
      </w:r>
    </w:p>
    <w:tbl>
      <w:tblPr>
        <w:tblW w:w="8800" w:type="dxa"/>
        <w:tblInd w:w="77" w:type="dxa"/>
        <w:tblLook w:val="04A0" w:firstRow="1" w:lastRow="0" w:firstColumn="1" w:lastColumn="0" w:noHBand="0" w:noVBand="1"/>
      </w:tblPr>
      <w:tblGrid>
        <w:gridCol w:w="1617"/>
        <w:gridCol w:w="889"/>
        <w:gridCol w:w="1220"/>
        <w:gridCol w:w="1000"/>
        <w:gridCol w:w="1041"/>
        <w:gridCol w:w="3033"/>
      </w:tblGrid>
      <w:tr w:rsidR="009B39A5">
        <w:trPr>
          <w:trHeight w:val="622"/>
        </w:trPr>
        <w:tc>
          <w:tcPr>
            <w:tcW w:w="1617" w:type="dxa"/>
            <w:tcBorders>
              <w:top w:val="single" w:sz="4" w:space="0" w:color="auto"/>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Group</w:t>
            </w:r>
          </w:p>
        </w:tc>
        <w:tc>
          <w:tcPr>
            <w:tcW w:w="889"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Mean</w:t>
            </w:r>
          </w:p>
        </w:tc>
        <w:tc>
          <w:tcPr>
            <w:tcW w:w="1220"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Standard Deviation</w:t>
            </w:r>
          </w:p>
        </w:tc>
        <w:tc>
          <w:tcPr>
            <w:tcW w:w="1000"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t-value</w:t>
            </w:r>
          </w:p>
        </w:tc>
        <w:tc>
          <w:tcPr>
            <w:tcW w:w="1041"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p-value</w:t>
            </w:r>
          </w:p>
        </w:tc>
        <w:tc>
          <w:tcPr>
            <w:tcW w:w="3033"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Interpretation</w:t>
            </w:r>
          </w:p>
        </w:tc>
      </w:tr>
      <w:tr w:rsidR="009B39A5">
        <w:trPr>
          <w:trHeight w:val="316"/>
        </w:trPr>
        <w:tc>
          <w:tcPr>
            <w:tcW w:w="1617" w:type="dxa"/>
            <w:tcBorders>
              <w:top w:val="single" w:sz="4" w:space="0" w:color="auto"/>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Control Group</w:t>
            </w:r>
          </w:p>
        </w:tc>
        <w:tc>
          <w:tcPr>
            <w:tcW w:w="889"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6.28</w:t>
            </w:r>
          </w:p>
        </w:tc>
        <w:tc>
          <w:tcPr>
            <w:tcW w:w="1220"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9B39A5">
            <w:pPr>
              <w:jc w:val="center"/>
              <w:rPr>
                <w:rFonts w:ascii="Arial" w:hAnsi="Arial" w:cs="Arial"/>
              </w:rPr>
            </w:pPr>
          </w:p>
          <w:p w:rsidR="009B39A5" w:rsidRDefault="00336C35">
            <w:pPr>
              <w:jc w:val="center"/>
              <w:rPr>
                <w:rFonts w:ascii="Arial" w:hAnsi="Arial" w:cs="Arial"/>
              </w:rPr>
            </w:pPr>
            <w:r>
              <w:rPr>
                <w:rFonts w:ascii="Arial" w:hAnsi="Arial" w:cs="Arial"/>
              </w:rPr>
              <w:t>2.67</w:t>
            </w:r>
          </w:p>
          <w:p w:rsidR="009B39A5" w:rsidRDefault="009B39A5">
            <w:pPr>
              <w:jc w:val="center"/>
              <w:rPr>
                <w:rFonts w:ascii="Arial" w:hAnsi="Arial" w:cs="Arial"/>
              </w:rPr>
            </w:pPr>
          </w:p>
        </w:tc>
        <w:tc>
          <w:tcPr>
            <w:tcW w:w="1000" w:type="dxa"/>
            <w:vMerge w:val="restart"/>
            <w:tcBorders>
              <w:top w:val="single" w:sz="4" w:space="0" w:color="auto"/>
              <w:left w:val="nil"/>
              <w:bottom w:val="single" w:sz="4" w:space="0" w:color="auto"/>
            </w:tcBorders>
            <w:tcMar>
              <w:top w:w="0" w:type="dxa"/>
              <w:left w:w="108" w:type="dxa"/>
              <w:bottom w:w="0" w:type="dxa"/>
              <w:right w:w="108" w:type="dxa"/>
            </w:tcMar>
            <w:vAlign w:val="center"/>
          </w:tcPr>
          <w:p w:rsidR="009B39A5" w:rsidRDefault="009B39A5">
            <w:pPr>
              <w:jc w:val="center"/>
              <w:rPr>
                <w:rFonts w:ascii="Arial" w:hAnsi="Arial" w:cs="Arial"/>
              </w:rPr>
            </w:pPr>
          </w:p>
          <w:p w:rsidR="009B39A5" w:rsidRDefault="00336C35">
            <w:pPr>
              <w:jc w:val="center"/>
              <w:rPr>
                <w:rFonts w:ascii="Arial" w:hAnsi="Arial" w:cs="Arial"/>
              </w:rPr>
            </w:pPr>
            <w:r>
              <w:rPr>
                <w:rFonts w:ascii="Arial" w:hAnsi="Arial" w:cs="Arial"/>
              </w:rPr>
              <w:t>0.217</w:t>
            </w:r>
          </w:p>
        </w:tc>
        <w:tc>
          <w:tcPr>
            <w:tcW w:w="1041" w:type="dxa"/>
            <w:vMerge w:val="restart"/>
            <w:tcBorders>
              <w:top w:val="single" w:sz="4" w:space="0" w:color="auto"/>
              <w:left w:val="nil"/>
              <w:bottom w:val="single" w:sz="4" w:space="0" w:color="auto"/>
            </w:tcBorders>
            <w:tcMar>
              <w:top w:w="0" w:type="dxa"/>
              <w:left w:w="108" w:type="dxa"/>
              <w:bottom w:w="0" w:type="dxa"/>
              <w:right w:w="108" w:type="dxa"/>
            </w:tcMar>
            <w:vAlign w:val="center"/>
          </w:tcPr>
          <w:p w:rsidR="009B39A5" w:rsidRDefault="009B39A5">
            <w:pPr>
              <w:jc w:val="center"/>
              <w:rPr>
                <w:rFonts w:ascii="Arial" w:hAnsi="Arial" w:cs="Arial"/>
              </w:rPr>
            </w:pPr>
          </w:p>
          <w:p w:rsidR="009B39A5" w:rsidRDefault="00336C35">
            <w:pPr>
              <w:jc w:val="center"/>
              <w:rPr>
                <w:rFonts w:ascii="Arial" w:hAnsi="Arial" w:cs="Arial"/>
              </w:rPr>
            </w:pPr>
            <w:r>
              <w:rPr>
                <w:rFonts w:ascii="Arial" w:hAnsi="Arial" w:cs="Arial"/>
              </w:rPr>
              <w:t>0.830</w:t>
            </w:r>
          </w:p>
        </w:tc>
        <w:tc>
          <w:tcPr>
            <w:tcW w:w="3033" w:type="dxa"/>
            <w:vMerge w:val="restart"/>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There is no significant difference in the average pre-test score between the experimental and control groups.</w:t>
            </w:r>
          </w:p>
        </w:tc>
      </w:tr>
      <w:tr w:rsidR="009B39A5">
        <w:trPr>
          <w:trHeight w:val="1235"/>
        </w:trPr>
        <w:tc>
          <w:tcPr>
            <w:tcW w:w="1617" w:type="dxa"/>
            <w:tcBorders>
              <w:top w:val="single" w:sz="4" w:space="0" w:color="auto"/>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Experimental Group</w:t>
            </w:r>
          </w:p>
        </w:tc>
        <w:tc>
          <w:tcPr>
            <w:tcW w:w="889"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9B39A5">
            <w:pPr>
              <w:jc w:val="center"/>
              <w:rPr>
                <w:rFonts w:ascii="Arial" w:hAnsi="Arial" w:cs="Arial"/>
              </w:rPr>
            </w:pPr>
          </w:p>
          <w:p w:rsidR="009B39A5" w:rsidRDefault="00336C35">
            <w:pPr>
              <w:jc w:val="center"/>
              <w:rPr>
                <w:rFonts w:ascii="Arial" w:hAnsi="Arial" w:cs="Arial"/>
              </w:rPr>
            </w:pPr>
            <w:r>
              <w:rPr>
                <w:rFonts w:ascii="Arial" w:hAnsi="Arial" w:cs="Arial"/>
              </w:rPr>
              <w:t>6.12</w:t>
            </w:r>
          </w:p>
        </w:tc>
        <w:tc>
          <w:tcPr>
            <w:tcW w:w="1220"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9B39A5">
            <w:pPr>
              <w:jc w:val="center"/>
              <w:rPr>
                <w:rFonts w:ascii="Arial" w:hAnsi="Arial" w:cs="Arial"/>
              </w:rPr>
            </w:pPr>
          </w:p>
          <w:p w:rsidR="009B39A5" w:rsidRDefault="00336C35">
            <w:pPr>
              <w:jc w:val="center"/>
              <w:rPr>
                <w:rFonts w:ascii="Arial" w:hAnsi="Arial" w:cs="Arial"/>
              </w:rPr>
            </w:pPr>
            <w:r>
              <w:rPr>
                <w:rFonts w:ascii="Arial" w:hAnsi="Arial" w:cs="Arial"/>
              </w:rPr>
              <w:t>2.55</w:t>
            </w:r>
          </w:p>
        </w:tc>
        <w:tc>
          <w:tcPr>
            <w:tcW w:w="1000" w:type="dxa"/>
            <w:vMerge/>
            <w:tcBorders>
              <w:top w:val="single" w:sz="4" w:space="0" w:color="auto"/>
              <w:left w:val="nil"/>
              <w:bottom w:val="single" w:sz="4" w:space="0" w:color="auto"/>
            </w:tcBorders>
            <w:vAlign w:val="center"/>
          </w:tcPr>
          <w:p w:rsidR="009B39A5" w:rsidRDefault="009B39A5">
            <w:pPr>
              <w:jc w:val="center"/>
              <w:rPr>
                <w:rFonts w:ascii="Arial" w:hAnsi="Arial" w:cs="Arial"/>
              </w:rPr>
            </w:pPr>
          </w:p>
        </w:tc>
        <w:tc>
          <w:tcPr>
            <w:tcW w:w="1041" w:type="dxa"/>
            <w:vMerge/>
            <w:tcBorders>
              <w:top w:val="single" w:sz="4" w:space="0" w:color="auto"/>
              <w:left w:val="nil"/>
              <w:bottom w:val="single" w:sz="4" w:space="0" w:color="auto"/>
            </w:tcBorders>
            <w:vAlign w:val="center"/>
          </w:tcPr>
          <w:p w:rsidR="009B39A5" w:rsidRDefault="009B39A5">
            <w:pPr>
              <w:jc w:val="center"/>
              <w:rPr>
                <w:rFonts w:ascii="Arial" w:hAnsi="Arial" w:cs="Arial"/>
              </w:rPr>
            </w:pPr>
          </w:p>
        </w:tc>
        <w:tc>
          <w:tcPr>
            <w:tcW w:w="3033" w:type="dxa"/>
            <w:vMerge/>
            <w:tcBorders>
              <w:top w:val="single" w:sz="4" w:space="0" w:color="auto"/>
              <w:left w:val="nil"/>
              <w:bottom w:val="single" w:sz="4" w:space="0" w:color="auto"/>
            </w:tcBorders>
            <w:vAlign w:val="center"/>
          </w:tcPr>
          <w:p w:rsidR="009B39A5" w:rsidRDefault="009B39A5">
            <w:pPr>
              <w:jc w:val="center"/>
              <w:rPr>
                <w:rFonts w:ascii="Arial" w:hAnsi="Arial" w:cs="Arial"/>
              </w:rPr>
            </w:pPr>
          </w:p>
        </w:tc>
      </w:tr>
    </w:tbl>
    <w:p w:rsidR="009B39A5" w:rsidRDefault="009B39A5">
      <w:pPr>
        <w:ind w:right="-72"/>
        <w:jc w:val="both"/>
        <w:rPr>
          <w:rFonts w:ascii="Arial" w:eastAsia="Arial" w:hAnsi="Arial" w:cs="Arial"/>
          <w:b/>
        </w:rPr>
      </w:pPr>
    </w:p>
    <w:p w:rsidR="009B39A5" w:rsidRDefault="009B39A5">
      <w:pPr>
        <w:jc w:val="center"/>
        <w:rPr>
          <w:rFonts w:ascii="Arial" w:eastAsia="SimSun" w:hAnsi="Arial"/>
          <w:b/>
          <w:bCs/>
          <w:lang w:eastAsia="zh-CN"/>
        </w:rPr>
      </w:pPr>
    </w:p>
    <w:p w:rsidR="009B39A5" w:rsidRDefault="00336C35">
      <w:pPr>
        <w:jc w:val="center"/>
        <w:rPr>
          <w:rFonts w:ascii="Arial" w:eastAsia="SimSun" w:hAnsi="Arial"/>
          <w:b/>
          <w:bCs/>
          <w:lang w:eastAsia="zh-CN"/>
        </w:rPr>
      </w:pPr>
      <w:r>
        <w:rPr>
          <w:rFonts w:ascii="Arial" w:eastAsia="SimSun" w:hAnsi="Arial"/>
          <w:b/>
          <w:bCs/>
          <w:lang w:eastAsia="zh-CN"/>
        </w:rPr>
        <w:t xml:space="preserve">Post-test Scores of the Control and </w:t>
      </w:r>
      <w:r>
        <w:rPr>
          <w:rFonts w:ascii="Arial" w:eastAsia="SimSun" w:hAnsi="Arial"/>
          <w:b/>
          <w:bCs/>
          <w:lang w:eastAsia="zh-CN"/>
        </w:rPr>
        <w:t>Experimental Group</w:t>
      </w:r>
    </w:p>
    <w:p w:rsidR="009B39A5" w:rsidRDefault="009B39A5">
      <w:pPr>
        <w:jc w:val="center"/>
        <w:rPr>
          <w:rFonts w:ascii="Arial" w:eastAsia="SimSun" w:hAnsi="Arial"/>
          <w:b/>
          <w:bCs/>
          <w:lang w:eastAsia="zh-CN"/>
        </w:rPr>
      </w:pPr>
    </w:p>
    <w:p w:rsidR="009B39A5" w:rsidRDefault="00336C35">
      <w:pPr>
        <w:ind w:firstLine="720"/>
        <w:jc w:val="both"/>
        <w:rPr>
          <w:rFonts w:ascii="Arial" w:eastAsia="DengXian" w:hAnsi="Arial"/>
          <w:lang w:eastAsia="en-US"/>
        </w:rPr>
      </w:pPr>
      <w:r>
        <w:rPr>
          <w:rFonts w:ascii="Arial" w:eastAsia="SimSun" w:hAnsi="Arial"/>
          <w:lang w:eastAsia="zh-CN"/>
        </w:rPr>
        <w:t>Table 3 presents the mean score for science performance on star patterns, as measured by post-test scores, between the control and experimental groups.</w:t>
      </w:r>
      <w:r>
        <w:rPr>
          <w:rFonts w:ascii="Arial" w:eastAsia="SimSun" w:hAnsi="Arial"/>
          <w:sz w:val="24"/>
          <w:szCs w:val="24"/>
          <w:lang w:val="en-PH" w:eastAsia="zh-CN"/>
        </w:rPr>
        <w:t xml:space="preserve"> </w:t>
      </w:r>
      <w:r>
        <w:rPr>
          <w:rFonts w:ascii="Arial" w:eastAsia="DengXian" w:hAnsi="Arial"/>
          <w:lang w:eastAsia="en-US"/>
        </w:rPr>
        <w:t>The study compared the post-test scores of two groups: a control group that received standard curriculum instruction and an experimental group that utilized the mnemonic keyword method to learn star patterns. The experimental group has a mean score of 16.1</w:t>
      </w:r>
      <w:r>
        <w:rPr>
          <w:rFonts w:ascii="Arial" w:eastAsia="DengXian" w:hAnsi="Arial"/>
          <w:lang w:eastAsia="en-US"/>
        </w:rPr>
        <w:t xml:space="preserve">2 with a standard deviation of 4.15, falling into the "Fairly Satisfactory" category. In contrast, the control group's mean score is 9.52 with a standard deviation of 3.06, still within the "Did Not Meet Expectations" category. This substantial difference </w:t>
      </w:r>
      <w:r>
        <w:rPr>
          <w:rFonts w:ascii="Arial" w:eastAsia="DengXian" w:hAnsi="Arial"/>
          <w:lang w:eastAsia="en-US"/>
        </w:rPr>
        <w:t>suggests a positive impact of the mnemonic keyword method on students' science performance on the topic of star patterns. Since both groups are equivalent groups at baseline, any observed changes in performance can be confidently attributed to the interven</w:t>
      </w:r>
      <w:r>
        <w:rPr>
          <w:rFonts w:ascii="Arial" w:eastAsia="DengXian" w:hAnsi="Arial"/>
          <w:lang w:eastAsia="en-US"/>
        </w:rPr>
        <w:t xml:space="preserve">tion rather than </w:t>
      </w:r>
      <w:r>
        <w:rPr>
          <w:rFonts w:ascii="Arial" w:hAnsi="Arial"/>
          <w:lang w:eastAsia="en-US"/>
        </w:rPr>
        <w:t>pre-existing</w:t>
      </w:r>
      <w:r>
        <w:rPr>
          <w:rFonts w:ascii="Arial" w:eastAsia="DengXian" w:hAnsi="Arial"/>
          <w:lang w:eastAsia="en-US"/>
        </w:rPr>
        <w:t xml:space="preserve"> differences. </w:t>
      </w:r>
    </w:p>
    <w:p w:rsidR="009B39A5" w:rsidRDefault="00336C35">
      <w:pPr>
        <w:ind w:firstLine="720"/>
        <w:jc w:val="both"/>
        <w:rPr>
          <w:rFonts w:ascii="Arial" w:eastAsia="DengXian" w:hAnsi="Arial"/>
          <w:lang w:eastAsia="en-US"/>
        </w:rPr>
      </w:pPr>
      <w:r>
        <w:rPr>
          <w:rFonts w:ascii="Arial" w:eastAsia="DengXian" w:hAnsi="Arial"/>
          <w:lang w:eastAsia="en-US"/>
        </w:rPr>
        <w:t xml:space="preserve">The </w:t>
      </w:r>
      <w:r>
        <w:rPr>
          <w:rFonts w:ascii="Arial" w:hAnsi="Arial"/>
          <w:lang w:eastAsia="en-US"/>
        </w:rPr>
        <w:t>post-test</w:t>
      </w:r>
      <w:r>
        <w:rPr>
          <w:rFonts w:ascii="Arial" w:eastAsia="DengXian" w:hAnsi="Arial"/>
          <w:lang w:eastAsia="en-US"/>
        </w:rPr>
        <w:t xml:space="preserve"> results highlight the potential of mnemonic keyword strategies in improving students' science performance. Given that science education often involves memorizing difficult terminology and concepts, </w:t>
      </w:r>
      <w:r>
        <w:rPr>
          <w:rFonts w:ascii="Arial" w:eastAsia="DengXian" w:hAnsi="Arial"/>
          <w:lang w:eastAsia="en-US"/>
        </w:rPr>
        <w:t>methods that help students retain information more effectively can lead to better academic outcomes (Putnam, 2015; Horwitz, 2020). These findings suggest that the mnemonic keyword method could be a valuable tool for educators to help students engage with a</w:t>
      </w:r>
      <w:r>
        <w:rPr>
          <w:rFonts w:ascii="Arial" w:eastAsia="DengXian" w:hAnsi="Arial"/>
          <w:lang w:eastAsia="en-US"/>
        </w:rPr>
        <w:t>nd retain complex scientific content, ultimately improving their understanding and performance in science education (Lin et al., 2016; Sharma &amp; Tripathi, 2024).</w:t>
      </w:r>
    </w:p>
    <w:p w:rsidR="009B39A5" w:rsidRDefault="00336C35">
      <w:pPr>
        <w:ind w:firstLine="720"/>
        <w:jc w:val="both"/>
        <w:rPr>
          <w:rFonts w:ascii="Arial" w:eastAsia="DengXian" w:hAnsi="Arial"/>
          <w:lang w:eastAsia="en-US"/>
        </w:rPr>
      </w:pPr>
      <w:r>
        <w:rPr>
          <w:rFonts w:ascii="Arial" w:eastAsia="DengXian" w:hAnsi="Arial"/>
          <w:lang w:eastAsia="en-US"/>
        </w:rPr>
        <w:t>The use of mnemonic strategies in science education has been shown to enhance students' retenti</w:t>
      </w:r>
      <w:r>
        <w:rPr>
          <w:rFonts w:ascii="Arial" w:eastAsia="DengXian" w:hAnsi="Arial"/>
          <w:lang w:eastAsia="en-US"/>
        </w:rPr>
        <w:t xml:space="preserve">on of complex scientific concepts and terminology (Ejaz &amp; </w:t>
      </w:r>
      <w:proofErr w:type="spellStart"/>
      <w:r>
        <w:rPr>
          <w:rFonts w:ascii="Arial" w:eastAsia="DengXian" w:hAnsi="Arial"/>
          <w:lang w:eastAsia="en-US"/>
        </w:rPr>
        <w:t>Oyibo</w:t>
      </w:r>
      <w:proofErr w:type="spellEnd"/>
      <w:r>
        <w:rPr>
          <w:rFonts w:ascii="Arial" w:eastAsia="DengXian" w:hAnsi="Arial"/>
          <w:lang w:eastAsia="en-US"/>
        </w:rPr>
        <w:t>, 2024). In particular, the mnemonic method enhances recall by forming strong associations between unfamiliar scientific terms and familiar images or concepts, leading to improved science perfo</w:t>
      </w:r>
      <w:r>
        <w:rPr>
          <w:rFonts w:ascii="Arial" w:eastAsia="DengXian" w:hAnsi="Arial"/>
          <w:lang w:eastAsia="en-US"/>
        </w:rPr>
        <w:t>rmance (</w:t>
      </w:r>
      <w:proofErr w:type="spellStart"/>
      <w:r>
        <w:rPr>
          <w:rFonts w:ascii="Arial" w:eastAsia="DengXian" w:hAnsi="Arial"/>
          <w:lang w:eastAsia="en-US"/>
        </w:rPr>
        <w:t>Wyra</w:t>
      </w:r>
      <w:proofErr w:type="spellEnd"/>
      <w:r>
        <w:rPr>
          <w:rFonts w:ascii="Arial" w:eastAsia="DengXian" w:hAnsi="Arial"/>
          <w:lang w:eastAsia="en-US"/>
        </w:rPr>
        <w:t xml:space="preserve">, 2019; </w:t>
      </w:r>
      <w:proofErr w:type="spellStart"/>
      <w:r>
        <w:rPr>
          <w:rFonts w:ascii="Arial" w:eastAsia="DengXian" w:hAnsi="Arial"/>
          <w:lang w:eastAsia="en-US"/>
        </w:rPr>
        <w:t>Cancino</w:t>
      </w:r>
      <w:proofErr w:type="spellEnd"/>
      <w:r>
        <w:rPr>
          <w:rFonts w:ascii="Arial" w:eastAsia="DengXian" w:hAnsi="Arial"/>
          <w:lang w:eastAsia="en-US"/>
        </w:rPr>
        <w:t xml:space="preserve"> et al., 2021). This approach likely contributed to the improvement observed in the experimental group, as it aligns with findings that such memory-enhancing techniques help reduce cognitive overload, a major barrier to learning </w:t>
      </w:r>
      <w:r>
        <w:rPr>
          <w:rFonts w:ascii="Arial" w:eastAsia="DengXian" w:hAnsi="Arial"/>
          <w:lang w:eastAsia="en-US"/>
        </w:rPr>
        <w:t>in science (</w:t>
      </w:r>
      <w:proofErr w:type="spellStart"/>
      <w:r>
        <w:rPr>
          <w:rFonts w:ascii="Arial" w:eastAsia="DengXian" w:hAnsi="Arial"/>
          <w:lang w:eastAsia="en-US"/>
        </w:rPr>
        <w:t>Kurniarahman</w:t>
      </w:r>
      <w:proofErr w:type="spellEnd"/>
      <w:r>
        <w:rPr>
          <w:rFonts w:ascii="Arial" w:eastAsia="DengXian" w:hAnsi="Arial"/>
          <w:lang w:eastAsia="en-US"/>
        </w:rPr>
        <w:t xml:space="preserve">, 2023; </w:t>
      </w:r>
      <w:proofErr w:type="spellStart"/>
      <w:r>
        <w:rPr>
          <w:rFonts w:ascii="Arial" w:eastAsia="DengXian" w:hAnsi="Arial"/>
          <w:lang w:eastAsia="en-US"/>
        </w:rPr>
        <w:t>Korankye</w:t>
      </w:r>
      <w:proofErr w:type="spellEnd"/>
      <w:r>
        <w:rPr>
          <w:rFonts w:ascii="Arial" w:eastAsia="DengXian" w:hAnsi="Arial"/>
          <w:lang w:eastAsia="en-US"/>
        </w:rPr>
        <w:t>-Mensah, 2022).</w:t>
      </w:r>
    </w:p>
    <w:p w:rsidR="009B39A5" w:rsidRDefault="009B39A5">
      <w:pPr>
        <w:spacing w:after="4"/>
        <w:ind w:right="8"/>
        <w:jc w:val="both"/>
        <w:rPr>
          <w:rFonts w:ascii="Arial" w:eastAsia="Arial" w:hAnsi="Arial" w:cs="Arial"/>
          <w:b/>
          <w:color w:val="000000"/>
        </w:rPr>
      </w:pPr>
    </w:p>
    <w:p w:rsidR="009B39A5" w:rsidRDefault="00336C35">
      <w:pPr>
        <w:jc w:val="both"/>
        <w:rPr>
          <w:rFonts w:ascii="Arial" w:eastAsia="Arial" w:hAnsi="Arial" w:cs="Arial"/>
          <w:color w:val="000000"/>
        </w:rPr>
      </w:pPr>
      <w:bookmarkStart w:id="1" w:name="_awgo808q6br3" w:colFirst="0" w:colLast="0"/>
      <w:bookmarkEnd w:id="1"/>
      <w:r>
        <w:rPr>
          <w:rFonts w:ascii="Arial" w:eastAsia="Arial" w:hAnsi="Arial" w:cs="Arial"/>
          <w:b/>
          <w:color w:val="000000"/>
        </w:rPr>
        <w:t xml:space="preserve">Table </w:t>
      </w:r>
      <w:r>
        <w:rPr>
          <w:rFonts w:ascii="Arial" w:eastAsia="Arial" w:hAnsi="Arial" w:cs="Arial"/>
          <w:b/>
          <w:color w:val="000000"/>
          <w:lang w:val="en-PH"/>
        </w:rPr>
        <w:t>3</w:t>
      </w:r>
      <w:r>
        <w:rPr>
          <w:rFonts w:ascii="Arial" w:eastAsia="Arial" w:hAnsi="Arial" w:cs="Arial"/>
          <w:b/>
          <w:color w:val="000000"/>
        </w:rPr>
        <w:t xml:space="preserve">. </w:t>
      </w:r>
      <w:r>
        <w:rPr>
          <w:rFonts w:ascii="Arial" w:hAnsi="Arial" w:cs="Arial"/>
          <w:i/>
          <w:lang w:val="en-PH"/>
        </w:rPr>
        <w:t>Level of post-test scores between the control and experimental groups</w:t>
      </w:r>
    </w:p>
    <w:tbl>
      <w:tblPr>
        <w:tblpPr w:leftFromText="180" w:rightFromText="180" w:vertAnchor="text" w:horzAnchor="page" w:tblpX="1941" w:tblpY="34"/>
        <w:tblOverlap w:val="never"/>
        <w:tblW w:w="0" w:type="auto"/>
        <w:tblLook w:val="04A0" w:firstRow="1" w:lastRow="0" w:firstColumn="1" w:lastColumn="0" w:noHBand="0" w:noVBand="1"/>
      </w:tblPr>
      <w:tblGrid>
        <w:gridCol w:w="1809"/>
        <w:gridCol w:w="982"/>
        <w:gridCol w:w="1253"/>
        <w:gridCol w:w="953"/>
        <w:gridCol w:w="1479"/>
        <w:gridCol w:w="2164"/>
      </w:tblGrid>
      <w:tr w:rsidR="009B39A5">
        <w:trPr>
          <w:trHeight w:val="750"/>
        </w:trPr>
        <w:tc>
          <w:tcPr>
            <w:tcW w:w="1813" w:type="dxa"/>
            <w:tcBorders>
              <w:top w:val="single" w:sz="4" w:space="0" w:color="auto"/>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Group</w:t>
            </w:r>
          </w:p>
        </w:tc>
        <w:tc>
          <w:tcPr>
            <w:tcW w:w="984"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Total Score</w:t>
            </w:r>
          </w:p>
        </w:tc>
        <w:tc>
          <w:tcPr>
            <w:tcW w:w="1255"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Standard Deviation</w:t>
            </w:r>
          </w:p>
        </w:tc>
        <w:tc>
          <w:tcPr>
            <w:tcW w:w="955"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Mean</w:t>
            </w:r>
          </w:p>
        </w:tc>
        <w:tc>
          <w:tcPr>
            <w:tcW w:w="1481"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Transmuted Grade</w:t>
            </w:r>
          </w:p>
        </w:tc>
        <w:tc>
          <w:tcPr>
            <w:tcW w:w="2172"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Remarks</w:t>
            </w:r>
          </w:p>
        </w:tc>
      </w:tr>
      <w:tr w:rsidR="009B39A5">
        <w:trPr>
          <w:trHeight w:val="750"/>
        </w:trPr>
        <w:tc>
          <w:tcPr>
            <w:tcW w:w="1813" w:type="dxa"/>
            <w:tcBorders>
              <w:top w:val="single" w:sz="4" w:space="0" w:color="auto"/>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Control Group</w:t>
            </w:r>
          </w:p>
        </w:tc>
        <w:tc>
          <w:tcPr>
            <w:tcW w:w="984"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25</w:t>
            </w:r>
          </w:p>
        </w:tc>
        <w:tc>
          <w:tcPr>
            <w:tcW w:w="1255"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3.06</w:t>
            </w:r>
          </w:p>
        </w:tc>
        <w:tc>
          <w:tcPr>
            <w:tcW w:w="955"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9.52</w:t>
            </w:r>
          </w:p>
        </w:tc>
        <w:tc>
          <w:tcPr>
            <w:tcW w:w="1481"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69</w:t>
            </w:r>
          </w:p>
        </w:tc>
        <w:tc>
          <w:tcPr>
            <w:tcW w:w="2172"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 xml:space="preserve">Did Not Meet </w:t>
            </w:r>
            <w:r>
              <w:rPr>
                <w:rFonts w:ascii="Arial" w:hAnsi="Arial" w:cs="Arial"/>
              </w:rPr>
              <w:t>Expectations</w:t>
            </w:r>
          </w:p>
        </w:tc>
      </w:tr>
      <w:tr w:rsidR="009B39A5">
        <w:trPr>
          <w:trHeight w:val="394"/>
        </w:trPr>
        <w:tc>
          <w:tcPr>
            <w:tcW w:w="1813" w:type="dxa"/>
            <w:tcBorders>
              <w:top w:val="single" w:sz="4" w:space="0" w:color="auto"/>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lastRenderedPageBreak/>
              <w:t>Experimental Group</w:t>
            </w:r>
          </w:p>
        </w:tc>
        <w:tc>
          <w:tcPr>
            <w:tcW w:w="984"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9B39A5">
            <w:pPr>
              <w:jc w:val="center"/>
              <w:rPr>
                <w:rFonts w:ascii="Arial" w:hAnsi="Arial" w:cs="Arial"/>
              </w:rPr>
            </w:pPr>
          </w:p>
          <w:p w:rsidR="009B39A5" w:rsidRDefault="00336C35">
            <w:pPr>
              <w:jc w:val="center"/>
              <w:rPr>
                <w:rFonts w:ascii="Arial" w:hAnsi="Arial" w:cs="Arial"/>
              </w:rPr>
            </w:pPr>
            <w:r>
              <w:rPr>
                <w:rFonts w:ascii="Arial" w:hAnsi="Arial" w:cs="Arial"/>
              </w:rPr>
              <w:t>25</w:t>
            </w:r>
          </w:p>
          <w:p w:rsidR="009B39A5" w:rsidRDefault="009B39A5">
            <w:pPr>
              <w:jc w:val="center"/>
              <w:rPr>
                <w:rFonts w:ascii="Arial" w:hAnsi="Arial" w:cs="Arial"/>
              </w:rPr>
            </w:pPr>
          </w:p>
        </w:tc>
        <w:tc>
          <w:tcPr>
            <w:tcW w:w="1255"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9B39A5">
            <w:pPr>
              <w:jc w:val="center"/>
              <w:rPr>
                <w:rFonts w:ascii="Arial" w:hAnsi="Arial" w:cs="Arial"/>
              </w:rPr>
            </w:pPr>
          </w:p>
          <w:p w:rsidR="009B39A5" w:rsidRDefault="00336C35">
            <w:pPr>
              <w:jc w:val="center"/>
              <w:rPr>
                <w:rFonts w:ascii="Arial" w:hAnsi="Arial" w:cs="Arial"/>
              </w:rPr>
            </w:pPr>
            <w:r>
              <w:rPr>
                <w:rFonts w:ascii="Arial" w:hAnsi="Arial" w:cs="Arial"/>
              </w:rPr>
              <w:t>4.15</w:t>
            </w:r>
          </w:p>
          <w:p w:rsidR="009B39A5" w:rsidRDefault="009B39A5">
            <w:pPr>
              <w:jc w:val="center"/>
              <w:rPr>
                <w:rFonts w:ascii="Arial" w:hAnsi="Arial" w:cs="Arial"/>
              </w:rPr>
            </w:pPr>
          </w:p>
        </w:tc>
        <w:tc>
          <w:tcPr>
            <w:tcW w:w="955"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9B39A5">
            <w:pPr>
              <w:jc w:val="center"/>
              <w:rPr>
                <w:rFonts w:ascii="Arial" w:hAnsi="Arial" w:cs="Arial"/>
              </w:rPr>
            </w:pPr>
          </w:p>
          <w:p w:rsidR="009B39A5" w:rsidRDefault="00336C35">
            <w:pPr>
              <w:jc w:val="center"/>
              <w:rPr>
                <w:rFonts w:ascii="Arial" w:hAnsi="Arial" w:cs="Arial"/>
              </w:rPr>
            </w:pPr>
            <w:r>
              <w:rPr>
                <w:rFonts w:ascii="Arial" w:hAnsi="Arial" w:cs="Arial"/>
              </w:rPr>
              <w:t>16.12</w:t>
            </w:r>
          </w:p>
          <w:p w:rsidR="009B39A5" w:rsidRDefault="009B39A5">
            <w:pPr>
              <w:jc w:val="center"/>
              <w:rPr>
                <w:rFonts w:ascii="Arial" w:hAnsi="Arial" w:cs="Arial"/>
              </w:rPr>
            </w:pPr>
          </w:p>
        </w:tc>
        <w:tc>
          <w:tcPr>
            <w:tcW w:w="1481"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9B39A5">
            <w:pPr>
              <w:jc w:val="center"/>
              <w:rPr>
                <w:rFonts w:ascii="Arial" w:hAnsi="Arial" w:cs="Arial"/>
              </w:rPr>
            </w:pPr>
          </w:p>
          <w:p w:rsidR="009B39A5" w:rsidRDefault="00336C35">
            <w:pPr>
              <w:jc w:val="center"/>
              <w:rPr>
                <w:rFonts w:ascii="Arial" w:hAnsi="Arial" w:cs="Arial"/>
              </w:rPr>
            </w:pPr>
            <w:r>
              <w:rPr>
                <w:rFonts w:ascii="Arial" w:hAnsi="Arial" w:cs="Arial"/>
              </w:rPr>
              <w:t>77</w:t>
            </w:r>
          </w:p>
          <w:p w:rsidR="009B39A5" w:rsidRDefault="009B39A5">
            <w:pPr>
              <w:jc w:val="center"/>
              <w:rPr>
                <w:rFonts w:ascii="Arial" w:hAnsi="Arial" w:cs="Arial"/>
              </w:rPr>
            </w:pPr>
          </w:p>
        </w:tc>
        <w:tc>
          <w:tcPr>
            <w:tcW w:w="2172"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9B39A5">
            <w:pPr>
              <w:jc w:val="center"/>
              <w:rPr>
                <w:rFonts w:ascii="Arial" w:hAnsi="Arial" w:cs="Arial"/>
              </w:rPr>
            </w:pPr>
          </w:p>
          <w:p w:rsidR="009B39A5" w:rsidRDefault="00336C35">
            <w:pPr>
              <w:jc w:val="center"/>
              <w:rPr>
                <w:rFonts w:ascii="Arial" w:hAnsi="Arial" w:cs="Arial"/>
              </w:rPr>
            </w:pPr>
            <w:r>
              <w:rPr>
                <w:rFonts w:ascii="Arial" w:hAnsi="Arial" w:cs="Arial"/>
              </w:rPr>
              <w:t>Fairly Satisfactory</w:t>
            </w:r>
          </w:p>
          <w:p w:rsidR="009B39A5" w:rsidRDefault="009B39A5">
            <w:pPr>
              <w:jc w:val="center"/>
              <w:rPr>
                <w:rFonts w:ascii="Arial" w:hAnsi="Arial" w:cs="Arial"/>
              </w:rPr>
            </w:pPr>
          </w:p>
        </w:tc>
      </w:tr>
    </w:tbl>
    <w:p w:rsidR="009B39A5" w:rsidRDefault="009B39A5">
      <w:pPr>
        <w:jc w:val="center"/>
        <w:rPr>
          <w:rFonts w:ascii="Arial" w:eastAsia="DengXian" w:hAnsi="Arial"/>
          <w:b/>
          <w:bCs/>
          <w:lang w:eastAsia="en-US"/>
        </w:rPr>
      </w:pPr>
    </w:p>
    <w:p w:rsidR="009B39A5" w:rsidRDefault="009B39A5">
      <w:pPr>
        <w:jc w:val="center"/>
        <w:rPr>
          <w:rFonts w:ascii="Arial" w:eastAsia="DengXian" w:hAnsi="Arial"/>
          <w:b/>
          <w:bCs/>
          <w:lang w:eastAsia="en-US"/>
        </w:rPr>
      </w:pPr>
    </w:p>
    <w:p w:rsidR="009B39A5" w:rsidRDefault="00336C35">
      <w:pPr>
        <w:jc w:val="center"/>
        <w:rPr>
          <w:rFonts w:ascii="Arial" w:eastAsia="DengXian" w:hAnsi="Arial"/>
          <w:b/>
          <w:bCs/>
          <w:lang w:eastAsia="en-US"/>
        </w:rPr>
      </w:pPr>
      <w:r>
        <w:rPr>
          <w:rFonts w:ascii="Arial" w:eastAsia="DengXian" w:hAnsi="Arial"/>
          <w:b/>
          <w:bCs/>
          <w:lang w:eastAsia="en-US"/>
        </w:rPr>
        <w:t xml:space="preserve">Difference in </w:t>
      </w:r>
      <w:r>
        <w:rPr>
          <w:rFonts w:ascii="Arial" w:hAnsi="Arial"/>
          <w:b/>
          <w:bCs/>
          <w:lang w:eastAsia="en-US"/>
        </w:rPr>
        <w:t>post-test</w:t>
      </w:r>
      <w:r>
        <w:rPr>
          <w:rFonts w:ascii="Arial" w:eastAsia="DengXian" w:hAnsi="Arial"/>
          <w:b/>
          <w:bCs/>
          <w:lang w:eastAsia="en-US"/>
        </w:rPr>
        <w:t xml:space="preserve"> scores in the Control and Experimental Group</w:t>
      </w:r>
    </w:p>
    <w:p w:rsidR="009B39A5" w:rsidRDefault="009B39A5">
      <w:pPr>
        <w:jc w:val="center"/>
        <w:rPr>
          <w:rFonts w:ascii="Arial" w:eastAsia="DengXian" w:hAnsi="Arial"/>
          <w:b/>
          <w:bCs/>
          <w:lang w:eastAsia="en-US"/>
        </w:rPr>
      </w:pPr>
    </w:p>
    <w:p w:rsidR="009B39A5" w:rsidRDefault="00336C35">
      <w:pPr>
        <w:ind w:firstLine="720"/>
        <w:jc w:val="both"/>
        <w:rPr>
          <w:rFonts w:ascii="Arial" w:hAnsi="Arial"/>
        </w:rPr>
      </w:pPr>
      <w:r>
        <w:rPr>
          <w:rFonts w:ascii="Arial" w:eastAsia="Arial" w:hAnsi="Arial" w:cs="Arial"/>
        </w:rPr>
        <w:tab/>
      </w:r>
      <w:r>
        <w:rPr>
          <w:rFonts w:ascii="Arial" w:hAnsi="Arial"/>
        </w:rPr>
        <w:t xml:space="preserve">Table 4 </w:t>
      </w:r>
      <w:r>
        <w:rPr>
          <w:rFonts w:ascii="Arial" w:hAnsi="Arial"/>
        </w:rPr>
        <w:t>shows the post-test scores of the control and experimental groups. The t-value of 6.406 and p-value of 0.000 indicate a statistically significant difference between the two groups. This finding indicates that the intervention implemented with the experimen</w:t>
      </w:r>
      <w:r>
        <w:rPr>
          <w:rFonts w:ascii="Arial" w:hAnsi="Arial"/>
        </w:rPr>
        <w:t>tal group had a notable impact on their performance, resulting in higher post-test scores compared to the control group.</w:t>
      </w:r>
    </w:p>
    <w:p w:rsidR="009B39A5" w:rsidRDefault="00336C35">
      <w:pPr>
        <w:ind w:firstLine="720"/>
        <w:jc w:val="both"/>
        <w:rPr>
          <w:rFonts w:ascii="Arial" w:hAnsi="Arial"/>
        </w:rPr>
      </w:pPr>
      <w:r>
        <w:rPr>
          <w:rFonts w:ascii="Arial" w:hAnsi="Arial"/>
        </w:rPr>
        <w:t>The significant difference in post-test scores between the control and experimental groups highlights the educational value of the mnem</w:t>
      </w:r>
      <w:r>
        <w:rPr>
          <w:rFonts w:ascii="Arial" w:hAnsi="Arial"/>
        </w:rPr>
        <w:t>onic keyword method in teaching star patterns among grade five learners. Students in the experimental group, who learned with the aid of the mnemonic keyword method, scored significantly higher than those in the control group, which received science instru</w:t>
      </w:r>
      <w:r>
        <w:rPr>
          <w:rFonts w:ascii="Arial" w:hAnsi="Arial"/>
        </w:rPr>
        <w:t>ctions focused on rote memorization. This suggests that the use of verbal and visual elements helped improve their ability to identify star patterns. Previous studies support this finding, showing that active learning, where students engage directly with t</w:t>
      </w:r>
      <w:r>
        <w:rPr>
          <w:rFonts w:ascii="Arial" w:hAnsi="Arial"/>
        </w:rPr>
        <w:t xml:space="preserve">he material through visualization and association, has been shown to improve retention and understanding (Joshua &amp; Smith, 2017; </w:t>
      </w:r>
      <w:proofErr w:type="spellStart"/>
      <w:r>
        <w:rPr>
          <w:rFonts w:ascii="Arial" w:hAnsi="Arial"/>
        </w:rPr>
        <w:t>LaDue</w:t>
      </w:r>
      <w:proofErr w:type="spellEnd"/>
      <w:r>
        <w:rPr>
          <w:rFonts w:ascii="Arial" w:hAnsi="Arial"/>
        </w:rPr>
        <w:t xml:space="preserve"> et al., 2015; </w:t>
      </w:r>
      <w:proofErr w:type="spellStart"/>
      <w:r>
        <w:rPr>
          <w:rFonts w:ascii="Arial" w:hAnsi="Arial"/>
        </w:rPr>
        <w:t>Tibell</w:t>
      </w:r>
      <w:proofErr w:type="spellEnd"/>
      <w:r>
        <w:rPr>
          <w:rFonts w:ascii="Arial" w:hAnsi="Arial"/>
        </w:rPr>
        <w:t xml:space="preserve"> &amp; Harms, 2017). By using the intervention, the experimental group was able to make connections betwee</w:t>
      </w:r>
      <w:r>
        <w:rPr>
          <w:rFonts w:ascii="Arial" w:hAnsi="Arial"/>
        </w:rPr>
        <w:t>n abstract scientific concepts and more concrete, familiar imagery, which enhanced their science performance (Verónica, 2021; Putnam, 2015; National Research Council, 2015). Therefore, the statistical significance of this difference supports the effectiven</w:t>
      </w:r>
      <w:r>
        <w:rPr>
          <w:rFonts w:ascii="Arial" w:hAnsi="Arial"/>
        </w:rPr>
        <w:t>ess of the mnemonic keyword method in enhancing science learning outcomes when compared to standard teaching methods used with the control group.</w:t>
      </w:r>
    </w:p>
    <w:p w:rsidR="009B39A5" w:rsidRDefault="00336C35">
      <w:pPr>
        <w:ind w:firstLine="720"/>
        <w:jc w:val="both"/>
        <w:rPr>
          <w:rFonts w:ascii="Arial" w:hAnsi="Arial"/>
        </w:rPr>
      </w:pPr>
      <w:r>
        <w:rPr>
          <w:rFonts w:ascii="Arial" w:hAnsi="Arial"/>
        </w:rPr>
        <w:t>Moreover, the result also underscores the importance of adopting more interactive and student-centered learnin</w:t>
      </w:r>
      <w:r>
        <w:rPr>
          <w:rFonts w:ascii="Arial" w:hAnsi="Arial"/>
        </w:rPr>
        <w:t>g strategies in science education. It highlights that when students are actively engaged in the learning process, particularly through the use of memory aids and visualization techniques, their performance can significantly improve (Wang &amp; Wang, 2015; Noon</w:t>
      </w:r>
      <w:r>
        <w:rPr>
          <w:rFonts w:ascii="Arial" w:hAnsi="Arial"/>
        </w:rPr>
        <w:t>an, 2023; Larsen, 2018). This suggests that science educators should consider integrating mnemonic methods into their curriculum to enhance student learning and retention, particularly in subjects that involve complex and abstract concepts (</w:t>
      </w:r>
      <w:proofErr w:type="spellStart"/>
      <w:r>
        <w:rPr>
          <w:rFonts w:ascii="Arial" w:hAnsi="Arial"/>
        </w:rPr>
        <w:t>Raiyn</w:t>
      </w:r>
      <w:proofErr w:type="spellEnd"/>
      <w:r>
        <w:rPr>
          <w:rFonts w:ascii="Arial" w:hAnsi="Arial"/>
        </w:rPr>
        <w:t xml:space="preserve">, 2016; </w:t>
      </w:r>
      <w:r>
        <w:rPr>
          <w:rFonts w:ascii="Arial" w:hAnsi="Arial"/>
        </w:rPr>
        <w:t>Yu</w:t>
      </w:r>
      <w:r>
        <w:rPr>
          <w:rFonts w:ascii="Arial" w:hAnsi="Arial"/>
        </w:rPr>
        <w:t>n</w:t>
      </w:r>
      <w:r>
        <w:rPr>
          <w:rFonts w:ascii="Arial" w:hAnsi="Arial"/>
        </w:rPr>
        <w:t>, 2023).</w:t>
      </w:r>
    </w:p>
    <w:p w:rsidR="009B39A5" w:rsidRDefault="009B39A5">
      <w:pPr>
        <w:tabs>
          <w:tab w:val="left" w:pos="720"/>
        </w:tabs>
        <w:jc w:val="both"/>
        <w:rPr>
          <w:rFonts w:ascii="Arial" w:eastAsia="Arial" w:hAnsi="Arial" w:cs="Arial"/>
        </w:rPr>
      </w:pPr>
    </w:p>
    <w:p w:rsidR="009B39A5" w:rsidRDefault="00336C35">
      <w:pPr>
        <w:jc w:val="both"/>
        <w:rPr>
          <w:rFonts w:ascii="Arial" w:eastAsia="Arial" w:hAnsi="Arial" w:cs="Arial"/>
          <w:color w:val="000000"/>
        </w:rPr>
      </w:pPr>
      <w:r>
        <w:rPr>
          <w:rFonts w:ascii="Arial" w:eastAsia="Arial" w:hAnsi="Arial" w:cs="Arial"/>
          <w:b/>
          <w:color w:val="000000"/>
        </w:rPr>
        <w:t xml:space="preserve">Table </w:t>
      </w:r>
      <w:r>
        <w:rPr>
          <w:rFonts w:ascii="Arial" w:eastAsia="Arial" w:hAnsi="Arial" w:cs="Arial"/>
          <w:b/>
          <w:color w:val="000000"/>
          <w:lang w:val="en-PH"/>
        </w:rPr>
        <w:t>4</w:t>
      </w:r>
      <w:r w:rsidRPr="00273E93">
        <w:rPr>
          <w:rFonts w:ascii="Arial" w:eastAsia="Arial" w:hAnsi="Arial" w:cs="Arial"/>
          <w:color w:val="000000"/>
        </w:rPr>
        <w:t xml:space="preserve">. </w:t>
      </w:r>
      <w:r w:rsidR="00273E93" w:rsidRPr="00273E93">
        <w:rPr>
          <w:rFonts w:ascii="Arial" w:eastAsia="Arial" w:hAnsi="Arial" w:cs="Arial"/>
          <w:color w:val="000000"/>
        </w:rPr>
        <w:t>Mean comparison between</w:t>
      </w:r>
      <w:r w:rsidR="00273E93" w:rsidRPr="00273E93">
        <w:rPr>
          <w:rFonts w:ascii="Arial" w:eastAsia="Arial" w:hAnsi="Arial" w:cs="Arial"/>
          <w:b/>
          <w:color w:val="000000"/>
        </w:rPr>
        <w:t xml:space="preserve"> </w:t>
      </w:r>
      <w:r>
        <w:rPr>
          <w:rFonts w:ascii="Arial" w:hAnsi="Arial" w:cs="Arial"/>
          <w:i/>
          <w:lang w:val="en-PH"/>
        </w:rPr>
        <w:t xml:space="preserve">post-test scores </w:t>
      </w:r>
      <w:r w:rsidR="00273E93">
        <w:rPr>
          <w:rFonts w:ascii="Arial" w:hAnsi="Arial" w:cs="Arial"/>
          <w:i/>
          <w:lang w:val="en-PH"/>
        </w:rPr>
        <w:t>of</w:t>
      </w:r>
      <w:bookmarkStart w:id="2" w:name="_GoBack"/>
      <w:bookmarkEnd w:id="2"/>
      <w:r>
        <w:rPr>
          <w:rFonts w:ascii="Arial" w:hAnsi="Arial" w:cs="Arial"/>
          <w:i/>
          <w:lang w:val="en-PH"/>
        </w:rPr>
        <w:t xml:space="preserve"> the control and experimental groups</w:t>
      </w:r>
    </w:p>
    <w:tbl>
      <w:tblPr>
        <w:tblW w:w="8672" w:type="dxa"/>
        <w:tblInd w:w="125" w:type="dxa"/>
        <w:tblLook w:val="04A0" w:firstRow="1" w:lastRow="0" w:firstColumn="1" w:lastColumn="0" w:noHBand="0" w:noVBand="1"/>
      </w:tblPr>
      <w:tblGrid>
        <w:gridCol w:w="1521"/>
        <w:gridCol w:w="897"/>
        <w:gridCol w:w="1226"/>
        <w:gridCol w:w="1010"/>
        <w:gridCol w:w="1053"/>
        <w:gridCol w:w="2965"/>
      </w:tblGrid>
      <w:tr w:rsidR="009B39A5">
        <w:trPr>
          <w:trHeight w:val="677"/>
        </w:trPr>
        <w:tc>
          <w:tcPr>
            <w:tcW w:w="1521" w:type="dxa"/>
            <w:tcBorders>
              <w:top w:val="single" w:sz="4" w:space="0" w:color="auto"/>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Group</w:t>
            </w:r>
          </w:p>
        </w:tc>
        <w:tc>
          <w:tcPr>
            <w:tcW w:w="897"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Mean</w:t>
            </w:r>
          </w:p>
        </w:tc>
        <w:tc>
          <w:tcPr>
            <w:tcW w:w="1226"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Standard Deviation</w:t>
            </w:r>
          </w:p>
        </w:tc>
        <w:tc>
          <w:tcPr>
            <w:tcW w:w="1010"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t-value</w:t>
            </w:r>
          </w:p>
        </w:tc>
        <w:tc>
          <w:tcPr>
            <w:tcW w:w="1053"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p-value</w:t>
            </w:r>
          </w:p>
        </w:tc>
        <w:tc>
          <w:tcPr>
            <w:tcW w:w="2965"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Interpretation</w:t>
            </w:r>
          </w:p>
        </w:tc>
      </w:tr>
      <w:tr w:rsidR="009B39A5">
        <w:trPr>
          <w:trHeight w:val="344"/>
        </w:trPr>
        <w:tc>
          <w:tcPr>
            <w:tcW w:w="1521" w:type="dxa"/>
            <w:tcBorders>
              <w:top w:val="single" w:sz="4" w:space="0" w:color="auto"/>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Control Group</w:t>
            </w:r>
          </w:p>
        </w:tc>
        <w:tc>
          <w:tcPr>
            <w:tcW w:w="897"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9.52</w:t>
            </w:r>
          </w:p>
        </w:tc>
        <w:tc>
          <w:tcPr>
            <w:tcW w:w="1226"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3.06</w:t>
            </w:r>
          </w:p>
        </w:tc>
        <w:tc>
          <w:tcPr>
            <w:tcW w:w="1010" w:type="dxa"/>
            <w:vMerge w:val="restart"/>
            <w:tcBorders>
              <w:top w:val="single" w:sz="4" w:space="0" w:color="auto"/>
              <w:left w:val="nil"/>
              <w:bottom w:val="single" w:sz="4" w:space="0" w:color="auto"/>
            </w:tcBorders>
            <w:tcMar>
              <w:top w:w="0" w:type="dxa"/>
              <w:left w:w="108" w:type="dxa"/>
              <w:bottom w:w="0" w:type="dxa"/>
              <w:right w:w="108" w:type="dxa"/>
            </w:tcMar>
            <w:vAlign w:val="center"/>
          </w:tcPr>
          <w:p w:rsidR="009B39A5" w:rsidRDefault="009B39A5">
            <w:pPr>
              <w:jc w:val="center"/>
              <w:rPr>
                <w:rFonts w:ascii="Arial" w:hAnsi="Arial" w:cs="Arial"/>
              </w:rPr>
            </w:pPr>
          </w:p>
          <w:p w:rsidR="009B39A5" w:rsidRDefault="00336C35">
            <w:pPr>
              <w:jc w:val="center"/>
              <w:rPr>
                <w:rFonts w:ascii="Arial" w:hAnsi="Arial" w:cs="Arial"/>
              </w:rPr>
            </w:pPr>
            <w:r>
              <w:rPr>
                <w:rFonts w:ascii="Arial" w:hAnsi="Arial" w:cs="Arial"/>
              </w:rPr>
              <w:t>6.406</w:t>
            </w:r>
          </w:p>
        </w:tc>
        <w:tc>
          <w:tcPr>
            <w:tcW w:w="1053" w:type="dxa"/>
            <w:vMerge w:val="restart"/>
            <w:tcBorders>
              <w:top w:val="single" w:sz="4" w:space="0" w:color="auto"/>
              <w:left w:val="nil"/>
              <w:bottom w:val="single" w:sz="4" w:space="0" w:color="auto"/>
            </w:tcBorders>
            <w:tcMar>
              <w:top w:w="0" w:type="dxa"/>
              <w:left w:w="108" w:type="dxa"/>
              <w:bottom w:w="0" w:type="dxa"/>
              <w:right w:w="108" w:type="dxa"/>
            </w:tcMar>
            <w:vAlign w:val="center"/>
          </w:tcPr>
          <w:p w:rsidR="009B39A5" w:rsidRDefault="009B39A5">
            <w:pPr>
              <w:jc w:val="center"/>
              <w:rPr>
                <w:rFonts w:ascii="Arial" w:hAnsi="Arial" w:cs="Arial"/>
              </w:rPr>
            </w:pPr>
          </w:p>
          <w:p w:rsidR="009B39A5" w:rsidRDefault="00336C35">
            <w:pPr>
              <w:jc w:val="center"/>
              <w:rPr>
                <w:rFonts w:ascii="Arial" w:hAnsi="Arial" w:cs="Arial"/>
              </w:rPr>
            </w:pPr>
            <w:r>
              <w:rPr>
                <w:rFonts w:ascii="Arial" w:hAnsi="Arial" w:cs="Arial"/>
              </w:rPr>
              <w:t>0.000</w:t>
            </w:r>
          </w:p>
        </w:tc>
        <w:tc>
          <w:tcPr>
            <w:tcW w:w="2965" w:type="dxa"/>
            <w:vMerge w:val="restart"/>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 xml:space="preserve">There is a significant difference in the average post-test score </w:t>
            </w:r>
            <w:r>
              <w:rPr>
                <w:rFonts w:ascii="Arial" w:hAnsi="Arial" w:cs="Arial"/>
              </w:rPr>
              <w:t>between the experimental and control group.</w:t>
            </w:r>
          </w:p>
        </w:tc>
      </w:tr>
      <w:tr w:rsidR="009B39A5">
        <w:trPr>
          <w:trHeight w:val="90"/>
        </w:trPr>
        <w:tc>
          <w:tcPr>
            <w:tcW w:w="1521" w:type="dxa"/>
            <w:tcBorders>
              <w:top w:val="single" w:sz="4" w:space="0" w:color="auto"/>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Experimental Group</w:t>
            </w:r>
          </w:p>
        </w:tc>
        <w:tc>
          <w:tcPr>
            <w:tcW w:w="897"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9B39A5">
            <w:pPr>
              <w:jc w:val="center"/>
              <w:rPr>
                <w:rFonts w:ascii="Arial" w:hAnsi="Arial" w:cs="Arial"/>
              </w:rPr>
            </w:pPr>
          </w:p>
          <w:p w:rsidR="009B39A5" w:rsidRDefault="00336C35">
            <w:pPr>
              <w:jc w:val="center"/>
              <w:rPr>
                <w:rFonts w:ascii="Arial" w:hAnsi="Arial" w:cs="Arial"/>
              </w:rPr>
            </w:pPr>
            <w:r>
              <w:rPr>
                <w:rFonts w:ascii="Arial" w:hAnsi="Arial" w:cs="Arial"/>
              </w:rPr>
              <w:t>16.12</w:t>
            </w:r>
          </w:p>
        </w:tc>
        <w:tc>
          <w:tcPr>
            <w:tcW w:w="1226"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9B39A5">
            <w:pPr>
              <w:jc w:val="center"/>
              <w:rPr>
                <w:rFonts w:ascii="Arial" w:hAnsi="Arial" w:cs="Arial"/>
              </w:rPr>
            </w:pPr>
          </w:p>
          <w:p w:rsidR="009B39A5" w:rsidRDefault="00336C35">
            <w:pPr>
              <w:jc w:val="center"/>
              <w:rPr>
                <w:rFonts w:ascii="Arial" w:hAnsi="Arial" w:cs="Arial"/>
              </w:rPr>
            </w:pPr>
            <w:r>
              <w:rPr>
                <w:rFonts w:ascii="Arial" w:hAnsi="Arial" w:cs="Arial"/>
              </w:rPr>
              <w:t>4.15</w:t>
            </w:r>
          </w:p>
        </w:tc>
        <w:tc>
          <w:tcPr>
            <w:tcW w:w="1010" w:type="dxa"/>
            <w:vMerge/>
            <w:tcBorders>
              <w:top w:val="single" w:sz="4" w:space="0" w:color="auto"/>
              <w:left w:val="nil"/>
              <w:bottom w:val="single" w:sz="4" w:space="0" w:color="auto"/>
            </w:tcBorders>
            <w:vAlign w:val="center"/>
          </w:tcPr>
          <w:p w:rsidR="009B39A5" w:rsidRDefault="009B39A5">
            <w:pPr>
              <w:jc w:val="center"/>
              <w:rPr>
                <w:rFonts w:ascii="Arial" w:hAnsi="Arial" w:cs="Arial"/>
              </w:rPr>
            </w:pPr>
          </w:p>
        </w:tc>
        <w:tc>
          <w:tcPr>
            <w:tcW w:w="1053" w:type="dxa"/>
            <w:vMerge/>
            <w:tcBorders>
              <w:top w:val="single" w:sz="4" w:space="0" w:color="auto"/>
              <w:left w:val="nil"/>
              <w:bottom w:val="single" w:sz="4" w:space="0" w:color="auto"/>
            </w:tcBorders>
            <w:vAlign w:val="center"/>
          </w:tcPr>
          <w:p w:rsidR="009B39A5" w:rsidRDefault="009B39A5">
            <w:pPr>
              <w:jc w:val="center"/>
              <w:rPr>
                <w:rFonts w:ascii="Arial" w:hAnsi="Arial" w:cs="Arial"/>
              </w:rPr>
            </w:pPr>
          </w:p>
        </w:tc>
        <w:tc>
          <w:tcPr>
            <w:tcW w:w="2965" w:type="dxa"/>
            <w:vMerge/>
            <w:tcBorders>
              <w:top w:val="single" w:sz="4" w:space="0" w:color="auto"/>
              <w:left w:val="nil"/>
              <w:bottom w:val="single" w:sz="4" w:space="0" w:color="auto"/>
            </w:tcBorders>
            <w:vAlign w:val="center"/>
          </w:tcPr>
          <w:p w:rsidR="009B39A5" w:rsidRDefault="009B39A5">
            <w:pPr>
              <w:jc w:val="center"/>
              <w:rPr>
                <w:rFonts w:ascii="Arial" w:hAnsi="Arial" w:cs="Arial"/>
              </w:rPr>
            </w:pPr>
          </w:p>
        </w:tc>
      </w:tr>
    </w:tbl>
    <w:p w:rsidR="009B39A5" w:rsidRDefault="009B39A5">
      <w:pPr>
        <w:tabs>
          <w:tab w:val="left" w:pos="720"/>
        </w:tabs>
        <w:jc w:val="both"/>
        <w:rPr>
          <w:rFonts w:ascii="Arial" w:eastAsia="Arial" w:hAnsi="Arial" w:cs="Arial"/>
        </w:rPr>
      </w:pPr>
    </w:p>
    <w:p w:rsidR="009B39A5" w:rsidRDefault="009B39A5">
      <w:pPr>
        <w:jc w:val="center"/>
        <w:rPr>
          <w:rFonts w:ascii="Arial" w:hAnsi="Arial"/>
          <w:b/>
          <w:bCs/>
        </w:rPr>
      </w:pPr>
    </w:p>
    <w:p w:rsidR="009B39A5" w:rsidRDefault="00336C35">
      <w:pPr>
        <w:jc w:val="center"/>
        <w:rPr>
          <w:rFonts w:ascii="Arial" w:hAnsi="Arial"/>
          <w:b/>
          <w:bCs/>
        </w:rPr>
      </w:pPr>
      <w:r>
        <w:rPr>
          <w:rFonts w:ascii="Arial" w:hAnsi="Arial"/>
          <w:b/>
          <w:bCs/>
        </w:rPr>
        <w:t>Effect Size of Mnemonic Keyword Method in Improving Science Performance</w:t>
      </w:r>
    </w:p>
    <w:p w:rsidR="009B39A5" w:rsidRDefault="009B39A5">
      <w:pPr>
        <w:tabs>
          <w:tab w:val="left" w:pos="720"/>
        </w:tabs>
        <w:jc w:val="both"/>
        <w:rPr>
          <w:rFonts w:ascii="Arial" w:eastAsia="Arial" w:hAnsi="Arial" w:cs="Arial"/>
        </w:rPr>
      </w:pPr>
    </w:p>
    <w:p w:rsidR="009B39A5" w:rsidRDefault="00336C35">
      <w:pPr>
        <w:ind w:firstLine="720"/>
        <w:jc w:val="both"/>
        <w:rPr>
          <w:rFonts w:ascii="Arial" w:hAnsi="Arial"/>
        </w:rPr>
      </w:pPr>
      <w:r>
        <w:rPr>
          <w:rFonts w:ascii="Arial" w:hAnsi="Arial"/>
        </w:rPr>
        <w:t xml:space="preserve">As shown in Table 5, the keyword mnemonic method has a substantial impact on science concept </w:t>
      </w:r>
      <w:r>
        <w:rPr>
          <w:rFonts w:ascii="Arial" w:hAnsi="Arial"/>
        </w:rPr>
        <w:t>retention among fifth-grade learners. Cohen's d coefficient (1.812) indicated a very large effect size, confirming that the mnemonic keyword method had a strong effect on improving the science performance of the experimental group.</w:t>
      </w:r>
    </w:p>
    <w:p w:rsidR="009B39A5" w:rsidRDefault="00336C35">
      <w:pPr>
        <w:ind w:firstLine="720"/>
        <w:jc w:val="both"/>
        <w:rPr>
          <w:rFonts w:ascii="Arial" w:hAnsi="Arial"/>
        </w:rPr>
      </w:pPr>
      <w:r>
        <w:rPr>
          <w:rFonts w:ascii="Arial" w:hAnsi="Arial"/>
        </w:rPr>
        <w:t>The effect size is consi</w:t>
      </w:r>
      <w:r>
        <w:rPr>
          <w:rFonts w:ascii="Arial" w:hAnsi="Arial"/>
        </w:rPr>
        <w:t>stent with previous research that has highlighted the efficacy of mnemonic methods in educational settings. Cohen (1988, as cited in Goulet-Pelletier &amp; Cousineau, 2018) stated that an effect size of 0.8 or above represents a very large effect, and the resu</w:t>
      </w:r>
      <w:r>
        <w:rPr>
          <w:rFonts w:ascii="Arial" w:hAnsi="Arial"/>
        </w:rPr>
        <w:t xml:space="preserve">lts here far exceed this threshold. This large effect size indicates that the educational intervention—such as the use of a mnemonic keyword method—had a meaningful impact on student learning </w:t>
      </w:r>
      <w:r>
        <w:rPr>
          <w:rFonts w:ascii="Arial" w:hAnsi="Arial"/>
        </w:rPr>
        <w:lastRenderedPageBreak/>
        <w:t>outcomes. Translating this into percentile terms makes the impac</w:t>
      </w:r>
      <w:r>
        <w:rPr>
          <w:rFonts w:ascii="Arial" w:hAnsi="Arial"/>
        </w:rPr>
        <w:t>t even more tangible: a student who initially scores at the 20th percentile would, following the intervention, improve to approximately the 87th percentile. This 67.04 percentile point gain, or approximately 67%, represents not just statistical significanc</w:t>
      </w:r>
      <w:r>
        <w:rPr>
          <w:rFonts w:ascii="Arial" w:hAnsi="Arial"/>
        </w:rPr>
        <w:t>e but a considerable shift in academic ranking and classroom performance (Guarino et al., 2015; Wright, 2018). Large effect sizes in education are especially valuable as they often indicate practical improvements that both educators and learners can direct</w:t>
      </w:r>
      <w:r>
        <w:rPr>
          <w:rFonts w:ascii="Arial" w:hAnsi="Arial"/>
        </w:rPr>
        <w:t>ly observe in real classroom environments (Kraft, 2020</w:t>
      </w:r>
      <w:r>
        <w:rPr>
          <w:rFonts w:ascii="Arial" w:hAnsi="Arial"/>
        </w:rPr>
        <w:t xml:space="preserve">; </w:t>
      </w:r>
      <w:proofErr w:type="spellStart"/>
      <w:r>
        <w:rPr>
          <w:rFonts w:ascii="Arial" w:hAnsi="Arial"/>
        </w:rPr>
        <w:t>Slemrod</w:t>
      </w:r>
      <w:proofErr w:type="spellEnd"/>
      <w:r>
        <w:rPr>
          <w:rFonts w:ascii="Arial" w:hAnsi="Arial"/>
        </w:rPr>
        <w:t xml:space="preserve"> et al., 2022</w:t>
      </w:r>
      <w:r>
        <w:rPr>
          <w:rFonts w:ascii="Arial" w:hAnsi="Arial"/>
        </w:rPr>
        <w:t xml:space="preserve">). </w:t>
      </w:r>
    </w:p>
    <w:p w:rsidR="009B39A5" w:rsidRDefault="00336C35">
      <w:pPr>
        <w:ind w:firstLine="720"/>
        <w:jc w:val="both"/>
        <w:rPr>
          <w:rFonts w:ascii="Arial" w:hAnsi="Arial"/>
        </w:rPr>
      </w:pPr>
      <w:r>
        <w:rPr>
          <w:rFonts w:ascii="Arial" w:hAnsi="Arial"/>
        </w:rPr>
        <w:t>Similarly, the large effect sizes observed in this study highlight the effectiveness of the mnemonic keyword method in improving performance in science education. This method h</w:t>
      </w:r>
      <w:r>
        <w:rPr>
          <w:rFonts w:ascii="Arial" w:hAnsi="Arial"/>
        </w:rPr>
        <w:t>elps students associate complex scientific concepts with familiar keywords, making them easier to recall (</w:t>
      </w:r>
      <w:proofErr w:type="spellStart"/>
      <w:r>
        <w:rPr>
          <w:rFonts w:ascii="Arial" w:hAnsi="Arial"/>
        </w:rPr>
        <w:t>Kurniarahman</w:t>
      </w:r>
      <w:proofErr w:type="spellEnd"/>
      <w:r>
        <w:rPr>
          <w:rFonts w:ascii="Arial" w:hAnsi="Arial"/>
        </w:rPr>
        <w:t>, 2023). By creating a strong mental link between the keyword and the target information, the mnemonic keyword method facilitates the rete</w:t>
      </w:r>
      <w:r>
        <w:rPr>
          <w:rFonts w:ascii="Arial" w:hAnsi="Arial"/>
        </w:rPr>
        <w:t>ntion and retrieval of abstract concepts, which is crucial in subjects such as science (</w:t>
      </w:r>
      <w:proofErr w:type="spellStart"/>
      <w:r>
        <w:rPr>
          <w:rFonts w:ascii="Arial" w:hAnsi="Arial"/>
        </w:rPr>
        <w:t>Cancino</w:t>
      </w:r>
      <w:proofErr w:type="spellEnd"/>
      <w:r>
        <w:rPr>
          <w:rFonts w:ascii="Arial" w:hAnsi="Arial"/>
        </w:rPr>
        <w:t xml:space="preserve"> et al., 2021; </w:t>
      </w:r>
      <w:proofErr w:type="spellStart"/>
      <w:r>
        <w:rPr>
          <w:rFonts w:ascii="Arial" w:hAnsi="Arial"/>
        </w:rPr>
        <w:t>Attygalle</w:t>
      </w:r>
      <w:proofErr w:type="spellEnd"/>
      <w:r>
        <w:rPr>
          <w:rFonts w:ascii="Arial" w:hAnsi="Arial"/>
        </w:rPr>
        <w:t xml:space="preserve"> et al., 2025). The success of this method in improving science performance aligns with previous research demonstrating its ability to en</w:t>
      </w:r>
      <w:r>
        <w:rPr>
          <w:rFonts w:ascii="Arial" w:hAnsi="Arial"/>
        </w:rPr>
        <w:t xml:space="preserve">hance both memory and learning outcomes in students (IRIS Center, 2021; Fung &amp; </w:t>
      </w:r>
      <w:proofErr w:type="spellStart"/>
      <w:r>
        <w:rPr>
          <w:rFonts w:ascii="Arial" w:hAnsi="Arial"/>
        </w:rPr>
        <w:t>Oyibo</w:t>
      </w:r>
      <w:proofErr w:type="spellEnd"/>
      <w:r>
        <w:rPr>
          <w:rFonts w:ascii="Arial" w:hAnsi="Arial"/>
        </w:rPr>
        <w:t>, 2024).</w:t>
      </w:r>
    </w:p>
    <w:p w:rsidR="009B39A5" w:rsidRDefault="00336C35">
      <w:pPr>
        <w:ind w:firstLine="720"/>
        <w:jc w:val="both"/>
        <w:rPr>
          <w:rFonts w:ascii="Arial" w:eastAsia="Arial" w:hAnsi="Arial" w:cs="Arial"/>
          <w:lang w:val="en-PH"/>
        </w:rPr>
      </w:pPr>
      <w:r>
        <w:rPr>
          <w:rFonts w:ascii="Arial" w:hAnsi="Arial"/>
        </w:rPr>
        <w:t xml:space="preserve">The effectiveness of the mnemonic keyword method can be anchored to the dual coding theory, which suggests that memory is improved when information is processed </w:t>
      </w:r>
      <w:r>
        <w:rPr>
          <w:rFonts w:ascii="Arial" w:hAnsi="Arial"/>
        </w:rPr>
        <w:t xml:space="preserve">through both verbal and visual systems. This dual-channel approach enables students to develop more robust mental representations, facilitating easier recall and application of learned material (Heard, 2017; </w:t>
      </w:r>
      <w:proofErr w:type="spellStart"/>
      <w:r>
        <w:rPr>
          <w:rFonts w:ascii="Arial" w:hAnsi="Arial"/>
        </w:rPr>
        <w:t>Paivio</w:t>
      </w:r>
      <w:proofErr w:type="spellEnd"/>
      <w:r>
        <w:rPr>
          <w:rFonts w:ascii="Arial" w:hAnsi="Arial"/>
        </w:rPr>
        <w:t xml:space="preserve">, 1971; Wu &amp; </w:t>
      </w:r>
      <w:proofErr w:type="spellStart"/>
      <w:r>
        <w:rPr>
          <w:rFonts w:ascii="Arial" w:hAnsi="Arial"/>
        </w:rPr>
        <w:t>Molnár</w:t>
      </w:r>
      <w:proofErr w:type="spellEnd"/>
      <w:r>
        <w:rPr>
          <w:rFonts w:ascii="Arial" w:hAnsi="Arial"/>
        </w:rPr>
        <w:t>, 2022). The integratio</w:t>
      </w:r>
      <w:r>
        <w:rPr>
          <w:rFonts w:ascii="Arial" w:hAnsi="Arial"/>
        </w:rPr>
        <w:t>n of verbal and visual processing in the mnemonic keyword method is supported by research showing that combining these two systems leads to better memory retention and learning outcomes in elementary science education (</w:t>
      </w:r>
      <w:proofErr w:type="spellStart"/>
      <w:r>
        <w:rPr>
          <w:rFonts w:ascii="Arial" w:hAnsi="Arial"/>
        </w:rPr>
        <w:t>Borghi</w:t>
      </w:r>
      <w:proofErr w:type="spellEnd"/>
      <w:r>
        <w:rPr>
          <w:rFonts w:ascii="Arial" w:hAnsi="Arial"/>
        </w:rPr>
        <w:t xml:space="preserve"> et al., 2017; Mir et al., 2023</w:t>
      </w:r>
      <w:r>
        <w:rPr>
          <w:rFonts w:ascii="Arial" w:hAnsi="Arial"/>
        </w:rPr>
        <w:t xml:space="preserve">; </w:t>
      </w:r>
      <w:proofErr w:type="spellStart"/>
      <w:r>
        <w:rPr>
          <w:rFonts w:ascii="Arial" w:hAnsi="Arial"/>
        </w:rPr>
        <w:t>Rexigel</w:t>
      </w:r>
      <w:proofErr w:type="spellEnd"/>
      <w:r>
        <w:rPr>
          <w:rFonts w:ascii="Arial" w:hAnsi="Arial"/>
        </w:rPr>
        <w:t xml:space="preserve"> et al., 2024)</w:t>
      </w:r>
      <w:r>
        <w:rPr>
          <w:rFonts w:ascii="Arial" w:hAnsi="Arial"/>
          <w:lang w:val="en-PH"/>
        </w:rPr>
        <w:t>.</w:t>
      </w:r>
    </w:p>
    <w:p w:rsidR="009B39A5" w:rsidRDefault="009B39A5">
      <w:pPr>
        <w:tabs>
          <w:tab w:val="left" w:pos="720"/>
        </w:tabs>
        <w:jc w:val="both"/>
        <w:rPr>
          <w:rFonts w:ascii="Arial" w:eastAsia="Arial" w:hAnsi="Arial" w:cs="Arial"/>
        </w:rPr>
      </w:pPr>
    </w:p>
    <w:p w:rsidR="009B39A5" w:rsidRDefault="00336C35">
      <w:pPr>
        <w:jc w:val="both"/>
        <w:rPr>
          <w:rFonts w:ascii="Arial" w:eastAsia="Arial" w:hAnsi="Arial" w:cs="Arial"/>
          <w:b/>
        </w:rPr>
      </w:pPr>
      <w:r>
        <w:rPr>
          <w:rFonts w:ascii="Arial" w:eastAsia="Arial" w:hAnsi="Arial" w:cs="Arial"/>
          <w:b/>
          <w:bCs/>
        </w:rPr>
        <w:t xml:space="preserve">Table </w:t>
      </w:r>
      <w:r>
        <w:rPr>
          <w:rFonts w:ascii="Arial" w:eastAsia="Arial" w:hAnsi="Arial" w:cs="Arial"/>
          <w:b/>
          <w:bCs/>
          <w:lang w:val="en-PH"/>
        </w:rPr>
        <w:t>5</w:t>
      </w:r>
      <w:r>
        <w:rPr>
          <w:rFonts w:ascii="Arial" w:eastAsia="Arial" w:hAnsi="Arial" w:cs="Arial"/>
          <w:b/>
          <w:bCs/>
        </w:rPr>
        <w:t>.</w:t>
      </w:r>
      <w:r>
        <w:rPr>
          <w:rFonts w:ascii="Arial" w:eastAsia="Arial" w:hAnsi="Arial" w:cs="Arial"/>
          <w:lang w:val="en-PH"/>
        </w:rPr>
        <w:t xml:space="preserve"> </w:t>
      </w:r>
      <w:r>
        <w:rPr>
          <w:rFonts w:ascii="Arial" w:hAnsi="Arial" w:cs="Arial"/>
          <w:i/>
          <w:iCs/>
        </w:rPr>
        <w:t>Effect Size of Mnemonic Keyword Method on Post-Test Scores in Identifying Star Patterns</w:t>
      </w:r>
    </w:p>
    <w:tbl>
      <w:tblPr>
        <w:tblpPr w:leftFromText="180" w:rightFromText="180" w:vertAnchor="text" w:horzAnchor="page" w:tblpX="1881" w:tblpY="37"/>
        <w:tblOverlap w:val="never"/>
        <w:tblW w:w="8700" w:type="dxa"/>
        <w:tblLayout w:type="fixed"/>
        <w:tblLook w:val="04A0" w:firstRow="1" w:lastRow="0" w:firstColumn="1" w:lastColumn="0" w:noHBand="0" w:noVBand="1"/>
      </w:tblPr>
      <w:tblGrid>
        <w:gridCol w:w="1875"/>
        <w:gridCol w:w="1165"/>
        <w:gridCol w:w="2140"/>
        <w:gridCol w:w="1280"/>
        <w:gridCol w:w="1040"/>
        <w:gridCol w:w="1200"/>
      </w:tblGrid>
      <w:tr w:rsidR="009B39A5">
        <w:trPr>
          <w:trHeight w:val="561"/>
        </w:trPr>
        <w:tc>
          <w:tcPr>
            <w:tcW w:w="3040" w:type="dxa"/>
            <w:gridSpan w:val="2"/>
            <w:vMerge w:val="restart"/>
            <w:tcBorders>
              <w:top w:val="single" w:sz="4" w:space="0" w:color="auto"/>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Measures</w:t>
            </w:r>
          </w:p>
        </w:tc>
        <w:tc>
          <w:tcPr>
            <w:tcW w:w="2140" w:type="dxa"/>
            <w:vMerge w:val="restart"/>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Standardizer</w:t>
            </w:r>
          </w:p>
        </w:tc>
        <w:tc>
          <w:tcPr>
            <w:tcW w:w="1280" w:type="dxa"/>
            <w:vMerge w:val="restart"/>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Point Estimate</w:t>
            </w:r>
          </w:p>
        </w:tc>
        <w:tc>
          <w:tcPr>
            <w:tcW w:w="2240" w:type="dxa"/>
            <w:gridSpan w:val="2"/>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95% Confidence Interval</w:t>
            </w:r>
          </w:p>
        </w:tc>
      </w:tr>
      <w:tr w:rsidR="009B39A5">
        <w:trPr>
          <w:trHeight w:val="324"/>
        </w:trPr>
        <w:tc>
          <w:tcPr>
            <w:tcW w:w="3040" w:type="dxa"/>
            <w:gridSpan w:val="2"/>
            <w:vMerge/>
            <w:tcBorders>
              <w:top w:val="single" w:sz="4" w:space="0" w:color="auto"/>
              <w:bottom w:val="single" w:sz="4" w:space="0" w:color="auto"/>
            </w:tcBorders>
            <w:vAlign w:val="center"/>
          </w:tcPr>
          <w:p w:rsidR="009B39A5" w:rsidRDefault="009B39A5">
            <w:pPr>
              <w:jc w:val="center"/>
              <w:rPr>
                <w:rFonts w:ascii="Arial" w:hAnsi="Arial" w:cs="Arial"/>
              </w:rPr>
            </w:pPr>
          </w:p>
        </w:tc>
        <w:tc>
          <w:tcPr>
            <w:tcW w:w="2140" w:type="dxa"/>
            <w:vMerge/>
            <w:tcBorders>
              <w:top w:val="single" w:sz="4" w:space="0" w:color="auto"/>
              <w:left w:val="nil"/>
              <w:bottom w:val="single" w:sz="4" w:space="0" w:color="auto"/>
            </w:tcBorders>
            <w:vAlign w:val="center"/>
          </w:tcPr>
          <w:p w:rsidR="009B39A5" w:rsidRDefault="009B39A5">
            <w:pPr>
              <w:jc w:val="center"/>
              <w:rPr>
                <w:rFonts w:ascii="Arial" w:hAnsi="Arial" w:cs="Arial"/>
              </w:rPr>
            </w:pPr>
          </w:p>
        </w:tc>
        <w:tc>
          <w:tcPr>
            <w:tcW w:w="1280" w:type="dxa"/>
            <w:vMerge/>
            <w:tcBorders>
              <w:top w:val="single" w:sz="4" w:space="0" w:color="auto"/>
              <w:left w:val="nil"/>
              <w:bottom w:val="single" w:sz="4" w:space="0" w:color="auto"/>
            </w:tcBorders>
            <w:vAlign w:val="center"/>
          </w:tcPr>
          <w:p w:rsidR="009B39A5" w:rsidRDefault="009B39A5">
            <w:pPr>
              <w:jc w:val="center"/>
              <w:rPr>
                <w:rFonts w:ascii="Arial" w:hAnsi="Arial" w:cs="Arial"/>
              </w:rPr>
            </w:pPr>
          </w:p>
        </w:tc>
        <w:tc>
          <w:tcPr>
            <w:tcW w:w="1040"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Lower</w:t>
            </w:r>
          </w:p>
        </w:tc>
        <w:tc>
          <w:tcPr>
            <w:tcW w:w="1200"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Upper</w:t>
            </w:r>
          </w:p>
        </w:tc>
      </w:tr>
      <w:tr w:rsidR="009B39A5">
        <w:trPr>
          <w:trHeight w:val="697"/>
        </w:trPr>
        <w:tc>
          <w:tcPr>
            <w:tcW w:w="1875" w:type="dxa"/>
            <w:tcBorders>
              <w:top w:val="single" w:sz="4" w:space="0" w:color="auto"/>
              <w:left w:val="nil"/>
              <w:bottom w:val="single" w:sz="4" w:space="0" w:color="auto"/>
              <w:right w:val="nil"/>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Post-Test</w:t>
            </w:r>
          </w:p>
        </w:tc>
        <w:tc>
          <w:tcPr>
            <w:tcW w:w="1165" w:type="dxa"/>
            <w:tcBorders>
              <w:top w:val="single" w:sz="4" w:space="0" w:color="auto"/>
              <w:left w:val="nil"/>
              <w:bottom w:val="single" w:sz="4" w:space="0" w:color="auto"/>
              <w:right w:val="nil"/>
            </w:tcBorders>
            <w:tcMar>
              <w:top w:w="0" w:type="dxa"/>
              <w:left w:w="108" w:type="dxa"/>
              <w:bottom w:w="0" w:type="dxa"/>
              <w:right w:w="108" w:type="dxa"/>
            </w:tcMar>
            <w:vAlign w:val="center"/>
          </w:tcPr>
          <w:p w:rsidR="009B39A5" w:rsidRDefault="00336C35">
            <w:pPr>
              <w:jc w:val="center"/>
              <w:rPr>
                <w:rFonts w:ascii="Arial" w:hAnsi="Arial" w:cs="Arial"/>
              </w:rPr>
            </w:pPr>
            <w:proofErr w:type="spellStart"/>
            <w:r>
              <w:rPr>
                <w:rFonts w:ascii="Arial" w:hAnsi="Arial" w:cs="Arial"/>
              </w:rPr>
              <w:t>Cohens’d</w:t>
            </w:r>
            <w:proofErr w:type="spellEnd"/>
          </w:p>
        </w:tc>
        <w:tc>
          <w:tcPr>
            <w:tcW w:w="2140"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3.643</w:t>
            </w:r>
          </w:p>
        </w:tc>
        <w:tc>
          <w:tcPr>
            <w:tcW w:w="1280"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1.812</w:t>
            </w:r>
          </w:p>
        </w:tc>
        <w:tc>
          <w:tcPr>
            <w:tcW w:w="1040"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2.467</w:t>
            </w:r>
          </w:p>
        </w:tc>
        <w:tc>
          <w:tcPr>
            <w:tcW w:w="1200" w:type="dxa"/>
            <w:tcBorders>
              <w:top w:val="single" w:sz="4" w:space="0" w:color="auto"/>
              <w:left w:val="nil"/>
              <w:bottom w:val="single" w:sz="4" w:space="0" w:color="auto"/>
            </w:tcBorders>
            <w:tcMar>
              <w:top w:w="0" w:type="dxa"/>
              <w:left w:w="108" w:type="dxa"/>
              <w:bottom w:w="0" w:type="dxa"/>
              <w:right w:w="108" w:type="dxa"/>
            </w:tcMar>
            <w:vAlign w:val="center"/>
          </w:tcPr>
          <w:p w:rsidR="009B39A5" w:rsidRDefault="00336C35">
            <w:pPr>
              <w:jc w:val="center"/>
              <w:rPr>
                <w:rFonts w:ascii="Arial" w:hAnsi="Arial" w:cs="Arial"/>
              </w:rPr>
            </w:pPr>
            <w:r>
              <w:rPr>
                <w:rFonts w:ascii="Arial" w:hAnsi="Arial" w:cs="Arial"/>
              </w:rPr>
              <w:t>1.143</w:t>
            </w:r>
          </w:p>
        </w:tc>
      </w:tr>
    </w:tbl>
    <w:p w:rsidR="009B39A5" w:rsidRDefault="009B39A5">
      <w:pPr>
        <w:jc w:val="both"/>
        <w:rPr>
          <w:rFonts w:ascii="Arial" w:eastAsia="Arial" w:hAnsi="Arial" w:cs="Arial"/>
          <w:color w:val="000000"/>
          <w:highlight w:val="white"/>
        </w:rPr>
      </w:pPr>
    </w:p>
    <w:p w:rsidR="009B39A5" w:rsidRDefault="00336C35">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5. CONCLUSIONS AND RECOMMENDATIONS </w:t>
      </w:r>
    </w:p>
    <w:p w:rsidR="009B39A5" w:rsidRDefault="009B39A5">
      <w:pPr>
        <w:jc w:val="both"/>
        <w:rPr>
          <w:rFonts w:ascii="Arial" w:eastAsia="Arial" w:hAnsi="Arial" w:cs="Arial"/>
          <w:color w:val="000000"/>
          <w:highlight w:val="white"/>
        </w:rPr>
      </w:pPr>
    </w:p>
    <w:p w:rsidR="009B39A5" w:rsidRDefault="00336C35">
      <w:pPr>
        <w:jc w:val="both"/>
        <w:rPr>
          <w:rFonts w:ascii="Arial" w:eastAsia="Arial" w:hAnsi="Arial" w:cs="Arial"/>
          <w:b/>
          <w:color w:val="000000"/>
          <w:highlight w:val="white"/>
        </w:rPr>
      </w:pPr>
      <w:r>
        <w:rPr>
          <w:rFonts w:ascii="Arial" w:eastAsia="Arial" w:hAnsi="Arial" w:cs="Arial"/>
          <w:b/>
          <w:color w:val="000000"/>
          <w:highlight w:val="white"/>
        </w:rPr>
        <w:t>Conclusion</w:t>
      </w:r>
      <w:r>
        <w:rPr>
          <w:rFonts w:ascii="Arial" w:eastAsia="Arial" w:hAnsi="Arial" w:cs="Arial"/>
          <w:b/>
          <w:color w:val="000000"/>
          <w:highlight w:val="white"/>
        </w:rPr>
        <w:br/>
      </w:r>
    </w:p>
    <w:p w:rsidR="009B39A5" w:rsidRDefault="00336C35">
      <w:pPr>
        <w:jc w:val="both"/>
        <w:rPr>
          <w:rFonts w:ascii="Arial" w:hAnsi="Arial"/>
        </w:rPr>
      </w:pPr>
      <w:r>
        <w:rPr>
          <w:rFonts w:ascii="Arial" w:hAnsi="Arial"/>
        </w:rPr>
        <w:t>Anchoring to the findings of the study, the researchers concluded the following:</w:t>
      </w:r>
    </w:p>
    <w:p w:rsidR="009B39A5" w:rsidRDefault="009B39A5">
      <w:pPr>
        <w:jc w:val="both"/>
        <w:rPr>
          <w:rFonts w:ascii="Arial" w:hAnsi="Arial"/>
        </w:rPr>
      </w:pPr>
    </w:p>
    <w:p w:rsidR="009B39A5" w:rsidRDefault="00336C35">
      <w:pPr>
        <w:numPr>
          <w:ilvl w:val="0"/>
          <w:numId w:val="3"/>
        </w:numPr>
        <w:ind w:leftChars="109" w:left="400" w:hangingChars="91" w:hanging="182"/>
        <w:jc w:val="both"/>
        <w:rPr>
          <w:rFonts w:ascii="Arial" w:hAnsi="Arial"/>
        </w:rPr>
      </w:pPr>
      <w:r>
        <w:rPr>
          <w:rFonts w:ascii="Arial" w:hAnsi="Arial"/>
        </w:rPr>
        <w:t>The pre-test results indicated that both the control group (M = 6.28) and the experimental group (M = 6.12) exhibited low tes</w:t>
      </w:r>
      <w:r>
        <w:rPr>
          <w:rFonts w:ascii="Arial" w:hAnsi="Arial"/>
        </w:rPr>
        <w:t>t performance and did not meet expectations prior to the intervention.</w:t>
      </w:r>
    </w:p>
    <w:p w:rsidR="009B39A5" w:rsidRDefault="00336C35">
      <w:pPr>
        <w:numPr>
          <w:ilvl w:val="0"/>
          <w:numId w:val="3"/>
        </w:numPr>
        <w:ind w:leftChars="109" w:left="400" w:hangingChars="91" w:hanging="182"/>
        <w:jc w:val="both"/>
        <w:rPr>
          <w:rFonts w:ascii="Arial" w:hAnsi="Arial"/>
        </w:rPr>
      </w:pPr>
      <w:r>
        <w:rPr>
          <w:rFonts w:ascii="Arial" w:hAnsi="Arial"/>
        </w:rPr>
        <w:t>The mean comparison between the pre-test scores suggested no significant difference (p = 0.830) in the mean scores between the experimental and control groups.</w:t>
      </w:r>
    </w:p>
    <w:p w:rsidR="009B39A5" w:rsidRDefault="00336C35">
      <w:pPr>
        <w:numPr>
          <w:ilvl w:val="0"/>
          <w:numId w:val="3"/>
        </w:numPr>
        <w:ind w:leftChars="109" w:left="400" w:hangingChars="91" w:hanging="182"/>
        <w:jc w:val="both"/>
        <w:rPr>
          <w:rFonts w:ascii="Arial" w:hAnsi="Arial"/>
        </w:rPr>
      </w:pPr>
      <w:r>
        <w:rPr>
          <w:rFonts w:ascii="Arial" w:hAnsi="Arial"/>
        </w:rPr>
        <w:t>The control group's post-</w:t>
      </w:r>
      <w:r>
        <w:rPr>
          <w:rFonts w:ascii="Arial" w:hAnsi="Arial"/>
        </w:rPr>
        <w:t>test scores (M = 9.52) did not meet expectations, whereas the experimental group's scores (M = 16.12) were fairly satisfactory.</w:t>
      </w:r>
    </w:p>
    <w:p w:rsidR="009B39A5" w:rsidRDefault="00336C35">
      <w:pPr>
        <w:numPr>
          <w:ilvl w:val="0"/>
          <w:numId w:val="3"/>
        </w:numPr>
        <w:ind w:leftChars="109" w:left="400" w:hangingChars="91" w:hanging="182"/>
        <w:jc w:val="both"/>
        <w:rPr>
          <w:rFonts w:ascii="Arial" w:hAnsi="Arial"/>
        </w:rPr>
      </w:pPr>
      <w:r>
        <w:rPr>
          <w:rFonts w:ascii="Arial" w:hAnsi="Arial"/>
        </w:rPr>
        <w:t>The mean comparison between the post-test scores revealed a significant difference (p = 0.000) in the average scores between the</w:t>
      </w:r>
      <w:r>
        <w:rPr>
          <w:rFonts w:ascii="Arial" w:hAnsi="Arial"/>
        </w:rPr>
        <w:t xml:space="preserve"> experimental and control groups.</w:t>
      </w:r>
    </w:p>
    <w:p w:rsidR="009B39A5" w:rsidRDefault="00336C35">
      <w:pPr>
        <w:numPr>
          <w:ilvl w:val="0"/>
          <w:numId w:val="3"/>
        </w:numPr>
        <w:ind w:leftChars="109" w:left="400" w:hangingChars="91" w:hanging="182"/>
        <w:jc w:val="both"/>
        <w:rPr>
          <w:rFonts w:ascii="Arial" w:eastAsia="Arial" w:hAnsi="Arial" w:cs="Arial"/>
          <w:color w:val="000000"/>
        </w:rPr>
      </w:pPr>
      <w:r>
        <w:rPr>
          <w:rFonts w:ascii="Arial" w:hAnsi="Arial"/>
        </w:rPr>
        <w:t>A very large effect size (d = 1.812) was observed in the experimental group's post-test scores compared to those of the control group, confirming that the mnemonic keyword method had a strong positive impact on improving s</w:t>
      </w:r>
      <w:r>
        <w:rPr>
          <w:rFonts w:ascii="Arial" w:hAnsi="Arial"/>
        </w:rPr>
        <w:t>cience performance.</w:t>
      </w:r>
    </w:p>
    <w:p w:rsidR="009B39A5" w:rsidRDefault="00336C35">
      <w:pPr>
        <w:ind w:left="46" w:firstLine="663"/>
        <w:jc w:val="both"/>
        <w:rPr>
          <w:rFonts w:ascii="Arial" w:eastAsia="Arial" w:hAnsi="Arial" w:cs="Arial"/>
          <w:color w:val="000000"/>
        </w:rPr>
      </w:pPr>
      <w:r>
        <w:rPr>
          <w:rFonts w:ascii="Arial" w:eastAsia="Arial" w:hAnsi="Arial" w:cs="Arial"/>
          <w:color w:val="000000"/>
        </w:rPr>
        <w:t>These findings confirm that the mnemonic keyword method significantly enhances science performance among Grade 5 learners. The success of the method can be attributed to its theoretical foundation in dual coding theory, which emphasizes</w:t>
      </w:r>
      <w:r>
        <w:rPr>
          <w:rFonts w:ascii="Arial" w:eastAsia="Arial" w:hAnsi="Arial" w:cs="Arial"/>
          <w:color w:val="000000"/>
        </w:rPr>
        <w:t xml:space="preserve"> the use of both verbal and visual processing to strengthen memory and understanding (</w:t>
      </w:r>
      <w:proofErr w:type="spellStart"/>
      <w:r>
        <w:rPr>
          <w:rFonts w:ascii="Arial" w:eastAsia="Arial" w:hAnsi="Arial" w:cs="Arial"/>
          <w:color w:val="000000"/>
        </w:rPr>
        <w:t>Paivio</w:t>
      </w:r>
      <w:proofErr w:type="spellEnd"/>
      <w:r>
        <w:rPr>
          <w:rFonts w:ascii="Arial" w:eastAsia="Arial" w:hAnsi="Arial" w:cs="Arial"/>
          <w:color w:val="000000"/>
        </w:rPr>
        <w:t xml:space="preserve">, 1986). By engaging learners in </w:t>
      </w:r>
      <w:r>
        <w:rPr>
          <w:rFonts w:ascii="Arial" w:eastAsia="Arial" w:hAnsi="Arial" w:cs="Arial"/>
          <w:color w:val="000000"/>
        </w:rPr>
        <w:lastRenderedPageBreak/>
        <w:t>creating visual imagery linked to verbal keywords, the method supports deeper cognitive encoding and easier retrieval of abstract s</w:t>
      </w:r>
      <w:r>
        <w:rPr>
          <w:rFonts w:ascii="Arial" w:eastAsia="Arial" w:hAnsi="Arial" w:cs="Arial"/>
          <w:color w:val="000000"/>
        </w:rPr>
        <w:t>cientific concepts—an approach particularly effective in subjects like astronomy where spatial and conceptual complexity is high.</w:t>
      </w:r>
    </w:p>
    <w:p w:rsidR="009B39A5" w:rsidRDefault="00336C35">
      <w:pPr>
        <w:ind w:left="46" w:firstLine="663"/>
        <w:jc w:val="both"/>
        <w:rPr>
          <w:rFonts w:ascii="Arial" w:eastAsia="Arial" w:hAnsi="Arial" w:cs="Arial"/>
          <w:color w:val="000000"/>
        </w:rPr>
      </w:pPr>
      <w:r>
        <w:rPr>
          <w:rFonts w:ascii="Arial" w:eastAsia="Arial" w:hAnsi="Arial" w:cs="Arial"/>
          <w:color w:val="000000"/>
        </w:rPr>
        <w:t>The study demonstrated that the application of dual coding theory through the mnemonic keyword method leads to substantial imp</w:t>
      </w:r>
      <w:r>
        <w:rPr>
          <w:rFonts w:ascii="Arial" w:eastAsia="Arial" w:hAnsi="Arial" w:cs="Arial"/>
          <w:color w:val="000000"/>
        </w:rPr>
        <w:t>rovement in learners’ science performance, validating the theory’s relevance and effectiveness in actual classroom practice. Therefore, the connection between the cognitive processes described in dual coding theory and the observed outcomes in science perf</w:t>
      </w:r>
      <w:r>
        <w:rPr>
          <w:rFonts w:ascii="Arial" w:eastAsia="Arial" w:hAnsi="Arial" w:cs="Arial"/>
          <w:color w:val="000000"/>
        </w:rPr>
        <w:t>ormance is both evident and significant. This highlights the value of integrating evidence-based, theory-driven strategies into science instruction, especially at the elementary level where foundational understanding is crucial.</w:t>
      </w:r>
    </w:p>
    <w:p w:rsidR="009B39A5" w:rsidRDefault="009B39A5">
      <w:pPr>
        <w:jc w:val="both"/>
        <w:rPr>
          <w:rFonts w:ascii="Arial" w:eastAsia="Arial" w:hAnsi="Arial" w:cs="Arial"/>
          <w:b/>
          <w:color w:val="000000"/>
          <w:highlight w:val="white"/>
        </w:rPr>
      </w:pPr>
    </w:p>
    <w:p w:rsidR="009B39A5" w:rsidRDefault="00336C35">
      <w:pPr>
        <w:jc w:val="both"/>
        <w:rPr>
          <w:rFonts w:ascii="Arial" w:eastAsia="Arial" w:hAnsi="Arial" w:cs="Arial"/>
          <w:color w:val="000000"/>
          <w:highlight w:val="white"/>
        </w:rPr>
      </w:pPr>
      <w:r>
        <w:rPr>
          <w:rFonts w:ascii="Arial" w:eastAsia="Arial" w:hAnsi="Arial" w:cs="Arial"/>
          <w:b/>
          <w:color w:val="000000"/>
          <w:highlight w:val="white"/>
        </w:rPr>
        <w:t>Recommendation</w:t>
      </w:r>
    </w:p>
    <w:p w:rsidR="009B39A5" w:rsidRDefault="009B39A5">
      <w:pPr>
        <w:jc w:val="both"/>
        <w:rPr>
          <w:rFonts w:ascii="Arial" w:eastAsia="Arial" w:hAnsi="Arial" w:cs="Arial"/>
          <w:color w:val="000000"/>
          <w:highlight w:val="white"/>
        </w:rPr>
      </w:pPr>
    </w:p>
    <w:p w:rsidR="009B39A5" w:rsidRDefault="00336C35">
      <w:pPr>
        <w:ind w:leftChars="109" w:left="400" w:hangingChars="91" w:hanging="182"/>
        <w:jc w:val="both"/>
        <w:rPr>
          <w:rFonts w:ascii="Arial" w:hAnsi="Arial"/>
        </w:rPr>
      </w:pPr>
      <w:r>
        <w:rPr>
          <w:rFonts w:ascii="Arial" w:hAnsi="Arial"/>
        </w:rPr>
        <w:t>1. A quali</w:t>
      </w:r>
      <w:r>
        <w:rPr>
          <w:rFonts w:ascii="Arial" w:hAnsi="Arial"/>
        </w:rPr>
        <w:t>tative study may be conducted to explore the root causes of why neither the control nor the experimental group met expectations. This can involve interviews, focus groups, or classroom observations to identify factors such as prior knowledge gaps, motivati</w:t>
      </w:r>
      <w:r>
        <w:rPr>
          <w:rFonts w:ascii="Arial" w:hAnsi="Arial"/>
        </w:rPr>
        <w:t>on issues, or teaching methods that could have influenced students' performance.</w:t>
      </w:r>
    </w:p>
    <w:p w:rsidR="009B39A5" w:rsidRDefault="00336C35">
      <w:pPr>
        <w:ind w:leftChars="109" w:left="400" w:hangingChars="91" w:hanging="182"/>
        <w:jc w:val="both"/>
        <w:rPr>
          <w:rFonts w:ascii="Arial" w:hAnsi="Arial"/>
        </w:rPr>
      </w:pPr>
      <w:r>
        <w:rPr>
          <w:rFonts w:ascii="Arial" w:hAnsi="Arial"/>
        </w:rPr>
        <w:t>2. Exploring other teaching strategies to complement the mnemonic keyword method is encouraged. Approaches such as inquiry-based learning, hands-on experiments, or cooperative</w:t>
      </w:r>
      <w:r>
        <w:rPr>
          <w:rFonts w:ascii="Arial" w:hAnsi="Arial"/>
        </w:rPr>
        <w:t xml:space="preserve"> learning may enhance student engagement and help deepen their understanding of scientific concepts, accommodating different learning styles and improving overall science performance.</w:t>
      </w:r>
    </w:p>
    <w:p w:rsidR="009B39A5" w:rsidRDefault="00336C35">
      <w:pPr>
        <w:ind w:leftChars="109" w:left="400" w:hangingChars="91" w:hanging="182"/>
        <w:jc w:val="both"/>
        <w:rPr>
          <w:rFonts w:ascii="Arial" w:hAnsi="Arial"/>
        </w:rPr>
      </w:pPr>
      <w:r>
        <w:rPr>
          <w:rFonts w:ascii="Arial" w:hAnsi="Arial"/>
        </w:rPr>
        <w:t xml:space="preserve">3. It is recommended to examine the factors within the mnemonic keyword </w:t>
      </w:r>
      <w:r>
        <w:rPr>
          <w:rFonts w:ascii="Arial" w:hAnsi="Arial"/>
        </w:rPr>
        <w:t>method that contributed to only "Fairly Satisfactory" results in the experimental group. Aspects such as the complexity of the concepts, the duration of the intervention, or students' prior knowledge may be explored to identify areas for further refinement</w:t>
      </w:r>
      <w:r>
        <w:rPr>
          <w:rFonts w:ascii="Arial" w:hAnsi="Arial"/>
        </w:rPr>
        <w:t xml:space="preserve"> of the method.</w:t>
      </w:r>
    </w:p>
    <w:p w:rsidR="009B39A5" w:rsidRDefault="00336C35">
      <w:pPr>
        <w:ind w:leftChars="109" w:left="400" w:hangingChars="91" w:hanging="182"/>
        <w:jc w:val="both"/>
        <w:rPr>
          <w:rFonts w:ascii="Arial" w:hAnsi="Arial"/>
        </w:rPr>
      </w:pPr>
      <w:r>
        <w:rPr>
          <w:rFonts w:ascii="Arial" w:hAnsi="Arial"/>
        </w:rPr>
        <w:t>4. Focusing on the improvement of the mnemonic keyword method's implementation is important. Providing teachers with more detailed training on how to integrate the method effectively into their lessons and ensuring active student participat</w:t>
      </w:r>
      <w:r>
        <w:rPr>
          <w:rFonts w:ascii="Arial" w:hAnsi="Arial"/>
        </w:rPr>
        <w:t>ion in creating associations between verbal keywords and visual images will likely enhance its impact.</w:t>
      </w:r>
    </w:p>
    <w:p w:rsidR="009B39A5" w:rsidRDefault="00336C35">
      <w:pPr>
        <w:ind w:leftChars="109" w:left="400" w:hangingChars="91" w:hanging="182"/>
        <w:jc w:val="both"/>
        <w:rPr>
          <w:rFonts w:ascii="Arial" w:hAnsi="Arial"/>
        </w:rPr>
      </w:pPr>
      <w:r>
        <w:rPr>
          <w:rFonts w:ascii="Arial" w:hAnsi="Arial"/>
        </w:rPr>
        <w:t>5. Replicating the study across different grade levels and science topics would be beneficial. This could provide a broader understanding of the effectiv</w:t>
      </w:r>
      <w:r>
        <w:rPr>
          <w:rFonts w:ascii="Arial" w:hAnsi="Arial"/>
        </w:rPr>
        <w:t>eness of the mnemonic keyword method in various educational contexts and subject areas, enabling more effective adaptations to meet the diverse needs of learners and different settings.</w:t>
      </w:r>
    </w:p>
    <w:p w:rsidR="009B39A5" w:rsidRDefault="00336C35">
      <w:pPr>
        <w:ind w:leftChars="109" w:left="400" w:hangingChars="91" w:hanging="182"/>
        <w:jc w:val="both"/>
        <w:rPr>
          <w:rFonts w:ascii="Arial" w:hAnsi="Arial"/>
        </w:rPr>
      </w:pPr>
      <w:r>
        <w:rPr>
          <w:rFonts w:ascii="Arial" w:hAnsi="Arial"/>
        </w:rPr>
        <w:t xml:space="preserve">6. Educators are encouraged to adopt the mnemonic keyword method as a </w:t>
      </w:r>
      <w:r>
        <w:rPr>
          <w:rFonts w:ascii="Arial" w:hAnsi="Arial"/>
        </w:rPr>
        <w:t>practical, theory-driven strategy to improve science instruction. Its basis in dual coding theory, which leverages both visual and verbal learning channels, has proven to be a powerful aid in enhancing science concept retention among elementary students. P</w:t>
      </w:r>
      <w:r>
        <w:rPr>
          <w:rFonts w:ascii="Arial" w:hAnsi="Arial"/>
        </w:rPr>
        <w:t>ractical application of this method in real classrooms can transform abstract science topics into more accessible and engaging learning experiences.</w:t>
      </w:r>
    </w:p>
    <w:p w:rsidR="009B39A5" w:rsidRDefault="009B39A5">
      <w:pPr>
        <w:ind w:leftChars="109" w:left="400" w:hangingChars="91" w:hanging="182"/>
        <w:jc w:val="both"/>
        <w:rPr>
          <w:rFonts w:ascii="Arial" w:hAnsi="Arial"/>
        </w:rPr>
      </w:pPr>
    </w:p>
    <w:p w:rsidR="009B39A5" w:rsidRDefault="009B39A5">
      <w:pPr>
        <w:ind w:leftChars="109" w:left="400" w:hangingChars="91" w:hanging="182"/>
        <w:jc w:val="both"/>
        <w:rPr>
          <w:rFonts w:ascii="Arial" w:hAnsi="Arial"/>
        </w:rPr>
      </w:pPr>
    </w:p>
    <w:p w:rsidR="00273E93" w:rsidRPr="00273E93" w:rsidRDefault="00273E93" w:rsidP="00273E93">
      <w:pPr>
        <w:spacing w:after="200" w:line="276" w:lineRule="auto"/>
        <w:rPr>
          <w:rFonts w:ascii="Calibri" w:eastAsia="Calibri" w:hAnsi="Calibri" w:cs="Times New Roman"/>
          <w:b/>
          <w:kern w:val="2"/>
          <w:sz w:val="22"/>
          <w:szCs w:val="22"/>
          <w:lang w:eastAsia="en-US"/>
        </w:rPr>
      </w:pPr>
      <w:bookmarkStart w:id="3" w:name="_Hlk197682619"/>
      <w:bookmarkStart w:id="4" w:name="_Hlk180402183"/>
      <w:bookmarkStart w:id="5" w:name="_Hlk183680988"/>
      <w:r w:rsidRPr="00273E93">
        <w:rPr>
          <w:rFonts w:ascii="Calibri" w:eastAsia="Calibri" w:hAnsi="Calibri" w:cs="Times New Roman"/>
          <w:b/>
          <w:kern w:val="2"/>
          <w:sz w:val="22"/>
          <w:szCs w:val="22"/>
          <w:lang w:eastAsia="en-US"/>
        </w:rPr>
        <w:t>Ethical Approval:</w:t>
      </w:r>
    </w:p>
    <w:p w:rsidR="00273E93" w:rsidRDefault="00273E93" w:rsidP="00273E93">
      <w:pPr>
        <w:spacing w:after="200" w:line="276" w:lineRule="auto"/>
        <w:rPr>
          <w:rFonts w:ascii="Calibri" w:eastAsia="Calibri" w:hAnsi="Calibri" w:cs="Times New Roman"/>
          <w:kern w:val="2"/>
          <w:sz w:val="22"/>
          <w:szCs w:val="22"/>
          <w:highlight w:val="yellow"/>
          <w:lang w:eastAsia="en-US"/>
        </w:rPr>
      </w:pPr>
      <w:r w:rsidRPr="00273E93">
        <w:rPr>
          <w:rFonts w:ascii="Calibri" w:eastAsia="Calibri" w:hAnsi="Calibri" w:cs="Times New Roman"/>
          <w:kern w:val="2"/>
          <w:sz w:val="22"/>
          <w:szCs w:val="22"/>
          <w:lang w:eastAsia="en-US"/>
        </w:rPr>
        <w:t>As per international standards or university standards written ethical approval has been collected and preserved by the author(s).</w:t>
      </w:r>
    </w:p>
    <w:p w:rsidR="00273E93" w:rsidRPr="00273E93" w:rsidRDefault="00273E93">
      <w:pPr>
        <w:spacing w:after="200" w:line="276" w:lineRule="auto"/>
        <w:rPr>
          <w:rFonts w:ascii="Calibri" w:eastAsia="Calibri" w:hAnsi="Calibri" w:cs="Times New Roman"/>
          <w:b/>
          <w:kern w:val="2"/>
          <w:sz w:val="22"/>
          <w:szCs w:val="22"/>
          <w:highlight w:val="yellow"/>
          <w:lang w:eastAsia="en-US"/>
        </w:rPr>
      </w:pPr>
      <w:r w:rsidRPr="00273E93">
        <w:rPr>
          <w:rFonts w:ascii="Calibri" w:eastAsia="Calibri" w:hAnsi="Calibri" w:cs="Times New Roman"/>
          <w:b/>
          <w:kern w:val="2"/>
          <w:sz w:val="22"/>
          <w:szCs w:val="22"/>
          <w:lang w:eastAsia="en-US"/>
        </w:rPr>
        <w:t>Disclaimer (Artificial intelligence)</w:t>
      </w:r>
    </w:p>
    <w:p w:rsidR="00273E93" w:rsidRDefault="00273E93">
      <w:pPr>
        <w:spacing w:after="200" w:line="276" w:lineRule="auto"/>
        <w:rPr>
          <w:rFonts w:ascii="Calibri" w:eastAsia="Calibri" w:hAnsi="Calibri" w:cs="Times New Roman"/>
          <w:kern w:val="2"/>
          <w:sz w:val="22"/>
          <w:szCs w:val="22"/>
          <w:highlight w:val="yellow"/>
          <w:lang w:eastAsia="en-US"/>
        </w:rPr>
      </w:pPr>
    </w:p>
    <w:p w:rsidR="009B39A5" w:rsidRDefault="00336C35">
      <w:pPr>
        <w:spacing w:after="200" w:line="276" w:lineRule="auto"/>
        <w:rPr>
          <w:rFonts w:ascii="Calibri" w:eastAsia="Calibri" w:hAnsi="Calibri" w:cs="Times New Roman"/>
          <w:kern w:val="2"/>
          <w:sz w:val="22"/>
          <w:szCs w:val="22"/>
          <w:highlight w:val="yellow"/>
          <w:lang w:eastAsia="en-US"/>
        </w:rPr>
      </w:pPr>
      <w:r>
        <w:rPr>
          <w:rFonts w:ascii="Calibri" w:eastAsia="Calibri" w:hAnsi="Calibri" w:cs="Times New Roman"/>
          <w:kern w:val="2"/>
          <w:sz w:val="22"/>
          <w:szCs w:val="22"/>
          <w:highlight w:val="yellow"/>
          <w:lang w:eastAsia="en-US"/>
        </w:rPr>
        <w:t xml:space="preserve">Option 2: </w:t>
      </w:r>
    </w:p>
    <w:p w:rsidR="009B39A5" w:rsidRDefault="00336C35">
      <w:pPr>
        <w:spacing w:after="200" w:line="276" w:lineRule="auto"/>
        <w:rPr>
          <w:rFonts w:ascii="Calibri" w:eastAsia="Calibri" w:hAnsi="Calibri" w:cs="Times New Roman"/>
          <w:kern w:val="2"/>
          <w:sz w:val="22"/>
          <w:szCs w:val="22"/>
          <w:highlight w:val="yellow"/>
          <w:lang w:eastAsia="en-US"/>
        </w:rPr>
      </w:pPr>
      <w:r>
        <w:rPr>
          <w:rFonts w:ascii="Calibri" w:eastAsia="Calibri" w:hAnsi="Calibri" w:cs="Times New Roman"/>
          <w:kern w:val="2"/>
          <w:sz w:val="22"/>
          <w:szCs w:val="22"/>
          <w:highlight w:val="yellow"/>
          <w:lang w:eastAsia="en-US"/>
        </w:rPr>
        <w:lastRenderedPageBreak/>
        <w:t xml:space="preserve">Author(s) hereby declare that generative AI technologies such as Large Language Models, etc. </w:t>
      </w:r>
      <w:r>
        <w:rPr>
          <w:rFonts w:ascii="Calibri" w:eastAsia="Calibri" w:hAnsi="Calibri" w:cs="Times New Roman"/>
          <w:kern w:val="2"/>
          <w:sz w:val="22"/>
          <w:szCs w:val="22"/>
          <w:highlight w:val="yellow"/>
          <w:lang w:eastAsia="en-US"/>
        </w:rPr>
        <w:t>have been used during the writing or editing of manuscripts. This explanation will include the name, version, model, and source of the generative AI technology and as well as all input prompts provided to the generative AI technology</w:t>
      </w:r>
    </w:p>
    <w:p w:rsidR="009B39A5" w:rsidRDefault="00336C35">
      <w:pPr>
        <w:spacing w:after="200" w:line="276" w:lineRule="auto"/>
        <w:rPr>
          <w:rFonts w:ascii="Calibri" w:eastAsia="Calibri" w:hAnsi="Calibri" w:cs="Times New Roman"/>
          <w:kern w:val="2"/>
          <w:sz w:val="22"/>
          <w:szCs w:val="22"/>
          <w:highlight w:val="yellow"/>
          <w:lang w:eastAsia="en-US"/>
        </w:rPr>
      </w:pPr>
      <w:r>
        <w:rPr>
          <w:rFonts w:ascii="Calibri" w:eastAsia="Calibri" w:hAnsi="Calibri" w:cs="Times New Roman"/>
          <w:kern w:val="2"/>
          <w:sz w:val="22"/>
          <w:szCs w:val="22"/>
          <w:highlight w:val="yellow"/>
          <w:lang w:eastAsia="en-US"/>
        </w:rPr>
        <w:t>Details of the AI usag</w:t>
      </w:r>
      <w:r>
        <w:rPr>
          <w:rFonts w:ascii="Calibri" w:eastAsia="Calibri" w:hAnsi="Calibri" w:cs="Times New Roman"/>
          <w:kern w:val="2"/>
          <w:sz w:val="22"/>
          <w:szCs w:val="22"/>
          <w:highlight w:val="yellow"/>
          <w:lang w:eastAsia="en-US"/>
        </w:rPr>
        <w:t>e are given below:</w:t>
      </w:r>
    </w:p>
    <w:p w:rsidR="009B39A5" w:rsidRDefault="00336C35">
      <w:pPr>
        <w:spacing w:after="200" w:line="276" w:lineRule="auto"/>
        <w:rPr>
          <w:rFonts w:ascii="Calibri" w:eastAsia="Calibri" w:hAnsi="Calibri" w:cs="Times New Roman"/>
          <w:kern w:val="2"/>
          <w:sz w:val="22"/>
          <w:szCs w:val="22"/>
          <w:highlight w:val="yellow"/>
          <w:lang w:eastAsia="en-US"/>
        </w:rPr>
      </w:pPr>
      <w:r>
        <w:rPr>
          <w:rFonts w:ascii="Calibri" w:eastAsia="Calibri" w:hAnsi="Calibri" w:cs="Times New Roman"/>
          <w:kern w:val="2"/>
          <w:sz w:val="22"/>
          <w:szCs w:val="22"/>
          <w:highlight w:val="yellow"/>
          <w:lang w:eastAsia="en-US"/>
        </w:rPr>
        <w:t>1. Chat GPT 4.0</w:t>
      </w:r>
    </w:p>
    <w:p w:rsidR="009B39A5" w:rsidRDefault="00336C35">
      <w:pPr>
        <w:spacing w:after="200" w:line="276" w:lineRule="auto"/>
        <w:rPr>
          <w:rFonts w:ascii="Calibri" w:eastAsia="Calibri" w:hAnsi="Calibri" w:cs="Times New Roman"/>
          <w:kern w:val="2"/>
          <w:sz w:val="22"/>
          <w:szCs w:val="22"/>
          <w:lang w:eastAsia="en-US"/>
        </w:rPr>
      </w:pPr>
      <w:r>
        <w:rPr>
          <w:rFonts w:ascii="Calibri" w:eastAsia="Calibri" w:hAnsi="Calibri" w:cs="Times New Roman"/>
          <w:kern w:val="2"/>
          <w:sz w:val="22"/>
          <w:szCs w:val="22"/>
          <w:highlight w:val="yellow"/>
          <w:lang w:eastAsia="en-US"/>
        </w:rPr>
        <w:t xml:space="preserve">- Help me make 4 subtitles of RRL for my action research </w:t>
      </w:r>
      <w:bookmarkStart w:id="6" w:name="_Hlk197682629"/>
      <w:bookmarkEnd w:id="3"/>
      <w:r>
        <w:rPr>
          <w:rFonts w:ascii="Calibri" w:eastAsia="Calibri" w:hAnsi="Calibri" w:cs="Times New Roman"/>
          <w:kern w:val="2"/>
          <w:sz w:val="22"/>
          <w:szCs w:val="22"/>
          <w:highlight w:val="yellow"/>
          <w:lang w:eastAsia="en-US"/>
        </w:rPr>
        <w:t>- Make this introduction cohesive.</w:t>
      </w:r>
    </w:p>
    <w:p w:rsidR="009B39A5" w:rsidRDefault="00336C35">
      <w:pPr>
        <w:spacing w:after="200" w:line="276" w:lineRule="auto"/>
        <w:rPr>
          <w:rFonts w:ascii="Calibri" w:eastAsia="Calibri" w:hAnsi="Calibri" w:cs="Times New Roman"/>
          <w:kern w:val="2"/>
          <w:sz w:val="22"/>
          <w:szCs w:val="22"/>
          <w:lang w:eastAsia="en-US"/>
        </w:rPr>
      </w:pPr>
      <w:r>
        <w:rPr>
          <w:rFonts w:ascii="Calibri" w:eastAsia="Calibri" w:hAnsi="Calibri" w:cs="Times New Roman"/>
          <w:kern w:val="2"/>
          <w:sz w:val="22"/>
          <w:szCs w:val="22"/>
          <w:highlight w:val="yellow"/>
          <w:lang w:eastAsia="en-US"/>
        </w:rPr>
        <w:t xml:space="preserve">- Help me </w:t>
      </w:r>
      <w:proofErr w:type="spellStart"/>
      <w:r>
        <w:rPr>
          <w:rFonts w:ascii="Calibri" w:eastAsia="Calibri" w:hAnsi="Calibri" w:cs="Times New Roman"/>
          <w:kern w:val="2"/>
          <w:sz w:val="22"/>
          <w:szCs w:val="22"/>
          <w:highlight w:val="yellow"/>
          <w:lang w:eastAsia="en-US"/>
        </w:rPr>
        <w:t>dicuss</w:t>
      </w:r>
      <w:proofErr w:type="spellEnd"/>
      <w:r>
        <w:rPr>
          <w:rFonts w:ascii="Calibri" w:eastAsia="Calibri" w:hAnsi="Calibri" w:cs="Times New Roman"/>
          <w:kern w:val="2"/>
          <w:sz w:val="22"/>
          <w:szCs w:val="22"/>
          <w:highlight w:val="yellow"/>
          <w:lang w:eastAsia="en-US"/>
        </w:rPr>
        <w:t xml:space="preserve"> this statis</w:t>
      </w:r>
      <w:r>
        <w:rPr>
          <w:rFonts w:ascii="Calibri" w:eastAsia="Calibri" w:hAnsi="Calibri" w:cs="Times New Roman"/>
          <w:kern w:val="2"/>
          <w:sz w:val="22"/>
          <w:szCs w:val="22"/>
          <w:highlight w:val="yellow"/>
          <w:lang w:eastAsia="en-US"/>
        </w:rPr>
        <w:t>tical results base from my RRL.</w:t>
      </w:r>
    </w:p>
    <w:p w:rsidR="009B39A5" w:rsidRDefault="00336C35">
      <w:pPr>
        <w:spacing w:after="200" w:line="276" w:lineRule="auto"/>
        <w:rPr>
          <w:rFonts w:ascii="Calibri" w:eastAsia="Calibri" w:hAnsi="Calibri" w:cs="Times New Roman"/>
          <w:kern w:val="2"/>
          <w:sz w:val="22"/>
          <w:szCs w:val="22"/>
          <w:lang w:eastAsia="en-US"/>
        </w:rPr>
      </w:pPr>
      <w:r>
        <w:rPr>
          <w:rFonts w:ascii="Calibri" w:eastAsia="Calibri" w:hAnsi="Calibri" w:cs="Times New Roman"/>
          <w:kern w:val="2"/>
          <w:sz w:val="22"/>
          <w:szCs w:val="22"/>
          <w:highlight w:val="yellow"/>
          <w:lang w:eastAsia="en-US"/>
        </w:rPr>
        <w:t>- Please correct the grammar of these paragraphs.</w:t>
      </w:r>
    </w:p>
    <w:p w:rsidR="009B39A5" w:rsidRDefault="00336C35">
      <w:pPr>
        <w:spacing w:after="200" w:line="276" w:lineRule="auto"/>
        <w:rPr>
          <w:rFonts w:ascii="Calibri" w:eastAsia="Calibri" w:hAnsi="Calibri" w:cs="Times New Roman"/>
          <w:kern w:val="2"/>
          <w:sz w:val="22"/>
          <w:szCs w:val="22"/>
          <w:lang w:eastAsia="en-US"/>
        </w:rPr>
      </w:pPr>
      <w:r>
        <w:rPr>
          <w:rFonts w:ascii="Calibri" w:eastAsia="Calibri" w:hAnsi="Calibri" w:cs="Times New Roman"/>
          <w:kern w:val="2"/>
          <w:sz w:val="22"/>
          <w:szCs w:val="22"/>
          <w:highlight w:val="yellow"/>
          <w:lang w:eastAsia="en-US"/>
        </w:rPr>
        <w:t>- Please make me a cohesive scope and delimitation with the following conditions....</w:t>
      </w:r>
    </w:p>
    <w:p w:rsidR="009B39A5" w:rsidRDefault="00336C35">
      <w:pPr>
        <w:spacing w:after="200" w:line="276" w:lineRule="auto"/>
        <w:rPr>
          <w:rFonts w:ascii="Calibri" w:eastAsia="Calibri" w:hAnsi="Calibri" w:cs="Times New Roman"/>
          <w:kern w:val="2"/>
          <w:sz w:val="22"/>
          <w:szCs w:val="22"/>
          <w:lang w:eastAsia="en-US"/>
        </w:rPr>
      </w:pPr>
      <w:r>
        <w:rPr>
          <w:rFonts w:ascii="Calibri" w:eastAsia="Calibri" w:hAnsi="Calibri" w:cs="Times New Roman"/>
          <w:kern w:val="2"/>
          <w:sz w:val="22"/>
          <w:szCs w:val="22"/>
          <w:highlight w:val="yellow"/>
          <w:lang w:eastAsia="en-US"/>
        </w:rPr>
        <w:t xml:space="preserve">- What theory </w:t>
      </w:r>
      <w:proofErr w:type="spellStart"/>
      <w:r>
        <w:rPr>
          <w:rFonts w:ascii="Calibri" w:eastAsia="Calibri" w:hAnsi="Calibri" w:cs="Times New Roman"/>
          <w:kern w:val="2"/>
          <w:sz w:val="22"/>
          <w:szCs w:val="22"/>
          <w:highlight w:val="yellow"/>
          <w:lang w:eastAsia="en-US"/>
        </w:rPr>
        <w:t>woud</w:t>
      </w:r>
      <w:proofErr w:type="spellEnd"/>
      <w:r>
        <w:rPr>
          <w:rFonts w:ascii="Calibri" w:eastAsia="Calibri" w:hAnsi="Calibri" w:cs="Times New Roman"/>
          <w:kern w:val="2"/>
          <w:sz w:val="22"/>
          <w:szCs w:val="22"/>
          <w:highlight w:val="yellow"/>
          <w:lang w:eastAsia="en-US"/>
        </w:rPr>
        <w:t xml:space="preserve"> be the best fit for our action research with our proposed intervention</w:t>
      </w:r>
      <w:r>
        <w:rPr>
          <w:rFonts w:ascii="Calibri" w:eastAsia="Calibri" w:hAnsi="Calibri" w:cs="Times New Roman"/>
          <w:kern w:val="2"/>
          <w:sz w:val="22"/>
          <w:szCs w:val="22"/>
          <w:highlight w:val="yellow"/>
          <w:lang w:eastAsia="en-US"/>
        </w:rPr>
        <w:t>?</w:t>
      </w:r>
    </w:p>
    <w:bookmarkEnd w:id="4"/>
    <w:bookmarkEnd w:id="5"/>
    <w:bookmarkEnd w:id="6"/>
    <w:p w:rsidR="009B39A5" w:rsidRDefault="009B39A5">
      <w:pPr>
        <w:ind w:leftChars="109" w:left="400" w:hangingChars="91" w:hanging="182"/>
        <w:jc w:val="both"/>
        <w:rPr>
          <w:rFonts w:ascii="Arial" w:hAnsi="Arial"/>
        </w:rPr>
      </w:pPr>
    </w:p>
    <w:p w:rsidR="009B39A5" w:rsidRDefault="009B39A5">
      <w:pPr>
        <w:ind w:left="182" w:hangingChars="91" w:hanging="182"/>
        <w:jc w:val="both"/>
        <w:rPr>
          <w:rFonts w:ascii="Arial" w:hAnsi="Arial"/>
        </w:rPr>
      </w:pPr>
    </w:p>
    <w:p w:rsidR="009B39A5" w:rsidRDefault="009B39A5">
      <w:pPr>
        <w:jc w:val="both"/>
        <w:rPr>
          <w:rFonts w:ascii="Arial" w:eastAsia="Arial" w:hAnsi="Arial" w:cs="Arial"/>
          <w:color w:val="000000"/>
          <w:highlight w:val="white"/>
        </w:rPr>
      </w:pPr>
    </w:p>
    <w:p w:rsidR="009B39A5" w:rsidRDefault="00336C35">
      <w:pPr>
        <w:jc w:val="both"/>
        <w:rPr>
          <w:rFonts w:ascii="Arial" w:eastAsia="Arial" w:hAnsi="Arial" w:cs="Arial"/>
          <w:b/>
          <w:color w:val="000000"/>
          <w:highlight w:val="white"/>
        </w:rPr>
      </w:pPr>
      <w:r>
        <w:rPr>
          <w:rFonts w:ascii="Arial" w:eastAsia="Arial" w:hAnsi="Arial" w:cs="Arial"/>
          <w:b/>
          <w:color w:val="000000"/>
          <w:highlight w:val="white"/>
        </w:rPr>
        <w:t>REFERENCES</w:t>
      </w:r>
    </w:p>
    <w:p w:rsidR="009B39A5" w:rsidRDefault="009B39A5">
      <w:pPr>
        <w:jc w:val="both"/>
        <w:rPr>
          <w:rFonts w:ascii="Arial" w:eastAsia="Arial" w:hAnsi="Arial" w:cs="Arial"/>
          <w:b/>
          <w:color w:val="000000"/>
          <w:highlight w:val="white"/>
        </w:rPr>
      </w:pPr>
    </w:p>
    <w:p w:rsidR="009B39A5" w:rsidRDefault="00336C35">
      <w:pPr>
        <w:numPr>
          <w:ilvl w:val="0"/>
          <w:numId w:val="4"/>
        </w:numPr>
        <w:ind w:left="360"/>
        <w:jc w:val="both"/>
        <w:rPr>
          <w:rFonts w:ascii="Arial" w:eastAsia="Arial" w:hAnsi="Arial" w:cs="Arial"/>
        </w:rPr>
      </w:pPr>
      <w:r>
        <w:rPr>
          <w:rFonts w:ascii="Arial" w:eastAsia="Arial" w:hAnsi="Arial" w:cs="Arial"/>
        </w:rPr>
        <w:t xml:space="preserve">Acosta-Gonzaga, E. (2023). The effects of self-esteem and academic engagement on university students’ performance. Behavioral Sciences, 13(4), 348.  https://doi.org/10.3390/bs13040348 </w:t>
      </w:r>
    </w:p>
    <w:p w:rsidR="009B39A5" w:rsidRDefault="00336C35">
      <w:pPr>
        <w:numPr>
          <w:ilvl w:val="0"/>
          <w:numId w:val="4"/>
        </w:numPr>
        <w:ind w:left="360"/>
        <w:jc w:val="both"/>
        <w:rPr>
          <w:rFonts w:ascii="Arial" w:eastAsia="Arial" w:hAnsi="Arial" w:cs="Arial"/>
        </w:rPr>
      </w:pPr>
      <w:r>
        <w:rPr>
          <w:rFonts w:ascii="Arial" w:eastAsia="Arial" w:hAnsi="Arial" w:cs="Arial"/>
        </w:rPr>
        <w:t>Adil, H. M., Ali, S., Sultan, M., Ashiq, M., &amp; Rafiq, M. (2024). Open education resources’ benefits and challenges in the academic world: a systematic review. Global Knowledge, Memory and Communication, 73(3), 274-291.  https://doi.org/10.1108/gkmc-02-2022</w:t>
      </w:r>
      <w:r>
        <w:rPr>
          <w:rFonts w:ascii="Arial" w:eastAsia="Arial" w:hAnsi="Arial" w:cs="Arial"/>
        </w:rPr>
        <w:t xml:space="preserve">-0049 </w:t>
      </w:r>
    </w:p>
    <w:p w:rsidR="009B39A5" w:rsidRDefault="00336C35">
      <w:pPr>
        <w:numPr>
          <w:ilvl w:val="0"/>
          <w:numId w:val="4"/>
        </w:numPr>
        <w:ind w:left="360"/>
        <w:jc w:val="both"/>
        <w:rPr>
          <w:rFonts w:ascii="Arial" w:eastAsia="Arial" w:hAnsi="Arial" w:cs="Arial"/>
          <w:highlight w:val="white"/>
        </w:rPr>
      </w:pPr>
      <w:r>
        <w:rPr>
          <w:rFonts w:ascii="Arial" w:hAnsi="Arial" w:cs="Arial"/>
        </w:rPr>
        <w:t>Ahmad, J., &amp; Siew, N. M. (2021). Development of a Children Entrepreneurial Science Thinking Test for STEM Education.</w:t>
      </w:r>
      <w:r>
        <w:rPr>
          <w:rFonts w:ascii="Arial" w:hAnsi="Arial" w:cs="Arial"/>
          <w:i/>
          <w:iCs/>
        </w:rPr>
        <w:t> Journal of Baltic Science Education, 20</w:t>
      </w:r>
      <w:r>
        <w:rPr>
          <w:rFonts w:ascii="Arial" w:hAnsi="Arial" w:cs="Arial"/>
        </w:rPr>
        <w:t xml:space="preserve">(4), 528-545.  </w:t>
      </w:r>
      <w:hyperlink r:id="rId13" w:history="1">
        <w:r>
          <w:rPr>
            <w:rStyle w:val="Hyperlink"/>
            <w:rFonts w:ascii="Arial" w:hAnsi="Arial" w:cs="Arial"/>
            <w:color w:val="auto"/>
            <w:u w:val="none"/>
          </w:rPr>
          <w:t>https://doi.org/10.33225/jbse/21.20.528</w:t>
        </w:r>
      </w:hyperlink>
    </w:p>
    <w:p w:rsidR="009B39A5" w:rsidRDefault="00336C35">
      <w:pPr>
        <w:numPr>
          <w:ilvl w:val="0"/>
          <w:numId w:val="4"/>
        </w:numPr>
        <w:ind w:left="360"/>
        <w:jc w:val="both"/>
        <w:rPr>
          <w:rFonts w:ascii="Arial" w:eastAsia="Arial" w:hAnsi="Arial" w:cs="Arial"/>
        </w:rPr>
      </w:pPr>
      <w:proofErr w:type="spellStart"/>
      <w:r>
        <w:rPr>
          <w:rFonts w:ascii="Arial" w:eastAsia="Arial" w:hAnsi="Arial" w:cs="Arial"/>
        </w:rPr>
        <w:t>Akram</w:t>
      </w:r>
      <w:proofErr w:type="spellEnd"/>
      <w:r>
        <w:rPr>
          <w:rFonts w:ascii="Arial" w:eastAsia="Arial" w:hAnsi="Arial" w:cs="Arial"/>
        </w:rPr>
        <w:t>, M., Aziz, S., Zafar, J. M., &amp; Asghar, M. (2022). Conceptual Difficulties of Elementary School Students in the Subject of General Science. Pakistan Journal of Humanities and Social Sciences, 10(1), 43-49.  h</w:t>
      </w:r>
      <w:r>
        <w:rPr>
          <w:rFonts w:ascii="Arial" w:eastAsia="Arial" w:hAnsi="Arial" w:cs="Arial"/>
        </w:rPr>
        <w:t xml:space="preserve">ttps://doi.org/10.52131/pjhss.2022.1001.0172 </w:t>
      </w:r>
    </w:p>
    <w:p w:rsidR="009B39A5" w:rsidRDefault="00336C35">
      <w:pPr>
        <w:numPr>
          <w:ilvl w:val="0"/>
          <w:numId w:val="4"/>
        </w:numPr>
        <w:ind w:left="360"/>
        <w:jc w:val="both"/>
        <w:rPr>
          <w:rFonts w:ascii="Arial" w:eastAsia="Arial" w:hAnsi="Arial" w:cs="Arial"/>
          <w:highlight w:val="white"/>
        </w:rPr>
      </w:pPr>
      <w:proofErr w:type="spellStart"/>
      <w:r>
        <w:rPr>
          <w:rFonts w:ascii="Arial" w:hAnsi="Arial" w:cs="Arial"/>
        </w:rPr>
        <w:t>Almerino</w:t>
      </w:r>
      <w:proofErr w:type="spellEnd"/>
      <w:r>
        <w:rPr>
          <w:rFonts w:ascii="Arial" w:hAnsi="Arial" w:cs="Arial"/>
        </w:rPr>
        <w:t xml:space="preserve">, P. M., Ocampo, L. A., </w:t>
      </w:r>
      <w:proofErr w:type="spellStart"/>
      <w:r>
        <w:rPr>
          <w:rFonts w:ascii="Arial" w:hAnsi="Arial" w:cs="Arial"/>
        </w:rPr>
        <w:t>Abellana</w:t>
      </w:r>
      <w:proofErr w:type="spellEnd"/>
      <w:r>
        <w:rPr>
          <w:rFonts w:ascii="Arial" w:hAnsi="Arial" w:cs="Arial"/>
        </w:rPr>
        <w:t xml:space="preserve">, D. P. M., </w:t>
      </w:r>
      <w:proofErr w:type="spellStart"/>
      <w:r>
        <w:rPr>
          <w:rFonts w:ascii="Arial" w:hAnsi="Arial" w:cs="Arial"/>
        </w:rPr>
        <w:t>Almerino</w:t>
      </w:r>
      <w:proofErr w:type="spellEnd"/>
      <w:r>
        <w:rPr>
          <w:rFonts w:ascii="Arial" w:hAnsi="Arial" w:cs="Arial"/>
        </w:rPr>
        <w:t xml:space="preserve">, J. G. F., </w:t>
      </w:r>
      <w:proofErr w:type="spellStart"/>
      <w:r>
        <w:rPr>
          <w:rFonts w:ascii="Arial" w:hAnsi="Arial" w:cs="Arial"/>
        </w:rPr>
        <w:t>Mamites</w:t>
      </w:r>
      <w:proofErr w:type="spellEnd"/>
      <w:r>
        <w:rPr>
          <w:rFonts w:ascii="Arial" w:hAnsi="Arial" w:cs="Arial"/>
        </w:rPr>
        <w:t xml:space="preserve">, I. O., </w:t>
      </w:r>
      <w:proofErr w:type="spellStart"/>
      <w:r>
        <w:rPr>
          <w:rFonts w:ascii="Arial" w:hAnsi="Arial" w:cs="Arial"/>
        </w:rPr>
        <w:t>Pinili</w:t>
      </w:r>
      <w:proofErr w:type="spellEnd"/>
      <w:r>
        <w:rPr>
          <w:rFonts w:ascii="Arial" w:hAnsi="Arial" w:cs="Arial"/>
        </w:rPr>
        <w:t xml:space="preserve">, L. C., Tenerife, J. J. L., </w:t>
      </w:r>
      <w:proofErr w:type="spellStart"/>
      <w:r>
        <w:rPr>
          <w:rFonts w:ascii="Arial" w:hAnsi="Arial" w:cs="Arial"/>
        </w:rPr>
        <w:t>Sitoy</w:t>
      </w:r>
      <w:proofErr w:type="spellEnd"/>
      <w:r>
        <w:rPr>
          <w:rFonts w:ascii="Arial" w:hAnsi="Arial" w:cs="Arial"/>
        </w:rPr>
        <w:t xml:space="preserve">, R. E., </w:t>
      </w:r>
      <w:proofErr w:type="spellStart"/>
      <w:r>
        <w:rPr>
          <w:rFonts w:ascii="Arial" w:hAnsi="Arial" w:cs="Arial"/>
        </w:rPr>
        <w:t>Abelgas</w:t>
      </w:r>
      <w:proofErr w:type="spellEnd"/>
      <w:r>
        <w:rPr>
          <w:rFonts w:ascii="Arial" w:hAnsi="Arial" w:cs="Arial"/>
        </w:rPr>
        <w:t xml:space="preserve">, L. J., &amp; </w:t>
      </w:r>
      <w:proofErr w:type="spellStart"/>
      <w:r>
        <w:rPr>
          <w:rFonts w:ascii="Arial" w:hAnsi="Arial" w:cs="Arial"/>
        </w:rPr>
        <w:t>Peteros</w:t>
      </w:r>
      <w:proofErr w:type="spellEnd"/>
      <w:r>
        <w:rPr>
          <w:rFonts w:ascii="Arial" w:hAnsi="Arial" w:cs="Arial"/>
        </w:rPr>
        <w:t>, E. D. (2020). Evaluating the academic performa</w:t>
      </w:r>
      <w:r>
        <w:rPr>
          <w:rFonts w:ascii="Arial" w:hAnsi="Arial" w:cs="Arial"/>
        </w:rPr>
        <w:t xml:space="preserve">nce of K-12 students in the Philippines: A Standardized Evaluation approach. </w:t>
      </w:r>
      <w:r>
        <w:rPr>
          <w:rFonts w:ascii="Arial" w:hAnsi="Arial" w:cs="Arial"/>
          <w:i/>
          <w:iCs/>
        </w:rPr>
        <w:t>Education Research International,</w:t>
      </w:r>
      <w:r>
        <w:rPr>
          <w:rFonts w:ascii="Arial" w:hAnsi="Arial" w:cs="Arial"/>
        </w:rPr>
        <w:t xml:space="preserve"> 1–8. </w:t>
      </w:r>
      <w:hyperlink r:id="rId14" w:history="1">
        <w:r>
          <w:rPr>
            <w:rStyle w:val="Hyperlink"/>
            <w:rFonts w:ascii="Arial" w:hAnsi="Arial" w:cs="Arial"/>
            <w:color w:val="auto"/>
            <w:u w:val="none"/>
          </w:rPr>
          <w:t>https://doi.org/10.1155/2020/8877712</w:t>
        </w:r>
      </w:hyperlink>
    </w:p>
    <w:p w:rsidR="009B39A5" w:rsidRDefault="00336C35">
      <w:pPr>
        <w:numPr>
          <w:ilvl w:val="0"/>
          <w:numId w:val="4"/>
        </w:numPr>
        <w:ind w:left="360"/>
        <w:jc w:val="both"/>
        <w:rPr>
          <w:rFonts w:ascii="Arial" w:eastAsia="Arial" w:hAnsi="Arial" w:cs="Arial"/>
        </w:rPr>
      </w:pPr>
      <w:r>
        <w:rPr>
          <w:rFonts w:ascii="Arial" w:eastAsia="Arial" w:hAnsi="Arial" w:cs="Arial"/>
        </w:rPr>
        <w:t xml:space="preserve">Al-Thani, N. J., &amp; Ahmad, Z. (2025). The Scope of </w:t>
      </w:r>
      <w:r>
        <w:rPr>
          <w:rFonts w:ascii="Arial" w:eastAsia="Arial" w:hAnsi="Arial" w:cs="Arial"/>
        </w:rPr>
        <w:t xml:space="preserve">Problem-Based Learning and Integrated Research Education for Primary Learners. In Teaching and Learning with Research Cognitive Theory (pp. 25-43). Springer, Cham.  https://doi.org/10.1007/978-3-031-87544-1_2 </w:t>
      </w:r>
    </w:p>
    <w:p w:rsidR="009B39A5" w:rsidRDefault="00336C35">
      <w:pPr>
        <w:numPr>
          <w:ilvl w:val="0"/>
          <w:numId w:val="4"/>
        </w:numPr>
        <w:ind w:left="360"/>
        <w:jc w:val="both"/>
        <w:rPr>
          <w:rFonts w:ascii="Arial" w:eastAsia="Arial" w:hAnsi="Arial" w:cs="Arial"/>
          <w:highlight w:val="white"/>
        </w:rPr>
      </w:pPr>
      <w:r>
        <w:rPr>
          <w:rFonts w:ascii="Arial" w:hAnsi="Arial" w:cs="Arial"/>
        </w:rPr>
        <w:t>Andrade, C. (2021). The limitations of quasi-e</w:t>
      </w:r>
      <w:r>
        <w:rPr>
          <w:rFonts w:ascii="Arial" w:hAnsi="Arial" w:cs="Arial"/>
        </w:rPr>
        <w:t>xperimental studies, and methods for addressing them.</w:t>
      </w:r>
      <w:r>
        <w:rPr>
          <w:rFonts w:ascii="Arial" w:hAnsi="Arial" w:cs="Arial"/>
          <w:i/>
          <w:iCs/>
        </w:rPr>
        <w:t xml:space="preserve"> Journal of Educational Psychology, 43</w:t>
      </w:r>
      <w:r>
        <w:rPr>
          <w:rFonts w:ascii="Arial" w:hAnsi="Arial" w:cs="Arial"/>
        </w:rPr>
        <w:t xml:space="preserve">(5), 451–452. </w:t>
      </w:r>
      <w:hyperlink r:id="rId15" w:history="1">
        <w:r>
          <w:rPr>
            <w:rStyle w:val="Hyperlink"/>
            <w:rFonts w:ascii="Arial" w:hAnsi="Arial" w:cs="Arial"/>
            <w:color w:val="auto"/>
            <w:u w:val="none"/>
          </w:rPr>
          <w:t>https://doi.org/10.1177/02537176211034707</w:t>
        </w:r>
      </w:hyperlink>
    </w:p>
    <w:p w:rsidR="009B39A5" w:rsidRDefault="00336C35">
      <w:pPr>
        <w:numPr>
          <w:ilvl w:val="0"/>
          <w:numId w:val="4"/>
        </w:numPr>
        <w:ind w:left="360"/>
        <w:jc w:val="both"/>
        <w:rPr>
          <w:rFonts w:ascii="Arial" w:eastAsia="Arial" w:hAnsi="Arial" w:cs="Arial"/>
        </w:rPr>
      </w:pPr>
      <w:proofErr w:type="spellStart"/>
      <w:r>
        <w:rPr>
          <w:rFonts w:ascii="Arial" w:eastAsia="Arial" w:hAnsi="Arial" w:cs="Arial"/>
        </w:rPr>
        <w:t>Arsyad</w:t>
      </w:r>
      <w:proofErr w:type="spellEnd"/>
      <w:r>
        <w:rPr>
          <w:rFonts w:ascii="Arial" w:eastAsia="Arial" w:hAnsi="Arial" w:cs="Arial"/>
        </w:rPr>
        <w:t xml:space="preserve">, M., </w:t>
      </w:r>
      <w:proofErr w:type="spellStart"/>
      <w:r>
        <w:rPr>
          <w:rFonts w:ascii="Arial" w:eastAsia="Arial" w:hAnsi="Arial" w:cs="Arial"/>
        </w:rPr>
        <w:t>Guna</w:t>
      </w:r>
      <w:proofErr w:type="spellEnd"/>
      <w:r>
        <w:rPr>
          <w:rFonts w:ascii="Arial" w:eastAsia="Arial" w:hAnsi="Arial" w:cs="Arial"/>
        </w:rPr>
        <w:t xml:space="preserve">, S., &amp; </w:t>
      </w:r>
      <w:proofErr w:type="spellStart"/>
      <w:r>
        <w:rPr>
          <w:rFonts w:ascii="Arial" w:eastAsia="Arial" w:hAnsi="Arial" w:cs="Arial"/>
        </w:rPr>
        <w:t>Barus</w:t>
      </w:r>
      <w:proofErr w:type="spellEnd"/>
      <w:r>
        <w:rPr>
          <w:rFonts w:ascii="Arial" w:eastAsia="Arial" w:hAnsi="Arial" w:cs="Arial"/>
        </w:rPr>
        <w:t>, S. (2024). Enhancing</w:t>
      </w:r>
      <w:r>
        <w:rPr>
          <w:rFonts w:ascii="Arial" w:eastAsia="Arial" w:hAnsi="Arial" w:cs="Arial"/>
        </w:rPr>
        <w:t xml:space="preserve"> chemistry education through problem-based learning: Analyzing student engagement, motivation, and critical thinking. International Journal of Curriculum Development, Teaching and Learning Innovation, 2(3), 110-117.  https://doi.org/10.35335/curriculum.v2i</w:t>
      </w:r>
      <w:r>
        <w:rPr>
          <w:rFonts w:ascii="Arial" w:eastAsia="Arial" w:hAnsi="Arial" w:cs="Arial"/>
        </w:rPr>
        <w:t xml:space="preserve">3.178 </w:t>
      </w:r>
    </w:p>
    <w:p w:rsidR="009B39A5" w:rsidRDefault="00336C35">
      <w:pPr>
        <w:numPr>
          <w:ilvl w:val="0"/>
          <w:numId w:val="4"/>
        </w:numPr>
        <w:ind w:left="360"/>
        <w:jc w:val="both"/>
        <w:rPr>
          <w:rFonts w:ascii="Arial" w:eastAsia="Arial" w:hAnsi="Arial" w:cs="Arial"/>
        </w:rPr>
      </w:pPr>
      <w:proofErr w:type="spellStart"/>
      <w:r>
        <w:rPr>
          <w:rFonts w:ascii="Arial" w:eastAsia="Arial" w:hAnsi="Arial" w:cs="Arial"/>
        </w:rPr>
        <w:t>Attygalle</w:t>
      </w:r>
      <w:proofErr w:type="spellEnd"/>
      <w:r>
        <w:rPr>
          <w:rFonts w:ascii="Arial" w:eastAsia="Arial" w:hAnsi="Arial" w:cs="Arial"/>
        </w:rPr>
        <w:t xml:space="preserve">, N. T., </w:t>
      </w:r>
      <w:proofErr w:type="spellStart"/>
      <w:r>
        <w:rPr>
          <w:rFonts w:ascii="Arial" w:eastAsia="Arial" w:hAnsi="Arial" w:cs="Arial"/>
        </w:rPr>
        <w:t>Kljun</w:t>
      </w:r>
      <w:proofErr w:type="spellEnd"/>
      <w:r>
        <w:rPr>
          <w:rFonts w:ascii="Arial" w:eastAsia="Arial" w:hAnsi="Arial" w:cs="Arial"/>
        </w:rPr>
        <w:t xml:space="preserve">, M., Quigley, A., </w:t>
      </w:r>
      <w:proofErr w:type="spellStart"/>
      <w:r>
        <w:rPr>
          <w:rFonts w:ascii="Arial" w:eastAsia="Arial" w:hAnsi="Arial" w:cs="Arial"/>
        </w:rPr>
        <w:t>Čopić</w:t>
      </w:r>
      <w:proofErr w:type="spellEnd"/>
      <w:r>
        <w:rPr>
          <w:rFonts w:ascii="Arial" w:eastAsia="Arial" w:hAnsi="Arial" w:cs="Arial"/>
        </w:rPr>
        <w:t xml:space="preserve"> </w:t>
      </w:r>
      <w:proofErr w:type="spellStart"/>
      <w:r>
        <w:rPr>
          <w:rFonts w:ascii="Arial" w:eastAsia="Arial" w:hAnsi="Arial" w:cs="Arial"/>
        </w:rPr>
        <w:t>Pucihar</w:t>
      </w:r>
      <w:proofErr w:type="spellEnd"/>
      <w:r>
        <w:rPr>
          <w:rFonts w:ascii="Arial" w:eastAsia="Arial" w:hAnsi="Arial" w:cs="Arial"/>
        </w:rPr>
        <w:t xml:space="preserve">, K., </w:t>
      </w:r>
      <w:proofErr w:type="spellStart"/>
      <w:r>
        <w:rPr>
          <w:rFonts w:ascii="Arial" w:eastAsia="Arial" w:hAnsi="Arial" w:cs="Arial"/>
        </w:rPr>
        <w:t>Grubert</w:t>
      </w:r>
      <w:proofErr w:type="spellEnd"/>
      <w:r>
        <w:rPr>
          <w:rFonts w:ascii="Arial" w:eastAsia="Arial" w:hAnsi="Arial" w:cs="Arial"/>
        </w:rPr>
        <w:t xml:space="preserve">, J., </w:t>
      </w:r>
      <w:proofErr w:type="spellStart"/>
      <w:r>
        <w:rPr>
          <w:rFonts w:ascii="Arial" w:eastAsia="Arial" w:hAnsi="Arial" w:cs="Arial"/>
        </w:rPr>
        <w:t>Biener</w:t>
      </w:r>
      <w:proofErr w:type="spellEnd"/>
      <w:r>
        <w:rPr>
          <w:rFonts w:ascii="Arial" w:eastAsia="Arial" w:hAnsi="Arial" w:cs="Arial"/>
        </w:rPr>
        <w:t xml:space="preserve">, V., </w:t>
      </w:r>
      <w:proofErr w:type="spellStart"/>
      <w:r>
        <w:rPr>
          <w:rFonts w:ascii="Arial" w:eastAsia="Arial" w:hAnsi="Arial" w:cs="Arial"/>
        </w:rPr>
        <w:t>Leiva</w:t>
      </w:r>
      <w:proofErr w:type="spellEnd"/>
      <w:r>
        <w:rPr>
          <w:rFonts w:ascii="Arial" w:eastAsia="Arial" w:hAnsi="Arial" w:cs="Arial"/>
        </w:rPr>
        <w:t xml:space="preserve">, L. A., </w:t>
      </w:r>
      <w:proofErr w:type="spellStart"/>
      <w:r>
        <w:rPr>
          <w:rFonts w:ascii="Arial" w:eastAsia="Arial" w:hAnsi="Arial" w:cs="Arial"/>
        </w:rPr>
        <w:t>Yoneyama</w:t>
      </w:r>
      <w:proofErr w:type="spellEnd"/>
      <w:r>
        <w:rPr>
          <w:rFonts w:ascii="Arial" w:eastAsia="Arial" w:hAnsi="Arial" w:cs="Arial"/>
        </w:rPr>
        <w:t xml:space="preserve">, J., </w:t>
      </w:r>
      <w:proofErr w:type="spellStart"/>
      <w:r>
        <w:rPr>
          <w:rFonts w:ascii="Arial" w:eastAsia="Arial" w:hAnsi="Arial" w:cs="Arial"/>
        </w:rPr>
        <w:t>Toniolo</w:t>
      </w:r>
      <w:proofErr w:type="spellEnd"/>
      <w:r>
        <w:rPr>
          <w:rFonts w:ascii="Arial" w:eastAsia="Arial" w:hAnsi="Arial" w:cs="Arial"/>
        </w:rPr>
        <w:t xml:space="preserve">, A., Miguel, A., Kato, H., &amp; Weerasinghe, M. (2025). Text-to-Image </w:t>
      </w:r>
      <w:r>
        <w:rPr>
          <w:rFonts w:ascii="Arial" w:eastAsia="Arial" w:hAnsi="Arial" w:cs="Arial"/>
        </w:rPr>
        <w:lastRenderedPageBreak/>
        <w:t>Generation for Vocabulary Learning Using the Keyword Method.</w:t>
      </w:r>
      <w:r>
        <w:rPr>
          <w:rFonts w:ascii="Arial" w:eastAsia="Arial" w:hAnsi="Arial" w:cs="Arial"/>
        </w:rPr>
        <w:t xml:space="preserve"> </w:t>
      </w:r>
      <w:proofErr w:type="spellStart"/>
      <w:r>
        <w:rPr>
          <w:rFonts w:ascii="Arial" w:eastAsia="Arial" w:hAnsi="Arial" w:cs="Arial"/>
        </w:rPr>
        <w:t>arXiv</w:t>
      </w:r>
      <w:proofErr w:type="spellEnd"/>
      <w:r>
        <w:rPr>
          <w:rFonts w:ascii="Arial" w:eastAsia="Arial" w:hAnsi="Arial" w:cs="Arial"/>
        </w:rPr>
        <w:t xml:space="preserve"> preprint arXiv:2501.17099.</w:t>
      </w:r>
    </w:p>
    <w:p w:rsidR="009B39A5" w:rsidRDefault="00336C35">
      <w:pPr>
        <w:numPr>
          <w:ilvl w:val="0"/>
          <w:numId w:val="4"/>
        </w:numPr>
        <w:ind w:left="360"/>
        <w:jc w:val="both"/>
        <w:rPr>
          <w:rFonts w:ascii="Arial" w:eastAsia="Arial" w:hAnsi="Arial" w:cs="Arial"/>
        </w:rPr>
      </w:pPr>
      <w:proofErr w:type="spellStart"/>
      <w:r>
        <w:rPr>
          <w:rFonts w:ascii="Arial" w:eastAsia="Arial" w:hAnsi="Arial" w:cs="Arial"/>
        </w:rPr>
        <w:t>Avraamidou</w:t>
      </w:r>
      <w:proofErr w:type="spellEnd"/>
      <w:r>
        <w:rPr>
          <w:rFonts w:ascii="Arial" w:eastAsia="Arial" w:hAnsi="Arial" w:cs="Arial"/>
        </w:rPr>
        <w:t xml:space="preserve">, L. (2022). Identities in/out of physics and the politics of recognition. Journal of Research in Science Teaching, 59(1), 58-94.  https://doi.org/10.1002/tea.21721 </w:t>
      </w:r>
    </w:p>
    <w:p w:rsidR="009B39A5" w:rsidRDefault="00336C35">
      <w:pPr>
        <w:numPr>
          <w:ilvl w:val="0"/>
          <w:numId w:val="4"/>
        </w:numPr>
        <w:ind w:left="360"/>
        <w:jc w:val="both"/>
        <w:rPr>
          <w:rFonts w:ascii="Arial" w:eastAsia="Arial" w:hAnsi="Arial" w:cs="Arial"/>
        </w:rPr>
      </w:pPr>
      <w:r>
        <w:rPr>
          <w:rFonts w:ascii="Arial" w:eastAsia="Arial" w:hAnsi="Arial" w:cs="Arial"/>
        </w:rPr>
        <w:t>Baddeley, A. (2015). Working memory and langua</w:t>
      </w:r>
      <w:r>
        <w:rPr>
          <w:rFonts w:ascii="Arial" w:eastAsia="Arial" w:hAnsi="Arial" w:cs="Arial"/>
        </w:rPr>
        <w:t xml:space="preserve">ge: An overview. In A. R. </w:t>
      </w:r>
      <w:proofErr w:type="spellStart"/>
      <w:r>
        <w:rPr>
          <w:rFonts w:ascii="Arial" w:eastAsia="Arial" w:hAnsi="Arial" w:cs="Arial"/>
        </w:rPr>
        <w:t>Mehler</w:t>
      </w:r>
      <w:proofErr w:type="spellEnd"/>
      <w:r>
        <w:rPr>
          <w:rFonts w:ascii="Arial" w:eastAsia="Arial" w:hAnsi="Arial" w:cs="Arial"/>
        </w:rPr>
        <w:t xml:space="preserve"> (Ed.), Cognitive psychology: Key readings (pp. 99-109). Psychology Press.</w:t>
      </w:r>
    </w:p>
    <w:p w:rsidR="009B39A5" w:rsidRDefault="00336C35">
      <w:pPr>
        <w:numPr>
          <w:ilvl w:val="0"/>
          <w:numId w:val="4"/>
        </w:numPr>
        <w:ind w:left="360"/>
        <w:jc w:val="both"/>
        <w:rPr>
          <w:rFonts w:ascii="Arial" w:eastAsia="Arial" w:hAnsi="Arial" w:cs="Arial"/>
        </w:rPr>
      </w:pPr>
      <w:r>
        <w:rPr>
          <w:rFonts w:ascii="Arial" w:eastAsia="Arial" w:hAnsi="Arial" w:cs="Arial"/>
        </w:rPr>
        <w:t>Barnard, R. W., &amp; Henn, R. H. (2023). Overcoming learning obstacles: Strategies for supporting students with diverse needs. Open Access Library Journ</w:t>
      </w:r>
      <w:r>
        <w:rPr>
          <w:rFonts w:ascii="Arial" w:eastAsia="Arial" w:hAnsi="Arial" w:cs="Arial"/>
        </w:rPr>
        <w:t xml:space="preserve">al, 10(8), 1-14.  https://doi.org/10.4236/oalib.1110509 </w:t>
      </w:r>
    </w:p>
    <w:p w:rsidR="009B39A5" w:rsidRDefault="00336C35">
      <w:pPr>
        <w:numPr>
          <w:ilvl w:val="0"/>
          <w:numId w:val="4"/>
        </w:numPr>
        <w:ind w:left="360"/>
        <w:jc w:val="both"/>
        <w:rPr>
          <w:rFonts w:ascii="Arial" w:eastAsia="Arial" w:hAnsi="Arial" w:cs="Arial"/>
          <w:highlight w:val="white"/>
        </w:rPr>
      </w:pPr>
      <w:proofErr w:type="spellStart"/>
      <w:r>
        <w:rPr>
          <w:rFonts w:ascii="Arial" w:hAnsi="Arial" w:cs="Arial"/>
        </w:rPr>
        <w:t>Bichler</w:t>
      </w:r>
      <w:proofErr w:type="spellEnd"/>
      <w:r>
        <w:rPr>
          <w:rFonts w:ascii="Arial" w:hAnsi="Arial" w:cs="Arial"/>
        </w:rPr>
        <w:t xml:space="preserve">, S., </w:t>
      </w:r>
      <w:proofErr w:type="spellStart"/>
      <w:r>
        <w:rPr>
          <w:rFonts w:ascii="Arial" w:hAnsi="Arial" w:cs="Arial"/>
        </w:rPr>
        <w:t>Sailer</w:t>
      </w:r>
      <w:proofErr w:type="spellEnd"/>
      <w:r>
        <w:rPr>
          <w:rFonts w:ascii="Arial" w:hAnsi="Arial" w:cs="Arial"/>
        </w:rPr>
        <w:t xml:space="preserve">, M., Bauer, E., </w:t>
      </w:r>
      <w:proofErr w:type="spellStart"/>
      <w:r>
        <w:rPr>
          <w:rFonts w:ascii="Arial" w:hAnsi="Arial" w:cs="Arial"/>
        </w:rPr>
        <w:t>Kiesewetter</w:t>
      </w:r>
      <w:proofErr w:type="spellEnd"/>
      <w:r>
        <w:rPr>
          <w:rFonts w:ascii="Arial" w:hAnsi="Arial" w:cs="Arial"/>
        </w:rPr>
        <w:t xml:space="preserve">, J., </w:t>
      </w:r>
      <w:proofErr w:type="spellStart"/>
      <w:r>
        <w:rPr>
          <w:rFonts w:ascii="Arial" w:hAnsi="Arial" w:cs="Arial"/>
        </w:rPr>
        <w:t>Härtl</w:t>
      </w:r>
      <w:proofErr w:type="spellEnd"/>
      <w:r>
        <w:rPr>
          <w:rFonts w:ascii="Arial" w:hAnsi="Arial" w:cs="Arial"/>
        </w:rPr>
        <w:t>, H., Fischer, M. R., &amp; Fischer, F. (2024). Promoting diagnostic reasoning in teacher education: the role of case format and perceived authen</w:t>
      </w:r>
      <w:r>
        <w:rPr>
          <w:rFonts w:ascii="Arial" w:hAnsi="Arial" w:cs="Arial"/>
        </w:rPr>
        <w:t>ticity. </w:t>
      </w:r>
      <w:r>
        <w:rPr>
          <w:rFonts w:ascii="Arial" w:hAnsi="Arial" w:cs="Arial"/>
          <w:i/>
          <w:iCs/>
        </w:rPr>
        <w:t>European Journal of Psychology of Education, 39</w:t>
      </w:r>
      <w:r>
        <w:rPr>
          <w:rFonts w:ascii="Arial" w:hAnsi="Arial" w:cs="Arial"/>
        </w:rPr>
        <w:t xml:space="preserve">(4), 3227-3252.  </w:t>
      </w:r>
      <w:hyperlink r:id="rId16" w:history="1">
        <w:r>
          <w:rPr>
            <w:rStyle w:val="Hyperlink"/>
            <w:rFonts w:ascii="Arial" w:hAnsi="Arial" w:cs="Arial"/>
            <w:color w:val="auto"/>
            <w:u w:val="none"/>
          </w:rPr>
          <w:t>https://doi.org/10.1007/s10212-024-00874-x</w:t>
        </w:r>
      </w:hyperlink>
    </w:p>
    <w:p w:rsidR="009B39A5" w:rsidRDefault="00336C35">
      <w:pPr>
        <w:numPr>
          <w:ilvl w:val="0"/>
          <w:numId w:val="4"/>
        </w:numPr>
        <w:ind w:left="360"/>
        <w:jc w:val="both"/>
        <w:rPr>
          <w:rFonts w:ascii="Arial" w:eastAsia="Arial" w:hAnsi="Arial" w:cs="Arial"/>
        </w:rPr>
      </w:pPr>
      <w:proofErr w:type="spellStart"/>
      <w:r>
        <w:rPr>
          <w:rFonts w:ascii="Arial" w:eastAsia="Arial" w:hAnsi="Arial" w:cs="Arial"/>
        </w:rPr>
        <w:t>Borghi</w:t>
      </w:r>
      <w:proofErr w:type="spellEnd"/>
      <w:r>
        <w:rPr>
          <w:rFonts w:ascii="Arial" w:eastAsia="Arial" w:hAnsi="Arial" w:cs="Arial"/>
        </w:rPr>
        <w:t xml:space="preserve">, A. M., </w:t>
      </w:r>
      <w:proofErr w:type="spellStart"/>
      <w:r>
        <w:rPr>
          <w:rFonts w:ascii="Arial" w:eastAsia="Arial" w:hAnsi="Arial" w:cs="Arial"/>
        </w:rPr>
        <w:t>Binkofski</w:t>
      </w:r>
      <w:proofErr w:type="spellEnd"/>
      <w:r>
        <w:rPr>
          <w:rFonts w:ascii="Arial" w:eastAsia="Arial" w:hAnsi="Arial" w:cs="Arial"/>
        </w:rPr>
        <w:t xml:space="preserve">, F., </w:t>
      </w:r>
      <w:proofErr w:type="spellStart"/>
      <w:r>
        <w:rPr>
          <w:rFonts w:ascii="Arial" w:eastAsia="Arial" w:hAnsi="Arial" w:cs="Arial"/>
        </w:rPr>
        <w:t>Castelfranchi</w:t>
      </w:r>
      <w:proofErr w:type="spellEnd"/>
      <w:r>
        <w:rPr>
          <w:rFonts w:ascii="Arial" w:eastAsia="Arial" w:hAnsi="Arial" w:cs="Arial"/>
        </w:rPr>
        <w:t xml:space="preserve">, C., </w:t>
      </w:r>
      <w:proofErr w:type="spellStart"/>
      <w:r>
        <w:rPr>
          <w:rFonts w:ascii="Arial" w:eastAsia="Arial" w:hAnsi="Arial" w:cs="Arial"/>
        </w:rPr>
        <w:t>Cimatti</w:t>
      </w:r>
      <w:proofErr w:type="spellEnd"/>
      <w:r>
        <w:rPr>
          <w:rFonts w:ascii="Arial" w:eastAsia="Arial" w:hAnsi="Arial" w:cs="Arial"/>
        </w:rPr>
        <w:t xml:space="preserve">, F., </w:t>
      </w:r>
      <w:proofErr w:type="spellStart"/>
      <w:r>
        <w:rPr>
          <w:rFonts w:ascii="Arial" w:eastAsia="Arial" w:hAnsi="Arial" w:cs="Arial"/>
        </w:rPr>
        <w:t>Scorolli</w:t>
      </w:r>
      <w:proofErr w:type="spellEnd"/>
      <w:r>
        <w:rPr>
          <w:rFonts w:ascii="Arial" w:eastAsia="Arial" w:hAnsi="Arial" w:cs="Arial"/>
        </w:rPr>
        <w:t xml:space="preserve">, C., &amp; </w:t>
      </w:r>
      <w:proofErr w:type="spellStart"/>
      <w:r>
        <w:rPr>
          <w:rFonts w:ascii="Arial" w:eastAsia="Arial" w:hAnsi="Arial" w:cs="Arial"/>
        </w:rPr>
        <w:t>Tumm</w:t>
      </w:r>
      <w:r>
        <w:rPr>
          <w:rFonts w:ascii="Arial" w:eastAsia="Arial" w:hAnsi="Arial" w:cs="Arial"/>
        </w:rPr>
        <w:t>olini</w:t>
      </w:r>
      <w:proofErr w:type="spellEnd"/>
      <w:r>
        <w:rPr>
          <w:rFonts w:ascii="Arial" w:eastAsia="Arial" w:hAnsi="Arial" w:cs="Arial"/>
        </w:rPr>
        <w:t>, L. (2017). The challenge of abstract concepts. Psychological Bulletin, 143(3), 263–292. https://doi.org/10.1037/bul0000089</w:t>
      </w:r>
    </w:p>
    <w:p w:rsidR="009B39A5" w:rsidRDefault="00336C35">
      <w:pPr>
        <w:numPr>
          <w:ilvl w:val="0"/>
          <w:numId w:val="4"/>
        </w:numPr>
        <w:ind w:left="360"/>
        <w:jc w:val="both"/>
        <w:rPr>
          <w:rFonts w:ascii="Arial" w:eastAsia="Arial" w:hAnsi="Arial" w:cs="Arial"/>
        </w:rPr>
      </w:pPr>
      <w:r>
        <w:rPr>
          <w:rFonts w:ascii="Arial" w:eastAsia="Arial" w:hAnsi="Arial" w:cs="Arial"/>
        </w:rPr>
        <w:t>Borkowski, J. G., &amp; Thorpe, P. K. (2023). Self-regulation and motivation: A life-span perspective on under achievement. In Sel</w:t>
      </w:r>
      <w:r>
        <w:rPr>
          <w:rFonts w:ascii="Arial" w:eastAsia="Arial" w:hAnsi="Arial" w:cs="Arial"/>
        </w:rPr>
        <w:t xml:space="preserve">f-regulation of learning and performance (pp. 45-73). Routledge.  https://doi.org/10.4324/9780203763353-3 </w:t>
      </w:r>
    </w:p>
    <w:p w:rsidR="009B39A5" w:rsidRDefault="00336C35">
      <w:pPr>
        <w:numPr>
          <w:ilvl w:val="0"/>
          <w:numId w:val="4"/>
        </w:numPr>
        <w:ind w:left="360"/>
        <w:jc w:val="both"/>
        <w:rPr>
          <w:rFonts w:ascii="Arial" w:eastAsia="Arial" w:hAnsi="Arial" w:cs="Arial"/>
        </w:rPr>
      </w:pPr>
      <w:proofErr w:type="spellStart"/>
      <w:r>
        <w:rPr>
          <w:rFonts w:ascii="Arial" w:eastAsia="Arial" w:hAnsi="Arial" w:cs="Arial"/>
        </w:rPr>
        <w:t>Cancino</w:t>
      </w:r>
      <w:proofErr w:type="spellEnd"/>
      <w:r>
        <w:rPr>
          <w:rFonts w:ascii="Arial" w:eastAsia="Arial" w:hAnsi="Arial" w:cs="Arial"/>
        </w:rPr>
        <w:t xml:space="preserve">, M., Alonso, J., &amp; </w:t>
      </w:r>
      <w:proofErr w:type="spellStart"/>
      <w:r>
        <w:rPr>
          <w:rFonts w:ascii="Arial" w:eastAsia="Arial" w:hAnsi="Arial" w:cs="Arial"/>
        </w:rPr>
        <w:t>Gatica</w:t>
      </w:r>
      <w:proofErr w:type="spellEnd"/>
      <w:r>
        <w:rPr>
          <w:rFonts w:ascii="Arial" w:eastAsia="Arial" w:hAnsi="Arial" w:cs="Arial"/>
        </w:rPr>
        <w:t>, F. (2021). The role of visual cues in the keyword method: Assessing the impact of dual coding on L2 vocabulary acq</w:t>
      </w:r>
      <w:r>
        <w:rPr>
          <w:rFonts w:ascii="Arial" w:eastAsia="Arial" w:hAnsi="Arial" w:cs="Arial"/>
        </w:rPr>
        <w:t xml:space="preserve">uisition. MEXTESOL Journal, 45(1), 1–12. </w:t>
      </w:r>
      <w:hyperlink r:id="rId17" w:history="1">
        <w:r>
          <w:rPr>
            <w:rFonts w:ascii="Arial" w:eastAsia="Arial" w:hAnsi="Arial" w:cs="Arial"/>
          </w:rPr>
          <w:t>https://eric.ed.gov/?id=EJ1289124</w:t>
        </w:r>
      </w:hyperlink>
    </w:p>
    <w:p w:rsidR="009B39A5" w:rsidRDefault="00336C35">
      <w:pPr>
        <w:numPr>
          <w:ilvl w:val="0"/>
          <w:numId w:val="4"/>
        </w:numPr>
        <w:ind w:left="360"/>
        <w:jc w:val="both"/>
        <w:rPr>
          <w:rFonts w:ascii="Arial" w:eastAsia="Arial" w:hAnsi="Arial" w:cs="Arial"/>
          <w:highlight w:val="white"/>
        </w:rPr>
      </w:pPr>
      <w:r>
        <w:rPr>
          <w:rFonts w:ascii="Arial" w:hAnsi="Arial" w:cs="Arial"/>
        </w:rPr>
        <w:t xml:space="preserve">Charlesworth Author Services. (2021, January 19). </w:t>
      </w:r>
      <w:r>
        <w:rPr>
          <w:rFonts w:ascii="Arial" w:hAnsi="Arial" w:cs="Arial"/>
          <w:i/>
        </w:rPr>
        <w:t>Statistics and data presentation: Understanding effect size</w:t>
      </w:r>
      <w:r>
        <w:rPr>
          <w:rFonts w:ascii="Arial" w:hAnsi="Arial" w:cs="Arial"/>
        </w:rPr>
        <w:t>. Master the Art of Ef</w:t>
      </w:r>
      <w:r>
        <w:rPr>
          <w:rFonts w:ascii="Arial" w:hAnsi="Arial" w:cs="Arial"/>
        </w:rPr>
        <w:t xml:space="preserve">fect Size in Statistics – </w:t>
      </w:r>
      <w:hyperlink r:id="rId18" w:history="1">
        <w:r>
          <w:rPr>
            <w:rStyle w:val="Hyperlink"/>
            <w:rFonts w:ascii="Arial" w:hAnsi="Arial" w:cs="Arial"/>
            <w:color w:val="auto"/>
            <w:u w:val="none"/>
          </w:rPr>
          <w:t>https://www.cwauthors.com/article/Statistics-and-data-presentation-understanding-effect-size.</w:t>
        </w:r>
      </w:hyperlink>
    </w:p>
    <w:p w:rsidR="009B39A5" w:rsidRDefault="00336C35">
      <w:pPr>
        <w:numPr>
          <w:ilvl w:val="0"/>
          <w:numId w:val="4"/>
        </w:numPr>
        <w:ind w:left="360"/>
        <w:jc w:val="both"/>
        <w:rPr>
          <w:rFonts w:ascii="Arial" w:eastAsia="Arial" w:hAnsi="Arial" w:cs="Arial"/>
          <w:highlight w:val="white"/>
        </w:rPr>
      </w:pPr>
      <w:r>
        <w:rPr>
          <w:rFonts w:ascii="Arial" w:hAnsi="Arial" w:cs="Arial"/>
        </w:rPr>
        <w:t xml:space="preserve">Chew, S. L., &amp; </w:t>
      </w:r>
      <w:proofErr w:type="spellStart"/>
      <w:r>
        <w:rPr>
          <w:rFonts w:ascii="Arial" w:hAnsi="Arial" w:cs="Arial"/>
        </w:rPr>
        <w:t>Cerbin</w:t>
      </w:r>
      <w:proofErr w:type="spellEnd"/>
      <w:r>
        <w:rPr>
          <w:rFonts w:ascii="Arial" w:hAnsi="Arial" w:cs="Arial"/>
        </w:rPr>
        <w:t xml:space="preserve">, W. </w:t>
      </w:r>
      <w:r>
        <w:rPr>
          <w:rFonts w:ascii="Arial" w:hAnsi="Arial" w:cs="Arial"/>
        </w:rPr>
        <w:t>J. (2021). The cognitive challenges of effective teaching. </w:t>
      </w:r>
      <w:r>
        <w:rPr>
          <w:rFonts w:ascii="Arial" w:hAnsi="Arial" w:cs="Arial"/>
          <w:i/>
          <w:iCs/>
        </w:rPr>
        <w:t>The Journal of Economic Education, 52</w:t>
      </w:r>
      <w:r>
        <w:rPr>
          <w:rFonts w:ascii="Arial" w:hAnsi="Arial" w:cs="Arial"/>
        </w:rPr>
        <w:t xml:space="preserve">(1), 17-40.  </w:t>
      </w:r>
      <w:hyperlink r:id="rId19" w:history="1">
        <w:r>
          <w:rPr>
            <w:rStyle w:val="Hyperlink"/>
            <w:rFonts w:ascii="Arial" w:hAnsi="Arial" w:cs="Arial"/>
            <w:color w:val="auto"/>
            <w:u w:val="none"/>
          </w:rPr>
          <w:t>https://doi.org/10.1080/00220485.2020.1845266</w:t>
        </w:r>
      </w:hyperlink>
    </w:p>
    <w:p w:rsidR="009B39A5" w:rsidRDefault="00336C35">
      <w:pPr>
        <w:numPr>
          <w:ilvl w:val="0"/>
          <w:numId w:val="4"/>
        </w:numPr>
        <w:ind w:left="360"/>
        <w:jc w:val="both"/>
        <w:rPr>
          <w:rFonts w:ascii="Arial" w:eastAsia="Arial" w:hAnsi="Arial" w:cs="Arial"/>
        </w:rPr>
      </w:pPr>
      <w:proofErr w:type="spellStart"/>
      <w:r>
        <w:rPr>
          <w:rFonts w:ascii="Arial" w:eastAsia="Arial" w:hAnsi="Arial" w:cs="Arial"/>
        </w:rPr>
        <w:t>Chitrakar</w:t>
      </w:r>
      <w:proofErr w:type="spellEnd"/>
      <w:r>
        <w:rPr>
          <w:rFonts w:ascii="Arial" w:eastAsia="Arial" w:hAnsi="Arial" w:cs="Arial"/>
        </w:rPr>
        <w:t xml:space="preserve">, N., &amp; </w:t>
      </w:r>
      <w:proofErr w:type="spellStart"/>
      <w:r>
        <w:rPr>
          <w:rFonts w:ascii="Arial" w:eastAsia="Arial" w:hAnsi="Arial" w:cs="Arial"/>
        </w:rPr>
        <w:t>Nisanth</w:t>
      </w:r>
      <w:proofErr w:type="spellEnd"/>
      <w:r>
        <w:rPr>
          <w:rFonts w:ascii="Arial" w:eastAsia="Arial" w:hAnsi="Arial" w:cs="Arial"/>
        </w:rPr>
        <w:t>, P. M. (2023).</w:t>
      </w:r>
      <w:r>
        <w:rPr>
          <w:rFonts w:ascii="Arial" w:eastAsia="Arial" w:hAnsi="Arial" w:cs="Arial"/>
        </w:rPr>
        <w:t xml:space="preserve"> Frustration and its influences on Student Motivation and Academic Performance. International Journal of Scientific Research in Modern Science and Technology, 2(11), 01-09.  https://doi.org/10.59828/ijsrmst.v2i11.158 </w:t>
      </w:r>
    </w:p>
    <w:p w:rsidR="009B39A5" w:rsidRDefault="00336C35">
      <w:pPr>
        <w:numPr>
          <w:ilvl w:val="0"/>
          <w:numId w:val="4"/>
        </w:numPr>
        <w:ind w:left="360"/>
        <w:jc w:val="both"/>
        <w:rPr>
          <w:rFonts w:ascii="Arial" w:eastAsia="Arial" w:hAnsi="Arial" w:cs="Arial"/>
        </w:rPr>
      </w:pPr>
      <w:proofErr w:type="spellStart"/>
      <w:r>
        <w:rPr>
          <w:rFonts w:ascii="Arial" w:eastAsia="Arial" w:hAnsi="Arial" w:cs="Arial"/>
        </w:rPr>
        <w:t>Christidou</w:t>
      </w:r>
      <w:proofErr w:type="spellEnd"/>
      <w:r>
        <w:rPr>
          <w:rFonts w:ascii="Arial" w:eastAsia="Arial" w:hAnsi="Arial" w:cs="Arial"/>
        </w:rPr>
        <w:t xml:space="preserve">, D., </w:t>
      </w:r>
      <w:proofErr w:type="spellStart"/>
      <w:r>
        <w:rPr>
          <w:rFonts w:ascii="Arial" w:eastAsia="Arial" w:hAnsi="Arial" w:cs="Arial"/>
        </w:rPr>
        <w:t>Papavlasopoulou</w:t>
      </w:r>
      <w:proofErr w:type="spellEnd"/>
      <w:r>
        <w:rPr>
          <w:rFonts w:ascii="Arial" w:eastAsia="Arial" w:hAnsi="Arial" w:cs="Arial"/>
        </w:rPr>
        <w:t>, S., &amp;</w:t>
      </w:r>
      <w:r>
        <w:rPr>
          <w:rFonts w:ascii="Arial" w:eastAsia="Arial" w:hAnsi="Arial" w:cs="Arial"/>
        </w:rPr>
        <w:t xml:space="preserve"> Giannakos, M. (2021). Using the lens of science capital to capture and explore children’s attitudes toward science in an informal making-based space. Information and Learning Sciences, 122(5/6), 317-340.  https://doi.org/10.1108/ils-09-2020-0210 </w:t>
      </w:r>
    </w:p>
    <w:p w:rsidR="009B39A5" w:rsidRDefault="00336C35">
      <w:pPr>
        <w:numPr>
          <w:ilvl w:val="0"/>
          <w:numId w:val="4"/>
        </w:numPr>
        <w:ind w:left="360"/>
        <w:jc w:val="both"/>
        <w:rPr>
          <w:rFonts w:ascii="Arial" w:eastAsia="Arial" w:hAnsi="Arial" w:cs="Arial"/>
        </w:rPr>
      </w:pPr>
      <w:r>
        <w:rPr>
          <w:rFonts w:ascii="Arial" w:eastAsia="Arial" w:hAnsi="Arial" w:cs="Arial"/>
        </w:rPr>
        <w:t>Cohen, J</w:t>
      </w:r>
      <w:r>
        <w:rPr>
          <w:rFonts w:ascii="Arial" w:eastAsia="Arial" w:hAnsi="Arial" w:cs="Arial"/>
        </w:rPr>
        <w:t>. (1988). Statistical power analysis for the behavioral sciences (2nd ed.). Lawrence Erlbaum Associates.</w:t>
      </w:r>
    </w:p>
    <w:p w:rsidR="009B39A5" w:rsidRDefault="00336C35">
      <w:pPr>
        <w:numPr>
          <w:ilvl w:val="0"/>
          <w:numId w:val="4"/>
        </w:numPr>
        <w:ind w:left="360"/>
        <w:jc w:val="both"/>
        <w:rPr>
          <w:rFonts w:ascii="Arial" w:eastAsia="Arial" w:hAnsi="Arial" w:cs="Arial"/>
        </w:rPr>
      </w:pPr>
      <w:r>
        <w:rPr>
          <w:rFonts w:ascii="Arial" w:eastAsia="Arial" w:hAnsi="Arial" w:cs="Arial"/>
        </w:rPr>
        <w:t xml:space="preserve">de Boer, M. R., Waterlander, W. E., </w:t>
      </w:r>
      <w:proofErr w:type="spellStart"/>
      <w:r>
        <w:rPr>
          <w:rFonts w:ascii="Arial" w:eastAsia="Arial" w:hAnsi="Arial" w:cs="Arial"/>
        </w:rPr>
        <w:t>Kuijper</w:t>
      </w:r>
      <w:proofErr w:type="spellEnd"/>
      <w:r>
        <w:rPr>
          <w:rFonts w:ascii="Arial" w:eastAsia="Arial" w:hAnsi="Arial" w:cs="Arial"/>
        </w:rPr>
        <w:t xml:space="preserve">, L. D., </w:t>
      </w:r>
      <w:proofErr w:type="spellStart"/>
      <w:r>
        <w:rPr>
          <w:rFonts w:ascii="Arial" w:eastAsia="Arial" w:hAnsi="Arial" w:cs="Arial"/>
        </w:rPr>
        <w:t>Steenhuis</w:t>
      </w:r>
      <w:proofErr w:type="spellEnd"/>
      <w:r>
        <w:rPr>
          <w:rFonts w:ascii="Arial" w:eastAsia="Arial" w:hAnsi="Arial" w:cs="Arial"/>
        </w:rPr>
        <w:t xml:space="preserve">, I. H. M., &amp; </w:t>
      </w:r>
      <w:proofErr w:type="spellStart"/>
      <w:r>
        <w:rPr>
          <w:rFonts w:ascii="Arial" w:eastAsia="Arial" w:hAnsi="Arial" w:cs="Arial"/>
        </w:rPr>
        <w:t>Twisk</w:t>
      </w:r>
      <w:proofErr w:type="spellEnd"/>
      <w:r>
        <w:rPr>
          <w:rFonts w:ascii="Arial" w:eastAsia="Arial" w:hAnsi="Arial" w:cs="Arial"/>
        </w:rPr>
        <w:t>, J. W. R. (2015). Testing for baseline differences in randomized contr</w:t>
      </w:r>
      <w:r>
        <w:rPr>
          <w:rFonts w:ascii="Arial" w:eastAsia="Arial" w:hAnsi="Arial" w:cs="Arial"/>
        </w:rPr>
        <w:t>olled trials: An unhealthy research behavior that is hard to eradicate. International Journal of Behavioral Nutrition and Physical Activity, 12, 4. https://doi.org/10.1186/s12966-015-0162-z</w:t>
      </w:r>
    </w:p>
    <w:p w:rsidR="009B39A5" w:rsidRDefault="00336C35">
      <w:pPr>
        <w:numPr>
          <w:ilvl w:val="0"/>
          <w:numId w:val="4"/>
        </w:numPr>
        <w:ind w:left="360"/>
        <w:jc w:val="both"/>
        <w:rPr>
          <w:rFonts w:ascii="Arial" w:eastAsia="Arial" w:hAnsi="Arial" w:cs="Arial"/>
        </w:rPr>
      </w:pPr>
      <w:r>
        <w:rPr>
          <w:rFonts w:ascii="Arial" w:eastAsia="Arial" w:hAnsi="Arial" w:cs="Arial"/>
        </w:rPr>
        <w:t xml:space="preserve">Dierking, L. M. (2022). Structure Building Ability Moderates the </w:t>
      </w:r>
      <w:r>
        <w:rPr>
          <w:rFonts w:ascii="Arial" w:eastAsia="Arial" w:hAnsi="Arial" w:cs="Arial"/>
        </w:rPr>
        <w:t>Effectiveness of Learning Aids (Master's thesis, Oregon State University). Retrieved from https://ir.library.oregonstate.edu/concern/graduate_thesis_or_dissertations/44558n679</w:t>
      </w:r>
    </w:p>
    <w:p w:rsidR="009B39A5" w:rsidRDefault="00336C35">
      <w:pPr>
        <w:numPr>
          <w:ilvl w:val="0"/>
          <w:numId w:val="4"/>
        </w:numPr>
        <w:ind w:left="360"/>
        <w:jc w:val="both"/>
        <w:rPr>
          <w:rFonts w:ascii="Arial" w:eastAsia="Arial" w:hAnsi="Arial" w:cs="Arial"/>
        </w:rPr>
      </w:pPr>
      <w:r>
        <w:rPr>
          <w:rFonts w:ascii="Arial" w:eastAsia="Arial" w:hAnsi="Arial" w:cs="Arial"/>
        </w:rPr>
        <w:t>Digital Learning Edge. (2023). Understanding dual coding theory in online learni</w:t>
      </w:r>
      <w:r>
        <w:rPr>
          <w:rFonts w:ascii="Arial" w:eastAsia="Arial" w:hAnsi="Arial" w:cs="Arial"/>
        </w:rPr>
        <w:t>ng environments. Retrieved from https://digitallearningedge.com/dual-coding-theory/</w:t>
      </w:r>
    </w:p>
    <w:p w:rsidR="009B39A5" w:rsidRDefault="00336C35">
      <w:pPr>
        <w:numPr>
          <w:ilvl w:val="0"/>
          <w:numId w:val="4"/>
        </w:numPr>
        <w:ind w:left="360"/>
        <w:jc w:val="both"/>
        <w:rPr>
          <w:rFonts w:ascii="Arial" w:eastAsia="Arial" w:hAnsi="Arial" w:cs="Arial"/>
        </w:rPr>
      </w:pPr>
      <w:proofErr w:type="spellStart"/>
      <w:r>
        <w:rPr>
          <w:rFonts w:ascii="Arial" w:eastAsia="Arial" w:hAnsi="Arial" w:cs="Arial"/>
        </w:rPr>
        <w:t>Dogomeo</w:t>
      </w:r>
      <w:proofErr w:type="spellEnd"/>
      <w:r>
        <w:rPr>
          <w:rFonts w:ascii="Arial" w:eastAsia="Arial" w:hAnsi="Arial" w:cs="Arial"/>
        </w:rPr>
        <w:t xml:space="preserve">, J., &amp; </w:t>
      </w:r>
      <w:proofErr w:type="spellStart"/>
      <w:r>
        <w:rPr>
          <w:rFonts w:ascii="Arial" w:eastAsia="Arial" w:hAnsi="Arial" w:cs="Arial"/>
        </w:rPr>
        <w:t>Aliazas</w:t>
      </w:r>
      <w:proofErr w:type="spellEnd"/>
      <w:r>
        <w:rPr>
          <w:rFonts w:ascii="Arial" w:eastAsia="Arial" w:hAnsi="Arial" w:cs="Arial"/>
        </w:rPr>
        <w:t>, J. V. (2022). Dual Coding Cognition in Devising Infographics for an Enhanced Students’ Scientific Knowledge. International Journal of Science, Techn</w:t>
      </w:r>
      <w:r>
        <w:rPr>
          <w:rFonts w:ascii="Arial" w:eastAsia="Arial" w:hAnsi="Arial" w:cs="Arial"/>
        </w:rPr>
        <w:t>ology, Engineering and Mathematics, 2(4), 1–17. https://doi.org/10.53378/352926</w:t>
      </w:r>
    </w:p>
    <w:p w:rsidR="009B39A5" w:rsidRDefault="00336C35">
      <w:pPr>
        <w:numPr>
          <w:ilvl w:val="0"/>
          <w:numId w:val="4"/>
        </w:numPr>
        <w:ind w:left="360"/>
        <w:jc w:val="both"/>
        <w:rPr>
          <w:rFonts w:ascii="Arial" w:eastAsia="Arial" w:hAnsi="Arial" w:cs="Arial"/>
        </w:rPr>
      </w:pPr>
      <w:proofErr w:type="spellStart"/>
      <w:r>
        <w:rPr>
          <w:rFonts w:ascii="Arial" w:eastAsia="Arial" w:hAnsi="Arial" w:cs="Arial"/>
        </w:rPr>
        <w:t>Dogomeo</w:t>
      </w:r>
      <w:proofErr w:type="spellEnd"/>
      <w:r>
        <w:rPr>
          <w:rFonts w:ascii="Arial" w:eastAsia="Arial" w:hAnsi="Arial" w:cs="Arial"/>
        </w:rPr>
        <w:t xml:space="preserve">, J., &amp; </w:t>
      </w:r>
      <w:proofErr w:type="spellStart"/>
      <w:r>
        <w:rPr>
          <w:rFonts w:ascii="Arial" w:eastAsia="Arial" w:hAnsi="Arial" w:cs="Arial"/>
        </w:rPr>
        <w:t>Aliazas</w:t>
      </w:r>
      <w:proofErr w:type="spellEnd"/>
      <w:r>
        <w:rPr>
          <w:rFonts w:ascii="Arial" w:eastAsia="Arial" w:hAnsi="Arial" w:cs="Arial"/>
        </w:rPr>
        <w:t>, J. V. (2024). Dual coding cognition in devising infographics for enhanced students’ scientific knowledge. IIARI International Journal of Educational and</w:t>
      </w:r>
      <w:r>
        <w:rPr>
          <w:rFonts w:ascii="Arial" w:eastAsia="Arial" w:hAnsi="Arial" w:cs="Arial"/>
        </w:rPr>
        <w:t xml:space="preserve"> Multidisciplinary Research, 5(2), 45–58. https://iiari.org/journal_article/dual-coding-cognition-in-devising-infographics-for-an-enhanced-students-scientific-knowledge/</w:t>
      </w:r>
    </w:p>
    <w:p w:rsidR="009B39A5" w:rsidRDefault="00336C35">
      <w:pPr>
        <w:numPr>
          <w:ilvl w:val="0"/>
          <w:numId w:val="4"/>
        </w:numPr>
        <w:ind w:left="360"/>
        <w:jc w:val="both"/>
        <w:rPr>
          <w:rFonts w:ascii="Arial" w:eastAsia="Arial" w:hAnsi="Arial" w:cs="Arial"/>
          <w:highlight w:val="white"/>
        </w:rPr>
      </w:pPr>
      <w:r>
        <w:rPr>
          <w:rFonts w:ascii="Arial" w:hAnsi="Arial" w:cs="Arial"/>
        </w:rPr>
        <w:t xml:space="preserve">Ejaz, S., &amp; </w:t>
      </w:r>
      <w:proofErr w:type="spellStart"/>
      <w:r>
        <w:rPr>
          <w:rFonts w:ascii="Arial" w:hAnsi="Arial" w:cs="Arial"/>
        </w:rPr>
        <w:t>Oyibo</w:t>
      </w:r>
      <w:proofErr w:type="spellEnd"/>
      <w:r>
        <w:rPr>
          <w:rFonts w:ascii="Arial" w:hAnsi="Arial" w:cs="Arial"/>
        </w:rPr>
        <w:t>, K. (2024). Interactive tools for mnemonics creation and knowledge r</w:t>
      </w:r>
      <w:r>
        <w:rPr>
          <w:rFonts w:ascii="Arial" w:hAnsi="Arial" w:cs="Arial"/>
        </w:rPr>
        <w:t>etention: A scoping review. In ICERI2024 Proceedings (pp. 10329–10339).</w:t>
      </w:r>
      <w:r>
        <w:rPr>
          <w:rFonts w:ascii="Arial" w:hAnsi="Arial" w:cs="Arial"/>
          <w:i/>
          <w:iCs/>
        </w:rPr>
        <w:t xml:space="preserve"> IATED.</w:t>
      </w:r>
      <w:r>
        <w:rPr>
          <w:rFonts w:ascii="Arial" w:hAnsi="Arial" w:cs="Arial"/>
        </w:rPr>
        <w:t xml:space="preserve"> </w:t>
      </w:r>
      <w:hyperlink r:id="rId20" w:history="1">
        <w:r>
          <w:rPr>
            <w:rStyle w:val="Hyperlink"/>
            <w:rFonts w:ascii="Arial" w:hAnsi="Arial" w:cs="Arial"/>
            <w:color w:val="auto"/>
            <w:u w:val="none"/>
          </w:rPr>
          <w:t>https://doi.org/10.21125/iceri.2024.2643</w:t>
        </w:r>
      </w:hyperlink>
    </w:p>
    <w:p w:rsidR="009B39A5" w:rsidRDefault="00336C35">
      <w:pPr>
        <w:numPr>
          <w:ilvl w:val="0"/>
          <w:numId w:val="4"/>
        </w:numPr>
        <w:ind w:left="360"/>
        <w:jc w:val="both"/>
        <w:rPr>
          <w:rFonts w:ascii="Arial" w:eastAsia="Arial" w:hAnsi="Arial" w:cs="Arial"/>
          <w:highlight w:val="white"/>
        </w:rPr>
      </w:pPr>
      <w:r>
        <w:rPr>
          <w:rFonts w:ascii="Arial" w:hAnsi="Arial" w:cs="Arial"/>
        </w:rPr>
        <w:lastRenderedPageBreak/>
        <w:t>Eriksson, U. (2019). Disciplinary discernment: Reading the sky in astronomy edu</w:t>
      </w:r>
      <w:r>
        <w:rPr>
          <w:rFonts w:ascii="Arial" w:hAnsi="Arial" w:cs="Arial"/>
        </w:rPr>
        <w:t xml:space="preserve">cation. </w:t>
      </w:r>
      <w:r>
        <w:rPr>
          <w:rFonts w:ascii="Arial" w:hAnsi="Arial" w:cs="Arial"/>
          <w:i/>
          <w:iCs/>
        </w:rPr>
        <w:t>Physical Review Physics Education Research, 15</w:t>
      </w:r>
      <w:r>
        <w:rPr>
          <w:rFonts w:ascii="Arial" w:hAnsi="Arial" w:cs="Arial"/>
        </w:rPr>
        <w:t xml:space="preserve">(1), 010133. </w:t>
      </w:r>
      <w:hyperlink r:id="rId21" w:history="1">
        <w:r>
          <w:rPr>
            <w:rStyle w:val="Hyperlink"/>
            <w:rFonts w:ascii="Arial" w:hAnsi="Arial" w:cs="Arial"/>
            <w:color w:val="auto"/>
            <w:u w:val="none"/>
          </w:rPr>
          <w:t>https://doi.org/10.1103/PhysRevPhysEducRes.15.010133</w:t>
        </w:r>
      </w:hyperlink>
    </w:p>
    <w:p w:rsidR="009B39A5" w:rsidRDefault="00336C35">
      <w:pPr>
        <w:numPr>
          <w:ilvl w:val="0"/>
          <w:numId w:val="4"/>
        </w:numPr>
        <w:ind w:left="360"/>
        <w:jc w:val="both"/>
        <w:rPr>
          <w:rFonts w:ascii="Arial" w:eastAsia="Arial" w:hAnsi="Arial" w:cs="Arial"/>
        </w:rPr>
      </w:pPr>
      <w:r>
        <w:rPr>
          <w:rFonts w:ascii="Arial" w:eastAsia="Arial" w:hAnsi="Arial" w:cs="Arial"/>
        </w:rPr>
        <w:t xml:space="preserve">Erol, A., Erol, M., &amp; </w:t>
      </w:r>
      <w:proofErr w:type="spellStart"/>
      <w:r>
        <w:rPr>
          <w:rFonts w:ascii="Arial" w:eastAsia="Arial" w:hAnsi="Arial" w:cs="Arial"/>
        </w:rPr>
        <w:t>Canbeldek</w:t>
      </w:r>
      <w:proofErr w:type="spellEnd"/>
      <w:r>
        <w:rPr>
          <w:rFonts w:ascii="Arial" w:eastAsia="Arial" w:hAnsi="Arial" w:cs="Arial"/>
        </w:rPr>
        <w:t xml:space="preserve"> Erol, M. (2025). Supporting Girls' </w:t>
      </w:r>
      <w:r>
        <w:rPr>
          <w:rFonts w:ascii="Arial" w:eastAsia="Arial" w:hAnsi="Arial" w:cs="Arial"/>
        </w:rPr>
        <w:t xml:space="preserve">Engineering Habits of Mind </w:t>
      </w:r>
      <w:proofErr w:type="gramStart"/>
      <w:r>
        <w:rPr>
          <w:rFonts w:ascii="Arial" w:eastAsia="Arial" w:hAnsi="Arial" w:cs="Arial"/>
        </w:rPr>
        <w:t>With</w:t>
      </w:r>
      <w:proofErr w:type="gramEnd"/>
      <w:r>
        <w:rPr>
          <w:rFonts w:ascii="Arial" w:eastAsia="Arial" w:hAnsi="Arial" w:cs="Arial"/>
        </w:rPr>
        <w:t xml:space="preserve"> STEM Education. Psychology in the Schools.  https://doi.org/10.1002/pits.23461 </w:t>
      </w:r>
    </w:p>
    <w:p w:rsidR="009B39A5" w:rsidRDefault="00336C35">
      <w:pPr>
        <w:numPr>
          <w:ilvl w:val="0"/>
          <w:numId w:val="4"/>
        </w:numPr>
        <w:ind w:left="360"/>
        <w:jc w:val="both"/>
        <w:rPr>
          <w:rFonts w:ascii="Arial" w:eastAsia="Arial" w:hAnsi="Arial" w:cs="Arial"/>
        </w:rPr>
      </w:pPr>
      <w:r>
        <w:rPr>
          <w:rFonts w:ascii="Arial" w:eastAsia="Arial" w:hAnsi="Arial" w:cs="Arial"/>
        </w:rPr>
        <w:t xml:space="preserve">Fiorella, L., &amp; Mayer, R. E. (2019). Cognitive theory of multimedia learning. Educational Psychology Review, 31(4), 787–821. </w:t>
      </w:r>
      <w:hyperlink r:id="rId22" w:history="1">
        <w:r>
          <w:rPr>
            <w:rStyle w:val="Hyperlink"/>
            <w:rFonts w:ascii="Arial" w:eastAsia="Arial" w:hAnsi="Arial" w:cs="Arial"/>
            <w:color w:val="auto"/>
            <w:u w:val="none"/>
          </w:rPr>
          <w:t>https://doi.org/10.1007/s10648-019-09466-4</w:t>
        </w:r>
      </w:hyperlink>
    </w:p>
    <w:p w:rsidR="009B39A5" w:rsidRDefault="00336C35">
      <w:pPr>
        <w:numPr>
          <w:ilvl w:val="0"/>
          <w:numId w:val="4"/>
        </w:numPr>
        <w:ind w:left="360"/>
        <w:jc w:val="both"/>
        <w:rPr>
          <w:rFonts w:ascii="Arial" w:eastAsia="Arial" w:hAnsi="Arial" w:cs="Arial"/>
        </w:rPr>
      </w:pPr>
      <w:proofErr w:type="spellStart"/>
      <w:r>
        <w:rPr>
          <w:rFonts w:ascii="Arial" w:eastAsia="Arial" w:hAnsi="Arial" w:cs="Arial"/>
        </w:rPr>
        <w:t>Fomunyam</w:t>
      </w:r>
      <w:proofErr w:type="spellEnd"/>
      <w:r>
        <w:rPr>
          <w:rFonts w:ascii="Arial" w:eastAsia="Arial" w:hAnsi="Arial" w:cs="Arial"/>
        </w:rPr>
        <w:t>, D. K. G. (2021). Towards enhancing Science, Technology, Engineering, and Mathematics (STEM) education: a case for higher education in Africa.  https://doi.org/10.3</w:t>
      </w:r>
      <w:r>
        <w:rPr>
          <w:rFonts w:ascii="Arial" w:eastAsia="Arial" w:hAnsi="Arial" w:cs="Arial"/>
        </w:rPr>
        <w:t xml:space="preserve">7624/ijert/13.7.2020.1516-1524 </w:t>
      </w:r>
    </w:p>
    <w:p w:rsidR="009B39A5" w:rsidRDefault="00336C35">
      <w:pPr>
        <w:numPr>
          <w:ilvl w:val="0"/>
          <w:numId w:val="4"/>
        </w:numPr>
        <w:ind w:left="360"/>
        <w:jc w:val="both"/>
        <w:rPr>
          <w:rFonts w:ascii="Arial" w:eastAsia="Arial" w:hAnsi="Arial" w:cs="Arial"/>
        </w:rPr>
      </w:pPr>
      <w:r>
        <w:rPr>
          <w:rFonts w:ascii="Arial" w:eastAsia="Arial" w:hAnsi="Arial" w:cs="Arial"/>
        </w:rPr>
        <w:t xml:space="preserve">Fung, K., &amp; </w:t>
      </w:r>
      <w:proofErr w:type="spellStart"/>
      <w:r>
        <w:rPr>
          <w:rFonts w:ascii="Arial" w:eastAsia="Arial" w:hAnsi="Arial" w:cs="Arial"/>
        </w:rPr>
        <w:t>Oyibo</w:t>
      </w:r>
      <w:proofErr w:type="spellEnd"/>
      <w:r>
        <w:rPr>
          <w:rFonts w:ascii="Arial" w:eastAsia="Arial" w:hAnsi="Arial" w:cs="Arial"/>
        </w:rPr>
        <w:t>, K. (2024). Examining the Effectiveness of Mnemonics Serious games in enhancing memory and learning: A scoping review. Applied Sciences, 14(23), 11379. https://doi.org/10.3390/app142311379</w:t>
      </w:r>
    </w:p>
    <w:p w:rsidR="009B39A5" w:rsidRDefault="00336C35">
      <w:pPr>
        <w:numPr>
          <w:ilvl w:val="0"/>
          <w:numId w:val="4"/>
        </w:numPr>
        <w:ind w:left="360"/>
        <w:jc w:val="both"/>
        <w:rPr>
          <w:rFonts w:ascii="Arial" w:eastAsia="Arial" w:hAnsi="Arial" w:cs="Arial"/>
          <w:highlight w:val="white"/>
        </w:rPr>
      </w:pPr>
      <w:proofErr w:type="spellStart"/>
      <w:r>
        <w:rPr>
          <w:rFonts w:ascii="Arial" w:hAnsi="Arial" w:cs="Arial"/>
        </w:rPr>
        <w:t>Galano</w:t>
      </w:r>
      <w:proofErr w:type="spellEnd"/>
      <w:r>
        <w:rPr>
          <w:rFonts w:ascii="Arial" w:hAnsi="Arial" w:cs="Arial"/>
        </w:rPr>
        <w:t xml:space="preserve">, S., </w:t>
      </w:r>
      <w:proofErr w:type="spellStart"/>
      <w:r>
        <w:rPr>
          <w:rFonts w:ascii="Arial" w:hAnsi="Arial" w:cs="Arial"/>
        </w:rPr>
        <w:t>Colan</w:t>
      </w:r>
      <w:r>
        <w:rPr>
          <w:rFonts w:ascii="Arial" w:hAnsi="Arial" w:cs="Arial"/>
        </w:rPr>
        <w:t>tonio</w:t>
      </w:r>
      <w:proofErr w:type="spellEnd"/>
      <w:r>
        <w:rPr>
          <w:rFonts w:ascii="Arial" w:hAnsi="Arial" w:cs="Arial"/>
        </w:rPr>
        <w:t xml:space="preserve">, A., </w:t>
      </w:r>
      <w:proofErr w:type="spellStart"/>
      <w:r>
        <w:rPr>
          <w:rFonts w:ascii="Arial" w:hAnsi="Arial" w:cs="Arial"/>
        </w:rPr>
        <w:t>Leccia</w:t>
      </w:r>
      <w:proofErr w:type="spellEnd"/>
      <w:r>
        <w:rPr>
          <w:rFonts w:ascii="Arial" w:hAnsi="Arial" w:cs="Arial"/>
        </w:rPr>
        <w:t xml:space="preserve">, S., </w:t>
      </w:r>
      <w:proofErr w:type="spellStart"/>
      <w:r>
        <w:rPr>
          <w:rFonts w:ascii="Arial" w:hAnsi="Arial" w:cs="Arial"/>
        </w:rPr>
        <w:t>Marzoli</w:t>
      </w:r>
      <w:proofErr w:type="spellEnd"/>
      <w:r>
        <w:rPr>
          <w:rFonts w:ascii="Arial" w:hAnsi="Arial" w:cs="Arial"/>
        </w:rPr>
        <w:t xml:space="preserve">, I., </w:t>
      </w:r>
      <w:proofErr w:type="spellStart"/>
      <w:r>
        <w:rPr>
          <w:rFonts w:ascii="Arial" w:hAnsi="Arial" w:cs="Arial"/>
        </w:rPr>
        <w:t>Puddu</w:t>
      </w:r>
      <w:proofErr w:type="spellEnd"/>
      <w:r>
        <w:rPr>
          <w:rFonts w:ascii="Arial" w:hAnsi="Arial" w:cs="Arial"/>
        </w:rPr>
        <w:t xml:space="preserve">, E., &amp; Testa, I. (2018). Developing the use of visual representations to explain basic astronomy phenomena. </w:t>
      </w:r>
      <w:r>
        <w:rPr>
          <w:rFonts w:ascii="Arial" w:hAnsi="Arial" w:cs="Arial"/>
          <w:i/>
          <w:iCs/>
        </w:rPr>
        <w:t>Physical Review Physics Education Research, 14</w:t>
      </w:r>
      <w:r>
        <w:rPr>
          <w:rFonts w:ascii="Arial" w:hAnsi="Arial" w:cs="Arial"/>
        </w:rPr>
        <w:t xml:space="preserve">(1). </w:t>
      </w:r>
      <w:hyperlink r:id="rId23" w:history="1">
        <w:r>
          <w:rPr>
            <w:rStyle w:val="Hyperlink"/>
            <w:rFonts w:ascii="Arial" w:hAnsi="Arial" w:cs="Arial"/>
            <w:color w:val="auto"/>
            <w:u w:val="none"/>
          </w:rPr>
          <w:t>https://doi.org/10.1103/physrevphyseducres.14.010145</w:t>
        </w:r>
      </w:hyperlink>
    </w:p>
    <w:p w:rsidR="009B39A5" w:rsidRDefault="00336C35">
      <w:pPr>
        <w:numPr>
          <w:ilvl w:val="0"/>
          <w:numId w:val="4"/>
        </w:numPr>
        <w:ind w:left="360"/>
        <w:jc w:val="both"/>
        <w:rPr>
          <w:rFonts w:ascii="Arial" w:eastAsia="Arial" w:hAnsi="Arial" w:cs="Arial"/>
        </w:rPr>
      </w:pPr>
      <w:r>
        <w:rPr>
          <w:rFonts w:ascii="Arial" w:eastAsia="Arial" w:hAnsi="Arial" w:cs="Arial"/>
        </w:rPr>
        <w:t>García-Carmona, A. (2023). Scientific thinking and critical thinking in science education: Two distinct but symbiotically related intellectual processes. Science &amp; Education, 1-19.  https:/</w:t>
      </w:r>
      <w:r>
        <w:rPr>
          <w:rFonts w:ascii="Arial" w:eastAsia="Arial" w:hAnsi="Arial" w:cs="Arial"/>
        </w:rPr>
        <w:t xml:space="preserve">/doi.org/10.1007/s11191-023-00460-5 </w:t>
      </w:r>
    </w:p>
    <w:p w:rsidR="009B39A5" w:rsidRDefault="00336C35">
      <w:pPr>
        <w:numPr>
          <w:ilvl w:val="0"/>
          <w:numId w:val="4"/>
        </w:numPr>
        <w:ind w:left="360"/>
        <w:jc w:val="both"/>
        <w:rPr>
          <w:rFonts w:ascii="Arial" w:eastAsia="Arial" w:hAnsi="Arial" w:cs="Arial"/>
          <w:highlight w:val="white"/>
        </w:rPr>
      </w:pPr>
      <w:proofErr w:type="spellStart"/>
      <w:r>
        <w:rPr>
          <w:rFonts w:ascii="Arial" w:hAnsi="Arial" w:cs="Arial"/>
        </w:rPr>
        <w:t>Ghafar</w:t>
      </w:r>
      <w:proofErr w:type="spellEnd"/>
      <w:r>
        <w:rPr>
          <w:rFonts w:ascii="Arial" w:hAnsi="Arial" w:cs="Arial"/>
        </w:rPr>
        <w:t>, Z. N. (2023). The Teacher-centered and the student-centered: a comparison of two approaches. </w:t>
      </w:r>
      <w:r>
        <w:rPr>
          <w:rFonts w:ascii="Arial" w:hAnsi="Arial" w:cs="Arial"/>
          <w:i/>
          <w:iCs/>
        </w:rPr>
        <w:t>International Journal of Arts and Humanities, 1</w:t>
      </w:r>
      <w:r>
        <w:rPr>
          <w:rFonts w:ascii="Arial" w:hAnsi="Arial" w:cs="Arial"/>
        </w:rPr>
        <w:t xml:space="preserve">(1), 18-23.  </w:t>
      </w:r>
      <w:hyperlink r:id="rId24" w:history="1">
        <w:r>
          <w:rPr>
            <w:rStyle w:val="Hyperlink"/>
            <w:rFonts w:ascii="Arial" w:hAnsi="Arial" w:cs="Arial"/>
            <w:color w:val="auto"/>
            <w:u w:val="none"/>
          </w:rPr>
          <w:t>https://</w:t>
        </w:r>
        <w:r>
          <w:rPr>
            <w:rStyle w:val="Hyperlink"/>
            <w:rFonts w:ascii="Arial" w:hAnsi="Arial" w:cs="Arial"/>
            <w:color w:val="auto"/>
            <w:u w:val="none"/>
          </w:rPr>
          <w:t>doi.org/10.61424/ijah.v1i1.7</w:t>
        </w:r>
      </w:hyperlink>
    </w:p>
    <w:p w:rsidR="009B39A5" w:rsidRDefault="00336C35">
      <w:pPr>
        <w:numPr>
          <w:ilvl w:val="0"/>
          <w:numId w:val="4"/>
        </w:numPr>
        <w:ind w:left="360"/>
        <w:jc w:val="both"/>
        <w:rPr>
          <w:rFonts w:ascii="Arial" w:eastAsia="Arial" w:hAnsi="Arial" w:cs="Arial"/>
        </w:rPr>
      </w:pPr>
      <w:r>
        <w:rPr>
          <w:rFonts w:ascii="Arial" w:eastAsia="Arial" w:hAnsi="Arial" w:cs="Arial"/>
        </w:rPr>
        <w:t xml:space="preserve">González, M. A. (2020). Mnemonic keyword method in the development of vocabulary in English as a foreign language (Bachelor's thesis, Universidad </w:t>
      </w:r>
      <w:proofErr w:type="spellStart"/>
      <w:r>
        <w:rPr>
          <w:rFonts w:ascii="Arial" w:eastAsia="Arial" w:hAnsi="Arial" w:cs="Arial"/>
        </w:rPr>
        <w:t>Técnica</w:t>
      </w:r>
      <w:proofErr w:type="spellEnd"/>
      <w:r>
        <w:rPr>
          <w:rFonts w:ascii="Arial" w:eastAsia="Arial" w:hAnsi="Arial" w:cs="Arial"/>
        </w:rPr>
        <w:t xml:space="preserve"> de Cotopaxi). </w:t>
      </w:r>
      <w:proofErr w:type="spellStart"/>
      <w:r>
        <w:rPr>
          <w:rFonts w:ascii="Arial" w:eastAsia="Arial" w:hAnsi="Arial" w:cs="Arial"/>
        </w:rPr>
        <w:t>Repositorio</w:t>
      </w:r>
      <w:proofErr w:type="spellEnd"/>
      <w:r>
        <w:rPr>
          <w:rFonts w:ascii="Arial" w:eastAsia="Arial" w:hAnsi="Arial" w:cs="Arial"/>
        </w:rPr>
        <w:t xml:space="preserve"> </w:t>
      </w:r>
      <w:proofErr w:type="spellStart"/>
      <w:r>
        <w:rPr>
          <w:rFonts w:ascii="Arial" w:eastAsia="Arial" w:hAnsi="Arial" w:cs="Arial"/>
        </w:rPr>
        <w:t>Institucional</w:t>
      </w:r>
      <w:proofErr w:type="spellEnd"/>
      <w:r>
        <w:rPr>
          <w:rFonts w:ascii="Arial" w:eastAsia="Arial" w:hAnsi="Arial" w:cs="Arial"/>
        </w:rPr>
        <w:t xml:space="preserve"> de la UTC. https://repositorio</w:t>
      </w:r>
      <w:r>
        <w:rPr>
          <w:rFonts w:ascii="Arial" w:eastAsia="Arial" w:hAnsi="Arial" w:cs="Arial"/>
        </w:rPr>
        <w:t>.utc.edu.ec/items/2e9b4e55-d19f-4ef2-b2f5-a22986b5bc8d</w:t>
      </w:r>
    </w:p>
    <w:p w:rsidR="009B39A5" w:rsidRDefault="00336C35">
      <w:pPr>
        <w:numPr>
          <w:ilvl w:val="0"/>
          <w:numId w:val="4"/>
        </w:numPr>
        <w:ind w:left="360"/>
        <w:jc w:val="both"/>
        <w:rPr>
          <w:rFonts w:ascii="Arial" w:eastAsia="Arial" w:hAnsi="Arial" w:cs="Arial"/>
        </w:rPr>
      </w:pPr>
      <w:r>
        <w:rPr>
          <w:rFonts w:ascii="Arial" w:eastAsia="Arial" w:hAnsi="Arial" w:cs="Arial"/>
        </w:rPr>
        <w:t>Goulet-Pelletier, J.-C., &amp; Cousineau, D. (2018). A review of effect sizes and their confidence intervals, Part I: The Cohen’s d family. The Quantitative Methods for Psychology, 14(4), 242–265. https://</w:t>
      </w:r>
      <w:r>
        <w:rPr>
          <w:rFonts w:ascii="Arial" w:eastAsia="Arial" w:hAnsi="Arial" w:cs="Arial"/>
        </w:rPr>
        <w:t>doi.org/10.20982/tqmp.14.4.p242</w:t>
      </w:r>
    </w:p>
    <w:p w:rsidR="009B39A5" w:rsidRDefault="00336C35">
      <w:pPr>
        <w:numPr>
          <w:ilvl w:val="0"/>
          <w:numId w:val="4"/>
        </w:numPr>
        <w:ind w:left="360"/>
        <w:jc w:val="both"/>
        <w:rPr>
          <w:rFonts w:ascii="Arial" w:eastAsia="Arial" w:hAnsi="Arial" w:cs="Arial"/>
        </w:rPr>
      </w:pPr>
      <w:proofErr w:type="spellStart"/>
      <w:r>
        <w:rPr>
          <w:rFonts w:ascii="Arial" w:eastAsia="Arial" w:hAnsi="Arial" w:cs="Arial"/>
        </w:rPr>
        <w:t>Grageda</w:t>
      </w:r>
      <w:proofErr w:type="spellEnd"/>
      <w:r>
        <w:rPr>
          <w:rFonts w:ascii="Arial" w:eastAsia="Arial" w:hAnsi="Arial" w:cs="Arial"/>
        </w:rPr>
        <w:t xml:space="preserve">, C., </w:t>
      </w:r>
      <w:proofErr w:type="spellStart"/>
      <w:r>
        <w:rPr>
          <w:rFonts w:ascii="Arial" w:eastAsia="Arial" w:hAnsi="Arial" w:cs="Arial"/>
        </w:rPr>
        <w:t>Tinapay</w:t>
      </w:r>
      <w:proofErr w:type="spellEnd"/>
      <w:r>
        <w:rPr>
          <w:rFonts w:ascii="Arial" w:eastAsia="Arial" w:hAnsi="Arial" w:cs="Arial"/>
        </w:rPr>
        <w:t xml:space="preserve">, A. O., Tirol, S. L., &amp; </w:t>
      </w:r>
      <w:proofErr w:type="spellStart"/>
      <w:r>
        <w:rPr>
          <w:rFonts w:ascii="Arial" w:eastAsia="Arial" w:hAnsi="Arial" w:cs="Arial"/>
        </w:rPr>
        <w:t>Abadiano</w:t>
      </w:r>
      <w:proofErr w:type="spellEnd"/>
      <w:r>
        <w:rPr>
          <w:rFonts w:ascii="Arial" w:eastAsia="Arial" w:hAnsi="Arial" w:cs="Arial"/>
        </w:rPr>
        <w:t>, M. N. (2022). Socio-cultural theory in the cognitive development perspective. </w:t>
      </w:r>
      <w:proofErr w:type="spellStart"/>
      <w:r>
        <w:rPr>
          <w:rFonts w:ascii="Arial" w:eastAsia="Arial" w:hAnsi="Arial" w:cs="Arial"/>
        </w:rPr>
        <w:t>NeuroQuantology</w:t>
      </w:r>
      <w:proofErr w:type="spellEnd"/>
      <w:r>
        <w:rPr>
          <w:rFonts w:ascii="Arial" w:eastAsia="Arial" w:hAnsi="Arial" w:cs="Arial"/>
        </w:rPr>
        <w:t>, 20(16), 1482.</w:t>
      </w:r>
    </w:p>
    <w:p w:rsidR="009B39A5" w:rsidRDefault="00336C35">
      <w:pPr>
        <w:numPr>
          <w:ilvl w:val="0"/>
          <w:numId w:val="4"/>
        </w:numPr>
        <w:ind w:left="360"/>
        <w:jc w:val="both"/>
        <w:rPr>
          <w:rFonts w:ascii="Arial" w:eastAsia="Arial" w:hAnsi="Arial" w:cs="Arial"/>
        </w:rPr>
      </w:pPr>
      <w:r>
        <w:rPr>
          <w:rFonts w:ascii="Arial" w:eastAsia="Arial" w:hAnsi="Arial" w:cs="Arial"/>
        </w:rPr>
        <w:t xml:space="preserve">Guarino, C., </w:t>
      </w:r>
      <w:proofErr w:type="spellStart"/>
      <w:r>
        <w:rPr>
          <w:rFonts w:ascii="Arial" w:eastAsia="Arial" w:hAnsi="Arial" w:cs="Arial"/>
        </w:rPr>
        <w:t>Reckase</w:t>
      </w:r>
      <w:proofErr w:type="spellEnd"/>
      <w:r>
        <w:rPr>
          <w:rFonts w:ascii="Arial" w:eastAsia="Arial" w:hAnsi="Arial" w:cs="Arial"/>
        </w:rPr>
        <w:t>, M., Stacy, B., &amp; Wooldridge, J. (2015)</w:t>
      </w:r>
      <w:r>
        <w:rPr>
          <w:rFonts w:ascii="Arial" w:eastAsia="Arial" w:hAnsi="Arial" w:cs="Arial"/>
        </w:rPr>
        <w:t>. A comparison of Student Growth Percentile and Value-Added Models of Teacher Performance. Statistics and Public Policy, 2(1), 1–11. https://doi.org/10.1080/2330443x.2015.1034820</w:t>
      </w:r>
    </w:p>
    <w:p w:rsidR="009B39A5" w:rsidRDefault="00336C35">
      <w:pPr>
        <w:numPr>
          <w:ilvl w:val="0"/>
          <w:numId w:val="4"/>
        </w:numPr>
        <w:ind w:left="360"/>
        <w:jc w:val="both"/>
        <w:rPr>
          <w:rFonts w:ascii="Arial" w:eastAsia="Arial" w:hAnsi="Arial" w:cs="Arial"/>
        </w:rPr>
      </w:pPr>
      <w:r>
        <w:rPr>
          <w:rFonts w:ascii="Arial" w:eastAsia="Arial" w:hAnsi="Arial" w:cs="Arial"/>
        </w:rPr>
        <w:t>Heard, M. M. (2017). Examining the use of mnemonic devices in instructional p</w:t>
      </w:r>
      <w:r>
        <w:rPr>
          <w:rFonts w:ascii="Arial" w:eastAsia="Arial" w:hAnsi="Arial" w:cs="Arial"/>
        </w:rPr>
        <w:t>ractices to improve the reading skills of third grade public school students with learning disabilities (Doctoral dissertation, University of Southern California). ProQuest Dissertations &amp; Theses Global. https://search.proquest.com/openview/9522fe66499398f</w:t>
      </w:r>
      <w:r>
        <w:rPr>
          <w:rFonts w:ascii="Arial" w:eastAsia="Arial" w:hAnsi="Arial" w:cs="Arial"/>
        </w:rPr>
        <w:t>454838eff6fdc2b6d/1?pq-origsite=gscholar&amp;cbl=18750</w:t>
      </w:r>
    </w:p>
    <w:p w:rsidR="009B39A5" w:rsidRDefault="00336C35">
      <w:pPr>
        <w:numPr>
          <w:ilvl w:val="0"/>
          <w:numId w:val="4"/>
        </w:numPr>
        <w:ind w:left="360"/>
        <w:jc w:val="both"/>
        <w:rPr>
          <w:rFonts w:ascii="Arial" w:eastAsia="Arial" w:hAnsi="Arial" w:cs="Arial"/>
        </w:rPr>
      </w:pPr>
      <w:proofErr w:type="spellStart"/>
      <w:r>
        <w:rPr>
          <w:rFonts w:ascii="Arial" w:eastAsia="Arial" w:hAnsi="Arial" w:cs="Arial"/>
        </w:rPr>
        <w:t>Hendriyanto</w:t>
      </w:r>
      <w:proofErr w:type="spellEnd"/>
      <w:r>
        <w:rPr>
          <w:rFonts w:ascii="Arial" w:eastAsia="Arial" w:hAnsi="Arial" w:cs="Arial"/>
        </w:rPr>
        <w:t xml:space="preserve">, A., </w:t>
      </w:r>
      <w:proofErr w:type="spellStart"/>
      <w:r>
        <w:rPr>
          <w:rFonts w:ascii="Arial" w:eastAsia="Arial" w:hAnsi="Arial" w:cs="Arial"/>
        </w:rPr>
        <w:t>Suryadi</w:t>
      </w:r>
      <w:proofErr w:type="spellEnd"/>
      <w:r>
        <w:rPr>
          <w:rFonts w:ascii="Arial" w:eastAsia="Arial" w:hAnsi="Arial" w:cs="Arial"/>
        </w:rPr>
        <w:t xml:space="preserve">, D., </w:t>
      </w:r>
      <w:proofErr w:type="spellStart"/>
      <w:r>
        <w:rPr>
          <w:rFonts w:ascii="Arial" w:eastAsia="Arial" w:hAnsi="Arial" w:cs="Arial"/>
        </w:rPr>
        <w:t>Juandi</w:t>
      </w:r>
      <w:proofErr w:type="spellEnd"/>
      <w:r>
        <w:rPr>
          <w:rFonts w:ascii="Arial" w:eastAsia="Arial" w:hAnsi="Arial" w:cs="Arial"/>
        </w:rPr>
        <w:t xml:space="preserve">, D., </w:t>
      </w:r>
      <w:proofErr w:type="spellStart"/>
      <w:r>
        <w:rPr>
          <w:rFonts w:ascii="Arial" w:eastAsia="Arial" w:hAnsi="Arial" w:cs="Arial"/>
        </w:rPr>
        <w:t>Dahlan</w:t>
      </w:r>
      <w:proofErr w:type="spellEnd"/>
      <w:r>
        <w:rPr>
          <w:rFonts w:ascii="Arial" w:eastAsia="Arial" w:hAnsi="Arial" w:cs="Arial"/>
        </w:rPr>
        <w:t xml:space="preserve">, J. A., </w:t>
      </w:r>
      <w:proofErr w:type="spellStart"/>
      <w:r>
        <w:rPr>
          <w:rFonts w:ascii="Arial" w:eastAsia="Arial" w:hAnsi="Arial" w:cs="Arial"/>
        </w:rPr>
        <w:t>Hidayat</w:t>
      </w:r>
      <w:proofErr w:type="spellEnd"/>
      <w:r>
        <w:rPr>
          <w:rFonts w:ascii="Arial" w:eastAsia="Arial" w:hAnsi="Arial" w:cs="Arial"/>
        </w:rPr>
        <w:t xml:space="preserve">, R., </w:t>
      </w:r>
      <w:proofErr w:type="spellStart"/>
      <w:r>
        <w:rPr>
          <w:rFonts w:ascii="Arial" w:eastAsia="Arial" w:hAnsi="Arial" w:cs="Arial"/>
        </w:rPr>
        <w:t>Wardat</w:t>
      </w:r>
      <w:proofErr w:type="spellEnd"/>
      <w:r>
        <w:rPr>
          <w:rFonts w:ascii="Arial" w:eastAsia="Arial" w:hAnsi="Arial" w:cs="Arial"/>
        </w:rPr>
        <w:t xml:space="preserve">, Y., ... &amp; </w:t>
      </w:r>
      <w:proofErr w:type="spellStart"/>
      <w:r>
        <w:rPr>
          <w:rFonts w:ascii="Arial" w:eastAsia="Arial" w:hAnsi="Arial" w:cs="Arial"/>
        </w:rPr>
        <w:t>Muhaimin</w:t>
      </w:r>
      <w:proofErr w:type="spellEnd"/>
      <w:r>
        <w:rPr>
          <w:rFonts w:ascii="Arial" w:eastAsia="Arial" w:hAnsi="Arial" w:cs="Arial"/>
        </w:rPr>
        <w:t>, L. H. (2024). The Didactic Phenomenon: Deciphering Students' Learning Obstacles in Set Theory. Journal on M</w:t>
      </w:r>
      <w:r>
        <w:rPr>
          <w:rFonts w:ascii="Arial" w:eastAsia="Arial" w:hAnsi="Arial" w:cs="Arial"/>
        </w:rPr>
        <w:t xml:space="preserve">athematics Education, 15(2), 517-544.  https://doi.org/10.22342/jme.v15i2.pp517-544 </w:t>
      </w:r>
    </w:p>
    <w:p w:rsidR="009B39A5" w:rsidRDefault="00336C35">
      <w:pPr>
        <w:numPr>
          <w:ilvl w:val="0"/>
          <w:numId w:val="4"/>
        </w:numPr>
        <w:ind w:left="360"/>
        <w:jc w:val="both"/>
        <w:rPr>
          <w:rFonts w:ascii="Arial" w:eastAsia="Arial" w:hAnsi="Arial" w:cs="Arial"/>
        </w:rPr>
      </w:pPr>
      <w:proofErr w:type="spellStart"/>
      <w:r>
        <w:rPr>
          <w:rFonts w:ascii="Arial" w:eastAsia="Arial" w:hAnsi="Arial" w:cs="Arial"/>
        </w:rPr>
        <w:t>Hooda</w:t>
      </w:r>
      <w:proofErr w:type="spellEnd"/>
      <w:r>
        <w:rPr>
          <w:rFonts w:ascii="Arial" w:eastAsia="Arial" w:hAnsi="Arial" w:cs="Arial"/>
        </w:rPr>
        <w:t>, M., Rana, C., Dahiya, O., Rizwan, A., &amp; Hossain, M. S. (2022). Artificial intelligence for assessment and feedback to enhance student success in higher education. M</w:t>
      </w:r>
      <w:r>
        <w:rPr>
          <w:rFonts w:ascii="Arial" w:eastAsia="Arial" w:hAnsi="Arial" w:cs="Arial"/>
        </w:rPr>
        <w:t xml:space="preserve">athematical Problems in Engineering, 2022(1), 5215722.  https://doi.org/10.1155/2022/5215722 </w:t>
      </w:r>
    </w:p>
    <w:p w:rsidR="009B39A5" w:rsidRDefault="00336C35">
      <w:pPr>
        <w:numPr>
          <w:ilvl w:val="0"/>
          <w:numId w:val="4"/>
        </w:numPr>
        <w:ind w:left="360"/>
        <w:jc w:val="both"/>
        <w:rPr>
          <w:rFonts w:ascii="Arial" w:eastAsia="Arial" w:hAnsi="Arial" w:cs="Arial"/>
        </w:rPr>
      </w:pPr>
      <w:r>
        <w:rPr>
          <w:rFonts w:ascii="Arial" w:eastAsia="Arial" w:hAnsi="Arial" w:cs="Arial"/>
        </w:rPr>
        <w:t xml:space="preserve">Horwitz, E. K. (2020). Becoming a language teacher: A practical guide to second language learning and teaching (2nd ed.). </w:t>
      </w:r>
      <w:proofErr w:type="spellStart"/>
      <w:r>
        <w:rPr>
          <w:rFonts w:ascii="Arial" w:eastAsia="Arial" w:hAnsi="Arial" w:cs="Arial"/>
        </w:rPr>
        <w:t>Castledown</w:t>
      </w:r>
      <w:proofErr w:type="spellEnd"/>
      <w:r>
        <w:rPr>
          <w:rFonts w:ascii="Arial" w:eastAsia="Arial" w:hAnsi="Arial" w:cs="Arial"/>
        </w:rPr>
        <w:t xml:space="preserve"> Publishers. https://doi.org/1</w:t>
      </w:r>
      <w:r>
        <w:rPr>
          <w:rFonts w:ascii="Arial" w:eastAsia="Arial" w:hAnsi="Arial" w:cs="Arial"/>
        </w:rPr>
        <w:t>0.29140/9780648184416</w:t>
      </w:r>
    </w:p>
    <w:p w:rsidR="009B39A5" w:rsidRDefault="00336C35">
      <w:pPr>
        <w:numPr>
          <w:ilvl w:val="0"/>
          <w:numId w:val="4"/>
        </w:numPr>
        <w:ind w:left="360"/>
        <w:jc w:val="both"/>
        <w:rPr>
          <w:rFonts w:ascii="Arial" w:eastAsia="Arial" w:hAnsi="Arial" w:cs="Arial"/>
        </w:rPr>
      </w:pPr>
      <w:r>
        <w:rPr>
          <w:rFonts w:ascii="Arial" w:eastAsia="Arial" w:hAnsi="Arial" w:cs="Arial"/>
        </w:rPr>
        <w:t xml:space="preserve">Hughes, D. J., Adie, J. W., </w:t>
      </w:r>
      <w:proofErr w:type="spellStart"/>
      <w:r>
        <w:rPr>
          <w:rFonts w:ascii="Arial" w:eastAsia="Arial" w:hAnsi="Arial" w:cs="Arial"/>
        </w:rPr>
        <w:t>Kratsiotis</w:t>
      </w:r>
      <w:proofErr w:type="spellEnd"/>
      <w:r>
        <w:rPr>
          <w:rFonts w:ascii="Arial" w:eastAsia="Arial" w:hAnsi="Arial" w:cs="Arial"/>
        </w:rPr>
        <w:t>, I. K., Bartholomew, K. J., Bhakta, R., &amp; Martindale, J. (2023). Dark personality traits and psychological need frustration explain future levels of student satisfaction, engagement, and performance. Learning and Indi</w:t>
      </w:r>
      <w:r>
        <w:rPr>
          <w:rFonts w:ascii="Arial" w:eastAsia="Arial" w:hAnsi="Arial" w:cs="Arial"/>
        </w:rPr>
        <w:t xml:space="preserve">vidual Differences, 103, 102273.  https://doi.org/10.1016/j.lindif.2023.102273 </w:t>
      </w:r>
    </w:p>
    <w:p w:rsidR="009B39A5" w:rsidRDefault="00336C35">
      <w:pPr>
        <w:numPr>
          <w:ilvl w:val="0"/>
          <w:numId w:val="4"/>
        </w:numPr>
        <w:ind w:left="360"/>
        <w:jc w:val="both"/>
        <w:rPr>
          <w:rFonts w:ascii="Arial" w:eastAsia="Arial" w:hAnsi="Arial" w:cs="Arial"/>
        </w:rPr>
      </w:pPr>
      <w:r>
        <w:rPr>
          <w:rFonts w:ascii="Arial" w:eastAsia="Arial" w:hAnsi="Arial" w:cs="Arial"/>
        </w:rPr>
        <w:t>IRIS Center. (2021). Mnemonic strategies: Keyword method. Vanderbilt University. Retrieved from https://iris.peabody.vanderbilt.edu</w:t>
      </w:r>
    </w:p>
    <w:p w:rsidR="009B39A5" w:rsidRDefault="00336C35">
      <w:pPr>
        <w:numPr>
          <w:ilvl w:val="0"/>
          <w:numId w:val="4"/>
        </w:numPr>
        <w:ind w:left="360"/>
        <w:jc w:val="both"/>
        <w:rPr>
          <w:rFonts w:ascii="Arial" w:eastAsia="Arial" w:hAnsi="Arial" w:cs="Arial"/>
        </w:rPr>
      </w:pPr>
      <w:proofErr w:type="spellStart"/>
      <w:r>
        <w:rPr>
          <w:rFonts w:ascii="Arial" w:eastAsia="Arial" w:hAnsi="Arial" w:cs="Arial"/>
        </w:rPr>
        <w:lastRenderedPageBreak/>
        <w:t>Ishaq</w:t>
      </w:r>
      <w:proofErr w:type="spellEnd"/>
      <w:r>
        <w:rPr>
          <w:rFonts w:ascii="Arial" w:eastAsia="Arial" w:hAnsi="Arial" w:cs="Arial"/>
        </w:rPr>
        <w:t xml:space="preserve">, K., </w:t>
      </w:r>
      <w:proofErr w:type="spellStart"/>
      <w:r>
        <w:rPr>
          <w:rFonts w:ascii="Arial" w:eastAsia="Arial" w:hAnsi="Arial" w:cs="Arial"/>
        </w:rPr>
        <w:t>Alvi</w:t>
      </w:r>
      <w:proofErr w:type="spellEnd"/>
      <w:r>
        <w:rPr>
          <w:rFonts w:ascii="Arial" w:eastAsia="Arial" w:hAnsi="Arial" w:cs="Arial"/>
        </w:rPr>
        <w:t xml:space="preserve">, A., </w:t>
      </w:r>
      <w:proofErr w:type="spellStart"/>
      <w:r>
        <w:rPr>
          <w:rFonts w:ascii="Arial" w:eastAsia="Arial" w:hAnsi="Arial" w:cs="Arial"/>
        </w:rPr>
        <w:t>Haq</w:t>
      </w:r>
      <w:proofErr w:type="spellEnd"/>
      <w:r>
        <w:rPr>
          <w:rFonts w:ascii="Arial" w:eastAsia="Arial" w:hAnsi="Arial" w:cs="Arial"/>
        </w:rPr>
        <w:t xml:space="preserve">, M. I. U., </w:t>
      </w:r>
      <w:proofErr w:type="spellStart"/>
      <w:r>
        <w:rPr>
          <w:rFonts w:ascii="Arial" w:eastAsia="Arial" w:hAnsi="Arial" w:cs="Arial"/>
        </w:rPr>
        <w:t>Rosdi</w:t>
      </w:r>
      <w:proofErr w:type="spellEnd"/>
      <w:r>
        <w:rPr>
          <w:rFonts w:ascii="Arial" w:eastAsia="Arial" w:hAnsi="Arial" w:cs="Arial"/>
        </w:rPr>
        <w:t>, F</w:t>
      </w:r>
      <w:r>
        <w:rPr>
          <w:rFonts w:ascii="Arial" w:eastAsia="Arial" w:hAnsi="Arial" w:cs="Arial"/>
        </w:rPr>
        <w:t xml:space="preserve">., Choudhry, A. N., Anjum, A., &amp; Khan, F. A. (2024). Level up your coding: a systematic review of personalized, cognitive, and gamified learning in programming education. </w:t>
      </w:r>
      <w:proofErr w:type="spellStart"/>
      <w:r>
        <w:rPr>
          <w:rFonts w:ascii="Arial" w:eastAsia="Arial" w:hAnsi="Arial" w:cs="Arial"/>
        </w:rPr>
        <w:t>PeerJ</w:t>
      </w:r>
      <w:proofErr w:type="spellEnd"/>
      <w:r>
        <w:rPr>
          <w:rFonts w:ascii="Arial" w:eastAsia="Arial" w:hAnsi="Arial" w:cs="Arial"/>
        </w:rPr>
        <w:t xml:space="preserve"> Computer Science, 10, e2310. https://doi.org/10.7717/peerj-cs.2310</w:t>
      </w:r>
    </w:p>
    <w:p w:rsidR="009B39A5" w:rsidRDefault="00336C35">
      <w:pPr>
        <w:numPr>
          <w:ilvl w:val="0"/>
          <w:numId w:val="4"/>
        </w:numPr>
        <w:ind w:left="360"/>
        <w:jc w:val="both"/>
        <w:rPr>
          <w:rFonts w:ascii="Arial" w:eastAsia="Arial" w:hAnsi="Arial" w:cs="Arial"/>
        </w:rPr>
      </w:pPr>
      <w:r>
        <w:rPr>
          <w:rFonts w:ascii="Arial" w:eastAsia="Arial" w:hAnsi="Arial" w:cs="Arial"/>
        </w:rPr>
        <w:t>Jia, F., Sun</w:t>
      </w:r>
      <w:r>
        <w:rPr>
          <w:rFonts w:ascii="Arial" w:eastAsia="Arial" w:hAnsi="Arial" w:cs="Arial"/>
        </w:rPr>
        <w:t xml:space="preserve">, D., &amp; </w:t>
      </w:r>
      <w:proofErr w:type="spellStart"/>
      <w:r>
        <w:rPr>
          <w:rFonts w:ascii="Arial" w:eastAsia="Arial" w:hAnsi="Arial" w:cs="Arial"/>
        </w:rPr>
        <w:t>Looi</w:t>
      </w:r>
      <w:proofErr w:type="spellEnd"/>
      <w:r>
        <w:rPr>
          <w:rFonts w:ascii="Arial" w:eastAsia="Arial" w:hAnsi="Arial" w:cs="Arial"/>
        </w:rPr>
        <w:t xml:space="preserve">, C. K. (2024). Artificial intelligence in science education (2013–2023): Research trends in ten years. Journal of Science Education and Technology, 33(1), 94-117.  https://doi.org/10.1007/s10956-023-10077-6 </w:t>
      </w:r>
    </w:p>
    <w:p w:rsidR="009B39A5" w:rsidRDefault="00336C35">
      <w:pPr>
        <w:numPr>
          <w:ilvl w:val="0"/>
          <w:numId w:val="4"/>
        </w:numPr>
        <w:ind w:left="360"/>
        <w:jc w:val="both"/>
        <w:rPr>
          <w:rFonts w:ascii="Arial" w:eastAsia="Arial" w:hAnsi="Arial" w:cs="Arial"/>
        </w:rPr>
      </w:pPr>
      <w:r>
        <w:rPr>
          <w:rFonts w:ascii="Arial" w:eastAsia="Arial" w:hAnsi="Arial" w:cs="Arial"/>
        </w:rPr>
        <w:t xml:space="preserve">Jonassen, D. H., &amp; </w:t>
      </w:r>
      <w:proofErr w:type="spellStart"/>
      <w:r>
        <w:rPr>
          <w:rFonts w:ascii="Arial" w:eastAsia="Arial" w:hAnsi="Arial" w:cs="Arial"/>
        </w:rPr>
        <w:t>Carr</w:t>
      </w:r>
      <w:proofErr w:type="spellEnd"/>
      <w:r>
        <w:rPr>
          <w:rFonts w:ascii="Arial" w:eastAsia="Arial" w:hAnsi="Arial" w:cs="Arial"/>
        </w:rPr>
        <w:t>, C. S. (202</w:t>
      </w:r>
      <w:r>
        <w:rPr>
          <w:rFonts w:ascii="Arial" w:eastAsia="Arial" w:hAnsi="Arial" w:cs="Arial"/>
        </w:rPr>
        <w:t>0). Mindtools: Affording multiple knowledge representations for learning. In S. Lajoie (Ed.), Computers as Cognitive Tools: Volume II, No More Walls (pp. 165–196). Routledge. https://doi.org/10.4324/9781315045337-8</w:t>
      </w:r>
    </w:p>
    <w:p w:rsidR="009B39A5" w:rsidRDefault="00336C35">
      <w:pPr>
        <w:numPr>
          <w:ilvl w:val="0"/>
          <w:numId w:val="4"/>
        </w:numPr>
        <w:ind w:left="360"/>
        <w:jc w:val="both"/>
        <w:rPr>
          <w:rFonts w:ascii="Arial" w:eastAsia="Arial" w:hAnsi="Arial" w:cs="Arial"/>
        </w:rPr>
      </w:pPr>
      <w:r>
        <w:rPr>
          <w:rFonts w:ascii="Arial" w:eastAsia="Arial" w:hAnsi="Arial" w:cs="Arial"/>
        </w:rPr>
        <w:t>Joshua, M., &amp; Smith, L. (2017). A test of</w:t>
      </w:r>
      <w:r>
        <w:rPr>
          <w:rFonts w:ascii="Arial" w:eastAsia="Arial" w:hAnsi="Arial" w:cs="Arial"/>
        </w:rPr>
        <w:t xml:space="preserve"> two alternative cognitive processing models: Learning styles and dual coding. Thinking &amp; Reasoning, 23(3), 315–334. https://doi.org/10.1177/1477878517731450</w:t>
      </w:r>
    </w:p>
    <w:p w:rsidR="009B39A5" w:rsidRDefault="00336C35">
      <w:pPr>
        <w:numPr>
          <w:ilvl w:val="0"/>
          <w:numId w:val="4"/>
        </w:numPr>
        <w:ind w:left="360"/>
        <w:jc w:val="both"/>
        <w:rPr>
          <w:rFonts w:ascii="Arial" w:eastAsia="Arial" w:hAnsi="Arial" w:cs="Arial"/>
        </w:rPr>
      </w:pPr>
      <w:r>
        <w:rPr>
          <w:rFonts w:ascii="Arial" w:eastAsia="Arial" w:hAnsi="Arial" w:cs="Arial"/>
        </w:rPr>
        <w:t xml:space="preserve">Kadir, M. S., Yeung, A. S., </w:t>
      </w:r>
      <w:proofErr w:type="spellStart"/>
      <w:r>
        <w:rPr>
          <w:rFonts w:ascii="Arial" w:eastAsia="Arial" w:hAnsi="Arial" w:cs="Arial"/>
        </w:rPr>
        <w:t>Caleon</w:t>
      </w:r>
      <w:proofErr w:type="spellEnd"/>
      <w:r>
        <w:rPr>
          <w:rFonts w:ascii="Arial" w:eastAsia="Arial" w:hAnsi="Arial" w:cs="Arial"/>
        </w:rPr>
        <w:t>, I. S., Diallo, T. M., Forbes, A., &amp; Koh, W. X. (2023). The eff</w:t>
      </w:r>
      <w:r>
        <w:rPr>
          <w:rFonts w:ascii="Arial" w:eastAsia="Arial" w:hAnsi="Arial" w:cs="Arial"/>
        </w:rPr>
        <w:t xml:space="preserve">ects of load reduction instruction on educational outcomes: An intervention study on hands‐on inquiry‐based learning in science. Applied Cognitive Psychology, 37(4), 814-829.  https://doi.org/10.1002/acp.4077 </w:t>
      </w:r>
    </w:p>
    <w:p w:rsidR="009B39A5" w:rsidRDefault="00336C35">
      <w:pPr>
        <w:numPr>
          <w:ilvl w:val="0"/>
          <w:numId w:val="4"/>
        </w:numPr>
        <w:ind w:left="360"/>
        <w:jc w:val="both"/>
        <w:rPr>
          <w:rFonts w:ascii="Arial" w:eastAsia="Arial" w:hAnsi="Arial" w:cs="Arial"/>
        </w:rPr>
      </w:pPr>
      <w:r>
        <w:rPr>
          <w:rFonts w:ascii="Arial" w:eastAsia="Arial" w:hAnsi="Arial" w:cs="Arial"/>
        </w:rPr>
        <w:t xml:space="preserve">Kadir, M. S., Yeung, A. S., Ryan, R. M., </w:t>
      </w:r>
      <w:r>
        <w:rPr>
          <w:rFonts w:ascii="Arial" w:eastAsia="Arial" w:hAnsi="Arial" w:cs="Arial"/>
        </w:rPr>
        <w:t>Forbes, A., &amp; Diallo, T. M. O. (2018). Effects of a Dual-Approach instruction on students’ science achievement and motivation. Educational Psychology Review, 32(2), 571–602. https://doi.org/10.1007/s10648-018-9449-3</w:t>
      </w:r>
    </w:p>
    <w:p w:rsidR="009B39A5" w:rsidRDefault="00336C35">
      <w:pPr>
        <w:numPr>
          <w:ilvl w:val="0"/>
          <w:numId w:val="4"/>
        </w:numPr>
        <w:ind w:left="360"/>
        <w:jc w:val="both"/>
        <w:rPr>
          <w:rFonts w:ascii="Arial" w:eastAsia="Arial" w:hAnsi="Arial" w:cs="Arial"/>
        </w:rPr>
      </w:pPr>
      <w:proofErr w:type="spellStart"/>
      <w:r>
        <w:rPr>
          <w:rFonts w:ascii="Arial" w:eastAsia="Arial" w:hAnsi="Arial" w:cs="Arial"/>
        </w:rPr>
        <w:t>Ke</w:t>
      </w:r>
      <w:proofErr w:type="spellEnd"/>
      <w:r>
        <w:rPr>
          <w:rFonts w:ascii="Arial" w:eastAsia="Arial" w:hAnsi="Arial" w:cs="Arial"/>
        </w:rPr>
        <w:t xml:space="preserve">, L., Sadler, T. D., </w:t>
      </w:r>
      <w:proofErr w:type="spellStart"/>
      <w:r>
        <w:rPr>
          <w:rFonts w:ascii="Arial" w:eastAsia="Arial" w:hAnsi="Arial" w:cs="Arial"/>
        </w:rPr>
        <w:t>Zangori</w:t>
      </w:r>
      <w:proofErr w:type="spellEnd"/>
      <w:r>
        <w:rPr>
          <w:rFonts w:ascii="Arial" w:eastAsia="Arial" w:hAnsi="Arial" w:cs="Arial"/>
        </w:rPr>
        <w:t>, L., &amp; Fr</w:t>
      </w:r>
      <w:r>
        <w:rPr>
          <w:rFonts w:ascii="Arial" w:eastAsia="Arial" w:hAnsi="Arial" w:cs="Arial"/>
        </w:rPr>
        <w:t xml:space="preserve">iedrichsen, P. J. (2021). Developing and using multiple models to promote scientific literacy in the context of socio-scientific issues. Science &amp; Education, 30(3), 589-607.  https://doi.org/10.1007/s11191-021-00206-1 </w:t>
      </w:r>
    </w:p>
    <w:p w:rsidR="009B39A5" w:rsidRDefault="00336C35">
      <w:pPr>
        <w:numPr>
          <w:ilvl w:val="0"/>
          <w:numId w:val="4"/>
        </w:numPr>
        <w:ind w:left="360"/>
        <w:jc w:val="both"/>
        <w:rPr>
          <w:rFonts w:ascii="Arial" w:eastAsia="Arial" w:hAnsi="Arial" w:cs="Arial"/>
        </w:rPr>
      </w:pPr>
      <w:r>
        <w:rPr>
          <w:rFonts w:ascii="Arial" w:eastAsia="Arial" w:hAnsi="Arial" w:cs="Arial"/>
        </w:rPr>
        <w:t>Keller, M. M., Hoy, A. W., Goetz, T.,</w:t>
      </w:r>
      <w:r>
        <w:rPr>
          <w:rFonts w:ascii="Arial" w:eastAsia="Arial" w:hAnsi="Arial" w:cs="Arial"/>
        </w:rPr>
        <w:t xml:space="preserve"> &amp; </w:t>
      </w:r>
      <w:proofErr w:type="spellStart"/>
      <w:r>
        <w:rPr>
          <w:rFonts w:ascii="Arial" w:eastAsia="Arial" w:hAnsi="Arial" w:cs="Arial"/>
        </w:rPr>
        <w:t>Frenzel</w:t>
      </w:r>
      <w:proofErr w:type="spellEnd"/>
      <w:r>
        <w:rPr>
          <w:rFonts w:ascii="Arial" w:eastAsia="Arial" w:hAnsi="Arial" w:cs="Arial"/>
        </w:rPr>
        <w:t>, A. C. (2016). Teacher enthusiasm: Reviewing and redefining a complex construct. Educational Psychology Review, 28, 743-769.</w:t>
      </w:r>
    </w:p>
    <w:p w:rsidR="009B39A5" w:rsidRDefault="00336C35">
      <w:pPr>
        <w:numPr>
          <w:ilvl w:val="0"/>
          <w:numId w:val="4"/>
        </w:numPr>
        <w:ind w:left="360"/>
        <w:jc w:val="both"/>
        <w:rPr>
          <w:rFonts w:ascii="Arial" w:eastAsia="Arial" w:hAnsi="Arial" w:cs="Arial"/>
        </w:rPr>
      </w:pPr>
      <w:proofErr w:type="spellStart"/>
      <w:r>
        <w:rPr>
          <w:rFonts w:ascii="Arial" w:eastAsia="Arial" w:hAnsi="Arial" w:cs="Arial"/>
        </w:rPr>
        <w:t>Khelifi</w:t>
      </w:r>
      <w:proofErr w:type="spellEnd"/>
      <w:r>
        <w:rPr>
          <w:rFonts w:ascii="Arial" w:eastAsia="Arial" w:hAnsi="Arial" w:cs="Arial"/>
        </w:rPr>
        <w:t xml:space="preserve">, K., &amp; </w:t>
      </w:r>
      <w:proofErr w:type="spellStart"/>
      <w:r>
        <w:rPr>
          <w:rFonts w:ascii="Arial" w:eastAsia="Arial" w:hAnsi="Arial" w:cs="Arial"/>
        </w:rPr>
        <w:t>Hamzaoui-elachachi</w:t>
      </w:r>
      <w:proofErr w:type="spellEnd"/>
      <w:r>
        <w:rPr>
          <w:rFonts w:ascii="Arial" w:eastAsia="Arial" w:hAnsi="Arial" w:cs="Arial"/>
        </w:rPr>
        <w:t xml:space="preserve">, H. (2024). </w:t>
      </w:r>
      <w:proofErr w:type="spellStart"/>
      <w:r>
        <w:rPr>
          <w:rFonts w:ascii="Arial" w:eastAsia="Arial" w:hAnsi="Arial" w:cs="Arial"/>
        </w:rPr>
        <w:t>Beyond’One</w:t>
      </w:r>
      <w:proofErr w:type="spellEnd"/>
      <w:r>
        <w:rPr>
          <w:rFonts w:ascii="Arial" w:eastAsia="Arial" w:hAnsi="Arial" w:cs="Arial"/>
        </w:rPr>
        <w:t>-Size-Fits-</w:t>
      </w:r>
      <w:proofErr w:type="spellStart"/>
      <w:r>
        <w:rPr>
          <w:rFonts w:ascii="Arial" w:eastAsia="Arial" w:hAnsi="Arial" w:cs="Arial"/>
        </w:rPr>
        <w:t>All’Teaching</w:t>
      </w:r>
      <w:proofErr w:type="spellEnd"/>
      <w:r>
        <w:rPr>
          <w:rFonts w:ascii="Arial" w:eastAsia="Arial" w:hAnsi="Arial" w:cs="Arial"/>
        </w:rPr>
        <w:t>: Embracing the Learner-Centered Paradigm</w:t>
      </w:r>
      <w:r>
        <w:rPr>
          <w:rFonts w:ascii="Arial" w:eastAsia="Arial" w:hAnsi="Arial" w:cs="Arial"/>
        </w:rPr>
        <w:t xml:space="preserve"> Through Differentiated Instruction. </w:t>
      </w:r>
      <w:r>
        <w:rPr>
          <w:rFonts w:ascii="Arial" w:eastAsia="Arial" w:hAnsi="Arial" w:cs="Arial"/>
          <w:rtl/>
        </w:rPr>
        <w:t>التعليمية</w:t>
      </w:r>
      <w:r>
        <w:rPr>
          <w:rFonts w:ascii="Arial" w:eastAsia="Arial" w:hAnsi="Arial" w:cs="Arial"/>
        </w:rPr>
        <w:t xml:space="preserve">, 14(2), 708-726.‎ https://doi.org/10.22251/jlcci.2024.24.14. </w:t>
      </w:r>
    </w:p>
    <w:p w:rsidR="009B39A5" w:rsidRDefault="00336C35">
      <w:pPr>
        <w:numPr>
          <w:ilvl w:val="0"/>
          <w:numId w:val="4"/>
        </w:numPr>
        <w:ind w:left="360"/>
        <w:jc w:val="both"/>
        <w:rPr>
          <w:rFonts w:ascii="Arial" w:eastAsia="Arial" w:hAnsi="Arial" w:cs="Arial"/>
        </w:rPr>
      </w:pPr>
      <w:proofErr w:type="spellStart"/>
      <w:r>
        <w:rPr>
          <w:rFonts w:ascii="Arial" w:eastAsia="Arial" w:hAnsi="Arial" w:cs="Arial"/>
        </w:rPr>
        <w:t>Kilag</w:t>
      </w:r>
      <w:proofErr w:type="spellEnd"/>
      <w:r>
        <w:rPr>
          <w:rFonts w:ascii="Arial" w:eastAsia="Arial" w:hAnsi="Arial" w:cs="Arial"/>
        </w:rPr>
        <w:t xml:space="preserve">, O. K., </w:t>
      </w:r>
      <w:proofErr w:type="spellStart"/>
      <w:r>
        <w:rPr>
          <w:rFonts w:ascii="Arial" w:eastAsia="Arial" w:hAnsi="Arial" w:cs="Arial"/>
        </w:rPr>
        <w:t>Lisao</w:t>
      </w:r>
      <w:proofErr w:type="spellEnd"/>
      <w:r>
        <w:rPr>
          <w:rFonts w:ascii="Arial" w:eastAsia="Arial" w:hAnsi="Arial" w:cs="Arial"/>
        </w:rPr>
        <w:t xml:space="preserve">, C., </w:t>
      </w:r>
      <w:proofErr w:type="spellStart"/>
      <w:r>
        <w:rPr>
          <w:rFonts w:ascii="Arial" w:eastAsia="Arial" w:hAnsi="Arial" w:cs="Arial"/>
        </w:rPr>
        <w:t>Lastimoso</w:t>
      </w:r>
      <w:proofErr w:type="spellEnd"/>
      <w:r>
        <w:rPr>
          <w:rFonts w:ascii="Arial" w:eastAsia="Arial" w:hAnsi="Arial" w:cs="Arial"/>
        </w:rPr>
        <w:t xml:space="preserve">, J., Villa, F. L., &amp; </w:t>
      </w:r>
      <w:proofErr w:type="spellStart"/>
      <w:r>
        <w:rPr>
          <w:rFonts w:ascii="Arial" w:eastAsia="Arial" w:hAnsi="Arial" w:cs="Arial"/>
        </w:rPr>
        <w:t>Miñoza</w:t>
      </w:r>
      <w:proofErr w:type="spellEnd"/>
      <w:r>
        <w:rPr>
          <w:rFonts w:ascii="Arial" w:eastAsia="Arial" w:hAnsi="Arial" w:cs="Arial"/>
        </w:rPr>
        <w:t xml:space="preserve">, C. A. (2023). </w:t>
      </w:r>
      <w:proofErr w:type="spellStart"/>
      <w:r>
        <w:rPr>
          <w:rFonts w:ascii="Arial" w:eastAsia="Arial" w:hAnsi="Arial" w:cs="Arial"/>
        </w:rPr>
        <w:t>Bildung</w:t>
      </w:r>
      <w:proofErr w:type="spellEnd"/>
      <w:r>
        <w:rPr>
          <w:rFonts w:ascii="Arial" w:eastAsia="Arial" w:hAnsi="Arial" w:cs="Arial"/>
        </w:rPr>
        <w:t>-oriented science education: A critical review of different vi</w:t>
      </w:r>
      <w:r>
        <w:rPr>
          <w:rFonts w:ascii="Arial" w:eastAsia="Arial" w:hAnsi="Arial" w:cs="Arial"/>
        </w:rPr>
        <w:t>sions of scientific literacy. </w:t>
      </w:r>
      <w:proofErr w:type="spellStart"/>
      <w:r>
        <w:rPr>
          <w:rFonts w:ascii="Arial" w:eastAsia="Arial" w:hAnsi="Arial" w:cs="Arial"/>
        </w:rPr>
        <w:t>Excellencia</w:t>
      </w:r>
      <w:proofErr w:type="spellEnd"/>
      <w:r>
        <w:rPr>
          <w:rFonts w:ascii="Arial" w:eastAsia="Arial" w:hAnsi="Arial" w:cs="Arial"/>
        </w:rPr>
        <w:t>: International Multi-disciplinary Journal of Education, 1(4), 115-127.</w:t>
      </w:r>
    </w:p>
    <w:p w:rsidR="009B39A5" w:rsidRDefault="00336C35">
      <w:pPr>
        <w:numPr>
          <w:ilvl w:val="0"/>
          <w:numId w:val="4"/>
        </w:numPr>
        <w:ind w:left="360"/>
        <w:jc w:val="both"/>
        <w:rPr>
          <w:rFonts w:ascii="Arial" w:eastAsia="Arial" w:hAnsi="Arial" w:cs="Arial"/>
        </w:rPr>
      </w:pPr>
      <w:proofErr w:type="spellStart"/>
      <w:r>
        <w:rPr>
          <w:rFonts w:ascii="Arial" w:eastAsia="Arial" w:hAnsi="Arial" w:cs="Arial"/>
        </w:rPr>
        <w:t>Koerber</w:t>
      </w:r>
      <w:proofErr w:type="spellEnd"/>
      <w:r>
        <w:rPr>
          <w:rFonts w:ascii="Arial" w:eastAsia="Arial" w:hAnsi="Arial" w:cs="Arial"/>
        </w:rPr>
        <w:t>, S., &amp; Osterhaus, C. (2019). Individual differences in early scientific thinking: Assessment, cognitive influences, and their relevance</w:t>
      </w:r>
      <w:r>
        <w:rPr>
          <w:rFonts w:ascii="Arial" w:eastAsia="Arial" w:hAnsi="Arial" w:cs="Arial"/>
        </w:rPr>
        <w:t xml:space="preserve"> for science learning. Journal of Cognition and Development, 20(4), 510-533. https://doi.org/10.1080/15248372.2019.1620232 </w:t>
      </w:r>
    </w:p>
    <w:p w:rsidR="009B39A5" w:rsidRDefault="00336C35">
      <w:pPr>
        <w:numPr>
          <w:ilvl w:val="0"/>
          <w:numId w:val="4"/>
        </w:numPr>
        <w:ind w:left="360"/>
        <w:jc w:val="both"/>
        <w:rPr>
          <w:rFonts w:ascii="Arial" w:eastAsia="Arial" w:hAnsi="Arial" w:cs="Arial"/>
        </w:rPr>
      </w:pPr>
      <w:r>
        <w:rPr>
          <w:rFonts w:ascii="Arial" w:eastAsia="Arial" w:hAnsi="Arial" w:cs="Arial"/>
        </w:rPr>
        <w:t xml:space="preserve">Kong, S. F., &amp; </w:t>
      </w:r>
      <w:proofErr w:type="spellStart"/>
      <w:r>
        <w:rPr>
          <w:rFonts w:ascii="Arial" w:eastAsia="Arial" w:hAnsi="Arial" w:cs="Arial"/>
        </w:rPr>
        <w:t>Mohd</w:t>
      </w:r>
      <w:proofErr w:type="spellEnd"/>
      <w:r>
        <w:rPr>
          <w:rFonts w:ascii="Arial" w:eastAsia="Arial" w:hAnsi="Arial" w:cs="Arial"/>
        </w:rPr>
        <w:t xml:space="preserve"> </w:t>
      </w:r>
      <w:proofErr w:type="spellStart"/>
      <w:r>
        <w:rPr>
          <w:rFonts w:ascii="Arial" w:eastAsia="Arial" w:hAnsi="Arial" w:cs="Arial"/>
        </w:rPr>
        <w:t>Matore</w:t>
      </w:r>
      <w:proofErr w:type="spellEnd"/>
      <w:r>
        <w:rPr>
          <w:rFonts w:ascii="Arial" w:eastAsia="Arial" w:hAnsi="Arial" w:cs="Arial"/>
        </w:rPr>
        <w:t>, M. E. E. (2021). Can a Science, Technology, Engineering, and Mathematics (STEM) approach enhance student</w:t>
      </w:r>
      <w:r>
        <w:rPr>
          <w:rFonts w:ascii="Arial" w:eastAsia="Arial" w:hAnsi="Arial" w:cs="Arial"/>
        </w:rPr>
        <w:t xml:space="preserve">s’ mathematics </w:t>
      </w:r>
      <w:proofErr w:type="gramStart"/>
      <w:r>
        <w:rPr>
          <w:rFonts w:ascii="Arial" w:eastAsia="Arial" w:hAnsi="Arial" w:cs="Arial"/>
        </w:rPr>
        <w:t>performance?.</w:t>
      </w:r>
      <w:proofErr w:type="gramEnd"/>
      <w:r>
        <w:rPr>
          <w:rFonts w:ascii="Arial" w:eastAsia="Arial" w:hAnsi="Arial" w:cs="Arial"/>
        </w:rPr>
        <w:t xml:space="preserve"> Sustainability, 14(1), 379.  https://doi.org/10.3390/su14010379 </w:t>
      </w:r>
    </w:p>
    <w:p w:rsidR="009B39A5" w:rsidRDefault="00336C35">
      <w:pPr>
        <w:numPr>
          <w:ilvl w:val="0"/>
          <w:numId w:val="4"/>
        </w:numPr>
        <w:ind w:left="360"/>
        <w:jc w:val="both"/>
        <w:rPr>
          <w:rFonts w:ascii="Arial" w:eastAsia="Arial" w:hAnsi="Arial" w:cs="Arial"/>
        </w:rPr>
      </w:pPr>
      <w:proofErr w:type="spellStart"/>
      <w:r>
        <w:rPr>
          <w:rFonts w:ascii="Arial" w:eastAsia="Arial" w:hAnsi="Arial" w:cs="Arial"/>
        </w:rPr>
        <w:t>Korankye</w:t>
      </w:r>
      <w:proofErr w:type="spellEnd"/>
      <w:r>
        <w:rPr>
          <w:rFonts w:ascii="Arial" w:eastAsia="Arial" w:hAnsi="Arial" w:cs="Arial"/>
        </w:rPr>
        <w:t>-Mensah, L. A. W. R. E. N. C. E. (2022). Comparing the effects of mnemonic, prior knowledge and modified lecture-based instructional strategies on student</w:t>
      </w:r>
      <w:r>
        <w:rPr>
          <w:rFonts w:ascii="Arial" w:eastAsia="Arial" w:hAnsi="Arial" w:cs="Arial"/>
        </w:rPr>
        <w:t xml:space="preserve">s’ learning outcomes of ion-identification in Accra girls’ senior high school (Doctoral dissertation, University of Education Winneba).  https://doi.org/10.33828/sei.v33.i2.4 </w:t>
      </w:r>
    </w:p>
    <w:p w:rsidR="009B39A5" w:rsidRDefault="00336C35">
      <w:pPr>
        <w:numPr>
          <w:ilvl w:val="0"/>
          <w:numId w:val="4"/>
        </w:numPr>
        <w:ind w:left="360"/>
        <w:jc w:val="both"/>
        <w:rPr>
          <w:rFonts w:ascii="Arial" w:eastAsia="Arial" w:hAnsi="Arial" w:cs="Arial"/>
        </w:rPr>
      </w:pPr>
      <w:proofErr w:type="spellStart"/>
      <w:r>
        <w:rPr>
          <w:rFonts w:ascii="Arial" w:eastAsia="Arial" w:hAnsi="Arial" w:cs="Arial"/>
        </w:rPr>
        <w:t>Kotorov</w:t>
      </w:r>
      <w:proofErr w:type="spellEnd"/>
      <w:r>
        <w:rPr>
          <w:rFonts w:ascii="Arial" w:eastAsia="Arial" w:hAnsi="Arial" w:cs="Arial"/>
        </w:rPr>
        <w:t xml:space="preserve">, I., </w:t>
      </w:r>
      <w:proofErr w:type="spellStart"/>
      <w:r>
        <w:rPr>
          <w:rFonts w:ascii="Arial" w:eastAsia="Arial" w:hAnsi="Arial" w:cs="Arial"/>
        </w:rPr>
        <w:t>Krasylnykova</w:t>
      </w:r>
      <w:proofErr w:type="spellEnd"/>
      <w:r>
        <w:rPr>
          <w:rFonts w:ascii="Arial" w:eastAsia="Arial" w:hAnsi="Arial" w:cs="Arial"/>
        </w:rPr>
        <w:t>, Y., Pérez-</w:t>
      </w:r>
      <w:proofErr w:type="spellStart"/>
      <w:r>
        <w:rPr>
          <w:rFonts w:ascii="Arial" w:eastAsia="Arial" w:hAnsi="Arial" w:cs="Arial"/>
        </w:rPr>
        <w:t>Sanagustín</w:t>
      </w:r>
      <w:proofErr w:type="spellEnd"/>
      <w:r>
        <w:rPr>
          <w:rFonts w:ascii="Arial" w:eastAsia="Arial" w:hAnsi="Arial" w:cs="Arial"/>
        </w:rPr>
        <w:t xml:space="preserve">, M., </w:t>
      </w:r>
      <w:proofErr w:type="spellStart"/>
      <w:r>
        <w:rPr>
          <w:rFonts w:ascii="Arial" w:eastAsia="Arial" w:hAnsi="Arial" w:cs="Arial"/>
        </w:rPr>
        <w:t>Mansilla</w:t>
      </w:r>
      <w:proofErr w:type="spellEnd"/>
      <w:r>
        <w:rPr>
          <w:rFonts w:ascii="Arial" w:eastAsia="Arial" w:hAnsi="Arial" w:cs="Arial"/>
        </w:rPr>
        <w:t xml:space="preserve">, F., &amp; </w:t>
      </w:r>
      <w:proofErr w:type="spellStart"/>
      <w:r>
        <w:rPr>
          <w:rFonts w:ascii="Arial" w:eastAsia="Arial" w:hAnsi="Arial" w:cs="Arial"/>
        </w:rPr>
        <w:t>Broisin</w:t>
      </w:r>
      <w:proofErr w:type="spellEnd"/>
      <w:r>
        <w:rPr>
          <w:rFonts w:ascii="Arial" w:eastAsia="Arial" w:hAnsi="Arial" w:cs="Arial"/>
        </w:rPr>
        <w:t>, J.</w:t>
      </w:r>
      <w:r>
        <w:rPr>
          <w:rFonts w:ascii="Arial" w:eastAsia="Arial" w:hAnsi="Arial" w:cs="Arial"/>
        </w:rPr>
        <w:t xml:space="preserve"> (2024). Supporting Decision-Making for Promoting Teaching and Learning Innovation. Journal of Learning Analytics, 11(1), 21-36.  https://doi.org/10.18608/jla.2024.8131 </w:t>
      </w:r>
    </w:p>
    <w:p w:rsidR="009B39A5" w:rsidRDefault="00336C35">
      <w:pPr>
        <w:numPr>
          <w:ilvl w:val="0"/>
          <w:numId w:val="4"/>
        </w:numPr>
        <w:ind w:left="360"/>
        <w:jc w:val="both"/>
        <w:rPr>
          <w:rFonts w:ascii="Arial" w:eastAsia="Arial" w:hAnsi="Arial" w:cs="Arial"/>
        </w:rPr>
      </w:pPr>
      <w:r>
        <w:rPr>
          <w:rFonts w:ascii="Arial" w:eastAsia="Arial" w:hAnsi="Arial" w:cs="Arial"/>
        </w:rPr>
        <w:t>Kraft, M. A. (2020). Interpreting effect sizes of education interventions. Educational</w:t>
      </w:r>
      <w:r>
        <w:rPr>
          <w:rFonts w:ascii="Arial" w:eastAsia="Arial" w:hAnsi="Arial" w:cs="Arial"/>
        </w:rPr>
        <w:t xml:space="preserve"> Researcher, 49(4), 241–253. https://doi.org/10.3102/0013189x20912798</w:t>
      </w:r>
    </w:p>
    <w:p w:rsidR="009B39A5" w:rsidRDefault="00336C35">
      <w:pPr>
        <w:numPr>
          <w:ilvl w:val="0"/>
          <w:numId w:val="4"/>
        </w:numPr>
        <w:ind w:left="360"/>
        <w:jc w:val="both"/>
        <w:rPr>
          <w:rFonts w:ascii="Arial" w:eastAsia="Arial" w:hAnsi="Arial" w:cs="Arial"/>
        </w:rPr>
      </w:pPr>
      <w:proofErr w:type="spellStart"/>
      <w:r>
        <w:rPr>
          <w:rFonts w:ascii="Arial" w:eastAsia="Arial" w:hAnsi="Arial" w:cs="Arial"/>
        </w:rPr>
        <w:t>Krajcik</w:t>
      </w:r>
      <w:proofErr w:type="spellEnd"/>
      <w:r>
        <w:rPr>
          <w:rFonts w:ascii="Arial" w:eastAsia="Arial" w:hAnsi="Arial" w:cs="Arial"/>
        </w:rPr>
        <w:t>, J., &amp; Shin, N. (2023). Student conceptions, conceptual change, and learning progressions. In Handbook of research on science education (pp. 121-157). Routledge.  https://doi.org</w:t>
      </w:r>
      <w:r>
        <w:rPr>
          <w:rFonts w:ascii="Arial" w:eastAsia="Arial" w:hAnsi="Arial" w:cs="Arial"/>
        </w:rPr>
        <w:t xml:space="preserve">/10.4324/9780367855758-7 </w:t>
      </w:r>
    </w:p>
    <w:p w:rsidR="009B39A5" w:rsidRDefault="00336C35">
      <w:pPr>
        <w:numPr>
          <w:ilvl w:val="0"/>
          <w:numId w:val="4"/>
        </w:numPr>
        <w:ind w:left="360"/>
        <w:jc w:val="both"/>
        <w:rPr>
          <w:rFonts w:ascii="Arial" w:eastAsia="Arial" w:hAnsi="Arial" w:cs="Arial"/>
        </w:rPr>
      </w:pPr>
      <w:proofErr w:type="spellStart"/>
      <w:r>
        <w:rPr>
          <w:rFonts w:ascii="Arial" w:eastAsia="Arial" w:hAnsi="Arial" w:cs="Arial"/>
        </w:rPr>
        <w:t>Kurniarahman</w:t>
      </w:r>
      <w:proofErr w:type="spellEnd"/>
      <w:r>
        <w:rPr>
          <w:rFonts w:ascii="Arial" w:eastAsia="Arial" w:hAnsi="Arial" w:cs="Arial"/>
        </w:rPr>
        <w:t>, I. (2023). Mnemonics and their effect on students’ vocabulary memorization and recall: A quantitative study. BATARA DIDI: English Language Journal, 2(1), 10–24. https://doi.org/10.56209/badi.v2i1.51</w:t>
      </w:r>
    </w:p>
    <w:p w:rsidR="009B39A5" w:rsidRDefault="00336C35">
      <w:pPr>
        <w:numPr>
          <w:ilvl w:val="0"/>
          <w:numId w:val="4"/>
        </w:numPr>
        <w:ind w:left="360"/>
        <w:jc w:val="both"/>
        <w:rPr>
          <w:rFonts w:ascii="Arial" w:eastAsia="Arial" w:hAnsi="Arial" w:cs="Arial"/>
        </w:rPr>
      </w:pPr>
      <w:proofErr w:type="spellStart"/>
      <w:r>
        <w:rPr>
          <w:rFonts w:ascii="Arial" w:eastAsia="Arial" w:hAnsi="Arial" w:cs="Arial"/>
        </w:rPr>
        <w:t>LaDue</w:t>
      </w:r>
      <w:proofErr w:type="spellEnd"/>
      <w:r>
        <w:rPr>
          <w:rFonts w:ascii="Arial" w:eastAsia="Arial" w:hAnsi="Arial" w:cs="Arial"/>
        </w:rPr>
        <w:t xml:space="preserve">, N. D., </w:t>
      </w:r>
      <w:proofErr w:type="spellStart"/>
      <w:r>
        <w:rPr>
          <w:rFonts w:ascii="Arial" w:eastAsia="Arial" w:hAnsi="Arial" w:cs="Arial"/>
        </w:rPr>
        <w:t>Lib</w:t>
      </w:r>
      <w:r>
        <w:rPr>
          <w:rFonts w:ascii="Arial" w:eastAsia="Arial" w:hAnsi="Arial" w:cs="Arial"/>
        </w:rPr>
        <w:t>arkin</w:t>
      </w:r>
      <w:proofErr w:type="spellEnd"/>
      <w:r>
        <w:rPr>
          <w:rFonts w:ascii="Arial" w:eastAsia="Arial" w:hAnsi="Arial" w:cs="Arial"/>
        </w:rPr>
        <w:t>, J. C., &amp; Thomas, S. R. (2015). Visual representations on high school biology, chemistry, earth science, and physics assessments. Journal of Science Education and Technology, 24(6), 818–834. https://doi.org/10.1007/s10956-015-9566-4</w:t>
      </w:r>
    </w:p>
    <w:p w:rsidR="009B39A5" w:rsidRDefault="00336C35">
      <w:pPr>
        <w:numPr>
          <w:ilvl w:val="0"/>
          <w:numId w:val="4"/>
        </w:numPr>
        <w:ind w:left="360"/>
        <w:jc w:val="both"/>
        <w:rPr>
          <w:rFonts w:ascii="Arial" w:eastAsia="Arial" w:hAnsi="Arial" w:cs="Arial"/>
        </w:rPr>
      </w:pPr>
      <w:r>
        <w:rPr>
          <w:rFonts w:ascii="Arial" w:eastAsia="Arial" w:hAnsi="Arial" w:cs="Arial"/>
        </w:rPr>
        <w:lastRenderedPageBreak/>
        <w:t>Larsen, D. P. (20</w:t>
      </w:r>
      <w:r>
        <w:rPr>
          <w:rFonts w:ascii="Arial" w:eastAsia="Arial" w:hAnsi="Arial" w:cs="Arial"/>
        </w:rPr>
        <w:t>18). Planning Education for Long-Term Retention: The Cognitive Science and Implementation of Retrieval Practice. Seminars in Neurology, 38(4), 449–456. https://doi.org/10.1055/s-0038-1666983</w:t>
      </w:r>
    </w:p>
    <w:p w:rsidR="009B39A5" w:rsidRDefault="00336C35">
      <w:pPr>
        <w:numPr>
          <w:ilvl w:val="0"/>
          <w:numId w:val="4"/>
        </w:numPr>
        <w:ind w:left="360"/>
        <w:jc w:val="both"/>
        <w:rPr>
          <w:rFonts w:ascii="Arial" w:eastAsia="Arial" w:hAnsi="Arial" w:cs="Arial"/>
        </w:rPr>
      </w:pPr>
      <w:r>
        <w:rPr>
          <w:rFonts w:ascii="Arial" w:eastAsia="Arial" w:hAnsi="Arial" w:cs="Arial"/>
        </w:rPr>
        <w:t xml:space="preserve">Law, S. H., </w:t>
      </w:r>
      <w:proofErr w:type="spellStart"/>
      <w:r>
        <w:rPr>
          <w:rFonts w:ascii="Arial" w:eastAsia="Arial" w:hAnsi="Arial" w:cs="Arial"/>
        </w:rPr>
        <w:t>Yunus</w:t>
      </w:r>
      <w:proofErr w:type="spellEnd"/>
      <w:r>
        <w:rPr>
          <w:rFonts w:ascii="Arial" w:eastAsia="Arial" w:hAnsi="Arial" w:cs="Arial"/>
        </w:rPr>
        <w:t>, M. M., &amp; Hashim, H. (2021). Strategy to improv</w:t>
      </w:r>
      <w:r>
        <w:rPr>
          <w:rFonts w:ascii="Arial" w:eastAsia="Arial" w:hAnsi="Arial" w:cs="Arial"/>
        </w:rPr>
        <w:t>e English vocabulary achievement during COVID-19 epidemic: Does Quizizz help? Journal of Education and e-Learning Research, 8(2), 135–142. https://doi.org/10.20448/journal.509.2021.82.135.142</w:t>
      </w:r>
    </w:p>
    <w:p w:rsidR="009B39A5" w:rsidRDefault="00336C35">
      <w:pPr>
        <w:numPr>
          <w:ilvl w:val="0"/>
          <w:numId w:val="4"/>
        </w:numPr>
        <w:ind w:left="360"/>
        <w:jc w:val="both"/>
        <w:rPr>
          <w:rFonts w:ascii="Arial" w:eastAsia="Arial" w:hAnsi="Arial" w:cs="Arial"/>
        </w:rPr>
      </w:pPr>
      <w:r>
        <w:rPr>
          <w:rFonts w:ascii="Arial" w:eastAsia="Arial" w:hAnsi="Arial" w:cs="Arial"/>
        </w:rPr>
        <w:t>Li, Y., &amp; Guo, M. (2021). Scientific literacy in communicating s</w:t>
      </w:r>
      <w:r>
        <w:rPr>
          <w:rFonts w:ascii="Arial" w:eastAsia="Arial" w:hAnsi="Arial" w:cs="Arial"/>
        </w:rPr>
        <w:t xml:space="preserve">cience and socio-scientific issues: Prospects and challenges. Frontiers in Psychology, 12, 758000.  https://doi.org/10.3389/fpsyg.2021.758000 </w:t>
      </w:r>
    </w:p>
    <w:p w:rsidR="009B39A5" w:rsidRDefault="00336C35">
      <w:pPr>
        <w:numPr>
          <w:ilvl w:val="0"/>
          <w:numId w:val="4"/>
        </w:numPr>
        <w:ind w:left="360"/>
        <w:jc w:val="both"/>
        <w:rPr>
          <w:rFonts w:ascii="Arial" w:eastAsia="Arial" w:hAnsi="Arial" w:cs="Arial"/>
        </w:rPr>
      </w:pPr>
      <w:r>
        <w:rPr>
          <w:rFonts w:ascii="Arial" w:eastAsia="Arial" w:hAnsi="Arial" w:cs="Arial"/>
        </w:rPr>
        <w:t>Lin, J.-W., Yen, M.-H., Liang, J., Chiu, M.-H., &amp; Guo, C.-J. (2016). Examining the factors that influence student</w:t>
      </w:r>
      <w:r>
        <w:rPr>
          <w:rFonts w:ascii="Arial" w:eastAsia="Arial" w:hAnsi="Arial" w:cs="Arial"/>
        </w:rPr>
        <w:t>s’ science learning processes and their learning outcomes: 30 years of conceptual change research. Eurasia Journal of Mathematics, Science and Technology Education, 12(9), 2617–2646. https://doi.org/10.12973/eurasia.2016.000600a</w:t>
      </w:r>
    </w:p>
    <w:p w:rsidR="009B39A5" w:rsidRDefault="00336C35">
      <w:pPr>
        <w:numPr>
          <w:ilvl w:val="0"/>
          <w:numId w:val="4"/>
        </w:numPr>
        <w:ind w:left="360"/>
        <w:jc w:val="both"/>
        <w:rPr>
          <w:rFonts w:ascii="Arial" w:eastAsia="Arial" w:hAnsi="Arial" w:cs="Arial"/>
        </w:rPr>
      </w:pPr>
      <w:r>
        <w:rPr>
          <w:rFonts w:ascii="Arial" w:eastAsia="Arial" w:hAnsi="Arial" w:cs="Arial"/>
        </w:rPr>
        <w:t>Ma, X., Zhang, Y., &amp; Luo, X</w:t>
      </w:r>
      <w:r>
        <w:rPr>
          <w:rFonts w:ascii="Arial" w:eastAsia="Arial" w:hAnsi="Arial" w:cs="Arial"/>
        </w:rPr>
        <w:t xml:space="preserve">. (2023). Students’ and teachers’ critical thinking in science education: are they related to each other and with physics </w:t>
      </w:r>
      <w:proofErr w:type="gramStart"/>
      <w:r>
        <w:rPr>
          <w:rFonts w:ascii="Arial" w:eastAsia="Arial" w:hAnsi="Arial" w:cs="Arial"/>
        </w:rPr>
        <w:t>achievement?.</w:t>
      </w:r>
      <w:proofErr w:type="gramEnd"/>
      <w:r>
        <w:rPr>
          <w:rFonts w:ascii="Arial" w:eastAsia="Arial" w:hAnsi="Arial" w:cs="Arial"/>
        </w:rPr>
        <w:t> Research in Science &amp; Technological Education, 41(2), 734-758.  https://doi.org/10.1080/02635143.2021.1944078</w:t>
      </w:r>
    </w:p>
    <w:p w:rsidR="009B39A5" w:rsidRDefault="00336C35">
      <w:pPr>
        <w:numPr>
          <w:ilvl w:val="0"/>
          <w:numId w:val="4"/>
        </w:numPr>
        <w:ind w:left="360"/>
        <w:jc w:val="both"/>
        <w:rPr>
          <w:rFonts w:ascii="Arial" w:eastAsia="Arial" w:hAnsi="Arial" w:cs="Arial"/>
        </w:rPr>
      </w:pPr>
      <w:r>
        <w:rPr>
          <w:rFonts w:ascii="Arial" w:eastAsia="Arial" w:hAnsi="Arial" w:cs="Arial"/>
        </w:rPr>
        <w:t xml:space="preserve">Madan, C. </w:t>
      </w:r>
      <w:r>
        <w:rPr>
          <w:rFonts w:ascii="Arial" w:eastAsia="Arial" w:hAnsi="Arial" w:cs="Arial"/>
        </w:rPr>
        <w:t>R. (2017). Teaching the science of learning. Cognitive Research: Principles and Implications, 2(1), 1–6. https://doi.org/10.1186/s41235-017-0050-2</w:t>
      </w:r>
    </w:p>
    <w:p w:rsidR="009B39A5" w:rsidRDefault="00336C35">
      <w:pPr>
        <w:numPr>
          <w:ilvl w:val="0"/>
          <w:numId w:val="4"/>
        </w:numPr>
        <w:ind w:left="360"/>
        <w:jc w:val="both"/>
        <w:rPr>
          <w:rFonts w:ascii="Arial" w:eastAsia="Arial" w:hAnsi="Arial" w:cs="Arial"/>
        </w:rPr>
      </w:pPr>
      <w:proofErr w:type="spellStart"/>
      <w:r>
        <w:rPr>
          <w:rFonts w:ascii="Arial" w:eastAsia="Arial" w:hAnsi="Arial" w:cs="Arial"/>
        </w:rPr>
        <w:t>Mahardhani</w:t>
      </w:r>
      <w:proofErr w:type="spellEnd"/>
      <w:r>
        <w:rPr>
          <w:rFonts w:ascii="Arial" w:eastAsia="Arial" w:hAnsi="Arial" w:cs="Arial"/>
        </w:rPr>
        <w:t>, A. J. (2023). The role of public policy in fostering technological innovation and sustainability.</w:t>
      </w:r>
      <w:r>
        <w:rPr>
          <w:rFonts w:ascii="Arial" w:eastAsia="Arial" w:hAnsi="Arial" w:cs="Arial"/>
        </w:rPr>
        <w:t xml:space="preserve"> Journal of Contemporary Administration and Management (ADMAN), 1(2), 47-53.  https://doi.org/10.61100/adman.v1i2.22 </w:t>
      </w:r>
    </w:p>
    <w:p w:rsidR="009B39A5" w:rsidRDefault="00336C35">
      <w:pPr>
        <w:numPr>
          <w:ilvl w:val="0"/>
          <w:numId w:val="4"/>
        </w:numPr>
        <w:ind w:left="360"/>
        <w:jc w:val="both"/>
        <w:rPr>
          <w:rFonts w:ascii="Arial" w:eastAsia="Arial" w:hAnsi="Arial" w:cs="Arial"/>
        </w:rPr>
      </w:pPr>
      <w:r>
        <w:rPr>
          <w:rFonts w:ascii="Arial" w:eastAsia="Arial" w:hAnsi="Arial" w:cs="Arial"/>
        </w:rPr>
        <w:t xml:space="preserve">Mason, L., &amp; </w:t>
      </w:r>
      <w:proofErr w:type="spellStart"/>
      <w:r>
        <w:rPr>
          <w:rFonts w:ascii="Arial" w:eastAsia="Arial" w:hAnsi="Arial" w:cs="Arial"/>
        </w:rPr>
        <w:t>Zaccoletti</w:t>
      </w:r>
      <w:proofErr w:type="spellEnd"/>
      <w:r>
        <w:rPr>
          <w:rFonts w:ascii="Arial" w:eastAsia="Arial" w:hAnsi="Arial" w:cs="Arial"/>
        </w:rPr>
        <w:t>, S. (2021). Inhibition and conceptual learning in science: A review of studies. Educational Psychology Review, 33(</w:t>
      </w:r>
      <w:r>
        <w:rPr>
          <w:rFonts w:ascii="Arial" w:eastAsia="Arial" w:hAnsi="Arial" w:cs="Arial"/>
        </w:rPr>
        <w:t xml:space="preserve">1), 181-212.  https://doi.org/10.1007/s10648-020-09529-x </w:t>
      </w:r>
    </w:p>
    <w:p w:rsidR="009B39A5" w:rsidRDefault="00336C35">
      <w:pPr>
        <w:numPr>
          <w:ilvl w:val="0"/>
          <w:numId w:val="4"/>
        </w:numPr>
        <w:ind w:left="360"/>
        <w:jc w:val="both"/>
        <w:rPr>
          <w:rFonts w:ascii="Arial" w:eastAsia="Arial" w:hAnsi="Arial" w:cs="Arial"/>
        </w:rPr>
      </w:pPr>
      <w:r>
        <w:rPr>
          <w:rFonts w:ascii="Arial" w:eastAsia="Arial" w:hAnsi="Arial" w:cs="Arial"/>
        </w:rPr>
        <w:t>Mayer, R. E. (2017). Using multimedia for e-learning. Journal of Computer Assisted Learning, 33(5), 403–423. https://doi.org/10.1111/jcal.12197</w:t>
      </w:r>
    </w:p>
    <w:p w:rsidR="009B39A5" w:rsidRDefault="00336C35">
      <w:pPr>
        <w:numPr>
          <w:ilvl w:val="0"/>
          <w:numId w:val="4"/>
        </w:numPr>
        <w:ind w:left="360"/>
        <w:jc w:val="both"/>
        <w:rPr>
          <w:rFonts w:ascii="Arial" w:eastAsia="Arial" w:hAnsi="Arial" w:cs="Arial"/>
        </w:rPr>
      </w:pPr>
      <w:proofErr w:type="spellStart"/>
      <w:r>
        <w:rPr>
          <w:rFonts w:ascii="Arial" w:eastAsia="Arial" w:hAnsi="Arial" w:cs="Arial"/>
        </w:rPr>
        <w:t>Mazzuca</w:t>
      </w:r>
      <w:proofErr w:type="spellEnd"/>
      <w:r>
        <w:rPr>
          <w:rFonts w:ascii="Arial" w:eastAsia="Arial" w:hAnsi="Arial" w:cs="Arial"/>
        </w:rPr>
        <w:t xml:space="preserve">, C., </w:t>
      </w:r>
      <w:proofErr w:type="spellStart"/>
      <w:r>
        <w:rPr>
          <w:rFonts w:ascii="Arial" w:eastAsia="Arial" w:hAnsi="Arial" w:cs="Arial"/>
        </w:rPr>
        <w:t>Fini</w:t>
      </w:r>
      <w:proofErr w:type="spellEnd"/>
      <w:r>
        <w:rPr>
          <w:rFonts w:ascii="Arial" w:eastAsia="Arial" w:hAnsi="Arial" w:cs="Arial"/>
        </w:rPr>
        <w:t xml:space="preserve">, C., </w:t>
      </w:r>
      <w:proofErr w:type="spellStart"/>
      <w:r>
        <w:rPr>
          <w:rFonts w:ascii="Arial" w:eastAsia="Arial" w:hAnsi="Arial" w:cs="Arial"/>
        </w:rPr>
        <w:t>Michalland</w:t>
      </w:r>
      <w:proofErr w:type="spellEnd"/>
      <w:r>
        <w:rPr>
          <w:rFonts w:ascii="Arial" w:eastAsia="Arial" w:hAnsi="Arial" w:cs="Arial"/>
        </w:rPr>
        <w:t xml:space="preserve">, A. H., Falcinelli, </w:t>
      </w:r>
      <w:r>
        <w:rPr>
          <w:rFonts w:ascii="Arial" w:eastAsia="Arial" w:hAnsi="Arial" w:cs="Arial"/>
        </w:rPr>
        <w:t xml:space="preserve">I., Da </w:t>
      </w:r>
      <w:proofErr w:type="spellStart"/>
      <w:r>
        <w:rPr>
          <w:rFonts w:ascii="Arial" w:eastAsia="Arial" w:hAnsi="Arial" w:cs="Arial"/>
        </w:rPr>
        <w:t>Rold</w:t>
      </w:r>
      <w:proofErr w:type="spellEnd"/>
      <w:r>
        <w:rPr>
          <w:rFonts w:ascii="Arial" w:eastAsia="Arial" w:hAnsi="Arial" w:cs="Arial"/>
        </w:rPr>
        <w:t xml:space="preserve">, F., </w:t>
      </w:r>
      <w:proofErr w:type="spellStart"/>
      <w:r>
        <w:rPr>
          <w:rFonts w:ascii="Arial" w:eastAsia="Arial" w:hAnsi="Arial" w:cs="Arial"/>
        </w:rPr>
        <w:t>Tummolini</w:t>
      </w:r>
      <w:proofErr w:type="spellEnd"/>
      <w:r>
        <w:rPr>
          <w:rFonts w:ascii="Arial" w:eastAsia="Arial" w:hAnsi="Arial" w:cs="Arial"/>
        </w:rPr>
        <w:t xml:space="preserve">, L., &amp; </w:t>
      </w:r>
      <w:proofErr w:type="spellStart"/>
      <w:r>
        <w:rPr>
          <w:rFonts w:ascii="Arial" w:eastAsia="Arial" w:hAnsi="Arial" w:cs="Arial"/>
        </w:rPr>
        <w:t>Borghi</w:t>
      </w:r>
      <w:proofErr w:type="spellEnd"/>
      <w:r>
        <w:rPr>
          <w:rFonts w:ascii="Arial" w:eastAsia="Arial" w:hAnsi="Arial" w:cs="Arial"/>
        </w:rPr>
        <w:t>, A. M. (2021). From affordances to abstract words: the flexibility of sensorimotor grounding. Brain Sciences, 11(10), 1304. https://doi.org/10.3390/brainsci11101304</w:t>
      </w:r>
    </w:p>
    <w:p w:rsidR="009B39A5" w:rsidRDefault="00336C35">
      <w:pPr>
        <w:numPr>
          <w:ilvl w:val="0"/>
          <w:numId w:val="4"/>
        </w:numPr>
        <w:ind w:left="360"/>
        <w:jc w:val="both"/>
        <w:rPr>
          <w:rFonts w:ascii="Arial" w:eastAsia="Arial" w:hAnsi="Arial" w:cs="Arial"/>
        </w:rPr>
      </w:pPr>
      <w:r>
        <w:rPr>
          <w:rFonts w:ascii="Arial" w:eastAsia="Arial" w:hAnsi="Arial" w:cs="Arial"/>
        </w:rPr>
        <w:t>Mir, K. J., Fatima, S. A., &amp; Fatima, S. T. (2023).</w:t>
      </w:r>
      <w:r>
        <w:rPr>
          <w:rFonts w:ascii="Arial" w:eastAsia="Arial" w:hAnsi="Arial" w:cs="Arial"/>
        </w:rPr>
        <w:t xml:space="preserve"> Impact of dual coding strategy to enhance students’ retention of scientific concepts in middle schools. Annals of Human and Social Sciences, 4(4), 655–666. https://doi.org/10.35484/ahss.2023(4-IV)63</w:t>
      </w:r>
    </w:p>
    <w:p w:rsidR="009B39A5" w:rsidRDefault="00336C35">
      <w:pPr>
        <w:numPr>
          <w:ilvl w:val="0"/>
          <w:numId w:val="4"/>
        </w:numPr>
        <w:ind w:left="360"/>
        <w:jc w:val="both"/>
        <w:rPr>
          <w:rFonts w:ascii="Arial" w:eastAsia="Arial" w:hAnsi="Arial" w:cs="Arial"/>
        </w:rPr>
      </w:pPr>
      <w:proofErr w:type="spellStart"/>
      <w:r>
        <w:rPr>
          <w:rFonts w:ascii="Arial" w:eastAsia="Arial" w:hAnsi="Arial" w:cs="Arial"/>
        </w:rPr>
        <w:t>Mokebe</w:t>
      </w:r>
      <w:proofErr w:type="spellEnd"/>
      <w:r>
        <w:rPr>
          <w:rFonts w:ascii="Arial" w:eastAsia="Arial" w:hAnsi="Arial" w:cs="Arial"/>
        </w:rPr>
        <w:t xml:space="preserve">, S. (2024). The Science of Learning. Siyabulela </w:t>
      </w:r>
      <w:proofErr w:type="spellStart"/>
      <w:r>
        <w:rPr>
          <w:rFonts w:ascii="Arial" w:eastAsia="Arial" w:hAnsi="Arial" w:cs="Arial"/>
        </w:rPr>
        <w:t>M</w:t>
      </w:r>
      <w:r>
        <w:rPr>
          <w:rFonts w:ascii="Arial" w:eastAsia="Arial" w:hAnsi="Arial" w:cs="Arial"/>
        </w:rPr>
        <w:t>okebe</w:t>
      </w:r>
      <w:proofErr w:type="spellEnd"/>
      <w:r>
        <w:rPr>
          <w:rFonts w:ascii="Arial" w:eastAsia="Arial" w:hAnsi="Arial" w:cs="Arial"/>
        </w:rPr>
        <w:t>. https://doi.org/10.1002/pits.23461</w:t>
      </w:r>
    </w:p>
    <w:p w:rsidR="009B39A5" w:rsidRDefault="00336C35">
      <w:pPr>
        <w:numPr>
          <w:ilvl w:val="0"/>
          <w:numId w:val="4"/>
        </w:numPr>
        <w:ind w:left="360"/>
        <w:jc w:val="both"/>
        <w:rPr>
          <w:rFonts w:ascii="Arial" w:eastAsia="Arial" w:hAnsi="Arial" w:cs="Arial"/>
        </w:rPr>
      </w:pPr>
      <w:r>
        <w:rPr>
          <w:rFonts w:ascii="Arial" w:eastAsia="Arial" w:hAnsi="Arial" w:cs="Arial"/>
        </w:rPr>
        <w:t>National Academies of Sciences, Engineering, and Medicine. (2016). Science Literacy: Concepts, Contexts, and Consequences. Washington, DC: The National Academies Press. doi:10.17226/23595.</w:t>
      </w:r>
    </w:p>
    <w:p w:rsidR="009B39A5" w:rsidRDefault="00336C35">
      <w:pPr>
        <w:numPr>
          <w:ilvl w:val="0"/>
          <w:numId w:val="4"/>
        </w:numPr>
        <w:ind w:left="360"/>
        <w:jc w:val="both"/>
        <w:rPr>
          <w:rFonts w:ascii="Arial" w:eastAsia="Arial" w:hAnsi="Arial" w:cs="Arial"/>
        </w:rPr>
      </w:pPr>
      <w:r>
        <w:rPr>
          <w:rFonts w:ascii="Arial" w:eastAsia="Arial" w:hAnsi="Arial" w:cs="Arial"/>
        </w:rPr>
        <w:t>National Research Council</w:t>
      </w:r>
      <w:r>
        <w:rPr>
          <w:rFonts w:ascii="Arial" w:eastAsia="Arial" w:hAnsi="Arial" w:cs="Arial"/>
        </w:rPr>
        <w:t>. (2015). Guide to Implementing the Next Generation Science Standards. Washington, DC: The National Academies Press. https://doi.org/10.17226/18802</w:t>
      </w:r>
    </w:p>
    <w:p w:rsidR="009B39A5" w:rsidRDefault="00336C35">
      <w:pPr>
        <w:numPr>
          <w:ilvl w:val="0"/>
          <w:numId w:val="4"/>
        </w:numPr>
        <w:ind w:left="360"/>
        <w:jc w:val="both"/>
        <w:rPr>
          <w:rFonts w:ascii="Arial" w:eastAsia="Arial" w:hAnsi="Arial" w:cs="Arial"/>
        </w:rPr>
      </w:pPr>
      <w:r>
        <w:rPr>
          <w:rFonts w:ascii="Arial" w:eastAsia="Arial" w:hAnsi="Arial" w:cs="Arial"/>
        </w:rPr>
        <w:t>Nguyen, C. N., Phan, T. T. H., &amp; Tran, T. K. O. (2024). The effect of STEM education on academic performance</w:t>
      </w:r>
      <w:r>
        <w:rPr>
          <w:rFonts w:ascii="Arial" w:eastAsia="Arial" w:hAnsi="Arial" w:cs="Arial"/>
        </w:rPr>
        <w:t xml:space="preserve">: A meta-analysis study. International Journal of Learning, Teaching and Educational Research, 23(11), 180-195.  https://doi.org/10.26803/ijlter.23.11.9 </w:t>
      </w:r>
    </w:p>
    <w:p w:rsidR="009B39A5" w:rsidRDefault="00336C35">
      <w:pPr>
        <w:numPr>
          <w:ilvl w:val="0"/>
          <w:numId w:val="4"/>
        </w:numPr>
        <w:ind w:left="360"/>
        <w:jc w:val="both"/>
        <w:rPr>
          <w:rFonts w:ascii="Arial" w:eastAsia="Arial" w:hAnsi="Arial" w:cs="Arial"/>
        </w:rPr>
      </w:pPr>
      <w:r>
        <w:rPr>
          <w:rFonts w:ascii="Arial" w:eastAsia="Arial" w:hAnsi="Arial" w:cs="Arial"/>
        </w:rPr>
        <w:t xml:space="preserve">Noonan, S. (2023). Prevention, Intervention, and Recovery Pedagogies to Disrupt Academic Underachievement and Procrastination. Pedagogies for Diverse Learners: Tools for Discovery and Development, 149.  https://doi.org/10.5771/9781475855951-149 </w:t>
      </w:r>
    </w:p>
    <w:p w:rsidR="009B39A5" w:rsidRDefault="00336C35">
      <w:pPr>
        <w:numPr>
          <w:ilvl w:val="0"/>
          <w:numId w:val="4"/>
        </w:numPr>
        <w:ind w:left="360"/>
        <w:jc w:val="both"/>
        <w:rPr>
          <w:rFonts w:ascii="Arial" w:eastAsia="Arial" w:hAnsi="Arial" w:cs="Arial"/>
        </w:rPr>
      </w:pPr>
      <w:r>
        <w:rPr>
          <w:rFonts w:ascii="Arial" w:eastAsia="Arial" w:hAnsi="Arial" w:cs="Arial"/>
        </w:rPr>
        <w:t>OECD (2023</w:t>
      </w:r>
      <w:r>
        <w:rPr>
          <w:rFonts w:ascii="Arial" w:eastAsia="Arial" w:hAnsi="Arial" w:cs="Arial"/>
        </w:rPr>
        <w:t>), PISA 2022 Results (Volume I): The state of learning and equity in education, PISA, OECD Publishing, Paris, https://doi.org/10.1787/53f23881-en</w:t>
      </w:r>
    </w:p>
    <w:p w:rsidR="009B39A5" w:rsidRDefault="00336C35">
      <w:pPr>
        <w:numPr>
          <w:ilvl w:val="0"/>
          <w:numId w:val="4"/>
        </w:numPr>
        <w:ind w:left="360"/>
        <w:jc w:val="both"/>
        <w:rPr>
          <w:rFonts w:ascii="Arial" w:eastAsia="Arial" w:hAnsi="Arial" w:cs="Arial"/>
        </w:rPr>
      </w:pPr>
      <w:r>
        <w:rPr>
          <w:rFonts w:ascii="Arial" w:eastAsia="Arial" w:hAnsi="Arial" w:cs="Arial"/>
        </w:rPr>
        <w:t>Osborne, J. (2023). Science, scientific literacy, and science education. In Handbook of research on science ed</w:t>
      </w:r>
      <w:r>
        <w:rPr>
          <w:rFonts w:ascii="Arial" w:eastAsia="Arial" w:hAnsi="Arial" w:cs="Arial"/>
        </w:rPr>
        <w:t xml:space="preserve">ucation (pp. 785-816). Routledge.  https://doi.org/10.4324/9780367855758-30 </w:t>
      </w:r>
    </w:p>
    <w:p w:rsidR="009B39A5" w:rsidRDefault="00336C35">
      <w:pPr>
        <w:numPr>
          <w:ilvl w:val="0"/>
          <w:numId w:val="4"/>
        </w:numPr>
        <w:ind w:left="360"/>
        <w:jc w:val="both"/>
        <w:rPr>
          <w:rFonts w:ascii="Arial" w:eastAsia="Arial" w:hAnsi="Arial" w:cs="Arial"/>
        </w:rPr>
      </w:pPr>
      <w:proofErr w:type="spellStart"/>
      <w:r>
        <w:rPr>
          <w:rFonts w:ascii="Arial" w:eastAsia="Arial" w:hAnsi="Arial" w:cs="Arial"/>
        </w:rPr>
        <w:t>Pacadaljen</w:t>
      </w:r>
      <w:proofErr w:type="spellEnd"/>
      <w:r>
        <w:rPr>
          <w:rFonts w:ascii="Arial" w:eastAsia="Arial" w:hAnsi="Arial" w:cs="Arial"/>
        </w:rPr>
        <w:t>, L. (2024). Alternative teaching strategies and activities for non-science enthusiast learners in higher education. Environment and Social Psychology, 9(12), 3212.  htt</w:t>
      </w:r>
      <w:r>
        <w:rPr>
          <w:rFonts w:ascii="Arial" w:eastAsia="Arial" w:hAnsi="Arial" w:cs="Arial"/>
        </w:rPr>
        <w:t xml:space="preserve">ps://doi.org/10.59429/esp.v9i12.3212 </w:t>
      </w:r>
    </w:p>
    <w:p w:rsidR="009B39A5" w:rsidRDefault="00336C35">
      <w:pPr>
        <w:numPr>
          <w:ilvl w:val="0"/>
          <w:numId w:val="4"/>
        </w:numPr>
        <w:ind w:left="360"/>
        <w:jc w:val="both"/>
        <w:rPr>
          <w:rFonts w:ascii="Arial" w:eastAsia="Arial" w:hAnsi="Arial" w:cs="Arial"/>
        </w:rPr>
      </w:pPr>
      <w:proofErr w:type="spellStart"/>
      <w:r>
        <w:rPr>
          <w:rFonts w:ascii="Arial" w:eastAsia="Arial" w:hAnsi="Arial" w:cs="Arial"/>
        </w:rPr>
        <w:t>Paivio</w:t>
      </w:r>
      <w:proofErr w:type="spellEnd"/>
      <w:r>
        <w:rPr>
          <w:rFonts w:ascii="Arial" w:eastAsia="Arial" w:hAnsi="Arial" w:cs="Arial"/>
        </w:rPr>
        <w:t>, A. (1971). Imagery and verbal processes. New York: Holt, Rinehart &amp; Winston.</w:t>
      </w:r>
    </w:p>
    <w:p w:rsidR="009B39A5" w:rsidRDefault="00336C35">
      <w:pPr>
        <w:numPr>
          <w:ilvl w:val="0"/>
          <w:numId w:val="4"/>
        </w:numPr>
        <w:ind w:left="360"/>
        <w:jc w:val="both"/>
        <w:rPr>
          <w:rFonts w:ascii="Arial" w:eastAsia="Arial" w:hAnsi="Arial" w:cs="Arial"/>
        </w:rPr>
      </w:pPr>
      <w:proofErr w:type="spellStart"/>
      <w:r>
        <w:rPr>
          <w:rFonts w:ascii="Arial" w:eastAsia="Arial" w:hAnsi="Arial" w:cs="Arial"/>
        </w:rPr>
        <w:t>Paivio</w:t>
      </w:r>
      <w:proofErr w:type="spellEnd"/>
      <w:r>
        <w:rPr>
          <w:rFonts w:ascii="Arial" w:eastAsia="Arial" w:hAnsi="Arial" w:cs="Arial"/>
        </w:rPr>
        <w:t>, A. (1986a). Mental representations: A dual-coding approach. New York: Oxford University Press.</w:t>
      </w:r>
    </w:p>
    <w:p w:rsidR="009B39A5" w:rsidRDefault="00336C35">
      <w:pPr>
        <w:numPr>
          <w:ilvl w:val="0"/>
          <w:numId w:val="4"/>
        </w:numPr>
        <w:ind w:left="360"/>
        <w:jc w:val="both"/>
        <w:rPr>
          <w:rFonts w:ascii="Arial" w:eastAsia="Arial" w:hAnsi="Arial" w:cs="Arial"/>
        </w:rPr>
      </w:pPr>
      <w:r>
        <w:rPr>
          <w:rFonts w:ascii="Arial" w:eastAsia="Arial" w:hAnsi="Arial" w:cs="Arial"/>
        </w:rPr>
        <w:lastRenderedPageBreak/>
        <w:t xml:space="preserve">Palou, A., Ursin, P. A., &amp; </w:t>
      </w:r>
      <w:proofErr w:type="spellStart"/>
      <w:r>
        <w:rPr>
          <w:rFonts w:ascii="Arial" w:eastAsia="Arial" w:hAnsi="Arial" w:cs="Arial"/>
        </w:rPr>
        <w:t>Dem</w:t>
      </w:r>
      <w:r>
        <w:rPr>
          <w:rFonts w:ascii="Arial" w:eastAsia="Arial" w:hAnsi="Arial" w:cs="Arial"/>
        </w:rPr>
        <w:t>anet</w:t>
      </w:r>
      <w:proofErr w:type="spellEnd"/>
      <w:r>
        <w:rPr>
          <w:rFonts w:ascii="Arial" w:eastAsia="Arial" w:hAnsi="Arial" w:cs="Arial"/>
        </w:rPr>
        <w:t>, J. (2024). Social inequality in skills: Exploring the moderating role of extracurricular activities related to socio‐economic differences in non‐cognitive and cognitive outcomes. European Journal of Education, 59(3), e12670.  https://doi.org/10.1111/</w:t>
      </w:r>
      <w:r>
        <w:rPr>
          <w:rFonts w:ascii="Arial" w:eastAsia="Arial" w:hAnsi="Arial" w:cs="Arial"/>
        </w:rPr>
        <w:t xml:space="preserve">ejed.12670 </w:t>
      </w:r>
    </w:p>
    <w:p w:rsidR="009B39A5" w:rsidRDefault="00336C35">
      <w:pPr>
        <w:numPr>
          <w:ilvl w:val="0"/>
          <w:numId w:val="4"/>
        </w:numPr>
        <w:ind w:left="360"/>
        <w:jc w:val="both"/>
        <w:rPr>
          <w:rFonts w:ascii="Arial" w:eastAsia="Arial" w:hAnsi="Arial" w:cs="Arial"/>
        </w:rPr>
      </w:pPr>
      <w:r>
        <w:rPr>
          <w:rFonts w:ascii="Arial" w:eastAsia="Arial" w:hAnsi="Arial" w:cs="Arial"/>
        </w:rPr>
        <w:t xml:space="preserve">Patterson, M. D., Geis, G. L., Falcone, R. A., &amp; </w:t>
      </w:r>
      <w:proofErr w:type="spellStart"/>
      <w:r>
        <w:rPr>
          <w:rFonts w:ascii="Arial" w:eastAsia="Arial" w:hAnsi="Arial" w:cs="Arial"/>
        </w:rPr>
        <w:t>LeMaster</w:t>
      </w:r>
      <w:proofErr w:type="spellEnd"/>
      <w:r>
        <w:rPr>
          <w:rFonts w:ascii="Arial" w:eastAsia="Arial" w:hAnsi="Arial" w:cs="Arial"/>
        </w:rPr>
        <w:t>, T. (2015). The cognitive science of learning: Concepts and strategies for optimizing learning in simulation-based education. Anesthesia &amp; Analgesia, 121(6), 1586–1599. https://doi.org/1</w:t>
      </w:r>
      <w:r>
        <w:rPr>
          <w:rFonts w:ascii="Arial" w:eastAsia="Arial" w:hAnsi="Arial" w:cs="Arial"/>
        </w:rPr>
        <w:t>0.1213/ANE.0000000000000890</w:t>
      </w:r>
    </w:p>
    <w:p w:rsidR="009B39A5" w:rsidRDefault="00336C35">
      <w:pPr>
        <w:numPr>
          <w:ilvl w:val="0"/>
          <w:numId w:val="4"/>
        </w:numPr>
        <w:ind w:left="360"/>
        <w:jc w:val="both"/>
        <w:rPr>
          <w:rFonts w:ascii="Arial" w:eastAsia="Arial" w:hAnsi="Arial" w:cs="Arial"/>
        </w:rPr>
      </w:pPr>
      <w:r>
        <w:rPr>
          <w:rFonts w:ascii="Arial" w:eastAsia="Arial" w:hAnsi="Arial" w:cs="Arial"/>
        </w:rPr>
        <w:t>Putnam, A. L. (2015). Mnemonics in education: Current research and applications. Translational Issues in Psychological Science, 1(2), 130–139. https://doi.org/10.1037/tps0000023</w:t>
      </w:r>
    </w:p>
    <w:p w:rsidR="009B39A5" w:rsidRDefault="00336C35">
      <w:pPr>
        <w:numPr>
          <w:ilvl w:val="0"/>
          <w:numId w:val="4"/>
        </w:numPr>
        <w:ind w:left="360"/>
        <w:jc w:val="both"/>
        <w:rPr>
          <w:rFonts w:ascii="Arial" w:eastAsia="Arial" w:hAnsi="Arial" w:cs="Arial"/>
        </w:rPr>
      </w:pPr>
      <w:proofErr w:type="spellStart"/>
      <w:r>
        <w:rPr>
          <w:rFonts w:ascii="Arial" w:eastAsia="Arial" w:hAnsi="Arial" w:cs="Arial"/>
        </w:rPr>
        <w:t>Raiyn</w:t>
      </w:r>
      <w:proofErr w:type="spellEnd"/>
      <w:r>
        <w:rPr>
          <w:rFonts w:ascii="Arial" w:eastAsia="Arial" w:hAnsi="Arial" w:cs="Arial"/>
        </w:rPr>
        <w:t xml:space="preserve">, J. (2016). The role of visual learning in </w:t>
      </w:r>
      <w:r>
        <w:rPr>
          <w:rFonts w:ascii="Arial" w:eastAsia="Arial" w:hAnsi="Arial" w:cs="Arial"/>
        </w:rPr>
        <w:t>improving students' high-order thinking skills. Journal of Education and Practice, 7(24), 115–121. Retrieved from https://files.eric.ed.gov/fulltext/EJ1112894.pdf</w:t>
      </w:r>
    </w:p>
    <w:p w:rsidR="009B39A5" w:rsidRDefault="00336C35">
      <w:pPr>
        <w:numPr>
          <w:ilvl w:val="0"/>
          <w:numId w:val="4"/>
        </w:numPr>
        <w:ind w:left="360"/>
        <w:jc w:val="both"/>
        <w:rPr>
          <w:rFonts w:ascii="Arial" w:eastAsia="Arial" w:hAnsi="Arial" w:cs="Arial"/>
        </w:rPr>
      </w:pPr>
      <w:proofErr w:type="spellStart"/>
      <w:r>
        <w:rPr>
          <w:rFonts w:ascii="Arial" w:eastAsia="Arial" w:hAnsi="Arial" w:cs="Arial"/>
        </w:rPr>
        <w:t>Rexigel</w:t>
      </w:r>
      <w:proofErr w:type="spellEnd"/>
      <w:r>
        <w:rPr>
          <w:rFonts w:ascii="Arial" w:eastAsia="Arial" w:hAnsi="Arial" w:cs="Arial"/>
        </w:rPr>
        <w:t>, E., Kuhn, J., Becker, S., &amp; Malone, S. (2024). The More the Better? A Systematic Rev</w:t>
      </w:r>
      <w:r>
        <w:rPr>
          <w:rFonts w:ascii="Arial" w:eastAsia="Arial" w:hAnsi="Arial" w:cs="Arial"/>
        </w:rPr>
        <w:t>iew and Meta-Analysis of the Benefits of More than Two External Representations in STEM Education. Educational Psychology Review, 36(4). https://doi.org/10.1007/s10648-024-09958-y</w:t>
      </w:r>
    </w:p>
    <w:p w:rsidR="009B39A5" w:rsidRDefault="00336C35">
      <w:pPr>
        <w:numPr>
          <w:ilvl w:val="0"/>
          <w:numId w:val="4"/>
        </w:numPr>
        <w:ind w:left="360"/>
        <w:jc w:val="both"/>
        <w:rPr>
          <w:rFonts w:ascii="Arial" w:eastAsia="Arial" w:hAnsi="Arial" w:cs="Arial"/>
        </w:rPr>
      </w:pPr>
      <w:proofErr w:type="spellStart"/>
      <w:r>
        <w:rPr>
          <w:rFonts w:ascii="Arial" w:eastAsia="Arial" w:hAnsi="Arial" w:cs="Arial"/>
        </w:rPr>
        <w:t>Rumbley</w:t>
      </w:r>
      <w:proofErr w:type="spellEnd"/>
      <w:r>
        <w:rPr>
          <w:rFonts w:ascii="Arial" w:eastAsia="Arial" w:hAnsi="Arial" w:cs="Arial"/>
        </w:rPr>
        <w:t xml:space="preserve">, L. E., </w:t>
      </w:r>
      <w:proofErr w:type="spellStart"/>
      <w:r>
        <w:rPr>
          <w:rFonts w:ascii="Arial" w:eastAsia="Arial" w:hAnsi="Arial" w:cs="Arial"/>
        </w:rPr>
        <w:t>Altbach</w:t>
      </w:r>
      <w:proofErr w:type="spellEnd"/>
      <w:r>
        <w:rPr>
          <w:rFonts w:ascii="Arial" w:eastAsia="Arial" w:hAnsi="Arial" w:cs="Arial"/>
        </w:rPr>
        <w:t xml:space="preserve">, P. G., Reisberg, L., &amp; Leask, B. (2023). Trends in </w:t>
      </w:r>
      <w:r>
        <w:rPr>
          <w:rFonts w:ascii="Arial" w:eastAsia="Arial" w:hAnsi="Arial" w:cs="Arial"/>
        </w:rPr>
        <w:t>global higher education and the future of internationalization. In Routledge eBooks (pp. 3–22). https://doi.org/10.4324/9781003447863-2</w:t>
      </w:r>
    </w:p>
    <w:p w:rsidR="009B39A5" w:rsidRDefault="00336C35">
      <w:pPr>
        <w:numPr>
          <w:ilvl w:val="0"/>
          <w:numId w:val="4"/>
        </w:numPr>
        <w:ind w:left="360"/>
        <w:jc w:val="both"/>
        <w:rPr>
          <w:rFonts w:ascii="Arial" w:eastAsia="Arial" w:hAnsi="Arial" w:cs="Arial"/>
        </w:rPr>
      </w:pPr>
      <w:r>
        <w:rPr>
          <w:rFonts w:ascii="Arial" w:eastAsia="Arial" w:hAnsi="Arial" w:cs="Arial"/>
        </w:rPr>
        <w:t>Russell, T., &amp; Martin, A. K. (2023). Learning to teach science. In Handbook of research on science education (pp. 1162-1</w:t>
      </w:r>
      <w:r>
        <w:rPr>
          <w:rFonts w:ascii="Arial" w:eastAsia="Arial" w:hAnsi="Arial" w:cs="Arial"/>
        </w:rPr>
        <w:t xml:space="preserve">196). Routledge.  https://doi.org/10.4324/9780367855758-42 </w:t>
      </w:r>
    </w:p>
    <w:p w:rsidR="009B39A5" w:rsidRDefault="00336C35">
      <w:pPr>
        <w:numPr>
          <w:ilvl w:val="0"/>
          <w:numId w:val="4"/>
        </w:numPr>
        <w:ind w:left="360"/>
        <w:jc w:val="both"/>
        <w:rPr>
          <w:rFonts w:ascii="Arial" w:eastAsia="Arial" w:hAnsi="Arial" w:cs="Arial"/>
        </w:rPr>
      </w:pPr>
      <w:r>
        <w:rPr>
          <w:rFonts w:ascii="Arial" w:eastAsia="Arial" w:hAnsi="Arial" w:cs="Arial"/>
        </w:rPr>
        <w:t xml:space="preserve">Russo‐Tait, T. (2023). Science faculty conceptions of equity and their association to teaching practices. Science Education, 107(2), 427-458.  https://doi.org/10.1002/sce.21781 </w:t>
      </w:r>
    </w:p>
    <w:p w:rsidR="009B39A5" w:rsidRDefault="00336C35">
      <w:pPr>
        <w:numPr>
          <w:ilvl w:val="0"/>
          <w:numId w:val="4"/>
        </w:numPr>
        <w:ind w:left="360"/>
        <w:jc w:val="both"/>
        <w:rPr>
          <w:rFonts w:ascii="Arial" w:eastAsia="Arial" w:hAnsi="Arial" w:cs="Arial"/>
        </w:rPr>
      </w:pPr>
      <w:r>
        <w:rPr>
          <w:rFonts w:ascii="Arial" w:eastAsia="Arial" w:hAnsi="Arial" w:cs="Arial"/>
        </w:rPr>
        <w:t xml:space="preserve">Schnitzler, K., </w:t>
      </w:r>
      <w:proofErr w:type="spellStart"/>
      <w:r>
        <w:rPr>
          <w:rFonts w:ascii="Arial" w:eastAsia="Arial" w:hAnsi="Arial" w:cs="Arial"/>
        </w:rPr>
        <w:t>Ho</w:t>
      </w:r>
      <w:r>
        <w:rPr>
          <w:rFonts w:ascii="Arial" w:eastAsia="Arial" w:hAnsi="Arial" w:cs="Arial"/>
        </w:rPr>
        <w:t>lzberger</w:t>
      </w:r>
      <w:proofErr w:type="spellEnd"/>
      <w:r>
        <w:rPr>
          <w:rFonts w:ascii="Arial" w:eastAsia="Arial" w:hAnsi="Arial" w:cs="Arial"/>
        </w:rPr>
        <w:t>, D., &amp; Seidel, T. (2021). All better than being disengaged: Student engagement patterns and their relations to academic self-concept and achievement. European Journal of Psychology of Education, 36(3), 627-652.  https://doi.org/10.1007/s10212-020-</w:t>
      </w:r>
      <w:r>
        <w:rPr>
          <w:rFonts w:ascii="Arial" w:eastAsia="Arial" w:hAnsi="Arial" w:cs="Arial"/>
        </w:rPr>
        <w:t xml:space="preserve">00500-6 </w:t>
      </w:r>
    </w:p>
    <w:p w:rsidR="009B39A5" w:rsidRDefault="00336C35">
      <w:pPr>
        <w:numPr>
          <w:ilvl w:val="0"/>
          <w:numId w:val="4"/>
        </w:numPr>
        <w:ind w:left="360"/>
        <w:jc w:val="both"/>
        <w:rPr>
          <w:rFonts w:ascii="Arial" w:eastAsia="Arial" w:hAnsi="Arial" w:cs="Arial"/>
        </w:rPr>
      </w:pPr>
      <w:r>
        <w:rPr>
          <w:rFonts w:ascii="Arial" w:eastAsia="Arial" w:hAnsi="Arial" w:cs="Arial"/>
        </w:rPr>
        <w:t>Schroeder, N. L., &amp; Kucera, A. C. (2022). Refutation text facilitates learning: A meta-analysis of between-</w:t>
      </w:r>
      <w:proofErr w:type="gramStart"/>
      <w:r>
        <w:rPr>
          <w:rFonts w:ascii="Arial" w:eastAsia="Arial" w:hAnsi="Arial" w:cs="Arial"/>
        </w:rPr>
        <w:t>subjects</w:t>
      </w:r>
      <w:proofErr w:type="gramEnd"/>
      <w:r>
        <w:rPr>
          <w:rFonts w:ascii="Arial" w:eastAsia="Arial" w:hAnsi="Arial" w:cs="Arial"/>
        </w:rPr>
        <w:t xml:space="preserve"> experiments. Educational Psychology Review, 34(2), 957-987.  https://doi.org/10.1007/s10648-021-09656-z </w:t>
      </w:r>
    </w:p>
    <w:p w:rsidR="009B39A5" w:rsidRDefault="00336C35">
      <w:pPr>
        <w:numPr>
          <w:ilvl w:val="0"/>
          <w:numId w:val="4"/>
        </w:numPr>
        <w:ind w:left="360"/>
        <w:jc w:val="both"/>
        <w:rPr>
          <w:rFonts w:ascii="Arial" w:eastAsia="Arial" w:hAnsi="Arial" w:cs="Arial"/>
        </w:rPr>
      </w:pPr>
      <w:proofErr w:type="spellStart"/>
      <w:r>
        <w:rPr>
          <w:rFonts w:ascii="Arial" w:eastAsia="Arial" w:hAnsi="Arial" w:cs="Arial"/>
        </w:rPr>
        <w:t>Shambare</w:t>
      </w:r>
      <w:proofErr w:type="spellEnd"/>
      <w:r>
        <w:rPr>
          <w:rFonts w:ascii="Arial" w:eastAsia="Arial" w:hAnsi="Arial" w:cs="Arial"/>
        </w:rPr>
        <w:t>, B. (2023). Perce</w:t>
      </w:r>
      <w:r>
        <w:rPr>
          <w:rFonts w:ascii="Arial" w:eastAsia="Arial" w:hAnsi="Arial" w:cs="Arial"/>
        </w:rPr>
        <w:t>ptions and experiences of life sciences teachers on the integration of a virtual laboratory for rural teaching (Doctoral dissertation, University of the Free State).</w:t>
      </w:r>
    </w:p>
    <w:p w:rsidR="009B39A5" w:rsidRDefault="00336C35">
      <w:pPr>
        <w:numPr>
          <w:ilvl w:val="0"/>
          <w:numId w:val="4"/>
        </w:numPr>
        <w:ind w:left="360"/>
        <w:jc w:val="both"/>
        <w:rPr>
          <w:rFonts w:ascii="Arial" w:eastAsia="Arial" w:hAnsi="Arial" w:cs="Arial"/>
        </w:rPr>
      </w:pPr>
      <w:r>
        <w:rPr>
          <w:rFonts w:ascii="Arial" w:eastAsia="Arial" w:hAnsi="Arial" w:cs="Arial"/>
        </w:rPr>
        <w:t>Shanta, S. (2022). Assessment of real-world problem-solving and critical thinking skills i</w:t>
      </w:r>
      <w:r>
        <w:rPr>
          <w:rFonts w:ascii="Arial" w:eastAsia="Arial" w:hAnsi="Arial" w:cs="Arial"/>
        </w:rPr>
        <w:t xml:space="preserve">n a technology education classroom. In Applications of Research in Technology Education: Helping Teachers Develop Research-Informed Practice (pp. 149-163). Singapore: Springer Nature Singapore.  https://doi.org/10.1007/978-981-16-7885-1_10 </w:t>
      </w:r>
    </w:p>
    <w:p w:rsidR="009B39A5" w:rsidRDefault="00336C35">
      <w:pPr>
        <w:numPr>
          <w:ilvl w:val="0"/>
          <w:numId w:val="4"/>
        </w:numPr>
        <w:ind w:left="360"/>
        <w:jc w:val="both"/>
        <w:rPr>
          <w:rFonts w:ascii="Arial" w:eastAsia="Arial" w:hAnsi="Arial" w:cs="Arial"/>
        </w:rPr>
      </w:pPr>
      <w:r>
        <w:rPr>
          <w:rFonts w:ascii="Arial" w:eastAsia="Arial" w:hAnsi="Arial" w:cs="Arial"/>
        </w:rPr>
        <w:t>Sharma, G., &amp; T</w:t>
      </w:r>
      <w:r>
        <w:rPr>
          <w:rFonts w:ascii="Arial" w:eastAsia="Arial" w:hAnsi="Arial" w:cs="Arial"/>
        </w:rPr>
        <w:t>ripathi, L. (2020). The role of mnemonic strategies in enhancing science learning outcomes: A review of recent studies. Asia-Pacific Science Education, 6(2), 615–632. https://doi.org/10.1163/23641177-bja10015</w:t>
      </w:r>
    </w:p>
    <w:p w:rsidR="009B39A5" w:rsidRDefault="00336C35">
      <w:pPr>
        <w:numPr>
          <w:ilvl w:val="0"/>
          <w:numId w:val="4"/>
        </w:numPr>
        <w:ind w:left="360"/>
        <w:jc w:val="both"/>
        <w:rPr>
          <w:rFonts w:ascii="Arial" w:eastAsia="Arial" w:hAnsi="Arial" w:cs="Arial"/>
        </w:rPr>
      </w:pPr>
      <w:r>
        <w:rPr>
          <w:rFonts w:ascii="Arial" w:eastAsia="Arial" w:hAnsi="Arial" w:cs="Arial"/>
        </w:rPr>
        <w:t xml:space="preserve">Shin, M., &amp; </w:t>
      </w:r>
      <w:proofErr w:type="spellStart"/>
      <w:r>
        <w:rPr>
          <w:rFonts w:ascii="Arial" w:eastAsia="Arial" w:hAnsi="Arial" w:cs="Arial"/>
        </w:rPr>
        <w:t>Bolkan</w:t>
      </w:r>
      <w:proofErr w:type="spellEnd"/>
      <w:r>
        <w:rPr>
          <w:rFonts w:ascii="Arial" w:eastAsia="Arial" w:hAnsi="Arial" w:cs="Arial"/>
        </w:rPr>
        <w:t>, S. (2021). Intellectually s</w:t>
      </w:r>
      <w:r>
        <w:rPr>
          <w:rFonts w:ascii="Arial" w:eastAsia="Arial" w:hAnsi="Arial" w:cs="Arial"/>
        </w:rPr>
        <w:t xml:space="preserve">timulating students’ intrinsic motivation: the mediating influence of student engagement, self-efficacy, and student academic support. Communication Education, 70(2), 146-164.  https://doi.org/10.1080/03634523.2020.1828959 </w:t>
      </w:r>
    </w:p>
    <w:p w:rsidR="009B39A5" w:rsidRDefault="00336C35">
      <w:pPr>
        <w:numPr>
          <w:ilvl w:val="0"/>
          <w:numId w:val="4"/>
        </w:numPr>
        <w:ind w:left="360"/>
        <w:jc w:val="both"/>
        <w:rPr>
          <w:rFonts w:ascii="Arial" w:eastAsia="Arial" w:hAnsi="Arial" w:cs="Arial"/>
        </w:rPr>
      </w:pPr>
      <w:proofErr w:type="spellStart"/>
      <w:r>
        <w:rPr>
          <w:rFonts w:ascii="Arial" w:eastAsia="Arial" w:hAnsi="Arial" w:cs="Arial"/>
        </w:rPr>
        <w:t>Simanjuntak</w:t>
      </w:r>
      <w:proofErr w:type="spellEnd"/>
      <w:r>
        <w:rPr>
          <w:rFonts w:ascii="Arial" w:eastAsia="Arial" w:hAnsi="Arial" w:cs="Arial"/>
        </w:rPr>
        <w:t>, Y. I. W., Linda, D.</w:t>
      </w:r>
      <w:r>
        <w:rPr>
          <w:rFonts w:ascii="Arial" w:eastAsia="Arial" w:hAnsi="Arial" w:cs="Arial"/>
        </w:rPr>
        <w:t xml:space="preserve">, &amp; Menno, A. W. M. (2025). Overcoming </w:t>
      </w:r>
      <w:proofErr w:type="gramStart"/>
      <w:r>
        <w:rPr>
          <w:rFonts w:ascii="Arial" w:eastAsia="Arial" w:hAnsi="Arial" w:cs="Arial"/>
        </w:rPr>
        <w:t>The</w:t>
      </w:r>
      <w:proofErr w:type="gramEnd"/>
      <w:r>
        <w:rPr>
          <w:rFonts w:ascii="Arial" w:eastAsia="Arial" w:hAnsi="Arial" w:cs="Arial"/>
        </w:rPr>
        <w:t xml:space="preserve"> Challenges of Students’ Self-Efficacy: A Review That Leads to Solutions in Chemistry Learning. </w:t>
      </w:r>
      <w:proofErr w:type="spellStart"/>
      <w:r>
        <w:rPr>
          <w:rFonts w:ascii="Arial" w:eastAsia="Arial" w:hAnsi="Arial" w:cs="Arial"/>
        </w:rPr>
        <w:t>Jurnal</w:t>
      </w:r>
      <w:proofErr w:type="spellEnd"/>
      <w:r>
        <w:rPr>
          <w:rFonts w:ascii="Arial" w:eastAsia="Arial" w:hAnsi="Arial" w:cs="Arial"/>
        </w:rPr>
        <w:t xml:space="preserve"> Pendidikan MIPA, 26(1), 512-526.  https://doi.org/10.23960/jpmipa.v26i1.pp512-526 </w:t>
      </w:r>
    </w:p>
    <w:p w:rsidR="009B39A5" w:rsidRDefault="00336C35">
      <w:pPr>
        <w:numPr>
          <w:ilvl w:val="0"/>
          <w:numId w:val="4"/>
        </w:numPr>
        <w:ind w:left="360"/>
        <w:jc w:val="both"/>
        <w:rPr>
          <w:rFonts w:ascii="Arial" w:eastAsia="Arial" w:hAnsi="Arial" w:cs="Arial"/>
        </w:rPr>
      </w:pPr>
      <w:proofErr w:type="spellStart"/>
      <w:r>
        <w:rPr>
          <w:rFonts w:ascii="Arial" w:eastAsia="Arial" w:hAnsi="Arial" w:cs="Arial"/>
        </w:rPr>
        <w:t>Siriganjanavong</w:t>
      </w:r>
      <w:proofErr w:type="spellEnd"/>
      <w:r>
        <w:rPr>
          <w:rFonts w:ascii="Arial" w:eastAsia="Arial" w:hAnsi="Arial" w:cs="Arial"/>
        </w:rPr>
        <w:t xml:space="preserve">, V. (2013). </w:t>
      </w:r>
      <w:r>
        <w:rPr>
          <w:rFonts w:ascii="Arial" w:eastAsia="Arial" w:hAnsi="Arial" w:cs="Arial"/>
        </w:rPr>
        <w:t>The mnemonic keyword method: Effects on the vocabulary acquisition and retention. English Language Teaching, 6(10), 1–10. https://doi.org/10.5539/elt.v6n10p1</w:t>
      </w:r>
    </w:p>
    <w:p w:rsidR="009B39A5" w:rsidRDefault="00336C35">
      <w:pPr>
        <w:numPr>
          <w:ilvl w:val="0"/>
          <w:numId w:val="4"/>
        </w:numPr>
        <w:ind w:left="360"/>
        <w:jc w:val="both"/>
        <w:rPr>
          <w:rFonts w:ascii="Arial" w:eastAsia="Arial" w:hAnsi="Arial" w:cs="Arial"/>
        </w:rPr>
      </w:pPr>
      <w:r>
        <w:rPr>
          <w:rFonts w:ascii="Arial" w:eastAsia="Arial" w:hAnsi="Arial" w:cs="Arial"/>
        </w:rPr>
        <w:t xml:space="preserve"> </w:t>
      </w:r>
      <w:proofErr w:type="spellStart"/>
      <w:r>
        <w:rPr>
          <w:rFonts w:ascii="Arial" w:eastAsia="Arial" w:hAnsi="Arial" w:cs="Arial"/>
        </w:rPr>
        <w:t>Slemrod</w:t>
      </w:r>
      <w:proofErr w:type="spellEnd"/>
      <w:r>
        <w:rPr>
          <w:rFonts w:ascii="Arial" w:eastAsia="Arial" w:hAnsi="Arial" w:cs="Arial"/>
        </w:rPr>
        <w:t xml:space="preserve">, T., </w:t>
      </w:r>
      <w:proofErr w:type="spellStart"/>
      <w:r>
        <w:rPr>
          <w:rFonts w:ascii="Arial" w:eastAsia="Arial" w:hAnsi="Arial" w:cs="Arial"/>
        </w:rPr>
        <w:t>Howorth</w:t>
      </w:r>
      <w:proofErr w:type="spellEnd"/>
      <w:r>
        <w:rPr>
          <w:rFonts w:ascii="Arial" w:eastAsia="Arial" w:hAnsi="Arial" w:cs="Arial"/>
        </w:rPr>
        <w:t>, S., West, E. (2022). A Comparison of Science Vocabulary Acquisition Using K</w:t>
      </w:r>
      <w:r>
        <w:rPr>
          <w:rFonts w:ascii="Arial" w:eastAsia="Arial" w:hAnsi="Arial" w:cs="Arial"/>
        </w:rPr>
        <w:t>eyword Mnemonics via Technology and Flash Cards. https://doi-org.ezproxy.ugm.ac.id/10.1177/01626434221100729</w:t>
      </w:r>
    </w:p>
    <w:p w:rsidR="009B39A5" w:rsidRDefault="00336C35">
      <w:pPr>
        <w:numPr>
          <w:ilvl w:val="0"/>
          <w:numId w:val="4"/>
        </w:numPr>
        <w:ind w:left="360"/>
        <w:jc w:val="both"/>
        <w:rPr>
          <w:rFonts w:ascii="Arial" w:eastAsia="Arial" w:hAnsi="Arial" w:cs="Arial"/>
          <w:highlight w:val="white"/>
        </w:rPr>
      </w:pPr>
      <w:r>
        <w:rPr>
          <w:rFonts w:ascii="Arial" w:hAnsi="Arial" w:cs="Arial"/>
        </w:rPr>
        <w:t>Sukarno, S., Win, K. T., &amp; Hong, D. A. C. (2024). Teachers' Views Regarding the Character of Students' Perseverance in Science Learning. </w:t>
      </w:r>
      <w:r>
        <w:rPr>
          <w:rFonts w:ascii="Arial" w:hAnsi="Arial" w:cs="Arial"/>
          <w:i/>
          <w:iCs/>
        </w:rPr>
        <w:t>Integrated</w:t>
      </w:r>
      <w:r>
        <w:rPr>
          <w:rFonts w:ascii="Arial" w:hAnsi="Arial" w:cs="Arial"/>
          <w:i/>
          <w:iCs/>
        </w:rPr>
        <w:t xml:space="preserve"> Science Education Journal, 5</w:t>
      </w:r>
      <w:r>
        <w:rPr>
          <w:rFonts w:ascii="Arial" w:hAnsi="Arial" w:cs="Arial"/>
        </w:rPr>
        <w:t xml:space="preserve">(1), 59-64.  </w:t>
      </w:r>
      <w:hyperlink r:id="rId25" w:history="1">
        <w:r>
          <w:rPr>
            <w:rStyle w:val="Hyperlink"/>
            <w:rFonts w:ascii="Arial" w:hAnsi="Arial" w:cs="Arial"/>
            <w:color w:val="auto"/>
            <w:u w:val="none"/>
          </w:rPr>
          <w:t>https://doi.org/10.37251/isej.v5i1.806</w:t>
        </w:r>
      </w:hyperlink>
    </w:p>
    <w:p w:rsidR="009B39A5" w:rsidRDefault="00336C35">
      <w:pPr>
        <w:numPr>
          <w:ilvl w:val="0"/>
          <w:numId w:val="4"/>
        </w:numPr>
        <w:ind w:left="360"/>
        <w:jc w:val="both"/>
        <w:rPr>
          <w:rFonts w:ascii="Arial" w:eastAsia="Arial" w:hAnsi="Arial" w:cs="Arial"/>
          <w:highlight w:val="white"/>
        </w:rPr>
      </w:pPr>
      <w:proofErr w:type="spellStart"/>
      <w:r>
        <w:rPr>
          <w:rFonts w:ascii="Arial" w:hAnsi="Arial" w:cs="Arial"/>
        </w:rPr>
        <w:lastRenderedPageBreak/>
        <w:t>Swargiary</w:t>
      </w:r>
      <w:proofErr w:type="spellEnd"/>
      <w:r>
        <w:rPr>
          <w:rFonts w:ascii="Arial" w:hAnsi="Arial" w:cs="Arial"/>
        </w:rPr>
        <w:t>, K. (2024).</w:t>
      </w:r>
      <w:r>
        <w:rPr>
          <w:rFonts w:ascii="Arial" w:hAnsi="Arial" w:cs="Arial"/>
          <w:i/>
          <w:iCs/>
        </w:rPr>
        <w:t> Redefining Reality: My Vision for an Education Rooted in</w:t>
      </w:r>
      <w:r>
        <w:rPr>
          <w:rFonts w:ascii="Arial" w:hAnsi="Arial" w:cs="Arial"/>
          <w:i/>
          <w:iCs/>
          <w:lang w:val="en-PH"/>
        </w:rPr>
        <w:t xml:space="preserve"> </w:t>
      </w:r>
      <w:r>
        <w:rPr>
          <w:rFonts w:ascii="Arial" w:hAnsi="Arial" w:cs="Arial"/>
          <w:i/>
          <w:iCs/>
        </w:rPr>
        <w:t>Real-World Experiences.</w:t>
      </w:r>
      <w:r>
        <w:rPr>
          <w:rFonts w:ascii="Arial" w:hAnsi="Arial" w:cs="Arial"/>
        </w:rPr>
        <w:t xml:space="preserve"> ERA, US. </w:t>
      </w:r>
      <w:hyperlink r:id="rId26" w:history="1">
        <w:r>
          <w:rPr>
            <w:rStyle w:val="Hyperlink"/>
            <w:rFonts w:ascii="Arial" w:hAnsi="Arial" w:cs="Arial"/>
            <w:color w:val="auto"/>
            <w:u w:val="none"/>
          </w:rPr>
          <w:t>https://doi.org/10.36227/techrxiv.170250857.79385983/v1</w:t>
        </w:r>
      </w:hyperlink>
    </w:p>
    <w:p w:rsidR="009B39A5" w:rsidRDefault="00336C35">
      <w:pPr>
        <w:numPr>
          <w:ilvl w:val="0"/>
          <w:numId w:val="4"/>
        </w:numPr>
        <w:ind w:left="360"/>
        <w:jc w:val="both"/>
        <w:rPr>
          <w:rFonts w:ascii="Arial" w:eastAsia="Arial" w:hAnsi="Arial" w:cs="Arial"/>
        </w:rPr>
      </w:pPr>
      <w:proofErr w:type="spellStart"/>
      <w:r>
        <w:rPr>
          <w:rFonts w:ascii="Arial" w:eastAsia="Arial" w:hAnsi="Arial" w:cs="Arial"/>
        </w:rPr>
        <w:t>Syahputra</w:t>
      </w:r>
      <w:proofErr w:type="spellEnd"/>
      <w:r>
        <w:rPr>
          <w:rFonts w:ascii="Arial" w:eastAsia="Arial" w:hAnsi="Arial" w:cs="Arial"/>
        </w:rPr>
        <w:t xml:space="preserve">, A., </w:t>
      </w:r>
      <w:proofErr w:type="spellStart"/>
      <w:r>
        <w:rPr>
          <w:rFonts w:ascii="Arial" w:eastAsia="Arial" w:hAnsi="Arial" w:cs="Arial"/>
        </w:rPr>
        <w:t>Harahap</w:t>
      </w:r>
      <w:proofErr w:type="spellEnd"/>
      <w:r>
        <w:rPr>
          <w:rFonts w:ascii="Arial" w:eastAsia="Arial" w:hAnsi="Arial" w:cs="Arial"/>
        </w:rPr>
        <w:t xml:space="preserve">, R. D., &amp; </w:t>
      </w:r>
      <w:proofErr w:type="spellStart"/>
      <w:r>
        <w:rPr>
          <w:rFonts w:ascii="Arial" w:eastAsia="Arial" w:hAnsi="Arial" w:cs="Arial"/>
        </w:rPr>
        <w:t>Safitri</w:t>
      </w:r>
      <w:proofErr w:type="spellEnd"/>
      <w:r>
        <w:rPr>
          <w:rFonts w:ascii="Arial" w:eastAsia="Arial" w:hAnsi="Arial" w:cs="Arial"/>
        </w:rPr>
        <w:t>, I. (2022). An Analysis of Student Learning Challenges in Elementary School Science Subject. </w:t>
      </w:r>
      <w:proofErr w:type="spellStart"/>
      <w:r>
        <w:rPr>
          <w:rFonts w:ascii="Arial" w:eastAsia="Arial" w:hAnsi="Arial" w:cs="Arial"/>
        </w:rPr>
        <w:t>Ju</w:t>
      </w:r>
      <w:r>
        <w:rPr>
          <w:rFonts w:ascii="Arial" w:eastAsia="Arial" w:hAnsi="Arial" w:cs="Arial"/>
        </w:rPr>
        <w:t>rnal</w:t>
      </w:r>
      <w:proofErr w:type="spellEnd"/>
      <w:r>
        <w:rPr>
          <w:rFonts w:ascii="Arial" w:eastAsia="Arial" w:hAnsi="Arial" w:cs="Arial"/>
        </w:rPr>
        <w:t xml:space="preserve"> </w:t>
      </w:r>
      <w:proofErr w:type="spellStart"/>
      <w:r>
        <w:rPr>
          <w:rFonts w:ascii="Arial" w:eastAsia="Arial" w:hAnsi="Arial" w:cs="Arial"/>
        </w:rPr>
        <w:t>Kependidikan</w:t>
      </w:r>
      <w:proofErr w:type="spellEnd"/>
      <w:r>
        <w:rPr>
          <w:rFonts w:ascii="Arial" w:eastAsia="Arial" w:hAnsi="Arial" w:cs="Arial"/>
        </w:rPr>
        <w:t xml:space="preserve">: </w:t>
      </w:r>
      <w:proofErr w:type="spellStart"/>
      <w:r>
        <w:rPr>
          <w:rFonts w:ascii="Arial" w:eastAsia="Arial" w:hAnsi="Arial" w:cs="Arial"/>
        </w:rPr>
        <w:t>Jurnal</w:t>
      </w:r>
      <w:proofErr w:type="spellEnd"/>
      <w:r>
        <w:rPr>
          <w:rFonts w:ascii="Arial" w:eastAsia="Arial" w:hAnsi="Arial" w:cs="Arial"/>
        </w:rPr>
        <w:t xml:space="preserve"> Hasil </w:t>
      </w:r>
      <w:proofErr w:type="spellStart"/>
      <w:r>
        <w:rPr>
          <w:rFonts w:ascii="Arial" w:eastAsia="Arial" w:hAnsi="Arial" w:cs="Arial"/>
        </w:rPr>
        <w:t>Penelitian</w:t>
      </w:r>
      <w:proofErr w:type="spellEnd"/>
      <w:r>
        <w:rPr>
          <w:rFonts w:ascii="Arial" w:eastAsia="Arial" w:hAnsi="Arial" w:cs="Arial"/>
        </w:rPr>
        <w:t xml:space="preserve"> Dan Kajian </w:t>
      </w:r>
      <w:proofErr w:type="spellStart"/>
      <w:r>
        <w:rPr>
          <w:rFonts w:ascii="Arial" w:eastAsia="Arial" w:hAnsi="Arial" w:cs="Arial"/>
        </w:rPr>
        <w:t>Kepustakaan</w:t>
      </w:r>
      <w:proofErr w:type="spellEnd"/>
      <w:r>
        <w:rPr>
          <w:rFonts w:ascii="Arial" w:eastAsia="Arial" w:hAnsi="Arial" w:cs="Arial"/>
        </w:rPr>
        <w:t xml:space="preserve"> Di </w:t>
      </w:r>
      <w:proofErr w:type="spellStart"/>
      <w:r>
        <w:rPr>
          <w:rFonts w:ascii="Arial" w:eastAsia="Arial" w:hAnsi="Arial" w:cs="Arial"/>
        </w:rPr>
        <w:t>Bidang</w:t>
      </w:r>
      <w:proofErr w:type="spellEnd"/>
      <w:r>
        <w:rPr>
          <w:rFonts w:ascii="Arial" w:eastAsia="Arial" w:hAnsi="Arial" w:cs="Arial"/>
        </w:rPr>
        <w:t xml:space="preserve"> Pendidikan, </w:t>
      </w:r>
      <w:proofErr w:type="spellStart"/>
      <w:r>
        <w:rPr>
          <w:rFonts w:ascii="Arial" w:eastAsia="Arial" w:hAnsi="Arial" w:cs="Arial"/>
        </w:rPr>
        <w:t>Pengajaran</w:t>
      </w:r>
      <w:proofErr w:type="spellEnd"/>
      <w:r>
        <w:rPr>
          <w:rFonts w:ascii="Arial" w:eastAsia="Arial" w:hAnsi="Arial" w:cs="Arial"/>
        </w:rPr>
        <w:t xml:space="preserve"> Dan </w:t>
      </w:r>
      <w:proofErr w:type="spellStart"/>
      <w:r>
        <w:rPr>
          <w:rFonts w:ascii="Arial" w:eastAsia="Arial" w:hAnsi="Arial" w:cs="Arial"/>
        </w:rPr>
        <w:t>Pembelajaran</w:t>
      </w:r>
      <w:proofErr w:type="spellEnd"/>
      <w:r>
        <w:rPr>
          <w:rFonts w:ascii="Arial" w:eastAsia="Arial" w:hAnsi="Arial" w:cs="Arial"/>
        </w:rPr>
        <w:t xml:space="preserve">, 8(1), 237-247.  https://doi.org/10.33394/jk.v8i1.4508 </w:t>
      </w:r>
    </w:p>
    <w:p w:rsidR="009B39A5" w:rsidRDefault="00336C35">
      <w:pPr>
        <w:numPr>
          <w:ilvl w:val="0"/>
          <w:numId w:val="4"/>
        </w:numPr>
        <w:ind w:left="360"/>
        <w:jc w:val="both"/>
        <w:rPr>
          <w:rFonts w:ascii="Arial" w:eastAsia="Arial" w:hAnsi="Arial" w:cs="Arial"/>
        </w:rPr>
      </w:pPr>
      <w:r>
        <w:rPr>
          <w:rFonts w:ascii="Arial" w:eastAsia="Arial" w:hAnsi="Arial" w:cs="Arial"/>
        </w:rPr>
        <w:t>Tan, A. L., Ong, Y. S., Ng, Y. S., &amp; Tan, J. H. J. (2023). STEM problem solving: Inq</w:t>
      </w:r>
      <w:r>
        <w:rPr>
          <w:rFonts w:ascii="Arial" w:eastAsia="Arial" w:hAnsi="Arial" w:cs="Arial"/>
        </w:rPr>
        <w:t xml:space="preserve">uiry, concepts, and reasoning. Science &amp; Education, 32(2), 381-397.  https://doi.org/10.1007/s11191-021-00310-2 </w:t>
      </w:r>
    </w:p>
    <w:p w:rsidR="009B39A5" w:rsidRDefault="00336C35">
      <w:pPr>
        <w:numPr>
          <w:ilvl w:val="0"/>
          <w:numId w:val="4"/>
        </w:numPr>
        <w:ind w:left="360"/>
        <w:jc w:val="both"/>
        <w:rPr>
          <w:rFonts w:ascii="Arial" w:eastAsia="Arial" w:hAnsi="Arial" w:cs="Arial"/>
        </w:rPr>
      </w:pPr>
      <w:r>
        <w:rPr>
          <w:rFonts w:ascii="Arial" w:eastAsia="Arial" w:hAnsi="Arial" w:cs="Arial"/>
        </w:rPr>
        <w:t>Tan, D., &amp; Maeda, Y. (2021). Perceptions of science teachers’ growth-mindset practices and US high school students’ initial science identity an</w:t>
      </w:r>
      <w:r>
        <w:rPr>
          <w:rFonts w:ascii="Arial" w:eastAsia="Arial" w:hAnsi="Arial" w:cs="Arial"/>
        </w:rPr>
        <w:t xml:space="preserve">d its development. International Journal of Science Education, 43(13), 2206-2225.  https://doi.org/10.1080/09500693.2021.1958021 </w:t>
      </w:r>
    </w:p>
    <w:p w:rsidR="009B39A5" w:rsidRDefault="00336C35">
      <w:pPr>
        <w:numPr>
          <w:ilvl w:val="0"/>
          <w:numId w:val="4"/>
        </w:numPr>
        <w:ind w:left="360"/>
        <w:jc w:val="both"/>
        <w:rPr>
          <w:rFonts w:ascii="Arial" w:eastAsia="Arial" w:hAnsi="Arial" w:cs="Arial"/>
        </w:rPr>
      </w:pPr>
      <w:r>
        <w:rPr>
          <w:rFonts w:ascii="Arial" w:eastAsia="Arial" w:hAnsi="Arial" w:cs="Arial"/>
        </w:rPr>
        <w:t xml:space="preserve">Taylor, R. D. (2023). Key words for learning science: The structure of students' sign networks in mechanics (Doctoral thesis, </w:t>
      </w:r>
      <w:r>
        <w:rPr>
          <w:rFonts w:ascii="Arial" w:eastAsia="Arial" w:hAnsi="Arial" w:cs="Arial"/>
        </w:rPr>
        <w:t>University of Oxford). Oxford University Research Archive. https://ora.ox.ac.uk/objects/uuid:d3484a5b-96a9-48b3-9ece-1412ba38eb95</w:t>
      </w:r>
    </w:p>
    <w:p w:rsidR="009B39A5" w:rsidRDefault="00336C35">
      <w:pPr>
        <w:numPr>
          <w:ilvl w:val="0"/>
          <w:numId w:val="4"/>
        </w:numPr>
        <w:ind w:left="360"/>
        <w:jc w:val="both"/>
        <w:rPr>
          <w:rFonts w:ascii="Arial" w:eastAsia="Arial" w:hAnsi="Arial" w:cs="Arial"/>
        </w:rPr>
      </w:pPr>
      <w:proofErr w:type="spellStart"/>
      <w:r>
        <w:rPr>
          <w:rFonts w:ascii="Arial" w:eastAsia="Arial" w:hAnsi="Arial" w:cs="Arial"/>
        </w:rPr>
        <w:t>Tibell</w:t>
      </w:r>
      <w:proofErr w:type="spellEnd"/>
      <w:r>
        <w:rPr>
          <w:rFonts w:ascii="Arial" w:eastAsia="Arial" w:hAnsi="Arial" w:cs="Arial"/>
        </w:rPr>
        <w:t>, L. A. E., &amp; Harms, U. (2017). Biological principles and threshold concepts for understanding natural selection: Implic</w:t>
      </w:r>
      <w:r>
        <w:rPr>
          <w:rFonts w:ascii="Arial" w:eastAsia="Arial" w:hAnsi="Arial" w:cs="Arial"/>
        </w:rPr>
        <w:t>ations for developing visualizations as a pedagogic tool. Science &amp; Education, 26(7–9), 953–973. https://doi.org/10.1007/s11191-017-9935-x</w:t>
      </w:r>
    </w:p>
    <w:p w:rsidR="009B39A5" w:rsidRDefault="00336C35">
      <w:pPr>
        <w:numPr>
          <w:ilvl w:val="0"/>
          <w:numId w:val="4"/>
        </w:numPr>
        <w:ind w:left="360"/>
        <w:jc w:val="both"/>
        <w:rPr>
          <w:rFonts w:ascii="Arial" w:eastAsia="Arial" w:hAnsi="Arial" w:cs="Arial"/>
        </w:rPr>
      </w:pPr>
      <w:proofErr w:type="spellStart"/>
      <w:r>
        <w:rPr>
          <w:rFonts w:ascii="Arial" w:eastAsia="Arial" w:hAnsi="Arial" w:cs="Arial"/>
        </w:rPr>
        <w:t>Treagust</w:t>
      </w:r>
      <w:proofErr w:type="spellEnd"/>
      <w:r>
        <w:rPr>
          <w:rFonts w:ascii="Arial" w:eastAsia="Arial" w:hAnsi="Arial" w:cs="Arial"/>
        </w:rPr>
        <w:t xml:space="preserve">, D. F., &amp; </w:t>
      </w:r>
      <w:proofErr w:type="spellStart"/>
      <w:r>
        <w:rPr>
          <w:rFonts w:ascii="Arial" w:eastAsia="Arial" w:hAnsi="Arial" w:cs="Arial"/>
        </w:rPr>
        <w:t>Duit</w:t>
      </w:r>
      <w:proofErr w:type="spellEnd"/>
      <w:r>
        <w:rPr>
          <w:rFonts w:ascii="Arial" w:eastAsia="Arial" w:hAnsi="Arial" w:cs="Arial"/>
        </w:rPr>
        <w:t>, R. (2014). Conceptual change: A discussion of theoretical, methodological and practical chal</w:t>
      </w:r>
      <w:r>
        <w:rPr>
          <w:rFonts w:ascii="Arial" w:eastAsia="Arial" w:hAnsi="Arial" w:cs="Arial"/>
        </w:rPr>
        <w:t>lenges for science education. Research in Science Education, 44(4), 493–509. https://doi.org/10.1007/s11165-014-9427-9</w:t>
      </w:r>
    </w:p>
    <w:p w:rsidR="009B39A5" w:rsidRDefault="00336C35">
      <w:pPr>
        <w:numPr>
          <w:ilvl w:val="0"/>
          <w:numId w:val="4"/>
        </w:numPr>
        <w:ind w:left="360"/>
        <w:jc w:val="both"/>
        <w:rPr>
          <w:rFonts w:ascii="Arial" w:eastAsia="Arial" w:hAnsi="Arial" w:cs="Arial"/>
        </w:rPr>
      </w:pPr>
      <w:r>
        <w:rPr>
          <w:rFonts w:ascii="Arial" w:eastAsia="Arial" w:hAnsi="Arial" w:cs="Arial"/>
        </w:rPr>
        <w:t xml:space="preserve">Verónica, C. T. M. (2021). Mnemonic Keyword Method in the development of vocabulary in EFL in fifth year of basic education at “Once de </w:t>
      </w:r>
      <w:proofErr w:type="spellStart"/>
      <w:r>
        <w:rPr>
          <w:rFonts w:ascii="Arial" w:eastAsia="Arial" w:hAnsi="Arial" w:cs="Arial"/>
        </w:rPr>
        <w:t>N</w:t>
      </w:r>
      <w:r>
        <w:rPr>
          <w:rFonts w:ascii="Arial" w:eastAsia="Arial" w:hAnsi="Arial" w:cs="Arial"/>
        </w:rPr>
        <w:t>oviembre</w:t>
      </w:r>
      <w:proofErr w:type="spellEnd"/>
      <w:r>
        <w:rPr>
          <w:rFonts w:ascii="Arial" w:eastAsia="Arial" w:hAnsi="Arial" w:cs="Arial"/>
        </w:rPr>
        <w:t>” high school. https://repositorio.utc.edu.ec/items/2e9b4e55-d19f-4ef2-b2f5-a22986b5bc8d</w:t>
      </w:r>
    </w:p>
    <w:p w:rsidR="009B39A5" w:rsidRDefault="00336C35">
      <w:pPr>
        <w:numPr>
          <w:ilvl w:val="0"/>
          <w:numId w:val="4"/>
        </w:numPr>
        <w:ind w:left="360"/>
        <w:jc w:val="both"/>
        <w:rPr>
          <w:rFonts w:ascii="Arial" w:eastAsia="Arial" w:hAnsi="Arial" w:cs="Arial"/>
        </w:rPr>
      </w:pPr>
      <w:proofErr w:type="spellStart"/>
      <w:r>
        <w:rPr>
          <w:rFonts w:ascii="Arial" w:eastAsia="Arial" w:hAnsi="Arial" w:cs="Arial"/>
        </w:rPr>
        <w:t>Voegtlin</w:t>
      </w:r>
      <w:proofErr w:type="spellEnd"/>
      <w:r>
        <w:rPr>
          <w:rFonts w:ascii="Arial" w:eastAsia="Arial" w:hAnsi="Arial" w:cs="Arial"/>
        </w:rPr>
        <w:t>, C., Scherer, A. G., Stahl, G. K., &amp; Hawn, O. (2022). Grand societal challenges and responsible innovation. Journal of Management Studies, 59(1), 1-28</w:t>
      </w:r>
      <w:r>
        <w:rPr>
          <w:rFonts w:ascii="Arial" w:eastAsia="Arial" w:hAnsi="Arial" w:cs="Arial"/>
        </w:rPr>
        <w:t xml:space="preserve">.  https://doi.org/10.1111/joms.12785 </w:t>
      </w:r>
    </w:p>
    <w:p w:rsidR="009B39A5" w:rsidRDefault="00336C35">
      <w:pPr>
        <w:numPr>
          <w:ilvl w:val="0"/>
          <w:numId w:val="4"/>
        </w:numPr>
        <w:ind w:left="360"/>
        <w:jc w:val="both"/>
        <w:rPr>
          <w:rFonts w:ascii="Arial" w:eastAsia="Arial" w:hAnsi="Arial" w:cs="Arial"/>
        </w:rPr>
      </w:pPr>
      <w:r>
        <w:rPr>
          <w:rFonts w:ascii="Arial" w:eastAsia="Arial" w:hAnsi="Arial" w:cs="Arial"/>
        </w:rPr>
        <w:t>Wang, Y., &amp; Wang, Y. (2015). The keyword method in vocabulary learning: A review. Open Journal of Modern Linguistics, 5(3), 93–100. https://doi.org/10.4236/ojml.2015.53010</w:t>
      </w:r>
    </w:p>
    <w:p w:rsidR="009B39A5" w:rsidRDefault="00336C35">
      <w:pPr>
        <w:numPr>
          <w:ilvl w:val="0"/>
          <w:numId w:val="4"/>
        </w:numPr>
        <w:ind w:left="360"/>
        <w:jc w:val="both"/>
        <w:rPr>
          <w:rFonts w:ascii="Arial" w:eastAsia="Arial" w:hAnsi="Arial" w:cs="Arial"/>
        </w:rPr>
      </w:pPr>
      <w:r>
        <w:rPr>
          <w:rFonts w:ascii="Arial" w:eastAsia="Arial" w:hAnsi="Arial" w:cs="Arial"/>
        </w:rPr>
        <w:t>Wei, Z. (2015). Does teaching mnemonics for v</w:t>
      </w:r>
      <w:r>
        <w:rPr>
          <w:rFonts w:ascii="Arial" w:eastAsia="Arial" w:hAnsi="Arial" w:cs="Arial"/>
        </w:rPr>
        <w:t>ocabulary learning make a difference? Putting the keyword method and the word part technique to the test. Language teaching research, 19(1), 43-69. https://doi.org/10.1177/1362168814541734</w:t>
      </w:r>
    </w:p>
    <w:p w:rsidR="009B39A5" w:rsidRDefault="00336C35">
      <w:pPr>
        <w:numPr>
          <w:ilvl w:val="0"/>
          <w:numId w:val="4"/>
        </w:numPr>
        <w:ind w:left="360"/>
        <w:jc w:val="both"/>
        <w:rPr>
          <w:rFonts w:ascii="Arial" w:eastAsia="Arial" w:hAnsi="Arial" w:cs="Arial"/>
        </w:rPr>
      </w:pPr>
      <w:r>
        <w:rPr>
          <w:rFonts w:ascii="Arial" w:eastAsia="Arial" w:hAnsi="Arial" w:cs="Arial"/>
        </w:rPr>
        <w:t xml:space="preserve">Wooten, J. O., &amp; Cuevas, J. A. (2024). The effects of dual coding </w:t>
      </w:r>
      <w:r>
        <w:rPr>
          <w:rFonts w:ascii="Arial" w:eastAsia="Arial" w:hAnsi="Arial" w:cs="Arial"/>
        </w:rPr>
        <w:t>theory on social studies vocabulary and comprehension in elementary education. International Journal on Social and Education Sciences, 6(4), 673–691. https://doi.org/10.46328/ijonses.696</w:t>
      </w:r>
    </w:p>
    <w:p w:rsidR="009B39A5" w:rsidRDefault="00336C35">
      <w:pPr>
        <w:numPr>
          <w:ilvl w:val="0"/>
          <w:numId w:val="4"/>
        </w:numPr>
        <w:ind w:left="360"/>
        <w:jc w:val="both"/>
        <w:rPr>
          <w:rFonts w:ascii="Arial" w:eastAsia="Arial" w:hAnsi="Arial" w:cs="Arial"/>
        </w:rPr>
      </w:pPr>
      <w:r>
        <w:rPr>
          <w:rFonts w:ascii="Arial" w:eastAsia="Arial" w:hAnsi="Arial" w:cs="Arial"/>
        </w:rPr>
        <w:t>Wright, D. B. (2018). Estimating school effectiveness with student gr</w:t>
      </w:r>
      <w:r>
        <w:rPr>
          <w:rFonts w:ascii="Arial" w:eastAsia="Arial" w:hAnsi="Arial" w:cs="Arial"/>
        </w:rPr>
        <w:t>owth percentile and gain score models. Journal of Applied Statistics, 45(14), 2536–2547. https://doi.org/10.1080/02664763.2018.1426742</w:t>
      </w:r>
    </w:p>
    <w:p w:rsidR="009B39A5" w:rsidRDefault="00336C35">
      <w:pPr>
        <w:numPr>
          <w:ilvl w:val="0"/>
          <w:numId w:val="4"/>
        </w:numPr>
        <w:ind w:left="360"/>
        <w:jc w:val="both"/>
        <w:rPr>
          <w:rFonts w:ascii="Arial" w:eastAsia="Arial" w:hAnsi="Arial" w:cs="Arial"/>
        </w:rPr>
      </w:pPr>
      <w:r>
        <w:rPr>
          <w:rFonts w:ascii="Arial" w:eastAsia="Arial" w:hAnsi="Arial" w:cs="Arial"/>
        </w:rPr>
        <w:t xml:space="preserve">Wu, H., &amp; </w:t>
      </w:r>
      <w:proofErr w:type="spellStart"/>
      <w:r>
        <w:rPr>
          <w:rFonts w:ascii="Arial" w:eastAsia="Arial" w:hAnsi="Arial" w:cs="Arial"/>
        </w:rPr>
        <w:t>Molnár</w:t>
      </w:r>
      <w:proofErr w:type="spellEnd"/>
      <w:r>
        <w:rPr>
          <w:rFonts w:ascii="Arial" w:eastAsia="Arial" w:hAnsi="Arial" w:cs="Arial"/>
        </w:rPr>
        <w:t xml:space="preserve">, G. (2022). </w:t>
      </w:r>
      <w:proofErr w:type="spellStart"/>
      <w:r>
        <w:rPr>
          <w:rFonts w:ascii="Arial" w:eastAsia="Arial" w:hAnsi="Arial" w:cs="Arial"/>
        </w:rPr>
        <w:t>Analysing</w:t>
      </w:r>
      <w:proofErr w:type="spellEnd"/>
      <w:r>
        <w:rPr>
          <w:rFonts w:ascii="Arial" w:eastAsia="Arial" w:hAnsi="Arial" w:cs="Arial"/>
        </w:rPr>
        <w:t xml:space="preserve"> Complex Problem-Solving Strategies from a Cognitive Perspective: The Role of Think</w:t>
      </w:r>
      <w:r>
        <w:rPr>
          <w:rFonts w:ascii="Arial" w:eastAsia="Arial" w:hAnsi="Arial" w:cs="Arial"/>
        </w:rPr>
        <w:t>ing Skills. Journal of Intelligence, 10(3), 46. https://doi.org/10.3390/jintelligence10030046</w:t>
      </w:r>
    </w:p>
    <w:p w:rsidR="009B39A5" w:rsidRDefault="00336C35">
      <w:pPr>
        <w:numPr>
          <w:ilvl w:val="0"/>
          <w:numId w:val="4"/>
        </w:numPr>
        <w:ind w:left="360"/>
        <w:jc w:val="both"/>
        <w:rPr>
          <w:rFonts w:ascii="Arial" w:eastAsia="Arial" w:hAnsi="Arial" w:cs="Arial"/>
        </w:rPr>
      </w:pPr>
      <w:proofErr w:type="spellStart"/>
      <w:r>
        <w:rPr>
          <w:rFonts w:ascii="Arial" w:eastAsia="Arial" w:hAnsi="Arial" w:cs="Arial"/>
        </w:rPr>
        <w:t>Wyra</w:t>
      </w:r>
      <w:proofErr w:type="spellEnd"/>
      <w:r>
        <w:rPr>
          <w:rFonts w:ascii="Arial" w:eastAsia="Arial" w:hAnsi="Arial" w:cs="Arial"/>
        </w:rPr>
        <w:t xml:space="preserve">, M. (2019). Problem solving using the keyword method and mental imagery for vocabulary recall. In </w:t>
      </w:r>
      <w:proofErr w:type="gramStart"/>
      <w:r>
        <w:rPr>
          <w:rFonts w:ascii="Arial" w:eastAsia="Arial" w:hAnsi="Arial" w:cs="Arial"/>
        </w:rPr>
        <w:t>The</w:t>
      </w:r>
      <w:proofErr w:type="gramEnd"/>
      <w:r>
        <w:rPr>
          <w:rFonts w:ascii="Arial" w:eastAsia="Arial" w:hAnsi="Arial" w:cs="Arial"/>
        </w:rPr>
        <w:t xml:space="preserve"> Psychology of Learning and Motivation, 71, (p. 203–225)</w:t>
      </w:r>
      <w:r>
        <w:rPr>
          <w:rFonts w:ascii="Arial" w:eastAsia="Arial" w:hAnsi="Arial" w:cs="Arial"/>
        </w:rPr>
        <w:t>. Academic Press. https://doi.org/10.4324/9780429400902-14</w:t>
      </w:r>
    </w:p>
    <w:p w:rsidR="009B39A5" w:rsidRDefault="00336C35">
      <w:pPr>
        <w:numPr>
          <w:ilvl w:val="0"/>
          <w:numId w:val="4"/>
        </w:numPr>
        <w:ind w:left="360"/>
        <w:jc w:val="both"/>
        <w:rPr>
          <w:rFonts w:ascii="Arial" w:eastAsia="Arial" w:hAnsi="Arial" w:cs="Arial"/>
          <w:color w:val="000000"/>
          <w:highlight w:val="white"/>
        </w:rPr>
      </w:pPr>
      <w:r>
        <w:rPr>
          <w:rFonts w:ascii="Arial" w:eastAsia="Arial" w:hAnsi="Arial" w:cs="Arial"/>
        </w:rPr>
        <w:t>Yao, J. (2023). Exploring experiential learning: enhancing secondary school chemistry education through practical engagement and innovation. Journal of Education, Humanities and Social Sciences, 22</w:t>
      </w:r>
      <w:r>
        <w:rPr>
          <w:rFonts w:ascii="Arial" w:eastAsia="Arial" w:hAnsi="Arial" w:cs="Arial"/>
        </w:rPr>
        <w:t>, 475-484.  https://doi.org/10.54097/ehss.v22i.12508</w:t>
      </w:r>
    </w:p>
    <w:p w:rsidR="009B39A5" w:rsidRDefault="00336C35">
      <w:pPr>
        <w:numPr>
          <w:ilvl w:val="0"/>
          <w:numId w:val="4"/>
        </w:numPr>
        <w:ind w:left="360"/>
        <w:jc w:val="both"/>
        <w:rPr>
          <w:rFonts w:ascii="Arial" w:eastAsia="Arial" w:hAnsi="Arial" w:cs="Arial"/>
          <w:color w:val="000000"/>
          <w:highlight w:val="white"/>
        </w:rPr>
      </w:pPr>
      <w:r>
        <w:rPr>
          <w:rFonts w:ascii="Arial" w:eastAsia="Arial" w:hAnsi="Arial" w:cs="Arial"/>
          <w:color w:val="000000"/>
          <w:highlight w:val="white"/>
        </w:rPr>
        <w:t>Yun, J. (2023). The counter-monument as mnemonic device: The case of the Statues of Peace in South Korea. https://doi-org.ezproxy.ugm.ac.id/10.1177/17506980231155577</w:t>
      </w:r>
    </w:p>
    <w:p w:rsidR="009B39A5" w:rsidRDefault="009B39A5">
      <w:pPr>
        <w:jc w:val="both"/>
        <w:rPr>
          <w:rFonts w:ascii="Arial" w:eastAsia="Arial" w:hAnsi="Arial" w:cs="Arial"/>
          <w:color w:val="000000"/>
          <w:highlight w:val="white"/>
        </w:rPr>
      </w:pPr>
    </w:p>
    <w:sectPr w:rsidR="009B39A5">
      <w:headerReference w:type="even" r:id="rId27"/>
      <w:headerReference w:type="default" r:id="rId28"/>
      <w:footerReference w:type="default" r:id="rId29"/>
      <w:headerReference w:type="first" r:id="rId30"/>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6C35" w:rsidRDefault="00336C35">
      <w:r>
        <w:separator/>
      </w:r>
    </w:p>
  </w:endnote>
  <w:endnote w:type="continuationSeparator" w:id="0">
    <w:p w:rsidR="00336C35" w:rsidRDefault="00336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A24B947-14AF-4DB0-9290-370418CCFA66}"/>
    <w:embedItalic r:id="rId2" w:fontKey="{EC75EB7C-61BE-4205-AC60-51918A7CF2D4}"/>
  </w:font>
  <w:font w:name="Calibri">
    <w:panose1 w:val="020F0502020204030204"/>
    <w:charset w:val="00"/>
    <w:family w:val="swiss"/>
    <w:pitch w:val="variable"/>
    <w:sig w:usb0="E4002EFF" w:usb1="C200247B" w:usb2="00000009" w:usb3="00000000" w:csb0="000001FF" w:csb1="00000000"/>
    <w:embedRegular r:id="rId3" w:fontKey="{6E7EE235-8162-4E17-8836-4431E0AE37B5}"/>
    <w:embedBold r:id="rId4" w:fontKey="{951633DD-196A-402E-AF0E-DB008EC4875A}"/>
  </w:font>
  <w:font w:name="Cambria">
    <w:panose1 w:val="02040503050406030204"/>
    <w:charset w:val="00"/>
    <w:family w:val="roman"/>
    <w:pitch w:val="variable"/>
    <w:sig w:usb0="E00006FF" w:usb1="420024FF" w:usb2="02000000" w:usb3="00000000" w:csb0="0000019F" w:csb1="00000000"/>
    <w:embedRegular r:id="rId5" w:fontKey="{F1819B7D-A0F9-4B0C-A307-7074ACE4D0D5}"/>
  </w:font>
  <w:font w:name="SimSun">
    <w:altName w:val="宋体"/>
    <w:panose1 w:val="02010600030101010101"/>
    <w:charset w:val="86"/>
    <w:family w:val="auto"/>
    <w:pitch w:val="variable"/>
    <w:sig w:usb0="00000203" w:usb1="288F0000" w:usb2="00000016" w:usb3="00000000" w:csb0="00040001" w:csb1="00000000"/>
  </w:font>
  <w:font w:name="Segoe UI Historic">
    <w:panose1 w:val="020B0502040204020203"/>
    <w:charset w:val="00"/>
    <w:family w:val="swiss"/>
    <w:pitch w:val="variable"/>
    <w:sig w:usb0="800001EF" w:usb1="02000002" w:usb2="0060C080" w:usb3="00000000" w:csb0="00000001" w:csb1="00000000"/>
    <w:embedRegular r:id="rId6" w:fontKey="{97FE8789-A7A4-46C8-9551-728362A6A5D3}"/>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9A5" w:rsidRDefault="009B39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9A5" w:rsidRDefault="00336C35">
    <w:pPr>
      <w:pStyle w:val="Foo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9A5" w:rsidRDefault="009B39A5">
    <w:pP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6C35" w:rsidRDefault="00336C35">
      <w:r>
        <w:separator/>
      </w:r>
    </w:p>
  </w:footnote>
  <w:footnote w:type="continuationSeparator" w:id="0">
    <w:p w:rsidR="00336C35" w:rsidRDefault="00336C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9A5" w:rsidRDefault="00336C3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2054" type="#_x0000_t136" style="position:absolute;margin-left:0;margin-top:0;width:548.1pt;height:60.9pt;rotation:-45;z-index:-251659776;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9A5" w:rsidRDefault="00336C3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2053" type="#_x0000_t136" style="position:absolute;margin-left:0;margin-top:0;width:548.1pt;height:60.9pt;rotation:-45;z-index:-251658752;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9A5" w:rsidRDefault="00336C35">
    <w:pPr>
      <w:ind w:left="2160"/>
      <w:jc w:val="center"/>
      <w:rPr>
        <w:rFonts w:ascii="Times New Roman" w:eastAsia="Times New Roman" w:hAnsi="Times New Roman" w:cs="Times New Roman"/>
        <w:i/>
        <w:sz w:val="18"/>
        <w:szCs w:val="1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2052" type="#_x0000_t136" style="position:absolute;left:0;text-align:left;margin-left:0;margin-top:0;width:548.1pt;height:60.9pt;rotation:-45;z-index:-251660800;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Helvetica Neue&quot;;font-size:1pt" string="UNDER PEER REVIEW"/>
          <w10:wrap anchorx="margin" anchory="margin"/>
        </v:shape>
      </w:pict>
    </w:r>
  </w:p>
  <w:p w:rsidR="009B39A5" w:rsidRDefault="00336C35">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rsidR="009B39A5" w:rsidRDefault="00336C35">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rsidR="009B39A5" w:rsidRDefault="00336C35">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rsidR="009B39A5" w:rsidRDefault="00336C35">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rsidR="009B39A5" w:rsidRDefault="00336C35">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rsidR="009B39A5" w:rsidRDefault="00336C35">
    <w:pP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9A5" w:rsidRDefault="00336C3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4" o:spid="_x0000_s2051" type="#_x0000_t136" style="position:absolute;margin-left:0;margin-top:0;width:548.1pt;height:60.9pt;rotation:-45;z-index:-251656704;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9A5" w:rsidRDefault="00336C35">
    <w:pPr>
      <w:pStyle w:val="Header"/>
      <w:ind w:right="36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5" o:spid="_x0000_s2050" type="#_x0000_t136" style="position:absolute;margin-left:0;margin-top:0;width:548.1pt;height:60.9pt;rotation:-45;z-index:-251655680;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Helvetica Neue&quot;;font-size:1pt" string="UNDER PEER REVIEW"/>
          <w10:wrap anchorx="margin" anchory="margin"/>
        </v:shape>
      </w:pict>
    </w:r>
    <w:r>
      <w:rPr>
        <w:noProof/>
        <w:sz w:val="22"/>
      </w:rPr>
      <mc:AlternateContent>
        <mc:Choice Requires="wps">
          <w:drawing>
            <wp:anchor distT="0" distB="0" distL="0" distR="0" simplePos="0" relativeHeight="251654656" behindDoc="0" locked="0" layoutInCell="1" allowOverlap="1">
              <wp:simplePos x="0" y="0"/>
              <wp:positionH relativeFrom="margin">
                <wp:align>right</wp:align>
              </wp:positionH>
              <wp:positionV relativeFrom="paragraph">
                <wp:posOffset>0</wp:posOffset>
              </wp:positionV>
              <wp:extent cx="1828800" cy="1828800"/>
              <wp:effectExtent l="0" t="0" r="0" b="0"/>
              <wp:wrapNone/>
              <wp:docPr id="410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828800"/>
                      </a:xfrm>
                      <a:prstGeom prst="rect">
                        <a:avLst/>
                      </a:prstGeom>
                      <a:ln>
                        <a:noFill/>
                      </a:ln>
                    </wps:spPr>
                    <wps:txbx>
                      <w:txbxContent>
                        <w:p w:rsidR="009B39A5" w:rsidRDefault="00336C35">
                          <w:pPr>
                            <w:pStyle w:val="Header"/>
                            <w:rPr>
                              <w:rFonts w:ascii="Arial" w:hAnsi="Arial" w:cs="Arial"/>
                            </w:rPr>
                          </w:pPr>
                          <w:r>
                            <w:rPr>
                              <w:rFonts w:ascii="Arial" w:hAnsi="Arial" w:cs="Arial"/>
                              <w:sz w:val="24"/>
                              <w:szCs w:val="24"/>
                            </w:rPr>
                            <w:fldChar w:fldCharType="begin"/>
                          </w:r>
                          <w:r>
                            <w:rPr>
                              <w:rFonts w:ascii="Arial" w:hAnsi="Arial" w:cs="Arial"/>
                              <w:sz w:val="24"/>
                              <w:szCs w:val="24"/>
                            </w:rPr>
                            <w:instrText xml:space="preserve"> PAGE  \* MERGEFORMAT </w:instrText>
                          </w:r>
                          <w:r>
                            <w:rPr>
                              <w:rFonts w:ascii="Arial" w:hAnsi="Arial" w:cs="Arial"/>
                              <w:sz w:val="24"/>
                              <w:szCs w:val="24"/>
                            </w:rPr>
                            <w:fldChar w:fldCharType="separate"/>
                          </w:r>
                          <w:r>
                            <w:rPr>
                              <w:rFonts w:ascii="Arial" w:hAnsi="Arial" w:cs="Arial"/>
                              <w:sz w:val="24"/>
                              <w:szCs w:val="24"/>
                            </w:rPr>
                            <w:t>xlv</w:t>
                          </w:r>
                          <w:r>
                            <w:rPr>
                              <w:rFonts w:ascii="Arial" w:hAnsi="Arial" w:cs="Arial"/>
                              <w:sz w:val="24"/>
                              <w:szCs w:val="24"/>
                            </w:rPr>
                            <w:fldChar w:fldCharType="end"/>
                          </w:r>
                        </w:p>
                      </w:txbxContent>
                    </wps:txbx>
                    <wps:bodyPr vert="horz" wrap="none" lIns="0" tIns="0" rIns="0" bIns="0" anchor="t">
                      <a:prstTxWarp prst="textNoShape">
                        <a:avLst/>
                      </a:prstTxWarp>
                      <a:spAutoFit/>
                    </wps:bodyPr>
                  </wps:wsp>
                </a:graphicData>
              </a:graphic>
            </wp:anchor>
          </w:drawing>
        </mc:Choice>
        <mc:Fallback>
          <w:pict>
            <v:rect id="Text Box 7" o:spid="_x0000_s1026" style="position:absolute;margin-left:92.8pt;margin-top:0;width:2in;height:2in;z-index:251654656;visibility:visible;mso-wrap-style:non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" filled="f" stroked="f">
              <v:textbox style="mso-fit-shape-to-text:t" inset="0,0,0,0">
                <w:txbxContent>
                  <w:p w:rsidR="009B39A5" w:rsidRDefault="00336C35">
                    <w:pPr>
                      <w:pStyle w:val="Header"/>
                      <w:rPr>
                        <w:rFonts w:ascii="Arial" w:hAnsi="Arial" w:cs="Arial"/>
                      </w:rPr>
                    </w:pPr>
                    <w:r>
                      <w:rPr>
                        <w:rFonts w:ascii="Arial" w:hAnsi="Arial" w:cs="Arial"/>
                        <w:sz w:val="24"/>
                        <w:szCs w:val="24"/>
                      </w:rPr>
                      <w:fldChar w:fldCharType="begin"/>
                    </w:r>
                    <w:r>
                      <w:rPr>
                        <w:rFonts w:ascii="Arial" w:hAnsi="Arial" w:cs="Arial"/>
                        <w:sz w:val="24"/>
                        <w:szCs w:val="24"/>
                      </w:rPr>
                      <w:instrText xml:space="preserve"> PAGE  \* MERGEFORMAT </w:instrText>
                    </w:r>
                    <w:r>
                      <w:rPr>
                        <w:rFonts w:ascii="Arial" w:hAnsi="Arial" w:cs="Arial"/>
                        <w:sz w:val="24"/>
                        <w:szCs w:val="24"/>
                      </w:rPr>
                      <w:fldChar w:fldCharType="separate"/>
                    </w:r>
                    <w:r>
                      <w:rPr>
                        <w:rFonts w:ascii="Arial" w:hAnsi="Arial" w:cs="Arial"/>
                        <w:sz w:val="24"/>
                        <w:szCs w:val="24"/>
                      </w:rPr>
                      <w:t>xlv</w:t>
                    </w:r>
                    <w:r>
                      <w:rPr>
                        <w:rFonts w:ascii="Arial" w:hAnsi="Arial" w:cs="Arial"/>
                        <w:sz w:val="24"/>
                        <w:szCs w:val="24"/>
                      </w:rPr>
                      <w:fldChar w:fldCharType="end"/>
                    </w:r>
                  </w:p>
                </w:txbxContent>
              </v:textbox>
              <w10:wrap anchorx="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9A5" w:rsidRDefault="00336C3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7" o:spid="_x0000_s2049" type="#_x0000_t136" style="position:absolute;margin-left:0;margin-top:0;width:548.1pt;height:60.9pt;rotation:-45;z-index:-251657728;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Helvetica Neu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multiLevelType w:val="singleLevel"/>
    <w:tmpl w:val="EF4B8D8D"/>
    <w:lvl w:ilvl="0">
      <w:start w:val="1"/>
      <w:numFmt w:val="decimal"/>
      <w:suff w:val="space"/>
      <w:lvlText w:val="%1."/>
      <w:lvlJc w:val="left"/>
    </w:lvl>
  </w:abstractNum>
  <w:abstractNum w:abstractNumId="1" w15:restartNumberingAfterBreak="0">
    <w:nsid w:val="00000001"/>
    <w:multiLevelType w:val="singleLevel"/>
    <w:tmpl w:val="142A67D4"/>
    <w:lvl w:ilvl="0">
      <w:start w:val="1"/>
      <w:numFmt w:val="decimal"/>
      <w:suff w:val="space"/>
      <w:lvlText w:val="%1."/>
      <w:lvlJc w:val="left"/>
      <w:rPr>
        <w:rFonts w:hint="default"/>
        <w:sz w:val="20"/>
        <w:szCs w:val="20"/>
      </w:rPr>
    </w:lvl>
  </w:abstractNum>
  <w:abstractNum w:abstractNumId="2" w15:restartNumberingAfterBreak="0">
    <w:nsid w:val="00000002"/>
    <w:multiLevelType w:val="singleLevel"/>
    <w:tmpl w:val="55C333FE"/>
    <w:lvl w:ilvl="0">
      <w:start w:val="5"/>
      <w:numFmt w:val="upperLetter"/>
      <w:suff w:val="nothing"/>
      <w:lvlText w:val="%1-"/>
      <w:lvlJc w:val="left"/>
    </w:lvl>
  </w:abstractNum>
  <w:abstractNum w:abstractNumId="3" w15:restartNumberingAfterBreak="0">
    <w:nsid w:val="00000003"/>
    <w:multiLevelType w:val="multilevel"/>
    <w:tmpl w:val="75BD24B7"/>
    <w:lvl w:ilvl="0">
      <w:start w:val="1"/>
      <w:numFmt w:val="decimal"/>
      <w:lvlText w:val="%1."/>
      <w:lvlJc w:val="left"/>
      <w:pPr>
        <w:ind w:left="26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9A5"/>
    <w:rsid w:val="00273E93"/>
    <w:rsid w:val="00336C35"/>
    <w:rsid w:val="009B39A5"/>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96319DD"/>
  <w15:docId w15:val="{D7933C0D-51D3-49F8-B713-6862D01F8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US" w:eastAsia="en-PH"/>
    </w:rPr>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qFormat/>
    <w:pPr>
      <w:spacing w:after="120" w:line="480" w:lineRule="auto"/>
      <w:ind w:left="360"/>
    </w:pPr>
    <w:rPr>
      <w:rFonts w:ascii="Times New Roman" w:eastAsia="Times New Roman" w:hAnsi="Times New Roman" w:cs="Times New Roman"/>
      <w:sz w:val="24"/>
      <w:szCs w:val="24"/>
    </w:rPr>
  </w:style>
  <w:style w:type="paragraph" w:styleId="Footer">
    <w:name w:val="footer"/>
    <w:basedOn w:val="Normal"/>
    <w:link w:val="FooterChar"/>
    <w:uiPriority w:val="99"/>
    <w:pPr>
      <w:tabs>
        <w:tab w:val="center" w:pos="4680"/>
        <w:tab w:val="right" w:pos="9360"/>
      </w:tabs>
    </w:pPr>
  </w:style>
  <w:style w:type="paragraph" w:styleId="Header">
    <w:name w:val="header"/>
    <w:basedOn w:val="Normal"/>
    <w:link w:val="HeaderChar"/>
    <w:uiPriority w:val="99"/>
    <w:qFormat/>
    <w:pPr>
      <w:tabs>
        <w:tab w:val="center" w:pos="4680"/>
        <w:tab w:val="right" w:pos="9360"/>
      </w:tabs>
    </w:pPr>
  </w:style>
  <w:style w:type="character" w:styleId="Hyperlink">
    <w:name w:val="Hyperlink"/>
    <w:basedOn w:val="DefaultParagraphFont"/>
    <w:uiPriority w:val="99"/>
    <w:qFormat/>
    <w:rPr>
      <w:color w:val="0000FF"/>
      <w:u w:val="single"/>
    </w:rPr>
  </w:style>
  <w:style w:type="character" w:styleId="LineNumber">
    <w:name w:val="line number"/>
    <w:basedOn w:val="DefaultParagraphFont"/>
    <w:uiPriority w:val="99"/>
    <w:qFormat/>
  </w:style>
  <w:style w:type="paragraph" w:styleId="NormalWeb">
    <w:name w:val="Normal (Web)"/>
    <w:basedOn w:val="Normal"/>
    <w:uiPriority w:val="99"/>
    <w:qFormat/>
    <w:pPr>
      <w:spacing w:before="100" w:beforeAutospacing="1" w:after="100" w:afterAutospacing="1"/>
    </w:pPr>
    <w:rPr>
      <w:rFonts w:ascii="Times New Roman" w:eastAsia="Times New Roman" w:hAnsi="Times New Roman" w:cs="Times New Roman"/>
      <w:sz w:val="24"/>
      <w:szCs w:val="24"/>
      <w:lang w:val="en-PH"/>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uiPriority w:val="10"/>
    <w:qFormat/>
    <w:pPr>
      <w:spacing w:after="360"/>
      <w:jc w:val="right"/>
    </w:pPr>
    <w:rPr>
      <w:b/>
      <w:sz w:val="36"/>
      <w:szCs w:val="36"/>
    </w:rPr>
  </w:style>
  <w:style w:type="table" w:customStyle="1" w:styleId="Style11">
    <w:name w:val="_Style 11"/>
    <w:basedOn w:val="TableNormal"/>
    <w:tblPr>
      <w:tblCellMar>
        <w:left w:w="115" w:type="dxa"/>
        <w:right w:w="115" w:type="dxa"/>
      </w:tblCellMar>
    </w:tblPr>
  </w:style>
  <w:style w:type="table" w:customStyle="1" w:styleId="Style12">
    <w:name w:val="_Style 12"/>
    <w:basedOn w:val="TableNormal"/>
    <w:rPr>
      <w:color w:val="000000"/>
    </w:rP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tyle13">
    <w:name w:val="_Style 13"/>
    <w:basedOn w:val="TableNormal"/>
    <w:qFormat/>
    <w:rPr>
      <w:rFonts w:ascii="Calibri" w:eastAsia="Calibri" w:hAnsi="Calibri" w:cs="Calibri"/>
      <w:sz w:val="22"/>
      <w:szCs w:val="22"/>
    </w:rPr>
    <w:tblPr/>
  </w:style>
  <w:style w:type="table" w:customStyle="1" w:styleId="Style14">
    <w:name w:val="_Style 14"/>
    <w:basedOn w:val="TableNormal"/>
    <w:qFormat/>
    <w:rPr>
      <w:rFonts w:ascii="Calibri" w:eastAsia="Calibri" w:hAnsi="Calibri" w:cs="Calibri"/>
      <w:sz w:val="22"/>
      <w:szCs w:val="22"/>
    </w:rPr>
    <w:tblPr>
      <w:tblCellMar>
        <w:left w:w="0" w:type="dxa"/>
        <w:right w:w="0" w:type="dxa"/>
      </w:tblCellMar>
    </w:tblPr>
  </w:style>
  <w:style w:type="table" w:customStyle="1" w:styleId="Style15">
    <w:name w:val="_Style 15"/>
    <w:basedOn w:val="TableNormal"/>
    <w:qFormat/>
    <w:rPr>
      <w:rFonts w:ascii="Calibri" w:eastAsia="Calibri" w:hAnsi="Calibri" w:cs="Calibri"/>
      <w:sz w:val="22"/>
      <w:szCs w:val="22"/>
    </w:rPr>
    <w:tblPr>
      <w:tblCellMar>
        <w:left w:w="0" w:type="dxa"/>
        <w:right w:w="0" w:type="dxa"/>
      </w:tblCellMar>
    </w:tblPr>
  </w:style>
  <w:style w:type="table" w:customStyle="1" w:styleId="Style16">
    <w:name w:val="_Style 16"/>
    <w:basedOn w:val="TableNormal"/>
    <w:qFormat/>
    <w:rPr>
      <w:rFonts w:ascii="Calibri" w:eastAsia="Calibri" w:hAnsi="Calibri" w:cs="Calibri"/>
      <w:sz w:val="22"/>
      <w:szCs w:val="22"/>
    </w:rPr>
    <w:tbl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qFormat/>
    <w:rPr>
      <w:color w:val="605E5C"/>
      <w:shd w:val="clear" w:color="auto" w:fill="E1DFDD"/>
    </w:rPr>
  </w:style>
  <w:style w:type="paragraph" w:styleId="NoSpacing">
    <w:name w:val="No Spacing"/>
    <w:uiPriority w:val="1"/>
    <w:qFormat/>
    <w:rPr>
      <w:rFonts w:ascii="Cambria" w:eastAsia="Cambria" w:hAnsi="Cambria" w:cs="SimSun"/>
      <w:sz w:val="22"/>
      <w:szCs w:val="22"/>
      <w:lang w:val="en-US" w:eastAsia="en-US"/>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2">
    <w:name w:val="Unresolved Mention2"/>
    <w:basedOn w:val="DefaultParagraphFont"/>
    <w:uiPriority w:val="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oi.org/10.33225/jbse/21.20.528" TargetMode="External"/><Relationship Id="rId18" Type="http://schemas.openxmlformats.org/officeDocument/2006/relationships/hyperlink" Target="https://www.cwauthors.com/article/Statistics-and-data-presentation-understanding-effect-size." TargetMode="External"/><Relationship Id="rId26" Type="http://schemas.openxmlformats.org/officeDocument/2006/relationships/hyperlink" Target="https://doi.org/10.36227/techrxiv.170250857.79385983/v1" TargetMode="External"/><Relationship Id="rId3" Type="http://schemas.openxmlformats.org/officeDocument/2006/relationships/styles" Target="styles.xml"/><Relationship Id="rId21" Type="http://schemas.openxmlformats.org/officeDocument/2006/relationships/hyperlink" Target="https://doi.org/10.1103/PhysRevPhysEducRes.15.010133"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eric.ed.gov/?id=EJ1289124" TargetMode="External"/><Relationship Id="rId25" Type="http://schemas.openxmlformats.org/officeDocument/2006/relationships/hyperlink" Target="https://doi.org/10.37251/isej.v5i1.806" TargetMode="External"/><Relationship Id="rId2" Type="http://schemas.openxmlformats.org/officeDocument/2006/relationships/numbering" Target="numbering.xml"/><Relationship Id="rId16" Type="http://schemas.openxmlformats.org/officeDocument/2006/relationships/hyperlink" Target="https://doi.org/10.1007/s10212-024-00874-x" TargetMode="External"/><Relationship Id="rId20" Type="http://schemas.openxmlformats.org/officeDocument/2006/relationships/hyperlink" Target="https://doi.org/10.21125/iceri.2024.2643"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61424/ijah.v1i1.7"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177/02537176211034707" TargetMode="External"/><Relationship Id="rId23" Type="http://schemas.openxmlformats.org/officeDocument/2006/relationships/hyperlink" Target="https://doi.org/10.1103/physrevphyseducres.14.010145" TargetMode="External"/><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https://doi.org/10.1080/00220485.2020.1845266"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i.org/10.1155/2020/8877712" TargetMode="External"/><Relationship Id="rId22" Type="http://schemas.openxmlformats.org/officeDocument/2006/relationships/hyperlink" Target="https://doi.org/10.1007/s10648-019-09466-4" TargetMode="External"/><Relationship Id="rId27" Type="http://schemas.openxmlformats.org/officeDocument/2006/relationships/header" Target="header4.xml"/><Relationship Id="rId30" Type="http://schemas.openxmlformats.org/officeDocument/2006/relationships/header" Target="head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15</Pages>
  <Words>8653</Words>
  <Characters>49328</Characters>
  <Application>Microsoft Office Word</Application>
  <DocSecurity>0</DocSecurity>
  <Lines>411</Lines>
  <Paragraphs>115</Paragraphs>
  <ScaleCrop>false</ScaleCrop>
  <Company/>
  <LinksUpToDate>false</LinksUpToDate>
  <CharactersWithSpaces>57866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Rannie Bartolome</dc:creator>
  <cp:lastModifiedBy>SDI 1183</cp:lastModifiedBy>
  <cp:revision>19</cp:revision>
  <cp:lastPrinted>2025-04-08T00:39:00Z</cp:lastPrinted>
  <dcterms:created xsi:type="dcterms:W3CDTF">2025-05-03T05:44:00Z</dcterms:created>
  <dcterms:modified xsi:type="dcterms:W3CDTF">2025-07-18T11:02:00Z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EF7B6C0599EB48FFB439DE4F329EB3FC_13</vt:lpwstr>
  </property>
</Properties>
</file>