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42F8" w14:textId="75A481FC" w:rsidR="00754C9A" w:rsidRPr="009571C7" w:rsidRDefault="009571C7" w:rsidP="00441B6F">
      <w:pPr>
        <w:pStyle w:val="Title"/>
        <w:spacing w:after="0"/>
        <w:jc w:val="both"/>
        <w:rPr>
          <w:rFonts w:ascii="Arial" w:hAnsi="Arial" w:cs="Arial"/>
          <w:u w:val="single"/>
        </w:rPr>
      </w:pPr>
      <w:r w:rsidRPr="009571C7">
        <w:rPr>
          <w:rFonts w:ascii="Arial" w:hAnsi="Arial" w:cs="Arial"/>
          <w:u w:val="single"/>
        </w:rPr>
        <w:t>Original Research Article</w:t>
      </w:r>
    </w:p>
    <w:p w14:paraId="13FF0A86" w14:textId="77777777" w:rsidR="00163BC4" w:rsidRPr="00163BC4" w:rsidRDefault="00F67ABC" w:rsidP="00441B6F">
      <w:pPr>
        <w:pStyle w:val="Author"/>
        <w:spacing w:line="240" w:lineRule="auto"/>
        <w:rPr>
          <w:rFonts w:ascii="Arial" w:hAnsi="Arial" w:cs="Arial"/>
          <w:bCs/>
          <w:iCs/>
          <w:kern w:val="28"/>
          <w:sz w:val="36"/>
        </w:rPr>
      </w:pPr>
      <w:r w:rsidRPr="00F67ABC">
        <w:rPr>
          <w:rFonts w:ascii="Arial" w:hAnsi="Arial" w:cs="Arial"/>
          <w:bCs/>
          <w:iCs/>
          <w:kern w:val="28"/>
          <w:sz w:val="36"/>
        </w:rPr>
        <w:t>Determinants of Students’ Participation in the TESDA National Certificate Assessment for Agricultural Crop Production</w:t>
      </w:r>
      <w:r w:rsidR="00231920">
        <w:rPr>
          <w:rFonts w:ascii="Arial" w:hAnsi="Arial" w:cs="Arial"/>
          <w:bCs/>
          <w:iCs/>
          <w:kern w:val="28"/>
          <w:sz w:val="36"/>
        </w:rPr>
        <w:t xml:space="preserve"> </w:t>
      </w:r>
    </w:p>
    <w:p w14:paraId="3A4375C5" w14:textId="77777777" w:rsidR="00A258C3" w:rsidRPr="00790ADA" w:rsidRDefault="00A258C3" w:rsidP="00441B6F">
      <w:pPr>
        <w:pStyle w:val="Author"/>
        <w:spacing w:line="240" w:lineRule="auto"/>
        <w:jc w:val="both"/>
        <w:rPr>
          <w:rFonts w:ascii="Arial" w:hAnsi="Arial" w:cs="Arial"/>
          <w:sz w:val="36"/>
        </w:rPr>
      </w:pPr>
    </w:p>
    <w:p w14:paraId="329D468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6A850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8B1B2F5" w14:textId="77777777" w:rsidTr="001E44FE">
        <w:tc>
          <w:tcPr>
            <w:tcW w:w="9576" w:type="dxa"/>
            <w:shd w:val="clear" w:color="auto" w:fill="F2F2F2"/>
          </w:tcPr>
          <w:p w14:paraId="121347AF" w14:textId="5F0D2928" w:rsidR="00505F06" w:rsidRPr="0035751B" w:rsidRDefault="0035751B" w:rsidP="0035751B">
            <w:pPr>
              <w:jc w:val="both"/>
              <w:rPr>
                <w:rFonts w:cs="Times New Roman (Body CS)"/>
                <w:kern w:val="24"/>
              </w:rPr>
            </w:pPr>
            <w:r w:rsidRPr="0029660C">
              <w:rPr>
                <w:rFonts w:cs="Times New Roman (Body CS)"/>
                <w:kern w:val="24"/>
              </w:rPr>
              <w:t>This study aimed to determine the factors affecting the decision of students to</w:t>
            </w:r>
            <w:r>
              <w:rPr>
                <w:rFonts w:cs="Times New Roman (Body CS)"/>
                <w:kern w:val="24"/>
              </w:rPr>
              <w:t xml:space="preserve"> </w:t>
            </w:r>
            <w:r w:rsidRPr="0029660C">
              <w:rPr>
                <w:rFonts w:cs="Times New Roman (Body CS)"/>
                <w:kern w:val="24"/>
              </w:rPr>
              <w:t xml:space="preserve">take the </w:t>
            </w:r>
            <w:r w:rsidR="00A84859" w:rsidRPr="008E7D1E">
              <w:rPr>
                <w:rFonts w:ascii="Arial" w:hAnsi="Arial" w:cs="Arial"/>
                <w:lang w:val="en-PH"/>
              </w:rPr>
              <w:t>Technical Education and Skills Development Authority</w:t>
            </w:r>
            <w:r w:rsidR="00A84859" w:rsidRPr="0029660C">
              <w:rPr>
                <w:rFonts w:cs="Times New Roman (Body CS)"/>
                <w:kern w:val="24"/>
              </w:rPr>
              <w:t xml:space="preserve"> </w:t>
            </w:r>
            <w:r w:rsidR="00A84859">
              <w:rPr>
                <w:rFonts w:cs="Times New Roman (Body CS)"/>
                <w:kern w:val="24"/>
              </w:rPr>
              <w:t>(</w:t>
            </w:r>
            <w:r w:rsidRPr="0029660C">
              <w:rPr>
                <w:rFonts w:cs="Times New Roman (Body CS)"/>
                <w:kern w:val="24"/>
              </w:rPr>
              <w:t>TESDA</w:t>
            </w:r>
            <w:r w:rsidR="00A84859">
              <w:rPr>
                <w:rFonts w:cs="Times New Roman (Body CS)"/>
                <w:kern w:val="24"/>
              </w:rPr>
              <w:t>)</w:t>
            </w:r>
            <w:r w:rsidRPr="0029660C">
              <w:rPr>
                <w:rFonts w:cs="Times New Roman (Body CS)"/>
                <w:kern w:val="24"/>
              </w:rPr>
              <w:t xml:space="preserve"> National Certificate Assessment for Agricultural Crop</w:t>
            </w:r>
            <w:r>
              <w:rPr>
                <w:rFonts w:cs="Times New Roman (Body CS)"/>
                <w:kern w:val="24"/>
              </w:rPr>
              <w:t xml:space="preserve"> </w:t>
            </w:r>
            <w:r w:rsidRPr="0029660C">
              <w:rPr>
                <w:rFonts w:cs="Times New Roman (Body CS)"/>
                <w:kern w:val="24"/>
              </w:rPr>
              <w:t>Production in the Third District of the Division of Camarines Sur</w:t>
            </w:r>
            <w:r w:rsidR="00C21BD5">
              <w:rPr>
                <w:rFonts w:cs="Times New Roman (Body CS)"/>
                <w:kern w:val="24"/>
              </w:rPr>
              <w:t>, Philippines.</w:t>
            </w:r>
            <w:r w:rsidRPr="0029660C">
              <w:rPr>
                <w:rFonts w:cs="Times New Roman (Body CS)"/>
                <w:kern w:val="24"/>
              </w:rPr>
              <w:t xml:space="preserve"> Specifically, it</w:t>
            </w:r>
            <w:r>
              <w:rPr>
                <w:rFonts w:cs="Times New Roman (Body CS)"/>
                <w:kern w:val="24"/>
              </w:rPr>
              <w:t xml:space="preserve"> </w:t>
            </w:r>
            <w:r w:rsidRPr="0029660C">
              <w:rPr>
                <w:rFonts w:cs="Times New Roman (Body CS)"/>
                <w:kern w:val="24"/>
              </w:rPr>
              <w:t>sought to identify the factors affecting the decision of students to take the</w:t>
            </w:r>
            <w:r>
              <w:rPr>
                <w:rFonts w:cs="Times New Roman (Body CS)"/>
                <w:kern w:val="24"/>
              </w:rPr>
              <w:t xml:space="preserve"> </w:t>
            </w:r>
            <w:r w:rsidRPr="0029660C">
              <w:rPr>
                <w:rFonts w:cs="Times New Roman (Body CS)"/>
                <w:kern w:val="24"/>
              </w:rPr>
              <w:t xml:space="preserve">TESDA National Certificate Assessment for Agricultural Crop Production and </w:t>
            </w:r>
            <w:r w:rsidR="00C21BD5">
              <w:rPr>
                <w:rFonts w:cs="Times New Roman (Body CS)"/>
                <w:kern w:val="24"/>
              </w:rPr>
              <w:t>propose</w:t>
            </w:r>
            <w:r w:rsidRPr="0029660C">
              <w:rPr>
                <w:rFonts w:cs="Times New Roman (Body CS)"/>
                <w:kern w:val="24"/>
              </w:rPr>
              <w:t xml:space="preserve"> an intervention program to increase the</w:t>
            </w:r>
            <w:r>
              <w:rPr>
                <w:rFonts w:cs="Times New Roman (Body CS)"/>
                <w:kern w:val="24"/>
              </w:rPr>
              <w:t xml:space="preserve"> </w:t>
            </w:r>
            <w:r w:rsidRPr="0029660C">
              <w:rPr>
                <w:rFonts w:cs="Times New Roman (Body CS)"/>
                <w:kern w:val="24"/>
              </w:rPr>
              <w:t>number of students taking the assessment. It utilized descriptive-</w:t>
            </w:r>
            <w:r>
              <w:rPr>
                <w:rFonts w:cs="Times New Roman (Body CS)"/>
                <w:kern w:val="24"/>
              </w:rPr>
              <w:t xml:space="preserve"> </w:t>
            </w:r>
            <w:r w:rsidRPr="0029660C">
              <w:rPr>
                <w:rFonts w:cs="Times New Roman (Body CS)"/>
                <w:kern w:val="24"/>
              </w:rPr>
              <w:t>developmental research design, employing survey questionnaires and</w:t>
            </w:r>
            <w:r>
              <w:rPr>
                <w:rFonts w:cs="Times New Roman (Body CS)"/>
                <w:kern w:val="24"/>
              </w:rPr>
              <w:t xml:space="preserve"> </w:t>
            </w:r>
            <w:r w:rsidRPr="0029660C">
              <w:rPr>
                <w:rFonts w:cs="Times New Roman (Body CS)"/>
                <w:kern w:val="24"/>
              </w:rPr>
              <w:t xml:space="preserve">interviews with </w:t>
            </w:r>
            <w:r w:rsidR="00071BE0">
              <w:rPr>
                <w:rFonts w:cs="Times New Roman (Body CS)"/>
                <w:kern w:val="24"/>
              </w:rPr>
              <w:t>112</w:t>
            </w:r>
            <w:r w:rsidR="00071BE0" w:rsidRPr="0029660C">
              <w:rPr>
                <w:rFonts w:cs="Times New Roman (Body CS)"/>
                <w:kern w:val="24"/>
              </w:rPr>
              <w:t xml:space="preserve"> </w:t>
            </w:r>
            <w:r w:rsidRPr="0029660C">
              <w:rPr>
                <w:rFonts w:cs="Times New Roman (Body CS)"/>
                <w:kern w:val="24"/>
              </w:rPr>
              <w:t>Senior High School students, teachers, and administrators.</w:t>
            </w:r>
            <w:r>
              <w:rPr>
                <w:rFonts w:cs="Times New Roman (Body CS)"/>
                <w:kern w:val="24"/>
              </w:rPr>
              <w:t xml:space="preserve"> </w:t>
            </w:r>
            <w:r w:rsidRPr="0029660C">
              <w:rPr>
                <w:rFonts w:cs="Times New Roman (Body CS)"/>
                <w:kern w:val="24"/>
              </w:rPr>
              <w:t>The study’s results revealed the top three (3) factors that affect students’</w:t>
            </w:r>
            <w:r>
              <w:rPr>
                <w:rFonts w:cs="Times New Roman (Body CS)"/>
                <w:kern w:val="24"/>
              </w:rPr>
              <w:t xml:space="preserve"> </w:t>
            </w:r>
            <w:r w:rsidRPr="0029660C">
              <w:rPr>
                <w:rFonts w:cs="Times New Roman (Body CS)"/>
                <w:kern w:val="24"/>
              </w:rPr>
              <w:t>decision to take the TESDA NC assessment for ACP</w:t>
            </w:r>
            <w:r w:rsidR="00636397">
              <w:rPr>
                <w:rFonts w:cs="Times New Roman (Body CS)"/>
                <w:kern w:val="24"/>
              </w:rPr>
              <w:t>,</w:t>
            </w:r>
            <w:r w:rsidRPr="0029660C">
              <w:rPr>
                <w:rFonts w:cs="Times New Roman (Body CS)"/>
                <w:kern w:val="24"/>
              </w:rPr>
              <w:t xml:space="preserve"> which are: preparedness</w:t>
            </w:r>
            <w:r>
              <w:rPr>
                <w:rFonts w:cs="Times New Roman (Body CS)"/>
                <w:kern w:val="24"/>
              </w:rPr>
              <w:t xml:space="preserve"> </w:t>
            </w:r>
            <w:r w:rsidRPr="0029660C">
              <w:rPr>
                <w:rFonts w:cs="Times New Roman (Body CS)"/>
                <w:kern w:val="24"/>
              </w:rPr>
              <w:t>on</w:t>
            </w:r>
            <w:r>
              <w:rPr>
                <w:rFonts w:cs="Times New Roman (Body CS)"/>
                <w:kern w:val="24"/>
              </w:rPr>
              <w:t xml:space="preserve"> </w:t>
            </w:r>
            <w:r w:rsidRPr="0029660C">
              <w:rPr>
                <w:rFonts w:cs="Times New Roman (Body CS)"/>
                <w:kern w:val="24"/>
              </w:rPr>
              <w:t>competency, classroom and laboratory environment, and family support,</w:t>
            </w:r>
            <w:r>
              <w:rPr>
                <w:rFonts w:cs="Times New Roman (Body CS)"/>
                <w:kern w:val="24"/>
              </w:rPr>
              <w:t xml:space="preserve"> </w:t>
            </w:r>
            <w:r w:rsidRPr="0029660C">
              <w:rPr>
                <w:rFonts w:cs="Times New Roman (Body CS)"/>
                <w:kern w:val="24"/>
              </w:rPr>
              <w:t>while the teacher influence runs the lowest. It is therefore concluded that while progress has been made, a</w:t>
            </w:r>
            <w:r>
              <w:rPr>
                <w:rFonts w:cs="Times New Roman (Body CS)"/>
                <w:kern w:val="24"/>
              </w:rPr>
              <w:t xml:space="preserve"> </w:t>
            </w:r>
            <w:r w:rsidRPr="0029660C">
              <w:rPr>
                <w:rFonts w:cs="Times New Roman (Body CS)"/>
                <w:kern w:val="24"/>
              </w:rPr>
              <w:t>reevaluation of current practices based on the students’ needs is necessary to</w:t>
            </w:r>
            <w:r>
              <w:rPr>
                <w:rFonts w:cs="Times New Roman (Body CS)"/>
                <w:kern w:val="24"/>
              </w:rPr>
              <w:t xml:space="preserve"> </w:t>
            </w:r>
            <w:r w:rsidRPr="0029660C">
              <w:rPr>
                <w:rFonts w:cs="Times New Roman (Body CS)"/>
                <w:kern w:val="24"/>
              </w:rPr>
              <w:t>increase student participation in the certification process.</w:t>
            </w:r>
            <w:r>
              <w:rPr>
                <w:rFonts w:cs="Times New Roman (Body CS)"/>
                <w:kern w:val="24"/>
              </w:rPr>
              <w:t xml:space="preserve"> </w:t>
            </w:r>
            <w:r w:rsidRPr="0029660C">
              <w:rPr>
                <w:rFonts w:cs="Times New Roman (Body CS)"/>
                <w:kern w:val="24"/>
              </w:rPr>
              <w:t>With that, this study proposed an</w:t>
            </w:r>
            <w:r>
              <w:rPr>
                <w:rFonts w:cs="Times New Roman (Body CS)"/>
                <w:kern w:val="24"/>
              </w:rPr>
              <w:t xml:space="preserve"> </w:t>
            </w:r>
            <w:r w:rsidRPr="0029660C">
              <w:rPr>
                <w:rFonts w:cs="Times New Roman (Body CS)"/>
                <w:kern w:val="24"/>
              </w:rPr>
              <w:t>intervention program based on the needs of</w:t>
            </w:r>
            <w:r>
              <w:rPr>
                <w:rFonts w:cs="Times New Roman (Body CS)"/>
                <w:kern w:val="24"/>
              </w:rPr>
              <w:t xml:space="preserve"> </w:t>
            </w:r>
            <w:r w:rsidRPr="0029660C">
              <w:rPr>
                <w:rFonts w:cs="Times New Roman (Body CS)"/>
                <w:kern w:val="24"/>
              </w:rPr>
              <w:t>the ACP students.</w:t>
            </w:r>
            <w:r>
              <w:rPr>
                <w:rFonts w:cs="Times New Roman (Body CS)"/>
                <w:kern w:val="24"/>
              </w:rPr>
              <w:t xml:space="preserve"> </w:t>
            </w:r>
            <w:r w:rsidRPr="0029660C">
              <w:rPr>
                <w:rFonts w:cs="Times New Roman (Body CS)"/>
                <w:kern w:val="24"/>
              </w:rPr>
              <w:t>This intervention program is “Pathway to Success: Senior High Schools’</w:t>
            </w:r>
            <w:r>
              <w:rPr>
                <w:rFonts w:cs="Times New Roman (Body CS)"/>
                <w:kern w:val="24"/>
              </w:rPr>
              <w:t xml:space="preserve"> </w:t>
            </w:r>
            <w:r w:rsidRPr="0029660C">
              <w:rPr>
                <w:rFonts w:cs="Times New Roman (Body CS)"/>
                <w:kern w:val="24"/>
              </w:rPr>
              <w:t>TESDA Agricultural Crop Production NC II Certification Journey.” The aim is to</w:t>
            </w:r>
            <w:r>
              <w:rPr>
                <w:rFonts w:cs="Times New Roman (Body CS)"/>
                <w:kern w:val="24"/>
              </w:rPr>
              <w:t xml:space="preserve"> </w:t>
            </w:r>
            <w:r w:rsidRPr="0029660C">
              <w:rPr>
                <w:rFonts w:cs="Times New Roman (Body CS)"/>
                <w:kern w:val="24"/>
              </w:rPr>
              <w:t>increase motivation for senior high school students to take the NC Assessment.</w:t>
            </w:r>
          </w:p>
        </w:tc>
      </w:tr>
    </w:tbl>
    <w:p w14:paraId="242B2531" w14:textId="77777777" w:rsidR="00636EB2" w:rsidRDefault="00636EB2" w:rsidP="00441B6F">
      <w:pPr>
        <w:pStyle w:val="Body"/>
        <w:spacing w:after="0"/>
        <w:rPr>
          <w:rFonts w:ascii="Arial" w:hAnsi="Arial" w:cs="Arial"/>
          <w:i/>
        </w:rPr>
      </w:pPr>
    </w:p>
    <w:p w14:paraId="263E8785" w14:textId="77777777" w:rsidR="00A24E7E" w:rsidRDefault="00A24E7E" w:rsidP="00441B6F">
      <w:pPr>
        <w:pStyle w:val="Body"/>
        <w:spacing w:after="0"/>
        <w:rPr>
          <w:rFonts w:ascii="Arial" w:hAnsi="Arial" w:cs="Arial"/>
          <w:i/>
        </w:rPr>
      </w:pPr>
      <w:r>
        <w:rPr>
          <w:rFonts w:ascii="Arial" w:hAnsi="Arial" w:cs="Arial"/>
          <w:i/>
        </w:rPr>
        <w:t xml:space="preserve">Keywords: </w:t>
      </w:r>
      <w:r w:rsidR="00C21BD5">
        <w:rPr>
          <w:rFonts w:ascii="Arial" w:hAnsi="Arial" w:cs="Arial"/>
          <w:i/>
        </w:rPr>
        <w:t>TESDA National Certificate, Agricultural Crop Production, Technical Vocational Education, Student motivation, Intervention program</w:t>
      </w:r>
    </w:p>
    <w:p w14:paraId="47E1AE11" w14:textId="77777777" w:rsidR="00B52896" w:rsidRDefault="00B52896" w:rsidP="00441B6F">
      <w:pPr>
        <w:pStyle w:val="Body"/>
        <w:spacing w:after="0"/>
        <w:rPr>
          <w:rFonts w:ascii="Arial" w:hAnsi="Arial" w:cs="Arial"/>
          <w:i/>
        </w:rPr>
      </w:pPr>
    </w:p>
    <w:p w14:paraId="37DF9738" w14:textId="77777777" w:rsidR="008E7D1E" w:rsidRDefault="008E7D1E" w:rsidP="00441B6F">
      <w:pPr>
        <w:pStyle w:val="Body"/>
        <w:spacing w:after="0"/>
        <w:rPr>
          <w:rFonts w:ascii="Arial" w:hAnsi="Arial" w:cs="Arial"/>
          <w:i/>
        </w:rPr>
      </w:pPr>
    </w:p>
    <w:p w14:paraId="17B91F68" w14:textId="77777777" w:rsidR="008E7D1E" w:rsidRDefault="008E7D1E" w:rsidP="00441B6F">
      <w:pPr>
        <w:pStyle w:val="Body"/>
        <w:spacing w:after="0"/>
        <w:rPr>
          <w:rFonts w:ascii="Arial" w:hAnsi="Arial" w:cs="Arial"/>
          <w:i/>
        </w:rPr>
      </w:pPr>
    </w:p>
    <w:p w14:paraId="33F68703" w14:textId="77777777" w:rsidR="008E7D1E" w:rsidRDefault="008E7D1E" w:rsidP="00441B6F">
      <w:pPr>
        <w:pStyle w:val="Body"/>
        <w:spacing w:after="0"/>
        <w:rPr>
          <w:rFonts w:ascii="Arial" w:hAnsi="Arial" w:cs="Arial"/>
          <w:i/>
        </w:rPr>
      </w:pPr>
    </w:p>
    <w:p w14:paraId="13A65AB4" w14:textId="77777777" w:rsidR="008E7D1E" w:rsidRDefault="008E7D1E" w:rsidP="00441B6F">
      <w:pPr>
        <w:pStyle w:val="Body"/>
        <w:spacing w:after="0"/>
        <w:rPr>
          <w:rFonts w:ascii="Arial" w:hAnsi="Arial" w:cs="Arial"/>
          <w:i/>
        </w:rPr>
      </w:pPr>
    </w:p>
    <w:p w14:paraId="6FF27258" w14:textId="77777777" w:rsidR="008E7D1E" w:rsidRDefault="008E7D1E" w:rsidP="00441B6F">
      <w:pPr>
        <w:pStyle w:val="Body"/>
        <w:spacing w:after="0"/>
        <w:rPr>
          <w:rFonts w:ascii="Arial" w:hAnsi="Arial" w:cs="Arial"/>
          <w:i/>
        </w:rPr>
      </w:pPr>
    </w:p>
    <w:p w14:paraId="43199AB2" w14:textId="77777777" w:rsidR="008E7D1E" w:rsidRDefault="008E7D1E" w:rsidP="00441B6F">
      <w:pPr>
        <w:pStyle w:val="Body"/>
        <w:spacing w:after="0"/>
        <w:rPr>
          <w:rFonts w:ascii="Arial" w:hAnsi="Arial" w:cs="Arial"/>
          <w:i/>
        </w:rPr>
      </w:pPr>
    </w:p>
    <w:p w14:paraId="48507AE7" w14:textId="77777777" w:rsidR="008E7D1E" w:rsidRDefault="008E7D1E" w:rsidP="00441B6F">
      <w:pPr>
        <w:pStyle w:val="Body"/>
        <w:spacing w:after="0"/>
        <w:rPr>
          <w:rFonts w:ascii="Arial" w:hAnsi="Arial" w:cs="Arial"/>
          <w:i/>
          <w:sz w:val="18"/>
        </w:rPr>
      </w:pPr>
    </w:p>
    <w:p w14:paraId="5287BA65" w14:textId="77777777" w:rsidR="0024282C" w:rsidRDefault="0024282C" w:rsidP="00441B6F">
      <w:pPr>
        <w:pStyle w:val="Body"/>
        <w:spacing w:after="0"/>
        <w:rPr>
          <w:rFonts w:ascii="Arial" w:hAnsi="Arial" w:cs="Arial"/>
          <w:i/>
          <w:sz w:val="18"/>
        </w:rPr>
      </w:pPr>
    </w:p>
    <w:p w14:paraId="3C06A3A9" w14:textId="77777777" w:rsidR="00C21BD5" w:rsidRDefault="00C21BD5" w:rsidP="00441B6F">
      <w:pPr>
        <w:pStyle w:val="Body"/>
        <w:spacing w:after="0"/>
        <w:rPr>
          <w:rFonts w:ascii="Arial" w:hAnsi="Arial" w:cs="Arial"/>
          <w:i/>
          <w:sz w:val="18"/>
        </w:rPr>
      </w:pPr>
    </w:p>
    <w:p w14:paraId="65C1649B" w14:textId="77777777" w:rsidR="00C21BD5" w:rsidRDefault="00C21BD5" w:rsidP="00441B6F">
      <w:pPr>
        <w:pStyle w:val="Body"/>
        <w:spacing w:after="0"/>
        <w:rPr>
          <w:rFonts w:ascii="Arial" w:hAnsi="Arial" w:cs="Arial"/>
          <w:i/>
          <w:sz w:val="18"/>
        </w:rPr>
      </w:pPr>
    </w:p>
    <w:p w14:paraId="473D82D2" w14:textId="77777777" w:rsidR="00C21BD5" w:rsidRDefault="00C21BD5" w:rsidP="00441B6F">
      <w:pPr>
        <w:pStyle w:val="Body"/>
        <w:spacing w:after="0"/>
        <w:rPr>
          <w:rFonts w:ascii="Arial" w:hAnsi="Arial" w:cs="Arial"/>
          <w:i/>
          <w:sz w:val="18"/>
        </w:rPr>
      </w:pPr>
    </w:p>
    <w:p w14:paraId="1DD09D70" w14:textId="77777777" w:rsidR="00C21BD5" w:rsidRDefault="00C21BD5" w:rsidP="00441B6F">
      <w:pPr>
        <w:pStyle w:val="Body"/>
        <w:spacing w:after="0"/>
        <w:rPr>
          <w:rFonts w:ascii="Arial" w:hAnsi="Arial" w:cs="Arial"/>
          <w:i/>
          <w:sz w:val="18"/>
        </w:rPr>
      </w:pPr>
    </w:p>
    <w:p w14:paraId="6734A1C9" w14:textId="77777777" w:rsidR="00505F06" w:rsidRPr="00A24E7E" w:rsidRDefault="00505F06" w:rsidP="00441B6F">
      <w:pPr>
        <w:pStyle w:val="Body"/>
        <w:spacing w:after="0"/>
        <w:rPr>
          <w:rFonts w:ascii="Arial" w:hAnsi="Arial" w:cs="Arial"/>
          <w:i/>
        </w:rPr>
      </w:pPr>
    </w:p>
    <w:p w14:paraId="692F7C8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DC91F15" w14:textId="77777777" w:rsidR="00790ADA" w:rsidRPr="00FB3A86" w:rsidRDefault="00790ADA" w:rsidP="00441B6F">
      <w:pPr>
        <w:pStyle w:val="AbstHead"/>
        <w:spacing w:after="0"/>
        <w:jc w:val="both"/>
        <w:rPr>
          <w:rFonts w:ascii="Arial" w:hAnsi="Arial" w:cs="Arial"/>
        </w:rPr>
      </w:pPr>
    </w:p>
    <w:p w14:paraId="619309CE" w14:textId="5E4E5503" w:rsidR="00F82324" w:rsidRPr="00F82324" w:rsidRDefault="008E7D1E" w:rsidP="00F82324">
      <w:pPr>
        <w:pStyle w:val="Body"/>
        <w:rPr>
          <w:rFonts w:ascii="Arial" w:hAnsi="Arial" w:cs="Arial"/>
          <w:lang w:val="en-PH"/>
        </w:rPr>
      </w:pPr>
      <w:r w:rsidRPr="008E7D1E">
        <w:rPr>
          <w:rFonts w:ascii="Arial" w:hAnsi="Arial" w:cs="Arial"/>
          <w:lang w:val="en-PH"/>
        </w:rPr>
        <w:t xml:space="preserve">Education stands as the foundation of humanity's progress and the key to modernizing civilization. It is the indispensable pillar that unites nations and propels them towards triumph. Education nurtures both individual and communal advancement, aiming to unleash every person's creative potential and empower them to take charge of their lives and achieve their aspirations (Rashid, 2019). Aligned with the UN's Sustainable Development </w:t>
      </w:r>
      <w:r w:rsidRPr="008E7D1E">
        <w:rPr>
          <w:rFonts w:ascii="Arial" w:hAnsi="Arial" w:cs="Arial"/>
          <w:lang w:val="en-PH"/>
        </w:rPr>
        <w:lastRenderedPageBreak/>
        <w:t xml:space="preserve">Goals, particularly SDG 4, the </w:t>
      </w:r>
      <w:r w:rsidR="00636397">
        <w:rPr>
          <w:rFonts w:ascii="Arial" w:hAnsi="Arial" w:cs="Arial"/>
          <w:lang w:val="en-PH"/>
        </w:rPr>
        <w:t>Philippine government</w:t>
      </w:r>
      <w:r w:rsidR="003E26D2">
        <w:rPr>
          <w:rFonts w:ascii="Arial" w:hAnsi="Arial" w:cs="Arial"/>
          <w:lang w:val="en-PH"/>
        </w:rPr>
        <w:t xml:space="preserve"> </w:t>
      </w:r>
      <w:r w:rsidRPr="008E7D1E">
        <w:rPr>
          <w:rFonts w:ascii="Arial" w:hAnsi="Arial" w:cs="Arial"/>
          <w:lang w:val="en-PH"/>
        </w:rPr>
        <w:t xml:space="preserve">has been steadfast in its commitment to providing inclusive, high-quality education and fostering lifelong learning opportunities for all. </w:t>
      </w:r>
      <w:r w:rsidR="00317047" w:rsidRPr="00317047">
        <w:rPr>
          <w:rFonts w:ascii="Arial" w:hAnsi="Arial" w:cs="Arial"/>
        </w:rPr>
        <w:t>Motivation is recognized as one of the most important elements in teaching and learning because it drives learners to reach their goals and sustain their engagement in academic tasks (</w:t>
      </w:r>
      <w:proofErr w:type="spellStart"/>
      <w:r w:rsidR="00317047" w:rsidRPr="00317047">
        <w:rPr>
          <w:rFonts w:ascii="Arial" w:hAnsi="Arial" w:cs="Arial"/>
        </w:rPr>
        <w:t>Filgona</w:t>
      </w:r>
      <w:proofErr w:type="spellEnd"/>
      <w:r w:rsidR="00317047" w:rsidRPr="00317047">
        <w:rPr>
          <w:rFonts w:ascii="Arial" w:hAnsi="Arial" w:cs="Arial"/>
        </w:rPr>
        <w:t>,</w:t>
      </w:r>
      <w:r w:rsidR="00317047">
        <w:rPr>
          <w:rFonts w:ascii="Arial" w:hAnsi="Arial" w:cs="Arial"/>
        </w:rPr>
        <w:t xml:space="preserve"> et al.</w:t>
      </w:r>
      <w:r w:rsidR="00317047" w:rsidRPr="00317047">
        <w:rPr>
          <w:rFonts w:ascii="Arial" w:hAnsi="Arial" w:cs="Arial"/>
        </w:rPr>
        <w:t xml:space="preserve"> 2020)</w:t>
      </w:r>
      <w:r w:rsidR="00317047">
        <w:rPr>
          <w:rFonts w:ascii="Arial" w:hAnsi="Arial" w:cs="Arial"/>
          <w:lang w:val="en-PH"/>
        </w:rPr>
        <w:t xml:space="preserve">. </w:t>
      </w:r>
      <w:r w:rsidRPr="008E7D1E">
        <w:rPr>
          <w:rFonts w:ascii="Arial" w:hAnsi="Arial" w:cs="Arial"/>
          <w:lang w:val="en-PH"/>
        </w:rPr>
        <w:t xml:space="preserve">The Technical and Vocational Education and Training (TVET) program is a pivotal part of the Philippines' strategy to enhance competencies and drive economic growth while reducing poverty. Furthermore, vocational training is a cornerstone of </w:t>
      </w:r>
      <w:proofErr w:type="spellStart"/>
      <w:r w:rsidRPr="008E7D1E">
        <w:rPr>
          <w:rFonts w:ascii="Arial" w:hAnsi="Arial" w:cs="Arial"/>
          <w:lang w:val="en-PH"/>
        </w:rPr>
        <w:t>Ambisyon</w:t>
      </w:r>
      <w:proofErr w:type="spellEnd"/>
      <w:r w:rsidRPr="008E7D1E">
        <w:rPr>
          <w:rFonts w:ascii="Arial" w:hAnsi="Arial" w:cs="Arial"/>
          <w:lang w:val="en-PH"/>
        </w:rPr>
        <w:t xml:space="preserve"> Natin 2040, the government's</w:t>
      </w:r>
      <w:r>
        <w:rPr>
          <w:rFonts w:ascii="Arial" w:hAnsi="Arial" w:cs="Arial"/>
          <w:lang w:val="en-PH"/>
        </w:rPr>
        <w:t xml:space="preserve"> </w:t>
      </w:r>
      <w:r w:rsidRPr="008E7D1E">
        <w:rPr>
          <w:rFonts w:ascii="Arial" w:hAnsi="Arial" w:cs="Arial"/>
          <w:lang w:val="en-PH"/>
        </w:rPr>
        <w:t>long-term vision for transforming the nation into a prosperous and middle-class society, with a substantial 39% of students opting for a vocational track upon entering 11th grade. To revamp the Philippine education system, the Enhanced Basic Education Act, or Republic Act 10533, was enacted in 2013, with a focus on fortifying the curriculum and introducing the Senior High School (SHS)</w:t>
      </w:r>
      <w:r>
        <w:rPr>
          <w:rFonts w:ascii="Arial" w:hAnsi="Arial" w:cs="Arial"/>
          <w:lang w:val="en-PH"/>
        </w:rPr>
        <w:t xml:space="preserve"> </w:t>
      </w:r>
      <w:r w:rsidRPr="008E7D1E">
        <w:rPr>
          <w:rFonts w:ascii="Arial" w:hAnsi="Arial" w:cs="Arial"/>
          <w:lang w:val="en-PH"/>
        </w:rPr>
        <w:t>program as a key feature of this law (Official Gazette, 2013). SHS, a 2-year secondary education program, empowers students to select a specialization based on their aptitude, interest, and school capacity. These additional two years equip learners with the skills needed for future endeavors, whether in employment, entrepreneurship, further vocational training, or higher education. Students can choose from three tracks: Academic, Technical-Vocational- Livelihood Track (TVL), and Sports and Arts, with TVL offering various strands, such as Agri-fishery Arts (AFA), Home Economics (HE), Information and</w:t>
      </w:r>
      <w:r>
        <w:rPr>
          <w:rFonts w:ascii="Arial" w:hAnsi="Arial" w:cs="Arial"/>
          <w:lang w:val="en-PH"/>
        </w:rPr>
        <w:t xml:space="preserve"> </w:t>
      </w:r>
      <w:r w:rsidRPr="008E7D1E">
        <w:rPr>
          <w:rFonts w:ascii="Arial" w:hAnsi="Arial" w:cs="Arial"/>
          <w:lang w:val="en-PH"/>
        </w:rPr>
        <w:t>Communications Technology (ICT), and Industrial Arts (IA) (DepEd Order No. 33 s. 2018). For instance, Agricultural Crops Production (ACP) is a specialization under the AFA strands. Upon completing the TVL tracks, a Grade 12 student can obtain a National Certificate Level II (NC II) by passing the</w:t>
      </w:r>
      <w:r>
        <w:rPr>
          <w:rFonts w:ascii="Arial" w:hAnsi="Arial" w:cs="Arial"/>
          <w:lang w:val="en-PH"/>
        </w:rPr>
        <w:t xml:space="preserve"> </w:t>
      </w:r>
      <w:r w:rsidRPr="008E7D1E">
        <w:rPr>
          <w:rFonts w:ascii="Arial" w:hAnsi="Arial" w:cs="Arial"/>
          <w:lang w:val="en-PH"/>
        </w:rPr>
        <w:t xml:space="preserve">competency-based assessment of the Technical Education and Skills Development Authority (TESDA). </w:t>
      </w:r>
      <w:r w:rsidR="00D07168" w:rsidRPr="00D07168">
        <w:rPr>
          <w:rFonts w:ascii="Arial" w:hAnsi="Arial" w:cs="Arial"/>
        </w:rPr>
        <w:t>School-based agricultural programs have been shown to enhance students’ practical skills and contribute to food security, highlighting the importance of integrating agriculture into educational settings (</w:t>
      </w:r>
      <w:proofErr w:type="spellStart"/>
      <w:r w:rsidR="00D07168" w:rsidRPr="00D07168">
        <w:rPr>
          <w:rFonts w:ascii="Arial" w:hAnsi="Arial" w:cs="Arial"/>
        </w:rPr>
        <w:t>Montales</w:t>
      </w:r>
      <w:proofErr w:type="spellEnd"/>
      <w:r w:rsidR="00D07168" w:rsidRPr="00D07168">
        <w:rPr>
          <w:rFonts w:ascii="Arial" w:hAnsi="Arial" w:cs="Arial"/>
        </w:rPr>
        <w:t>, 2024).</w:t>
      </w:r>
      <w:r w:rsidR="00D07168">
        <w:rPr>
          <w:rFonts w:ascii="Arial" w:hAnsi="Arial" w:cs="Arial"/>
          <w:lang w:val="en-PH"/>
        </w:rPr>
        <w:t xml:space="preserve"> </w:t>
      </w:r>
      <w:r w:rsidRPr="008E7D1E">
        <w:rPr>
          <w:rFonts w:ascii="Arial" w:hAnsi="Arial" w:cs="Arial"/>
          <w:lang w:val="en-PH"/>
        </w:rPr>
        <w:t xml:space="preserve">NC I and II enhance graduates' employability in fields like Agriculture, Electronics, and Trade. Moreover, SHS creates avenues for students to apply for TESDA Certificate of Competencies (COCs) and National Certificates (NCs), opening up better work opportunities (Official Gazette, </w:t>
      </w:r>
      <w:proofErr w:type="spellStart"/>
      <w:r w:rsidRPr="008E7D1E">
        <w:rPr>
          <w:rFonts w:ascii="Arial" w:hAnsi="Arial" w:cs="Arial"/>
          <w:lang w:val="en-PH"/>
        </w:rPr>
        <w:t>n.d</w:t>
      </w:r>
      <w:proofErr w:type="spellEnd"/>
      <w:r w:rsidRPr="008E7D1E">
        <w:rPr>
          <w:rFonts w:ascii="Arial" w:hAnsi="Arial" w:cs="Arial"/>
          <w:lang w:val="en-PH"/>
        </w:rPr>
        <w:t xml:space="preserve">). The National Certificate serves as a steppingstone in securing employment, signifying the holder's expertise and competence in their field. Despite its significance, the implementation of SHS offering TVL tracks faced procurement challenges, leading to the launch of the Joint Delivery Voucher Program-Technical-Vocational-Livelihood (JDVP-TVL) in SY 2018-2019 (Manalo, et al.'s study, 2018). This program was designed to enable learners in public SHS with inadequate facilities to pursue TVL specializations in selected private TVLs that partner with DepEd SHS. The JDVP-TVL aims to provide the essential learning environment required for specializations and address resource provision delays (DepEd Order No. 33 s. 2018). However, </w:t>
      </w:r>
      <w:proofErr w:type="spellStart"/>
      <w:r w:rsidRPr="008E7D1E">
        <w:rPr>
          <w:rFonts w:ascii="Arial" w:hAnsi="Arial" w:cs="Arial"/>
          <w:lang w:val="en-PH"/>
        </w:rPr>
        <w:t>Declaro-Ruedos's</w:t>
      </w:r>
      <w:proofErr w:type="spellEnd"/>
      <w:r w:rsidRPr="008E7D1E">
        <w:rPr>
          <w:rFonts w:ascii="Arial" w:hAnsi="Arial" w:cs="Arial"/>
          <w:lang w:val="en-PH"/>
        </w:rPr>
        <w:t xml:space="preserve"> assessment of the JDVP Program in Selected Public Schools in Occidental Mindoro, Philippines, revealed some challenges in its implementation. Although students demonstrated adequate competency and passed the national assessment, the program's reach was limited. For instance, data from Doña </w:t>
      </w:r>
      <w:proofErr w:type="spellStart"/>
      <w:r w:rsidRPr="008E7D1E">
        <w:rPr>
          <w:rFonts w:ascii="Arial" w:hAnsi="Arial" w:cs="Arial"/>
          <w:lang w:val="en-PH"/>
        </w:rPr>
        <w:t>Basilia</w:t>
      </w:r>
      <w:proofErr w:type="spellEnd"/>
      <w:r w:rsidRPr="008E7D1E">
        <w:rPr>
          <w:rFonts w:ascii="Arial" w:hAnsi="Arial" w:cs="Arial"/>
          <w:lang w:val="en-PH"/>
        </w:rPr>
        <w:t xml:space="preserve"> S. Quilon Memorial High School of Bagong </w:t>
      </w:r>
      <w:proofErr w:type="spellStart"/>
      <w:r w:rsidRPr="008E7D1E">
        <w:rPr>
          <w:rFonts w:ascii="Arial" w:hAnsi="Arial" w:cs="Arial"/>
          <w:lang w:val="en-PH"/>
        </w:rPr>
        <w:t>Sirang</w:t>
      </w:r>
      <w:proofErr w:type="spellEnd"/>
      <w:r w:rsidRPr="008E7D1E">
        <w:rPr>
          <w:rFonts w:ascii="Arial" w:hAnsi="Arial" w:cs="Arial"/>
          <w:lang w:val="en-PH"/>
        </w:rPr>
        <w:t>, Pili, Camarines Sur, showed that only a small percentage of enrollees benefited from the program. The restricted funds allocated to the JDVP-TVL program for Agricultural Crop Production students were identified as one of the limiting factors. Given these challenges, it is essential to identify areas for improvement and ensure the effective implementation of programs aimed at enhancing vocational education and training</w:t>
      </w:r>
      <w:r w:rsidR="00C21BD5">
        <w:rPr>
          <w:rFonts w:ascii="Arial" w:hAnsi="Arial" w:cs="Arial"/>
          <w:lang w:val="en-PH"/>
        </w:rPr>
        <w:t>.</w:t>
      </w:r>
      <w:r w:rsidR="00F82324" w:rsidRPr="00F82324">
        <w:rPr>
          <w:rFonts w:ascii="Arial" w:hAnsi="Arial" w:cs="Arial"/>
          <w:b/>
          <w:color w:val="000000"/>
          <w:sz w:val="18"/>
          <w:szCs w:val="18"/>
          <w:lang w:val="en-PH"/>
        </w:rPr>
        <w:t xml:space="preserve"> </w:t>
      </w:r>
      <w:r w:rsidR="00F82324" w:rsidRPr="00F82324">
        <w:rPr>
          <w:rFonts w:ascii="Arial" w:hAnsi="Arial" w:cs="Arial"/>
          <w:lang w:val="en-PH"/>
        </w:rPr>
        <w:t>This study determined the factors in taking TESDA NC assessment for ACP</w:t>
      </w:r>
      <w:r w:rsidR="00F82324">
        <w:rPr>
          <w:rFonts w:ascii="Arial" w:hAnsi="Arial" w:cs="Arial"/>
          <w:lang w:val="en-PH"/>
        </w:rPr>
        <w:t xml:space="preserve"> </w:t>
      </w:r>
      <w:r w:rsidR="00F82324" w:rsidRPr="00F82324">
        <w:rPr>
          <w:rFonts w:ascii="Arial" w:hAnsi="Arial" w:cs="Arial"/>
          <w:lang w:val="en-PH"/>
        </w:rPr>
        <w:t>students in third district of Division of Camarines Sur. Specifically, this study</w:t>
      </w:r>
      <w:r w:rsidR="00F82324">
        <w:rPr>
          <w:rFonts w:ascii="Arial" w:hAnsi="Arial" w:cs="Arial"/>
          <w:lang w:val="en-PH"/>
        </w:rPr>
        <w:t xml:space="preserve"> </w:t>
      </w:r>
      <w:r w:rsidR="00F82324" w:rsidRPr="00F82324">
        <w:rPr>
          <w:rFonts w:ascii="Arial" w:hAnsi="Arial" w:cs="Arial"/>
          <w:lang w:val="en-PH"/>
        </w:rPr>
        <w:t>aimed to:</w:t>
      </w:r>
    </w:p>
    <w:p w14:paraId="6B42E4CD" w14:textId="56DA7081" w:rsidR="00F82324" w:rsidRDefault="00636397" w:rsidP="00F82324">
      <w:pPr>
        <w:pStyle w:val="Body"/>
        <w:rPr>
          <w:rFonts w:ascii="Arial" w:hAnsi="Arial" w:cs="Arial"/>
          <w:lang w:val="en-PH"/>
        </w:rPr>
      </w:pPr>
      <w:r>
        <w:rPr>
          <w:rFonts w:ascii="Arial" w:hAnsi="Arial" w:cs="Arial"/>
          <w:lang w:val="en-PH"/>
        </w:rPr>
        <w:t>I</w:t>
      </w:r>
      <w:r w:rsidR="00F82324">
        <w:rPr>
          <w:rFonts w:ascii="Arial" w:hAnsi="Arial" w:cs="Arial"/>
          <w:lang w:val="en-PH"/>
        </w:rPr>
        <w:t xml:space="preserve">. </w:t>
      </w:r>
      <w:r w:rsidR="00F82324" w:rsidRPr="00F82324">
        <w:rPr>
          <w:rFonts w:ascii="Arial" w:hAnsi="Arial" w:cs="Arial"/>
          <w:lang w:val="en-PH"/>
        </w:rPr>
        <w:t xml:space="preserve">identify the factors affecting students’ </w:t>
      </w:r>
      <w:r>
        <w:rPr>
          <w:rFonts w:ascii="Arial" w:hAnsi="Arial" w:cs="Arial"/>
          <w:lang w:val="en-PH"/>
        </w:rPr>
        <w:t>decision</w:t>
      </w:r>
      <w:r w:rsidR="00F82324" w:rsidRPr="00F82324">
        <w:rPr>
          <w:rFonts w:ascii="Arial" w:hAnsi="Arial" w:cs="Arial"/>
          <w:lang w:val="en-PH"/>
        </w:rPr>
        <w:t xml:space="preserve"> in taking </w:t>
      </w:r>
      <w:r>
        <w:rPr>
          <w:rFonts w:ascii="Arial" w:hAnsi="Arial" w:cs="Arial"/>
          <w:lang w:val="en-PH"/>
        </w:rPr>
        <w:t xml:space="preserve">the </w:t>
      </w:r>
      <w:r w:rsidR="00F82324" w:rsidRPr="00F82324">
        <w:rPr>
          <w:rFonts w:ascii="Arial" w:hAnsi="Arial" w:cs="Arial"/>
          <w:lang w:val="en-PH"/>
        </w:rPr>
        <w:t>TESDA National</w:t>
      </w:r>
      <w:r w:rsidR="00F82324">
        <w:rPr>
          <w:rFonts w:ascii="Arial" w:hAnsi="Arial" w:cs="Arial"/>
          <w:lang w:val="en-PH"/>
        </w:rPr>
        <w:t xml:space="preserve"> </w:t>
      </w:r>
      <w:r w:rsidR="00F82324" w:rsidRPr="00F82324">
        <w:rPr>
          <w:rFonts w:ascii="Arial" w:hAnsi="Arial" w:cs="Arial"/>
          <w:lang w:val="en-PH"/>
        </w:rPr>
        <w:t>Certificate Assessment for Agricultural Crop Production</w:t>
      </w:r>
      <w:r w:rsidR="00F82324">
        <w:rPr>
          <w:rFonts w:ascii="Arial" w:hAnsi="Arial" w:cs="Arial"/>
          <w:lang w:val="en-PH"/>
        </w:rPr>
        <w:t>, and</w:t>
      </w:r>
    </w:p>
    <w:p w14:paraId="07BA52E2" w14:textId="151AEC91" w:rsidR="008E7D1E" w:rsidRPr="008E7D1E" w:rsidRDefault="00636397" w:rsidP="008E7D1E">
      <w:pPr>
        <w:pStyle w:val="Body"/>
        <w:rPr>
          <w:rFonts w:ascii="Arial" w:hAnsi="Arial" w:cs="Arial"/>
          <w:lang w:val="en-PH"/>
        </w:rPr>
      </w:pPr>
      <w:r>
        <w:rPr>
          <w:rFonts w:ascii="Arial" w:hAnsi="Arial" w:cs="Arial"/>
          <w:lang w:val="en-PH"/>
        </w:rPr>
        <w:lastRenderedPageBreak/>
        <w:t>II</w:t>
      </w:r>
      <w:r w:rsidR="00F82324">
        <w:rPr>
          <w:rFonts w:ascii="Arial" w:hAnsi="Arial" w:cs="Arial"/>
          <w:lang w:val="en-PH"/>
        </w:rPr>
        <w:t>. Propose</w:t>
      </w:r>
      <w:r w:rsidR="00F82324" w:rsidRPr="00F82324">
        <w:rPr>
          <w:rFonts w:ascii="Arial" w:hAnsi="Arial" w:cs="Arial"/>
          <w:lang w:val="en-PH"/>
        </w:rPr>
        <w:t xml:space="preserve"> intervention program</w:t>
      </w:r>
      <w:r w:rsidR="00F82324">
        <w:rPr>
          <w:rFonts w:ascii="Arial" w:hAnsi="Arial" w:cs="Arial"/>
          <w:lang w:val="en-PH"/>
        </w:rPr>
        <w:t xml:space="preserve">s </w:t>
      </w:r>
      <w:r w:rsidR="00F82324" w:rsidRPr="00F82324">
        <w:rPr>
          <w:rFonts w:ascii="Arial" w:hAnsi="Arial" w:cs="Arial"/>
          <w:lang w:val="en-PH"/>
        </w:rPr>
        <w:t>to increase the</w:t>
      </w:r>
      <w:r w:rsidR="00F82324">
        <w:rPr>
          <w:rFonts w:ascii="Arial" w:hAnsi="Arial" w:cs="Arial"/>
          <w:lang w:val="en-PH"/>
        </w:rPr>
        <w:t xml:space="preserve"> </w:t>
      </w:r>
      <w:r w:rsidR="00F82324" w:rsidRPr="00F82324">
        <w:rPr>
          <w:rFonts w:ascii="Arial" w:hAnsi="Arial" w:cs="Arial"/>
          <w:lang w:val="en-PH"/>
        </w:rPr>
        <w:t xml:space="preserve">number of takers of </w:t>
      </w:r>
      <w:r>
        <w:rPr>
          <w:rFonts w:ascii="Arial" w:hAnsi="Arial" w:cs="Arial"/>
          <w:lang w:val="en-PH"/>
        </w:rPr>
        <w:t xml:space="preserve">the </w:t>
      </w:r>
      <w:r w:rsidR="00F82324" w:rsidRPr="00F82324">
        <w:rPr>
          <w:rFonts w:ascii="Arial" w:hAnsi="Arial" w:cs="Arial"/>
          <w:lang w:val="en-PH"/>
        </w:rPr>
        <w:t>TESDA NC assessment on ACP.</w:t>
      </w:r>
    </w:p>
    <w:p w14:paraId="1086ECC5" w14:textId="1B86D1FA" w:rsidR="00FB555E" w:rsidRDefault="00FB555E" w:rsidP="00FB555E">
      <w:pPr>
        <w:pStyle w:val="AbstHead"/>
        <w:spacing w:after="0"/>
        <w:jc w:val="both"/>
        <w:rPr>
          <w:rFonts w:ascii="Arial" w:hAnsi="Arial" w:cs="Arial"/>
        </w:rPr>
      </w:pPr>
      <w:bookmarkStart w:id="0" w:name="_Hlk197682619"/>
      <w:bookmarkStart w:id="1" w:name="_Hlk180402183"/>
      <w:bookmarkStart w:id="2" w:name="_Hlk183680988"/>
      <w:r>
        <w:rPr>
          <w:rFonts w:ascii="Arial" w:hAnsi="Arial" w:cs="Arial"/>
        </w:rPr>
        <w:t xml:space="preserve">2. </w:t>
      </w:r>
      <w:r w:rsidR="00636397">
        <w:rPr>
          <w:rFonts w:ascii="Arial" w:hAnsi="Arial" w:cs="Arial"/>
        </w:rPr>
        <w:t>Materials</w:t>
      </w:r>
      <w:r>
        <w:rPr>
          <w:rFonts w:ascii="Arial" w:hAnsi="Arial" w:cs="Arial"/>
        </w:rPr>
        <w:t xml:space="preserve"> and methods</w:t>
      </w:r>
    </w:p>
    <w:p w14:paraId="2335FB90" w14:textId="77777777" w:rsidR="00FB555E" w:rsidRPr="00FB3A86" w:rsidRDefault="00FB555E" w:rsidP="00FB555E">
      <w:pPr>
        <w:pStyle w:val="AbstHead"/>
        <w:spacing w:after="0"/>
        <w:jc w:val="both"/>
        <w:rPr>
          <w:rFonts w:ascii="Arial" w:hAnsi="Arial" w:cs="Arial"/>
        </w:rPr>
      </w:pPr>
    </w:p>
    <w:p w14:paraId="69008D6A" w14:textId="0B63C819" w:rsidR="00FB555E" w:rsidRPr="00C21BD5" w:rsidRDefault="00FB555E" w:rsidP="00FB555E">
      <w:pPr>
        <w:pStyle w:val="Body"/>
        <w:spacing w:after="0"/>
        <w:rPr>
          <w:rFonts w:ascii="Arial" w:hAnsi="Arial" w:cs="Arial"/>
          <w:lang w:val="en-PH"/>
        </w:rPr>
      </w:pPr>
      <w:r w:rsidRPr="00C21BD5">
        <w:rPr>
          <w:rFonts w:ascii="Arial" w:hAnsi="Arial" w:cs="Arial"/>
          <w:lang w:val="en-PH"/>
        </w:rPr>
        <w:t>This study used both qualitative and quantitative methods of research. The descriptive quantitative method was employed to identify the factors affecting students’ decision in taking the TESDA National Certificate Assessment for Agricultural Crop Production (ACP). A validated researcher-made survey questionnaire, based on initial student interviews and previous related studies, was used to gather data. The questionnaire consisted of two parts: the profile of the respondents and the factors influencing their decision, rated using a 5-point Likert scale. A total of 11</w:t>
      </w:r>
      <w:r w:rsidR="00071BE0">
        <w:rPr>
          <w:rFonts w:ascii="Arial" w:hAnsi="Arial" w:cs="Arial"/>
          <w:lang w:val="en-PH"/>
        </w:rPr>
        <w:t>2</w:t>
      </w:r>
      <w:r w:rsidRPr="00C21BD5">
        <w:rPr>
          <w:rFonts w:ascii="Arial" w:hAnsi="Arial" w:cs="Arial"/>
          <w:lang w:val="en-PH"/>
        </w:rPr>
        <w:t xml:space="preserve"> Grade 12 ACP NC II students from the third district of the Division of Camarines Sur served as respondents.</w:t>
      </w:r>
      <w:r>
        <w:rPr>
          <w:rFonts w:ascii="Arial" w:hAnsi="Arial" w:cs="Arial"/>
          <w:lang w:val="en-PH"/>
        </w:rPr>
        <w:t xml:space="preserve"> </w:t>
      </w:r>
      <w:r w:rsidRPr="00C21BD5">
        <w:rPr>
          <w:rFonts w:ascii="Arial" w:hAnsi="Arial" w:cs="Arial"/>
          <w:lang w:val="en-PH"/>
        </w:rPr>
        <w:t>In addition, qualitative data were collected through structured interviews with selected ACP teachers and school administrators to provide context for the development of an intervention program. Frequency and mode were used to analyze the survey results, while the development of the proposed intervention program was based on the data and responses gathered from both the surveys and interviews.</w:t>
      </w:r>
    </w:p>
    <w:p w14:paraId="553E0DFF" w14:textId="77777777" w:rsidR="00FB555E" w:rsidRPr="00FB3A86" w:rsidRDefault="00FB555E" w:rsidP="00FB555E">
      <w:pPr>
        <w:pStyle w:val="Body"/>
        <w:spacing w:after="0"/>
        <w:rPr>
          <w:rFonts w:ascii="Arial" w:hAnsi="Arial" w:cs="Arial"/>
        </w:rPr>
      </w:pPr>
    </w:p>
    <w:p w14:paraId="48ABDE75" w14:textId="77777777" w:rsidR="00FB555E" w:rsidRDefault="00FB555E" w:rsidP="00FB555E">
      <w:pPr>
        <w:pStyle w:val="Head1"/>
        <w:spacing w:after="0"/>
        <w:jc w:val="both"/>
        <w:rPr>
          <w:rFonts w:ascii="Arial" w:hAnsi="Arial" w:cs="Arial"/>
        </w:rPr>
      </w:pPr>
      <w:r>
        <w:rPr>
          <w:rFonts w:ascii="Arial" w:hAnsi="Arial" w:cs="Arial"/>
        </w:rPr>
        <w:t>3. results and discussion</w:t>
      </w:r>
    </w:p>
    <w:p w14:paraId="0481FAC9" w14:textId="77777777" w:rsidR="00FB555E" w:rsidRPr="00FB3A86" w:rsidRDefault="00FB555E" w:rsidP="00FB555E">
      <w:pPr>
        <w:pStyle w:val="Head1"/>
        <w:spacing w:after="0"/>
        <w:jc w:val="both"/>
        <w:rPr>
          <w:rFonts w:ascii="Arial" w:hAnsi="Arial" w:cs="Arial"/>
        </w:rPr>
      </w:pPr>
    </w:p>
    <w:p w14:paraId="097EA10D" w14:textId="0706AB57" w:rsidR="00FB555E" w:rsidRPr="00E217F1" w:rsidRDefault="00FB555E" w:rsidP="00FB555E">
      <w:pPr>
        <w:pStyle w:val="Body"/>
        <w:rPr>
          <w:rFonts w:ascii="Arial" w:hAnsi="Arial" w:cs="Arial"/>
          <w:b/>
          <w:bCs/>
          <w:lang w:val="en-PH"/>
        </w:rPr>
      </w:pPr>
      <w:r>
        <w:rPr>
          <w:rFonts w:ascii="Arial" w:hAnsi="Arial" w:cs="Arial"/>
          <w:b/>
          <w:bCs/>
          <w:lang w:val="en-PH"/>
        </w:rPr>
        <w:t xml:space="preserve">3.1 </w:t>
      </w:r>
      <w:r w:rsidRPr="00E217F1">
        <w:rPr>
          <w:rFonts w:ascii="Arial" w:hAnsi="Arial" w:cs="Arial"/>
          <w:b/>
          <w:bCs/>
          <w:lang w:val="en-PH"/>
        </w:rPr>
        <w:t xml:space="preserve">Factors affecting students’ decision in taking </w:t>
      </w:r>
      <w:r w:rsidR="00636397">
        <w:rPr>
          <w:rFonts w:ascii="Arial" w:hAnsi="Arial" w:cs="Arial"/>
          <w:b/>
          <w:bCs/>
          <w:lang w:val="en-PH"/>
        </w:rPr>
        <w:t xml:space="preserve">the </w:t>
      </w:r>
      <w:r w:rsidRPr="00E217F1">
        <w:rPr>
          <w:rFonts w:ascii="Arial" w:hAnsi="Arial" w:cs="Arial"/>
          <w:b/>
          <w:bCs/>
          <w:lang w:val="en-PH"/>
        </w:rPr>
        <w:t xml:space="preserve">TESDA NC assessment for ACP in </w:t>
      </w:r>
      <w:r w:rsidR="00636397">
        <w:rPr>
          <w:rFonts w:ascii="Arial" w:hAnsi="Arial" w:cs="Arial"/>
          <w:b/>
          <w:bCs/>
          <w:lang w:val="en-PH"/>
        </w:rPr>
        <w:t xml:space="preserve">the </w:t>
      </w:r>
      <w:r w:rsidRPr="00E217F1">
        <w:rPr>
          <w:rFonts w:ascii="Arial" w:hAnsi="Arial" w:cs="Arial"/>
          <w:b/>
          <w:bCs/>
          <w:lang w:val="en-PH"/>
        </w:rPr>
        <w:t>third district</w:t>
      </w:r>
      <w:r w:rsidR="00636397">
        <w:rPr>
          <w:rFonts w:ascii="Arial" w:hAnsi="Arial" w:cs="Arial"/>
          <w:b/>
          <w:bCs/>
          <w:lang w:val="en-PH"/>
        </w:rPr>
        <w:t>,</w:t>
      </w:r>
      <w:r w:rsidRPr="00E217F1">
        <w:rPr>
          <w:rFonts w:ascii="Arial" w:hAnsi="Arial" w:cs="Arial"/>
          <w:b/>
          <w:bCs/>
          <w:lang w:val="en-PH"/>
        </w:rPr>
        <w:t xml:space="preserve"> Division of Camarines Sur</w:t>
      </w:r>
    </w:p>
    <w:p w14:paraId="59F533C2" w14:textId="77777777" w:rsidR="00FB555E" w:rsidRDefault="00FB555E" w:rsidP="00FB555E">
      <w:pPr>
        <w:pStyle w:val="Body"/>
        <w:rPr>
          <w:rFonts w:ascii="Arial" w:hAnsi="Arial" w:cs="Arial"/>
          <w:lang w:val="en-PH"/>
        </w:rPr>
      </w:pPr>
      <w:r w:rsidRPr="00E217F1">
        <w:rPr>
          <w:rFonts w:ascii="Arial" w:hAnsi="Arial" w:cs="Arial"/>
          <w:lang w:val="en-PH"/>
        </w:rPr>
        <w:t xml:space="preserve">The factors were categorized into several domains: Family, Peer, Teacher, School, Classroom and Laboratory, Community, Career, Practicability, Documentary Requirements, Location, and Preparedness on Competencies Assessment. Each factor was evaluated based on frequency and mode, indicating the extent of influence among the respondents. Their extent of influence was discussed by factor in the succeeding pages. </w:t>
      </w:r>
    </w:p>
    <w:p w14:paraId="2ECF709F" w14:textId="0A3F2311" w:rsidR="00FB555E" w:rsidRPr="00E217F1" w:rsidRDefault="00FB555E" w:rsidP="00FB555E">
      <w:pPr>
        <w:pStyle w:val="Body"/>
        <w:rPr>
          <w:rFonts w:ascii="Arial" w:hAnsi="Arial" w:cs="Arial"/>
          <w:b/>
          <w:bCs/>
          <w:lang w:val="en-PH"/>
        </w:rPr>
      </w:pPr>
      <w:r>
        <w:rPr>
          <w:rFonts w:ascii="Arial" w:hAnsi="Arial" w:cs="Arial"/>
          <w:b/>
          <w:bCs/>
          <w:lang w:val="en-PH"/>
        </w:rPr>
        <w:t xml:space="preserve">3.1.1 </w:t>
      </w:r>
      <w:r w:rsidRPr="00E217F1">
        <w:rPr>
          <w:rFonts w:ascii="Arial" w:hAnsi="Arial" w:cs="Arial"/>
          <w:b/>
          <w:bCs/>
          <w:lang w:val="en-PH"/>
        </w:rPr>
        <w:t xml:space="preserve">Summary of factors affecting the decision of </w:t>
      </w:r>
      <w:r w:rsidR="00636397">
        <w:rPr>
          <w:rFonts w:ascii="Arial" w:hAnsi="Arial" w:cs="Arial"/>
          <w:b/>
          <w:bCs/>
          <w:lang w:val="en-PH"/>
        </w:rPr>
        <w:t>students</w:t>
      </w:r>
      <w:r w:rsidRPr="00E217F1">
        <w:rPr>
          <w:rFonts w:ascii="Arial" w:hAnsi="Arial" w:cs="Arial"/>
          <w:b/>
          <w:bCs/>
          <w:lang w:val="en-PH"/>
        </w:rPr>
        <w:t xml:space="preserve"> in taking </w:t>
      </w:r>
      <w:r w:rsidR="00636397">
        <w:rPr>
          <w:rFonts w:ascii="Arial" w:hAnsi="Arial" w:cs="Arial"/>
          <w:b/>
          <w:bCs/>
          <w:lang w:val="en-PH"/>
        </w:rPr>
        <w:t xml:space="preserve">the </w:t>
      </w:r>
      <w:r w:rsidRPr="00E217F1">
        <w:rPr>
          <w:rFonts w:ascii="Arial" w:hAnsi="Arial" w:cs="Arial"/>
          <w:b/>
          <w:bCs/>
          <w:lang w:val="en-PH"/>
        </w:rPr>
        <w:t>NC assessment for ACP in third district</w:t>
      </w:r>
      <w:r w:rsidR="00636397">
        <w:rPr>
          <w:rFonts w:ascii="Arial" w:hAnsi="Arial" w:cs="Arial"/>
          <w:b/>
          <w:bCs/>
          <w:lang w:val="en-PH"/>
        </w:rPr>
        <w:t xml:space="preserve">, </w:t>
      </w:r>
      <w:r w:rsidRPr="00E217F1">
        <w:rPr>
          <w:rFonts w:ascii="Arial" w:hAnsi="Arial" w:cs="Arial"/>
          <w:b/>
          <w:bCs/>
          <w:lang w:val="en-PH"/>
        </w:rPr>
        <w:t>Division of Camarines Sur</w:t>
      </w:r>
    </w:p>
    <w:p w14:paraId="672040C0" w14:textId="3330E771" w:rsidR="00FB555E" w:rsidRPr="0029660C" w:rsidRDefault="00FB555E" w:rsidP="00FB555E">
      <w:pPr>
        <w:pBdr>
          <w:top w:val="nil"/>
          <w:left w:val="nil"/>
          <w:bottom w:val="nil"/>
          <w:right w:val="nil"/>
          <w:between w:val="nil"/>
        </w:pBdr>
        <w:jc w:val="both"/>
        <w:rPr>
          <w:rFonts w:ascii="Arial" w:hAnsi="Arial" w:cs="Arial"/>
          <w:i/>
          <w:iCs/>
        </w:rPr>
      </w:pPr>
      <w:r w:rsidRPr="0029660C">
        <w:rPr>
          <w:rFonts w:ascii="Arial" w:hAnsi="Arial" w:cs="Arial"/>
          <w:i/>
          <w:iCs/>
        </w:rPr>
        <w:t xml:space="preserve">Table 1. Ranking of the Factors Affecting the Decision of Students in taking </w:t>
      </w:r>
      <w:r w:rsidR="00636397">
        <w:rPr>
          <w:rFonts w:ascii="Arial" w:hAnsi="Arial" w:cs="Arial"/>
          <w:i/>
          <w:iCs/>
        </w:rPr>
        <w:t xml:space="preserve">the </w:t>
      </w:r>
      <w:r w:rsidRPr="0029660C">
        <w:rPr>
          <w:rFonts w:ascii="Arial" w:hAnsi="Arial" w:cs="Arial"/>
          <w:i/>
          <w:iCs/>
        </w:rPr>
        <w:t>TESDA NC assessment for ACP.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6"/>
        <w:gridCol w:w="550"/>
        <w:gridCol w:w="550"/>
        <w:gridCol w:w="550"/>
        <w:gridCol w:w="550"/>
        <w:gridCol w:w="483"/>
        <w:gridCol w:w="739"/>
        <w:gridCol w:w="1317"/>
        <w:gridCol w:w="683"/>
      </w:tblGrid>
      <w:tr w:rsidR="00FB555E" w:rsidRPr="0029660C" w14:paraId="60E751A4" w14:textId="77777777" w:rsidTr="00891BFE">
        <w:tc>
          <w:tcPr>
            <w:tcW w:w="1915" w:type="pct"/>
            <w:vMerge w:val="restart"/>
          </w:tcPr>
          <w:p w14:paraId="5B610068"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Pre-Determined Factors</w:t>
            </w:r>
          </w:p>
          <w:p w14:paraId="33597CE2" w14:textId="77777777" w:rsidR="00FB555E" w:rsidRPr="0029660C" w:rsidRDefault="00FB555E" w:rsidP="00891BFE">
            <w:pPr>
              <w:pBdr>
                <w:top w:val="nil"/>
                <w:left w:val="nil"/>
                <w:bottom w:val="nil"/>
                <w:right w:val="nil"/>
                <w:between w:val="nil"/>
              </w:pBdr>
              <w:jc w:val="both"/>
              <w:rPr>
                <w:rFonts w:ascii="Arial" w:hAnsi="Arial" w:cs="Arial"/>
                <w:b/>
              </w:rPr>
            </w:pPr>
          </w:p>
        </w:tc>
        <w:tc>
          <w:tcPr>
            <w:tcW w:w="1524" w:type="pct"/>
            <w:gridSpan w:val="5"/>
          </w:tcPr>
          <w:p w14:paraId="0B18C18C" w14:textId="77777777" w:rsidR="00FB555E" w:rsidRPr="0029660C" w:rsidRDefault="00FB555E" w:rsidP="00891BFE">
            <w:pPr>
              <w:pBdr>
                <w:top w:val="nil"/>
                <w:left w:val="nil"/>
                <w:bottom w:val="nil"/>
                <w:right w:val="nil"/>
                <w:between w:val="nil"/>
              </w:pBdr>
              <w:jc w:val="center"/>
              <w:rPr>
                <w:rFonts w:ascii="Arial" w:hAnsi="Arial" w:cs="Arial"/>
                <w:b/>
              </w:rPr>
            </w:pPr>
            <w:r w:rsidRPr="0029660C">
              <w:rPr>
                <w:rFonts w:ascii="Arial" w:hAnsi="Arial" w:cs="Arial"/>
                <w:b/>
              </w:rPr>
              <w:t>Frequency</w:t>
            </w:r>
          </w:p>
        </w:tc>
        <w:tc>
          <w:tcPr>
            <w:tcW w:w="457" w:type="pct"/>
            <w:vMerge w:val="restart"/>
          </w:tcPr>
          <w:p w14:paraId="4FC5CA5C" w14:textId="77777777" w:rsidR="00FB555E" w:rsidRPr="0029660C" w:rsidRDefault="00FB555E" w:rsidP="00891BFE">
            <w:pPr>
              <w:pBdr>
                <w:top w:val="nil"/>
                <w:left w:val="nil"/>
                <w:bottom w:val="nil"/>
                <w:right w:val="nil"/>
                <w:between w:val="nil"/>
              </w:pBdr>
              <w:jc w:val="center"/>
              <w:rPr>
                <w:rFonts w:ascii="Arial" w:hAnsi="Arial" w:cs="Arial"/>
                <w:b/>
              </w:rPr>
            </w:pPr>
            <w:r w:rsidRPr="0029660C">
              <w:rPr>
                <w:rFonts w:ascii="Arial" w:hAnsi="Arial" w:cs="Arial"/>
                <w:b/>
              </w:rPr>
              <w:t>Mode</w:t>
            </w:r>
          </w:p>
        </w:tc>
        <w:tc>
          <w:tcPr>
            <w:tcW w:w="728" w:type="pct"/>
            <w:vMerge w:val="restart"/>
          </w:tcPr>
          <w:p w14:paraId="71F11598"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Description</w:t>
            </w:r>
          </w:p>
        </w:tc>
        <w:tc>
          <w:tcPr>
            <w:tcW w:w="377" w:type="pct"/>
          </w:tcPr>
          <w:p w14:paraId="48D650D2" w14:textId="77777777" w:rsidR="00FB555E" w:rsidRPr="0029660C" w:rsidRDefault="00FB555E" w:rsidP="00891BFE">
            <w:pPr>
              <w:pBdr>
                <w:top w:val="nil"/>
                <w:left w:val="nil"/>
                <w:bottom w:val="nil"/>
                <w:right w:val="nil"/>
                <w:between w:val="nil"/>
              </w:pBdr>
              <w:jc w:val="both"/>
              <w:rPr>
                <w:rFonts w:ascii="Arial" w:hAnsi="Arial" w:cs="Arial"/>
                <w:b/>
              </w:rPr>
            </w:pPr>
          </w:p>
        </w:tc>
      </w:tr>
      <w:tr w:rsidR="00FB555E" w:rsidRPr="0029660C" w14:paraId="6641BF74" w14:textId="77777777" w:rsidTr="00891BFE">
        <w:tc>
          <w:tcPr>
            <w:tcW w:w="1915" w:type="pct"/>
            <w:vMerge/>
          </w:tcPr>
          <w:p w14:paraId="2533FA1D" w14:textId="77777777" w:rsidR="00FB555E" w:rsidRPr="0029660C" w:rsidRDefault="00FB555E" w:rsidP="00891BFE">
            <w:pPr>
              <w:pBdr>
                <w:top w:val="nil"/>
                <w:left w:val="nil"/>
                <w:bottom w:val="nil"/>
                <w:right w:val="nil"/>
                <w:between w:val="nil"/>
              </w:pBdr>
              <w:jc w:val="both"/>
              <w:rPr>
                <w:rFonts w:ascii="Arial" w:hAnsi="Arial" w:cs="Arial"/>
                <w:bCs/>
              </w:rPr>
            </w:pPr>
          </w:p>
        </w:tc>
        <w:tc>
          <w:tcPr>
            <w:tcW w:w="303" w:type="pct"/>
          </w:tcPr>
          <w:p w14:paraId="560EF5D6"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DA</w:t>
            </w:r>
          </w:p>
          <w:p w14:paraId="16FA01A4"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w:t>
            </w:r>
          </w:p>
        </w:tc>
        <w:tc>
          <w:tcPr>
            <w:tcW w:w="303" w:type="pct"/>
          </w:tcPr>
          <w:p w14:paraId="101D9D77"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WA</w:t>
            </w:r>
          </w:p>
          <w:p w14:paraId="5B2E8A23"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(2)</w:t>
            </w:r>
          </w:p>
        </w:tc>
        <w:tc>
          <w:tcPr>
            <w:tcW w:w="303" w:type="pct"/>
          </w:tcPr>
          <w:p w14:paraId="23764B7D"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LA</w:t>
            </w:r>
          </w:p>
          <w:p w14:paraId="0C3ACE09"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(3)</w:t>
            </w:r>
          </w:p>
        </w:tc>
        <w:tc>
          <w:tcPr>
            <w:tcW w:w="303" w:type="pct"/>
          </w:tcPr>
          <w:p w14:paraId="46FED7A8"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MA</w:t>
            </w:r>
          </w:p>
          <w:p w14:paraId="39A41E33"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(4)</w:t>
            </w:r>
          </w:p>
        </w:tc>
        <w:tc>
          <w:tcPr>
            <w:tcW w:w="310" w:type="pct"/>
          </w:tcPr>
          <w:p w14:paraId="68276005"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SA</w:t>
            </w:r>
          </w:p>
          <w:p w14:paraId="499B8352"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(5)</w:t>
            </w:r>
          </w:p>
        </w:tc>
        <w:tc>
          <w:tcPr>
            <w:tcW w:w="457" w:type="pct"/>
            <w:vMerge/>
          </w:tcPr>
          <w:p w14:paraId="6E09C304" w14:textId="77777777" w:rsidR="00FB555E" w:rsidRPr="0029660C" w:rsidRDefault="00FB555E" w:rsidP="00891BFE">
            <w:pPr>
              <w:pBdr>
                <w:top w:val="nil"/>
                <w:left w:val="nil"/>
                <w:bottom w:val="nil"/>
                <w:right w:val="nil"/>
                <w:between w:val="nil"/>
              </w:pBdr>
              <w:jc w:val="center"/>
              <w:rPr>
                <w:rFonts w:ascii="Arial" w:hAnsi="Arial" w:cs="Arial"/>
                <w:bCs/>
              </w:rPr>
            </w:pPr>
          </w:p>
        </w:tc>
        <w:tc>
          <w:tcPr>
            <w:tcW w:w="728" w:type="pct"/>
            <w:vMerge/>
          </w:tcPr>
          <w:p w14:paraId="078B75AE" w14:textId="77777777" w:rsidR="00FB555E" w:rsidRPr="0029660C" w:rsidRDefault="00FB555E" w:rsidP="00891BFE">
            <w:pPr>
              <w:pBdr>
                <w:top w:val="nil"/>
                <w:left w:val="nil"/>
                <w:bottom w:val="nil"/>
                <w:right w:val="nil"/>
                <w:between w:val="nil"/>
              </w:pBdr>
              <w:jc w:val="both"/>
              <w:rPr>
                <w:rFonts w:ascii="Arial" w:hAnsi="Arial" w:cs="Arial"/>
                <w:bCs/>
              </w:rPr>
            </w:pPr>
          </w:p>
        </w:tc>
        <w:tc>
          <w:tcPr>
            <w:tcW w:w="377" w:type="pct"/>
          </w:tcPr>
          <w:p w14:paraId="0C2E460B"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Rank</w:t>
            </w:r>
          </w:p>
        </w:tc>
      </w:tr>
      <w:tr w:rsidR="00FB555E" w:rsidRPr="0029660C" w14:paraId="4A57C2CF" w14:textId="77777777" w:rsidTr="00891BFE">
        <w:tc>
          <w:tcPr>
            <w:tcW w:w="1915" w:type="pct"/>
          </w:tcPr>
          <w:p w14:paraId="035AAC79" w14:textId="77777777"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Family Factor</w:t>
            </w:r>
          </w:p>
        </w:tc>
        <w:tc>
          <w:tcPr>
            <w:tcW w:w="303" w:type="pct"/>
          </w:tcPr>
          <w:p w14:paraId="48973D94"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62</w:t>
            </w:r>
          </w:p>
        </w:tc>
        <w:tc>
          <w:tcPr>
            <w:tcW w:w="303" w:type="pct"/>
          </w:tcPr>
          <w:p w14:paraId="6D222344"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111</w:t>
            </w:r>
          </w:p>
        </w:tc>
        <w:tc>
          <w:tcPr>
            <w:tcW w:w="303" w:type="pct"/>
          </w:tcPr>
          <w:p w14:paraId="51AFD300"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118</w:t>
            </w:r>
          </w:p>
        </w:tc>
        <w:tc>
          <w:tcPr>
            <w:tcW w:w="303" w:type="pct"/>
          </w:tcPr>
          <w:p w14:paraId="613E8509"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113</w:t>
            </w:r>
          </w:p>
        </w:tc>
        <w:tc>
          <w:tcPr>
            <w:tcW w:w="310" w:type="pct"/>
          </w:tcPr>
          <w:p w14:paraId="36828289"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56</w:t>
            </w:r>
          </w:p>
        </w:tc>
        <w:tc>
          <w:tcPr>
            <w:tcW w:w="457" w:type="pct"/>
          </w:tcPr>
          <w:p w14:paraId="47D69A8F" w14:textId="77777777" w:rsidR="00FB555E" w:rsidRPr="0029660C" w:rsidRDefault="00FB555E" w:rsidP="00891BFE">
            <w:pPr>
              <w:pBdr>
                <w:top w:val="nil"/>
                <w:left w:val="nil"/>
                <w:bottom w:val="nil"/>
                <w:right w:val="nil"/>
                <w:between w:val="nil"/>
              </w:pBdr>
              <w:jc w:val="center"/>
              <w:rPr>
                <w:rFonts w:ascii="Arial" w:hAnsi="Arial" w:cs="Arial"/>
                <w:b/>
              </w:rPr>
            </w:pPr>
            <w:r w:rsidRPr="0029660C">
              <w:rPr>
                <w:rFonts w:ascii="Arial" w:hAnsi="Arial" w:cs="Arial"/>
                <w:b/>
              </w:rPr>
              <w:t>3</w:t>
            </w:r>
          </w:p>
        </w:tc>
        <w:tc>
          <w:tcPr>
            <w:tcW w:w="728" w:type="pct"/>
          </w:tcPr>
          <w:p w14:paraId="0EF44328"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Slightly Affects</w:t>
            </w:r>
          </w:p>
        </w:tc>
        <w:tc>
          <w:tcPr>
            <w:tcW w:w="377" w:type="pct"/>
          </w:tcPr>
          <w:p w14:paraId="4BC11BE3"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3</w:t>
            </w:r>
            <w:r w:rsidRPr="0029660C">
              <w:rPr>
                <w:rFonts w:ascii="Arial" w:hAnsi="Arial" w:cs="Arial"/>
                <w:bCs/>
                <w:vertAlign w:val="superscript"/>
              </w:rPr>
              <w:t>rd</w:t>
            </w:r>
          </w:p>
        </w:tc>
      </w:tr>
      <w:tr w:rsidR="00FB555E" w:rsidRPr="0029660C" w14:paraId="2EFB3298" w14:textId="77777777" w:rsidTr="00891BFE">
        <w:tc>
          <w:tcPr>
            <w:tcW w:w="1915" w:type="pct"/>
          </w:tcPr>
          <w:p w14:paraId="23D955E5" w14:textId="77777777"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Peer Factor</w:t>
            </w:r>
          </w:p>
        </w:tc>
        <w:tc>
          <w:tcPr>
            <w:tcW w:w="303" w:type="pct"/>
          </w:tcPr>
          <w:p w14:paraId="63C0EBBC"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70</w:t>
            </w:r>
          </w:p>
        </w:tc>
        <w:tc>
          <w:tcPr>
            <w:tcW w:w="303" w:type="pct"/>
          </w:tcPr>
          <w:p w14:paraId="7B207850"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136</w:t>
            </w:r>
          </w:p>
        </w:tc>
        <w:tc>
          <w:tcPr>
            <w:tcW w:w="303" w:type="pct"/>
          </w:tcPr>
          <w:p w14:paraId="27B4A048"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120</w:t>
            </w:r>
          </w:p>
        </w:tc>
        <w:tc>
          <w:tcPr>
            <w:tcW w:w="303" w:type="pct"/>
          </w:tcPr>
          <w:p w14:paraId="5775B05D"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89</w:t>
            </w:r>
          </w:p>
        </w:tc>
        <w:tc>
          <w:tcPr>
            <w:tcW w:w="310" w:type="pct"/>
          </w:tcPr>
          <w:p w14:paraId="58FBC131"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45</w:t>
            </w:r>
          </w:p>
        </w:tc>
        <w:tc>
          <w:tcPr>
            <w:tcW w:w="457" w:type="pct"/>
          </w:tcPr>
          <w:p w14:paraId="4D2F53BC"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2BAC3275"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08188035"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6</w:t>
            </w:r>
            <w:r w:rsidRPr="0029660C">
              <w:rPr>
                <w:rFonts w:ascii="Arial" w:hAnsi="Arial" w:cs="Arial"/>
                <w:bCs/>
                <w:vertAlign w:val="superscript"/>
              </w:rPr>
              <w:t>th</w:t>
            </w:r>
          </w:p>
        </w:tc>
      </w:tr>
      <w:tr w:rsidR="00FB555E" w:rsidRPr="0029660C" w14:paraId="55A62EAC" w14:textId="77777777" w:rsidTr="00891BFE">
        <w:tc>
          <w:tcPr>
            <w:tcW w:w="1915" w:type="pct"/>
          </w:tcPr>
          <w:p w14:paraId="75D0B3AD" w14:textId="77777777"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Teacher Factor</w:t>
            </w:r>
          </w:p>
        </w:tc>
        <w:tc>
          <w:tcPr>
            <w:tcW w:w="303" w:type="pct"/>
          </w:tcPr>
          <w:p w14:paraId="6289F878"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120</w:t>
            </w:r>
          </w:p>
        </w:tc>
        <w:tc>
          <w:tcPr>
            <w:tcW w:w="303" w:type="pct"/>
          </w:tcPr>
          <w:p w14:paraId="620E00C3"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106</w:t>
            </w:r>
          </w:p>
        </w:tc>
        <w:tc>
          <w:tcPr>
            <w:tcW w:w="303" w:type="pct"/>
          </w:tcPr>
          <w:p w14:paraId="4E402BA1"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85</w:t>
            </w:r>
          </w:p>
        </w:tc>
        <w:tc>
          <w:tcPr>
            <w:tcW w:w="303" w:type="pct"/>
          </w:tcPr>
          <w:p w14:paraId="0ED6A3D2"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75</w:t>
            </w:r>
          </w:p>
        </w:tc>
        <w:tc>
          <w:tcPr>
            <w:tcW w:w="310" w:type="pct"/>
          </w:tcPr>
          <w:p w14:paraId="5B576B15"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74</w:t>
            </w:r>
          </w:p>
        </w:tc>
        <w:tc>
          <w:tcPr>
            <w:tcW w:w="457" w:type="pct"/>
          </w:tcPr>
          <w:p w14:paraId="43B3DC85"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1</w:t>
            </w:r>
          </w:p>
        </w:tc>
        <w:tc>
          <w:tcPr>
            <w:tcW w:w="728" w:type="pct"/>
          </w:tcPr>
          <w:p w14:paraId="661FB6A0"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Does not Affects</w:t>
            </w:r>
          </w:p>
        </w:tc>
        <w:tc>
          <w:tcPr>
            <w:tcW w:w="377" w:type="pct"/>
          </w:tcPr>
          <w:p w14:paraId="69AE0FEF"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10</w:t>
            </w:r>
            <w:r w:rsidRPr="0029660C">
              <w:rPr>
                <w:rFonts w:ascii="Arial" w:hAnsi="Arial" w:cs="Arial"/>
                <w:bCs/>
                <w:vertAlign w:val="superscript"/>
              </w:rPr>
              <w:t>th</w:t>
            </w:r>
          </w:p>
        </w:tc>
      </w:tr>
      <w:tr w:rsidR="00FB555E" w:rsidRPr="0029660C" w14:paraId="0C7A801D" w14:textId="77777777" w:rsidTr="00891BFE">
        <w:tc>
          <w:tcPr>
            <w:tcW w:w="1915" w:type="pct"/>
          </w:tcPr>
          <w:p w14:paraId="63595712" w14:textId="77777777"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School Factor</w:t>
            </w:r>
          </w:p>
        </w:tc>
        <w:tc>
          <w:tcPr>
            <w:tcW w:w="303" w:type="pct"/>
          </w:tcPr>
          <w:p w14:paraId="756E3E87"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97</w:t>
            </w:r>
          </w:p>
        </w:tc>
        <w:tc>
          <w:tcPr>
            <w:tcW w:w="303" w:type="pct"/>
          </w:tcPr>
          <w:p w14:paraId="2161BDF3"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141</w:t>
            </w:r>
          </w:p>
        </w:tc>
        <w:tc>
          <w:tcPr>
            <w:tcW w:w="303" w:type="pct"/>
          </w:tcPr>
          <w:p w14:paraId="3DC0E553"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99</w:t>
            </w:r>
          </w:p>
        </w:tc>
        <w:tc>
          <w:tcPr>
            <w:tcW w:w="303" w:type="pct"/>
          </w:tcPr>
          <w:p w14:paraId="2C2A7706"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73</w:t>
            </w:r>
          </w:p>
        </w:tc>
        <w:tc>
          <w:tcPr>
            <w:tcW w:w="310" w:type="pct"/>
          </w:tcPr>
          <w:p w14:paraId="7424DACC"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50</w:t>
            </w:r>
          </w:p>
        </w:tc>
        <w:tc>
          <w:tcPr>
            <w:tcW w:w="457" w:type="pct"/>
          </w:tcPr>
          <w:p w14:paraId="44EAB819"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7BA577D0"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15F25383"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5</w:t>
            </w:r>
            <w:r w:rsidRPr="0029660C">
              <w:rPr>
                <w:rFonts w:ascii="Arial" w:hAnsi="Arial" w:cs="Arial"/>
                <w:bCs/>
                <w:vertAlign w:val="superscript"/>
              </w:rPr>
              <w:t>th</w:t>
            </w:r>
          </w:p>
        </w:tc>
      </w:tr>
      <w:tr w:rsidR="00FB555E" w:rsidRPr="0029660C" w14:paraId="54911724" w14:textId="77777777" w:rsidTr="00891BFE">
        <w:tc>
          <w:tcPr>
            <w:tcW w:w="1915" w:type="pct"/>
          </w:tcPr>
          <w:p w14:paraId="5291A2DD" w14:textId="77777777"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Classroom And Laboratory Room Factor</w:t>
            </w:r>
          </w:p>
        </w:tc>
        <w:tc>
          <w:tcPr>
            <w:tcW w:w="303" w:type="pct"/>
          </w:tcPr>
          <w:p w14:paraId="3821D951"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65</w:t>
            </w:r>
          </w:p>
        </w:tc>
        <w:tc>
          <w:tcPr>
            <w:tcW w:w="303" w:type="pct"/>
          </w:tcPr>
          <w:p w14:paraId="059ADAE3"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121</w:t>
            </w:r>
          </w:p>
        </w:tc>
        <w:tc>
          <w:tcPr>
            <w:tcW w:w="303" w:type="pct"/>
          </w:tcPr>
          <w:p w14:paraId="20CBDD81"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127</w:t>
            </w:r>
          </w:p>
        </w:tc>
        <w:tc>
          <w:tcPr>
            <w:tcW w:w="303" w:type="pct"/>
          </w:tcPr>
          <w:p w14:paraId="47FD69B1"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100</w:t>
            </w:r>
          </w:p>
        </w:tc>
        <w:tc>
          <w:tcPr>
            <w:tcW w:w="310" w:type="pct"/>
          </w:tcPr>
          <w:p w14:paraId="5FCC7E3F"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47</w:t>
            </w:r>
          </w:p>
        </w:tc>
        <w:tc>
          <w:tcPr>
            <w:tcW w:w="457" w:type="pct"/>
          </w:tcPr>
          <w:p w14:paraId="431413A6" w14:textId="77777777" w:rsidR="00FB555E" w:rsidRPr="0029660C" w:rsidRDefault="00FB555E" w:rsidP="00891BFE">
            <w:pPr>
              <w:pBdr>
                <w:top w:val="nil"/>
                <w:left w:val="nil"/>
                <w:bottom w:val="nil"/>
                <w:right w:val="nil"/>
                <w:between w:val="nil"/>
              </w:pBdr>
              <w:jc w:val="center"/>
              <w:rPr>
                <w:rFonts w:ascii="Arial" w:hAnsi="Arial" w:cs="Arial"/>
                <w:b/>
              </w:rPr>
            </w:pPr>
            <w:r w:rsidRPr="0029660C">
              <w:rPr>
                <w:rFonts w:ascii="Arial" w:hAnsi="Arial" w:cs="Arial"/>
                <w:b/>
              </w:rPr>
              <w:t>3</w:t>
            </w:r>
          </w:p>
        </w:tc>
        <w:tc>
          <w:tcPr>
            <w:tcW w:w="728" w:type="pct"/>
          </w:tcPr>
          <w:p w14:paraId="74429C32"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Slightly Affects</w:t>
            </w:r>
          </w:p>
        </w:tc>
        <w:tc>
          <w:tcPr>
            <w:tcW w:w="377" w:type="pct"/>
          </w:tcPr>
          <w:p w14:paraId="3A6F22A6"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2</w:t>
            </w:r>
            <w:r w:rsidRPr="0029660C">
              <w:rPr>
                <w:rFonts w:ascii="Arial" w:hAnsi="Arial" w:cs="Arial"/>
                <w:bCs/>
                <w:vertAlign w:val="superscript"/>
              </w:rPr>
              <w:t>nd</w:t>
            </w:r>
          </w:p>
        </w:tc>
      </w:tr>
      <w:tr w:rsidR="00FB555E" w:rsidRPr="0029660C" w14:paraId="4B419542" w14:textId="77777777" w:rsidTr="00891BFE">
        <w:trPr>
          <w:trHeight w:val="56"/>
        </w:trPr>
        <w:tc>
          <w:tcPr>
            <w:tcW w:w="1915" w:type="pct"/>
          </w:tcPr>
          <w:p w14:paraId="5D319BF0" w14:textId="77777777"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Community Factor</w:t>
            </w:r>
          </w:p>
        </w:tc>
        <w:tc>
          <w:tcPr>
            <w:tcW w:w="303" w:type="pct"/>
          </w:tcPr>
          <w:p w14:paraId="53383A8D"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95</w:t>
            </w:r>
          </w:p>
        </w:tc>
        <w:tc>
          <w:tcPr>
            <w:tcW w:w="303" w:type="pct"/>
          </w:tcPr>
          <w:p w14:paraId="2F2B106F"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118</w:t>
            </w:r>
          </w:p>
        </w:tc>
        <w:tc>
          <w:tcPr>
            <w:tcW w:w="303" w:type="pct"/>
          </w:tcPr>
          <w:p w14:paraId="22224AAB"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111</w:t>
            </w:r>
          </w:p>
        </w:tc>
        <w:tc>
          <w:tcPr>
            <w:tcW w:w="303" w:type="pct"/>
          </w:tcPr>
          <w:p w14:paraId="18973B85"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82</w:t>
            </w:r>
          </w:p>
        </w:tc>
        <w:tc>
          <w:tcPr>
            <w:tcW w:w="310" w:type="pct"/>
          </w:tcPr>
          <w:p w14:paraId="7CD31609"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54</w:t>
            </w:r>
          </w:p>
        </w:tc>
        <w:tc>
          <w:tcPr>
            <w:tcW w:w="457" w:type="pct"/>
          </w:tcPr>
          <w:p w14:paraId="4901445D"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50A88F9B"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6D9A15C2"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8</w:t>
            </w:r>
            <w:r w:rsidRPr="0029660C">
              <w:rPr>
                <w:rFonts w:ascii="Arial" w:hAnsi="Arial" w:cs="Arial"/>
                <w:bCs/>
                <w:vertAlign w:val="superscript"/>
              </w:rPr>
              <w:t>th</w:t>
            </w:r>
          </w:p>
        </w:tc>
      </w:tr>
      <w:tr w:rsidR="00FB555E" w:rsidRPr="0029660C" w14:paraId="1CF86B37" w14:textId="77777777" w:rsidTr="00891BFE">
        <w:tc>
          <w:tcPr>
            <w:tcW w:w="1915" w:type="pct"/>
          </w:tcPr>
          <w:p w14:paraId="2E07E077" w14:textId="77777777"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Career Plan Factor</w:t>
            </w:r>
          </w:p>
        </w:tc>
        <w:tc>
          <w:tcPr>
            <w:tcW w:w="303" w:type="pct"/>
          </w:tcPr>
          <w:p w14:paraId="7F3B06C0"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65</w:t>
            </w:r>
          </w:p>
        </w:tc>
        <w:tc>
          <w:tcPr>
            <w:tcW w:w="303" w:type="pct"/>
          </w:tcPr>
          <w:p w14:paraId="167EE592"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117</w:t>
            </w:r>
          </w:p>
        </w:tc>
        <w:tc>
          <w:tcPr>
            <w:tcW w:w="303" w:type="pct"/>
          </w:tcPr>
          <w:p w14:paraId="1D39C238"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109</w:t>
            </w:r>
          </w:p>
        </w:tc>
        <w:tc>
          <w:tcPr>
            <w:tcW w:w="303" w:type="pct"/>
          </w:tcPr>
          <w:p w14:paraId="4BDCB051"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101</w:t>
            </w:r>
          </w:p>
        </w:tc>
        <w:tc>
          <w:tcPr>
            <w:tcW w:w="310" w:type="pct"/>
          </w:tcPr>
          <w:p w14:paraId="6C64E253"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68</w:t>
            </w:r>
          </w:p>
        </w:tc>
        <w:tc>
          <w:tcPr>
            <w:tcW w:w="457" w:type="pct"/>
          </w:tcPr>
          <w:p w14:paraId="754B6E41"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69D1A73A"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2B094067"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9</w:t>
            </w:r>
            <w:r w:rsidRPr="0029660C">
              <w:rPr>
                <w:rFonts w:ascii="Arial" w:hAnsi="Arial" w:cs="Arial"/>
                <w:bCs/>
                <w:vertAlign w:val="superscript"/>
              </w:rPr>
              <w:t>th</w:t>
            </w:r>
          </w:p>
        </w:tc>
      </w:tr>
      <w:tr w:rsidR="00FB555E" w:rsidRPr="0029660C" w14:paraId="3EE074D7" w14:textId="77777777" w:rsidTr="00891BFE">
        <w:tc>
          <w:tcPr>
            <w:tcW w:w="1915" w:type="pct"/>
          </w:tcPr>
          <w:p w14:paraId="0135CE83" w14:textId="77777777"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Practicability Factor</w:t>
            </w:r>
          </w:p>
        </w:tc>
        <w:tc>
          <w:tcPr>
            <w:tcW w:w="303" w:type="pct"/>
          </w:tcPr>
          <w:p w14:paraId="08402D8B"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76</w:t>
            </w:r>
          </w:p>
        </w:tc>
        <w:tc>
          <w:tcPr>
            <w:tcW w:w="303" w:type="pct"/>
          </w:tcPr>
          <w:p w14:paraId="211FD895"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161</w:t>
            </w:r>
          </w:p>
        </w:tc>
        <w:tc>
          <w:tcPr>
            <w:tcW w:w="303" w:type="pct"/>
          </w:tcPr>
          <w:p w14:paraId="5DC49C1D"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107</w:t>
            </w:r>
          </w:p>
        </w:tc>
        <w:tc>
          <w:tcPr>
            <w:tcW w:w="303" w:type="pct"/>
          </w:tcPr>
          <w:p w14:paraId="5AA5EDC5"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70</w:t>
            </w:r>
          </w:p>
        </w:tc>
        <w:tc>
          <w:tcPr>
            <w:tcW w:w="310" w:type="pct"/>
          </w:tcPr>
          <w:p w14:paraId="2A9F9002"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45</w:t>
            </w:r>
          </w:p>
        </w:tc>
        <w:tc>
          <w:tcPr>
            <w:tcW w:w="457" w:type="pct"/>
          </w:tcPr>
          <w:p w14:paraId="466476B7"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172B2A17"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 xml:space="preserve">Somewhat </w:t>
            </w:r>
            <w:r w:rsidRPr="0029660C">
              <w:rPr>
                <w:rFonts w:ascii="Arial" w:hAnsi="Arial" w:cs="Arial"/>
                <w:bCs/>
                <w:i/>
              </w:rPr>
              <w:lastRenderedPageBreak/>
              <w:t>Affects</w:t>
            </w:r>
          </w:p>
        </w:tc>
        <w:tc>
          <w:tcPr>
            <w:tcW w:w="377" w:type="pct"/>
          </w:tcPr>
          <w:p w14:paraId="6DFA8580"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lastRenderedPageBreak/>
              <w:t>4</w:t>
            </w:r>
            <w:r w:rsidRPr="0029660C">
              <w:rPr>
                <w:rFonts w:ascii="Arial" w:hAnsi="Arial" w:cs="Arial"/>
                <w:bCs/>
                <w:vertAlign w:val="superscript"/>
              </w:rPr>
              <w:t>th</w:t>
            </w:r>
          </w:p>
        </w:tc>
      </w:tr>
      <w:tr w:rsidR="00FB555E" w:rsidRPr="0029660C" w14:paraId="0ABA1DC7" w14:textId="77777777" w:rsidTr="00891BFE">
        <w:tc>
          <w:tcPr>
            <w:tcW w:w="1915" w:type="pct"/>
          </w:tcPr>
          <w:p w14:paraId="43EF20D1" w14:textId="05228932"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 xml:space="preserve">Documentary Requirements in </w:t>
            </w:r>
            <w:r w:rsidR="00636397">
              <w:rPr>
                <w:rFonts w:ascii="Arial" w:hAnsi="Arial" w:cs="Arial"/>
                <w:bCs/>
              </w:rPr>
              <w:t>Filing</w:t>
            </w:r>
            <w:r w:rsidRPr="0029660C">
              <w:rPr>
                <w:rFonts w:ascii="Arial" w:hAnsi="Arial" w:cs="Arial"/>
                <w:bCs/>
              </w:rPr>
              <w:t xml:space="preserve"> the TESDA Assessment and Certification and Its Location Factor</w:t>
            </w:r>
          </w:p>
        </w:tc>
        <w:tc>
          <w:tcPr>
            <w:tcW w:w="303" w:type="pct"/>
          </w:tcPr>
          <w:p w14:paraId="47CABB0E"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34</w:t>
            </w:r>
          </w:p>
        </w:tc>
        <w:tc>
          <w:tcPr>
            <w:tcW w:w="303" w:type="pct"/>
          </w:tcPr>
          <w:p w14:paraId="4776ECB7"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125</w:t>
            </w:r>
          </w:p>
        </w:tc>
        <w:tc>
          <w:tcPr>
            <w:tcW w:w="303" w:type="pct"/>
          </w:tcPr>
          <w:p w14:paraId="38640026"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121</w:t>
            </w:r>
          </w:p>
        </w:tc>
        <w:tc>
          <w:tcPr>
            <w:tcW w:w="303" w:type="pct"/>
          </w:tcPr>
          <w:p w14:paraId="6F667935"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94</w:t>
            </w:r>
          </w:p>
        </w:tc>
        <w:tc>
          <w:tcPr>
            <w:tcW w:w="310" w:type="pct"/>
          </w:tcPr>
          <w:p w14:paraId="4944EA6D"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86</w:t>
            </w:r>
          </w:p>
        </w:tc>
        <w:tc>
          <w:tcPr>
            <w:tcW w:w="457" w:type="pct"/>
          </w:tcPr>
          <w:p w14:paraId="73E24152"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49F0CBF1"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35CCBEA2"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7</w:t>
            </w:r>
            <w:r w:rsidRPr="0029660C">
              <w:rPr>
                <w:rFonts w:ascii="Arial" w:hAnsi="Arial" w:cs="Arial"/>
                <w:bCs/>
                <w:vertAlign w:val="superscript"/>
              </w:rPr>
              <w:t>th</w:t>
            </w:r>
          </w:p>
        </w:tc>
      </w:tr>
      <w:tr w:rsidR="00FB555E" w:rsidRPr="0029660C" w14:paraId="439483F1" w14:textId="77777777" w:rsidTr="00891BFE">
        <w:tc>
          <w:tcPr>
            <w:tcW w:w="1915" w:type="pct"/>
          </w:tcPr>
          <w:p w14:paraId="2115155D" w14:textId="77777777" w:rsidR="00FB555E" w:rsidRPr="0029660C" w:rsidRDefault="00FB555E" w:rsidP="00891BFE">
            <w:pPr>
              <w:pBdr>
                <w:top w:val="nil"/>
                <w:left w:val="nil"/>
                <w:bottom w:val="nil"/>
                <w:right w:val="nil"/>
                <w:between w:val="nil"/>
              </w:pBdr>
              <w:rPr>
                <w:rFonts w:ascii="Arial" w:hAnsi="Arial" w:cs="Arial"/>
                <w:bCs/>
                <w:i/>
              </w:rPr>
            </w:pPr>
            <w:r w:rsidRPr="0029660C">
              <w:rPr>
                <w:rFonts w:ascii="Arial" w:hAnsi="Arial" w:cs="Arial"/>
                <w:bCs/>
              </w:rPr>
              <w:t>Preparedness On Competencies Assessment Factor</w:t>
            </w:r>
          </w:p>
        </w:tc>
        <w:tc>
          <w:tcPr>
            <w:tcW w:w="303" w:type="pct"/>
          </w:tcPr>
          <w:p w14:paraId="40E161DC"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51</w:t>
            </w:r>
          </w:p>
        </w:tc>
        <w:tc>
          <w:tcPr>
            <w:tcW w:w="303" w:type="pct"/>
          </w:tcPr>
          <w:p w14:paraId="2173FCEE"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121</w:t>
            </w:r>
          </w:p>
        </w:tc>
        <w:tc>
          <w:tcPr>
            <w:tcW w:w="303" w:type="pct"/>
          </w:tcPr>
          <w:p w14:paraId="79BAFF4A" w14:textId="77777777" w:rsidR="00FB555E" w:rsidRPr="0029660C" w:rsidRDefault="00FB555E" w:rsidP="00891BFE">
            <w:pPr>
              <w:pBdr>
                <w:top w:val="nil"/>
                <w:left w:val="nil"/>
                <w:bottom w:val="nil"/>
                <w:right w:val="nil"/>
                <w:between w:val="nil"/>
              </w:pBdr>
              <w:jc w:val="both"/>
              <w:rPr>
                <w:rFonts w:ascii="Arial" w:hAnsi="Arial" w:cs="Arial"/>
                <w:b/>
              </w:rPr>
            </w:pPr>
            <w:r w:rsidRPr="0029660C">
              <w:rPr>
                <w:rFonts w:ascii="Arial" w:hAnsi="Arial" w:cs="Arial"/>
                <w:b/>
              </w:rPr>
              <w:t>141</w:t>
            </w:r>
          </w:p>
        </w:tc>
        <w:tc>
          <w:tcPr>
            <w:tcW w:w="303" w:type="pct"/>
          </w:tcPr>
          <w:p w14:paraId="15E0A901"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114</w:t>
            </w:r>
          </w:p>
        </w:tc>
        <w:tc>
          <w:tcPr>
            <w:tcW w:w="310" w:type="pct"/>
          </w:tcPr>
          <w:p w14:paraId="66C04D39" w14:textId="77777777" w:rsidR="00FB555E" w:rsidRPr="0029660C" w:rsidRDefault="00FB555E" w:rsidP="00891BFE">
            <w:pPr>
              <w:pBdr>
                <w:top w:val="nil"/>
                <w:left w:val="nil"/>
                <w:bottom w:val="nil"/>
                <w:right w:val="nil"/>
                <w:between w:val="nil"/>
              </w:pBdr>
              <w:jc w:val="both"/>
              <w:rPr>
                <w:rFonts w:ascii="Arial" w:hAnsi="Arial" w:cs="Arial"/>
                <w:bCs/>
              </w:rPr>
            </w:pPr>
            <w:r w:rsidRPr="0029660C">
              <w:rPr>
                <w:rFonts w:ascii="Arial" w:hAnsi="Arial" w:cs="Arial"/>
                <w:bCs/>
              </w:rPr>
              <w:t>33</w:t>
            </w:r>
          </w:p>
        </w:tc>
        <w:tc>
          <w:tcPr>
            <w:tcW w:w="457" w:type="pct"/>
          </w:tcPr>
          <w:p w14:paraId="7A5F76F2" w14:textId="77777777" w:rsidR="00FB555E" w:rsidRPr="0029660C" w:rsidRDefault="00FB555E" w:rsidP="00891BFE">
            <w:pPr>
              <w:pBdr>
                <w:top w:val="nil"/>
                <w:left w:val="nil"/>
                <w:bottom w:val="nil"/>
                <w:right w:val="nil"/>
                <w:between w:val="nil"/>
              </w:pBdr>
              <w:jc w:val="center"/>
              <w:rPr>
                <w:rFonts w:ascii="Arial" w:hAnsi="Arial" w:cs="Arial"/>
                <w:b/>
              </w:rPr>
            </w:pPr>
            <w:r w:rsidRPr="0029660C">
              <w:rPr>
                <w:rFonts w:ascii="Arial" w:hAnsi="Arial" w:cs="Arial"/>
                <w:b/>
              </w:rPr>
              <w:t>3</w:t>
            </w:r>
          </w:p>
        </w:tc>
        <w:tc>
          <w:tcPr>
            <w:tcW w:w="728" w:type="pct"/>
          </w:tcPr>
          <w:p w14:paraId="3B6309B1" w14:textId="77777777" w:rsidR="00FB555E" w:rsidRPr="0029660C" w:rsidRDefault="00FB555E" w:rsidP="00891BFE">
            <w:pPr>
              <w:pBdr>
                <w:top w:val="nil"/>
                <w:left w:val="nil"/>
                <w:bottom w:val="nil"/>
                <w:right w:val="nil"/>
                <w:between w:val="nil"/>
              </w:pBdr>
              <w:rPr>
                <w:rFonts w:ascii="Arial" w:hAnsi="Arial" w:cs="Arial"/>
                <w:bCs/>
              </w:rPr>
            </w:pPr>
            <w:r w:rsidRPr="0029660C">
              <w:rPr>
                <w:rFonts w:ascii="Arial" w:hAnsi="Arial" w:cs="Arial"/>
                <w:bCs/>
                <w:i/>
              </w:rPr>
              <w:t>Slightly Affects</w:t>
            </w:r>
          </w:p>
        </w:tc>
        <w:tc>
          <w:tcPr>
            <w:tcW w:w="377" w:type="pct"/>
          </w:tcPr>
          <w:p w14:paraId="617794CE" w14:textId="77777777" w:rsidR="00FB555E" w:rsidRPr="0029660C" w:rsidRDefault="00FB555E" w:rsidP="00891BFE">
            <w:pPr>
              <w:pBdr>
                <w:top w:val="nil"/>
                <w:left w:val="nil"/>
                <w:bottom w:val="nil"/>
                <w:right w:val="nil"/>
                <w:between w:val="nil"/>
              </w:pBdr>
              <w:jc w:val="center"/>
              <w:rPr>
                <w:rFonts w:ascii="Arial" w:hAnsi="Arial" w:cs="Arial"/>
                <w:bCs/>
              </w:rPr>
            </w:pPr>
            <w:r w:rsidRPr="0029660C">
              <w:rPr>
                <w:rFonts w:ascii="Arial" w:hAnsi="Arial" w:cs="Arial"/>
                <w:bCs/>
              </w:rPr>
              <w:t>1</w:t>
            </w:r>
            <w:r w:rsidRPr="0029660C">
              <w:rPr>
                <w:rFonts w:ascii="Arial" w:hAnsi="Arial" w:cs="Arial"/>
                <w:bCs/>
                <w:vertAlign w:val="superscript"/>
              </w:rPr>
              <w:t>st</w:t>
            </w:r>
          </w:p>
        </w:tc>
      </w:tr>
    </w:tbl>
    <w:p w14:paraId="33969DFA" w14:textId="77777777" w:rsidR="00FB555E" w:rsidRDefault="00FB555E" w:rsidP="00FB555E">
      <w:pPr>
        <w:pBdr>
          <w:top w:val="nil"/>
          <w:left w:val="nil"/>
          <w:bottom w:val="nil"/>
          <w:right w:val="nil"/>
          <w:between w:val="nil"/>
        </w:pBdr>
        <w:contextualSpacing/>
        <w:jc w:val="both"/>
        <w:rPr>
          <w:rFonts w:ascii="Arial" w:hAnsi="Arial" w:cs="Arial"/>
          <w:b/>
          <w:bCs/>
          <w:i/>
          <w:iCs/>
        </w:rPr>
      </w:pPr>
    </w:p>
    <w:p w14:paraId="3437491A" w14:textId="77777777" w:rsidR="00FB555E" w:rsidRPr="0029660C" w:rsidRDefault="00FB555E" w:rsidP="00FB555E">
      <w:pPr>
        <w:pBdr>
          <w:top w:val="nil"/>
          <w:left w:val="nil"/>
          <w:bottom w:val="nil"/>
          <w:right w:val="nil"/>
          <w:between w:val="nil"/>
        </w:pBdr>
        <w:jc w:val="both"/>
        <w:rPr>
          <w:rFonts w:ascii="Arial" w:hAnsi="Arial" w:cs="Arial"/>
          <w:bCs/>
          <w:i/>
        </w:rPr>
      </w:pPr>
      <w:r w:rsidRPr="0029660C">
        <w:rPr>
          <w:rFonts w:ascii="Arial" w:hAnsi="Arial" w:cs="Arial"/>
          <w:bCs/>
          <w:i/>
        </w:rPr>
        <w:t>Legend: Value Scale    Verbal Interpretation</w:t>
      </w:r>
    </w:p>
    <w:p w14:paraId="47FC36A6" w14:textId="77777777" w:rsidR="00FB555E" w:rsidRPr="0029660C" w:rsidRDefault="00FB555E" w:rsidP="00FB555E">
      <w:pPr>
        <w:pBdr>
          <w:top w:val="nil"/>
          <w:left w:val="nil"/>
          <w:bottom w:val="nil"/>
          <w:right w:val="nil"/>
          <w:between w:val="nil"/>
        </w:pBdr>
        <w:jc w:val="both"/>
        <w:rPr>
          <w:rFonts w:ascii="Arial" w:hAnsi="Arial" w:cs="Arial"/>
          <w:bCs/>
          <w:i/>
        </w:rPr>
      </w:pPr>
      <w:r w:rsidRPr="0029660C">
        <w:rPr>
          <w:rFonts w:ascii="Arial" w:hAnsi="Arial" w:cs="Arial"/>
          <w:bCs/>
          <w:i/>
        </w:rPr>
        <w:t xml:space="preserve">                          5     </w:t>
      </w:r>
      <w:r>
        <w:rPr>
          <w:rFonts w:ascii="Arial" w:hAnsi="Arial" w:cs="Arial"/>
          <w:bCs/>
          <w:i/>
        </w:rPr>
        <w:tab/>
      </w:r>
      <w:r w:rsidRPr="0029660C">
        <w:rPr>
          <w:rFonts w:ascii="Arial" w:hAnsi="Arial" w:cs="Arial"/>
          <w:bCs/>
          <w:i/>
        </w:rPr>
        <w:t xml:space="preserve"> Strongly Affects (SA)</w:t>
      </w:r>
    </w:p>
    <w:p w14:paraId="31C94DBB" w14:textId="77777777" w:rsidR="00FB555E" w:rsidRPr="0029660C" w:rsidRDefault="00FB555E" w:rsidP="00FB555E">
      <w:pPr>
        <w:pBdr>
          <w:top w:val="nil"/>
          <w:left w:val="nil"/>
          <w:bottom w:val="nil"/>
          <w:right w:val="nil"/>
          <w:between w:val="nil"/>
        </w:pBdr>
        <w:jc w:val="both"/>
        <w:rPr>
          <w:rFonts w:ascii="Arial" w:hAnsi="Arial" w:cs="Arial"/>
          <w:bCs/>
          <w:i/>
        </w:rPr>
      </w:pPr>
      <w:r w:rsidRPr="0029660C">
        <w:rPr>
          <w:rFonts w:ascii="Arial" w:hAnsi="Arial" w:cs="Arial"/>
          <w:bCs/>
          <w:i/>
        </w:rPr>
        <w:t xml:space="preserve">        </w:t>
      </w:r>
      <w:r w:rsidRPr="0029660C">
        <w:rPr>
          <w:rFonts w:ascii="Arial" w:hAnsi="Arial" w:cs="Arial"/>
          <w:bCs/>
          <w:i/>
        </w:rPr>
        <w:tab/>
        <w:t xml:space="preserve">      </w:t>
      </w:r>
      <w:r>
        <w:rPr>
          <w:rFonts w:ascii="Arial" w:hAnsi="Arial" w:cs="Arial"/>
          <w:bCs/>
          <w:i/>
        </w:rPr>
        <w:tab/>
      </w:r>
      <w:r w:rsidRPr="0029660C">
        <w:rPr>
          <w:rFonts w:ascii="Arial" w:hAnsi="Arial" w:cs="Arial"/>
          <w:bCs/>
          <w:i/>
        </w:rPr>
        <w:t xml:space="preserve">4     </w:t>
      </w:r>
      <w:r>
        <w:rPr>
          <w:rFonts w:ascii="Arial" w:hAnsi="Arial" w:cs="Arial"/>
          <w:bCs/>
          <w:i/>
        </w:rPr>
        <w:t xml:space="preserve"> </w:t>
      </w:r>
      <w:r>
        <w:rPr>
          <w:rFonts w:ascii="Arial" w:hAnsi="Arial" w:cs="Arial"/>
          <w:bCs/>
          <w:i/>
        </w:rPr>
        <w:tab/>
      </w:r>
      <w:r w:rsidRPr="0029660C">
        <w:rPr>
          <w:rFonts w:ascii="Arial" w:hAnsi="Arial" w:cs="Arial"/>
          <w:bCs/>
          <w:i/>
        </w:rPr>
        <w:t>Moderately Affects (MA)</w:t>
      </w:r>
    </w:p>
    <w:p w14:paraId="12B7C718" w14:textId="77777777" w:rsidR="00FB555E" w:rsidRPr="0029660C" w:rsidRDefault="00FB555E" w:rsidP="00FB555E">
      <w:pPr>
        <w:pStyle w:val="ListParagraph"/>
        <w:numPr>
          <w:ilvl w:val="0"/>
          <w:numId w:val="32"/>
        </w:numPr>
        <w:pBdr>
          <w:top w:val="nil"/>
          <w:left w:val="nil"/>
          <w:bottom w:val="nil"/>
          <w:right w:val="nil"/>
          <w:between w:val="nil"/>
        </w:pBdr>
        <w:spacing w:line="240" w:lineRule="auto"/>
        <w:jc w:val="both"/>
        <w:rPr>
          <w:bCs/>
          <w:i/>
          <w:sz w:val="20"/>
          <w:szCs w:val="20"/>
        </w:rPr>
      </w:pPr>
      <w:r w:rsidRPr="0029660C">
        <w:rPr>
          <w:bCs/>
          <w:i/>
          <w:sz w:val="20"/>
          <w:szCs w:val="20"/>
        </w:rPr>
        <w:t xml:space="preserve"> </w:t>
      </w:r>
      <w:r>
        <w:rPr>
          <w:bCs/>
          <w:i/>
          <w:sz w:val="20"/>
          <w:szCs w:val="20"/>
        </w:rPr>
        <w:tab/>
      </w:r>
      <w:r w:rsidRPr="0029660C">
        <w:rPr>
          <w:bCs/>
          <w:i/>
          <w:sz w:val="20"/>
          <w:szCs w:val="20"/>
        </w:rPr>
        <w:t>Slightly Affects (LA)</w:t>
      </w:r>
    </w:p>
    <w:p w14:paraId="2F5D9420" w14:textId="77777777" w:rsidR="00FB555E" w:rsidRPr="0029660C" w:rsidRDefault="00FB555E" w:rsidP="00FB555E">
      <w:pPr>
        <w:pBdr>
          <w:top w:val="nil"/>
          <w:left w:val="nil"/>
          <w:bottom w:val="nil"/>
          <w:right w:val="nil"/>
          <w:between w:val="nil"/>
        </w:pBdr>
        <w:ind w:left="888" w:firstLine="552"/>
        <w:jc w:val="both"/>
        <w:rPr>
          <w:rFonts w:ascii="Arial" w:hAnsi="Arial" w:cs="Arial"/>
          <w:bCs/>
          <w:i/>
        </w:rPr>
      </w:pPr>
      <w:r w:rsidRPr="0029660C">
        <w:rPr>
          <w:rFonts w:ascii="Arial" w:hAnsi="Arial" w:cs="Arial"/>
          <w:bCs/>
          <w:i/>
        </w:rPr>
        <w:t>2</w:t>
      </w:r>
      <w:r>
        <w:rPr>
          <w:rFonts w:ascii="Arial" w:hAnsi="Arial" w:cs="Arial"/>
          <w:bCs/>
          <w:i/>
        </w:rPr>
        <w:tab/>
      </w:r>
      <w:r w:rsidRPr="0029660C">
        <w:rPr>
          <w:rFonts w:ascii="Arial" w:hAnsi="Arial" w:cs="Arial"/>
          <w:bCs/>
          <w:i/>
        </w:rPr>
        <w:t>Somewhat Affects (WA)</w:t>
      </w:r>
    </w:p>
    <w:p w14:paraId="34085024" w14:textId="77777777" w:rsidR="00FB555E" w:rsidRDefault="00FB555E" w:rsidP="00FB555E">
      <w:pPr>
        <w:pBdr>
          <w:top w:val="nil"/>
          <w:left w:val="nil"/>
          <w:bottom w:val="nil"/>
          <w:right w:val="nil"/>
          <w:between w:val="nil"/>
        </w:pBdr>
        <w:jc w:val="both"/>
        <w:rPr>
          <w:rFonts w:ascii="Arial" w:hAnsi="Arial" w:cs="Arial"/>
          <w:bCs/>
          <w:i/>
        </w:rPr>
      </w:pPr>
      <w:r w:rsidRPr="0029660C">
        <w:rPr>
          <w:rFonts w:ascii="Arial" w:hAnsi="Arial" w:cs="Arial"/>
          <w:bCs/>
          <w:i/>
        </w:rPr>
        <w:t xml:space="preserve">                       </w:t>
      </w:r>
      <w:r>
        <w:rPr>
          <w:rFonts w:ascii="Arial" w:hAnsi="Arial" w:cs="Arial"/>
          <w:bCs/>
          <w:i/>
        </w:rPr>
        <w:t xml:space="preserve"> </w:t>
      </w:r>
      <w:r w:rsidRPr="0029660C">
        <w:rPr>
          <w:rFonts w:ascii="Arial" w:hAnsi="Arial" w:cs="Arial"/>
          <w:bCs/>
          <w:i/>
        </w:rPr>
        <w:t xml:space="preserve"> 1             Does not Affects (DA)</w:t>
      </w:r>
    </w:p>
    <w:p w14:paraId="3DF7379D" w14:textId="77777777" w:rsidR="00FB555E" w:rsidRPr="00C21BD5" w:rsidRDefault="00FB555E" w:rsidP="00FB555E">
      <w:pPr>
        <w:pBdr>
          <w:top w:val="nil"/>
          <w:left w:val="nil"/>
          <w:bottom w:val="nil"/>
          <w:right w:val="nil"/>
          <w:between w:val="nil"/>
        </w:pBdr>
        <w:jc w:val="both"/>
        <w:rPr>
          <w:rFonts w:ascii="Arial" w:hAnsi="Arial" w:cs="Arial"/>
          <w:bCs/>
          <w:i/>
        </w:rPr>
      </w:pPr>
    </w:p>
    <w:p w14:paraId="501D6743" w14:textId="5AE9C021" w:rsidR="00FB555E" w:rsidRDefault="00FB555E" w:rsidP="00FB555E">
      <w:pPr>
        <w:pStyle w:val="Body"/>
        <w:rPr>
          <w:rFonts w:ascii="Arial" w:hAnsi="Arial" w:cs="Arial"/>
          <w:lang w:val="en-PH"/>
        </w:rPr>
      </w:pPr>
      <w:r w:rsidRPr="00E217F1">
        <w:rPr>
          <w:rFonts w:ascii="Arial" w:hAnsi="Arial" w:cs="Arial"/>
          <w:lang w:val="en-PH"/>
        </w:rPr>
        <w:t xml:space="preserve">Table 1 reveals the result of the extent of influence of the sub-factors affecting students' decisions regarding the TESDA NC assessment for ACP. The most pressing concern is students' preparedness on competencies assessment factor, ranked highest with a total frequency of 141, mode of 3, indicating a slightly affect in the decisions. This underscored the importance of students feeling confident in their </w:t>
      </w:r>
      <w:r w:rsidR="00636397">
        <w:rPr>
          <w:rFonts w:ascii="Arial" w:hAnsi="Arial" w:cs="Arial"/>
          <w:lang w:val="en-PH"/>
        </w:rPr>
        <w:t>knowledge</w:t>
      </w:r>
      <w:r w:rsidRPr="00E217F1">
        <w:rPr>
          <w:rFonts w:ascii="Arial" w:hAnsi="Arial" w:cs="Arial"/>
          <w:lang w:val="en-PH"/>
        </w:rPr>
        <w:t xml:space="preserve"> and skills for certification. Similarly, the quality of classroom and laboratory rooms ranks high, also with a total frequency of 121, a mode of 3, indicating </w:t>
      </w:r>
      <w:r>
        <w:rPr>
          <w:rFonts w:ascii="Arial" w:hAnsi="Arial" w:cs="Arial"/>
          <w:lang w:val="en-PH"/>
        </w:rPr>
        <w:t>“</w:t>
      </w:r>
      <w:r w:rsidRPr="00E217F1">
        <w:rPr>
          <w:rFonts w:ascii="Arial" w:hAnsi="Arial" w:cs="Arial"/>
          <w:lang w:val="en-PH"/>
        </w:rPr>
        <w:t xml:space="preserve">slightly </w:t>
      </w:r>
      <w:r>
        <w:rPr>
          <w:rFonts w:ascii="Arial" w:hAnsi="Arial" w:cs="Arial"/>
          <w:lang w:val="en-PH"/>
        </w:rPr>
        <w:t>a</w:t>
      </w:r>
      <w:r w:rsidRPr="00E217F1">
        <w:rPr>
          <w:rFonts w:ascii="Arial" w:hAnsi="Arial" w:cs="Arial"/>
          <w:lang w:val="en-PH"/>
        </w:rPr>
        <w:t>ffect</w:t>
      </w:r>
      <w:r>
        <w:rPr>
          <w:rFonts w:ascii="Arial" w:hAnsi="Arial" w:cs="Arial"/>
          <w:lang w:val="en-PH"/>
        </w:rPr>
        <w:t>s”</w:t>
      </w:r>
      <w:r w:rsidRPr="00E217F1">
        <w:rPr>
          <w:rFonts w:ascii="Arial" w:hAnsi="Arial" w:cs="Arial"/>
          <w:lang w:val="en-PH"/>
        </w:rPr>
        <w:t xml:space="preserve"> on the decisions</w:t>
      </w:r>
      <w:r w:rsidR="00636397">
        <w:rPr>
          <w:rFonts w:ascii="Arial" w:hAnsi="Arial" w:cs="Arial"/>
          <w:lang w:val="en-PH"/>
        </w:rPr>
        <w:t>,</w:t>
      </w:r>
      <w:r w:rsidRPr="00E217F1">
        <w:rPr>
          <w:rFonts w:ascii="Arial" w:hAnsi="Arial" w:cs="Arial"/>
          <w:lang w:val="en-PH"/>
        </w:rPr>
        <w:t xml:space="preserve"> emphasizing the significance of conducive learning environments. Family support follows suit, also with a total frequency of 118, a mode of 3, indicating </w:t>
      </w:r>
      <w:r>
        <w:rPr>
          <w:rFonts w:ascii="Arial" w:hAnsi="Arial" w:cs="Arial"/>
          <w:lang w:val="en-PH"/>
        </w:rPr>
        <w:t>“</w:t>
      </w:r>
      <w:r w:rsidRPr="00E217F1">
        <w:rPr>
          <w:rFonts w:ascii="Arial" w:hAnsi="Arial" w:cs="Arial"/>
          <w:lang w:val="en-PH"/>
        </w:rPr>
        <w:t>slightly affects</w:t>
      </w:r>
      <w:r>
        <w:rPr>
          <w:rFonts w:ascii="Arial" w:hAnsi="Arial" w:cs="Arial"/>
          <w:lang w:val="en-PH"/>
        </w:rPr>
        <w:t>”</w:t>
      </w:r>
      <w:r w:rsidRPr="00E217F1">
        <w:rPr>
          <w:rFonts w:ascii="Arial" w:hAnsi="Arial" w:cs="Arial"/>
          <w:lang w:val="en-PH"/>
        </w:rPr>
        <w:t xml:space="preserve"> and highlighting its role in influencing students' decisions. Conversely, teacher factor ranks lowest with a total frequency of 120, mode of 1, indicating </w:t>
      </w:r>
      <w:r>
        <w:rPr>
          <w:rFonts w:ascii="Arial" w:hAnsi="Arial" w:cs="Arial"/>
          <w:lang w:val="en-PH"/>
        </w:rPr>
        <w:t>“</w:t>
      </w:r>
      <w:r w:rsidRPr="00E217F1">
        <w:rPr>
          <w:rFonts w:ascii="Arial" w:hAnsi="Arial" w:cs="Arial"/>
          <w:lang w:val="en-PH"/>
        </w:rPr>
        <w:t>does not have an effect</w:t>
      </w:r>
      <w:r>
        <w:rPr>
          <w:rFonts w:ascii="Arial" w:hAnsi="Arial" w:cs="Arial"/>
          <w:lang w:val="en-PH"/>
        </w:rPr>
        <w:t>”</w:t>
      </w:r>
      <w:r w:rsidRPr="00E217F1">
        <w:rPr>
          <w:rFonts w:ascii="Arial" w:hAnsi="Arial" w:cs="Arial"/>
          <w:lang w:val="en-PH"/>
        </w:rPr>
        <w:t xml:space="preserve"> on the decisions, it implies that some students show satisfaction on the quality of teaching, expertise of their teachers in ACP, felt the guidance, support and encouragement of their teacher. In summary, these findings underscore the importance of student confidence, </w:t>
      </w:r>
      <w:r w:rsidR="00636397">
        <w:rPr>
          <w:rFonts w:ascii="Arial" w:hAnsi="Arial" w:cs="Arial"/>
          <w:lang w:val="en-PH"/>
        </w:rPr>
        <w:t xml:space="preserve">a </w:t>
      </w:r>
      <w:r w:rsidRPr="00E217F1">
        <w:rPr>
          <w:rFonts w:ascii="Arial" w:hAnsi="Arial" w:cs="Arial"/>
          <w:lang w:val="en-PH"/>
        </w:rPr>
        <w:t>conducive learning environment</w:t>
      </w:r>
      <w:r w:rsidR="00636397">
        <w:rPr>
          <w:rFonts w:ascii="Arial" w:hAnsi="Arial" w:cs="Arial"/>
          <w:lang w:val="en-PH"/>
        </w:rPr>
        <w:t>,</w:t>
      </w:r>
      <w:r w:rsidRPr="00E217F1">
        <w:rPr>
          <w:rFonts w:ascii="Arial" w:hAnsi="Arial" w:cs="Arial"/>
          <w:lang w:val="en-PH"/>
        </w:rPr>
        <w:t xml:space="preserve"> and family support in decision-making, while also signaling the need for enhanced teacher involvement to support all the student certification decisions. </w:t>
      </w:r>
      <w:r w:rsidR="00D07168" w:rsidRPr="00D07168">
        <w:rPr>
          <w:rFonts w:ascii="Arial" w:hAnsi="Arial" w:cs="Arial"/>
        </w:rPr>
        <w:t>Similar findings were reported in a recent study, where students’ interest and awareness in agriculture were closely linked to hands-on experiences and school-based initiatives, which significantly influenced their motivation to pursue agricultural-related competencies (</w:t>
      </w:r>
      <w:proofErr w:type="spellStart"/>
      <w:r w:rsidR="00D07168" w:rsidRPr="00D07168">
        <w:rPr>
          <w:rFonts w:ascii="Arial" w:hAnsi="Arial" w:cs="Arial"/>
        </w:rPr>
        <w:t>Bisenio</w:t>
      </w:r>
      <w:proofErr w:type="spellEnd"/>
      <w:r w:rsidR="00D07168">
        <w:rPr>
          <w:rFonts w:ascii="Arial" w:hAnsi="Arial" w:cs="Arial"/>
        </w:rPr>
        <w:t xml:space="preserve"> et al., </w:t>
      </w:r>
      <w:r w:rsidR="00D07168" w:rsidRPr="00D07168">
        <w:rPr>
          <w:rFonts w:ascii="Arial" w:hAnsi="Arial" w:cs="Arial"/>
        </w:rPr>
        <w:t>2025).</w:t>
      </w:r>
      <w:r w:rsidR="00D07168">
        <w:rPr>
          <w:rFonts w:ascii="Arial" w:hAnsi="Arial" w:cs="Arial"/>
          <w:lang w:val="en-PH"/>
        </w:rPr>
        <w:t xml:space="preserve"> Also, </w:t>
      </w:r>
      <w:r w:rsidR="00636397">
        <w:rPr>
          <w:rFonts w:ascii="Arial" w:hAnsi="Arial" w:cs="Arial"/>
          <w:lang w:val="en-PH"/>
        </w:rPr>
        <w:t>this</w:t>
      </w:r>
      <w:r w:rsidRPr="00E217F1">
        <w:rPr>
          <w:rFonts w:ascii="Arial" w:hAnsi="Arial" w:cs="Arial"/>
          <w:lang w:val="en-PH"/>
        </w:rPr>
        <w:t xml:space="preserve"> finding can be linked to the study of </w:t>
      </w:r>
      <w:proofErr w:type="spellStart"/>
      <w:r w:rsidRPr="00E217F1">
        <w:rPr>
          <w:rFonts w:ascii="Arial" w:hAnsi="Arial" w:cs="Arial"/>
          <w:lang w:val="en-PH"/>
        </w:rPr>
        <w:t>Wernersbach</w:t>
      </w:r>
      <w:proofErr w:type="spellEnd"/>
      <w:r w:rsidRPr="00E217F1">
        <w:rPr>
          <w:rFonts w:ascii="Arial" w:hAnsi="Arial" w:cs="Arial"/>
          <w:lang w:val="en-PH"/>
        </w:rPr>
        <w:t xml:space="preserve"> (2011), where it was demonstrated</w:t>
      </w:r>
      <w:r w:rsidR="00636397">
        <w:rPr>
          <w:rFonts w:ascii="Arial" w:hAnsi="Arial" w:cs="Arial"/>
          <w:lang w:val="en-PH"/>
        </w:rPr>
        <w:t xml:space="preserve"> in her study</w:t>
      </w:r>
      <w:r w:rsidRPr="00E217F1">
        <w:rPr>
          <w:rFonts w:ascii="Arial" w:hAnsi="Arial" w:cs="Arial"/>
          <w:lang w:val="en-PH"/>
        </w:rPr>
        <w:t xml:space="preserve"> the impact of study skills courses and preparedness on academic self-efficacy that students identified as academically underprepare</w:t>
      </w:r>
      <w:r>
        <w:rPr>
          <w:rFonts w:ascii="Arial" w:hAnsi="Arial" w:cs="Arial"/>
          <w:lang w:val="en-PH"/>
        </w:rPr>
        <w:t xml:space="preserve">d and </w:t>
      </w:r>
      <w:r w:rsidRPr="00E217F1">
        <w:rPr>
          <w:rFonts w:ascii="Arial" w:hAnsi="Arial" w:cs="Arial"/>
          <w:lang w:val="en-PH"/>
        </w:rPr>
        <w:t xml:space="preserve">exhibited lower levels of skill and academic self-efficacy compared to their well-prepared counterparts. This conclusion aligns with </w:t>
      </w:r>
      <w:r w:rsidRPr="00C21BD5">
        <w:rPr>
          <w:rFonts w:ascii="Arial" w:hAnsi="Arial" w:cs="Arial"/>
        </w:rPr>
        <w:t xml:space="preserve">Hinduja et al. </w:t>
      </w:r>
      <w:r>
        <w:rPr>
          <w:rFonts w:ascii="Arial" w:hAnsi="Arial" w:cs="Arial"/>
        </w:rPr>
        <w:t>(</w:t>
      </w:r>
      <w:r w:rsidRPr="00C21BD5">
        <w:rPr>
          <w:rFonts w:ascii="Arial" w:hAnsi="Arial" w:cs="Arial"/>
        </w:rPr>
        <w:t>2024</w:t>
      </w:r>
      <w:r>
        <w:rPr>
          <w:rFonts w:ascii="Arial" w:hAnsi="Arial" w:cs="Arial"/>
        </w:rPr>
        <w:t>)</w:t>
      </w:r>
      <w:r w:rsidRPr="00E217F1">
        <w:rPr>
          <w:rFonts w:ascii="Arial" w:hAnsi="Arial" w:cs="Arial"/>
          <w:lang w:val="en-PH"/>
        </w:rPr>
        <w:t xml:space="preserve">, whose research revealed that students believed they would develop high levels of academic self-efficacy when encouraged to cultivate self-discipline, manage, and plan their time effectively, and receive guidance and support from fellow students, parents, and teachers. Also, classroom and laboratory resources can be supported by the study of </w:t>
      </w:r>
      <w:proofErr w:type="spellStart"/>
      <w:r w:rsidRPr="00C21BD5">
        <w:rPr>
          <w:rFonts w:ascii="Arial" w:hAnsi="Arial" w:cs="Arial"/>
        </w:rPr>
        <w:t>Akinfolarin</w:t>
      </w:r>
      <w:proofErr w:type="spellEnd"/>
      <w:r w:rsidRPr="00C21BD5">
        <w:rPr>
          <w:rFonts w:ascii="Arial" w:hAnsi="Arial" w:cs="Arial"/>
        </w:rPr>
        <w:t>, C. A. (2015)</w:t>
      </w:r>
      <w:r w:rsidRPr="00E217F1">
        <w:rPr>
          <w:rFonts w:ascii="Arial" w:hAnsi="Arial" w:cs="Arial"/>
          <w:lang w:val="en-PH"/>
        </w:rPr>
        <w:t xml:space="preserve">, where he emphasized the crucial role of physical facilities. Also, a study </w:t>
      </w:r>
      <w:r w:rsidR="00636397">
        <w:rPr>
          <w:rFonts w:ascii="Arial" w:hAnsi="Arial" w:cs="Arial"/>
          <w:lang w:val="en-PH"/>
        </w:rPr>
        <w:t>by</w:t>
      </w:r>
      <w:r w:rsidRPr="00E217F1">
        <w:rPr>
          <w:rFonts w:ascii="Arial" w:hAnsi="Arial" w:cs="Arial"/>
          <w:lang w:val="en-PH"/>
        </w:rPr>
        <w:t xml:space="preserve"> </w:t>
      </w:r>
      <w:proofErr w:type="spellStart"/>
      <w:r w:rsidRPr="00E217F1">
        <w:rPr>
          <w:rFonts w:ascii="Arial" w:hAnsi="Arial" w:cs="Arial"/>
          <w:lang w:val="en-PH"/>
        </w:rPr>
        <w:t>Rugutt</w:t>
      </w:r>
      <w:proofErr w:type="spellEnd"/>
      <w:r w:rsidRPr="00E217F1">
        <w:rPr>
          <w:rFonts w:ascii="Arial" w:hAnsi="Arial" w:cs="Arial"/>
          <w:lang w:val="en-PH"/>
        </w:rPr>
        <w:t xml:space="preserve"> et al. (2005) investigated students' perceptions regarding various aspects of teaching and learning, including the quality of instruction, available resources, and the learning environment, suggesting these factors are essential for improving teaching and learning outcomes. Finally, Adesola (2005) discovered that the availability of resources positively impacts teachers' effectiveness, reflecting their dedication to delivering lessons effectively. And for </w:t>
      </w:r>
      <w:r w:rsidR="00636397">
        <w:rPr>
          <w:rFonts w:ascii="Arial" w:hAnsi="Arial" w:cs="Arial"/>
          <w:lang w:val="en-PH"/>
        </w:rPr>
        <w:t xml:space="preserve">the </w:t>
      </w:r>
      <w:r w:rsidRPr="00E217F1">
        <w:rPr>
          <w:rFonts w:ascii="Arial" w:hAnsi="Arial" w:cs="Arial"/>
          <w:lang w:val="en-PH"/>
        </w:rPr>
        <w:t>family factor</w:t>
      </w:r>
      <w:r w:rsidR="00636397">
        <w:rPr>
          <w:rFonts w:ascii="Arial" w:hAnsi="Arial" w:cs="Arial"/>
          <w:lang w:val="en-PH"/>
        </w:rPr>
        <w:t>,</w:t>
      </w:r>
      <w:r w:rsidRPr="00E217F1">
        <w:rPr>
          <w:rFonts w:ascii="Arial" w:hAnsi="Arial" w:cs="Arial"/>
          <w:lang w:val="en-PH"/>
        </w:rPr>
        <w:t xml:space="preserve"> this finding is consistent with the research conducted by Hui and Lent (2018) regarding the career interests and objectives of Asian American college students. Their study emphasizes </w:t>
      </w:r>
      <w:r w:rsidRPr="00E217F1">
        <w:rPr>
          <w:rFonts w:ascii="Arial" w:hAnsi="Arial" w:cs="Arial"/>
          <w:lang w:val="en-PH"/>
        </w:rPr>
        <w:lastRenderedPageBreak/>
        <w:t xml:space="preserve">the substantial influence of familial and cultural influences on the process of career development. </w:t>
      </w:r>
    </w:p>
    <w:p w14:paraId="130F5E64" w14:textId="77777777" w:rsidR="00FB555E" w:rsidRPr="00E217F1" w:rsidRDefault="00FB555E" w:rsidP="00FB555E">
      <w:pPr>
        <w:pStyle w:val="Body"/>
        <w:rPr>
          <w:rFonts w:ascii="Arial" w:hAnsi="Arial" w:cs="Arial"/>
          <w:b/>
          <w:lang w:val="en-PH"/>
        </w:rPr>
      </w:pPr>
      <w:r>
        <w:rPr>
          <w:rFonts w:ascii="Arial" w:hAnsi="Arial" w:cs="Arial"/>
          <w:b/>
          <w:lang w:val="en-PH"/>
        </w:rPr>
        <w:t xml:space="preserve">3.2 </w:t>
      </w:r>
      <w:r w:rsidRPr="00E217F1">
        <w:rPr>
          <w:rFonts w:ascii="Arial" w:hAnsi="Arial" w:cs="Arial"/>
          <w:b/>
          <w:lang w:val="en-PH"/>
        </w:rPr>
        <w:t>School intervention program for SHS Agricultural Crop Production students</w:t>
      </w:r>
    </w:p>
    <w:p w14:paraId="4FA4EF21" w14:textId="709BACD2" w:rsidR="00FB555E" w:rsidRPr="00E217F1" w:rsidRDefault="00FB555E" w:rsidP="00FB555E">
      <w:pPr>
        <w:pStyle w:val="Body"/>
        <w:rPr>
          <w:rFonts w:ascii="Arial" w:hAnsi="Arial" w:cs="Arial"/>
          <w:bCs/>
          <w:lang w:val="en-PH"/>
        </w:rPr>
      </w:pPr>
      <w:r w:rsidRPr="00E217F1">
        <w:rPr>
          <w:rFonts w:ascii="Arial" w:hAnsi="Arial" w:cs="Arial"/>
          <w:bCs/>
          <w:lang w:val="en-PH"/>
        </w:rPr>
        <w:t xml:space="preserve">The intervention program was developed based on the data gathered </w:t>
      </w:r>
      <w:r w:rsidR="00636397">
        <w:rPr>
          <w:rFonts w:ascii="Arial" w:hAnsi="Arial" w:cs="Arial"/>
          <w:bCs/>
          <w:lang w:val="en-PH"/>
        </w:rPr>
        <w:t>from</w:t>
      </w:r>
      <w:r w:rsidRPr="00E217F1">
        <w:rPr>
          <w:rFonts w:ascii="Arial" w:hAnsi="Arial" w:cs="Arial"/>
          <w:bCs/>
          <w:lang w:val="en-PH"/>
        </w:rPr>
        <w:t xml:space="preserve"> one hundred fifteen (11</w:t>
      </w:r>
      <w:r w:rsidR="00636397">
        <w:rPr>
          <w:rFonts w:ascii="Arial" w:hAnsi="Arial" w:cs="Arial"/>
          <w:bCs/>
          <w:lang w:val="en-PH"/>
        </w:rPr>
        <w:t>2</w:t>
      </w:r>
      <w:r w:rsidRPr="00E217F1">
        <w:rPr>
          <w:rFonts w:ascii="Arial" w:hAnsi="Arial" w:cs="Arial"/>
          <w:bCs/>
          <w:lang w:val="en-PH"/>
        </w:rPr>
        <w:t xml:space="preserve">) grade 12 ACP in </w:t>
      </w:r>
      <w:r w:rsidR="00636397">
        <w:rPr>
          <w:rFonts w:ascii="Arial" w:hAnsi="Arial" w:cs="Arial"/>
          <w:bCs/>
          <w:lang w:val="en-PH"/>
        </w:rPr>
        <w:t xml:space="preserve">the </w:t>
      </w:r>
      <w:r w:rsidRPr="00E217F1">
        <w:rPr>
          <w:rFonts w:ascii="Arial" w:hAnsi="Arial" w:cs="Arial"/>
          <w:bCs/>
          <w:lang w:val="en-PH"/>
        </w:rPr>
        <w:t>third district</w:t>
      </w:r>
      <w:r w:rsidR="00636397">
        <w:rPr>
          <w:rFonts w:ascii="Arial" w:hAnsi="Arial" w:cs="Arial"/>
          <w:bCs/>
          <w:lang w:val="en-PH"/>
        </w:rPr>
        <w:t xml:space="preserve">, </w:t>
      </w:r>
      <w:r w:rsidRPr="00E217F1">
        <w:rPr>
          <w:rFonts w:ascii="Arial" w:hAnsi="Arial" w:cs="Arial"/>
          <w:bCs/>
          <w:lang w:val="en-PH"/>
        </w:rPr>
        <w:t>Division of Camarines Sur. From the data analysis</w:t>
      </w:r>
      <w:r w:rsidR="00636397">
        <w:rPr>
          <w:rFonts w:ascii="Arial" w:hAnsi="Arial" w:cs="Arial"/>
          <w:bCs/>
          <w:lang w:val="en-PH"/>
        </w:rPr>
        <w:t>,</w:t>
      </w:r>
      <w:r w:rsidRPr="00E217F1">
        <w:rPr>
          <w:rFonts w:ascii="Arial" w:hAnsi="Arial" w:cs="Arial"/>
          <w:bCs/>
          <w:lang w:val="en-PH"/>
        </w:rPr>
        <w:t xml:space="preserve"> it revealed that the top three (3) factors that affects students’ decision in taking </w:t>
      </w:r>
      <w:r w:rsidR="00636397">
        <w:rPr>
          <w:rFonts w:ascii="Arial" w:hAnsi="Arial" w:cs="Arial"/>
          <w:bCs/>
          <w:lang w:val="en-PH"/>
        </w:rPr>
        <w:t xml:space="preserve">the </w:t>
      </w:r>
      <w:r w:rsidRPr="00E217F1">
        <w:rPr>
          <w:rFonts w:ascii="Arial" w:hAnsi="Arial" w:cs="Arial"/>
          <w:bCs/>
          <w:lang w:val="en-PH"/>
        </w:rPr>
        <w:t xml:space="preserve">TESDA NC assessment for ACP are the following: a. preparedness on competencies assessment, b. classroom and laboratory room, and family. </w:t>
      </w:r>
      <w:r w:rsidRPr="00E217F1">
        <w:rPr>
          <w:rFonts w:ascii="Arial" w:hAnsi="Arial" w:cs="Arial"/>
          <w:lang w:val="en-PH"/>
        </w:rPr>
        <w:t>This intervention program is titled Pathway to Success: Senior High Schools’ TESDA Agricultural Crop Production NC II Certification Journey.</w:t>
      </w:r>
      <w:r w:rsidRPr="00E217F1">
        <w:rPr>
          <w:rFonts w:ascii="Arial" w:hAnsi="Arial" w:cs="Arial"/>
          <w:b/>
          <w:bCs/>
          <w:lang w:val="en-PH"/>
        </w:rPr>
        <w:t xml:space="preserve"> </w:t>
      </w:r>
      <w:r w:rsidRPr="00E217F1">
        <w:rPr>
          <w:rFonts w:ascii="Arial" w:hAnsi="Arial" w:cs="Arial"/>
          <w:lang w:val="en-PH"/>
        </w:rPr>
        <w:t xml:space="preserve">This program is anchored on the needs of the students for them to take the TESDA NC assessment for ACP. </w:t>
      </w:r>
    </w:p>
    <w:p w14:paraId="0576A5CD" w14:textId="77777777" w:rsidR="00FB555E" w:rsidRPr="00E217F1" w:rsidRDefault="00FB555E" w:rsidP="00FB555E">
      <w:pPr>
        <w:pStyle w:val="Body"/>
        <w:rPr>
          <w:rFonts w:ascii="Arial" w:hAnsi="Arial" w:cs="Arial"/>
          <w:b/>
          <w:lang w:val="en"/>
        </w:rPr>
      </w:pPr>
      <w:r>
        <w:rPr>
          <w:rFonts w:ascii="Arial" w:hAnsi="Arial" w:cs="Arial"/>
          <w:b/>
          <w:lang w:val="en"/>
        </w:rPr>
        <w:t xml:space="preserve">3.2.1 </w:t>
      </w:r>
      <w:r w:rsidRPr="00E217F1">
        <w:rPr>
          <w:rFonts w:ascii="Arial" w:hAnsi="Arial" w:cs="Arial"/>
          <w:b/>
          <w:lang w:val="en"/>
        </w:rPr>
        <w:t>Short Refresher Course for Agricultural Crop Production NC II</w:t>
      </w:r>
    </w:p>
    <w:p w14:paraId="33C350A9" w14:textId="0388F075" w:rsidR="00FB555E" w:rsidRPr="00E217F1" w:rsidRDefault="00FB555E" w:rsidP="00FB555E">
      <w:pPr>
        <w:pStyle w:val="Body"/>
        <w:rPr>
          <w:rFonts w:ascii="Arial" w:hAnsi="Arial" w:cs="Arial"/>
          <w:lang w:val="en-PH"/>
        </w:rPr>
      </w:pPr>
      <w:r w:rsidRPr="00E217F1">
        <w:rPr>
          <w:rFonts w:ascii="Arial" w:hAnsi="Arial" w:cs="Arial"/>
          <w:lang w:val="en-PH"/>
        </w:rPr>
        <w:t xml:space="preserve">Based on the result of </w:t>
      </w:r>
      <w:r w:rsidR="00636397">
        <w:rPr>
          <w:rFonts w:ascii="Arial" w:hAnsi="Arial" w:cs="Arial"/>
          <w:lang w:val="en-PH"/>
        </w:rPr>
        <w:t xml:space="preserve">the </w:t>
      </w:r>
      <w:r w:rsidRPr="00E217F1">
        <w:rPr>
          <w:rFonts w:ascii="Arial" w:hAnsi="Arial" w:cs="Arial"/>
          <w:lang w:val="en-PH"/>
        </w:rPr>
        <w:t xml:space="preserve">analysis, preparedness of students on competencies assessment ranks one (1) as the </w:t>
      </w:r>
      <w:r w:rsidR="00636397">
        <w:rPr>
          <w:rFonts w:ascii="Arial" w:hAnsi="Arial" w:cs="Arial"/>
          <w:lang w:val="en-PH"/>
        </w:rPr>
        <w:t>factor</w:t>
      </w:r>
      <w:r w:rsidRPr="00E217F1">
        <w:rPr>
          <w:rFonts w:ascii="Arial" w:hAnsi="Arial" w:cs="Arial"/>
          <w:lang w:val="en-PH"/>
        </w:rPr>
        <w:t xml:space="preserve"> that affects their decision to take </w:t>
      </w:r>
      <w:r w:rsidR="00636397">
        <w:rPr>
          <w:rFonts w:ascii="Arial" w:hAnsi="Arial" w:cs="Arial"/>
          <w:lang w:val="en-PH"/>
        </w:rPr>
        <w:t xml:space="preserve">the </w:t>
      </w:r>
      <w:r w:rsidRPr="00E217F1">
        <w:rPr>
          <w:rFonts w:ascii="Arial" w:hAnsi="Arial" w:cs="Arial"/>
          <w:lang w:val="en-PH"/>
        </w:rPr>
        <w:t xml:space="preserve">TESDA NC assessment for ACP. To review and prepare students, and help them in strengthening their understanding, skills and confidence, to focus on the key competencies required for Agricultural Crops Production NC II assessment, and to review the benefits and opportunities of having TESDA NC certification, the needed documentary requirements and filing process a two-week short refresher course for ACP NC II was proposed. According to Colman 2023 a refresher training courses are designed to take learners back to basics so they can review fundamentals they may have forgotten or </w:t>
      </w:r>
      <w:r w:rsidR="00636397">
        <w:rPr>
          <w:rFonts w:ascii="Arial" w:hAnsi="Arial" w:cs="Arial"/>
          <w:lang w:val="en-PH"/>
        </w:rPr>
        <w:t>upskill</w:t>
      </w:r>
      <w:r w:rsidRPr="00E217F1">
        <w:rPr>
          <w:rFonts w:ascii="Arial" w:hAnsi="Arial" w:cs="Arial"/>
          <w:lang w:val="en-PH"/>
        </w:rPr>
        <w:t xml:space="preserve"> on new information they may be unaware of. Also emphasized that refresher training is a retraining in a subject to refresh memory and make sure knowledge is up to date. The University Grant Commission Bahadur Shah Zafar Marg </w:t>
      </w:r>
      <w:r>
        <w:rPr>
          <w:rFonts w:ascii="Arial" w:hAnsi="Arial" w:cs="Arial"/>
          <w:lang w:val="en-PH"/>
        </w:rPr>
        <w:t xml:space="preserve">in </w:t>
      </w:r>
      <w:r w:rsidRPr="00335ED9">
        <w:rPr>
          <w:rFonts w:ascii="Arial" w:hAnsi="Arial" w:cs="Arial"/>
          <w:lang w:val="en-PH"/>
        </w:rPr>
        <w:t>New Delh</w:t>
      </w:r>
      <w:r>
        <w:rPr>
          <w:rFonts w:ascii="Arial" w:hAnsi="Arial" w:cs="Arial"/>
          <w:lang w:val="en-PH"/>
        </w:rPr>
        <w:t xml:space="preserve">i, mentioned in 2019 that the duration of a refresher course will be two weeks, consisting of a minimum of twelve (12) working days and seventy-two (72) contact hours (six hours per day, six days a week), excluding Sundays. </w:t>
      </w:r>
    </w:p>
    <w:p w14:paraId="66FA3D28" w14:textId="77777777" w:rsidR="00FB555E" w:rsidRPr="00E217F1" w:rsidRDefault="00FB555E" w:rsidP="00FB555E">
      <w:pPr>
        <w:pStyle w:val="Body"/>
        <w:rPr>
          <w:rFonts w:ascii="Arial" w:hAnsi="Arial" w:cs="Arial"/>
          <w:b/>
          <w:lang w:val="en"/>
        </w:rPr>
      </w:pPr>
      <w:r>
        <w:rPr>
          <w:rFonts w:ascii="Arial" w:hAnsi="Arial" w:cs="Arial"/>
          <w:b/>
          <w:lang w:val="en"/>
        </w:rPr>
        <w:t xml:space="preserve">3.2.2 </w:t>
      </w:r>
      <w:r w:rsidRPr="00E217F1">
        <w:rPr>
          <w:rFonts w:ascii="Arial" w:hAnsi="Arial" w:cs="Arial"/>
          <w:b/>
          <w:lang w:val="en"/>
        </w:rPr>
        <w:t>Support and Linkages</w:t>
      </w:r>
    </w:p>
    <w:p w14:paraId="2909189A" w14:textId="58D82A16" w:rsidR="00FB555E" w:rsidRPr="00E217F1" w:rsidRDefault="00FB555E" w:rsidP="00FB555E">
      <w:pPr>
        <w:pStyle w:val="Body"/>
        <w:rPr>
          <w:rFonts w:ascii="Arial" w:hAnsi="Arial" w:cs="Arial"/>
          <w:bCs/>
          <w:lang w:val="en"/>
        </w:rPr>
      </w:pPr>
      <w:r w:rsidRPr="00E217F1">
        <w:rPr>
          <w:rFonts w:ascii="Arial" w:hAnsi="Arial" w:cs="Arial"/>
          <w:bCs/>
          <w:lang w:val="en"/>
        </w:rPr>
        <w:t>Classroom and laboratory room ranks 2</w:t>
      </w:r>
      <w:r w:rsidRPr="00E217F1">
        <w:rPr>
          <w:rFonts w:ascii="Arial" w:hAnsi="Arial" w:cs="Arial"/>
          <w:bCs/>
          <w:vertAlign w:val="superscript"/>
          <w:lang w:val="en"/>
        </w:rPr>
        <w:t>nd</w:t>
      </w:r>
      <w:r w:rsidRPr="00E217F1">
        <w:rPr>
          <w:rFonts w:ascii="Arial" w:hAnsi="Arial" w:cs="Arial"/>
          <w:bCs/>
          <w:lang w:val="en"/>
        </w:rPr>
        <w:t xml:space="preserve"> as to the factors that affects students’ decision to take the TESDA NC assessment for ACP wherein the results emphasized the impact having enough resources and equipment for mastery of learning competencies, the result of learning of students on suitability of classroom and laboratory room, the importance of good ventilation in learning process and having conducive learning environment affect students. Therefore, since different schools experienced limited or no fund for ACP specialization support and linkages was proposed to</w:t>
      </w:r>
      <w:r w:rsidRPr="00E217F1">
        <w:rPr>
          <w:rFonts w:ascii="Arial" w:hAnsi="Arial" w:cs="Arial"/>
          <w:lang w:val="en"/>
        </w:rPr>
        <w:t xml:space="preserve"> forge partnerships with the local government agencies, NGO’s, businesses, community organizations, </w:t>
      </w:r>
      <w:r w:rsidR="00636397">
        <w:rPr>
          <w:rFonts w:ascii="Arial" w:hAnsi="Arial" w:cs="Arial"/>
          <w:lang w:val="en"/>
        </w:rPr>
        <w:t xml:space="preserve">and </w:t>
      </w:r>
      <w:r w:rsidRPr="00E217F1">
        <w:rPr>
          <w:rFonts w:ascii="Arial" w:hAnsi="Arial" w:cs="Arial"/>
          <w:lang w:val="en"/>
        </w:rPr>
        <w:t xml:space="preserve">School Parents Teacher Association (SPTA) to provide additional </w:t>
      </w:r>
      <w:r w:rsidR="00636397">
        <w:rPr>
          <w:rFonts w:ascii="Arial" w:hAnsi="Arial" w:cs="Arial"/>
          <w:lang w:val="en"/>
        </w:rPr>
        <w:t>support</w:t>
      </w:r>
      <w:r w:rsidRPr="00E217F1">
        <w:rPr>
          <w:rFonts w:ascii="Arial" w:hAnsi="Arial" w:cs="Arial"/>
          <w:lang w:val="en"/>
        </w:rPr>
        <w:t xml:space="preserve"> for </w:t>
      </w:r>
      <w:r w:rsidR="00636397">
        <w:rPr>
          <w:rFonts w:ascii="Arial" w:hAnsi="Arial" w:cs="Arial"/>
          <w:lang w:val="en"/>
        </w:rPr>
        <w:t>students’</w:t>
      </w:r>
      <w:r w:rsidRPr="00E217F1">
        <w:rPr>
          <w:rFonts w:ascii="Arial" w:hAnsi="Arial" w:cs="Arial"/>
          <w:lang w:val="en"/>
        </w:rPr>
        <w:t xml:space="preserve"> needs and expenses.</w:t>
      </w:r>
    </w:p>
    <w:p w14:paraId="5D018317" w14:textId="77777777" w:rsidR="00FB555E" w:rsidRPr="00E217F1" w:rsidRDefault="00FB555E" w:rsidP="00FB555E">
      <w:pPr>
        <w:pStyle w:val="Body"/>
        <w:rPr>
          <w:rFonts w:ascii="Arial" w:hAnsi="Arial" w:cs="Arial"/>
          <w:b/>
          <w:lang w:val="en"/>
        </w:rPr>
      </w:pPr>
      <w:r>
        <w:rPr>
          <w:rFonts w:ascii="Arial" w:hAnsi="Arial" w:cs="Arial"/>
          <w:b/>
          <w:lang w:val="en"/>
        </w:rPr>
        <w:t xml:space="preserve">3.2.3 </w:t>
      </w:r>
      <w:r w:rsidRPr="00E217F1">
        <w:rPr>
          <w:rFonts w:ascii="Arial" w:hAnsi="Arial" w:cs="Arial"/>
          <w:b/>
          <w:lang w:val="en"/>
        </w:rPr>
        <w:t>Vegetable Garden for Financial Support</w:t>
      </w:r>
    </w:p>
    <w:p w14:paraId="1E0EFD92" w14:textId="77777777" w:rsidR="00FB555E" w:rsidRPr="00E217F1" w:rsidRDefault="00FB555E" w:rsidP="00FB555E">
      <w:pPr>
        <w:pStyle w:val="Body"/>
        <w:rPr>
          <w:rFonts w:ascii="Arial" w:hAnsi="Arial" w:cs="Arial"/>
          <w:lang w:val="en"/>
        </w:rPr>
      </w:pPr>
      <w:r w:rsidRPr="00E217F1">
        <w:rPr>
          <w:rFonts w:ascii="Arial" w:hAnsi="Arial" w:cs="Arial"/>
          <w:bCs/>
          <w:lang w:val="en"/>
        </w:rPr>
        <w:t>Family factors rank 3 as to the factors that affects students’ decision in taking TESDA NC assessment for ACP the result shows that</w:t>
      </w:r>
      <w:r w:rsidRPr="00E217F1">
        <w:rPr>
          <w:rFonts w:ascii="Arial" w:hAnsi="Arial" w:cs="Arial"/>
          <w:lang w:val="en"/>
        </w:rPr>
        <w:t xml:space="preserve"> financial capability and the stability of occupation of their family to provide the expenses needed in taking TESDA NC assessment one of the constraints of the students’ decision in taking TESDA NC assessment on ACP. That is why vegetable garden for financial support was proposed as one of the strategic interventions to establish a sustainable vegetable garden within the school premises that will serve as training ground and gain fund that will be allocated to TESDA NC assessment, travel </w:t>
      </w:r>
      <w:r w:rsidRPr="00E217F1">
        <w:rPr>
          <w:rFonts w:ascii="Arial" w:hAnsi="Arial" w:cs="Arial"/>
          <w:lang w:val="en"/>
        </w:rPr>
        <w:lastRenderedPageBreak/>
        <w:t>expenses, and other related costs with the involvement parents and students in growing and selling produced so that they will appreciate and see the value of agriculture.</w:t>
      </w:r>
    </w:p>
    <w:p w14:paraId="40229950" w14:textId="77777777" w:rsidR="00FB555E" w:rsidRDefault="00FB555E" w:rsidP="00FB555E">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A6072A6" w14:textId="77777777" w:rsidR="00FB555E" w:rsidRPr="00FB3A86" w:rsidRDefault="00FB555E" w:rsidP="00FB555E">
      <w:pPr>
        <w:pStyle w:val="ConcHead"/>
        <w:spacing w:after="0"/>
        <w:jc w:val="both"/>
        <w:rPr>
          <w:rFonts w:ascii="Arial" w:hAnsi="Arial" w:cs="Arial"/>
        </w:rPr>
      </w:pPr>
    </w:p>
    <w:p w14:paraId="311B02F4" w14:textId="2A5D974C" w:rsidR="00FB555E" w:rsidRDefault="00FB555E" w:rsidP="00FB555E">
      <w:pPr>
        <w:pStyle w:val="Body"/>
        <w:rPr>
          <w:rFonts w:ascii="Arial" w:hAnsi="Arial" w:cs="Arial"/>
          <w:lang w:val="en"/>
        </w:rPr>
      </w:pPr>
      <w:r w:rsidRPr="008E7D1E">
        <w:rPr>
          <w:rFonts w:ascii="Arial" w:hAnsi="Arial" w:cs="Arial"/>
          <w:lang w:val="en"/>
        </w:rPr>
        <w:t xml:space="preserve">In conclusion, the findings showed the preparedness on the competencies assessment particularly on planting crop competency, classroom and laboratory room particularly ventilation and family financial status, and occupation are pivotal in shaping students' decisions regarding the TESDA National Certificate Assessment for Agricultural Crop Production, as indicated by their highest ranking with a mode of 4. Understanding the significant impact of these factors, it becomes crucial for schools to actively address the needs of the students in terms of their preparedness, providing students </w:t>
      </w:r>
      <w:r w:rsidR="00636397">
        <w:rPr>
          <w:rFonts w:ascii="Arial" w:hAnsi="Arial" w:cs="Arial"/>
          <w:lang w:val="en"/>
        </w:rPr>
        <w:t>with</w:t>
      </w:r>
      <w:r w:rsidRPr="008E7D1E">
        <w:rPr>
          <w:rFonts w:ascii="Arial" w:hAnsi="Arial" w:cs="Arial"/>
          <w:lang w:val="en"/>
        </w:rPr>
        <w:t xml:space="preserve"> </w:t>
      </w:r>
      <w:r w:rsidR="00636397">
        <w:rPr>
          <w:rFonts w:ascii="Arial" w:hAnsi="Arial" w:cs="Arial"/>
          <w:lang w:val="en"/>
        </w:rPr>
        <w:t xml:space="preserve">a </w:t>
      </w:r>
      <w:r w:rsidRPr="008E7D1E">
        <w:rPr>
          <w:rFonts w:ascii="Arial" w:hAnsi="Arial" w:cs="Arial"/>
          <w:lang w:val="en"/>
        </w:rPr>
        <w:t xml:space="preserve">conducive learning environment, and </w:t>
      </w:r>
      <w:r w:rsidR="00636397">
        <w:rPr>
          <w:rFonts w:ascii="Arial" w:hAnsi="Arial" w:cs="Arial"/>
          <w:lang w:val="en"/>
        </w:rPr>
        <w:t xml:space="preserve">the </w:t>
      </w:r>
      <w:r w:rsidRPr="008E7D1E">
        <w:rPr>
          <w:rFonts w:ascii="Arial" w:hAnsi="Arial" w:cs="Arial"/>
          <w:lang w:val="en"/>
        </w:rPr>
        <w:t xml:space="preserve">financial challenges faced by families. </w:t>
      </w:r>
    </w:p>
    <w:p w14:paraId="744D0A67" w14:textId="1132E27A" w:rsidR="00FB555E" w:rsidRPr="00E217F1" w:rsidRDefault="00FB555E" w:rsidP="00FB555E">
      <w:pPr>
        <w:pStyle w:val="Body"/>
      </w:pPr>
      <w:r>
        <w:rPr>
          <w:rFonts w:ascii="Arial" w:hAnsi="Arial" w:cs="Arial"/>
          <w:lang w:val="en"/>
        </w:rPr>
        <w:t xml:space="preserve">Furthermore, </w:t>
      </w:r>
      <w:r>
        <w:t>t</w:t>
      </w:r>
      <w:r w:rsidRPr="008E7D1E">
        <w:t xml:space="preserve">he intervention program titled "Pathway to Success: Senior High Schools’ TESDA Agricultural Crop Production NC II Certification Journey” was developed based on the needs of the </w:t>
      </w:r>
      <w:r w:rsidR="00636397">
        <w:t>students</w:t>
      </w:r>
      <w:r w:rsidRPr="008E7D1E">
        <w:t xml:space="preserve">. This program aims to encourage learners to obtain the TESDA National Certification, increase the number of students taking the assessment, and empower them through a holistic support system. </w:t>
      </w:r>
      <w:r w:rsidR="0098733A" w:rsidRPr="0098733A">
        <w:t>However, this study was limited to Grade 12 ACP NC II students in the third district of the Division of Camarines Sur, so the findings may not fully represent other districts or specializations. Data were also based on self-reports and interviews, which may involve personal bias.</w:t>
      </w:r>
      <w:r w:rsidR="0098733A">
        <w:t xml:space="preserve"> </w:t>
      </w:r>
      <w:r w:rsidRPr="008E7D1E">
        <w:t xml:space="preserve">The </w:t>
      </w:r>
      <w:r w:rsidR="0098733A">
        <w:t xml:space="preserve">proposed intervention </w:t>
      </w:r>
      <w:r w:rsidRPr="008E7D1E">
        <w:t>program includes strategic interventions such as orientations, workshops, financial support initiatives, and recognition ceremonies, ensuring comprehensive support for students.</w:t>
      </w:r>
    </w:p>
    <w:p w14:paraId="4A95015C" w14:textId="77777777" w:rsidR="00FB555E" w:rsidRDefault="00FB555E" w:rsidP="00FB555E">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1620E7F" w14:textId="77777777" w:rsidR="00FB555E" w:rsidRDefault="00FB555E" w:rsidP="00FB555E">
      <w:pPr>
        <w:pStyle w:val="ReferHead"/>
        <w:spacing w:after="0"/>
        <w:jc w:val="both"/>
        <w:rPr>
          <w:rFonts w:ascii="Arial" w:hAnsi="Arial" w:cs="Arial"/>
          <w:b w:val="0"/>
        </w:rPr>
      </w:pPr>
    </w:p>
    <w:p w14:paraId="39D30371" w14:textId="7E011F06" w:rsidR="00FB555E" w:rsidRDefault="00FB555E" w:rsidP="00FB555E">
      <w:pPr>
        <w:pStyle w:val="ReferHead"/>
        <w:spacing w:after="0"/>
        <w:jc w:val="both"/>
        <w:rPr>
          <w:rFonts w:ascii="Arial" w:hAnsi="Arial" w:cs="Arial"/>
          <w:b w:val="0"/>
          <w:caps w:val="0"/>
          <w:sz w:val="20"/>
        </w:rPr>
      </w:pPr>
      <w:r>
        <w:rPr>
          <w:rFonts w:ascii="Arial" w:hAnsi="Arial" w:cs="Arial"/>
          <w:b w:val="0"/>
          <w:caps w:val="0"/>
          <w:sz w:val="20"/>
        </w:rPr>
        <w:t xml:space="preserve">Informed consent was obtained from all the participants </w:t>
      </w:r>
      <w:r w:rsidR="00636397">
        <w:rPr>
          <w:rFonts w:ascii="Arial" w:hAnsi="Arial" w:cs="Arial"/>
          <w:b w:val="0"/>
          <w:caps w:val="0"/>
          <w:sz w:val="20"/>
        </w:rPr>
        <w:t>before</w:t>
      </w:r>
      <w:r>
        <w:rPr>
          <w:rFonts w:ascii="Arial" w:hAnsi="Arial" w:cs="Arial"/>
          <w:b w:val="0"/>
          <w:caps w:val="0"/>
          <w:sz w:val="20"/>
        </w:rPr>
        <w:t xml:space="preserve"> their involvement. Parental consent or consent from legal guardians was secured for participants below 18 years of age.  The objectives of the study were explained</w:t>
      </w:r>
      <w:r w:rsidR="00636397">
        <w:rPr>
          <w:rFonts w:ascii="Arial" w:hAnsi="Arial" w:cs="Arial"/>
          <w:b w:val="0"/>
          <w:caps w:val="0"/>
          <w:sz w:val="20"/>
        </w:rPr>
        <w:t>,</w:t>
      </w:r>
      <w:r>
        <w:rPr>
          <w:rFonts w:ascii="Arial" w:hAnsi="Arial" w:cs="Arial"/>
          <w:b w:val="0"/>
          <w:caps w:val="0"/>
          <w:sz w:val="20"/>
        </w:rPr>
        <w:t xml:space="preserve"> and that their participation was voluntary. All participants were assured of the confidentiality of their responses and that they </w:t>
      </w:r>
      <w:r w:rsidR="00636397">
        <w:rPr>
          <w:rFonts w:ascii="Arial" w:hAnsi="Arial" w:cs="Arial"/>
          <w:b w:val="0"/>
          <w:caps w:val="0"/>
          <w:sz w:val="20"/>
        </w:rPr>
        <w:t>had</w:t>
      </w:r>
      <w:r>
        <w:rPr>
          <w:rFonts w:ascii="Arial" w:hAnsi="Arial" w:cs="Arial"/>
          <w:b w:val="0"/>
          <w:caps w:val="0"/>
          <w:sz w:val="20"/>
        </w:rPr>
        <w:t xml:space="preserve"> the right to withdraw from participating at any point without any consequences. </w:t>
      </w:r>
    </w:p>
    <w:p w14:paraId="6F37CFB4" w14:textId="77777777" w:rsidR="00FB555E" w:rsidRDefault="00FB555E" w:rsidP="00FB555E">
      <w:pPr>
        <w:pStyle w:val="ReferHead"/>
        <w:spacing w:after="0"/>
        <w:jc w:val="both"/>
        <w:rPr>
          <w:rFonts w:ascii="Arial" w:hAnsi="Arial" w:cs="Arial"/>
          <w:b w:val="0"/>
          <w:caps w:val="0"/>
          <w:sz w:val="20"/>
        </w:rPr>
      </w:pPr>
    </w:p>
    <w:p w14:paraId="4B281B6F" w14:textId="77777777" w:rsidR="00FB555E" w:rsidRDefault="00FB555E" w:rsidP="00FB555E">
      <w:pPr>
        <w:pStyle w:val="ReferHead"/>
        <w:spacing w:after="0"/>
        <w:jc w:val="both"/>
        <w:rPr>
          <w:rFonts w:ascii="Arial" w:hAnsi="Arial" w:cs="Arial"/>
          <w:bCs/>
        </w:rPr>
      </w:pPr>
      <w:r>
        <w:rPr>
          <w:rFonts w:ascii="Arial" w:hAnsi="Arial" w:cs="Arial"/>
          <w:bCs/>
        </w:rPr>
        <w:t>Ethical approval</w:t>
      </w:r>
    </w:p>
    <w:p w14:paraId="5CB15281" w14:textId="77777777" w:rsidR="00FB555E" w:rsidRPr="002B685A" w:rsidRDefault="00FB555E" w:rsidP="00FB555E">
      <w:pPr>
        <w:pStyle w:val="ReferHead"/>
        <w:spacing w:after="0"/>
        <w:jc w:val="both"/>
        <w:rPr>
          <w:rFonts w:ascii="Arial" w:hAnsi="Arial" w:cs="Arial"/>
          <w:bCs/>
        </w:rPr>
      </w:pPr>
    </w:p>
    <w:p w14:paraId="19B70F42" w14:textId="7EA8DB03" w:rsidR="00FB555E" w:rsidRDefault="00FB555E" w:rsidP="00FB555E">
      <w:pPr>
        <w:pStyle w:val="ReferHead"/>
        <w:spacing w:after="0"/>
        <w:jc w:val="both"/>
        <w:rPr>
          <w:rFonts w:ascii="Arial" w:hAnsi="Arial" w:cs="Arial"/>
          <w:b w:val="0"/>
          <w:caps w:val="0"/>
          <w:sz w:val="20"/>
        </w:rPr>
      </w:pPr>
      <w:r>
        <w:rPr>
          <w:rFonts w:ascii="Arial" w:hAnsi="Arial" w:cs="Arial"/>
          <w:b w:val="0"/>
          <w:caps w:val="0"/>
          <w:sz w:val="20"/>
        </w:rPr>
        <w:t xml:space="preserve">This study was conducted </w:t>
      </w:r>
      <w:r w:rsidR="00636397">
        <w:rPr>
          <w:rFonts w:ascii="Arial" w:hAnsi="Arial" w:cs="Arial"/>
          <w:b w:val="0"/>
          <w:caps w:val="0"/>
          <w:sz w:val="20"/>
        </w:rPr>
        <w:t>following</w:t>
      </w:r>
      <w:r>
        <w:rPr>
          <w:rFonts w:ascii="Arial" w:hAnsi="Arial" w:cs="Arial"/>
          <w:b w:val="0"/>
          <w:caps w:val="0"/>
          <w:sz w:val="20"/>
        </w:rPr>
        <w:t xml:space="preserve"> the ethical principles </w:t>
      </w:r>
      <w:r w:rsidR="00636397">
        <w:rPr>
          <w:rFonts w:ascii="Arial" w:hAnsi="Arial" w:cs="Arial"/>
          <w:b w:val="0"/>
          <w:caps w:val="0"/>
          <w:sz w:val="20"/>
        </w:rPr>
        <w:t>outlined</w:t>
      </w:r>
      <w:r>
        <w:rPr>
          <w:rFonts w:ascii="Arial" w:hAnsi="Arial" w:cs="Arial"/>
          <w:b w:val="0"/>
          <w:caps w:val="0"/>
          <w:sz w:val="20"/>
        </w:rPr>
        <w:t xml:space="preserve"> in Republic Act No. 10173</w:t>
      </w:r>
      <w:r w:rsidR="00636397">
        <w:rPr>
          <w:rFonts w:ascii="Arial" w:hAnsi="Arial" w:cs="Arial"/>
          <w:b w:val="0"/>
          <w:caps w:val="0"/>
          <w:sz w:val="20"/>
        </w:rPr>
        <w:t>,</w:t>
      </w:r>
      <w:r>
        <w:rPr>
          <w:rFonts w:ascii="Arial" w:hAnsi="Arial" w:cs="Arial"/>
          <w:b w:val="0"/>
          <w:caps w:val="0"/>
          <w:sz w:val="20"/>
        </w:rPr>
        <w:t xml:space="preserve"> or the </w:t>
      </w:r>
      <w:r w:rsidR="00636397">
        <w:rPr>
          <w:rFonts w:ascii="Arial" w:hAnsi="Arial" w:cs="Arial"/>
          <w:b w:val="0"/>
          <w:caps w:val="0"/>
          <w:sz w:val="20"/>
        </w:rPr>
        <w:t>Philippines’</w:t>
      </w:r>
      <w:r>
        <w:rPr>
          <w:rFonts w:ascii="Arial" w:hAnsi="Arial" w:cs="Arial"/>
          <w:b w:val="0"/>
          <w:caps w:val="0"/>
          <w:sz w:val="20"/>
        </w:rPr>
        <w:t xml:space="preserve"> Data Privacy Act of 2012. Data collection ensured that all personal information is handled securely and will be used for research purposes only. </w:t>
      </w:r>
    </w:p>
    <w:p w14:paraId="4BF0E6B5" w14:textId="77777777" w:rsidR="00FB555E" w:rsidRDefault="00FB555E" w:rsidP="009A0DF2">
      <w:pPr>
        <w:rPr>
          <w:rFonts w:ascii="Calibri" w:eastAsia="Calibri" w:hAnsi="Calibri"/>
          <w:kern w:val="2"/>
          <w:highlight w:val="yellow"/>
        </w:rPr>
      </w:pPr>
    </w:p>
    <w:p w14:paraId="39DC496A" w14:textId="1B2740E2" w:rsidR="009A0DF2" w:rsidRPr="0098733A" w:rsidRDefault="009A0DF2" w:rsidP="009A0DF2">
      <w:pPr>
        <w:rPr>
          <w:rFonts w:ascii="Arial" w:eastAsia="Calibri" w:hAnsi="Arial" w:cs="Arial"/>
          <w:b/>
          <w:bCs/>
          <w:caps/>
          <w:kern w:val="2"/>
          <w:sz w:val="22"/>
          <w:szCs w:val="22"/>
        </w:rPr>
      </w:pPr>
      <w:r w:rsidRPr="0098733A">
        <w:rPr>
          <w:rFonts w:ascii="Arial" w:eastAsia="Calibri" w:hAnsi="Arial" w:cs="Arial"/>
          <w:b/>
          <w:bCs/>
          <w:caps/>
          <w:kern w:val="2"/>
          <w:sz w:val="22"/>
          <w:szCs w:val="22"/>
        </w:rPr>
        <w:t>Disclaimer (Artificial intelligence)</w:t>
      </w:r>
    </w:p>
    <w:p w14:paraId="2C10B954" w14:textId="77777777" w:rsidR="0098733A" w:rsidRDefault="0098733A" w:rsidP="0098733A">
      <w:pPr>
        <w:rPr>
          <w:rFonts w:ascii="Arial" w:eastAsia="Calibri" w:hAnsi="Arial" w:cs="Arial"/>
          <w:kern w:val="2"/>
        </w:rPr>
      </w:pPr>
    </w:p>
    <w:p w14:paraId="6FFA543D" w14:textId="6D1725C4" w:rsidR="00C21BD5" w:rsidRPr="0098733A" w:rsidRDefault="009A0DF2" w:rsidP="0098733A">
      <w:pPr>
        <w:rPr>
          <w:rFonts w:ascii="Arial" w:eastAsia="Calibri" w:hAnsi="Arial" w:cs="Arial"/>
          <w:kern w:val="2"/>
        </w:rPr>
      </w:pPr>
      <w:r w:rsidRPr="0098733A">
        <w:rPr>
          <w:rFonts w:ascii="Arial" w:eastAsia="Calibri" w:hAnsi="Arial" w:cs="Arial"/>
          <w:kern w:val="2"/>
        </w:rPr>
        <w:t xml:space="preserve">Author(s) hereby </w:t>
      </w:r>
      <w:proofErr w:type="gramStart"/>
      <w:r w:rsidRPr="0098733A">
        <w:rPr>
          <w:rFonts w:ascii="Arial" w:eastAsia="Calibri" w:hAnsi="Arial" w:cs="Arial"/>
          <w:kern w:val="2"/>
        </w:rPr>
        <w:t>declare</w:t>
      </w:r>
      <w:proofErr w:type="gramEnd"/>
      <w:r w:rsidRPr="0098733A">
        <w:rPr>
          <w:rFonts w:ascii="Arial" w:eastAsia="Calibri" w:hAnsi="Arial" w:cs="Arial"/>
          <w:kern w:val="2"/>
        </w:rPr>
        <w:t xml:space="preserve"> that NO generative AI technologies such as Large Language Models (</w:t>
      </w:r>
      <w:proofErr w:type="spellStart"/>
      <w:r w:rsidRPr="0098733A">
        <w:rPr>
          <w:rFonts w:ascii="Arial" w:eastAsia="Calibri" w:hAnsi="Arial" w:cs="Arial"/>
          <w:kern w:val="2"/>
        </w:rPr>
        <w:t>ChatGPT</w:t>
      </w:r>
      <w:proofErr w:type="spellEnd"/>
      <w:r w:rsidRPr="0098733A">
        <w:rPr>
          <w:rFonts w:ascii="Arial" w:eastAsia="Calibri" w:hAnsi="Arial" w:cs="Arial"/>
          <w:kern w:val="2"/>
        </w:rPr>
        <w:t xml:space="preserve">, COPILOT, etc.) and text-to-image generators have been used during the writing or editing of this manuscript. </w:t>
      </w:r>
      <w:bookmarkEnd w:id="0"/>
      <w:bookmarkEnd w:id="1"/>
      <w:bookmarkEnd w:id="2"/>
    </w:p>
    <w:p w14:paraId="29255345" w14:textId="77777777" w:rsidR="00FB555E" w:rsidRDefault="00FB555E" w:rsidP="00FB555E">
      <w:pPr>
        <w:pStyle w:val="ReferHead"/>
        <w:spacing w:after="0"/>
        <w:jc w:val="both"/>
        <w:rPr>
          <w:rFonts w:ascii="Arial" w:hAnsi="Arial" w:cs="Arial"/>
        </w:rPr>
      </w:pPr>
    </w:p>
    <w:p w14:paraId="29409FC5" w14:textId="0AD9FE60" w:rsidR="00FB555E" w:rsidRPr="00FB3A86" w:rsidRDefault="00FB555E" w:rsidP="00FB555E">
      <w:pPr>
        <w:pStyle w:val="ReferHead"/>
        <w:spacing w:after="0"/>
        <w:jc w:val="both"/>
        <w:rPr>
          <w:rFonts w:ascii="Arial" w:hAnsi="Arial" w:cs="Arial"/>
        </w:rPr>
      </w:pPr>
      <w:r w:rsidRPr="00FB3A86">
        <w:rPr>
          <w:rFonts w:ascii="Arial" w:hAnsi="Arial" w:cs="Arial"/>
        </w:rPr>
        <w:t>References</w:t>
      </w:r>
    </w:p>
    <w:p w14:paraId="588C05D7" w14:textId="77777777" w:rsidR="00317047" w:rsidRDefault="00317047" w:rsidP="00317047">
      <w:pPr>
        <w:rPr>
          <w:color w:val="000000" w:themeColor="text1"/>
          <w:lang w:val="en-GB"/>
        </w:rPr>
      </w:pPr>
    </w:p>
    <w:p w14:paraId="1C07B910" w14:textId="375F27F0" w:rsidR="00317047" w:rsidRPr="00317047" w:rsidRDefault="00317047" w:rsidP="00317047">
      <w:pPr>
        <w:rPr>
          <w:color w:val="000000" w:themeColor="text1"/>
          <w:lang w:val="en-GB"/>
        </w:rPr>
      </w:pPr>
      <w:proofErr w:type="spellStart"/>
      <w:r w:rsidRPr="00317047">
        <w:rPr>
          <w:color w:val="000000" w:themeColor="text1"/>
          <w:lang w:val="en-GB"/>
        </w:rPr>
        <w:t>Filgona</w:t>
      </w:r>
      <w:proofErr w:type="spellEnd"/>
      <w:r w:rsidRPr="00317047">
        <w:rPr>
          <w:color w:val="000000" w:themeColor="text1"/>
          <w:lang w:val="en-GB"/>
        </w:rPr>
        <w:t xml:space="preserve">, J., </w:t>
      </w:r>
      <w:proofErr w:type="spellStart"/>
      <w:r w:rsidRPr="00317047">
        <w:rPr>
          <w:color w:val="000000" w:themeColor="text1"/>
          <w:lang w:val="en-GB"/>
        </w:rPr>
        <w:t>Sakiyo</w:t>
      </w:r>
      <w:proofErr w:type="spellEnd"/>
      <w:r w:rsidRPr="00317047">
        <w:rPr>
          <w:color w:val="000000" w:themeColor="text1"/>
          <w:lang w:val="en-GB"/>
        </w:rPr>
        <w:t xml:space="preserve">, J., </w:t>
      </w:r>
      <w:proofErr w:type="spellStart"/>
      <w:r w:rsidRPr="00317047">
        <w:rPr>
          <w:color w:val="000000" w:themeColor="text1"/>
          <w:lang w:val="en-GB"/>
        </w:rPr>
        <w:t>Gwany</w:t>
      </w:r>
      <w:proofErr w:type="spellEnd"/>
      <w:r w:rsidRPr="00317047">
        <w:rPr>
          <w:color w:val="000000" w:themeColor="text1"/>
          <w:lang w:val="en-GB"/>
        </w:rPr>
        <w:t xml:space="preserve">, D. M., &amp; </w:t>
      </w:r>
      <w:proofErr w:type="spellStart"/>
      <w:r w:rsidRPr="00317047">
        <w:rPr>
          <w:color w:val="000000" w:themeColor="text1"/>
          <w:lang w:val="en-GB"/>
        </w:rPr>
        <w:t>Okoronka</w:t>
      </w:r>
      <w:proofErr w:type="spellEnd"/>
      <w:r w:rsidRPr="00317047">
        <w:rPr>
          <w:color w:val="000000" w:themeColor="text1"/>
          <w:lang w:val="en-GB"/>
        </w:rPr>
        <w:t>, A. U. (2020). Motivation in Learning. Asian Journal of Education and Social Studies, 10(4), 16–37. https://doi.org/10.9734/ajess/2020/v10i430273</w:t>
      </w:r>
    </w:p>
    <w:p w14:paraId="4AB345EF" w14:textId="77777777" w:rsidR="00FB555E" w:rsidRDefault="00FB555E" w:rsidP="00FB555E">
      <w:pPr>
        <w:rPr>
          <w:color w:val="000000" w:themeColor="text1"/>
        </w:rPr>
      </w:pPr>
    </w:p>
    <w:p w14:paraId="3143949C" w14:textId="7F76C7C0" w:rsidR="00FB555E" w:rsidRPr="00D07168" w:rsidRDefault="00D07168" w:rsidP="00FB555E">
      <w:pPr>
        <w:rPr>
          <w:rFonts w:ascii="Arial" w:hAnsi="Arial" w:cs="Arial"/>
          <w:color w:val="000000" w:themeColor="text1"/>
        </w:rPr>
      </w:pPr>
      <w:proofErr w:type="spellStart"/>
      <w:r w:rsidRPr="00D07168">
        <w:rPr>
          <w:rFonts w:ascii="Arial" w:hAnsi="Arial" w:cs="Arial"/>
          <w:color w:val="000000" w:themeColor="text1"/>
        </w:rPr>
        <w:lastRenderedPageBreak/>
        <w:t>Montales</w:t>
      </w:r>
      <w:proofErr w:type="spellEnd"/>
      <w:r w:rsidRPr="00D07168">
        <w:rPr>
          <w:rFonts w:ascii="Arial" w:hAnsi="Arial" w:cs="Arial"/>
          <w:color w:val="000000" w:themeColor="text1"/>
        </w:rPr>
        <w:t>, C. L. B. (2024). Agricultural activities implemented in secondary schools relative to food security: A systematic literature review. </w:t>
      </w:r>
      <w:r w:rsidRPr="00D07168">
        <w:rPr>
          <w:rFonts w:ascii="Arial" w:hAnsi="Arial" w:cs="Arial"/>
          <w:i/>
          <w:iCs/>
          <w:color w:val="000000" w:themeColor="text1"/>
        </w:rPr>
        <w:t>International Journal of Research Publication and Reviews, 5</w:t>
      </w:r>
      <w:r w:rsidRPr="00D07168">
        <w:rPr>
          <w:rFonts w:ascii="Arial" w:hAnsi="Arial" w:cs="Arial"/>
          <w:color w:val="000000" w:themeColor="text1"/>
        </w:rPr>
        <w:t>(12), 3044–3050. </w:t>
      </w:r>
      <w:hyperlink r:id="rId8" w:tgtFrame="_new" w:history="1">
        <w:r w:rsidRPr="00D07168">
          <w:rPr>
            <w:rStyle w:val="Hyperlink"/>
            <w:rFonts w:ascii="Arial" w:hAnsi="Arial" w:cs="Arial"/>
            <w:color w:val="000000" w:themeColor="text1"/>
          </w:rPr>
          <w:t>https://doi.org/10.55248/gengpi.5.1224.3551</w:t>
        </w:r>
      </w:hyperlink>
    </w:p>
    <w:p w14:paraId="268132B2" w14:textId="77777777" w:rsidR="00D07168" w:rsidRDefault="00D07168" w:rsidP="00FB555E">
      <w:pPr>
        <w:rPr>
          <w:color w:val="000000" w:themeColor="text1"/>
        </w:rPr>
      </w:pPr>
    </w:p>
    <w:p w14:paraId="571BCF0B" w14:textId="4DE25377" w:rsidR="00FB555E" w:rsidRPr="00C21BD5" w:rsidRDefault="00FB555E" w:rsidP="00FB555E">
      <w:pPr>
        <w:rPr>
          <w:color w:val="000000" w:themeColor="text1"/>
        </w:rPr>
      </w:pPr>
      <w:r w:rsidRPr="00C21BD5">
        <w:rPr>
          <w:color w:val="000000" w:themeColor="text1"/>
        </w:rPr>
        <w:t xml:space="preserve">Manalo, J.P.A., A.R. L. Caggiula, J.M.A. </w:t>
      </w:r>
      <w:proofErr w:type="spellStart"/>
      <w:r w:rsidRPr="00C21BD5">
        <w:rPr>
          <w:color w:val="000000" w:themeColor="text1"/>
        </w:rPr>
        <w:t>Dimalaluan</w:t>
      </w:r>
      <w:proofErr w:type="spellEnd"/>
      <w:r w:rsidRPr="00C21BD5">
        <w:rPr>
          <w:color w:val="000000" w:themeColor="text1"/>
        </w:rPr>
        <w:t xml:space="preserve">, J.N.G. </w:t>
      </w:r>
      <w:proofErr w:type="spellStart"/>
      <w:r w:rsidRPr="00C21BD5">
        <w:rPr>
          <w:color w:val="000000" w:themeColor="text1"/>
        </w:rPr>
        <w:t>Macatangay</w:t>
      </w:r>
      <w:proofErr w:type="spellEnd"/>
      <w:r w:rsidRPr="00C21BD5">
        <w:rPr>
          <w:color w:val="000000" w:themeColor="text1"/>
        </w:rPr>
        <w:t xml:space="preserve">, S.M.G. Robles, and S.S. </w:t>
      </w:r>
      <w:proofErr w:type="spellStart"/>
      <w:r w:rsidR="00636397">
        <w:rPr>
          <w:color w:val="000000" w:themeColor="text1"/>
        </w:rPr>
        <w:t>Felicen</w:t>
      </w:r>
      <w:proofErr w:type="spellEnd"/>
      <w:r w:rsidR="00636397">
        <w:rPr>
          <w:color w:val="000000" w:themeColor="text1"/>
        </w:rPr>
        <w:t xml:space="preserve">. </w:t>
      </w:r>
      <w:r w:rsidRPr="00C21BD5">
        <w:rPr>
          <w:color w:val="000000" w:themeColor="text1"/>
        </w:rPr>
        <w:t>2018. Effectiveness of TESDA National Certificate to Cruise Line Operation in Culinary Arts Graduates of 2015 and 2016. Journal of Tourism and Hospitality Management, 15.</w:t>
      </w:r>
    </w:p>
    <w:p w14:paraId="60E2C617" w14:textId="77777777" w:rsidR="00FB555E" w:rsidRPr="00C21BD5" w:rsidRDefault="00FB555E" w:rsidP="00FB555E">
      <w:pPr>
        <w:rPr>
          <w:color w:val="000000" w:themeColor="text1"/>
        </w:rPr>
      </w:pPr>
    </w:p>
    <w:p w14:paraId="76D64C2D" w14:textId="77777777" w:rsidR="00FB555E" w:rsidRPr="00C21BD5" w:rsidRDefault="00FB555E" w:rsidP="00FB555E">
      <w:pPr>
        <w:rPr>
          <w:color w:val="000000" w:themeColor="text1"/>
        </w:rPr>
      </w:pPr>
      <w:proofErr w:type="spellStart"/>
      <w:r w:rsidRPr="00C21BD5">
        <w:rPr>
          <w:color w:val="000000" w:themeColor="text1"/>
        </w:rPr>
        <w:t>Declaro-Ruedos</w:t>
      </w:r>
      <w:proofErr w:type="spellEnd"/>
      <w:r w:rsidRPr="00C21BD5">
        <w:rPr>
          <w:color w:val="000000" w:themeColor="text1"/>
        </w:rPr>
        <w:t xml:space="preserve">, M.Y.A. 2022. Assessment of the joint delivery voucher </w:t>
      </w:r>
      <w:proofErr w:type="spellStart"/>
      <w:r w:rsidRPr="00C21BD5">
        <w:rPr>
          <w:color w:val="000000" w:themeColor="text1"/>
        </w:rPr>
        <w:t>programme</w:t>
      </w:r>
      <w:proofErr w:type="spellEnd"/>
      <w:r w:rsidRPr="00C21BD5">
        <w:rPr>
          <w:color w:val="000000" w:themeColor="text1"/>
        </w:rPr>
        <w:t xml:space="preserve"> for Senior High School Technical-Vocational-Livelihood in Selected Public Schools, in Occidental Mindoro, Philippines.</w:t>
      </w:r>
    </w:p>
    <w:p w14:paraId="163542CD" w14:textId="77777777" w:rsidR="00FB555E" w:rsidRPr="00C21BD5" w:rsidRDefault="00FB555E" w:rsidP="00FB555E">
      <w:pPr>
        <w:rPr>
          <w:color w:val="000000" w:themeColor="text1"/>
        </w:rPr>
      </w:pPr>
    </w:p>
    <w:p w14:paraId="3F0946B1" w14:textId="3F98397D" w:rsidR="00D07168" w:rsidRPr="00D07168" w:rsidRDefault="00D07168" w:rsidP="00FB555E">
      <w:pPr>
        <w:rPr>
          <w:rFonts w:ascii="Arial" w:hAnsi="Arial" w:cs="Arial"/>
          <w:color w:val="000000" w:themeColor="text1"/>
        </w:rPr>
      </w:pPr>
      <w:proofErr w:type="spellStart"/>
      <w:r w:rsidRPr="00D07168">
        <w:rPr>
          <w:rFonts w:ascii="Arial" w:hAnsi="Arial" w:cs="Arial"/>
          <w:color w:val="000000" w:themeColor="text1"/>
        </w:rPr>
        <w:t>Bisenio</w:t>
      </w:r>
      <w:proofErr w:type="spellEnd"/>
      <w:r w:rsidRPr="00D07168">
        <w:rPr>
          <w:rFonts w:ascii="Arial" w:hAnsi="Arial" w:cs="Arial"/>
          <w:color w:val="000000" w:themeColor="text1"/>
        </w:rPr>
        <w:t xml:space="preserve">, J. E., Moreno, J. E., </w:t>
      </w:r>
      <w:proofErr w:type="spellStart"/>
      <w:r w:rsidRPr="00D07168">
        <w:rPr>
          <w:rFonts w:ascii="Arial" w:hAnsi="Arial" w:cs="Arial"/>
          <w:color w:val="000000" w:themeColor="text1"/>
        </w:rPr>
        <w:t>Montales</w:t>
      </w:r>
      <w:proofErr w:type="spellEnd"/>
      <w:r w:rsidRPr="00D07168">
        <w:rPr>
          <w:rFonts w:ascii="Arial" w:hAnsi="Arial" w:cs="Arial"/>
          <w:color w:val="000000" w:themeColor="text1"/>
        </w:rPr>
        <w:t xml:space="preserve">, C. L. B., &amp; </w:t>
      </w:r>
      <w:proofErr w:type="spellStart"/>
      <w:r w:rsidRPr="00D07168">
        <w:rPr>
          <w:rFonts w:ascii="Arial" w:hAnsi="Arial" w:cs="Arial"/>
          <w:color w:val="000000" w:themeColor="text1"/>
        </w:rPr>
        <w:t>Recaňa</w:t>
      </w:r>
      <w:proofErr w:type="spellEnd"/>
      <w:r w:rsidRPr="00D07168">
        <w:rPr>
          <w:rFonts w:ascii="Arial" w:hAnsi="Arial" w:cs="Arial"/>
          <w:color w:val="000000" w:themeColor="text1"/>
        </w:rPr>
        <w:t xml:space="preserve">, G. M. A. (2025). </w:t>
      </w:r>
      <w:r w:rsidR="00636397">
        <w:rPr>
          <w:rFonts w:ascii="Arial" w:hAnsi="Arial" w:cs="Arial"/>
          <w:color w:val="000000" w:themeColor="text1"/>
        </w:rPr>
        <w:t>Students’</w:t>
      </w:r>
      <w:r w:rsidRPr="00D07168">
        <w:rPr>
          <w:rFonts w:ascii="Arial" w:hAnsi="Arial" w:cs="Arial"/>
          <w:color w:val="000000" w:themeColor="text1"/>
        </w:rPr>
        <w:t xml:space="preserve"> perspective, interest, and awareness towards organic agriculture farming. </w:t>
      </w:r>
      <w:r w:rsidRPr="00D07168">
        <w:rPr>
          <w:rFonts w:ascii="Arial" w:hAnsi="Arial" w:cs="Arial"/>
          <w:i/>
          <w:iCs/>
          <w:color w:val="000000" w:themeColor="text1"/>
        </w:rPr>
        <w:t>International Journal of Research Publications, 165</w:t>
      </w:r>
      <w:r w:rsidRPr="00D07168">
        <w:rPr>
          <w:rFonts w:ascii="Arial" w:hAnsi="Arial" w:cs="Arial"/>
          <w:color w:val="000000" w:themeColor="text1"/>
        </w:rPr>
        <w:t>(1), 67–71. </w:t>
      </w:r>
      <w:hyperlink r:id="rId9" w:history="1">
        <w:r w:rsidRPr="00D07168">
          <w:rPr>
            <w:rStyle w:val="Hyperlink"/>
            <w:rFonts w:ascii="Arial" w:hAnsi="Arial" w:cs="Arial"/>
            <w:color w:val="000000" w:themeColor="text1"/>
          </w:rPr>
          <w:t>https://doi.org/10.47119/IJRP1001651120257485</w:t>
        </w:r>
      </w:hyperlink>
    </w:p>
    <w:p w14:paraId="1F353188" w14:textId="77777777" w:rsidR="00D07168" w:rsidRDefault="00D07168" w:rsidP="00FB555E">
      <w:pPr>
        <w:rPr>
          <w:color w:val="000000" w:themeColor="text1"/>
        </w:rPr>
      </w:pPr>
    </w:p>
    <w:p w14:paraId="14506DE5" w14:textId="409F6C44" w:rsidR="00FB555E" w:rsidRPr="00C21BD5" w:rsidRDefault="00FB555E" w:rsidP="00FB555E">
      <w:pPr>
        <w:rPr>
          <w:color w:val="000000" w:themeColor="text1"/>
        </w:rPr>
      </w:pPr>
      <w:proofErr w:type="spellStart"/>
      <w:r w:rsidRPr="00C21BD5">
        <w:rPr>
          <w:color w:val="000000" w:themeColor="text1"/>
        </w:rPr>
        <w:t>Wernersbach</w:t>
      </w:r>
      <w:proofErr w:type="spellEnd"/>
      <w:r w:rsidRPr="00C21BD5">
        <w:rPr>
          <w:color w:val="000000" w:themeColor="text1"/>
        </w:rPr>
        <w:t>, B. M. (2011). The impact of study skills courses on academic self-efficacy in college students (Master’s thesis, Utah State University). Utah State University Digital Commons.</w:t>
      </w:r>
    </w:p>
    <w:p w14:paraId="6C949F3D" w14:textId="77777777" w:rsidR="00FB555E" w:rsidRPr="00C21BD5" w:rsidRDefault="00FB555E" w:rsidP="00FB555E">
      <w:pPr>
        <w:rPr>
          <w:color w:val="000000" w:themeColor="text1"/>
        </w:rPr>
      </w:pPr>
    </w:p>
    <w:p w14:paraId="1CADD814" w14:textId="77777777" w:rsidR="00FB555E" w:rsidRPr="00C21BD5" w:rsidRDefault="00FB555E" w:rsidP="00FB555E">
      <w:pPr>
        <w:rPr>
          <w:color w:val="000000" w:themeColor="text1"/>
        </w:rPr>
      </w:pPr>
      <w:r w:rsidRPr="00C21BD5">
        <w:rPr>
          <w:color w:val="000000" w:themeColor="text1"/>
        </w:rPr>
        <w:t>Hinduja, P., Mohammad, R. F., &amp; Siddiqui, S. (2024). Factors influencing students’ academic self-efficacy in related domains. SAGE Open, 14(1), 1–24. </w:t>
      </w:r>
      <w:hyperlink r:id="rId10" w:history="1">
        <w:r w:rsidRPr="00C21BD5">
          <w:rPr>
            <w:rStyle w:val="Hyperlink"/>
            <w:color w:val="000000" w:themeColor="text1"/>
          </w:rPr>
          <w:t>https://doi.org/10.1177/21582440241289738</w:t>
        </w:r>
      </w:hyperlink>
    </w:p>
    <w:p w14:paraId="544746EA" w14:textId="77777777" w:rsidR="00FB555E" w:rsidRPr="00C21BD5" w:rsidRDefault="00FB555E" w:rsidP="00FB555E">
      <w:pPr>
        <w:rPr>
          <w:color w:val="000000" w:themeColor="text1"/>
        </w:rPr>
      </w:pPr>
    </w:p>
    <w:p w14:paraId="4D785C11" w14:textId="77777777" w:rsidR="00FB555E" w:rsidRPr="00C21BD5" w:rsidRDefault="00FB555E" w:rsidP="00FB555E">
      <w:pPr>
        <w:rPr>
          <w:color w:val="000000" w:themeColor="text1"/>
        </w:rPr>
      </w:pPr>
      <w:proofErr w:type="spellStart"/>
      <w:r w:rsidRPr="00C21BD5">
        <w:rPr>
          <w:color w:val="000000" w:themeColor="text1"/>
        </w:rPr>
        <w:t>Akinfolarin</w:t>
      </w:r>
      <w:proofErr w:type="spellEnd"/>
      <w:r w:rsidRPr="00C21BD5">
        <w:rPr>
          <w:color w:val="000000" w:themeColor="text1"/>
        </w:rPr>
        <w:t>, C. A. (2015). Organizational climate and physical resource utilization in vocational and technical education in colleges of education in South West Nigeria. International Journal of Educational Policy Research and Review, 2(1), 8–16. </w:t>
      </w:r>
      <w:hyperlink r:id="rId11" w:tgtFrame="_new" w:history="1">
        <w:r w:rsidRPr="00C21BD5">
          <w:rPr>
            <w:rStyle w:val="Hyperlink"/>
            <w:color w:val="000000" w:themeColor="text1"/>
          </w:rPr>
          <w:t>http://www.journalissues.org/IJEPRR/</w:t>
        </w:r>
      </w:hyperlink>
    </w:p>
    <w:p w14:paraId="1D70E8F2" w14:textId="77777777" w:rsidR="00FB555E" w:rsidRPr="00C21BD5" w:rsidRDefault="00FB555E" w:rsidP="00FB555E">
      <w:pPr>
        <w:rPr>
          <w:color w:val="000000" w:themeColor="text1"/>
        </w:rPr>
      </w:pPr>
    </w:p>
    <w:p w14:paraId="0FA54D8E" w14:textId="77777777" w:rsidR="00FB555E" w:rsidRPr="00C21BD5" w:rsidRDefault="00FB555E" w:rsidP="00FB555E">
      <w:pPr>
        <w:rPr>
          <w:color w:val="000000" w:themeColor="text1"/>
        </w:rPr>
      </w:pPr>
      <w:proofErr w:type="spellStart"/>
      <w:r w:rsidRPr="00C21BD5">
        <w:rPr>
          <w:color w:val="000000" w:themeColor="text1"/>
        </w:rPr>
        <w:t>Rugutt</w:t>
      </w:r>
      <w:proofErr w:type="spellEnd"/>
      <w:r w:rsidRPr="00C21BD5">
        <w:rPr>
          <w:color w:val="000000" w:themeColor="text1"/>
        </w:rPr>
        <w:t xml:space="preserve">, J. K., &amp; </w:t>
      </w:r>
      <w:proofErr w:type="spellStart"/>
      <w:r w:rsidRPr="00C21BD5">
        <w:rPr>
          <w:color w:val="000000" w:themeColor="text1"/>
        </w:rPr>
        <w:t>Chemosit</w:t>
      </w:r>
      <w:proofErr w:type="spellEnd"/>
      <w:r w:rsidRPr="00C21BD5">
        <w:rPr>
          <w:color w:val="000000" w:themeColor="text1"/>
        </w:rPr>
        <w:t>, C. C. (2005). A study of factors that influence college academic achievement: A structural equation modelling approach. Journal of Educational Research &amp; Policy Studies, 5(1), 66–90.</w:t>
      </w:r>
    </w:p>
    <w:p w14:paraId="539CF88E" w14:textId="77777777" w:rsidR="00FB555E" w:rsidRPr="00C21BD5" w:rsidRDefault="00FB555E" w:rsidP="00FB555E">
      <w:pPr>
        <w:rPr>
          <w:color w:val="000000" w:themeColor="text1"/>
        </w:rPr>
      </w:pPr>
    </w:p>
    <w:p w14:paraId="47F853BA" w14:textId="77777777" w:rsidR="00FB555E" w:rsidRPr="00C21BD5" w:rsidRDefault="00FB555E" w:rsidP="00FB555E">
      <w:pPr>
        <w:rPr>
          <w:color w:val="000000" w:themeColor="text1"/>
        </w:rPr>
      </w:pPr>
      <w:r w:rsidRPr="00C21BD5">
        <w:rPr>
          <w:color w:val="000000" w:themeColor="text1"/>
        </w:rPr>
        <w:t xml:space="preserve">Adesola, A. A. (2005). Resource provision and utilization, mathematics ability and learning environment as prediction of learning outcome in undergraduate practical Geography (Unpublished doctoral dissertation). University of Ibadan, Ibadan. </w:t>
      </w:r>
    </w:p>
    <w:p w14:paraId="1CB0CEE1" w14:textId="77777777" w:rsidR="00FB555E" w:rsidRPr="00C21BD5" w:rsidRDefault="00FB555E" w:rsidP="00FB555E">
      <w:pPr>
        <w:rPr>
          <w:color w:val="000000" w:themeColor="text1"/>
        </w:rPr>
      </w:pPr>
    </w:p>
    <w:p w14:paraId="45FD4C14" w14:textId="77777777" w:rsidR="00FB555E" w:rsidRPr="00C21BD5" w:rsidRDefault="00FB555E" w:rsidP="00FB555E">
      <w:pPr>
        <w:rPr>
          <w:color w:val="000000" w:themeColor="text1"/>
        </w:rPr>
      </w:pPr>
      <w:r w:rsidRPr="00C21BD5">
        <w:rPr>
          <w:color w:val="000000" w:themeColor="text1"/>
        </w:rPr>
        <w:t>Hui, K., &amp; Lent, R. W. (2018). The roles of family, culture, and social cognitive variables in the career interests and goals of Asian American college students. Journal of Counseling Psychology, 65(1), 98–109. https://doi.org/10.1037/cou0000235</w:t>
      </w:r>
    </w:p>
    <w:p w14:paraId="215C79E7" w14:textId="77777777" w:rsidR="00FB555E" w:rsidRDefault="00FB555E" w:rsidP="00FB555E">
      <w:pPr>
        <w:rPr>
          <w:color w:val="000000" w:themeColor="text1"/>
        </w:rPr>
      </w:pPr>
    </w:p>
    <w:p w14:paraId="0C83939A" w14:textId="77777777" w:rsidR="00D07168" w:rsidRPr="00D07168" w:rsidRDefault="00D07168" w:rsidP="00D07168">
      <w:pPr>
        <w:rPr>
          <w:color w:val="000000" w:themeColor="text1"/>
        </w:rPr>
      </w:pPr>
      <w:r w:rsidRPr="00D07168">
        <w:rPr>
          <w:color w:val="000000" w:themeColor="text1"/>
        </w:rPr>
        <w:t xml:space="preserve">Rashid, G. M., 2019. Why we need quality education. The Independent. </w:t>
      </w:r>
    </w:p>
    <w:p w14:paraId="2EC22D4C" w14:textId="77777777" w:rsidR="00D07168" w:rsidRPr="00D07168" w:rsidRDefault="00D07168" w:rsidP="00D07168">
      <w:pPr>
        <w:rPr>
          <w:color w:val="000000" w:themeColor="text1"/>
          <w:u w:val="single"/>
        </w:rPr>
      </w:pPr>
      <w:hyperlink r:id="rId12">
        <w:r w:rsidRPr="00D07168">
          <w:rPr>
            <w:rStyle w:val="Hyperlink"/>
            <w:color w:val="000000" w:themeColor="text1"/>
          </w:rPr>
          <w:t>https://m.theindependentbd.com/printversion/details/213436</w:t>
        </w:r>
      </w:hyperlink>
    </w:p>
    <w:p w14:paraId="1802815E" w14:textId="77777777" w:rsidR="00D07168" w:rsidRPr="00D07168" w:rsidRDefault="00D07168" w:rsidP="00D07168">
      <w:pPr>
        <w:rPr>
          <w:color w:val="000000" w:themeColor="text1"/>
        </w:rPr>
      </w:pPr>
    </w:p>
    <w:p w14:paraId="6A5098D8" w14:textId="71CB1C1D" w:rsidR="00D07168" w:rsidRPr="00D07168" w:rsidRDefault="00D07168" w:rsidP="00D07168">
      <w:pPr>
        <w:rPr>
          <w:color w:val="000000" w:themeColor="text1"/>
        </w:rPr>
      </w:pPr>
      <w:r w:rsidRPr="00D07168">
        <w:rPr>
          <w:color w:val="000000" w:themeColor="text1"/>
        </w:rPr>
        <w:t>Official Gazette. (2013, May 15). </w:t>
      </w:r>
      <w:r w:rsidRPr="00D07168">
        <w:rPr>
          <w:i/>
          <w:iCs/>
          <w:color w:val="000000" w:themeColor="text1"/>
        </w:rPr>
        <w:t>Republic Act No. 10533: Enhanced Basic Education Act of 2013</w:t>
      </w:r>
      <w:r w:rsidRPr="00D07168">
        <w:rPr>
          <w:color w:val="000000" w:themeColor="text1"/>
        </w:rPr>
        <w:t>. </w:t>
      </w:r>
      <w:hyperlink r:id="rId13" w:tgtFrame="_new" w:history="1">
        <w:r w:rsidRPr="00D07168">
          <w:rPr>
            <w:rStyle w:val="Hyperlink"/>
            <w:color w:val="000000" w:themeColor="text1"/>
          </w:rPr>
          <w:t>https://www.officialgazette.gov.ph/2013/05/15/republic-act-no-10533/</w:t>
        </w:r>
      </w:hyperlink>
      <w:r w:rsidRPr="00D07168">
        <w:rPr>
          <w:color w:val="000000" w:themeColor="text1"/>
        </w:rPr>
        <w:t xml:space="preserve"> </w:t>
      </w:r>
    </w:p>
    <w:p w14:paraId="6370B130" w14:textId="77777777" w:rsidR="00D07168" w:rsidRPr="00D07168" w:rsidRDefault="00D07168" w:rsidP="00D07168">
      <w:pPr>
        <w:rPr>
          <w:color w:val="000000" w:themeColor="text1"/>
        </w:rPr>
      </w:pPr>
    </w:p>
    <w:p w14:paraId="31048750" w14:textId="3329BE27" w:rsidR="00D07168" w:rsidRPr="00D07168" w:rsidRDefault="00D07168" w:rsidP="00D07168">
      <w:pPr>
        <w:rPr>
          <w:color w:val="000000" w:themeColor="text1"/>
        </w:rPr>
      </w:pPr>
      <w:r w:rsidRPr="00D07168">
        <w:rPr>
          <w:color w:val="000000" w:themeColor="text1"/>
        </w:rPr>
        <w:lastRenderedPageBreak/>
        <w:t>Department of Education. (2013). </w:t>
      </w:r>
      <w:r w:rsidRPr="00D07168">
        <w:rPr>
          <w:i/>
          <w:iCs/>
          <w:color w:val="000000" w:themeColor="text1"/>
        </w:rPr>
        <w:t>DepEd Order No. 33, s. 2013: Implementing Guidelines on the JDVP for Senior High School Technical-Vocational-Livelihood Specializations</w:t>
      </w:r>
      <w:r w:rsidRPr="00D07168">
        <w:rPr>
          <w:color w:val="000000" w:themeColor="text1"/>
        </w:rPr>
        <w:t xml:space="preserve">. https://www.deped.gov.ph/wp-content/uploads/2018/07/DO_s2018_033.pdf </w:t>
      </w:r>
    </w:p>
    <w:p w14:paraId="41A4DC65" w14:textId="77777777" w:rsidR="00D07168" w:rsidRPr="00D07168" w:rsidRDefault="00D07168" w:rsidP="00D07168">
      <w:pPr>
        <w:rPr>
          <w:color w:val="000000" w:themeColor="text1"/>
        </w:rPr>
      </w:pPr>
    </w:p>
    <w:p w14:paraId="15C7D0AC" w14:textId="754A622A" w:rsidR="00D07168" w:rsidRPr="00D07168" w:rsidRDefault="00D07168" w:rsidP="00D07168">
      <w:pPr>
        <w:rPr>
          <w:color w:val="000000" w:themeColor="text1"/>
        </w:rPr>
      </w:pPr>
      <w:r w:rsidRPr="00D07168">
        <w:rPr>
          <w:color w:val="000000" w:themeColor="text1"/>
        </w:rPr>
        <w:t>Official Gazette. (n.d.). </w:t>
      </w:r>
      <w:r w:rsidRPr="00D07168">
        <w:rPr>
          <w:i/>
          <w:iCs/>
          <w:color w:val="000000" w:themeColor="text1"/>
        </w:rPr>
        <w:t>The K to 12 Basic Education Program</w:t>
      </w:r>
      <w:r w:rsidRPr="00D07168">
        <w:rPr>
          <w:color w:val="000000" w:themeColor="text1"/>
        </w:rPr>
        <w:t>. </w:t>
      </w:r>
      <w:hyperlink r:id="rId14" w:tgtFrame="_new" w:history="1">
        <w:r w:rsidRPr="00D07168">
          <w:rPr>
            <w:rStyle w:val="Hyperlink"/>
            <w:color w:val="000000" w:themeColor="text1"/>
          </w:rPr>
          <w:t>https://www.officialgazette.gov.ph/k-12/</w:t>
        </w:r>
      </w:hyperlink>
      <w:r w:rsidRPr="00D07168">
        <w:rPr>
          <w:color w:val="000000" w:themeColor="text1"/>
        </w:rPr>
        <w:t xml:space="preserve"> </w:t>
      </w:r>
    </w:p>
    <w:p w14:paraId="4F11B982" w14:textId="77777777" w:rsidR="00D07168" w:rsidRPr="00D07168" w:rsidRDefault="00D07168" w:rsidP="00FB555E">
      <w:pPr>
        <w:rPr>
          <w:color w:val="000000" w:themeColor="text1"/>
        </w:rPr>
      </w:pPr>
    </w:p>
    <w:p w14:paraId="73BD5633" w14:textId="77777777" w:rsidR="00FB555E" w:rsidRPr="00D07168" w:rsidRDefault="00FB555E" w:rsidP="00FB555E">
      <w:pPr>
        <w:rPr>
          <w:rStyle w:val="Hyperlink"/>
          <w:color w:val="000000" w:themeColor="text1"/>
        </w:rPr>
      </w:pPr>
      <w:r w:rsidRPr="00D07168">
        <w:rPr>
          <w:color w:val="000000" w:themeColor="text1"/>
        </w:rPr>
        <w:t xml:space="preserve">Colman, H. 2023. Refresher Training: Keep Your Staff Fresh. </w:t>
      </w:r>
      <w:hyperlink r:id="rId15" w:history="1">
        <w:r w:rsidRPr="00D07168">
          <w:rPr>
            <w:rStyle w:val="Hyperlink"/>
            <w:color w:val="000000" w:themeColor="text1"/>
          </w:rPr>
          <w:t>https://www.ispringsolutions.com/blog/refresher-training</w:t>
        </w:r>
      </w:hyperlink>
    </w:p>
    <w:p w14:paraId="3D282B2C" w14:textId="77777777" w:rsidR="00D07168" w:rsidRPr="00C21BD5" w:rsidRDefault="00D07168" w:rsidP="00FB555E">
      <w:pPr>
        <w:rPr>
          <w:color w:val="000000" w:themeColor="text1"/>
        </w:rPr>
      </w:pPr>
    </w:p>
    <w:p w14:paraId="41A0E713" w14:textId="77777777" w:rsidR="00FB555E" w:rsidRPr="00C21BD5" w:rsidRDefault="00FB555E" w:rsidP="00FB555E">
      <w:pPr>
        <w:rPr>
          <w:color w:val="000000" w:themeColor="text1"/>
        </w:rPr>
      </w:pPr>
      <w:r w:rsidRPr="00C21BD5">
        <w:rPr>
          <w:color w:val="000000" w:themeColor="text1"/>
        </w:rPr>
        <w:t xml:space="preserve">University Grants Commission Bahadur Zafar Marg New Delhi-110 002. 2019.Draft Guidelines for Human Resource Development Centre (HRDC). </w:t>
      </w:r>
      <w:hyperlink r:id="rId16" w:history="1">
        <w:r w:rsidRPr="00C21BD5">
          <w:rPr>
            <w:rStyle w:val="Hyperlink"/>
            <w:color w:val="000000" w:themeColor="text1"/>
          </w:rPr>
          <w:t>https://www.ugc.gov.in/pdfnews/0456159_HRDC-Final.pdf</w:t>
        </w:r>
      </w:hyperlink>
    </w:p>
    <w:p w14:paraId="54CDAA2E" w14:textId="77777777" w:rsidR="00FB555E" w:rsidRPr="00C21BD5" w:rsidRDefault="00FB555E" w:rsidP="00FB555E">
      <w:pPr>
        <w:rPr>
          <w:color w:val="000000" w:themeColor="text1"/>
        </w:rPr>
      </w:pPr>
    </w:p>
    <w:p w14:paraId="71067E39" w14:textId="77777777" w:rsidR="00FB555E" w:rsidRPr="00FB3A86" w:rsidRDefault="00FB555E" w:rsidP="00FB555E">
      <w:pPr>
        <w:pStyle w:val="Appendix"/>
        <w:spacing w:after="0"/>
        <w:jc w:val="both"/>
        <w:rPr>
          <w:rFonts w:ascii="Arial" w:hAnsi="Arial" w:cs="Arial"/>
          <w:b w:val="0"/>
        </w:rPr>
        <w:sectPr w:rsidR="00FB555E" w:rsidRPr="00FB3A86" w:rsidSect="009B666B">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2016" w:bottom="2016" w:left="2016" w:header="720" w:footer="1123" w:gutter="0"/>
          <w:cols w:space="720"/>
          <w:docGrid w:linePitch="272"/>
        </w:sectPr>
      </w:pPr>
    </w:p>
    <w:p w14:paraId="212556E8" w14:textId="77777777" w:rsidR="00FB555E" w:rsidRPr="00FB3A86" w:rsidRDefault="00FB555E" w:rsidP="00FB555E">
      <w:pPr>
        <w:pStyle w:val="Appendix"/>
        <w:spacing w:after="0"/>
        <w:jc w:val="both"/>
        <w:rPr>
          <w:rFonts w:ascii="Arial" w:hAnsi="Arial" w:cs="Arial"/>
          <w:b w:val="0"/>
        </w:rPr>
      </w:pPr>
    </w:p>
    <w:p w14:paraId="53E36843" w14:textId="77777777" w:rsidR="00B01FCD" w:rsidRPr="00FB3A86" w:rsidRDefault="00B01FCD" w:rsidP="00FB555E">
      <w:pPr>
        <w:pStyle w:val="ReferHead"/>
        <w:spacing w:after="0"/>
        <w:jc w:val="both"/>
        <w:rPr>
          <w:rFonts w:ascii="Arial" w:hAnsi="Arial" w:cs="Arial"/>
          <w:b w:val="0"/>
        </w:rPr>
      </w:pPr>
    </w:p>
    <w:sectPr w:rsidR="00B01FCD" w:rsidRPr="00FB3A86" w:rsidSect="00FB555E">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573A" w14:textId="77777777" w:rsidR="00150E48" w:rsidRDefault="00150E48" w:rsidP="00C37E61">
      <w:r>
        <w:separator/>
      </w:r>
    </w:p>
  </w:endnote>
  <w:endnote w:type="continuationSeparator" w:id="0">
    <w:p w14:paraId="09E02E3E" w14:textId="77777777" w:rsidR="00150E48" w:rsidRDefault="00150E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196A" w14:textId="77777777" w:rsidR="00FB555E" w:rsidRDefault="00FB5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263" w14:textId="77777777" w:rsidR="00FB555E" w:rsidRPr="00C37E61" w:rsidRDefault="00FB555E"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6B19" w14:textId="77777777" w:rsidR="00FB555E" w:rsidRDefault="00FB55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4226" w14:textId="77777777" w:rsidR="004719B0" w:rsidRDefault="004719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87B2" w14:textId="77777777" w:rsidR="00C37E61" w:rsidRPr="00C37E61" w:rsidRDefault="00C37E61" w:rsidP="00C37E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36A6" w14:textId="77777777" w:rsidR="004719B0" w:rsidRDefault="00471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06D0" w14:textId="77777777" w:rsidR="00150E48" w:rsidRDefault="00150E48" w:rsidP="00C37E61">
      <w:r>
        <w:separator/>
      </w:r>
    </w:p>
  </w:footnote>
  <w:footnote w:type="continuationSeparator" w:id="0">
    <w:p w14:paraId="60E5DD45" w14:textId="77777777" w:rsidR="00150E48" w:rsidRDefault="00150E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8185" w14:textId="77777777" w:rsidR="00FB555E" w:rsidRDefault="00150E48">
    <w:pPr>
      <w:pStyle w:val="Header"/>
    </w:pPr>
    <w:r>
      <w:rPr>
        <w:noProof/>
      </w:rPr>
      <w:pict w14:anchorId="318D5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20.65pt;height:57.8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A46" w14:textId="77777777" w:rsidR="00FB555E" w:rsidRDefault="00150E48">
    <w:pPr>
      <w:pStyle w:val="Header"/>
    </w:pPr>
    <w:r>
      <w:rPr>
        <w:noProof/>
      </w:rPr>
      <w:pict w14:anchorId="608E6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3B7" w14:textId="77777777" w:rsidR="00FB555E" w:rsidRDefault="00150E48">
    <w:pPr>
      <w:pStyle w:val="Header"/>
    </w:pPr>
    <w:r>
      <w:rPr>
        <w:noProof/>
      </w:rPr>
      <w:pict w14:anchorId="4F84F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CF27" w14:textId="3E0967E3" w:rsidR="004719B0" w:rsidRDefault="00150E48">
    <w:pPr>
      <w:pStyle w:val="Header"/>
    </w:pPr>
    <w:r>
      <w:rPr>
        <w:noProof/>
      </w:rPr>
      <w:pict w14:anchorId="15D59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128563" o:spid="_x0000_s1027"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8F9A" w14:textId="33A7E35A" w:rsidR="004719B0" w:rsidRDefault="00150E48">
    <w:pPr>
      <w:pStyle w:val="Header"/>
    </w:pPr>
    <w:r>
      <w:rPr>
        <w:noProof/>
      </w:rPr>
      <w:pict w14:anchorId="5D26C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128564" o:spid="_x0000_s1026"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5C4D" w14:textId="20CFDF39" w:rsidR="004719B0" w:rsidRDefault="00150E48">
    <w:pPr>
      <w:pStyle w:val="Header"/>
    </w:pPr>
    <w:r>
      <w:rPr>
        <w:noProof/>
      </w:rPr>
      <w:pict w14:anchorId="595EB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128562" o:spid="_x0000_s1025" type="#_x0000_t136" alt="" style="position:absolute;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BF5A4A"/>
    <w:multiLevelType w:val="hybridMultilevel"/>
    <w:tmpl w:val="E302694E"/>
    <w:lvl w:ilvl="0" w:tplc="B35C7A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070E9A"/>
    <w:multiLevelType w:val="hybridMultilevel"/>
    <w:tmpl w:val="E15AF452"/>
    <w:lvl w:ilvl="0" w:tplc="24F646F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F5243"/>
    <w:multiLevelType w:val="hybridMultilevel"/>
    <w:tmpl w:val="A1C8148C"/>
    <w:lvl w:ilvl="0" w:tplc="BE5EB6D8">
      <w:start w:val="1"/>
      <w:numFmt w:val="upperLetter"/>
      <w:lvlText w:val="%1."/>
      <w:lvlJc w:val="left"/>
      <w:pPr>
        <w:ind w:left="720" w:hanging="360"/>
      </w:pPr>
      <w:rPr>
        <w:rFonts w:hint="default"/>
        <w:b/>
        <w:bCs/>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09B3016"/>
    <w:multiLevelType w:val="hybridMultilevel"/>
    <w:tmpl w:val="6E4609F0"/>
    <w:lvl w:ilvl="0" w:tplc="FE326510">
      <w:start w:val="1"/>
      <w:numFmt w:val="decimal"/>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362133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03901124">
    <w:abstractNumId w:val="17"/>
  </w:num>
  <w:num w:numId="3" w16cid:durableId="369720167">
    <w:abstractNumId w:val="27"/>
  </w:num>
  <w:num w:numId="4" w16cid:durableId="12418665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77706326">
    <w:abstractNumId w:val="7"/>
  </w:num>
  <w:num w:numId="6" w16cid:durableId="1299651242">
    <w:abstractNumId w:val="6"/>
  </w:num>
  <w:num w:numId="7" w16cid:durableId="824122422">
    <w:abstractNumId w:val="1"/>
  </w:num>
  <w:num w:numId="8" w16cid:durableId="1799059625">
    <w:abstractNumId w:val="14"/>
  </w:num>
  <w:num w:numId="9" w16cid:durableId="575088404">
    <w:abstractNumId w:val="29"/>
  </w:num>
  <w:num w:numId="10" w16cid:durableId="1165324147">
    <w:abstractNumId w:val="2"/>
  </w:num>
  <w:num w:numId="11" w16cid:durableId="2146969085">
    <w:abstractNumId w:val="21"/>
  </w:num>
  <w:num w:numId="12" w16cid:durableId="1686638829">
    <w:abstractNumId w:val="3"/>
  </w:num>
  <w:num w:numId="13" w16cid:durableId="717978213">
    <w:abstractNumId w:val="20"/>
  </w:num>
  <w:num w:numId="14" w16cid:durableId="601884774">
    <w:abstractNumId w:val="9"/>
  </w:num>
  <w:num w:numId="15" w16cid:durableId="2038307426">
    <w:abstractNumId w:val="25"/>
  </w:num>
  <w:num w:numId="16" w16cid:durableId="619846399">
    <w:abstractNumId w:val="5"/>
  </w:num>
  <w:num w:numId="17" w16cid:durableId="542209011">
    <w:abstractNumId w:val="26"/>
  </w:num>
  <w:num w:numId="18" w16cid:durableId="958680481">
    <w:abstractNumId w:val="16"/>
  </w:num>
  <w:num w:numId="19" w16cid:durableId="1971015468">
    <w:abstractNumId w:val="32"/>
  </w:num>
  <w:num w:numId="20" w16cid:durableId="1590118803">
    <w:abstractNumId w:val="13"/>
  </w:num>
  <w:num w:numId="21" w16cid:durableId="1903634389">
    <w:abstractNumId w:val="10"/>
  </w:num>
  <w:num w:numId="22" w16cid:durableId="1952468551">
    <w:abstractNumId w:val="15"/>
  </w:num>
  <w:num w:numId="23" w16cid:durableId="186992835">
    <w:abstractNumId w:val="23"/>
  </w:num>
  <w:num w:numId="24" w16cid:durableId="1819223282">
    <w:abstractNumId w:val="30"/>
  </w:num>
  <w:num w:numId="25" w16cid:durableId="165365935">
    <w:abstractNumId w:val="4"/>
  </w:num>
  <w:num w:numId="26" w16cid:durableId="921639878">
    <w:abstractNumId w:val="18"/>
  </w:num>
  <w:num w:numId="27" w16cid:durableId="1652438326">
    <w:abstractNumId w:val="24"/>
  </w:num>
  <w:num w:numId="28" w16cid:durableId="188615291">
    <w:abstractNumId w:val="31"/>
  </w:num>
  <w:num w:numId="29" w16cid:durableId="583031710">
    <w:abstractNumId w:val="28"/>
  </w:num>
  <w:num w:numId="30" w16cid:durableId="955910414">
    <w:abstractNumId w:val="12"/>
  </w:num>
  <w:num w:numId="31" w16cid:durableId="1702318377">
    <w:abstractNumId w:val="22"/>
  </w:num>
  <w:num w:numId="32" w16cid:durableId="1949770546">
    <w:abstractNumId w:val="11"/>
  </w:num>
  <w:num w:numId="33" w16cid:durableId="1248032472">
    <w:abstractNumId w:val="19"/>
  </w:num>
  <w:num w:numId="34" w16cid:durableId="1919093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1AED"/>
    <w:rsid w:val="00071BE0"/>
    <w:rsid w:val="000A47FA"/>
    <w:rsid w:val="000A65D3"/>
    <w:rsid w:val="000B1E33"/>
    <w:rsid w:val="000C47C4"/>
    <w:rsid w:val="000D689F"/>
    <w:rsid w:val="000E7B7B"/>
    <w:rsid w:val="000E7D62"/>
    <w:rsid w:val="00103357"/>
    <w:rsid w:val="00123C9F"/>
    <w:rsid w:val="00126190"/>
    <w:rsid w:val="00130F17"/>
    <w:rsid w:val="001320BF"/>
    <w:rsid w:val="00150E48"/>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5783"/>
    <w:rsid w:val="00245922"/>
    <w:rsid w:val="002460DC"/>
    <w:rsid w:val="00250985"/>
    <w:rsid w:val="002556F6"/>
    <w:rsid w:val="00283105"/>
    <w:rsid w:val="00284C4C"/>
    <w:rsid w:val="00287E68"/>
    <w:rsid w:val="00296529"/>
    <w:rsid w:val="002B27FB"/>
    <w:rsid w:val="002B685A"/>
    <w:rsid w:val="002C57D2"/>
    <w:rsid w:val="002E0D56"/>
    <w:rsid w:val="00315186"/>
    <w:rsid w:val="00317047"/>
    <w:rsid w:val="0033343E"/>
    <w:rsid w:val="003512C2"/>
    <w:rsid w:val="0035751B"/>
    <w:rsid w:val="00371FB6"/>
    <w:rsid w:val="003763C1"/>
    <w:rsid w:val="00376BBE"/>
    <w:rsid w:val="0039224F"/>
    <w:rsid w:val="003A43A4"/>
    <w:rsid w:val="003A7E18"/>
    <w:rsid w:val="003C36AD"/>
    <w:rsid w:val="003C4C86"/>
    <w:rsid w:val="003C6258"/>
    <w:rsid w:val="003E26D2"/>
    <w:rsid w:val="003E2904"/>
    <w:rsid w:val="00401927"/>
    <w:rsid w:val="0041027F"/>
    <w:rsid w:val="00412475"/>
    <w:rsid w:val="00423789"/>
    <w:rsid w:val="00437594"/>
    <w:rsid w:val="00440F43"/>
    <w:rsid w:val="00441B6F"/>
    <w:rsid w:val="00446221"/>
    <w:rsid w:val="00450E62"/>
    <w:rsid w:val="004539DB"/>
    <w:rsid w:val="004718CC"/>
    <w:rsid w:val="004719B0"/>
    <w:rsid w:val="00471A80"/>
    <w:rsid w:val="004D305E"/>
    <w:rsid w:val="004D4277"/>
    <w:rsid w:val="00502516"/>
    <w:rsid w:val="00505F06"/>
    <w:rsid w:val="00506828"/>
    <w:rsid w:val="0053056E"/>
    <w:rsid w:val="00554FDA"/>
    <w:rsid w:val="005C784C"/>
    <w:rsid w:val="005D17F6"/>
    <w:rsid w:val="005E5539"/>
    <w:rsid w:val="00602BF5"/>
    <w:rsid w:val="006067F3"/>
    <w:rsid w:val="00617FDD"/>
    <w:rsid w:val="00633614"/>
    <w:rsid w:val="00633F68"/>
    <w:rsid w:val="00636397"/>
    <w:rsid w:val="00636EB2"/>
    <w:rsid w:val="006375B8"/>
    <w:rsid w:val="0066510A"/>
    <w:rsid w:val="00665791"/>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3DC5"/>
    <w:rsid w:val="0077749E"/>
    <w:rsid w:val="00790ADA"/>
    <w:rsid w:val="007A5C64"/>
    <w:rsid w:val="007C14BD"/>
    <w:rsid w:val="007D2288"/>
    <w:rsid w:val="007E088F"/>
    <w:rsid w:val="007F0FC7"/>
    <w:rsid w:val="007F7B32"/>
    <w:rsid w:val="00804BC2"/>
    <w:rsid w:val="0081431A"/>
    <w:rsid w:val="0082077F"/>
    <w:rsid w:val="0083216F"/>
    <w:rsid w:val="00860000"/>
    <w:rsid w:val="00863BD3"/>
    <w:rsid w:val="008641ED"/>
    <w:rsid w:val="00866D66"/>
    <w:rsid w:val="008671C6"/>
    <w:rsid w:val="00875803"/>
    <w:rsid w:val="00881EE9"/>
    <w:rsid w:val="008B459E"/>
    <w:rsid w:val="008E13AE"/>
    <w:rsid w:val="008E1506"/>
    <w:rsid w:val="008E710C"/>
    <w:rsid w:val="008E787A"/>
    <w:rsid w:val="008E7D1E"/>
    <w:rsid w:val="008F69D6"/>
    <w:rsid w:val="00902823"/>
    <w:rsid w:val="00915CA6"/>
    <w:rsid w:val="00927834"/>
    <w:rsid w:val="009500A6"/>
    <w:rsid w:val="009571C7"/>
    <w:rsid w:val="00957C18"/>
    <w:rsid w:val="009659BA"/>
    <w:rsid w:val="00983040"/>
    <w:rsid w:val="0098733A"/>
    <w:rsid w:val="009A0DF2"/>
    <w:rsid w:val="009B3FB9"/>
    <w:rsid w:val="009B666B"/>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4859"/>
    <w:rsid w:val="00A872E9"/>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1BD5"/>
    <w:rsid w:val="00C27F5F"/>
    <w:rsid w:val="00C30A0F"/>
    <w:rsid w:val="00C366D1"/>
    <w:rsid w:val="00C37E61"/>
    <w:rsid w:val="00C67E9D"/>
    <w:rsid w:val="00C67EE9"/>
    <w:rsid w:val="00C70F1B"/>
    <w:rsid w:val="00C71A47"/>
    <w:rsid w:val="00C7464C"/>
    <w:rsid w:val="00C85588"/>
    <w:rsid w:val="00CD6755"/>
    <w:rsid w:val="00CD6856"/>
    <w:rsid w:val="00CE0089"/>
    <w:rsid w:val="00CE793C"/>
    <w:rsid w:val="00CF193C"/>
    <w:rsid w:val="00D07168"/>
    <w:rsid w:val="00D173F1"/>
    <w:rsid w:val="00D24F21"/>
    <w:rsid w:val="00D74CB0"/>
    <w:rsid w:val="00D8295D"/>
    <w:rsid w:val="00DC2A65"/>
    <w:rsid w:val="00DE15F0"/>
    <w:rsid w:val="00DE5663"/>
    <w:rsid w:val="00DE78AA"/>
    <w:rsid w:val="00E053D0"/>
    <w:rsid w:val="00E15994"/>
    <w:rsid w:val="00E217F1"/>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5012"/>
    <w:rsid w:val="00F67ABC"/>
    <w:rsid w:val="00F755E4"/>
    <w:rsid w:val="00F77D02"/>
    <w:rsid w:val="00F82324"/>
    <w:rsid w:val="00FA1B07"/>
    <w:rsid w:val="00FB3A86"/>
    <w:rsid w:val="00FB555E"/>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DA65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E7D1E"/>
    <w:pPr>
      <w:spacing w:line="276" w:lineRule="auto"/>
      <w:ind w:left="720"/>
      <w:contextualSpacing/>
    </w:pPr>
    <w:rPr>
      <w:rFonts w:ascii="Arial" w:eastAsia="Arial" w:hAnsi="Arial" w:cs="Arial"/>
      <w:sz w:val="22"/>
      <w:szCs w:val="22"/>
      <w:lang w:val="en"/>
    </w:rPr>
  </w:style>
  <w:style w:type="character" w:styleId="Strong">
    <w:name w:val="Strong"/>
    <w:basedOn w:val="DefaultParagraphFont"/>
    <w:uiPriority w:val="22"/>
    <w:qFormat/>
    <w:rsid w:val="00C21BD5"/>
    <w:rPr>
      <w:b/>
      <w:bCs/>
    </w:rPr>
  </w:style>
  <w:style w:type="character" w:customStyle="1" w:styleId="apple-converted-space">
    <w:name w:val="apple-converted-space"/>
    <w:basedOn w:val="DefaultParagraphFont"/>
    <w:rsid w:val="00C21BD5"/>
  </w:style>
  <w:style w:type="paragraph" w:customStyle="1" w:styleId="p1">
    <w:name w:val="p1"/>
    <w:basedOn w:val="Normal"/>
    <w:rsid w:val="00F82324"/>
    <w:rPr>
      <w:rFonts w:ascii="Arial" w:hAnsi="Arial" w:cs="Arial"/>
      <w:color w:val="000000"/>
      <w:sz w:val="18"/>
      <w:szCs w:val="18"/>
      <w:lang w:val="en-PH"/>
    </w:rPr>
  </w:style>
  <w:style w:type="paragraph" w:styleId="Revision">
    <w:name w:val="Revision"/>
    <w:hidden/>
    <w:uiPriority w:val="99"/>
    <w:semiHidden/>
    <w:rsid w:val="00071BE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41584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9901838">
      <w:bodyDiv w:val="1"/>
      <w:marLeft w:val="0"/>
      <w:marRight w:val="0"/>
      <w:marTop w:val="0"/>
      <w:marBottom w:val="0"/>
      <w:divBdr>
        <w:top w:val="none" w:sz="0" w:space="0" w:color="auto"/>
        <w:left w:val="none" w:sz="0" w:space="0" w:color="auto"/>
        <w:bottom w:val="none" w:sz="0" w:space="0" w:color="auto"/>
        <w:right w:val="none" w:sz="0" w:space="0" w:color="auto"/>
      </w:divBdr>
    </w:div>
    <w:div w:id="23266798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59302076">
      <w:bodyDiv w:val="1"/>
      <w:marLeft w:val="0"/>
      <w:marRight w:val="0"/>
      <w:marTop w:val="0"/>
      <w:marBottom w:val="0"/>
      <w:divBdr>
        <w:top w:val="none" w:sz="0" w:space="0" w:color="auto"/>
        <w:left w:val="none" w:sz="0" w:space="0" w:color="auto"/>
        <w:bottom w:val="none" w:sz="0" w:space="0" w:color="auto"/>
        <w:right w:val="none" w:sz="0" w:space="0" w:color="auto"/>
      </w:divBdr>
    </w:div>
    <w:div w:id="529950523">
      <w:bodyDiv w:val="1"/>
      <w:marLeft w:val="0"/>
      <w:marRight w:val="0"/>
      <w:marTop w:val="0"/>
      <w:marBottom w:val="0"/>
      <w:divBdr>
        <w:top w:val="none" w:sz="0" w:space="0" w:color="auto"/>
        <w:left w:val="none" w:sz="0" w:space="0" w:color="auto"/>
        <w:bottom w:val="none" w:sz="0" w:space="0" w:color="auto"/>
        <w:right w:val="none" w:sz="0" w:space="0" w:color="auto"/>
      </w:divBdr>
    </w:div>
    <w:div w:id="62142671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452631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4044070">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
    <w:div w:id="1449592050">
      <w:bodyDiv w:val="1"/>
      <w:marLeft w:val="0"/>
      <w:marRight w:val="0"/>
      <w:marTop w:val="0"/>
      <w:marBottom w:val="0"/>
      <w:divBdr>
        <w:top w:val="none" w:sz="0" w:space="0" w:color="auto"/>
        <w:left w:val="none" w:sz="0" w:space="0" w:color="auto"/>
        <w:bottom w:val="none" w:sz="0" w:space="0" w:color="auto"/>
        <w:right w:val="none" w:sz="0" w:space="0" w:color="auto"/>
      </w:divBdr>
    </w:div>
    <w:div w:id="16414219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2724100">
      <w:bodyDiv w:val="1"/>
      <w:marLeft w:val="0"/>
      <w:marRight w:val="0"/>
      <w:marTop w:val="0"/>
      <w:marBottom w:val="0"/>
      <w:divBdr>
        <w:top w:val="none" w:sz="0" w:space="0" w:color="auto"/>
        <w:left w:val="none" w:sz="0" w:space="0" w:color="auto"/>
        <w:bottom w:val="none" w:sz="0" w:space="0" w:color="auto"/>
        <w:right w:val="none" w:sz="0" w:space="0" w:color="auto"/>
      </w:divBdr>
    </w:div>
    <w:div w:id="1820532344">
      <w:bodyDiv w:val="1"/>
      <w:marLeft w:val="0"/>
      <w:marRight w:val="0"/>
      <w:marTop w:val="0"/>
      <w:marBottom w:val="0"/>
      <w:divBdr>
        <w:top w:val="none" w:sz="0" w:space="0" w:color="auto"/>
        <w:left w:val="none" w:sz="0" w:space="0" w:color="auto"/>
        <w:bottom w:val="none" w:sz="0" w:space="0" w:color="auto"/>
        <w:right w:val="none" w:sz="0" w:space="0" w:color="auto"/>
      </w:divBdr>
    </w:div>
    <w:div w:id="18344856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5787864">
      <w:bodyDiv w:val="1"/>
      <w:marLeft w:val="0"/>
      <w:marRight w:val="0"/>
      <w:marTop w:val="0"/>
      <w:marBottom w:val="0"/>
      <w:divBdr>
        <w:top w:val="none" w:sz="0" w:space="0" w:color="auto"/>
        <w:left w:val="none" w:sz="0" w:space="0" w:color="auto"/>
        <w:bottom w:val="none" w:sz="0" w:space="0" w:color="auto"/>
        <w:right w:val="none" w:sz="0" w:space="0" w:color="auto"/>
      </w:divBdr>
    </w:div>
    <w:div w:id="21231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248/gengpi.5.1224.3551" TargetMode="External"/><Relationship Id="rId13" Type="http://schemas.openxmlformats.org/officeDocument/2006/relationships/hyperlink" Target="https://www.officialgazette.gov.ph/2013/05/15/republic-act-no-10533/"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theindependentbd.com/printversion/details/213436"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ugc.gov.in/pdfnews/0456159_HRDC-Final.pdf"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urnalissues.org/IJEPR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ispringsolutions.com/blog/refresher-training"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s://doi.org/10.1177/2158244024128973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47119/IJRP1001651120257485" TargetMode="External"/><Relationship Id="rId14" Type="http://schemas.openxmlformats.org/officeDocument/2006/relationships/hyperlink" Target="https://www.officialgazette.gov.ph/k-12/"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0DC991-13C2-3F44-A3CB-07A631C1A430}">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E7BA-5692-43B6-9BA4-EC7A4F23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0</TotalTime>
  <Pages>8</Pages>
  <Words>3343</Words>
  <Characters>20163</Characters>
  <Application>Microsoft Office Word</Application>
  <DocSecurity>0</DocSecurity>
  <Lines>480</Lines>
  <Paragraphs>197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23309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Office User</cp:lastModifiedBy>
  <cp:revision>2</cp:revision>
  <cp:lastPrinted>1999-07-06T11:00:00Z</cp:lastPrinted>
  <dcterms:created xsi:type="dcterms:W3CDTF">2025-07-15T07:46:00Z</dcterms:created>
  <dcterms:modified xsi:type="dcterms:W3CDTF">2025-07-15T07:46:00Z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documentId_6272</vt:lpwstr>
  </property>
  <property fmtid="{D5CDD505-2E9C-101B-9397-08002B2CF9AE}" pid="3" name="grammarly_documentContext">
    <vt:lpwstr>{"goals":[],"domain":"general","emotions":[],"dialect":"american"}</vt:lpwstr>
  </property>
</Properties>
</file>