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859B" w14:textId="77777777" w:rsidR="00754C9A" w:rsidRPr="00607E75" w:rsidRDefault="00754C9A" w:rsidP="00441B6F">
      <w:pPr>
        <w:pStyle w:val="Title"/>
        <w:spacing w:after="0"/>
        <w:jc w:val="both"/>
        <w:rPr>
          <w:rFonts w:ascii="Arial" w:hAnsi="Arial" w:cs="Arial"/>
        </w:rPr>
      </w:pPr>
    </w:p>
    <w:p w14:paraId="2F4465D3" w14:textId="7E31E3EB" w:rsidR="00163BC4" w:rsidRPr="00607E75" w:rsidRDefault="007B7445" w:rsidP="007B7445">
      <w:pPr>
        <w:pStyle w:val="Author"/>
        <w:spacing w:line="240" w:lineRule="auto"/>
        <w:jc w:val="both"/>
        <w:rPr>
          <w:rFonts w:ascii="Arial" w:hAnsi="Arial" w:cs="Arial"/>
          <w:bCs/>
          <w:kern w:val="28"/>
          <w:sz w:val="36"/>
        </w:rPr>
      </w:pPr>
      <w:bookmarkStart w:id="0" w:name="_Hlk184295409"/>
      <w:r w:rsidRPr="00607E75">
        <w:rPr>
          <w:rFonts w:ascii="Arial" w:hAnsi="Arial" w:cs="Arial"/>
          <w:bCs/>
          <w:color w:val="000000" w:themeColor="text1"/>
          <w:sz w:val="36"/>
          <w:szCs w:val="36"/>
        </w:rPr>
        <w:t>Tax Knowledge and Tax Compliance Among Business Owners: A Correlational Study</w:t>
      </w:r>
      <w:bookmarkEnd w:id="0"/>
    </w:p>
    <w:p w14:paraId="6E03134F" w14:textId="77777777" w:rsidR="00A258C3" w:rsidRPr="00607E75" w:rsidRDefault="00A258C3" w:rsidP="008B3353">
      <w:pPr>
        <w:pStyle w:val="Author"/>
        <w:spacing w:line="240" w:lineRule="auto"/>
        <w:jc w:val="left"/>
        <w:rPr>
          <w:rFonts w:ascii="Arial" w:hAnsi="Arial" w:cs="Arial"/>
          <w:sz w:val="36"/>
        </w:rPr>
      </w:pPr>
    </w:p>
    <w:p w14:paraId="0C1ECA5B" w14:textId="5E93F33F" w:rsidR="00790ADA" w:rsidRDefault="00790ADA" w:rsidP="00441B6F">
      <w:pPr>
        <w:pStyle w:val="Affiliation"/>
        <w:spacing w:after="0" w:line="240" w:lineRule="auto"/>
        <w:jc w:val="both"/>
        <w:rPr>
          <w:rFonts w:ascii="Arial" w:hAnsi="Arial" w:cs="Arial"/>
        </w:rPr>
      </w:pPr>
    </w:p>
    <w:p w14:paraId="6CE7B2B1" w14:textId="0FBF2558" w:rsidR="009E3C0C" w:rsidRDefault="009E3C0C" w:rsidP="00441B6F">
      <w:pPr>
        <w:pStyle w:val="Affiliation"/>
        <w:spacing w:after="0" w:line="240" w:lineRule="auto"/>
        <w:jc w:val="both"/>
        <w:rPr>
          <w:rFonts w:ascii="Arial" w:hAnsi="Arial" w:cs="Arial"/>
        </w:rPr>
      </w:pPr>
    </w:p>
    <w:p w14:paraId="330849F5" w14:textId="77777777" w:rsidR="009E3C0C" w:rsidRPr="00607E75" w:rsidRDefault="009E3C0C" w:rsidP="00441B6F">
      <w:pPr>
        <w:pStyle w:val="Affiliation"/>
        <w:spacing w:after="0" w:line="240" w:lineRule="auto"/>
        <w:jc w:val="both"/>
        <w:rPr>
          <w:rFonts w:ascii="Arial" w:hAnsi="Arial" w:cs="Arial"/>
        </w:rPr>
      </w:pPr>
    </w:p>
    <w:p w14:paraId="4FD9A78E" w14:textId="3B603D31" w:rsidR="00B01FCD" w:rsidRPr="00607E75" w:rsidRDefault="00ED0004" w:rsidP="00441B6F">
      <w:pPr>
        <w:pStyle w:val="Copyright"/>
        <w:spacing w:after="0" w:line="240" w:lineRule="auto"/>
        <w:jc w:val="both"/>
        <w:rPr>
          <w:rFonts w:ascii="Arial" w:hAnsi="Arial" w:cs="Arial"/>
        </w:rPr>
        <w:sectPr w:rsidR="00B01FCD" w:rsidRPr="00607E75" w:rsidSect="001B0D8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607E75">
        <w:rPr>
          <w:rFonts w:ascii="Arial" w:hAnsi="Arial" w:cs="Arial"/>
          <w:noProof/>
        </w:rPr>
        <mc:AlternateContent>
          <mc:Choice Requires="wps">
            <w:drawing>
              <wp:inline distT="0" distB="0" distL="0" distR="0" wp14:anchorId="4BC15F09" wp14:editId="7925D4C3">
                <wp:extent cx="5303520" cy="635"/>
                <wp:effectExtent l="13335" t="13335" r="17145" b="15240"/>
                <wp:docPr id="17594516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A2F6E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07E75">
        <w:rPr>
          <w:rFonts w:ascii="Arial" w:hAnsi="Arial" w:cs="Arial"/>
        </w:rPr>
        <w:t>.</w:t>
      </w:r>
    </w:p>
    <w:p w14:paraId="04A64B9B" w14:textId="3166DF0F" w:rsidR="00790ADA" w:rsidRPr="00607E75" w:rsidRDefault="00B01FCD" w:rsidP="00441B6F">
      <w:pPr>
        <w:pStyle w:val="AbstHead"/>
        <w:spacing w:after="0"/>
        <w:jc w:val="both"/>
        <w:rPr>
          <w:rFonts w:ascii="Arial" w:hAnsi="Arial" w:cs="Arial"/>
        </w:rPr>
      </w:pPr>
      <w:r w:rsidRPr="00607E75">
        <w:rPr>
          <w:rFonts w:ascii="Arial" w:hAnsi="Arial" w:cs="Arial"/>
        </w:rPr>
        <w:t>ABSTRACT</w:t>
      </w:r>
      <w:r w:rsidR="0066510A" w:rsidRPr="00607E75">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0"/>
      </w:tblGrid>
      <w:tr w:rsidR="00296529" w:rsidRPr="00607E75" w14:paraId="3F710D7E" w14:textId="77777777" w:rsidTr="001E44FE">
        <w:tc>
          <w:tcPr>
            <w:tcW w:w="9576" w:type="dxa"/>
            <w:shd w:val="clear" w:color="auto" w:fill="F2F2F2"/>
          </w:tcPr>
          <w:p w14:paraId="23F2752F" w14:textId="25C111CC" w:rsidR="00BA1B01" w:rsidRPr="00607E75" w:rsidRDefault="00BA1B01" w:rsidP="00441B6F">
            <w:pPr>
              <w:pStyle w:val="Body"/>
              <w:spacing w:after="0"/>
              <w:rPr>
                <w:rFonts w:ascii="Arial" w:eastAsia="Calibri" w:hAnsi="Arial" w:cs="Arial"/>
                <w:bCs/>
                <w:sz w:val="22"/>
                <w:szCs w:val="24"/>
              </w:rPr>
            </w:pPr>
            <w:r w:rsidRPr="00876E40">
              <w:rPr>
                <w:rFonts w:ascii="Arial" w:eastAsia="Calibri" w:hAnsi="Arial" w:cs="Arial"/>
                <w:b/>
                <w:sz w:val="22"/>
                <w:szCs w:val="24"/>
              </w:rPr>
              <w:t>Aims</w:t>
            </w:r>
            <w:r w:rsidRPr="00607E75">
              <w:rPr>
                <w:rFonts w:ascii="Arial" w:eastAsia="Calibri" w:hAnsi="Arial" w:cs="Arial"/>
                <w:bCs/>
                <w:sz w:val="22"/>
                <w:szCs w:val="24"/>
              </w:rPr>
              <w:t xml:space="preserve">: </w:t>
            </w:r>
            <w:r w:rsidR="004D7AB3" w:rsidRPr="00607E75">
              <w:rPr>
                <w:rFonts w:ascii="Arial" w:eastAsia="Calibri" w:hAnsi="Arial" w:cs="Arial"/>
                <w:bCs/>
                <w:sz w:val="22"/>
                <w:szCs w:val="24"/>
              </w:rPr>
              <w:t xml:space="preserve">To study correlates the level of tax knowledge—including awareness of sanctions, knowledge of tax rights and responsibilities, and knowledge of business income—with the degree of tax compliance among business owners in </w:t>
            </w:r>
            <w:proofErr w:type="spellStart"/>
            <w:r w:rsidR="004D7AB3" w:rsidRPr="00607E75">
              <w:rPr>
                <w:rFonts w:ascii="Arial" w:eastAsia="Calibri" w:hAnsi="Arial" w:cs="Arial"/>
                <w:bCs/>
                <w:sz w:val="22"/>
                <w:szCs w:val="24"/>
              </w:rPr>
              <w:t>Cateel</w:t>
            </w:r>
            <w:proofErr w:type="spellEnd"/>
            <w:r w:rsidR="004D7AB3" w:rsidRPr="00607E75">
              <w:rPr>
                <w:rFonts w:ascii="Arial" w:eastAsia="Calibri" w:hAnsi="Arial" w:cs="Arial"/>
                <w:bCs/>
                <w:sz w:val="22"/>
                <w:szCs w:val="24"/>
              </w:rPr>
              <w:t>, Davao Oriental, and to identify which knowledge areas most strongly influence compliance behavior.</w:t>
            </w:r>
          </w:p>
          <w:p w14:paraId="3BEF7568" w14:textId="32315780" w:rsidR="004D7AB3" w:rsidRPr="00876E40" w:rsidRDefault="00BA1B01" w:rsidP="004D7AB3">
            <w:pPr>
              <w:pStyle w:val="Body"/>
              <w:spacing w:after="0"/>
              <w:rPr>
                <w:rFonts w:ascii="Arial" w:eastAsia="Calibri" w:hAnsi="Arial" w:cs="Arial"/>
                <w:bCs/>
                <w:sz w:val="24"/>
                <w:szCs w:val="28"/>
                <w:lang w:val="en-PH"/>
              </w:rPr>
            </w:pPr>
            <w:r w:rsidRPr="00876E40">
              <w:rPr>
                <w:rFonts w:ascii="Arial" w:eastAsia="Calibri" w:hAnsi="Arial" w:cs="Arial"/>
                <w:b/>
                <w:sz w:val="22"/>
                <w:szCs w:val="24"/>
              </w:rPr>
              <w:t>Study design</w:t>
            </w:r>
            <w:r w:rsidRPr="00607E75">
              <w:rPr>
                <w:rFonts w:ascii="Arial" w:eastAsia="Calibri" w:hAnsi="Arial" w:cs="Arial"/>
                <w:bCs/>
                <w:sz w:val="22"/>
                <w:szCs w:val="24"/>
              </w:rPr>
              <w:t>:</w:t>
            </w:r>
            <w:r w:rsidR="004D7AB3" w:rsidRPr="00607E75">
              <w:rPr>
                <w:rFonts w:ascii="Arial" w:eastAsia="Calibri" w:hAnsi="Arial" w:cs="Arial"/>
                <w:bCs/>
                <w:sz w:val="22"/>
                <w:szCs w:val="24"/>
              </w:rPr>
              <w:t xml:space="preserve"> The research utilized Descriptive</w:t>
            </w:r>
            <w:r w:rsidR="004D7AB3" w:rsidRPr="00607E75">
              <w:rPr>
                <w:rFonts w:ascii="Arial" w:eastAsia="Calibri" w:hAnsi="Arial" w:cs="Arial"/>
                <w:bCs/>
                <w:sz w:val="22"/>
                <w:szCs w:val="24"/>
                <w:lang w:val="en-PH"/>
              </w:rPr>
              <w:t>-correlational study.</w:t>
            </w:r>
            <w:r w:rsidR="00876E40">
              <w:rPr>
                <w:rFonts w:ascii="Arial" w:eastAsia="Calibri" w:hAnsi="Arial" w:cs="Arial"/>
                <w:bCs/>
                <w:sz w:val="22"/>
                <w:szCs w:val="24"/>
                <w:lang w:val="en-PH"/>
              </w:rPr>
              <w:t xml:space="preserve"> </w:t>
            </w:r>
            <w:r w:rsidR="00876E40" w:rsidRPr="00876E40">
              <w:rPr>
                <w:rFonts w:ascii="Arial" w:hAnsi="Arial" w:cs="Arial"/>
                <w:sz w:val="22"/>
                <w:szCs w:val="22"/>
                <w:lang w:val="en-PH"/>
              </w:rPr>
              <w:t xml:space="preserve">The correlational component aimed to identify the degree of association between tax knowledge and compliance behaviors. This design is appropriate for identifying relationships without manipulating the variables, aligning with methods described by </w:t>
            </w:r>
            <w:r w:rsidR="00876E40" w:rsidRPr="00876E40">
              <w:rPr>
                <w:rFonts w:ascii="Arial" w:hAnsi="Arial" w:cs="Arial"/>
                <w:sz w:val="22"/>
                <w:szCs w:val="22"/>
              </w:rPr>
              <w:t>(Devi et</w:t>
            </w:r>
            <w:r w:rsidR="00876E40" w:rsidRPr="00876E40">
              <w:rPr>
                <w:rFonts w:ascii="Arial" w:hAnsi="Arial" w:cs="Arial"/>
                <w:spacing w:val="-8"/>
                <w:sz w:val="22"/>
                <w:szCs w:val="22"/>
              </w:rPr>
              <w:t xml:space="preserve"> </w:t>
            </w:r>
            <w:r w:rsidR="00876E40" w:rsidRPr="00876E40">
              <w:rPr>
                <w:rFonts w:ascii="Arial" w:hAnsi="Arial" w:cs="Arial"/>
                <w:sz w:val="22"/>
                <w:szCs w:val="22"/>
              </w:rPr>
              <w:t>al.,</w:t>
            </w:r>
            <w:r w:rsidR="00876E40" w:rsidRPr="00876E40">
              <w:rPr>
                <w:rFonts w:ascii="Arial" w:hAnsi="Arial" w:cs="Arial"/>
                <w:spacing w:val="-8"/>
                <w:sz w:val="22"/>
                <w:szCs w:val="22"/>
              </w:rPr>
              <w:t xml:space="preserve"> </w:t>
            </w:r>
            <w:r w:rsidR="00876E40" w:rsidRPr="00876E40">
              <w:rPr>
                <w:rFonts w:ascii="Arial" w:hAnsi="Arial" w:cs="Arial"/>
                <w:sz w:val="22"/>
                <w:szCs w:val="22"/>
              </w:rPr>
              <w:t>2023</w:t>
            </w:r>
            <w:r w:rsidR="00876E40" w:rsidRPr="00876E40">
              <w:rPr>
                <w:rFonts w:ascii="Arial" w:hAnsi="Arial" w:cs="Arial"/>
                <w:sz w:val="22"/>
                <w:szCs w:val="22"/>
                <w:lang w:val="en-PH"/>
              </w:rPr>
              <w:t>).</w:t>
            </w:r>
          </w:p>
          <w:p w14:paraId="6B6ED62E" w14:textId="73F86BF0" w:rsidR="004D7AB3" w:rsidRPr="00607E75" w:rsidRDefault="00BA1B01" w:rsidP="004D7AB3">
            <w:pPr>
              <w:pStyle w:val="Body"/>
              <w:spacing w:after="0"/>
              <w:rPr>
                <w:rFonts w:ascii="Arial" w:eastAsia="Calibri" w:hAnsi="Arial" w:cs="Arial"/>
                <w:bCs/>
                <w:sz w:val="22"/>
                <w:szCs w:val="24"/>
                <w:lang w:val="en-PH"/>
              </w:rPr>
            </w:pPr>
            <w:r w:rsidRPr="00374CC5">
              <w:rPr>
                <w:rFonts w:ascii="Arial" w:eastAsia="Calibri" w:hAnsi="Arial" w:cs="Arial"/>
                <w:b/>
                <w:sz w:val="22"/>
                <w:szCs w:val="24"/>
              </w:rPr>
              <w:t>Place and Duration of Study</w:t>
            </w:r>
            <w:r w:rsidRPr="00607E75">
              <w:rPr>
                <w:rFonts w:ascii="Arial" w:eastAsia="Calibri" w:hAnsi="Arial" w:cs="Arial"/>
                <w:bCs/>
                <w:sz w:val="22"/>
                <w:szCs w:val="24"/>
              </w:rPr>
              <w:t>:</w:t>
            </w:r>
            <w:r w:rsidR="004D7AB3" w:rsidRPr="00607E75">
              <w:rPr>
                <w:rFonts w:ascii="Arial" w:eastAsia="Calibri" w:hAnsi="Arial" w:cs="Arial"/>
                <w:bCs/>
                <w:sz w:val="22"/>
                <w:szCs w:val="24"/>
              </w:rPr>
              <w:t xml:space="preserve"> The study was conducted at</w:t>
            </w:r>
            <w:r w:rsidRPr="00607E75">
              <w:rPr>
                <w:rFonts w:ascii="Arial" w:eastAsia="Calibri" w:hAnsi="Arial" w:cs="Arial"/>
                <w:bCs/>
                <w:sz w:val="22"/>
                <w:szCs w:val="24"/>
              </w:rPr>
              <w:t xml:space="preserve"> </w:t>
            </w:r>
            <w:proofErr w:type="spellStart"/>
            <w:r w:rsidR="004D7AB3" w:rsidRPr="00607E75">
              <w:rPr>
                <w:rFonts w:ascii="Arial" w:eastAsia="Calibri" w:hAnsi="Arial" w:cs="Arial"/>
                <w:bCs/>
                <w:sz w:val="22"/>
                <w:szCs w:val="24"/>
                <w:lang w:val="en-PH"/>
              </w:rPr>
              <w:t>Cateel</w:t>
            </w:r>
            <w:proofErr w:type="spellEnd"/>
            <w:r w:rsidR="004D7AB3" w:rsidRPr="00607E75">
              <w:rPr>
                <w:rFonts w:ascii="Arial" w:eastAsia="Calibri" w:hAnsi="Arial" w:cs="Arial"/>
                <w:bCs/>
                <w:sz w:val="22"/>
                <w:szCs w:val="24"/>
                <w:lang w:val="en-PH"/>
              </w:rPr>
              <w:t>, Davao Oriental, Philippines. Data collection was conducted between March and April 2025.</w:t>
            </w:r>
          </w:p>
          <w:p w14:paraId="52D94E58" w14:textId="4CA802C3" w:rsidR="004D7AB3" w:rsidRPr="00607E75" w:rsidRDefault="00BA1B01" w:rsidP="004D7AB3">
            <w:pPr>
              <w:pStyle w:val="Body"/>
              <w:spacing w:after="0"/>
              <w:rPr>
                <w:rFonts w:ascii="Arial" w:eastAsia="Calibri" w:hAnsi="Arial" w:cs="Arial"/>
                <w:bCs/>
                <w:sz w:val="22"/>
                <w:szCs w:val="24"/>
                <w:lang w:val="en-PH"/>
              </w:rPr>
            </w:pPr>
            <w:r w:rsidRPr="00876E40">
              <w:rPr>
                <w:rFonts w:ascii="Arial" w:eastAsia="Calibri" w:hAnsi="Arial" w:cs="Arial"/>
                <w:b/>
                <w:sz w:val="22"/>
                <w:szCs w:val="24"/>
              </w:rPr>
              <w:t>Methodology</w:t>
            </w:r>
            <w:r w:rsidR="004D7AB3" w:rsidRPr="00607E75">
              <w:rPr>
                <w:rFonts w:ascii="Arial" w:eastAsia="Calibri" w:hAnsi="Arial" w:cs="Arial"/>
                <w:bCs/>
                <w:sz w:val="22"/>
                <w:szCs w:val="24"/>
              </w:rPr>
              <w:t>:</w:t>
            </w:r>
            <w:r w:rsidR="004D7AB3" w:rsidRPr="00607E75">
              <w:rPr>
                <w:rFonts w:ascii="Arial" w:hAnsi="Arial" w:cs="Arial"/>
                <w:bCs/>
                <w:sz w:val="22"/>
                <w:szCs w:val="28"/>
                <w:lang w:val="en-PH" w:eastAsia="zh-CN"/>
              </w:rPr>
              <w:t xml:space="preserve"> </w:t>
            </w:r>
            <w:r w:rsidR="004D7AB3" w:rsidRPr="00607E75">
              <w:rPr>
                <w:rFonts w:ascii="Arial" w:eastAsia="Calibri" w:hAnsi="Arial" w:cs="Arial"/>
                <w:bCs/>
                <w:sz w:val="22"/>
                <w:szCs w:val="24"/>
                <w:lang w:val="en-PH"/>
              </w:rPr>
              <w:t xml:space="preserve">A total of 139 registered business owners were selected using stratified random sampling from various sectors (trading, services, manufacturing). A structured questionnaire adapted from </w:t>
            </w:r>
            <w:proofErr w:type="spellStart"/>
            <w:r w:rsidR="004D7AB3" w:rsidRPr="00607E75">
              <w:rPr>
                <w:rFonts w:ascii="Arial" w:eastAsia="Calibri" w:hAnsi="Arial" w:cs="Arial"/>
                <w:bCs/>
                <w:sz w:val="22"/>
                <w:szCs w:val="24"/>
                <w:lang w:val="en-PH"/>
              </w:rPr>
              <w:t>Twum</w:t>
            </w:r>
            <w:proofErr w:type="spellEnd"/>
            <w:r w:rsidR="004D7AB3" w:rsidRPr="00607E75">
              <w:rPr>
                <w:rFonts w:ascii="Arial" w:eastAsia="Calibri" w:hAnsi="Arial" w:cs="Arial"/>
                <w:bCs/>
                <w:sz w:val="22"/>
                <w:szCs w:val="24"/>
                <w:lang w:val="en-PH"/>
              </w:rPr>
              <w:t xml:space="preserve"> et al. (2020) was used to collect data on demographic profiles, tax knowledge (rights, business income, and sanctions), and self-reported compliance behavior. Responses were measured using a 5-point Likert scale. Data were analyzed using descriptive statistics, ANOVA, and Pearson’s correlation coefficient to test relationships between knowledge dimensions and compliance.</w:t>
            </w:r>
          </w:p>
          <w:p w14:paraId="32FA1708" w14:textId="0A85311D" w:rsidR="004D7AB3" w:rsidRPr="00607E75" w:rsidRDefault="00BA1B01" w:rsidP="00441B6F">
            <w:pPr>
              <w:pStyle w:val="Body"/>
              <w:spacing w:after="0"/>
              <w:rPr>
                <w:rFonts w:ascii="Arial" w:eastAsia="Calibri" w:hAnsi="Arial" w:cs="Arial"/>
                <w:bCs/>
                <w:sz w:val="22"/>
                <w:szCs w:val="24"/>
              </w:rPr>
            </w:pPr>
            <w:r w:rsidRPr="00374CC5">
              <w:rPr>
                <w:rFonts w:ascii="Arial" w:eastAsia="Calibri" w:hAnsi="Arial" w:cs="Arial"/>
                <w:b/>
                <w:sz w:val="22"/>
                <w:szCs w:val="24"/>
              </w:rPr>
              <w:t>Results:</w:t>
            </w:r>
            <w:r w:rsidRPr="00607E75">
              <w:rPr>
                <w:rFonts w:ascii="Arial" w:eastAsia="Calibri" w:hAnsi="Arial" w:cs="Arial"/>
                <w:bCs/>
                <w:sz w:val="22"/>
                <w:szCs w:val="24"/>
              </w:rPr>
              <w:t xml:space="preserve"> </w:t>
            </w:r>
            <w:r w:rsidR="004D7AB3" w:rsidRPr="00607E75">
              <w:rPr>
                <w:rFonts w:ascii="Arial" w:eastAsia="Calibri" w:hAnsi="Arial" w:cs="Arial"/>
                <w:bCs/>
                <w:sz w:val="22"/>
                <w:szCs w:val="24"/>
              </w:rPr>
              <w:t>The findings showed that business owners had extensive tax knowledge (x̄ = 4.46) and high levels of compliance (x̄ = 4.84). Pearson correlation revealed a weak but statistically significant relationship between tax compliance and awareness of sanctions (r = 0.22, p = 0.01), and tax rights and responsibilities (r = 0.15, p = 0.08)</w:t>
            </w:r>
            <w:r w:rsidR="009F1D65">
              <w:rPr>
                <w:rFonts w:ascii="Arial" w:eastAsia="Calibri" w:hAnsi="Arial" w:cs="Arial"/>
                <w:bCs/>
                <w:sz w:val="22"/>
                <w:szCs w:val="24"/>
              </w:rPr>
              <w:t>. It aligns to the researched by</w:t>
            </w:r>
            <w:r w:rsidR="009403F3">
              <w:rPr>
                <w:rFonts w:ascii="Arial" w:eastAsia="Calibri" w:hAnsi="Arial" w:cs="Arial"/>
                <w:bCs/>
                <w:sz w:val="22"/>
                <w:szCs w:val="24"/>
              </w:rPr>
              <w:t xml:space="preserve"> </w:t>
            </w:r>
            <w:r w:rsidR="009D0AE9">
              <w:rPr>
                <w:rFonts w:ascii="Arial" w:eastAsia="Calibri" w:hAnsi="Arial" w:cs="Arial"/>
                <w:bCs/>
                <w:sz w:val="22"/>
                <w:szCs w:val="24"/>
              </w:rPr>
              <w:t>Smulders, C.,</w:t>
            </w:r>
            <w:r w:rsidR="009403F3">
              <w:rPr>
                <w:rFonts w:ascii="Arial" w:eastAsia="Calibri" w:hAnsi="Arial" w:cs="Arial"/>
                <w:bCs/>
                <w:sz w:val="22"/>
                <w:szCs w:val="24"/>
              </w:rPr>
              <w:t xml:space="preserve"> and </w:t>
            </w:r>
            <w:r w:rsidR="009D0AE9">
              <w:rPr>
                <w:rFonts w:ascii="Arial" w:eastAsia="Calibri" w:hAnsi="Arial" w:cs="Arial"/>
                <w:bCs/>
                <w:sz w:val="22"/>
                <w:szCs w:val="24"/>
              </w:rPr>
              <w:t>Evans, C.,</w:t>
            </w:r>
            <w:r w:rsidR="009403F3">
              <w:rPr>
                <w:rFonts w:ascii="Arial" w:eastAsia="Calibri" w:hAnsi="Arial" w:cs="Arial"/>
                <w:bCs/>
                <w:sz w:val="22"/>
                <w:szCs w:val="24"/>
              </w:rPr>
              <w:t xml:space="preserve"> (201</w:t>
            </w:r>
            <w:r w:rsidR="009D0AE9">
              <w:rPr>
                <w:rFonts w:ascii="Arial" w:eastAsia="Calibri" w:hAnsi="Arial" w:cs="Arial"/>
                <w:bCs/>
                <w:sz w:val="22"/>
                <w:szCs w:val="24"/>
              </w:rPr>
              <w:t>7</w:t>
            </w:r>
            <w:r w:rsidR="009403F3">
              <w:rPr>
                <w:rFonts w:ascii="Arial" w:eastAsia="Calibri" w:hAnsi="Arial" w:cs="Arial"/>
                <w:bCs/>
                <w:sz w:val="22"/>
                <w:szCs w:val="24"/>
              </w:rPr>
              <w:t>) that emphasized individuals who are well informed about their tax rights and obligations are more likely to comply with tax laws. Additionally,</w:t>
            </w:r>
            <w:r w:rsidR="009F1D65">
              <w:rPr>
                <w:rFonts w:ascii="Arial" w:eastAsia="Calibri" w:hAnsi="Arial" w:cs="Arial"/>
                <w:bCs/>
                <w:sz w:val="22"/>
                <w:szCs w:val="24"/>
              </w:rPr>
              <w:t xml:space="preserve"> </w:t>
            </w:r>
            <w:proofErr w:type="spellStart"/>
            <w:r w:rsidR="009F1D65">
              <w:rPr>
                <w:rFonts w:ascii="Arial" w:eastAsia="Calibri" w:hAnsi="Arial" w:cs="Arial"/>
                <w:bCs/>
                <w:sz w:val="22"/>
                <w:szCs w:val="24"/>
              </w:rPr>
              <w:t>Mas’ud</w:t>
            </w:r>
            <w:proofErr w:type="spellEnd"/>
            <w:r w:rsidR="009F1D65">
              <w:rPr>
                <w:rFonts w:ascii="Arial" w:eastAsia="Calibri" w:hAnsi="Arial" w:cs="Arial"/>
                <w:bCs/>
                <w:sz w:val="22"/>
                <w:szCs w:val="24"/>
              </w:rPr>
              <w:t xml:space="preserve"> et al., (2019) showed that perceived enforcements serve as powerful deterrent against </w:t>
            </w:r>
            <w:r w:rsidR="009403F3">
              <w:rPr>
                <w:rFonts w:ascii="Arial" w:eastAsia="Calibri" w:hAnsi="Arial" w:cs="Arial"/>
                <w:bCs/>
                <w:sz w:val="22"/>
                <w:szCs w:val="24"/>
              </w:rPr>
              <w:t>evasion.</w:t>
            </w:r>
            <w:r w:rsidR="004D7AB3" w:rsidRPr="00607E75">
              <w:rPr>
                <w:rFonts w:ascii="Arial" w:eastAsia="Calibri" w:hAnsi="Arial" w:cs="Arial"/>
                <w:bCs/>
                <w:sz w:val="22"/>
                <w:szCs w:val="24"/>
              </w:rPr>
              <w:t xml:space="preserve"> However, knowledge of business income was not significantly associated with compliance (r = 0.13, p = 0.13). No significant differences were observed in tax knowledge or compliance based on age, business size/type, education level, or years of operation (p &gt; 0.05).</w:t>
            </w:r>
            <w:r w:rsidR="00374CC5">
              <w:rPr>
                <w:rFonts w:ascii="Arial" w:eastAsia="Calibri" w:hAnsi="Arial" w:cs="Arial"/>
                <w:bCs/>
                <w:sz w:val="22"/>
                <w:szCs w:val="24"/>
              </w:rPr>
              <w:t xml:space="preserve"> </w:t>
            </w:r>
          </w:p>
          <w:p w14:paraId="2E6000F9" w14:textId="77777777" w:rsidR="00505F06" w:rsidRDefault="00BA1B01" w:rsidP="00441B6F">
            <w:pPr>
              <w:pStyle w:val="Body"/>
              <w:spacing w:after="0"/>
              <w:rPr>
                <w:rFonts w:ascii="Arial" w:eastAsia="Calibri" w:hAnsi="Arial" w:cs="Arial"/>
                <w:bCs/>
                <w:sz w:val="22"/>
                <w:szCs w:val="24"/>
              </w:rPr>
            </w:pPr>
            <w:r w:rsidRPr="00374CC5">
              <w:rPr>
                <w:rFonts w:ascii="Arial" w:eastAsia="Calibri" w:hAnsi="Arial" w:cs="Arial"/>
                <w:b/>
                <w:sz w:val="22"/>
                <w:szCs w:val="24"/>
              </w:rPr>
              <w:t>Conclusion:</w:t>
            </w:r>
            <w:r w:rsidRPr="00607E75">
              <w:rPr>
                <w:rFonts w:ascii="Arial" w:eastAsia="Calibri" w:hAnsi="Arial" w:cs="Arial"/>
                <w:bCs/>
                <w:sz w:val="22"/>
                <w:szCs w:val="24"/>
              </w:rPr>
              <w:t xml:space="preserve"> </w:t>
            </w:r>
            <w:r w:rsidR="004D7AB3" w:rsidRPr="00607E75">
              <w:rPr>
                <w:rFonts w:ascii="Arial" w:eastAsia="Calibri" w:hAnsi="Arial" w:cs="Arial"/>
                <w:bCs/>
                <w:sz w:val="22"/>
                <w:szCs w:val="24"/>
              </w:rPr>
              <w:t>Specific components of tax knowledge</w:t>
            </w:r>
            <w:r w:rsidR="00876E40">
              <w:rPr>
                <w:rFonts w:ascii="Arial" w:eastAsia="Calibri" w:hAnsi="Arial" w:cs="Arial"/>
                <w:bCs/>
                <w:sz w:val="22"/>
                <w:szCs w:val="24"/>
              </w:rPr>
              <w:t xml:space="preserve"> </w:t>
            </w:r>
            <w:r w:rsidR="004D7AB3" w:rsidRPr="00607E75">
              <w:rPr>
                <w:rFonts w:ascii="Arial" w:eastAsia="Calibri" w:hAnsi="Arial" w:cs="Arial"/>
                <w:bCs/>
                <w:sz w:val="22"/>
                <w:szCs w:val="24"/>
              </w:rPr>
              <w:t>particularly awareness of sanctions and understanding of tax rights are modest predictors of compliance behavior. These findings support the need for targeted taxpayer education programs that emphasize legal responsibilities and consequences of non-compliance. By focusing on these areas, government agencies may enhance voluntary compliance and improve revenue collection efficiency.</w:t>
            </w:r>
          </w:p>
          <w:p w14:paraId="5DD13F2A" w14:textId="7D433431" w:rsidR="003078E2" w:rsidRPr="003078E2" w:rsidRDefault="003078E2" w:rsidP="00441B6F">
            <w:pPr>
              <w:pStyle w:val="Body"/>
              <w:spacing w:after="0"/>
              <w:rPr>
                <w:rFonts w:ascii="Arial" w:eastAsia="Calibri" w:hAnsi="Arial" w:cs="Arial"/>
                <w:b/>
                <w:sz w:val="22"/>
                <w:szCs w:val="24"/>
              </w:rPr>
            </w:pPr>
            <w:r>
              <w:rPr>
                <w:rFonts w:ascii="Arial" w:eastAsia="Calibri" w:hAnsi="Arial" w:cs="Arial"/>
                <w:b/>
                <w:sz w:val="22"/>
                <w:szCs w:val="24"/>
              </w:rPr>
              <w:lastRenderedPageBreak/>
              <w:t>Implication</w:t>
            </w:r>
            <w:r w:rsidRPr="003078E2">
              <w:rPr>
                <w:rFonts w:ascii="Arial" w:eastAsia="Calibri" w:hAnsi="Arial" w:cs="Arial"/>
                <w:bCs/>
                <w:sz w:val="22"/>
                <w:szCs w:val="24"/>
              </w:rPr>
              <w:t>: This study contributes to the limited literature on rural tax behavior by identifying the knowledge gaps that hinder compliance and suggesting areas for improved tax education and policy focus.</w:t>
            </w:r>
          </w:p>
        </w:tc>
      </w:tr>
    </w:tbl>
    <w:p w14:paraId="5E7E494E" w14:textId="20088E0B" w:rsidR="004D7AB3" w:rsidRPr="00607E75" w:rsidRDefault="004D7AB3" w:rsidP="004D7AB3">
      <w:pPr>
        <w:spacing w:line="480" w:lineRule="auto"/>
        <w:jc w:val="both"/>
        <w:rPr>
          <w:rFonts w:ascii="Arial" w:hAnsi="Arial" w:cs="Arial"/>
          <w:bCs/>
          <w:color w:val="000000" w:themeColor="text1"/>
          <w:sz w:val="24"/>
          <w:szCs w:val="24"/>
        </w:rPr>
        <w:sectPr w:rsidR="004D7AB3" w:rsidRPr="00607E75" w:rsidSect="001B0D84">
          <w:type w:val="continuous"/>
          <w:pgSz w:w="12240" w:h="15840" w:code="1"/>
          <w:pgMar w:top="1800" w:right="1440" w:bottom="1440" w:left="2160" w:header="403" w:footer="0" w:gutter="0"/>
          <w:pgNumType w:fmt="lowerRoman"/>
          <w:cols w:space="720"/>
          <w:docGrid w:linePitch="360"/>
        </w:sectPr>
      </w:pPr>
      <w:r w:rsidRPr="00607E75">
        <w:rPr>
          <w:rFonts w:ascii="Arial" w:hAnsi="Arial" w:cs="Arial"/>
        </w:rPr>
        <w:lastRenderedPageBreak/>
        <w:t>K</w:t>
      </w:r>
      <w:r w:rsidR="00A24E7E" w:rsidRPr="00607E75">
        <w:rPr>
          <w:rFonts w:ascii="Arial" w:hAnsi="Arial" w:cs="Arial"/>
        </w:rPr>
        <w:t>eywords:</w:t>
      </w:r>
      <w:r w:rsidRPr="00607E75">
        <w:rPr>
          <w:rFonts w:ascii="Arial" w:eastAsia="Arial" w:hAnsi="Arial" w:cs="Arial"/>
          <w:bCs/>
          <w:color w:val="000000" w:themeColor="text1"/>
          <w:sz w:val="24"/>
          <w:szCs w:val="24"/>
        </w:rPr>
        <w:t xml:space="preserve"> tax knowledge, tax education, tax compliance, sanctions, business owners</w:t>
      </w:r>
    </w:p>
    <w:p w14:paraId="52DA4323" w14:textId="78D0410E" w:rsidR="007F7B32" w:rsidRPr="00607E75" w:rsidRDefault="00B01FCD" w:rsidP="00441B6F">
      <w:pPr>
        <w:pStyle w:val="AbstHead"/>
        <w:spacing w:after="0"/>
        <w:jc w:val="both"/>
        <w:rPr>
          <w:rFonts w:ascii="Arial" w:hAnsi="Arial" w:cs="Arial"/>
        </w:rPr>
      </w:pPr>
      <w:r w:rsidRPr="00607E75">
        <w:rPr>
          <w:rFonts w:ascii="Arial" w:hAnsi="Arial" w:cs="Arial"/>
        </w:rPr>
        <w:t>INTRODUCTION</w:t>
      </w:r>
      <w:r w:rsidR="007F7B32" w:rsidRPr="00607E75">
        <w:rPr>
          <w:rFonts w:ascii="Arial" w:hAnsi="Arial" w:cs="Arial"/>
        </w:rPr>
        <w:t xml:space="preserve"> </w:t>
      </w:r>
    </w:p>
    <w:p w14:paraId="0E4CD4E9" w14:textId="77777777" w:rsidR="00567AEB" w:rsidRPr="00607E75" w:rsidRDefault="00567AEB" w:rsidP="00441B6F">
      <w:pPr>
        <w:pStyle w:val="AbstHead"/>
        <w:spacing w:after="0"/>
        <w:jc w:val="both"/>
        <w:rPr>
          <w:rFonts w:ascii="Arial" w:hAnsi="Arial" w:cs="Arial"/>
        </w:rPr>
      </w:pPr>
    </w:p>
    <w:p w14:paraId="7CF5B698" w14:textId="77777777" w:rsidR="00567AEB" w:rsidRPr="003E48E5" w:rsidRDefault="00567AEB" w:rsidP="00EB2398">
      <w:pPr>
        <w:spacing w:after="160" w:line="480" w:lineRule="auto"/>
        <w:jc w:val="both"/>
        <w:rPr>
          <w:rFonts w:ascii="Arial" w:eastAsiaTheme="majorEastAsia" w:hAnsi="Arial" w:cs="Arial"/>
          <w:bCs/>
          <w:noProof/>
          <w:color w:val="000000" w:themeColor="text1"/>
          <w:lang w:val="en-PH" w:eastAsia="en-PH"/>
        </w:rPr>
      </w:pPr>
      <w:r w:rsidRPr="003E48E5">
        <w:rPr>
          <w:rFonts w:ascii="Arial" w:eastAsiaTheme="majorEastAsia" w:hAnsi="Arial" w:cs="Arial"/>
          <w:bCs/>
          <w:noProof/>
          <w:color w:val="000000" w:themeColor="text1"/>
          <w:lang w:val="en-PH" w:eastAsia="en-PH"/>
        </w:rPr>
        <w:t>Tax compliance remains a major challenge in developing economies, where tax systems are often perceived as complex and enforcement mechanisms limited. In the Philippines, this is especially evident among small and medium enterprises (SMEs), which form a large part of the economy but often struggle with tax obligations (Weeghel, 2015; Alipio, 2020).</w:t>
      </w:r>
    </w:p>
    <w:p w14:paraId="796AD070" w14:textId="77777777" w:rsidR="00567AEB" w:rsidRPr="003E48E5" w:rsidRDefault="00567AEB" w:rsidP="00EB2398">
      <w:pPr>
        <w:spacing w:after="160" w:line="480" w:lineRule="auto"/>
        <w:jc w:val="both"/>
        <w:rPr>
          <w:rFonts w:ascii="Arial" w:eastAsiaTheme="majorEastAsia" w:hAnsi="Arial" w:cs="Arial"/>
          <w:bCs/>
          <w:noProof/>
          <w:color w:val="000000" w:themeColor="text1"/>
          <w:lang w:val="en-PH" w:eastAsia="en-PH"/>
        </w:rPr>
      </w:pPr>
      <w:r w:rsidRPr="003E48E5">
        <w:rPr>
          <w:rFonts w:ascii="Arial" w:eastAsiaTheme="majorEastAsia" w:hAnsi="Arial" w:cs="Arial"/>
          <w:bCs/>
          <w:noProof/>
          <w:color w:val="000000" w:themeColor="text1"/>
          <w:lang w:val="en-PH" w:eastAsia="en-PH"/>
        </w:rPr>
        <w:t>Tax knowledge, or a taxpayer's understanding of their rights, responsibilities, and relevant regulations, plays a crucial role in promoting compliance. The Theory of Planned Behavior (Ajzen, 2020) posits that behavioral intention is influenced by attitudes, social norms, and perceived control—factors strongly linked to knowledge.</w:t>
      </w:r>
    </w:p>
    <w:p w14:paraId="11CB5632" w14:textId="77777777" w:rsidR="00567AEB" w:rsidRPr="003E48E5" w:rsidRDefault="00567AEB" w:rsidP="00EB2398">
      <w:pPr>
        <w:spacing w:after="160" w:line="480" w:lineRule="auto"/>
        <w:jc w:val="both"/>
        <w:rPr>
          <w:rFonts w:ascii="Arial" w:eastAsiaTheme="majorEastAsia" w:hAnsi="Arial" w:cs="Arial"/>
          <w:bCs/>
          <w:noProof/>
          <w:color w:val="000000" w:themeColor="text1"/>
          <w:lang w:val="en-PH" w:eastAsia="en-PH"/>
        </w:rPr>
      </w:pPr>
      <w:r w:rsidRPr="003E48E5">
        <w:rPr>
          <w:rFonts w:ascii="Arial" w:eastAsiaTheme="majorEastAsia" w:hAnsi="Arial" w:cs="Arial"/>
          <w:bCs/>
          <w:noProof/>
          <w:color w:val="000000" w:themeColor="text1"/>
          <w:lang w:val="en-PH" w:eastAsia="en-PH"/>
        </w:rPr>
        <w:t>Despite tax reforms like the TRAIN Law aimed at streamlining processes and reducing burdens, many Filipino business owners, especially in rural areas like Cateel, Davao Oriental, still report difficulties in complying due to limited access to information, low trust in institutions, and lack of tailored tax education.</w:t>
      </w:r>
    </w:p>
    <w:p w14:paraId="40B6793B" w14:textId="77777777" w:rsidR="00567AEB" w:rsidRDefault="00567AEB" w:rsidP="00EB2398">
      <w:pPr>
        <w:spacing w:after="160" w:line="480" w:lineRule="auto"/>
        <w:jc w:val="both"/>
        <w:rPr>
          <w:rFonts w:ascii="Arial" w:eastAsiaTheme="majorEastAsia" w:hAnsi="Arial" w:cs="Arial"/>
          <w:bCs/>
          <w:noProof/>
          <w:color w:val="000000" w:themeColor="text1"/>
          <w:lang w:val="en-PH" w:eastAsia="en-PH"/>
        </w:rPr>
      </w:pPr>
      <w:r w:rsidRPr="003E48E5">
        <w:rPr>
          <w:rFonts w:ascii="Arial" w:eastAsiaTheme="majorEastAsia" w:hAnsi="Arial" w:cs="Arial"/>
          <w:bCs/>
          <w:noProof/>
          <w:color w:val="000000" w:themeColor="text1"/>
          <w:lang w:val="en-PH" w:eastAsia="en-PH"/>
        </w:rPr>
        <w:t>This study investigates the relationship between tax knowledge and compliance, with a focus on three knowledge components: tax rights and responsibilities, business income, and awareness of sanctions. It also explores whether demographic or business-related factors affect these variables.</w:t>
      </w:r>
    </w:p>
    <w:p w14:paraId="65EEA25E" w14:textId="1553E54F" w:rsidR="006B08A1" w:rsidRPr="006B08A1" w:rsidRDefault="006B08A1" w:rsidP="00EB2398">
      <w:pPr>
        <w:spacing w:after="160" w:line="480" w:lineRule="auto"/>
        <w:jc w:val="both"/>
        <w:rPr>
          <w:rFonts w:ascii="Arial" w:eastAsiaTheme="majorEastAsia" w:hAnsi="Arial" w:cs="Arial"/>
          <w:noProof/>
          <w:color w:val="000000" w:themeColor="text1"/>
          <w:lang w:val="en-PH" w:eastAsia="en-PH"/>
        </w:rPr>
      </w:pPr>
      <w:r w:rsidRPr="006B08A1">
        <w:rPr>
          <w:lang w:val="en-GB"/>
        </w:rPr>
        <w:t>Th</w:t>
      </w:r>
      <w:r>
        <w:rPr>
          <w:lang w:val="en-GB"/>
        </w:rPr>
        <w:t>is research was very</w:t>
      </w:r>
      <w:r w:rsidRPr="006B08A1">
        <w:rPr>
          <w:lang w:val="en-GB"/>
        </w:rPr>
        <w:t xml:space="preserve"> important for the scientific community as it provides research gaps that exist amongst many tax variables such as tax knowledge, tax compliance amongst the small businesses in developing countries. Th</w:t>
      </w:r>
      <w:r>
        <w:rPr>
          <w:lang w:val="en-GB"/>
        </w:rPr>
        <w:t>is</w:t>
      </w:r>
      <w:r w:rsidRPr="006B08A1">
        <w:rPr>
          <w:lang w:val="en-GB"/>
        </w:rPr>
        <w:t xml:space="preserve"> study</w:t>
      </w:r>
      <w:r>
        <w:rPr>
          <w:lang w:val="en-GB"/>
        </w:rPr>
        <w:t xml:space="preserve"> will be a good</w:t>
      </w:r>
      <w:r w:rsidRPr="006B08A1">
        <w:rPr>
          <w:lang w:val="en-GB"/>
        </w:rPr>
        <w:t xml:space="preserve"> source of information on the challenges faced by small businesses to acquire adequate knowledge on tax information. Also, the study provides a methodological gap in measuring tax knowledge.</w:t>
      </w:r>
    </w:p>
    <w:p w14:paraId="43371E5A" w14:textId="44517916" w:rsidR="009A0AF4" w:rsidRDefault="009A0AF4" w:rsidP="00EB2398">
      <w:pPr>
        <w:spacing w:after="160" w:line="480" w:lineRule="auto"/>
        <w:jc w:val="both"/>
        <w:rPr>
          <w:rFonts w:ascii="Arial" w:eastAsiaTheme="majorEastAsia" w:hAnsi="Arial" w:cs="Arial"/>
          <w:b/>
          <w:noProof/>
          <w:color w:val="000000" w:themeColor="text1"/>
          <w:sz w:val="22"/>
          <w:szCs w:val="22"/>
          <w:lang w:val="en-PH" w:eastAsia="en-PH"/>
        </w:rPr>
      </w:pPr>
      <w:r w:rsidRPr="009A0AF4">
        <w:rPr>
          <w:rFonts w:ascii="Arial" w:eastAsiaTheme="majorEastAsia" w:hAnsi="Arial" w:cs="Arial"/>
          <w:b/>
          <w:noProof/>
          <w:color w:val="000000" w:themeColor="text1"/>
          <w:sz w:val="22"/>
          <w:szCs w:val="22"/>
          <w:lang w:val="en-PH" w:eastAsia="en-PH"/>
        </w:rPr>
        <w:lastRenderedPageBreak/>
        <w:t>LITERATURE REVIEW</w:t>
      </w:r>
    </w:p>
    <w:p w14:paraId="4157B270" w14:textId="77777777" w:rsidR="00F46DE5" w:rsidRPr="00136460" w:rsidRDefault="00F46DE5" w:rsidP="00F46DE5">
      <w:pPr>
        <w:spacing w:line="480" w:lineRule="auto"/>
        <w:jc w:val="both"/>
        <w:rPr>
          <w:rFonts w:ascii="Arial" w:hAnsi="Arial" w:cs="Arial"/>
          <w:b/>
          <w:color w:val="000000" w:themeColor="text1"/>
          <w:sz w:val="22"/>
          <w:szCs w:val="22"/>
          <w:lang w:val="en-PH"/>
        </w:rPr>
      </w:pPr>
      <w:r w:rsidRPr="00136460">
        <w:rPr>
          <w:rFonts w:ascii="Arial" w:hAnsi="Arial" w:cs="Arial"/>
          <w:b/>
          <w:color w:val="000000" w:themeColor="text1"/>
          <w:sz w:val="22"/>
          <w:szCs w:val="22"/>
          <w:lang w:val="en-PH"/>
        </w:rPr>
        <w:t>Tax Knowledge and Tax Compliance</w:t>
      </w:r>
    </w:p>
    <w:p w14:paraId="7ECCA481" w14:textId="20CB3317" w:rsidR="00F46DE5" w:rsidRDefault="00F46DE5" w:rsidP="00F46DE5">
      <w:pPr>
        <w:spacing w:line="480" w:lineRule="auto"/>
        <w:jc w:val="both"/>
        <w:rPr>
          <w:rFonts w:ascii="Arial" w:hAnsi="Arial" w:cs="Arial"/>
          <w:bCs/>
          <w:color w:val="000000" w:themeColor="text1"/>
          <w:sz w:val="24"/>
          <w:szCs w:val="24"/>
          <w:lang w:val="en-PH"/>
        </w:rPr>
      </w:pPr>
      <w:r w:rsidRPr="00136460">
        <w:rPr>
          <w:rFonts w:ascii="Arial" w:hAnsi="Arial" w:cs="Arial"/>
          <w:bCs/>
          <w:color w:val="000000" w:themeColor="text1"/>
          <w:sz w:val="22"/>
          <w:szCs w:val="22"/>
          <w:lang w:val="en-PH"/>
        </w:rPr>
        <w:t xml:space="preserve">Tax knowledge significantly influences compliance behavior. Saad (2014) emphasized that an individual’s ability to comprehend tax laws affects their willingness to comply. </w:t>
      </w:r>
      <w:proofErr w:type="spellStart"/>
      <w:r w:rsidRPr="00136460">
        <w:rPr>
          <w:rFonts w:ascii="Arial" w:hAnsi="Arial" w:cs="Arial"/>
          <w:bCs/>
          <w:color w:val="000000" w:themeColor="text1"/>
          <w:sz w:val="22"/>
          <w:szCs w:val="22"/>
          <w:lang w:val="en-PH"/>
        </w:rPr>
        <w:t>Oladipupo</w:t>
      </w:r>
      <w:proofErr w:type="spellEnd"/>
      <w:r w:rsidRPr="00136460">
        <w:rPr>
          <w:rFonts w:ascii="Arial" w:hAnsi="Arial" w:cs="Arial"/>
          <w:bCs/>
          <w:color w:val="000000" w:themeColor="text1"/>
          <w:sz w:val="22"/>
          <w:szCs w:val="22"/>
          <w:lang w:val="en-PH"/>
        </w:rPr>
        <w:t xml:space="preserve"> and </w:t>
      </w:r>
      <w:proofErr w:type="spellStart"/>
      <w:r w:rsidRPr="00136460">
        <w:rPr>
          <w:rFonts w:ascii="Arial" w:hAnsi="Arial" w:cs="Arial"/>
          <w:bCs/>
          <w:color w:val="000000" w:themeColor="text1"/>
          <w:sz w:val="22"/>
          <w:szCs w:val="22"/>
          <w:lang w:val="en-PH"/>
        </w:rPr>
        <w:t>Obazee</w:t>
      </w:r>
      <w:proofErr w:type="spellEnd"/>
      <w:r w:rsidRPr="00136460">
        <w:rPr>
          <w:rFonts w:ascii="Arial" w:hAnsi="Arial" w:cs="Arial"/>
          <w:bCs/>
          <w:color w:val="000000" w:themeColor="text1"/>
          <w:sz w:val="22"/>
          <w:szCs w:val="22"/>
          <w:lang w:val="en-PH"/>
        </w:rPr>
        <w:t xml:space="preserve"> (2016) found that while penalties had minimal impact, tax knowledge had a strong positive correlation with compliance. Similarly, Eriksen and </w:t>
      </w:r>
      <w:proofErr w:type="spellStart"/>
      <w:r w:rsidRPr="00136460">
        <w:rPr>
          <w:rFonts w:ascii="Arial" w:hAnsi="Arial" w:cs="Arial"/>
          <w:bCs/>
          <w:color w:val="000000" w:themeColor="text1"/>
          <w:sz w:val="22"/>
          <w:szCs w:val="22"/>
          <w:lang w:val="en-PH"/>
        </w:rPr>
        <w:t>Fallan</w:t>
      </w:r>
      <w:proofErr w:type="spellEnd"/>
      <w:r w:rsidRPr="00136460">
        <w:rPr>
          <w:rFonts w:ascii="Arial" w:hAnsi="Arial" w:cs="Arial"/>
          <w:bCs/>
          <w:color w:val="000000" w:themeColor="text1"/>
          <w:sz w:val="22"/>
          <w:szCs w:val="22"/>
          <w:lang w:val="en-PH"/>
        </w:rPr>
        <w:t xml:space="preserve"> (2016) noted that improved understanding reduced filing errors and evasion. Devos (201</w:t>
      </w:r>
      <w:r w:rsidR="005A690F">
        <w:rPr>
          <w:rFonts w:ascii="Arial" w:hAnsi="Arial" w:cs="Arial"/>
          <w:bCs/>
          <w:color w:val="000000" w:themeColor="text1"/>
          <w:sz w:val="22"/>
          <w:szCs w:val="22"/>
          <w:lang w:val="en-PH"/>
        </w:rPr>
        <w:t>4</w:t>
      </w:r>
      <w:r w:rsidRPr="00136460">
        <w:rPr>
          <w:rFonts w:ascii="Arial" w:hAnsi="Arial" w:cs="Arial"/>
          <w:bCs/>
          <w:color w:val="000000" w:themeColor="text1"/>
          <w:sz w:val="22"/>
          <w:szCs w:val="22"/>
          <w:lang w:val="en-PH"/>
        </w:rPr>
        <w:t>) further observed that targeted education programs effectively minimized unintentional non-</w:t>
      </w:r>
      <w:proofErr w:type="spellStart"/>
      <w:proofErr w:type="gramStart"/>
      <w:r w:rsidRPr="00136460">
        <w:rPr>
          <w:rFonts w:ascii="Arial" w:hAnsi="Arial" w:cs="Arial"/>
          <w:bCs/>
          <w:color w:val="000000" w:themeColor="text1"/>
          <w:sz w:val="22"/>
          <w:szCs w:val="22"/>
          <w:lang w:val="en-PH"/>
        </w:rPr>
        <w:t>compliance.Contrary</w:t>
      </w:r>
      <w:proofErr w:type="spellEnd"/>
      <w:proofErr w:type="gramEnd"/>
      <w:r w:rsidRPr="00136460">
        <w:rPr>
          <w:rFonts w:ascii="Arial" w:hAnsi="Arial" w:cs="Arial"/>
          <w:bCs/>
          <w:color w:val="000000" w:themeColor="text1"/>
          <w:sz w:val="22"/>
          <w:szCs w:val="22"/>
          <w:lang w:val="en-PH"/>
        </w:rPr>
        <w:t xml:space="preserve"> to assumptions, several studies </w:t>
      </w:r>
      <w:r w:rsidRPr="009D0AE9">
        <w:rPr>
          <w:rFonts w:ascii="Arial" w:hAnsi="Arial" w:cs="Arial"/>
          <w:bCs/>
          <w:color w:val="000000" w:themeColor="text1"/>
          <w:sz w:val="22"/>
          <w:szCs w:val="22"/>
          <w:lang w:val="en-PH"/>
        </w:rPr>
        <w:t>challenge the idea that formal education alone enhances tax knowledge. Zhang (2021) and Bird (2014) contended that education levels do not necessarily predict tax literacy.</w:t>
      </w:r>
      <w:r w:rsidR="009D0AE9" w:rsidRPr="009D0AE9">
        <w:rPr>
          <w:rFonts w:ascii="Arial" w:hAnsi="Arial" w:cs="Arial"/>
          <w:bCs/>
          <w:color w:val="000000" w:themeColor="text1"/>
          <w:sz w:val="22"/>
          <w:szCs w:val="22"/>
          <w:lang w:val="en-PH"/>
        </w:rPr>
        <w:t xml:space="preserve"> </w:t>
      </w:r>
      <w:proofErr w:type="spellStart"/>
      <w:r w:rsidR="009D0AE9" w:rsidRPr="009D0AE9">
        <w:rPr>
          <w:rFonts w:ascii="Arial" w:hAnsi="Arial" w:cs="Arial"/>
          <w:sz w:val="22"/>
          <w:szCs w:val="22"/>
        </w:rPr>
        <w:t>Jatuchai</w:t>
      </w:r>
      <w:proofErr w:type="spellEnd"/>
      <w:r w:rsidR="009D0AE9" w:rsidRPr="009D0AE9">
        <w:rPr>
          <w:rFonts w:ascii="Arial" w:hAnsi="Arial" w:cs="Arial"/>
          <w:sz w:val="22"/>
          <w:szCs w:val="22"/>
        </w:rPr>
        <w:t xml:space="preserve">, S., and </w:t>
      </w:r>
      <w:proofErr w:type="spellStart"/>
      <w:r w:rsidR="009D0AE9" w:rsidRPr="009D0AE9">
        <w:rPr>
          <w:rFonts w:ascii="Arial" w:hAnsi="Arial" w:cs="Arial"/>
          <w:sz w:val="22"/>
          <w:szCs w:val="22"/>
        </w:rPr>
        <w:t>Pitiphat</w:t>
      </w:r>
      <w:proofErr w:type="spellEnd"/>
      <w:r w:rsidR="009D0AE9" w:rsidRPr="009D0AE9">
        <w:rPr>
          <w:rFonts w:ascii="Arial" w:hAnsi="Arial" w:cs="Arial"/>
          <w:sz w:val="22"/>
          <w:szCs w:val="22"/>
        </w:rPr>
        <w:t>, S. (2024)</w:t>
      </w:r>
      <w:r w:rsidRPr="009D0AE9">
        <w:rPr>
          <w:rFonts w:ascii="Arial" w:hAnsi="Arial" w:cs="Arial"/>
          <w:bCs/>
          <w:color w:val="000000" w:themeColor="text1"/>
          <w:sz w:val="22"/>
          <w:szCs w:val="22"/>
          <w:lang w:val="en-PH"/>
        </w:rPr>
        <w:t xml:space="preserve"> and McGee et al. (2018), citing religious influences, argued that beliefs and moral</w:t>
      </w:r>
      <w:r w:rsidRPr="00136460">
        <w:rPr>
          <w:rFonts w:ascii="Arial" w:hAnsi="Arial" w:cs="Arial"/>
          <w:bCs/>
          <w:color w:val="000000" w:themeColor="text1"/>
          <w:sz w:val="22"/>
          <w:szCs w:val="22"/>
          <w:lang w:val="en-PH"/>
        </w:rPr>
        <w:t xml:space="preserve"> values often outweigh academic attainment in shaping compliance. </w:t>
      </w:r>
    </w:p>
    <w:p w14:paraId="431F1188" w14:textId="77777777" w:rsidR="00F46DE5" w:rsidRPr="00136460" w:rsidRDefault="00F46DE5" w:rsidP="00F46DE5">
      <w:pPr>
        <w:spacing w:line="480" w:lineRule="auto"/>
        <w:jc w:val="both"/>
        <w:rPr>
          <w:rFonts w:ascii="Arial" w:hAnsi="Arial" w:cs="Arial"/>
          <w:b/>
          <w:color w:val="000000" w:themeColor="text1"/>
          <w:sz w:val="22"/>
          <w:szCs w:val="22"/>
          <w:lang w:val="en-PH"/>
        </w:rPr>
      </w:pPr>
      <w:r w:rsidRPr="00136460">
        <w:rPr>
          <w:rFonts w:ascii="Arial" w:hAnsi="Arial" w:cs="Arial"/>
          <w:b/>
          <w:color w:val="000000" w:themeColor="text1"/>
          <w:sz w:val="22"/>
          <w:szCs w:val="22"/>
          <w:lang w:val="en-PH"/>
        </w:rPr>
        <w:t>Awareness of Tax Rights and Responsibilities</w:t>
      </w:r>
    </w:p>
    <w:p w14:paraId="371E2796" w14:textId="6A8640ED" w:rsidR="00F46DE5" w:rsidRPr="00136460" w:rsidRDefault="00F46DE5" w:rsidP="00F46DE5">
      <w:pPr>
        <w:spacing w:line="480" w:lineRule="auto"/>
        <w:jc w:val="both"/>
        <w:rPr>
          <w:rFonts w:ascii="Arial" w:hAnsi="Arial" w:cs="Arial"/>
          <w:bCs/>
          <w:color w:val="000000" w:themeColor="text1"/>
          <w:sz w:val="22"/>
          <w:szCs w:val="22"/>
          <w:lang w:val="en-PH"/>
        </w:rPr>
      </w:pPr>
      <w:r w:rsidRPr="00C54B28">
        <w:rPr>
          <w:rFonts w:ascii="Arial" w:hAnsi="Arial" w:cs="Arial"/>
          <w:bCs/>
          <w:color w:val="000000" w:themeColor="text1"/>
          <w:sz w:val="22"/>
          <w:szCs w:val="22"/>
          <w:lang w:val="en-PH"/>
        </w:rPr>
        <w:t xml:space="preserve">Research highlights </w:t>
      </w:r>
      <w:r w:rsidRPr="00216778">
        <w:rPr>
          <w:rFonts w:ascii="Arial" w:hAnsi="Arial" w:cs="Arial"/>
          <w:bCs/>
          <w:color w:val="000000" w:themeColor="text1"/>
          <w:sz w:val="22"/>
          <w:szCs w:val="22"/>
          <w:lang w:val="en-PH"/>
        </w:rPr>
        <w:t xml:space="preserve">that awareness of legal obligations significantly improves compliance </w:t>
      </w:r>
      <w:r w:rsidR="00C54B28" w:rsidRPr="00216778">
        <w:rPr>
          <w:rFonts w:ascii="Arial" w:hAnsi="Arial" w:cs="Arial"/>
          <w:bCs/>
          <w:sz w:val="22"/>
          <w:szCs w:val="22"/>
        </w:rPr>
        <w:t>Smulders, S., and Evans, C. (2017)</w:t>
      </w:r>
      <w:r w:rsidRPr="00216778">
        <w:rPr>
          <w:rFonts w:ascii="Arial" w:hAnsi="Arial" w:cs="Arial"/>
          <w:bCs/>
          <w:color w:val="000000" w:themeColor="text1"/>
          <w:sz w:val="22"/>
          <w:szCs w:val="22"/>
          <w:lang w:val="en-PH"/>
        </w:rPr>
        <w:t xml:space="preserve">. </w:t>
      </w:r>
      <w:hyperlink r:id="rId12" w:tooltip="Ling Tuo" w:history="1">
        <w:proofErr w:type="spellStart"/>
        <w:r w:rsidR="00216778" w:rsidRPr="003654E3">
          <w:rPr>
            <w:rStyle w:val="Hyperlink"/>
            <w:rFonts w:ascii="Arial" w:hAnsi="Arial" w:cs="Arial"/>
            <w:bCs/>
            <w:color w:val="auto"/>
            <w:sz w:val="22"/>
            <w:szCs w:val="22"/>
            <w:u w:val="none"/>
            <w:lang w:val="en-PH"/>
          </w:rPr>
          <w:t>Tuo</w:t>
        </w:r>
        <w:proofErr w:type="spellEnd"/>
        <w:r w:rsidR="00216778" w:rsidRPr="003654E3">
          <w:rPr>
            <w:rStyle w:val="Hyperlink"/>
            <w:rFonts w:ascii="Arial" w:hAnsi="Arial" w:cs="Arial"/>
            <w:bCs/>
            <w:color w:val="auto"/>
            <w:sz w:val="22"/>
            <w:szCs w:val="22"/>
            <w:u w:val="none"/>
            <w:lang w:val="en-PH"/>
          </w:rPr>
          <w:t>, L.</w:t>
        </w:r>
      </w:hyperlink>
      <w:r w:rsidR="00216778" w:rsidRPr="003654E3">
        <w:rPr>
          <w:rFonts w:ascii="Arial" w:hAnsi="Arial" w:cs="Arial"/>
          <w:bCs/>
          <w:sz w:val="22"/>
          <w:szCs w:val="22"/>
          <w:lang w:val="en-PH"/>
        </w:rPr>
        <w:t> and </w:t>
      </w:r>
      <w:hyperlink r:id="rId13" w:tooltip="Shipeng Han" w:history="1">
        <w:r w:rsidR="00216778" w:rsidRPr="003654E3">
          <w:rPr>
            <w:rStyle w:val="Hyperlink"/>
            <w:rFonts w:ascii="Arial" w:hAnsi="Arial" w:cs="Arial"/>
            <w:bCs/>
            <w:color w:val="auto"/>
            <w:sz w:val="22"/>
            <w:szCs w:val="22"/>
            <w:u w:val="none"/>
            <w:lang w:val="en-PH"/>
          </w:rPr>
          <w:t>Han, S.</w:t>
        </w:r>
      </w:hyperlink>
      <w:r w:rsidR="00216778" w:rsidRPr="00216778">
        <w:rPr>
          <w:rFonts w:ascii="Arial" w:hAnsi="Arial" w:cs="Arial"/>
          <w:bCs/>
          <w:sz w:val="22"/>
          <w:szCs w:val="22"/>
        </w:rPr>
        <w:t>,</w:t>
      </w:r>
      <w:r w:rsidR="00216778" w:rsidRPr="003654E3">
        <w:rPr>
          <w:rFonts w:ascii="Arial" w:hAnsi="Arial" w:cs="Arial"/>
          <w:bCs/>
          <w:sz w:val="22"/>
          <w:szCs w:val="22"/>
          <w:lang w:val="en-PH"/>
        </w:rPr>
        <w:t> (2024)</w:t>
      </w:r>
      <w:r w:rsidRPr="00216778">
        <w:rPr>
          <w:rFonts w:ascii="Arial" w:hAnsi="Arial" w:cs="Arial"/>
          <w:bCs/>
          <w:color w:val="000000" w:themeColor="text1"/>
          <w:sz w:val="22"/>
          <w:szCs w:val="22"/>
          <w:lang w:val="en-PH"/>
        </w:rPr>
        <w:t xml:space="preserve"> emphasized that taxpayer education helps reduce evasion. Knowledge of taxpayer rights enhances empowerment and </w:t>
      </w:r>
      <w:r w:rsidRPr="009F2DEF">
        <w:rPr>
          <w:rFonts w:ascii="Arial" w:hAnsi="Arial" w:cs="Arial"/>
          <w:bCs/>
          <w:color w:val="000000" w:themeColor="text1"/>
          <w:sz w:val="22"/>
          <w:szCs w:val="22"/>
          <w:lang w:val="en-PH"/>
        </w:rPr>
        <w:t>accountability (</w:t>
      </w:r>
      <w:proofErr w:type="spellStart"/>
      <w:r w:rsidR="009F2DEF" w:rsidRPr="00E40E2B">
        <w:rPr>
          <w:rFonts w:ascii="Arial" w:hAnsi="Arial" w:cs="Arial"/>
          <w:sz w:val="22"/>
          <w:szCs w:val="22"/>
          <w:lang w:val="en-PH"/>
        </w:rPr>
        <w:t>Trifan</w:t>
      </w:r>
      <w:proofErr w:type="spellEnd"/>
      <w:r w:rsidR="009F2DEF" w:rsidRPr="00E40E2B">
        <w:rPr>
          <w:rFonts w:ascii="Arial" w:hAnsi="Arial" w:cs="Arial"/>
          <w:sz w:val="22"/>
          <w:szCs w:val="22"/>
          <w:lang w:val="en-PH"/>
        </w:rPr>
        <w:t xml:space="preserve">, V. A., </w:t>
      </w:r>
      <w:proofErr w:type="spellStart"/>
      <w:r w:rsidR="009F2DEF" w:rsidRPr="00E40E2B">
        <w:rPr>
          <w:rFonts w:ascii="Arial" w:hAnsi="Arial" w:cs="Arial"/>
          <w:sz w:val="22"/>
          <w:szCs w:val="22"/>
          <w:lang w:val="en-PH"/>
        </w:rPr>
        <w:t>Szentesi</w:t>
      </w:r>
      <w:proofErr w:type="spellEnd"/>
      <w:r w:rsidR="009F2DEF" w:rsidRPr="00E40E2B">
        <w:rPr>
          <w:rFonts w:ascii="Arial" w:hAnsi="Arial" w:cs="Arial"/>
          <w:sz w:val="22"/>
          <w:szCs w:val="22"/>
          <w:lang w:val="en-PH"/>
        </w:rPr>
        <w:t xml:space="preserve">, S. G., Cuc, L. D., &amp; </w:t>
      </w:r>
      <w:proofErr w:type="spellStart"/>
      <w:r w:rsidR="009F2DEF" w:rsidRPr="00E40E2B">
        <w:rPr>
          <w:rFonts w:ascii="Arial" w:hAnsi="Arial" w:cs="Arial"/>
          <w:sz w:val="22"/>
          <w:szCs w:val="22"/>
          <w:lang w:val="en-PH"/>
        </w:rPr>
        <w:t>Pantea</w:t>
      </w:r>
      <w:proofErr w:type="spellEnd"/>
      <w:r w:rsidR="009F2DEF" w:rsidRPr="00E40E2B">
        <w:rPr>
          <w:rFonts w:ascii="Arial" w:hAnsi="Arial" w:cs="Arial"/>
          <w:sz w:val="22"/>
          <w:szCs w:val="22"/>
          <w:lang w:val="en-PH"/>
        </w:rPr>
        <w:t>, M. F</w:t>
      </w:r>
      <w:r w:rsidR="009F2DEF" w:rsidRPr="009F2DEF">
        <w:rPr>
          <w:rFonts w:ascii="Arial" w:hAnsi="Arial" w:cs="Arial"/>
          <w:sz w:val="22"/>
          <w:szCs w:val="22"/>
          <w:lang w:val="en-PH"/>
        </w:rPr>
        <w:t>., 2023</w:t>
      </w:r>
      <w:r w:rsidRPr="009F2DEF">
        <w:rPr>
          <w:rFonts w:ascii="Arial" w:hAnsi="Arial" w:cs="Arial"/>
          <w:bCs/>
          <w:color w:val="000000" w:themeColor="text1"/>
          <w:sz w:val="22"/>
          <w:szCs w:val="22"/>
          <w:lang w:val="en-PH"/>
        </w:rPr>
        <w:t xml:space="preserve">; </w:t>
      </w:r>
      <w:r w:rsidR="00673A65">
        <w:rPr>
          <w:rFonts w:ascii="Arial" w:hAnsi="Arial" w:cs="Arial"/>
          <w:bCs/>
          <w:color w:val="000000" w:themeColor="text1"/>
          <w:sz w:val="22"/>
          <w:szCs w:val="22"/>
          <w:lang w:val="en-PH"/>
        </w:rPr>
        <w:t>Corona</w:t>
      </w:r>
      <w:r w:rsidRPr="009F2DEF">
        <w:rPr>
          <w:rFonts w:ascii="Arial" w:hAnsi="Arial" w:cs="Arial"/>
          <w:bCs/>
          <w:color w:val="000000" w:themeColor="text1"/>
          <w:sz w:val="22"/>
          <w:szCs w:val="22"/>
          <w:lang w:val="en-PH"/>
        </w:rPr>
        <w:t>,</w:t>
      </w:r>
      <w:r w:rsidR="00673A65">
        <w:rPr>
          <w:rFonts w:ascii="Arial" w:hAnsi="Arial" w:cs="Arial"/>
          <w:bCs/>
          <w:color w:val="000000" w:themeColor="text1"/>
          <w:sz w:val="22"/>
          <w:szCs w:val="22"/>
          <w:lang w:val="en-PH"/>
        </w:rPr>
        <w:t xml:space="preserve"> F.,</w:t>
      </w:r>
      <w:r w:rsidRPr="009F2DEF">
        <w:rPr>
          <w:rFonts w:ascii="Arial" w:hAnsi="Arial" w:cs="Arial"/>
          <w:bCs/>
          <w:color w:val="000000" w:themeColor="text1"/>
          <w:sz w:val="22"/>
          <w:szCs w:val="22"/>
          <w:lang w:val="en-PH"/>
        </w:rPr>
        <w:t xml:space="preserve"> </w:t>
      </w:r>
      <w:r w:rsidR="00673A65">
        <w:rPr>
          <w:rFonts w:ascii="Arial" w:hAnsi="Arial" w:cs="Arial"/>
          <w:bCs/>
          <w:color w:val="000000" w:themeColor="text1"/>
          <w:sz w:val="22"/>
          <w:szCs w:val="22"/>
          <w:lang w:val="en-PH"/>
        </w:rPr>
        <w:t>(</w:t>
      </w:r>
      <w:r w:rsidRPr="009F2DEF">
        <w:rPr>
          <w:rFonts w:ascii="Arial" w:hAnsi="Arial" w:cs="Arial"/>
          <w:bCs/>
          <w:color w:val="000000" w:themeColor="text1"/>
          <w:sz w:val="22"/>
          <w:szCs w:val="22"/>
          <w:lang w:val="en-PH"/>
        </w:rPr>
        <w:t>20</w:t>
      </w:r>
      <w:r w:rsidR="00673A65">
        <w:rPr>
          <w:rFonts w:ascii="Arial" w:hAnsi="Arial" w:cs="Arial"/>
          <w:bCs/>
          <w:color w:val="000000" w:themeColor="text1"/>
          <w:sz w:val="22"/>
          <w:szCs w:val="22"/>
          <w:lang w:val="en-PH"/>
        </w:rPr>
        <w:t>24</w:t>
      </w:r>
      <w:r w:rsidRPr="009F2DEF">
        <w:rPr>
          <w:rFonts w:ascii="Arial" w:hAnsi="Arial" w:cs="Arial"/>
          <w:bCs/>
          <w:color w:val="000000" w:themeColor="text1"/>
          <w:sz w:val="22"/>
          <w:szCs w:val="22"/>
          <w:lang w:val="en-PH"/>
        </w:rPr>
        <w:t xml:space="preserve">). </w:t>
      </w:r>
      <w:proofErr w:type="spellStart"/>
      <w:r w:rsidRPr="009F2DEF">
        <w:rPr>
          <w:rFonts w:ascii="Arial" w:hAnsi="Arial" w:cs="Arial"/>
          <w:bCs/>
          <w:color w:val="000000" w:themeColor="text1"/>
          <w:sz w:val="22"/>
          <w:szCs w:val="22"/>
          <w:lang w:val="en-PH"/>
        </w:rPr>
        <w:t>Torgler</w:t>
      </w:r>
      <w:proofErr w:type="spellEnd"/>
      <w:r w:rsidRPr="009F2DEF">
        <w:rPr>
          <w:rFonts w:ascii="Arial" w:hAnsi="Arial" w:cs="Arial"/>
          <w:bCs/>
          <w:color w:val="000000" w:themeColor="text1"/>
          <w:sz w:val="22"/>
          <w:szCs w:val="22"/>
          <w:lang w:val="en-PH"/>
        </w:rPr>
        <w:t xml:space="preserve"> (</w:t>
      </w:r>
      <w:r w:rsidRPr="00216778">
        <w:rPr>
          <w:rFonts w:ascii="Arial" w:hAnsi="Arial" w:cs="Arial"/>
          <w:bCs/>
          <w:color w:val="000000" w:themeColor="text1"/>
          <w:sz w:val="22"/>
          <w:szCs w:val="22"/>
          <w:lang w:val="en-PH"/>
        </w:rPr>
        <w:t>201</w:t>
      </w:r>
      <w:r w:rsidR="00DB7697" w:rsidRPr="00216778">
        <w:rPr>
          <w:rFonts w:ascii="Arial" w:hAnsi="Arial" w:cs="Arial"/>
          <w:bCs/>
          <w:color w:val="000000" w:themeColor="text1"/>
          <w:sz w:val="22"/>
          <w:szCs w:val="22"/>
          <w:lang w:val="en-PH"/>
        </w:rPr>
        <w:t>1</w:t>
      </w:r>
      <w:r w:rsidRPr="00216778">
        <w:rPr>
          <w:rFonts w:ascii="Arial" w:hAnsi="Arial" w:cs="Arial"/>
          <w:bCs/>
          <w:color w:val="000000" w:themeColor="text1"/>
          <w:sz w:val="22"/>
          <w:szCs w:val="22"/>
          <w:lang w:val="en-PH"/>
        </w:rPr>
        <w:t xml:space="preserve">) </w:t>
      </w:r>
      <w:r w:rsidRPr="0057773F">
        <w:rPr>
          <w:rFonts w:ascii="Arial" w:hAnsi="Arial" w:cs="Arial"/>
          <w:bCs/>
          <w:sz w:val="22"/>
          <w:szCs w:val="22"/>
          <w:lang w:val="en-PH"/>
        </w:rPr>
        <w:t>and</w:t>
      </w:r>
      <w:r w:rsidR="0057773F" w:rsidRPr="0057773F">
        <w:rPr>
          <w:rFonts w:ascii="Arial" w:hAnsi="Arial" w:cs="Arial"/>
          <w:bCs/>
          <w:sz w:val="22"/>
          <w:szCs w:val="22"/>
          <w:lang w:val="en-PH"/>
        </w:rPr>
        <w:t xml:space="preserve"> </w:t>
      </w:r>
      <w:hyperlink r:id="rId14" w:tooltip="Rida Belahouaoui" w:history="1">
        <w:proofErr w:type="spellStart"/>
        <w:r w:rsidR="0057773F" w:rsidRPr="0057773F">
          <w:rPr>
            <w:rStyle w:val="Hyperlink"/>
            <w:rFonts w:ascii="Arial" w:hAnsi="Arial" w:cs="Arial"/>
            <w:color w:val="auto"/>
            <w:sz w:val="22"/>
            <w:szCs w:val="22"/>
            <w:u w:val="none"/>
          </w:rPr>
          <w:t>Belahouaoui</w:t>
        </w:r>
        <w:proofErr w:type="spellEnd"/>
        <w:r w:rsidR="0057773F" w:rsidRPr="0057773F">
          <w:rPr>
            <w:rStyle w:val="Hyperlink"/>
            <w:rFonts w:ascii="Arial" w:hAnsi="Arial" w:cs="Arial"/>
            <w:color w:val="auto"/>
            <w:sz w:val="22"/>
            <w:szCs w:val="22"/>
            <w:u w:val="none"/>
          </w:rPr>
          <w:t>, R.</w:t>
        </w:r>
      </w:hyperlink>
      <w:r w:rsidR="0057773F" w:rsidRPr="0057773F">
        <w:rPr>
          <w:rFonts w:ascii="Arial" w:hAnsi="Arial" w:cs="Arial"/>
          <w:sz w:val="22"/>
          <w:szCs w:val="22"/>
        </w:rPr>
        <w:t> and </w:t>
      </w:r>
      <w:proofErr w:type="spellStart"/>
      <w:r w:rsidR="003C6FFA">
        <w:fldChar w:fldCharType="begin"/>
      </w:r>
      <w:r w:rsidR="003C6FFA">
        <w:instrText xml:space="preserve"> HYPERLINK "https://www.emerald.com/insight/search?q=El%20Houssain%20Attak" \o "El Houssain Attak" </w:instrText>
      </w:r>
      <w:r w:rsidR="003C6FFA">
        <w:fldChar w:fldCharType="separate"/>
      </w:r>
      <w:r w:rsidR="0057773F" w:rsidRPr="0057773F">
        <w:rPr>
          <w:rStyle w:val="Hyperlink"/>
          <w:rFonts w:ascii="Arial" w:hAnsi="Arial" w:cs="Arial"/>
          <w:color w:val="auto"/>
          <w:sz w:val="22"/>
          <w:szCs w:val="22"/>
          <w:u w:val="none"/>
        </w:rPr>
        <w:t>Attak</w:t>
      </w:r>
      <w:proofErr w:type="spellEnd"/>
      <w:r w:rsidR="0057773F" w:rsidRPr="0057773F">
        <w:rPr>
          <w:rStyle w:val="Hyperlink"/>
          <w:rFonts w:ascii="Arial" w:hAnsi="Arial" w:cs="Arial"/>
          <w:color w:val="auto"/>
          <w:sz w:val="22"/>
          <w:szCs w:val="22"/>
          <w:u w:val="none"/>
        </w:rPr>
        <w:t>, E.H.</w:t>
      </w:r>
      <w:r w:rsidR="003C6FFA">
        <w:rPr>
          <w:rStyle w:val="Hyperlink"/>
          <w:rFonts w:ascii="Arial" w:hAnsi="Arial" w:cs="Arial"/>
          <w:color w:val="auto"/>
          <w:sz w:val="22"/>
          <w:szCs w:val="22"/>
          <w:u w:val="none"/>
        </w:rPr>
        <w:fldChar w:fldCharType="end"/>
      </w:r>
      <w:r w:rsidR="0057773F">
        <w:rPr>
          <w:rFonts w:ascii="Arial" w:hAnsi="Arial" w:cs="Arial"/>
          <w:sz w:val="22"/>
          <w:szCs w:val="22"/>
        </w:rPr>
        <w:t>,</w:t>
      </w:r>
      <w:r w:rsidR="0057773F" w:rsidRPr="0057773F">
        <w:rPr>
          <w:rFonts w:ascii="Arial" w:hAnsi="Arial" w:cs="Arial"/>
          <w:bCs/>
          <w:sz w:val="22"/>
          <w:szCs w:val="22"/>
          <w:lang w:val="en-PH"/>
        </w:rPr>
        <w:t>(</w:t>
      </w:r>
      <w:r w:rsidRPr="0057773F">
        <w:rPr>
          <w:rFonts w:ascii="Arial" w:hAnsi="Arial" w:cs="Arial"/>
          <w:bCs/>
          <w:sz w:val="22"/>
          <w:szCs w:val="22"/>
          <w:lang w:val="en-PH"/>
        </w:rPr>
        <w:t>20</w:t>
      </w:r>
      <w:r w:rsidR="0057773F" w:rsidRPr="0057773F">
        <w:rPr>
          <w:rFonts w:ascii="Arial" w:hAnsi="Arial" w:cs="Arial"/>
          <w:bCs/>
          <w:sz w:val="22"/>
          <w:szCs w:val="22"/>
          <w:lang w:val="en-PH"/>
        </w:rPr>
        <w:t>23</w:t>
      </w:r>
      <w:r w:rsidRPr="0057773F">
        <w:rPr>
          <w:rFonts w:ascii="Arial" w:hAnsi="Arial" w:cs="Arial"/>
          <w:bCs/>
          <w:sz w:val="22"/>
          <w:szCs w:val="22"/>
          <w:lang w:val="en-PH"/>
        </w:rPr>
        <w:t xml:space="preserve">) observed that </w:t>
      </w:r>
      <w:r w:rsidRPr="00216778">
        <w:rPr>
          <w:rFonts w:ascii="Arial" w:hAnsi="Arial" w:cs="Arial"/>
          <w:bCs/>
          <w:color w:val="000000" w:themeColor="text1"/>
          <w:sz w:val="22"/>
          <w:szCs w:val="22"/>
          <w:lang w:val="en-PH"/>
        </w:rPr>
        <w:t>social</w:t>
      </w:r>
      <w:r w:rsidRPr="00C54B28">
        <w:rPr>
          <w:rFonts w:ascii="Arial" w:hAnsi="Arial" w:cs="Arial"/>
          <w:bCs/>
          <w:color w:val="000000" w:themeColor="text1"/>
          <w:sz w:val="22"/>
          <w:szCs w:val="22"/>
          <w:lang w:val="en-PH"/>
        </w:rPr>
        <w:t xml:space="preserve"> norms and peer behavior influence</w:t>
      </w:r>
      <w:r w:rsidRPr="00136460">
        <w:rPr>
          <w:rFonts w:ascii="Arial" w:hAnsi="Arial" w:cs="Arial"/>
          <w:bCs/>
          <w:color w:val="000000" w:themeColor="text1"/>
          <w:sz w:val="22"/>
          <w:szCs w:val="22"/>
          <w:lang w:val="en-PH"/>
        </w:rPr>
        <w:t xml:space="preserve"> compliance when paired with strong tax awareness.</w:t>
      </w:r>
    </w:p>
    <w:p w14:paraId="52586CE7" w14:textId="77777777" w:rsidR="00F46DE5" w:rsidRPr="00136460" w:rsidRDefault="00F46DE5" w:rsidP="00EB2398">
      <w:pPr>
        <w:spacing w:after="160" w:line="480" w:lineRule="auto"/>
        <w:jc w:val="both"/>
        <w:rPr>
          <w:rFonts w:ascii="Arial" w:hAnsi="Arial" w:cs="Arial"/>
          <w:bCs/>
          <w:color w:val="000000" w:themeColor="text1"/>
          <w:sz w:val="22"/>
          <w:szCs w:val="22"/>
          <w:lang w:val="en-PH"/>
        </w:rPr>
      </w:pPr>
    </w:p>
    <w:p w14:paraId="70DA62BB" w14:textId="77777777" w:rsidR="00F46DE5" w:rsidRPr="00136460" w:rsidRDefault="00F46DE5" w:rsidP="00F46DE5">
      <w:pPr>
        <w:spacing w:line="480" w:lineRule="auto"/>
        <w:jc w:val="both"/>
        <w:rPr>
          <w:rFonts w:ascii="Arial" w:hAnsi="Arial" w:cs="Arial"/>
          <w:b/>
          <w:color w:val="000000" w:themeColor="text1"/>
          <w:sz w:val="22"/>
          <w:szCs w:val="22"/>
          <w:lang w:val="en-PH"/>
        </w:rPr>
      </w:pPr>
      <w:r w:rsidRPr="00136460">
        <w:rPr>
          <w:rFonts w:ascii="Arial" w:hAnsi="Arial" w:cs="Arial"/>
          <w:b/>
          <w:color w:val="000000" w:themeColor="text1"/>
          <w:sz w:val="22"/>
          <w:szCs w:val="22"/>
          <w:lang w:val="en-PH"/>
        </w:rPr>
        <w:t>Knowledge of Business Income and Compliance</w:t>
      </w:r>
    </w:p>
    <w:p w14:paraId="050A9460" w14:textId="77777777" w:rsidR="00F46DE5" w:rsidRPr="00136460" w:rsidRDefault="00F46DE5" w:rsidP="00F46DE5">
      <w:pPr>
        <w:spacing w:line="480" w:lineRule="auto"/>
        <w:jc w:val="both"/>
        <w:rPr>
          <w:rFonts w:ascii="Arial" w:hAnsi="Arial" w:cs="Arial"/>
          <w:bCs/>
          <w:color w:val="000000" w:themeColor="text1"/>
          <w:sz w:val="22"/>
          <w:szCs w:val="22"/>
          <w:lang w:val="en-PH"/>
        </w:rPr>
      </w:pPr>
      <w:r w:rsidRPr="00136460">
        <w:rPr>
          <w:rFonts w:ascii="Arial" w:hAnsi="Arial" w:cs="Arial"/>
          <w:bCs/>
          <w:color w:val="000000" w:themeColor="text1"/>
          <w:sz w:val="22"/>
          <w:szCs w:val="22"/>
          <w:lang w:val="en-PH"/>
        </w:rPr>
        <w:lastRenderedPageBreak/>
        <w:t xml:space="preserve">Tax compliance among small businesses hinges on understanding income reporting. Accurate self-assessment is foundational to functional systems (Ali et al., 2014; </w:t>
      </w:r>
      <w:proofErr w:type="spellStart"/>
      <w:r w:rsidRPr="00136460">
        <w:rPr>
          <w:rFonts w:ascii="Arial" w:hAnsi="Arial" w:cs="Arial"/>
          <w:bCs/>
          <w:color w:val="000000" w:themeColor="text1"/>
          <w:sz w:val="22"/>
          <w:szCs w:val="22"/>
          <w:lang w:val="en-PH"/>
        </w:rPr>
        <w:t>Alm</w:t>
      </w:r>
      <w:proofErr w:type="spellEnd"/>
      <w:r w:rsidRPr="00136460">
        <w:rPr>
          <w:rFonts w:ascii="Arial" w:hAnsi="Arial" w:cs="Arial"/>
          <w:bCs/>
          <w:color w:val="000000" w:themeColor="text1"/>
          <w:sz w:val="22"/>
          <w:szCs w:val="22"/>
          <w:lang w:val="en-PH"/>
        </w:rPr>
        <w:t xml:space="preserve"> et al., 2017). </w:t>
      </w:r>
      <w:proofErr w:type="spellStart"/>
      <w:r w:rsidRPr="00136460">
        <w:rPr>
          <w:rFonts w:ascii="Arial" w:hAnsi="Arial" w:cs="Arial"/>
          <w:bCs/>
          <w:color w:val="000000" w:themeColor="text1"/>
          <w:sz w:val="22"/>
          <w:szCs w:val="22"/>
          <w:lang w:val="en-PH"/>
        </w:rPr>
        <w:t>Renoria</w:t>
      </w:r>
      <w:proofErr w:type="spellEnd"/>
      <w:r w:rsidRPr="00136460">
        <w:rPr>
          <w:rFonts w:ascii="Arial" w:hAnsi="Arial" w:cs="Arial"/>
          <w:bCs/>
          <w:color w:val="000000" w:themeColor="text1"/>
          <w:sz w:val="22"/>
          <w:szCs w:val="22"/>
          <w:lang w:val="en-PH"/>
        </w:rPr>
        <w:t xml:space="preserve"> (2024) noted that tax seminars improved compliance among small business owners. </w:t>
      </w:r>
      <w:proofErr w:type="spellStart"/>
      <w:r w:rsidRPr="00136460">
        <w:rPr>
          <w:rFonts w:ascii="Arial" w:hAnsi="Arial" w:cs="Arial"/>
          <w:bCs/>
          <w:color w:val="000000" w:themeColor="text1"/>
          <w:sz w:val="22"/>
          <w:szCs w:val="22"/>
          <w:lang w:val="en-PH"/>
        </w:rPr>
        <w:t>Wibowo</w:t>
      </w:r>
      <w:proofErr w:type="spellEnd"/>
      <w:r w:rsidRPr="00136460">
        <w:rPr>
          <w:rFonts w:ascii="Arial" w:hAnsi="Arial" w:cs="Arial"/>
          <w:bCs/>
          <w:color w:val="000000" w:themeColor="text1"/>
          <w:sz w:val="22"/>
          <w:szCs w:val="22"/>
          <w:lang w:val="en-PH"/>
        </w:rPr>
        <w:t xml:space="preserve"> et al. (2022) found that tax knowledge positively influenced individual compliance.</w:t>
      </w:r>
    </w:p>
    <w:p w14:paraId="01EAE4D8" w14:textId="1BB34477" w:rsidR="00F46DE5" w:rsidRPr="00136460" w:rsidRDefault="00F46DE5" w:rsidP="00F46DE5">
      <w:pPr>
        <w:spacing w:line="480" w:lineRule="auto"/>
        <w:jc w:val="both"/>
        <w:rPr>
          <w:rFonts w:ascii="Arial" w:hAnsi="Arial" w:cs="Arial"/>
          <w:bCs/>
          <w:color w:val="000000" w:themeColor="text1"/>
          <w:sz w:val="22"/>
          <w:szCs w:val="22"/>
          <w:lang w:val="en-PH"/>
        </w:rPr>
      </w:pPr>
      <w:r w:rsidRPr="00136460">
        <w:rPr>
          <w:rFonts w:ascii="Arial" w:hAnsi="Arial" w:cs="Arial"/>
          <w:bCs/>
          <w:color w:val="000000" w:themeColor="text1"/>
          <w:sz w:val="22"/>
          <w:szCs w:val="22"/>
          <w:lang w:val="en-PH"/>
        </w:rPr>
        <w:t xml:space="preserve"> </w:t>
      </w:r>
      <w:r w:rsidR="00A857C2">
        <w:rPr>
          <w:rFonts w:ascii="Arial" w:hAnsi="Arial" w:cs="Arial"/>
          <w:bCs/>
          <w:color w:val="000000" w:themeColor="text1"/>
          <w:sz w:val="22"/>
          <w:szCs w:val="22"/>
          <w:lang w:val="en-PH"/>
        </w:rPr>
        <w:t>E</w:t>
      </w:r>
      <w:r w:rsidRPr="00136460">
        <w:rPr>
          <w:rFonts w:ascii="Arial" w:hAnsi="Arial" w:cs="Arial"/>
          <w:bCs/>
          <w:color w:val="000000" w:themeColor="text1"/>
          <w:sz w:val="22"/>
          <w:szCs w:val="22"/>
          <w:lang w:val="en-PH"/>
        </w:rPr>
        <w:t>xcessive reliance on enforcement may strain relationships with taxpayers (</w:t>
      </w:r>
      <w:proofErr w:type="spellStart"/>
      <w:r w:rsidRPr="00136460">
        <w:rPr>
          <w:rFonts w:ascii="Arial" w:hAnsi="Arial" w:cs="Arial"/>
          <w:bCs/>
          <w:color w:val="000000" w:themeColor="text1"/>
          <w:sz w:val="22"/>
          <w:szCs w:val="22"/>
          <w:lang w:val="en-PH"/>
        </w:rPr>
        <w:t>Andreoni</w:t>
      </w:r>
      <w:proofErr w:type="spellEnd"/>
      <w:r w:rsidRPr="00136460">
        <w:rPr>
          <w:rFonts w:ascii="Arial" w:hAnsi="Arial" w:cs="Arial"/>
          <w:bCs/>
          <w:color w:val="000000" w:themeColor="text1"/>
          <w:sz w:val="22"/>
          <w:szCs w:val="22"/>
          <w:lang w:val="en-PH"/>
        </w:rPr>
        <w:t xml:space="preserve"> et al., 2018). Tax complexity also contributes to evasion (</w:t>
      </w:r>
      <w:proofErr w:type="spellStart"/>
      <w:r w:rsidR="009F6F5C">
        <w:rPr>
          <w:rFonts w:ascii="Arial" w:hAnsi="Arial" w:cs="Arial"/>
          <w:bCs/>
          <w:color w:val="000000" w:themeColor="text1"/>
          <w:sz w:val="22"/>
          <w:szCs w:val="22"/>
          <w:lang w:val="en-PH"/>
        </w:rPr>
        <w:t>Ciucci</w:t>
      </w:r>
      <w:proofErr w:type="spellEnd"/>
      <w:r w:rsidR="009F6F5C">
        <w:rPr>
          <w:rFonts w:ascii="Arial" w:hAnsi="Arial" w:cs="Arial"/>
          <w:bCs/>
          <w:color w:val="000000" w:themeColor="text1"/>
          <w:sz w:val="22"/>
          <w:szCs w:val="22"/>
          <w:lang w:val="en-PH"/>
        </w:rPr>
        <w:t>, S., 2024</w:t>
      </w:r>
      <w:r w:rsidRPr="00136460">
        <w:rPr>
          <w:rFonts w:ascii="Arial" w:hAnsi="Arial" w:cs="Arial"/>
          <w:bCs/>
          <w:color w:val="000000" w:themeColor="text1"/>
          <w:sz w:val="22"/>
          <w:szCs w:val="22"/>
          <w:lang w:val="en-PH"/>
        </w:rPr>
        <w:t>), whereas simplicity encourages voluntary compliance (</w:t>
      </w:r>
      <w:proofErr w:type="spellStart"/>
      <w:r w:rsidRPr="00136460">
        <w:rPr>
          <w:rFonts w:ascii="Arial" w:hAnsi="Arial" w:cs="Arial"/>
          <w:bCs/>
          <w:color w:val="000000" w:themeColor="text1"/>
          <w:sz w:val="22"/>
          <w:szCs w:val="22"/>
          <w:lang w:val="en-PH"/>
        </w:rPr>
        <w:t>Luttmer</w:t>
      </w:r>
      <w:proofErr w:type="spellEnd"/>
      <w:r w:rsidRPr="00136460">
        <w:rPr>
          <w:rFonts w:ascii="Arial" w:hAnsi="Arial" w:cs="Arial"/>
          <w:bCs/>
          <w:color w:val="000000" w:themeColor="text1"/>
          <w:sz w:val="22"/>
          <w:szCs w:val="22"/>
          <w:lang w:val="en-PH"/>
        </w:rPr>
        <w:t xml:space="preserve"> &amp; Singhal, 2014). Digital systems have shown success in reducing non-compliance through streamlined reporting (Awasthi &amp; </w:t>
      </w:r>
      <w:proofErr w:type="spellStart"/>
      <w:r w:rsidRPr="00136460">
        <w:rPr>
          <w:rFonts w:ascii="Arial" w:hAnsi="Arial" w:cs="Arial"/>
          <w:bCs/>
          <w:color w:val="000000" w:themeColor="text1"/>
          <w:sz w:val="22"/>
          <w:szCs w:val="22"/>
          <w:lang w:val="en-PH"/>
        </w:rPr>
        <w:t>Engelschalk</w:t>
      </w:r>
      <w:proofErr w:type="spellEnd"/>
      <w:r w:rsidRPr="00136460">
        <w:rPr>
          <w:rFonts w:ascii="Arial" w:hAnsi="Arial" w:cs="Arial"/>
          <w:bCs/>
          <w:color w:val="000000" w:themeColor="text1"/>
          <w:sz w:val="22"/>
          <w:szCs w:val="22"/>
          <w:lang w:val="en-PH"/>
        </w:rPr>
        <w:t>, 2018).</w:t>
      </w:r>
    </w:p>
    <w:p w14:paraId="2B59EE43" w14:textId="77777777" w:rsidR="00F46DE5" w:rsidRPr="00136460" w:rsidRDefault="00F46DE5" w:rsidP="00F46DE5">
      <w:pPr>
        <w:spacing w:line="480" w:lineRule="auto"/>
        <w:jc w:val="both"/>
        <w:rPr>
          <w:rFonts w:ascii="Arial" w:hAnsi="Arial" w:cs="Arial"/>
          <w:b/>
          <w:color w:val="000000" w:themeColor="text1"/>
          <w:sz w:val="22"/>
          <w:szCs w:val="22"/>
          <w:lang w:val="en-PH"/>
        </w:rPr>
      </w:pPr>
      <w:r w:rsidRPr="00136460">
        <w:rPr>
          <w:rFonts w:ascii="Arial" w:hAnsi="Arial" w:cs="Arial"/>
          <w:b/>
          <w:color w:val="000000" w:themeColor="text1"/>
          <w:sz w:val="22"/>
          <w:szCs w:val="22"/>
          <w:lang w:val="en-PH"/>
        </w:rPr>
        <w:t>Awareness of Sanctions</w:t>
      </w:r>
    </w:p>
    <w:p w14:paraId="3416583C" w14:textId="77777777" w:rsidR="00F46DE5" w:rsidRPr="00136460" w:rsidRDefault="00F46DE5" w:rsidP="00F46DE5">
      <w:pPr>
        <w:spacing w:line="480" w:lineRule="auto"/>
        <w:jc w:val="both"/>
        <w:rPr>
          <w:rFonts w:ascii="Arial" w:hAnsi="Arial" w:cs="Arial"/>
          <w:bCs/>
          <w:color w:val="000000" w:themeColor="text1"/>
          <w:sz w:val="22"/>
          <w:szCs w:val="22"/>
          <w:lang w:val="en-PH"/>
        </w:rPr>
      </w:pPr>
      <w:r w:rsidRPr="00136460">
        <w:rPr>
          <w:rFonts w:ascii="Arial" w:hAnsi="Arial" w:cs="Arial"/>
          <w:bCs/>
          <w:color w:val="000000" w:themeColor="text1"/>
          <w:sz w:val="22"/>
          <w:szCs w:val="22"/>
          <w:lang w:val="en-PH"/>
        </w:rPr>
        <w:t>Increased awareness of penalties correlates with higher compliance (Kahneman &amp; Tversky, 2019; Wenzel, 2017). Effective communication by tax authorities helps taxpayers understand consequences, fostering a compliance-oriented culture (</w:t>
      </w:r>
      <w:proofErr w:type="spellStart"/>
      <w:r w:rsidRPr="00136460">
        <w:rPr>
          <w:rFonts w:ascii="Arial" w:hAnsi="Arial" w:cs="Arial"/>
          <w:bCs/>
          <w:color w:val="000000" w:themeColor="text1"/>
          <w:sz w:val="22"/>
          <w:szCs w:val="22"/>
          <w:lang w:val="en-PH"/>
        </w:rPr>
        <w:t>Belahouaoui</w:t>
      </w:r>
      <w:proofErr w:type="spellEnd"/>
      <w:r w:rsidRPr="00136460">
        <w:rPr>
          <w:rFonts w:ascii="Arial" w:hAnsi="Arial" w:cs="Arial"/>
          <w:bCs/>
          <w:color w:val="000000" w:themeColor="text1"/>
          <w:sz w:val="22"/>
          <w:szCs w:val="22"/>
          <w:lang w:val="en-PH"/>
        </w:rPr>
        <w:t xml:space="preserve">, 2016; </w:t>
      </w:r>
      <w:proofErr w:type="spellStart"/>
      <w:r w:rsidRPr="00136460">
        <w:rPr>
          <w:rFonts w:ascii="Arial" w:hAnsi="Arial" w:cs="Arial"/>
          <w:bCs/>
          <w:color w:val="000000" w:themeColor="text1"/>
          <w:sz w:val="22"/>
          <w:szCs w:val="22"/>
          <w:lang w:val="en-PH"/>
        </w:rPr>
        <w:t>Swistak</w:t>
      </w:r>
      <w:proofErr w:type="spellEnd"/>
      <w:r w:rsidRPr="00136460">
        <w:rPr>
          <w:rFonts w:ascii="Arial" w:hAnsi="Arial" w:cs="Arial"/>
          <w:bCs/>
          <w:color w:val="000000" w:themeColor="text1"/>
          <w:sz w:val="22"/>
          <w:szCs w:val="22"/>
          <w:lang w:val="en-PH"/>
        </w:rPr>
        <w:t>, 2016).</w:t>
      </w:r>
    </w:p>
    <w:p w14:paraId="5843C2BF" w14:textId="1F263658" w:rsidR="00F46DE5" w:rsidRPr="00136460" w:rsidRDefault="00F46DE5" w:rsidP="00F46DE5">
      <w:pPr>
        <w:spacing w:line="480" w:lineRule="auto"/>
        <w:jc w:val="both"/>
        <w:rPr>
          <w:rFonts w:ascii="Arial" w:hAnsi="Arial" w:cs="Arial"/>
          <w:bCs/>
          <w:color w:val="000000" w:themeColor="text1"/>
          <w:sz w:val="22"/>
          <w:szCs w:val="22"/>
          <w:lang w:val="en-PH"/>
        </w:rPr>
      </w:pPr>
      <w:r w:rsidRPr="00136460">
        <w:rPr>
          <w:rFonts w:ascii="Arial" w:hAnsi="Arial" w:cs="Arial"/>
          <w:bCs/>
          <w:color w:val="000000" w:themeColor="text1"/>
          <w:sz w:val="22"/>
          <w:szCs w:val="22"/>
          <w:lang w:val="en-PH"/>
        </w:rPr>
        <w:t>Fair and consistent enforcement enhances perceived legitimacy (B</w:t>
      </w:r>
      <w:r w:rsidR="00C74C6B">
        <w:rPr>
          <w:rFonts w:ascii="Arial" w:hAnsi="Arial" w:cs="Arial"/>
          <w:bCs/>
          <w:color w:val="000000" w:themeColor="text1"/>
          <w:sz w:val="22"/>
          <w:szCs w:val="22"/>
          <w:lang w:val="en-PH"/>
        </w:rPr>
        <w:t>runo, RL.,</w:t>
      </w:r>
      <w:r w:rsidRPr="00136460">
        <w:rPr>
          <w:rFonts w:ascii="Arial" w:hAnsi="Arial" w:cs="Arial"/>
          <w:bCs/>
          <w:color w:val="000000" w:themeColor="text1"/>
          <w:sz w:val="22"/>
          <w:szCs w:val="22"/>
          <w:lang w:val="en-PH"/>
        </w:rPr>
        <w:t xml:space="preserve"> 20</w:t>
      </w:r>
      <w:r w:rsidR="00C74C6B">
        <w:rPr>
          <w:rFonts w:ascii="Arial" w:hAnsi="Arial" w:cs="Arial"/>
          <w:bCs/>
          <w:color w:val="000000" w:themeColor="text1"/>
          <w:sz w:val="22"/>
          <w:szCs w:val="22"/>
          <w:lang w:val="en-PH"/>
        </w:rPr>
        <w:t>19</w:t>
      </w:r>
      <w:r w:rsidRPr="00136460">
        <w:rPr>
          <w:rFonts w:ascii="Arial" w:hAnsi="Arial" w:cs="Arial"/>
          <w:bCs/>
          <w:color w:val="000000" w:themeColor="text1"/>
          <w:sz w:val="22"/>
          <w:szCs w:val="22"/>
          <w:lang w:val="en-PH"/>
        </w:rPr>
        <w:t xml:space="preserve">; </w:t>
      </w:r>
      <w:r w:rsidR="004C5738">
        <w:rPr>
          <w:rFonts w:ascii="Arial" w:hAnsi="Arial" w:cs="Arial"/>
          <w:bCs/>
          <w:color w:val="000000" w:themeColor="text1"/>
          <w:sz w:val="22"/>
          <w:szCs w:val="22"/>
          <w:lang w:val="en-PH"/>
        </w:rPr>
        <w:t>Corona, F.,</w:t>
      </w:r>
      <w:r w:rsidRPr="00136460">
        <w:rPr>
          <w:rFonts w:ascii="Arial" w:hAnsi="Arial" w:cs="Arial"/>
          <w:bCs/>
          <w:color w:val="000000" w:themeColor="text1"/>
          <w:sz w:val="22"/>
          <w:szCs w:val="22"/>
          <w:lang w:val="en-PH"/>
        </w:rPr>
        <w:t xml:space="preserve"> 20</w:t>
      </w:r>
      <w:r w:rsidR="004C5738">
        <w:rPr>
          <w:rFonts w:ascii="Arial" w:hAnsi="Arial" w:cs="Arial"/>
          <w:bCs/>
          <w:color w:val="000000" w:themeColor="text1"/>
          <w:sz w:val="22"/>
          <w:szCs w:val="22"/>
          <w:lang w:val="en-PH"/>
        </w:rPr>
        <w:t>24</w:t>
      </w:r>
      <w:r w:rsidRPr="00136460">
        <w:rPr>
          <w:rFonts w:ascii="Arial" w:hAnsi="Arial" w:cs="Arial"/>
          <w:bCs/>
          <w:color w:val="000000" w:themeColor="text1"/>
          <w:sz w:val="22"/>
          <w:szCs w:val="22"/>
          <w:lang w:val="en-PH"/>
        </w:rPr>
        <w:t>). Social influence also plays a role—individuals are more likely to comply when they perceive that others do so, especially when sanctions are evident (</w:t>
      </w:r>
      <w:hyperlink r:id="rId15" w:tooltip="Rida Belahouaoui" w:history="1">
        <w:proofErr w:type="spellStart"/>
        <w:r w:rsidR="00696B07" w:rsidRPr="0057773F">
          <w:rPr>
            <w:rStyle w:val="Hyperlink"/>
            <w:rFonts w:ascii="Arial" w:hAnsi="Arial" w:cs="Arial"/>
            <w:color w:val="auto"/>
            <w:sz w:val="22"/>
            <w:szCs w:val="22"/>
            <w:u w:val="none"/>
          </w:rPr>
          <w:t>Belahouaoui</w:t>
        </w:r>
        <w:proofErr w:type="spellEnd"/>
        <w:r w:rsidR="00696B07" w:rsidRPr="0057773F">
          <w:rPr>
            <w:rStyle w:val="Hyperlink"/>
            <w:rFonts w:ascii="Arial" w:hAnsi="Arial" w:cs="Arial"/>
            <w:color w:val="auto"/>
            <w:sz w:val="22"/>
            <w:szCs w:val="22"/>
            <w:u w:val="none"/>
          </w:rPr>
          <w:t>, R.</w:t>
        </w:r>
      </w:hyperlink>
      <w:r w:rsidR="00696B07" w:rsidRPr="0057773F">
        <w:rPr>
          <w:rFonts w:ascii="Arial" w:hAnsi="Arial" w:cs="Arial"/>
          <w:sz w:val="22"/>
          <w:szCs w:val="22"/>
        </w:rPr>
        <w:t> and </w:t>
      </w:r>
      <w:proofErr w:type="spellStart"/>
      <w:r w:rsidR="003C6FFA">
        <w:fldChar w:fldCharType="begin"/>
      </w:r>
      <w:r w:rsidR="003C6FFA">
        <w:instrText xml:space="preserve"> HYPERLINK "https://www.emerald.com/insight/search?q=El%20Houssain%20Attak" \o "El Houssain Attak" </w:instrText>
      </w:r>
      <w:r w:rsidR="003C6FFA">
        <w:fldChar w:fldCharType="separate"/>
      </w:r>
      <w:r w:rsidR="00696B07" w:rsidRPr="0057773F">
        <w:rPr>
          <w:rStyle w:val="Hyperlink"/>
          <w:rFonts w:ascii="Arial" w:hAnsi="Arial" w:cs="Arial"/>
          <w:color w:val="auto"/>
          <w:sz w:val="22"/>
          <w:szCs w:val="22"/>
          <w:u w:val="none"/>
        </w:rPr>
        <w:t>Attak</w:t>
      </w:r>
      <w:proofErr w:type="spellEnd"/>
      <w:r w:rsidR="00696B07" w:rsidRPr="0057773F">
        <w:rPr>
          <w:rStyle w:val="Hyperlink"/>
          <w:rFonts w:ascii="Arial" w:hAnsi="Arial" w:cs="Arial"/>
          <w:color w:val="auto"/>
          <w:sz w:val="22"/>
          <w:szCs w:val="22"/>
          <w:u w:val="none"/>
        </w:rPr>
        <w:t>, E.H.</w:t>
      </w:r>
      <w:r w:rsidR="003C6FFA">
        <w:rPr>
          <w:rStyle w:val="Hyperlink"/>
          <w:rFonts w:ascii="Arial" w:hAnsi="Arial" w:cs="Arial"/>
          <w:color w:val="auto"/>
          <w:sz w:val="22"/>
          <w:szCs w:val="22"/>
          <w:u w:val="none"/>
        </w:rPr>
        <w:fldChar w:fldCharType="end"/>
      </w:r>
      <w:r w:rsidR="00696B07">
        <w:rPr>
          <w:rFonts w:ascii="Arial" w:hAnsi="Arial" w:cs="Arial"/>
          <w:sz w:val="22"/>
          <w:szCs w:val="22"/>
        </w:rPr>
        <w:t>,</w:t>
      </w:r>
      <w:r w:rsidR="00696B07" w:rsidRPr="0057773F">
        <w:rPr>
          <w:rFonts w:ascii="Arial" w:hAnsi="Arial" w:cs="Arial"/>
          <w:bCs/>
          <w:sz w:val="22"/>
          <w:szCs w:val="22"/>
          <w:lang w:val="en-PH"/>
        </w:rPr>
        <w:t>(2023)</w:t>
      </w:r>
      <w:r w:rsidR="00696B07">
        <w:rPr>
          <w:rFonts w:ascii="Arial" w:hAnsi="Arial" w:cs="Arial"/>
          <w:bCs/>
          <w:sz w:val="22"/>
          <w:szCs w:val="22"/>
          <w:lang w:val="en-PH"/>
        </w:rPr>
        <w:t>.</w:t>
      </w:r>
    </w:p>
    <w:p w14:paraId="4848BE2A" w14:textId="77777777" w:rsidR="00F46DE5" w:rsidRPr="00F46DE5" w:rsidRDefault="00F46DE5" w:rsidP="00F46DE5">
      <w:pPr>
        <w:spacing w:after="160" w:line="480" w:lineRule="auto"/>
        <w:jc w:val="both"/>
        <w:rPr>
          <w:rFonts w:ascii="Arial" w:eastAsiaTheme="majorEastAsia" w:hAnsi="Arial" w:cs="Arial"/>
          <w:b/>
          <w:noProof/>
          <w:color w:val="000000" w:themeColor="text1"/>
          <w:sz w:val="22"/>
          <w:szCs w:val="22"/>
          <w:lang w:val="en-PH" w:eastAsia="en-PH"/>
        </w:rPr>
      </w:pPr>
      <w:r w:rsidRPr="00F46DE5">
        <w:rPr>
          <w:rFonts w:ascii="Arial" w:eastAsiaTheme="majorEastAsia" w:hAnsi="Arial" w:cs="Arial"/>
          <w:b/>
          <w:bCs/>
          <w:noProof/>
          <w:color w:val="000000" w:themeColor="text1"/>
          <w:sz w:val="22"/>
          <w:szCs w:val="22"/>
          <w:lang w:val="en-PH" w:eastAsia="en-PH"/>
        </w:rPr>
        <w:t>Tax Compliance in the Philippine Context</w:t>
      </w:r>
    </w:p>
    <w:p w14:paraId="29B41BF7" w14:textId="507E405E" w:rsidR="00F46DE5" w:rsidRPr="00F46DE5" w:rsidRDefault="00F46DE5" w:rsidP="00F46DE5">
      <w:pPr>
        <w:spacing w:after="160" w:line="480" w:lineRule="auto"/>
        <w:jc w:val="both"/>
        <w:rPr>
          <w:rFonts w:ascii="Arial" w:eastAsiaTheme="majorEastAsia" w:hAnsi="Arial" w:cs="Arial"/>
          <w:bCs/>
          <w:noProof/>
          <w:color w:val="000000" w:themeColor="text1"/>
          <w:sz w:val="22"/>
          <w:szCs w:val="22"/>
          <w:lang w:val="en-PH" w:eastAsia="en-PH"/>
        </w:rPr>
      </w:pPr>
      <w:r w:rsidRPr="00F46DE5">
        <w:rPr>
          <w:rFonts w:ascii="Arial" w:eastAsiaTheme="majorEastAsia" w:hAnsi="Arial" w:cs="Arial"/>
          <w:bCs/>
          <w:noProof/>
          <w:color w:val="000000" w:themeColor="text1"/>
          <w:sz w:val="22"/>
          <w:szCs w:val="22"/>
          <w:lang w:val="en-PH" w:eastAsia="en-PH"/>
        </w:rPr>
        <w:t xml:space="preserve">Tax compliance in the Philippines continues to face challenges, including system complexity, tax evasion, and a large informal sector (Pacaldo, 2020; Lo, 2024; Nguyen &amp; Darsono, 2022). To address these, the Bureau of Internal Revenue (BIR) has expanded digital platforms like the eFPS and electronic invoicing to improve </w:t>
      </w:r>
      <w:r w:rsidRPr="00F46DE5">
        <w:rPr>
          <w:rFonts w:ascii="Arial" w:eastAsiaTheme="majorEastAsia" w:hAnsi="Arial" w:cs="Arial"/>
          <w:bCs/>
          <w:noProof/>
          <w:color w:val="000000" w:themeColor="text1"/>
          <w:sz w:val="22"/>
          <w:szCs w:val="22"/>
          <w:lang w:val="en-PH" w:eastAsia="en-PH"/>
        </w:rPr>
        <w:lastRenderedPageBreak/>
        <w:t>transparency and efficiency (De Castro et al., 2015; UN ESCAP, 2023; Akmed &amp; Masn</w:t>
      </w:r>
      <w:r w:rsidR="002D0D93">
        <w:rPr>
          <w:rFonts w:ascii="Arial" w:eastAsiaTheme="majorEastAsia" w:hAnsi="Arial" w:cs="Arial"/>
          <w:bCs/>
          <w:noProof/>
          <w:color w:val="000000" w:themeColor="text1"/>
          <w:sz w:val="22"/>
          <w:szCs w:val="22"/>
          <w:lang w:val="en-PH" w:eastAsia="en-PH"/>
        </w:rPr>
        <w:t>o</w:t>
      </w:r>
      <w:r w:rsidRPr="00F46DE5">
        <w:rPr>
          <w:rFonts w:ascii="Arial" w:eastAsiaTheme="majorEastAsia" w:hAnsi="Arial" w:cs="Arial"/>
          <w:bCs/>
          <w:noProof/>
          <w:color w:val="000000" w:themeColor="text1"/>
          <w:sz w:val="22"/>
          <w:szCs w:val="22"/>
          <w:lang w:val="en-PH" w:eastAsia="en-PH"/>
        </w:rPr>
        <w:t>na, 2024). Enforcement programs such as RATE have also helped deter evasion and strengthen institutional trust (DOF, 2024; Rosid et al., 2018). In 2024, BIR’s collection exceeded ₱446 billion, reflecting gains in taxpayer engagement (Gandia et al., 2024). Broader reforms under the TRAIN law and international cooperation frameworks like AEOI further aim to enhance cross-border compliance and administrative capacity (Santos et al., 2022; Compio et al., 2022; Kleven et al., 2016).</w:t>
      </w:r>
    </w:p>
    <w:p w14:paraId="15535D2E" w14:textId="3135EA57" w:rsidR="00790ADA" w:rsidRPr="00607E75" w:rsidRDefault="006B57D0" w:rsidP="00441B6F">
      <w:pPr>
        <w:pStyle w:val="AbstHead"/>
        <w:spacing w:after="0"/>
        <w:jc w:val="both"/>
        <w:rPr>
          <w:rFonts w:ascii="Arial" w:hAnsi="Arial" w:cs="Arial"/>
        </w:rPr>
      </w:pPr>
      <w:r w:rsidRPr="00607E75">
        <w:rPr>
          <w:rFonts w:ascii="Arial" w:hAnsi="Arial" w:cs="Arial"/>
        </w:rPr>
        <w:t>methodology</w:t>
      </w:r>
    </w:p>
    <w:p w14:paraId="51ADA3EA" w14:textId="77777777" w:rsidR="00567AEB" w:rsidRPr="00607E75" w:rsidRDefault="00567AEB" w:rsidP="00441B6F">
      <w:pPr>
        <w:pStyle w:val="AbstHead"/>
        <w:spacing w:after="0"/>
        <w:jc w:val="both"/>
        <w:rPr>
          <w:rFonts w:ascii="Arial" w:hAnsi="Arial" w:cs="Arial"/>
        </w:rPr>
      </w:pPr>
    </w:p>
    <w:p w14:paraId="7E7526A4" w14:textId="3DF78785" w:rsidR="00EB2398" w:rsidRDefault="00EB2398" w:rsidP="00EB2398">
      <w:pPr>
        <w:pStyle w:val="Body"/>
        <w:spacing w:after="0" w:line="480" w:lineRule="auto"/>
        <w:rPr>
          <w:rFonts w:ascii="Arial" w:hAnsi="Arial" w:cs="Arial"/>
          <w:lang w:val="en-PH"/>
        </w:rPr>
      </w:pPr>
      <w:r w:rsidRPr="00EB2398">
        <w:rPr>
          <w:rFonts w:ascii="Arial" w:hAnsi="Arial" w:cs="Arial"/>
          <w:lang w:val="en-PH"/>
        </w:rPr>
        <w:t xml:space="preserve">The study was conducted in </w:t>
      </w:r>
      <w:proofErr w:type="spellStart"/>
      <w:r w:rsidRPr="00EB2398">
        <w:rPr>
          <w:rFonts w:ascii="Arial" w:hAnsi="Arial" w:cs="Arial"/>
          <w:lang w:val="en-PH"/>
        </w:rPr>
        <w:t>Cateel</w:t>
      </w:r>
      <w:proofErr w:type="spellEnd"/>
      <w:r w:rsidRPr="00EB2398">
        <w:rPr>
          <w:rFonts w:ascii="Arial" w:hAnsi="Arial" w:cs="Arial"/>
          <w:lang w:val="en-PH"/>
        </w:rPr>
        <w:t xml:space="preserve">, Davao Oriental, a first-class municipality located in the southeastern region of Mindanao, Philippines. Data collection was conducted over a two-month period from March to April 2025. This study employed a descriptive-correlational research design to assess the level of tax knowledge and tax compliance among business owners and to explore the relationship between these two variables. The correlational component aimed to identify the degree of association between tax knowledge and compliance behaviors. This design is appropriate for </w:t>
      </w:r>
      <w:r w:rsidRPr="00224ADA">
        <w:rPr>
          <w:rFonts w:ascii="Arial" w:hAnsi="Arial" w:cs="Arial"/>
          <w:lang w:val="en-PH"/>
        </w:rPr>
        <w:t xml:space="preserve">identifying relationships without manipulating the variables, aligning with methods described by </w:t>
      </w:r>
      <w:r w:rsidR="001F5F94" w:rsidRPr="00224ADA">
        <w:rPr>
          <w:rFonts w:ascii="Arial" w:hAnsi="Arial" w:cs="Arial"/>
        </w:rPr>
        <w:t>(</w:t>
      </w:r>
      <w:r w:rsidR="008A051F" w:rsidRPr="00224ADA">
        <w:rPr>
          <w:rFonts w:ascii="Arial" w:hAnsi="Arial" w:cs="Arial"/>
        </w:rPr>
        <w:t xml:space="preserve">Devi </w:t>
      </w:r>
      <w:r w:rsidR="001F5F94" w:rsidRPr="00224ADA">
        <w:rPr>
          <w:rFonts w:ascii="Arial" w:hAnsi="Arial" w:cs="Arial"/>
        </w:rPr>
        <w:t>et</w:t>
      </w:r>
      <w:r w:rsidR="001F5F94" w:rsidRPr="00224ADA">
        <w:rPr>
          <w:rFonts w:ascii="Arial" w:hAnsi="Arial" w:cs="Arial"/>
          <w:spacing w:val="-8"/>
        </w:rPr>
        <w:t xml:space="preserve"> </w:t>
      </w:r>
      <w:r w:rsidR="001F5F94" w:rsidRPr="00224ADA">
        <w:rPr>
          <w:rFonts w:ascii="Arial" w:hAnsi="Arial" w:cs="Arial"/>
        </w:rPr>
        <w:t>al.,</w:t>
      </w:r>
      <w:r w:rsidR="001F5F94" w:rsidRPr="00224ADA">
        <w:rPr>
          <w:rFonts w:ascii="Arial" w:hAnsi="Arial" w:cs="Arial"/>
          <w:spacing w:val="-8"/>
        </w:rPr>
        <w:t xml:space="preserve"> </w:t>
      </w:r>
      <w:r w:rsidR="001F5F94" w:rsidRPr="00224ADA">
        <w:rPr>
          <w:rFonts w:ascii="Arial" w:hAnsi="Arial" w:cs="Arial"/>
        </w:rPr>
        <w:t>202</w:t>
      </w:r>
      <w:r w:rsidR="008A051F" w:rsidRPr="00224ADA">
        <w:rPr>
          <w:rFonts w:ascii="Arial" w:hAnsi="Arial" w:cs="Arial"/>
        </w:rPr>
        <w:t>3</w:t>
      </w:r>
      <w:r w:rsidRPr="00224ADA">
        <w:rPr>
          <w:rFonts w:ascii="Arial" w:hAnsi="Arial" w:cs="Arial"/>
          <w:lang w:val="en-PH"/>
        </w:rPr>
        <w:t xml:space="preserve">). The population of the study consisted of 344 registered business owners in </w:t>
      </w:r>
      <w:proofErr w:type="spellStart"/>
      <w:r w:rsidRPr="00224ADA">
        <w:rPr>
          <w:rFonts w:ascii="Arial" w:hAnsi="Arial" w:cs="Arial"/>
          <w:lang w:val="en-PH"/>
        </w:rPr>
        <w:t>Cateel</w:t>
      </w:r>
      <w:proofErr w:type="spellEnd"/>
      <w:r w:rsidRPr="00224ADA">
        <w:rPr>
          <w:rFonts w:ascii="Arial" w:hAnsi="Arial" w:cs="Arial"/>
          <w:lang w:val="en-PH"/>
        </w:rPr>
        <w:t xml:space="preserve">. Using </w:t>
      </w:r>
      <w:proofErr w:type="spellStart"/>
      <w:r w:rsidRPr="00224ADA">
        <w:rPr>
          <w:rFonts w:ascii="Arial" w:hAnsi="Arial" w:cs="Arial"/>
          <w:lang w:val="en-PH"/>
        </w:rPr>
        <w:t>Slovin’s</w:t>
      </w:r>
      <w:proofErr w:type="spellEnd"/>
      <w:r w:rsidRPr="00224ADA">
        <w:rPr>
          <w:rFonts w:ascii="Arial" w:hAnsi="Arial" w:cs="Arial"/>
          <w:lang w:val="en-PH"/>
        </w:rPr>
        <w:t xml:space="preserve"> formula with a 0.10 margin of error, a sample size of 139 was determined. Stratified random</w:t>
      </w:r>
      <w:r w:rsidRPr="00EB2398">
        <w:rPr>
          <w:rFonts w:ascii="Arial" w:hAnsi="Arial" w:cs="Arial"/>
          <w:lang w:val="en-PH"/>
        </w:rPr>
        <w:t xml:space="preserve"> sampling was employed to ensure proportionate representation across business types: trading, manufacturing, and servicing. A draw-lots technique was used to randomly select participants within each stratum.</w:t>
      </w:r>
    </w:p>
    <w:p w14:paraId="48CD6FEC" w14:textId="163F2184" w:rsidR="00BC16BE" w:rsidRPr="00607E75" w:rsidRDefault="00BC16BE" w:rsidP="00BC16BE">
      <w:pPr>
        <w:pStyle w:val="Body"/>
        <w:spacing w:after="0"/>
        <w:rPr>
          <w:rFonts w:ascii="Arial" w:hAnsi="Arial" w:cs="Arial"/>
          <w:lang w:val="en-PH"/>
        </w:rPr>
      </w:pPr>
      <w:r w:rsidRPr="00BC16BE">
        <w:rPr>
          <w:rFonts w:ascii="Arial" w:hAnsi="Arial" w:cs="Arial"/>
        </w:rPr>
        <w:t>Table 1. Distribution of respondents according to the nature of business</w:t>
      </w:r>
    </w:p>
    <w:tbl>
      <w:tblPr>
        <w:tblStyle w:val="TableGrid"/>
        <w:tblW w:w="0" w:type="auto"/>
        <w:tblLook w:val="04A0" w:firstRow="1" w:lastRow="0" w:firstColumn="1" w:lastColumn="0" w:noHBand="0" w:noVBand="1"/>
      </w:tblPr>
      <w:tblGrid>
        <w:gridCol w:w="2743"/>
        <w:gridCol w:w="2720"/>
        <w:gridCol w:w="2735"/>
      </w:tblGrid>
      <w:tr w:rsidR="00EB2398" w:rsidRPr="00607E75" w14:paraId="1B058E3D" w14:textId="77777777" w:rsidTr="00EB2398">
        <w:trPr>
          <w:trHeight w:val="57"/>
        </w:trPr>
        <w:tc>
          <w:tcPr>
            <w:tcW w:w="2876" w:type="dxa"/>
          </w:tcPr>
          <w:p w14:paraId="0D38638F" w14:textId="178EC589" w:rsidR="00EB2398" w:rsidRPr="00607E75" w:rsidRDefault="00EB2398" w:rsidP="00EB2398">
            <w:pPr>
              <w:pStyle w:val="Heading1"/>
              <w:jc w:val="center"/>
              <w:outlineLvl w:val="0"/>
              <w:rPr>
                <w:rFonts w:cs="Arial"/>
                <w:b w:val="0"/>
                <w:bCs/>
                <w:color w:val="000000" w:themeColor="text1"/>
                <w:sz w:val="20"/>
                <w:szCs w:val="20"/>
                <w:lang w:val="en-PH"/>
              </w:rPr>
            </w:pPr>
            <w:r w:rsidRPr="00607E75">
              <w:rPr>
                <w:rFonts w:cs="Arial"/>
                <w:b w:val="0"/>
                <w:bCs/>
                <w:sz w:val="20"/>
                <w:szCs w:val="20"/>
              </w:rPr>
              <w:lastRenderedPageBreak/>
              <w:t>Business Type</w:t>
            </w:r>
          </w:p>
        </w:tc>
        <w:tc>
          <w:tcPr>
            <w:tcW w:w="2877" w:type="dxa"/>
          </w:tcPr>
          <w:p w14:paraId="475013C7" w14:textId="77777777" w:rsidR="00EB2398" w:rsidRPr="00607E75" w:rsidRDefault="00EB2398" w:rsidP="00EB2398">
            <w:pPr>
              <w:pStyle w:val="Heading1"/>
              <w:jc w:val="center"/>
              <w:outlineLvl w:val="0"/>
              <w:rPr>
                <w:rFonts w:cs="Arial"/>
                <w:b w:val="0"/>
                <w:bCs/>
                <w:color w:val="000000" w:themeColor="text1"/>
                <w:sz w:val="20"/>
                <w:szCs w:val="20"/>
                <w:lang w:val="en-PH"/>
              </w:rPr>
            </w:pPr>
            <w:r w:rsidRPr="00607E75">
              <w:rPr>
                <w:rFonts w:cs="Arial"/>
                <w:b w:val="0"/>
                <w:bCs/>
                <w:sz w:val="20"/>
                <w:szCs w:val="20"/>
              </w:rPr>
              <w:t>Registered Businesses</w:t>
            </w:r>
          </w:p>
        </w:tc>
        <w:tc>
          <w:tcPr>
            <w:tcW w:w="2877" w:type="dxa"/>
            <w:vAlign w:val="center"/>
          </w:tcPr>
          <w:p w14:paraId="6613A749" w14:textId="77777777" w:rsidR="00EB2398" w:rsidRPr="00607E75" w:rsidRDefault="00EB2398" w:rsidP="00EB2398">
            <w:pPr>
              <w:pStyle w:val="Heading1"/>
              <w:jc w:val="center"/>
              <w:outlineLvl w:val="0"/>
              <w:rPr>
                <w:rFonts w:cs="Arial"/>
                <w:b w:val="0"/>
                <w:bCs/>
                <w:color w:val="000000" w:themeColor="text1"/>
                <w:sz w:val="20"/>
                <w:szCs w:val="20"/>
                <w:lang w:val="en-PH"/>
              </w:rPr>
            </w:pPr>
            <w:r w:rsidRPr="00607E75">
              <w:rPr>
                <w:rFonts w:cs="Arial"/>
                <w:b w:val="0"/>
                <w:bCs/>
                <w:sz w:val="20"/>
                <w:szCs w:val="20"/>
              </w:rPr>
              <w:t>Respondents</w:t>
            </w:r>
          </w:p>
        </w:tc>
      </w:tr>
      <w:tr w:rsidR="00EB2398" w:rsidRPr="00607E75" w14:paraId="74187150" w14:textId="77777777" w:rsidTr="006E080E">
        <w:trPr>
          <w:trHeight w:val="57"/>
        </w:trPr>
        <w:tc>
          <w:tcPr>
            <w:tcW w:w="2876" w:type="dxa"/>
            <w:vAlign w:val="center"/>
          </w:tcPr>
          <w:p w14:paraId="3F2E7128"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Trading</w:t>
            </w:r>
          </w:p>
        </w:tc>
        <w:tc>
          <w:tcPr>
            <w:tcW w:w="2877" w:type="dxa"/>
            <w:vAlign w:val="center"/>
          </w:tcPr>
          <w:p w14:paraId="73B7F1CE"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202</w:t>
            </w:r>
          </w:p>
        </w:tc>
        <w:tc>
          <w:tcPr>
            <w:tcW w:w="2877" w:type="dxa"/>
            <w:vAlign w:val="center"/>
          </w:tcPr>
          <w:p w14:paraId="72C469B6"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67</w:t>
            </w:r>
          </w:p>
        </w:tc>
      </w:tr>
      <w:tr w:rsidR="00EB2398" w:rsidRPr="00607E75" w14:paraId="0287F243" w14:textId="77777777" w:rsidTr="006E080E">
        <w:trPr>
          <w:trHeight w:val="57"/>
        </w:trPr>
        <w:tc>
          <w:tcPr>
            <w:tcW w:w="2876" w:type="dxa"/>
            <w:vAlign w:val="center"/>
          </w:tcPr>
          <w:p w14:paraId="68BFF030"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Manufacturing</w:t>
            </w:r>
          </w:p>
        </w:tc>
        <w:tc>
          <w:tcPr>
            <w:tcW w:w="2877" w:type="dxa"/>
            <w:vAlign w:val="center"/>
          </w:tcPr>
          <w:p w14:paraId="266E5175"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23</w:t>
            </w:r>
          </w:p>
        </w:tc>
        <w:tc>
          <w:tcPr>
            <w:tcW w:w="2877" w:type="dxa"/>
            <w:vAlign w:val="center"/>
          </w:tcPr>
          <w:p w14:paraId="7137BE2F"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18</w:t>
            </w:r>
          </w:p>
        </w:tc>
      </w:tr>
      <w:tr w:rsidR="00EB2398" w:rsidRPr="00607E75" w14:paraId="33607866" w14:textId="77777777" w:rsidTr="006E080E">
        <w:trPr>
          <w:trHeight w:val="57"/>
        </w:trPr>
        <w:tc>
          <w:tcPr>
            <w:tcW w:w="2876" w:type="dxa"/>
            <w:vAlign w:val="center"/>
          </w:tcPr>
          <w:p w14:paraId="34659815"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Servicing</w:t>
            </w:r>
          </w:p>
        </w:tc>
        <w:tc>
          <w:tcPr>
            <w:tcW w:w="2877" w:type="dxa"/>
            <w:vAlign w:val="center"/>
          </w:tcPr>
          <w:p w14:paraId="388829C2"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119</w:t>
            </w:r>
          </w:p>
        </w:tc>
        <w:tc>
          <w:tcPr>
            <w:tcW w:w="2877" w:type="dxa"/>
            <w:vAlign w:val="center"/>
          </w:tcPr>
          <w:p w14:paraId="5AB6D6EF" w14:textId="77777777" w:rsidR="00EB2398" w:rsidRPr="00607E75" w:rsidRDefault="00EB2398" w:rsidP="00EB2398">
            <w:pPr>
              <w:pStyle w:val="Heading1"/>
              <w:spacing w:before="0"/>
              <w:jc w:val="both"/>
              <w:outlineLvl w:val="0"/>
              <w:rPr>
                <w:rFonts w:cs="Arial"/>
                <w:b w:val="0"/>
                <w:bCs/>
                <w:color w:val="000000" w:themeColor="text1"/>
                <w:sz w:val="20"/>
                <w:szCs w:val="20"/>
                <w:lang w:val="en-PH"/>
              </w:rPr>
            </w:pPr>
            <w:r w:rsidRPr="00607E75">
              <w:rPr>
                <w:rFonts w:cs="Arial"/>
                <w:b w:val="0"/>
                <w:bCs/>
                <w:sz w:val="20"/>
                <w:szCs w:val="20"/>
              </w:rPr>
              <w:t>54</w:t>
            </w:r>
          </w:p>
        </w:tc>
      </w:tr>
    </w:tbl>
    <w:p w14:paraId="38ACAFD0" w14:textId="77777777" w:rsidR="006F5B5D" w:rsidRPr="00607E75" w:rsidRDefault="006F5B5D" w:rsidP="00EB2398">
      <w:pPr>
        <w:pStyle w:val="Body"/>
        <w:spacing w:after="0" w:line="480" w:lineRule="auto"/>
        <w:rPr>
          <w:rFonts w:ascii="Arial" w:hAnsi="Arial" w:cs="Arial"/>
          <w:lang w:val="en-PH"/>
        </w:rPr>
      </w:pPr>
    </w:p>
    <w:p w14:paraId="703FE729" w14:textId="77777777" w:rsidR="009E3C0C" w:rsidRDefault="009E3C0C" w:rsidP="00EB2398">
      <w:pPr>
        <w:pStyle w:val="Body"/>
        <w:spacing w:after="0" w:line="480" w:lineRule="auto"/>
        <w:rPr>
          <w:rFonts w:ascii="Arial" w:hAnsi="Arial" w:cs="Arial"/>
          <w:b/>
          <w:bCs/>
          <w:lang w:val="en-PH"/>
        </w:rPr>
      </w:pPr>
    </w:p>
    <w:p w14:paraId="7E061B18" w14:textId="5217A5C9" w:rsidR="00EB2398" w:rsidRPr="00607E75" w:rsidRDefault="006F5B5D" w:rsidP="00EB2398">
      <w:pPr>
        <w:pStyle w:val="Body"/>
        <w:spacing w:after="0" w:line="480" w:lineRule="auto"/>
        <w:rPr>
          <w:rFonts w:ascii="Arial" w:hAnsi="Arial" w:cs="Arial"/>
          <w:b/>
          <w:bCs/>
          <w:lang w:val="en-PH"/>
        </w:rPr>
      </w:pPr>
      <w:r w:rsidRPr="00607E75">
        <w:rPr>
          <w:rFonts w:ascii="Arial" w:hAnsi="Arial" w:cs="Arial"/>
          <w:b/>
          <w:bCs/>
          <w:lang w:val="en-PH"/>
        </w:rPr>
        <w:t>Research Instrument</w:t>
      </w:r>
    </w:p>
    <w:p w14:paraId="7865C94F" w14:textId="416A2901" w:rsidR="006F5B5D" w:rsidRDefault="006F5B5D" w:rsidP="006F5B5D">
      <w:pPr>
        <w:pStyle w:val="Body"/>
        <w:spacing w:after="0" w:line="480" w:lineRule="auto"/>
        <w:rPr>
          <w:rFonts w:ascii="Arial" w:hAnsi="Arial" w:cs="Arial"/>
          <w:lang w:val="en-PH"/>
        </w:rPr>
      </w:pPr>
      <w:r w:rsidRPr="006F5B5D">
        <w:rPr>
          <w:rFonts w:ascii="Arial" w:hAnsi="Arial" w:cs="Arial"/>
          <w:lang w:val="en-PH"/>
        </w:rPr>
        <w:t xml:space="preserve">The instrument was adapted and modified from the validated instrument used by </w:t>
      </w:r>
      <w:proofErr w:type="spellStart"/>
      <w:r w:rsidRPr="006F5B5D">
        <w:rPr>
          <w:rFonts w:ascii="Arial" w:hAnsi="Arial" w:cs="Arial"/>
          <w:lang w:val="en-PH"/>
        </w:rPr>
        <w:t>Twum</w:t>
      </w:r>
      <w:proofErr w:type="spellEnd"/>
      <w:r w:rsidRPr="006F5B5D">
        <w:rPr>
          <w:rFonts w:ascii="Arial" w:hAnsi="Arial" w:cs="Arial"/>
          <w:lang w:val="en-PH"/>
        </w:rPr>
        <w:t xml:space="preserve"> et al. (2020) and reviewed by two academic experts for local relevance and clarity. It comprised five major sections: demographics, which included age, business size, type, educational attainment, and years of operation; tax rights knowledge, which assessed understanding of tax laws, filing rules, and allowable deductions; knowledge of business income, which measured awareness related to income reporting and classification; awareness of sanctions, which evaluated knowledge of penalties for tax non-compliance; and tax compliance, which measured self-reported filing and payment behaviors. </w:t>
      </w:r>
    </w:p>
    <w:p w14:paraId="5B7517A9" w14:textId="26AA1A87" w:rsidR="00607E75" w:rsidRPr="006F5B5D" w:rsidRDefault="00DF1C76" w:rsidP="006F5B5D">
      <w:pPr>
        <w:pStyle w:val="Body"/>
        <w:spacing w:after="0" w:line="480" w:lineRule="auto"/>
        <w:rPr>
          <w:rFonts w:ascii="Arial" w:hAnsi="Arial" w:cs="Arial"/>
          <w:lang w:val="en-PH"/>
        </w:rPr>
      </w:pPr>
      <w:r>
        <w:rPr>
          <w:rFonts w:ascii="Arial" w:hAnsi="Arial" w:cs="Arial"/>
          <w:lang w:val="en-PH"/>
        </w:rPr>
        <w:t xml:space="preserve">   </w:t>
      </w:r>
    </w:p>
    <w:p w14:paraId="1255DA5E" w14:textId="16D7B000" w:rsidR="00902823" w:rsidRPr="00607E75" w:rsidRDefault="00000F8F" w:rsidP="00441B6F">
      <w:pPr>
        <w:pStyle w:val="Head1"/>
        <w:spacing w:after="0"/>
        <w:jc w:val="both"/>
        <w:rPr>
          <w:rFonts w:ascii="Arial" w:hAnsi="Arial" w:cs="Arial"/>
        </w:rPr>
      </w:pPr>
      <w:bookmarkStart w:id="1" w:name="_GoBack"/>
      <w:r w:rsidRPr="00607E75">
        <w:rPr>
          <w:rFonts w:ascii="Arial" w:hAnsi="Arial" w:cs="Arial"/>
        </w:rPr>
        <w:t>result</w:t>
      </w:r>
      <w:bookmarkEnd w:id="1"/>
      <w:r w:rsidRPr="00607E75">
        <w:rPr>
          <w:rFonts w:ascii="Arial" w:hAnsi="Arial" w:cs="Arial"/>
        </w:rPr>
        <w:t>s and discussion</w:t>
      </w:r>
    </w:p>
    <w:p w14:paraId="02A6FF3A" w14:textId="77777777" w:rsidR="00790ADA" w:rsidRPr="00607E75" w:rsidRDefault="00790ADA" w:rsidP="00441B6F">
      <w:pPr>
        <w:pStyle w:val="Head1"/>
        <w:spacing w:after="0"/>
        <w:jc w:val="both"/>
        <w:rPr>
          <w:rFonts w:ascii="Arial" w:hAnsi="Arial" w:cs="Arial"/>
        </w:rPr>
      </w:pPr>
    </w:p>
    <w:p w14:paraId="6B0622BE" w14:textId="271094F9" w:rsidR="00BC16BE" w:rsidRDefault="00E66E10" w:rsidP="00BC16BE">
      <w:pPr>
        <w:spacing w:line="480" w:lineRule="auto"/>
        <w:ind w:firstLine="720"/>
        <w:jc w:val="both"/>
        <w:rPr>
          <w:rFonts w:ascii="Arial" w:hAnsi="Arial" w:cs="Arial"/>
          <w:bCs/>
          <w:color w:val="000000" w:themeColor="text1"/>
          <w:sz w:val="22"/>
          <w:szCs w:val="22"/>
        </w:rPr>
      </w:pPr>
      <w:r w:rsidRPr="00607E75">
        <w:rPr>
          <w:rFonts w:ascii="Arial" w:hAnsi="Arial" w:cs="Arial"/>
        </w:rPr>
        <w:t xml:space="preserve"> </w:t>
      </w:r>
      <w:r w:rsidR="00607E75" w:rsidRPr="00607E75">
        <w:rPr>
          <w:rFonts w:ascii="Arial" w:hAnsi="Arial" w:cs="Arial"/>
          <w:bCs/>
          <w:color w:val="000000" w:themeColor="text1"/>
          <w:sz w:val="22"/>
          <w:szCs w:val="22"/>
        </w:rPr>
        <w:t xml:space="preserve">This chapter presents the survey results conducted by the researchers, along with the corresponding discussions. The researchers personally distributed the questionnaires to each identified respondent and collected them immediately after completion. Due to the respondents' availability, the data collection process took two months. A total of 139 respondents were randomly selected from the 344 registered business owners in </w:t>
      </w:r>
      <w:proofErr w:type="spellStart"/>
      <w:r w:rsidR="00607E75" w:rsidRPr="00607E75">
        <w:rPr>
          <w:rFonts w:ascii="Arial" w:hAnsi="Arial" w:cs="Arial"/>
          <w:bCs/>
          <w:color w:val="000000" w:themeColor="text1"/>
          <w:sz w:val="22"/>
          <w:szCs w:val="22"/>
        </w:rPr>
        <w:t>Cateel</w:t>
      </w:r>
      <w:proofErr w:type="spellEnd"/>
      <w:r w:rsidR="00607E75" w:rsidRPr="00607E75">
        <w:rPr>
          <w:rFonts w:ascii="Arial" w:hAnsi="Arial" w:cs="Arial"/>
          <w:bCs/>
          <w:color w:val="000000" w:themeColor="text1"/>
          <w:sz w:val="22"/>
          <w:szCs w:val="22"/>
        </w:rPr>
        <w:t>, Davao Oriental, representing various demographic profiles. The following sections summarize the demographic profile of the respondents, their level of tax knowledge, the level of tax compliance, significant differences in tax knowledge levels, the relationship between tax knowledge and tax compliance, and significant differences in tax compliance levels</w:t>
      </w:r>
      <w:r w:rsidR="006C7905">
        <w:rPr>
          <w:rFonts w:ascii="Arial" w:hAnsi="Arial" w:cs="Arial"/>
          <w:bCs/>
          <w:color w:val="000000" w:themeColor="text1"/>
          <w:sz w:val="22"/>
          <w:szCs w:val="22"/>
        </w:rPr>
        <w:t>.</w:t>
      </w:r>
    </w:p>
    <w:p w14:paraId="347061F9" w14:textId="2939AFA4" w:rsidR="00BC16BE" w:rsidRPr="00BC16BE" w:rsidRDefault="00801FE6" w:rsidP="00801FE6">
      <w:pPr>
        <w:jc w:val="both"/>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  </w:t>
      </w:r>
      <w:r w:rsidR="00BC16BE">
        <w:rPr>
          <w:rFonts w:ascii="Arial" w:hAnsi="Arial" w:cs="Arial"/>
          <w:bCs/>
          <w:color w:val="000000" w:themeColor="text1"/>
          <w:sz w:val="22"/>
          <w:szCs w:val="22"/>
        </w:rPr>
        <w:t>Table 2. Demographic profile of the respondents</w:t>
      </w:r>
    </w:p>
    <w:p w14:paraId="13E5D9B3" w14:textId="50E30BB7" w:rsidR="006C7905" w:rsidRDefault="00BC16BE" w:rsidP="00607E75">
      <w:pPr>
        <w:spacing w:line="480" w:lineRule="auto"/>
        <w:ind w:firstLine="720"/>
        <w:jc w:val="both"/>
        <w:rPr>
          <w:rFonts w:ascii="Arial" w:hAnsi="Arial" w:cs="Arial"/>
          <w:bCs/>
          <w:color w:val="000000" w:themeColor="text1"/>
          <w:sz w:val="22"/>
          <w:szCs w:val="22"/>
        </w:rPr>
      </w:pPr>
      <w:r w:rsidRPr="00BC16BE">
        <w:rPr>
          <w:rFonts w:ascii="Arial" w:hAnsi="Arial" w:cs="Arial"/>
          <w:bCs/>
          <w:noProof/>
          <w:color w:val="000000" w:themeColor="text1"/>
          <w:sz w:val="22"/>
          <w:szCs w:val="22"/>
        </w:rPr>
        <w:drawing>
          <wp:anchor distT="0" distB="0" distL="114300" distR="114300" simplePos="0" relativeHeight="251666432" behindDoc="0" locked="0" layoutInCell="1" allowOverlap="1" wp14:anchorId="314551D5" wp14:editId="70466F1E">
            <wp:simplePos x="0" y="0"/>
            <wp:positionH relativeFrom="margin">
              <wp:align>right</wp:align>
            </wp:positionH>
            <wp:positionV relativeFrom="paragraph">
              <wp:posOffset>10795</wp:posOffset>
            </wp:positionV>
            <wp:extent cx="5202555" cy="4505325"/>
            <wp:effectExtent l="0" t="0" r="0" b="9525"/>
            <wp:wrapNone/>
            <wp:docPr id="57666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62554" name=""/>
                    <pic:cNvPicPr/>
                  </pic:nvPicPr>
                  <pic:blipFill>
                    <a:blip r:embed="rId16">
                      <a:extLst>
                        <a:ext uri="{28A0092B-C50C-407E-A947-70E740481C1C}">
                          <a14:useLocalDpi xmlns:a14="http://schemas.microsoft.com/office/drawing/2010/main" val="0"/>
                        </a:ext>
                      </a:extLst>
                    </a:blip>
                    <a:stretch>
                      <a:fillRect/>
                    </a:stretch>
                  </pic:blipFill>
                  <pic:spPr>
                    <a:xfrm>
                      <a:off x="0" y="0"/>
                      <a:ext cx="5202555" cy="4505325"/>
                    </a:xfrm>
                    <a:prstGeom prst="rect">
                      <a:avLst/>
                    </a:prstGeom>
                  </pic:spPr>
                </pic:pic>
              </a:graphicData>
            </a:graphic>
            <wp14:sizeRelH relativeFrom="margin">
              <wp14:pctWidth>0</wp14:pctWidth>
            </wp14:sizeRelH>
            <wp14:sizeRelV relativeFrom="margin">
              <wp14:pctHeight>0</wp14:pctHeight>
            </wp14:sizeRelV>
          </wp:anchor>
        </w:drawing>
      </w:r>
    </w:p>
    <w:p w14:paraId="3486C8FC" w14:textId="77777777" w:rsidR="006C7905" w:rsidRDefault="006C7905" w:rsidP="00607E75">
      <w:pPr>
        <w:spacing w:line="480" w:lineRule="auto"/>
        <w:ind w:firstLine="720"/>
        <w:jc w:val="both"/>
        <w:rPr>
          <w:rFonts w:ascii="Arial" w:hAnsi="Arial" w:cs="Arial"/>
          <w:bCs/>
          <w:color w:val="000000" w:themeColor="text1"/>
          <w:sz w:val="22"/>
          <w:szCs w:val="22"/>
        </w:rPr>
      </w:pPr>
    </w:p>
    <w:p w14:paraId="0D5ED6BB" w14:textId="77777777" w:rsidR="006C7905" w:rsidRDefault="006C7905" w:rsidP="00607E75">
      <w:pPr>
        <w:spacing w:line="480" w:lineRule="auto"/>
        <w:ind w:firstLine="720"/>
        <w:jc w:val="both"/>
        <w:rPr>
          <w:rFonts w:ascii="Arial" w:hAnsi="Arial" w:cs="Arial"/>
          <w:bCs/>
          <w:color w:val="000000" w:themeColor="text1"/>
          <w:sz w:val="22"/>
          <w:szCs w:val="22"/>
        </w:rPr>
      </w:pPr>
    </w:p>
    <w:p w14:paraId="09153972" w14:textId="77777777" w:rsidR="006C7905" w:rsidRDefault="006C7905" w:rsidP="00607E75">
      <w:pPr>
        <w:spacing w:line="480" w:lineRule="auto"/>
        <w:ind w:firstLine="720"/>
        <w:jc w:val="both"/>
        <w:rPr>
          <w:rFonts w:ascii="Arial" w:hAnsi="Arial" w:cs="Arial"/>
          <w:bCs/>
          <w:color w:val="000000" w:themeColor="text1"/>
          <w:sz w:val="22"/>
          <w:szCs w:val="22"/>
        </w:rPr>
      </w:pPr>
    </w:p>
    <w:p w14:paraId="78291AC4" w14:textId="77777777" w:rsidR="006C7905" w:rsidRDefault="006C7905" w:rsidP="00607E75">
      <w:pPr>
        <w:spacing w:line="480" w:lineRule="auto"/>
        <w:ind w:firstLine="720"/>
        <w:jc w:val="both"/>
        <w:rPr>
          <w:rFonts w:ascii="Arial" w:hAnsi="Arial" w:cs="Arial"/>
          <w:bCs/>
          <w:color w:val="000000" w:themeColor="text1"/>
          <w:sz w:val="22"/>
          <w:szCs w:val="22"/>
        </w:rPr>
      </w:pPr>
    </w:p>
    <w:p w14:paraId="0AC5053E" w14:textId="77777777" w:rsidR="006C7905" w:rsidRDefault="006C7905" w:rsidP="00607E75">
      <w:pPr>
        <w:spacing w:line="480" w:lineRule="auto"/>
        <w:ind w:firstLine="720"/>
        <w:jc w:val="both"/>
        <w:rPr>
          <w:rFonts w:ascii="Arial" w:hAnsi="Arial" w:cs="Arial"/>
          <w:bCs/>
          <w:color w:val="000000" w:themeColor="text1"/>
          <w:sz w:val="22"/>
          <w:szCs w:val="22"/>
        </w:rPr>
      </w:pPr>
    </w:p>
    <w:p w14:paraId="61B5FEC7" w14:textId="77777777" w:rsidR="006C7905" w:rsidRDefault="006C7905" w:rsidP="00607E75">
      <w:pPr>
        <w:spacing w:line="480" w:lineRule="auto"/>
        <w:ind w:firstLine="720"/>
        <w:jc w:val="both"/>
        <w:rPr>
          <w:rFonts w:ascii="Arial" w:hAnsi="Arial" w:cs="Arial"/>
          <w:bCs/>
          <w:color w:val="000000" w:themeColor="text1"/>
          <w:sz w:val="22"/>
          <w:szCs w:val="22"/>
        </w:rPr>
      </w:pPr>
    </w:p>
    <w:p w14:paraId="6CCBD3FD" w14:textId="643692D0" w:rsidR="00607E75" w:rsidRPr="00607E75" w:rsidRDefault="00AD3DC4" w:rsidP="00AD3DC4">
      <w:pPr>
        <w:pStyle w:val="Body"/>
        <w:spacing w:after="0" w:line="480" w:lineRule="auto"/>
        <w:ind w:firstLine="720"/>
        <w:rPr>
          <w:rFonts w:ascii="Arial" w:hAnsi="Arial" w:cs="Arial"/>
        </w:rPr>
      </w:pPr>
      <w:r w:rsidRPr="00AD3DC4">
        <w:rPr>
          <w:rFonts w:ascii="Arial" w:hAnsi="Arial" w:cs="Arial"/>
        </w:rPr>
        <w:t xml:space="preserve">The demographic and business profile of respondents reveals that most business owners in </w:t>
      </w:r>
      <w:proofErr w:type="spellStart"/>
      <w:r w:rsidRPr="00AD3DC4">
        <w:rPr>
          <w:rFonts w:ascii="Arial" w:hAnsi="Arial" w:cs="Arial"/>
        </w:rPr>
        <w:t>Cateel</w:t>
      </w:r>
      <w:proofErr w:type="spellEnd"/>
      <w:r w:rsidRPr="00AD3DC4">
        <w:rPr>
          <w:rFonts w:ascii="Arial" w:hAnsi="Arial" w:cs="Arial"/>
        </w:rPr>
        <w:t xml:space="preserve"> are young to middle-aged adults, with 54.68% aged 18–39, reflecting a youth-driven entrepreneurial sector. This supports </w:t>
      </w:r>
      <w:proofErr w:type="spellStart"/>
      <w:r w:rsidRPr="00AD3DC4">
        <w:rPr>
          <w:rFonts w:ascii="Arial" w:hAnsi="Arial" w:cs="Arial"/>
        </w:rPr>
        <w:t>Fatoki</w:t>
      </w:r>
      <w:proofErr w:type="spellEnd"/>
      <w:r w:rsidRPr="00AD3DC4">
        <w:rPr>
          <w:rFonts w:ascii="Arial" w:hAnsi="Arial" w:cs="Arial"/>
        </w:rPr>
        <w:t xml:space="preserve"> (2019), who emphasized the agility and opportunity-seeking behavior of younger entrepreneurs. A dominant 97.84% operate microenterprises, consistent with </w:t>
      </w:r>
      <w:proofErr w:type="spellStart"/>
      <w:r w:rsidRPr="00AD3DC4">
        <w:rPr>
          <w:rFonts w:ascii="Arial" w:hAnsi="Arial" w:cs="Arial"/>
        </w:rPr>
        <w:t>Manipol</w:t>
      </w:r>
      <w:proofErr w:type="spellEnd"/>
      <w:r w:rsidRPr="00AD3DC4">
        <w:rPr>
          <w:rFonts w:ascii="Arial" w:hAnsi="Arial" w:cs="Arial"/>
        </w:rPr>
        <w:t xml:space="preserve"> (2023) and </w:t>
      </w:r>
      <w:proofErr w:type="spellStart"/>
      <w:r w:rsidRPr="00AD3DC4">
        <w:rPr>
          <w:rFonts w:ascii="Arial" w:hAnsi="Arial" w:cs="Arial"/>
        </w:rPr>
        <w:t>Granfon</w:t>
      </w:r>
      <w:proofErr w:type="spellEnd"/>
      <w:r w:rsidRPr="00AD3DC4">
        <w:rPr>
          <w:rFonts w:ascii="Arial" w:hAnsi="Arial" w:cs="Arial"/>
        </w:rPr>
        <w:t xml:space="preserve"> et al. (2023), who found microbusinesses prevalent in rural areas due to low capital and regulatory requirements. The majority are engaged in trading (48.20%) and services (38.85%), with limited participation in manufacturing (12.95%), a pattern explained by </w:t>
      </w:r>
      <w:proofErr w:type="spellStart"/>
      <w:r w:rsidRPr="00AD3DC4">
        <w:rPr>
          <w:rFonts w:ascii="Arial" w:hAnsi="Arial" w:cs="Arial"/>
        </w:rPr>
        <w:t>Kritikos</w:t>
      </w:r>
      <w:proofErr w:type="spellEnd"/>
      <w:r w:rsidRPr="00AD3DC4">
        <w:rPr>
          <w:rFonts w:ascii="Arial" w:hAnsi="Arial" w:cs="Arial"/>
        </w:rPr>
        <w:t xml:space="preserve"> (2015), ILO (2015), and UNIDO (2016), citing structural limitations and preference for low-barrier, high-turnover businesses. Educationally, 78.42% have at least completed high school or college, supporting Devos (2016) and Eriksen and </w:t>
      </w:r>
      <w:proofErr w:type="spellStart"/>
      <w:r w:rsidRPr="00AD3DC4">
        <w:rPr>
          <w:rFonts w:ascii="Arial" w:hAnsi="Arial" w:cs="Arial"/>
        </w:rPr>
        <w:t>Fallan</w:t>
      </w:r>
      <w:proofErr w:type="spellEnd"/>
      <w:r w:rsidRPr="00AD3DC4">
        <w:rPr>
          <w:rFonts w:ascii="Arial" w:hAnsi="Arial" w:cs="Arial"/>
        </w:rPr>
        <w:t xml:space="preserve"> (2016), who linked education with improved tax literacy and compliance, although Bird (2014) noted it is often overlooked in SME policy. Lastly, 59.71% of businesses are under 10 years old, suggesting a young and growing entrepreneurial base, aligned with Ali et al. (2014) and Awasthi and </w:t>
      </w:r>
      <w:proofErr w:type="spellStart"/>
      <w:r w:rsidRPr="00AD3DC4">
        <w:rPr>
          <w:rFonts w:ascii="Arial" w:hAnsi="Arial" w:cs="Arial"/>
        </w:rPr>
        <w:t>Engelschalk</w:t>
      </w:r>
      <w:proofErr w:type="spellEnd"/>
      <w:r w:rsidRPr="00AD3DC4">
        <w:rPr>
          <w:rFonts w:ascii="Arial" w:hAnsi="Arial" w:cs="Arial"/>
        </w:rPr>
        <w:t xml:space="preserve"> (2018), who associated such trends with evolving market opportunities, necessity-driven startups, and improved access to digital tax systems.</w:t>
      </w:r>
    </w:p>
    <w:p w14:paraId="251911CE" w14:textId="77777777" w:rsidR="00BC16BE" w:rsidRDefault="00BC16BE" w:rsidP="00441B6F">
      <w:pPr>
        <w:pStyle w:val="Body"/>
        <w:spacing w:after="0"/>
        <w:rPr>
          <w:rFonts w:ascii="Arial" w:hAnsi="Arial" w:cs="Arial"/>
        </w:rPr>
      </w:pPr>
    </w:p>
    <w:p w14:paraId="1782585C" w14:textId="77777777" w:rsidR="00BC16BE" w:rsidRDefault="00BC16BE" w:rsidP="00441B6F">
      <w:pPr>
        <w:pStyle w:val="Body"/>
        <w:spacing w:after="0"/>
        <w:rPr>
          <w:rFonts w:ascii="Arial" w:hAnsi="Arial" w:cs="Arial"/>
        </w:rPr>
      </w:pPr>
    </w:p>
    <w:p w14:paraId="3B813C83" w14:textId="5606CC46" w:rsidR="00C527BC" w:rsidRDefault="00C527BC" w:rsidP="00441B6F">
      <w:pPr>
        <w:pStyle w:val="Body"/>
        <w:spacing w:after="0"/>
        <w:rPr>
          <w:rFonts w:ascii="Arial" w:hAnsi="Arial" w:cs="Arial"/>
          <w:b/>
          <w:bCs/>
          <w:sz w:val="22"/>
          <w:szCs w:val="22"/>
        </w:rPr>
      </w:pPr>
      <w:r w:rsidRPr="00C527BC">
        <w:rPr>
          <w:rFonts w:ascii="Arial" w:hAnsi="Arial" w:cs="Arial"/>
          <w:b/>
          <w:bCs/>
          <w:sz w:val="22"/>
          <w:szCs w:val="22"/>
        </w:rPr>
        <w:t>Level of Tax Knowledge Among Business Owners</w:t>
      </w:r>
    </w:p>
    <w:p w14:paraId="2397168B" w14:textId="77777777" w:rsidR="00E349C1" w:rsidRPr="00C527BC" w:rsidRDefault="00E349C1" w:rsidP="00441B6F">
      <w:pPr>
        <w:pStyle w:val="Body"/>
        <w:spacing w:after="0"/>
        <w:rPr>
          <w:rFonts w:ascii="Arial" w:hAnsi="Arial" w:cs="Arial"/>
          <w:b/>
          <w:bCs/>
          <w:sz w:val="22"/>
          <w:szCs w:val="22"/>
        </w:rPr>
      </w:pPr>
    </w:p>
    <w:p w14:paraId="1D489164" w14:textId="77777777" w:rsidR="00790ADA" w:rsidRDefault="00790ADA" w:rsidP="00441B6F">
      <w:pPr>
        <w:pStyle w:val="Body"/>
        <w:spacing w:after="0"/>
        <w:rPr>
          <w:rFonts w:ascii="Arial" w:hAnsi="Arial" w:cs="Arial"/>
        </w:rPr>
      </w:pPr>
    </w:p>
    <w:p w14:paraId="3834B27A" w14:textId="42167F4F" w:rsidR="00C527BC" w:rsidRPr="00733073" w:rsidRDefault="00733073" w:rsidP="00733073">
      <w:pPr>
        <w:pStyle w:val="BodyText"/>
        <w:spacing w:after="0"/>
        <w:jc w:val="both"/>
      </w:pPr>
      <w:r>
        <w:lastRenderedPageBreak/>
        <w:t>Table</w:t>
      </w:r>
      <w:r>
        <w:rPr>
          <w:spacing w:val="-5"/>
        </w:rPr>
        <w:t xml:space="preserve"> </w:t>
      </w:r>
      <w:r>
        <w:t>3.</w:t>
      </w:r>
      <w:r>
        <w:rPr>
          <w:spacing w:val="-4"/>
        </w:rPr>
        <w:t xml:space="preserve"> </w:t>
      </w:r>
      <w:r>
        <w:t>Tax</w:t>
      </w:r>
      <w:r>
        <w:rPr>
          <w:spacing w:val="-6"/>
        </w:rPr>
        <w:t xml:space="preserve"> </w:t>
      </w:r>
      <w:r>
        <w:t>knowledge</w:t>
      </w:r>
      <w:r>
        <w:rPr>
          <w:spacing w:val="-4"/>
        </w:rPr>
        <w:t xml:space="preserve"> </w:t>
      </w:r>
      <w:r>
        <w:t>in</w:t>
      </w:r>
      <w:r>
        <w:rPr>
          <w:spacing w:val="1"/>
        </w:rPr>
        <w:t xml:space="preserve"> </w:t>
      </w:r>
      <w:r>
        <w:t>relation</w:t>
      </w:r>
      <w:r>
        <w:rPr>
          <w:spacing w:val="-5"/>
        </w:rPr>
        <w:t xml:space="preserve"> </w:t>
      </w:r>
      <w:r>
        <w:t>to</w:t>
      </w:r>
      <w:r>
        <w:rPr>
          <w:spacing w:val="-4"/>
        </w:rPr>
        <w:t xml:space="preserve"> </w:t>
      </w:r>
      <w:r>
        <w:t>tax</w:t>
      </w:r>
      <w:r>
        <w:rPr>
          <w:spacing w:val="-1"/>
        </w:rPr>
        <w:t xml:space="preserve"> </w:t>
      </w:r>
      <w:r>
        <w:t>rights</w:t>
      </w:r>
      <w:r>
        <w:rPr>
          <w:spacing w:val="-6"/>
        </w:rPr>
        <w:t xml:space="preserve"> </w:t>
      </w:r>
      <w:r>
        <w:t xml:space="preserve">and </w:t>
      </w:r>
      <w:r>
        <w:rPr>
          <w:spacing w:val="-2"/>
        </w:rPr>
        <w:t>responsibilities</w:t>
      </w:r>
    </w:p>
    <w:tbl>
      <w:tblPr>
        <w:tblpPr w:leftFromText="180" w:rightFromText="180" w:vertAnchor="text" w:horzAnchor="margin" w:tblpY="79"/>
        <w:tblW w:w="8552" w:type="dxa"/>
        <w:tblLayout w:type="fixed"/>
        <w:tblCellMar>
          <w:left w:w="0" w:type="dxa"/>
          <w:right w:w="0" w:type="dxa"/>
        </w:tblCellMar>
        <w:tblLook w:val="01E0" w:firstRow="1" w:lastRow="1" w:firstColumn="1" w:lastColumn="1" w:noHBand="0" w:noVBand="0"/>
      </w:tblPr>
      <w:tblGrid>
        <w:gridCol w:w="4530"/>
        <w:gridCol w:w="1048"/>
        <w:gridCol w:w="1337"/>
        <w:gridCol w:w="1637"/>
      </w:tblGrid>
      <w:tr w:rsidR="00733073" w14:paraId="61C1F24C" w14:textId="77777777" w:rsidTr="00143856">
        <w:trPr>
          <w:trHeight w:val="227"/>
        </w:trPr>
        <w:tc>
          <w:tcPr>
            <w:tcW w:w="4530" w:type="dxa"/>
            <w:tcBorders>
              <w:top w:val="single" w:sz="4" w:space="0" w:color="000000"/>
              <w:bottom w:val="single" w:sz="4" w:space="0" w:color="000000"/>
            </w:tcBorders>
          </w:tcPr>
          <w:p w14:paraId="369FCF6A" w14:textId="77777777" w:rsidR="00733073" w:rsidRDefault="00733073" w:rsidP="00733073">
            <w:pPr>
              <w:pStyle w:val="TableParagraph"/>
              <w:spacing w:before="187"/>
              <w:ind w:left="4" w:right="122"/>
              <w:jc w:val="center"/>
              <w:rPr>
                <w:rFonts w:ascii="Arial"/>
                <w:b/>
              </w:rPr>
            </w:pPr>
            <w:r>
              <w:rPr>
                <w:rFonts w:ascii="Arial"/>
                <w:b/>
                <w:spacing w:val="-2"/>
              </w:rPr>
              <w:t>Statements</w:t>
            </w:r>
          </w:p>
        </w:tc>
        <w:tc>
          <w:tcPr>
            <w:tcW w:w="1048" w:type="dxa"/>
            <w:tcBorders>
              <w:top w:val="single" w:sz="4" w:space="0" w:color="000000"/>
              <w:bottom w:val="single" w:sz="4" w:space="0" w:color="000000"/>
            </w:tcBorders>
          </w:tcPr>
          <w:p w14:paraId="2BE4E083" w14:textId="77777777" w:rsidR="00733073" w:rsidRDefault="00733073" w:rsidP="00733073">
            <w:pPr>
              <w:pStyle w:val="TableParagraph"/>
              <w:spacing w:before="187"/>
              <w:ind w:left="6" w:right="3"/>
              <w:jc w:val="center"/>
              <w:rPr>
                <w:rFonts w:ascii="Arial"/>
                <w:b/>
              </w:rPr>
            </w:pPr>
            <w:r>
              <w:rPr>
                <w:rFonts w:ascii="Arial"/>
                <w:b/>
                <w:spacing w:val="-4"/>
              </w:rPr>
              <w:t>Mean</w:t>
            </w:r>
          </w:p>
        </w:tc>
        <w:tc>
          <w:tcPr>
            <w:tcW w:w="1337" w:type="dxa"/>
            <w:tcBorders>
              <w:top w:val="single" w:sz="4" w:space="0" w:color="000000"/>
              <w:bottom w:val="single" w:sz="4" w:space="0" w:color="000000"/>
            </w:tcBorders>
          </w:tcPr>
          <w:p w14:paraId="0685D49D" w14:textId="77777777" w:rsidR="00733073" w:rsidRDefault="00733073" w:rsidP="00733073">
            <w:pPr>
              <w:pStyle w:val="TableParagraph"/>
              <w:spacing w:before="62" w:line="252" w:lineRule="exact"/>
              <w:ind w:left="136" w:right="2"/>
              <w:jc w:val="center"/>
            </w:pPr>
            <w:r>
              <w:rPr>
                <w:rFonts w:ascii="Arial"/>
                <w:b/>
                <w:spacing w:val="-4"/>
              </w:rPr>
              <w:t>Std</w:t>
            </w:r>
            <w:r>
              <w:rPr>
                <w:spacing w:val="-4"/>
              </w:rPr>
              <w:t>.</w:t>
            </w:r>
          </w:p>
          <w:p w14:paraId="573A4866" w14:textId="77777777" w:rsidR="00733073" w:rsidRDefault="00733073" w:rsidP="00733073">
            <w:pPr>
              <w:pStyle w:val="TableParagraph"/>
              <w:spacing w:line="252" w:lineRule="exact"/>
              <w:ind w:left="136" w:right="2"/>
              <w:jc w:val="center"/>
              <w:rPr>
                <w:rFonts w:ascii="Arial"/>
                <w:b/>
              </w:rPr>
            </w:pPr>
            <w:r>
              <w:rPr>
                <w:rFonts w:ascii="Arial"/>
                <w:b/>
                <w:spacing w:val="-2"/>
              </w:rPr>
              <w:t>Deviation</w:t>
            </w:r>
          </w:p>
        </w:tc>
        <w:tc>
          <w:tcPr>
            <w:tcW w:w="1637" w:type="dxa"/>
            <w:tcBorders>
              <w:top w:val="single" w:sz="4" w:space="0" w:color="000000"/>
              <w:bottom w:val="single" w:sz="4" w:space="0" w:color="000000"/>
            </w:tcBorders>
          </w:tcPr>
          <w:p w14:paraId="71F86830" w14:textId="77777777" w:rsidR="00733073" w:rsidRDefault="00733073" w:rsidP="00733073">
            <w:pPr>
              <w:pStyle w:val="TableParagraph"/>
              <w:spacing w:before="187"/>
              <w:ind w:left="5" w:right="2"/>
              <w:jc w:val="center"/>
              <w:rPr>
                <w:rFonts w:ascii="Arial"/>
                <w:b/>
              </w:rPr>
            </w:pPr>
            <w:r>
              <w:rPr>
                <w:rFonts w:ascii="Arial"/>
                <w:b/>
                <w:spacing w:val="-2"/>
              </w:rPr>
              <w:t>Interpretation</w:t>
            </w:r>
          </w:p>
        </w:tc>
      </w:tr>
      <w:tr w:rsidR="00733073" w14:paraId="7237BC5E" w14:textId="77777777" w:rsidTr="00143856">
        <w:trPr>
          <w:trHeight w:val="227"/>
        </w:trPr>
        <w:tc>
          <w:tcPr>
            <w:tcW w:w="4530" w:type="dxa"/>
            <w:tcBorders>
              <w:top w:val="single" w:sz="4" w:space="0" w:color="000000"/>
            </w:tcBorders>
          </w:tcPr>
          <w:p w14:paraId="687926FF" w14:textId="77777777" w:rsidR="00733073" w:rsidRDefault="00733073" w:rsidP="00733073">
            <w:pPr>
              <w:pStyle w:val="TableParagraph"/>
              <w:spacing w:line="250" w:lineRule="atLeast"/>
              <w:ind w:left="117"/>
            </w:pPr>
            <w:r>
              <w:t>1.</w:t>
            </w:r>
            <w:r>
              <w:rPr>
                <w:spacing w:val="-15"/>
              </w:rPr>
              <w:t xml:space="preserve"> </w:t>
            </w:r>
            <w:r>
              <w:t>Being</w:t>
            </w:r>
            <w:r>
              <w:rPr>
                <w:spacing w:val="-15"/>
              </w:rPr>
              <w:t xml:space="preserve"> </w:t>
            </w:r>
            <w:r>
              <w:t>educated</w:t>
            </w:r>
            <w:r>
              <w:rPr>
                <w:spacing w:val="-14"/>
              </w:rPr>
              <w:t xml:space="preserve"> </w:t>
            </w:r>
            <w:r>
              <w:t>on</w:t>
            </w:r>
            <w:r>
              <w:rPr>
                <w:spacing w:val="-15"/>
              </w:rPr>
              <w:t xml:space="preserve"> </w:t>
            </w:r>
            <w:r>
              <w:t>the</w:t>
            </w:r>
            <w:r>
              <w:rPr>
                <w:spacing w:val="-13"/>
              </w:rPr>
              <w:t xml:space="preserve"> </w:t>
            </w:r>
            <w:r>
              <w:t>various</w:t>
            </w:r>
            <w:r>
              <w:rPr>
                <w:spacing w:val="-12"/>
              </w:rPr>
              <w:t xml:space="preserve"> </w:t>
            </w:r>
            <w:r>
              <w:t>rights</w:t>
            </w:r>
            <w:r>
              <w:rPr>
                <w:spacing w:val="-15"/>
              </w:rPr>
              <w:t xml:space="preserve"> </w:t>
            </w:r>
            <w:r>
              <w:t>and responsibilities regarding tax issues.</w:t>
            </w:r>
          </w:p>
        </w:tc>
        <w:tc>
          <w:tcPr>
            <w:tcW w:w="1048" w:type="dxa"/>
            <w:tcBorders>
              <w:top w:val="single" w:sz="4" w:space="0" w:color="000000"/>
            </w:tcBorders>
          </w:tcPr>
          <w:p w14:paraId="0AD9F93B" w14:textId="77777777" w:rsidR="00733073" w:rsidRDefault="00733073" w:rsidP="00733073">
            <w:pPr>
              <w:pStyle w:val="TableParagraph"/>
              <w:spacing w:before="128"/>
              <w:ind w:left="6"/>
              <w:jc w:val="center"/>
            </w:pPr>
            <w:r>
              <w:rPr>
                <w:spacing w:val="-4"/>
              </w:rPr>
              <w:t>4.40</w:t>
            </w:r>
          </w:p>
        </w:tc>
        <w:tc>
          <w:tcPr>
            <w:tcW w:w="1337" w:type="dxa"/>
            <w:tcBorders>
              <w:top w:val="single" w:sz="4" w:space="0" w:color="000000"/>
            </w:tcBorders>
          </w:tcPr>
          <w:p w14:paraId="673AF1D2" w14:textId="77777777" w:rsidR="00733073" w:rsidRDefault="00733073" w:rsidP="00733073">
            <w:pPr>
              <w:pStyle w:val="TableParagraph"/>
              <w:spacing w:before="128"/>
              <w:ind w:left="136"/>
              <w:jc w:val="center"/>
            </w:pPr>
            <w:r>
              <w:rPr>
                <w:spacing w:val="-4"/>
              </w:rPr>
              <w:t>0.68</w:t>
            </w:r>
          </w:p>
        </w:tc>
        <w:tc>
          <w:tcPr>
            <w:tcW w:w="1637" w:type="dxa"/>
            <w:tcBorders>
              <w:top w:val="single" w:sz="4" w:space="0" w:color="000000"/>
            </w:tcBorders>
          </w:tcPr>
          <w:p w14:paraId="5B5BF7A1" w14:textId="77777777" w:rsidR="00733073" w:rsidRDefault="00733073" w:rsidP="00733073">
            <w:pPr>
              <w:pStyle w:val="TableParagraph"/>
              <w:spacing w:before="3"/>
              <w:ind w:left="5"/>
              <w:jc w:val="center"/>
            </w:pPr>
            <w:r>
              <w:rPr>
                <w:spacing w:val="-2"/>
              </w:rPr>
              <w:t>Extensive</w:t>
            </w:r>
          </w:p>
        </w:tc>
      </w:tr>
      <w:tr w:rsidR="00733073" w14:paraId="2CBD14FA" w14:textId="77777777" w:rsidTr="00143856">
        <w:trPr>
          <w:trHeight w:val="227"/>
        </w:trPr>
        <w:tc>
          <w:tcPr>
            <w:tcW w:w="4530" w:type="dxa"/>
          </w:tcPr>
          <w:p w14:paraId="5F425D07" w14:textId="77777777" w:rsidR="00733073" w:rsidRDefault="00733073" w:rsidP="00733073">
            <w:pPr>
              <w:pStyle w:val="TableParagraph"/>
              <w:spacing w:line="254" w:lineRule="exact"/>
              <w:ind w:left="117"/>
            </w:pPr>
            <w:r>
              <w:t>2. Tax</w:t>
            </w:r>
            <w:r>
              <w:rPr>
                <w:spacing w:val="-3"/>
              </w:rPr>
              <w:t xml:space="preserve"> </w:t>
            </w:r>
            <w:r>
              <w:t>education</w:t>
            </w:r>
            <w:r>
              <w:rPr>
                <w:spacing w:val="-1"/>
              </w:rPr>
              <w:t xml:space="preserve"> </w:t>
            </w:r>
            <w:r>
              <w:t>creates</w:t>
            </w:r>
            <w:r>
              <w:rPr>
                <w:spacing w:val="-3"/>
              </w:rPr>
              <w:t xml:space="preserve"> </w:t>
            </w:r>
            <w:r>
              <w:t>awareness</w:t>
            </w:r>
            <w:r>
              <w:rPr>
                <w:spacing w:val="-3"/>
              </w:rPr>
              <w:t xml:space="preserve"> </w:t>
            </w:r>
            <w:r>
              <w:t>of the responsibility to pay taxes.</w:t>
            </w:r>
          </w:p>
        </w:tc>
        <w:tc>
          <w:tcPr>
            <w:tcW w:w="1048" w:type="dxa"/>
          </w:tcPr>
          <w:p w14:paraId="0FF7D18D" w14:textId="77777777" w:rsidR="00733073" w:rsidRDefault="00733073" w:rsidP="00733073">
            <w:pPr>
              <w:pStyle w:val="TableParagraph"/>
              <w:spacing w:before="125"/>
              <w:ind w:left="6"/>
              <w:jc w:val="center"/>
            </w:pPr>
            <w:r>
              <w:rPr>
                <w:spacing w:val="-4"/>
              </w:rPr>
              <w:t>4.50</w:t>
            </w:r>
          </w:p>
        </w:tc>
        <w:tc>
          <w:tcPr>
            <w:tcW w:w="1337" w:type="dxa"/>
          </w:tcPr>
          <w:p w14:paraId="312ED94D" w14:textId="77777777" w:rsidR="00733073" w:rsidRDefault="00733073" w:rsidP="00733073">
            <w:pPr>
              <w:pStyle w:val="TableParagraph"/>
              <w:spacing w:before="125"/>
              <w:ind w:left="136"/>
              <w:jc w:val="center"/>
            </w:pPr>
            <w:r>
              <w:rPr>
                <w:spacing w:val="-4"/>
              </w:rPr>
              <w:t>0.63</w:t>
            </w:r>
          </w:p>
        </w:tc>
        <w:tc>
          <w:tcPr>
            <w:tcW w:w="1637" w:type="dxa"/>
          </w:tcPr>
          <w:p w14:paraId="6D5338F6" w14:textId="77777777" w:rsidR="00733073" w:rsidRDefault="00733073" w:rsidP="00733073">
            <w:pPr>
              <w:pStyle w:val="TableParagraph"/>
              <w:spacing w:before="1"/>
              <w:ind w:left="5"/>
              <w:jc w:val="center"/>
            </w:pPr>
            <w:r>
              <w:rPr>
                <w:spacing w:val="-2"/>
              </w:rPr>
              <w:t>Extensive</w:t>
            </w:r>
          </w:p>
        </w:tc>
      </w:tr>
      <w:tr w:rsidR="00733073" w14:paraId="5509C076" w14:textId="77777777" w:rsidTr="00143856">
        <w:trPr>
          <w:trHeight w:val="227"/>
        </w:trPr>
        <w:tc>
          <w:tcPr>
            <w:tcW w:w="4530" w:type="dxa"/>
          </w:tcPr>
          <w:p w14:paraId="6CDA8BF7" w14:textId="77777777" w:rsidR="00733073" w:rsidRDefault="00733073" w:rsidP="00733073">
            <w:pPr>
              <w:pStyle w:val="TableParagraph"/>
              <w:spacing w:line="246" w:lineRule="exact"/>
              <w:ind w:left="117"/>
            </w:pPr>
            <w:r>
              <w:t>3.</w:t>
            </w:r>
            <w:r>
              <w:rPr>
                <w:spacing w:val="47"/>
              </w:rPr>
              <w:t xml:space="preserve"> </w:t>
            </w:r>
            <w:r>
              <w:t>Tax</w:t>
            </w:r>
            <w:r>
              <w:rPr>
                <w:spacing w:val="42"/>
              </w:rPr>
              <w:t xml:space="preserve"> </w:t>
            </w:r>
            <w:r>
              <w:t>education</w:t>
            </w:r>
            <w:r>
              <w:rPr>
                <w:spacing w:val="49"/>
              </w:rPr>
              <w:t xml:space="preserve"> </w:t>
            </w:r>
            <w:r>
              <w:t>provides</w:t>
            </w:r>
            <w:r>
              <w:rPr>
                <w:spacing w:val="41"/>
              </w:rPr>
              <w:t xml:space="preserve"> </w:t>
            </w:r>
            <w:r>
              <w:rPr>
                <w:spacing w:val="-2"/>
              </w:rPr>
              <w:t>understanding</w:t>
            </w:r>
          </w:p>
          <w:p w14:paraId="17387812" w14:textId="77777777" w:rsidR="00733073" w:rsidRDefault="00733073" w:rsidP="00733073">
            <w:pPr>
              <w:pStyle w:val="TableParagraph"/>
              <w:spacing w:before="5" w:line="233" w:lineRule="exact"/>
              <w:ind w:left="117"/>
            </w:pPr>
            <w:r>
              <w:t>that</w:t>
            </w:r>
            <w:r>
              <w:rPr>
                <w:spacing w:val="1"/>
              </w:rPr>
              <w:t xml:space="preserve"> </w:t>
            </w:r>
            <w:r>
              <w:t>tax rates</w:t>
            </w:r>
            <w:r>
              <w:rPr>
                <w:spacing w:val="-3"/>
              </w:rPr>
              <w:t xml:space="preserve"> </w:t>
            </w:r>
            <w:r>
              <w:t>are</w:t>
            </w:r>
            <w:r>
              <w:rPr>
                <w:spacing w:val="-2"/>
              </w:rPr>
              <w:t xml:space="preserve"> </w:t>
            </w:r>
            <w:r>
              <w:t>fair</w:t>
            </w:r>
            <w:r>
              <w:rPr>
                <w:spacing w:val="-5"/>
              </w:rPr>
              <w:t xml:space="preserve"> </w:t>
            </w:r>
            <w:r>
              <w:t>and</w:t>
            </w:r>
            <w:r>
              <w:rPr>
                <w:spacing w:val="2"/>
              </w:rPr>
              <w:t xml:space="preserve"> </w:t>
            </w:r>
            <w:r>
              <w:rPr>
                <w:spacing w:val="-2"/>
              </w:rPr>
              <w:t>justified.</w:t>
            </w:r>
          </w:p>
        </w:tc>
        <w:tc>
          <w:tcPr>
            <w:tcW w:w="1048" w:type="dxa"/>
          </w:tcPr>
          <w:p w14:paraId="6C630F65" w14:textId="77777777" w:rsidR="00733073" w:rsidRDefault="00733073" w:rsidP="00733073">
            <w:pPr>
              <w:pStyle w:val="TableParagraph"/>
              <w:spacing w:before="126"/>
              <w:ind w:left="6"/>
              <w:jc w:val="center"/>
            </w:pPr>
            <w:r>
              <w:rPr>
                <w:spacing w:val="-4"/>
              </w:rPr>
              <w:t>4.46</w:t>
            </w:r>
          </w:p>
        </w:tc>
        <w:tc>
          <w:tcPr>
            <w:tcW w:w="1337" w:type="dxa"/>
          </w:tcPr>
          <w:p w14:paraId="2F52931F" w14:textId="77777777" w:rsidR="00733073" w:rsidRDefault="00733073" w:rsidP="00733073">
            <w:pPr>
              <w:pStyle w:val="TableParagraph"/>
              <w:spacing w:before="126"/>
              <w:ind w:left="136"/>
              <w:jc w:val="center"/>
            </w:pPr>
            <w:r>
              <w:rPr>
                <w:spacing w:val="-4"/>
              </w:rPr>
              <w:t>0.67</w:t>
            </w:r>
          </w:p>
        </w:tc>
        <w:tc>
          <w:tcPr>
            <w:tcW w:w="1637" w:type="dxa"/>
          </w:tcPr>
          <w:p w14:paraId="0DE2E8CD" w14:textId="77777777" w:rsidR="00733073" w:rsidRDefault="00733073" w:rsidP="00733073">
            <w:pPr>
              <w:pStyle w:val="TableParagraph"/>
              <w:spacing w:line="246" w:lineRule="exact"/>
              <w:ind w:left="5"/>
              <w:jc w:val="center"/>
            </w:pPr>
            <w:r>
              <w:rPr>
                <w:spacing w:val="-2"/>
              </w:rPr>
              <w:t>Extensive</w:t>
            </w:r>
          </w:p>
        </w:tc>
      </w:tr>
      <w:tr w:rsidR="00733073" w14:paraId="745DA67E" w14:textId="77777777" w:rsidTr="00143856">
        <w:trPr>
          <w:trHeight w:val="227"/>
        </w:trPr>
        <w:tc>
          <w:tcPr>
            <w:tcW w:w="4530" w:type="dxa"/>
            <w:tcBorders>
              <w:bottom w:val="single" w:sz="4" w:space="0" w:color="000000"/>
            </w:tcBorders>
          </w:tcPr>
          <w:p w14:paraId="72294D59" w14:textId="77777777" w:rsidR="00733073" w:rsidRDefault="00733073" w:rsidP="00733073">
            <w:pPr>
              <w:pStyle w:val="TableParagraph"/>
              <w:spacing w:line="250" w:lineRule="atLeast"/>
              <w:ind w:left="117" w:right="1"/>
            </w:pPr>
            <w:r>
              <w:t>4.</w:t>
            </w:r>
            <w:r>
              <w:rPr>
                <w:spacing w:val="30"/>
              </w:rPr>
              <w:t xml:space="preserve"> </w:t>
            </w:r>
            <w:r>
              <w:t>Tax</w:t>
            </w:r>
            <w:r>
              <w:rPr>
                <w:spacing w:val="25"/>
              </w:rPr>
              <w:t xml:space="preserve"> </w:t>
            </w:r>
            <w:r>
              <w:t>education</w:t>
            </w:r>
            <w:r>
              <w:rPr>
                <w:spacing w:val="30"/>
              </w:rPr>
              <w:t xml:space="preserve"> </w:t>
            </w:r>
            <w:r>
              <w:t>increases</w:t>
            </w:r>
            <w:r>
              <w:rPr>
                <w:spacing w:val="28"/>
              </w:rPr>
              <w:t xml:space="preserve"> </w:t>
            </w:r>
            <w:r>
              <w:t>awareness</w:t>
            </w:r>
            <w:r>
              <w:rPr>
                <w:spacing w:val="25"/>
              </w:rPr>
              <w:t xml:space="preserve"> </w:t>
            </w:r>
            <w:r>
              <w:t>of the</w:t>
            </w:r>
            <w:r>
              <w:rPr>
                <w:spacing w:val="-6"/>
              </w:rPr>
              <w:t xml:space="preserve"> </w:t>
            </w:r>
            <w:r>
              <w:t>benefits</w:t>
            </w:r>
            <w:r>
              <w:rPr>
                <w:spacing w:val="-6"/>
              </w:rPr>
              <w:t xml:space="preserve"> </w:t>
            </w:r>
            <w:r>
              <w:t>and</w:t>
            </w:r>
            <w:r>
              <w:rPr>
                <w:spacing w:val="-6"/>
              </w:rPr>
              <w:t xml:space="preserve"> </w:t>
            </w:r>
            <w:r>
              <w:t>privileges</w:t>
            </w:r>
            <w:r>
              <w:rPr>
                <w:spacing w:val="-2"/>
              </w:rPr>
              <w:t xml:space="preserve"> </w:t>
            </w:r>
            <w:r>
              <w:t>of</w:t>
            </w:r>
            <w:r>
              <w:rPr>
                <w:spacing w:val="-2"/>
              </w:rPr>
              <w:t xml:space="preserve"> </w:t>
            </w:r>
            <w:r>
              <w:t>paying</w:t>
            </w:r>
            <w:r>
              <w:rPr>
                <w:spacing w:val="-1"/>
              </w:rPr>
              <w:t xml:space="preserve"> </w:t>
            </w:r>
            <w:r>
              <w:rPr>
                <w:spacing w:val="-2"/>
              </w:rPr>
              <w:t>taxes.</w:t>
            </w:r>
          </w:p>
        </w:tc>
        <w:tc>
          <w:tcPr>
            <w:tcW w:w="1048" w:type="dxa"/>
            <w:tcBorders>
              <w:bottom w:val="single" w:sz="4" w:space="0" w:color="000000"/>
            </w:tcBorders>
          </w:tcPr>
          <w:p w14:paraId="35895169" w14:textId="77777777" w:rsidR="00733073" w:rsidRDefault="00733073" w:rsidP="00733073">
            <w:pPr>
              <w:pStyle w:val="TableParagraph"/>
              <w:spacing w:before="125"/>
              <w:ind w:left="6"/>
              <w:jc w:val="center"/>
            </w:pPr>
            <w:r>
              <w:rPr>
                <w:spacing w:val="-4"/>
              </w:rPr>
              <w:t>4.60</w:t>
            </w:r>
          </w:p>
        </w:tc>
        <w:tc>
          <w:tcPr>
            <w:tcW w:w="1337" w:type="dxa"/>
            <w:tcBorders>
              <w:bottom w:val="single" w:sz="4" w:space="0" w:color="000000"/>
            </w:tcBorders>
          </w:tcPr>
          <w:p w14:paraId="7004E935" w14:textId="77777777" w:rsidR="00733073" w:rsidRDefault="00733073" w:rsidP="00733073">
            <w:pPr>
              <w:pStyle w:val="TableParagraph"/>
              <w:spacing w:before="125"/>
              <w:ind w:left="136"/>
              <w:jc w:val="center"/>
            </w:pPr>
            <w:r>
              <w:rPr>
                <w:spacing w:val="-4"/>
              </w:rPr>
              <w:t>0.61</w:t>
            </w:r>
          </w:p>
        </w:tc>
        <w:tc>
          <w:tcPr>
            <w:tcW w:w="1637" w:type="dxa"/>
            <w:tcBorders>
              <w:bottom w:val="single" w:sz="4" w:space="0" w:color="000000"/>
            </w:tcBorders>
          </w:tcPr>
          <w:p w14:paraId="07737BB6" w14:textId="77777777" w:rsidR="00733073" w:rsidRDefault="00733073" w:rsidP="00733073">
            <w:pPr>
              <w:pStyle w:val="TableParagraph"/>
              <w:spacing w:before="1"/>
              <w:ind w:left="5"/>
              <w:jc w:val="center"/>
            </w:pPr>
            <w:r>
              <w:rPr>
                <w:spacing w:val="-2"/>
              </w:rPr>
              <w:t>Extensive</w:t>
            </w:r>
          </w:p>
        </w:tc>
      </w:tr>
      <w:tr w:rsidR="00733073" w14:paraId="2A99F8C0" w14:textId="77777777" w:rsidTr="00143856">
        <w:trPr>
          <w:trHeight w:val="227"/>
        </w:trPr>
        <w:tc>
          <w:tcPr>
            <w:tcW w:w="4530" w:type="dxa"/>
            <w:tcBorders>
              <w:top w:val="single" w:sz="4" w:space="0" w:color="000000"/>
              <w:bottom w:val="single" w:sz="4" w:space="0" w:color="000000"/>
            </w:tcBorders>
          </w:tcPr>
          <w:p w14:paraId="47C92483" w14:textId="77777777" w:rsidR="00733073" w:rsidRDefault="00733073" w:rsidP="00733073">
            <w:pPr>
              <w:pStyle w:val="TableParagraph"/>
              <w:spacing w:line="248" w:lineRule="exact"/>
              <w:ind w:right="122"/>
              <w:jc w:val="center"/>
              <w:rPr>
                <w:rFonts w:ascii="Arial"/>
                <w:b/>
              </w:rPr>
            </w:pPr>
            <w:r>
              <w:rPr>
                <w:rFonts w:ascii="Arial"/>
                <w:b/>
                <w:spacing w:val="-2"/>
              </w:rPr>
              <w:t>Average</w:t>
            </w:r>
          </w:p>
        </w:tc>
        <w:tc>
          <w:tcPr>
            <w:tcW w:w="1048" w:type="dxa"/>
            <w:tcBorders>
              <w:top w:val="single" w:sz="4" w:space="0" w:color="000000"/>
              <w:bottom w:val="single" w:sz="4" w:space="0" w:color="000000"/>
            </w:tcBorders>
          </w:tcPr>
          <w:p w14:paraId="0A8A8F6F" w14:textId="77777777" w:rsidR="00733073" w:rsidRDefault="00733073" w:rsidP="00733073">
            <w:pPr>
              <w:pStyle w:val="TableParagraph"/>
              <w:spacing w:before="46"/>
              <w:ind w:left="6"/>
              <w:jc w:val="center"/>
            </w:pPr>
            <w:r>
              <w:rPr>
                <w:spacing w:val="-4"/>
              </w:rPr>
              <w:t>4.49</w:t>
            </w:r>
          </w:p>
        </w:tc>
        <w:tc>
          <w:tcPr>
            <w:tcW w:w="1337" w:type="dxa"/>
            <w:tcBorders>
              <w:top w:val="single" w:sz="4" w:space="0" w:color="000000"/>
              <w:bottom w:val="single" w:sz="4" w:space="0" w:color="000000"/>
            </w:tcBorders>
          </w:tcPr>
          <w:p w14:paraId="00AD40A3" w14:textId="77777777" w:rsidR="00733073" w:rsidRDefault="00733073" w:rsidP="00733073">
            <w:pPr>
              <w:pStyle w:val="TableParagraph"/>
              <w:spacing w:before="46"/>
              <w:ind w:left="136"/>
              <w:jc w:val="center"/>
            </w:pPr>
            <w:r>
              <w:rPr>
                <w:spacing w:val="-4"/>
              </w:rPr>
              <w:t>0.56</w:t>
            </w:r>
          </w:p>
        </w:tc>
        <w:tc>
          <w:tcPr>
            <w:tcW w:w="1637" w:type="dxa"/>
            <w:tcBorders>
              <w:top w:val="single" w:sz="4" w:space="0" w:color="000000"/>
              <w:bottom w:val="single" w:sz="4" w:space="0" w:color="000000"/>
            </w:tcBorders>
          </w:tcPr>
          <w:p w14:paraId="1195603F" w14:textId="77777777" w:rsidR="00733073" w:rsidRDefault="00733073" w:rsidP="00733073">
            <w:pPr>
              <w:pStyle w:val="TableParagraph"/>
              <w:spacing w:before="3"/>
              <w:ind w:left="5"/>
              <w:jc w:val="center"/>
            </w:pPr>
            <w:r>
              <w:rPr>
                <w:spacing w:val="-2"/>
              </w:rPr>
              <w:t>Extensive</w:t>
            </w:r>
          </w:p>
        </w:tc>
      </w:tr>
    </w:tbl>
    <w:p w14:paraId="54819B83" w14:textId="77777777" w:rsidR="00C527BC" w:rsidRDefault="00C527BC" w:rsidP="00441B6F">
      <w:pPr>
        <w:pStyle w:val="Body"/>
        <w:spacing w:after="0"/>
        <w:rPr>
          <w:rFonts w:ascii="Arial" w:hAnsi="Arial" w:cs="Arial"/>
        </w:rPr>
      </w:pPr>
    </w:p>
    <w:p w14:paraId="2085AA79" w14:textId="349A1361" w:rsidR="00AD3DC4" w:rsidRDefault="00F65CC1" w:rsidP="00F65CC1">
      <w:pPr>
        <w:pStyle w:val="Body"/>
        <w:spacing w:after="0" w:line="480" w:lineRule="auto"/>
        <w:rPr>
          <w:rFonts w:ascii="Arial" w:hAnsi="Arial" w:cs="Arial"/>
        </w:rPr>
      </w:pPr>
      <w:r w:rsidRPr="00F65CC1">
        <w:rPr>
          <w:rFonts w:ascii="Arial" w:hAnsi="Arial" w:cs="Arial"/>
        </w:rPr>
        <w:t xml:space="preserve">Table </w:t>
      </w:r>
      <w:r>
        <w:rPr>
          <w:rFonts w:ascii="Arial" w:hAnsi="Arial" w:cs="Arial"/>
        </w:rPr>
        <w:t>3</w:t>
      </w:r>
      <w:r w:rsidRPr="00F65CC1">
        <w:rPr>
          <w:rFonts w:ascii="Arial" w:hAnsi="Arial" w:cs="Arial"/>
        </w:rPr>
        <w:t xml:space="preserve"> shows that entrepreneurs in </w:t>
      </w:r>
      <w:proofErr w:type="spellStart"/>
      <w:r w:rsidRPr="00F65CC1">
        <w:rPr>
          <w:rFonts w:ascii="Arial" w:hAnsi="Arial" w:cs="Arial"/>
        </w:rPr>
        <w:t>Cateel</w:t>
      </w:r>
      <w:proofErr w:type="spellEnd"/>
      <w:r w:rsidRPr="00F65CC1">
        <w:rPr>
          <w:rFonts w:ascii="Arial" w:hAnsi="Arial" w:cs="Arial"/>
        </w:rPr>
        <w:t xml:space="preserve"> have a very high level of business income knowledge (x̄ = 4.49, s = 0.79), indicating that tax education enables them to conduct self-assessments and manage revenue obligations effectively. This supports </w:t>
      </w:r>
      <w:proofErr w:type="spellStart"/>
      <w:r w:rsidRPr="00F65CC1">
        <w:rPr>
          <w:rFonts w:ascii="Arial" w:hAnsi="Arial" w:cs="Arial"/>
        </w:rPr>
        <w:t>Renoria</w:t>
      </w:r>
      <w:proofErr w:type="spellEnd"/>
      <w:r w:rsidRPr="00F65CC1">
        <w:rPr>
          <w:rFonts w:ascii="Arial" w:hAnsi="Arial" w:cs="Arial"/>
        </w:rPr>
        <w:t xml:space="preserve"> (2024), who found that tax education via seminars and media enhances compliant behavior. </w:t>
      </w:r>
      <w:proofErr w:type="spellStart"/>
      <w:r w:rsidRPr="00F65CC1">
        <w:rPr>
          <w:rFonts w:ascii="Arial" w:hAnsi="Arial" w:cs="Arial"/>
        </w:rPr>
        <w:t>Wibowo</w:t>
      </w:r>
      <w:proofErr w:type="spellEnd"/>
      <w:r w:rsidRPr="00F65CC1">
        <w:rPr>
          <w:rFonts w:ascii="Arial" w:hAnsi="Arial" w:cs="Arial"/>
        </w:rPr>
        <w:t xml:space="preserve"> et al. (2022) also confirmed that tax knowledge positively influences taxpayer compliance, highlighting the importance of self-assessment systems in promoting responsible tax practices.</w:t>
      </w:r>
    </w:p>
    <w:p w14:paraId="738BFA7C" w14:textId="77777777" w:rsidR="00AD3DC4" w:rsidRDefault="00AD3DC4" w:rsidP="00441B6F">
      <w:pPr>
        <w:pStyle w:val="Body"/>
        <w:spacing w:after="0"/>
        <w:rPr>
          <w:rFonts w:ascii="Arial" w:hAnsi="Arial" w:cs="Arial"/>
        </w:rPr>
      </w:pPr>
    </w:p>
    <w:p w14:paraId="41DEAB98" w14:textId="3128FFEB" w:rsidR="00E349C1" w:rsidRPr="00E349C1" w:rsidRDefault="00E349C1" w:rsidP="00E349C1">
      <w:pPr>
        <w:pStyle w:val="BodyText"/>
        <w:spacing w:after="2"/>
        <w:jc w:val="both"/>
      </w:pPr>
      <w:r>
        <w:t>Table</w:t>
      </w:r>
      <w:r>
        <w:rPr>
          <w:spacing w:val="-3"/>
        </w:rPr>
        <w:t xml:space="preserve"> </w:t>
      </w:r>
      <w:r>
        <w:t>4.</w:t>
      </w:r>
      <w:r>
        <w:rPr>
          <w:spacing w:val="-3"/>
        </w:rPr>
        <w:t xml:space="preserve"> </w:t>
      </w:r>
      <w:r>
        <w:t>Tax</w:t>
      </w:r>
      <w:r>
        <w:rPr>
          <w:spacing w:val="-4"/>
        </w:rPr>
        <w:t xml:space="preserve"> </w:t>
      </w:r>
      <w:r>
        <w:t>knowledge</w:t>
      </w:r>
      <w:r>
        <w:rPr>
          <w:spacing w:val="-6"/>
        </w:rPr>
        <w:t xml:space="preserve"> </w:t>
      </w:r>
      <w:r>
        <w:t>in</w:t>
      </w:r>
      <w:r>
        <w:rPr>
          <w:spacing w:val="-3"/>
        </w:rPr>
        <w:t xml:space="preserve"> </w:t>
      </w:r>
      <w:r>
        <w:t>relation</w:t>
      </w:r>
      <w:r>
        <w:rPr>
          <w:spacing w:val="-2"/>
        </w:rPr>
        <w:t xml:space="preserve"> </w:t>
      </w:r>
      <w:r>
        <w:t>to</w:t>
      </w:r>
      <w:r>
        <w:rPr>
          <w:spacing w:val="-2"/>
        </w:rPr>
        <w:t xml:space="preserve"> </w:t>
      </w:r>
      <w:r>
        <w:t>knowledge</w:t>
      </w:r>
      <w:r>
        <w:rPr>
          <w:spacing w:val="-7"/>
        </w:rPr>
        <w:t xml:space="preserve"> </w:t>
      </w:r>
      <w:r>
        <w:t>of</w:t>
      </w:r>
      <w:r>
        <w:rPr>
          <w:spacing w:val="-3"/>
        </w:rPr>
        <w:t xml:space="preserve"> </w:t>
      </w:r>
      <w:r>
        <w:t>business</w:t>
      </w:r>
      <w:r>
        <w:rPr>
          <w:spacing w:val="-8"/>
        </w:rPr>
        <w:t xml:space="preserve"> </w:t>
      </w:r>
      <w:r>
        <w:rPr>
          <w:spacing w:val="-2"/>
        </w:rPr>
        <w:t>income</w:t>
      </w:r>
    </w:p>
    <w:tbl>
      <w:tblPr>
        <w:tblpPr w:leftFromText="180" w:rightFromText="180" w:vertAnchor="text" w:horzAnchor="margin" w:tblpY="265"/>
        <w:tblW w:w="8556" w:type="dxa"/>
        <w:tblLayout w:type="fixed"/>
        <w:tblCellMar>
          <w:left w:w="0" w:type="dxa"/>
          <w:right w:w="0" w:type="dxa"/>
        </w:tblCellMar>
        <w:tblLook w:val="01E0" w:firstRow="1" w:lastRow="1" w:firstColumn="1" w:lastColumn="1" w:noHBand="0" w:noVBand="0"/>
      </w:tblPr>
      <w:tblGrid>
        <w:gridCol w:w="4926"/>
        <w:gridCol w:w="786"/>
        <w:gridCol w:w="1206"/>
        <w:gridCol w:w="1638"/>
      </w:tblGrid>
      <w:tr w:rsidR="00E349C1" w14:paraId="0376B041" w14:textId="77777777" w:rsidTr="00AD3DC4">
        <w:trPr>
          <w:trHeight w:val="227"/>
        </w:trPr>
        <w:tc>
          <w:tcPr>
            <w:tcW w:w="4926" w:type="dxa"/>
            <w:tcBorders>
              <w:top w:val="single" w:sz="4" w:space="0" w:color="000000"/>
              <w:bottom w:val="single" w:sz="4" w:space="0" w:color="000000"/>
            </w:tcBorders>
          </w:tcPr>
          <w:p w14:paraId="4D09A2EE" w14:textId="77777777" w:rsidR="00E349C1" w:rsidRDefault="00E349C1" w:rsidP="00E349C1">
            <w:pPr>
              <w:pStyle w:val="TableParagraph"/>
              <w:ind w:left="11"/>
              <w:jc w:val="center"/>
              <w:rPr>
                <w:rFonts w:ascii="Arial"/>
                <w:b/>
              </w:rPr>
            </w:pPr>
            <w:r>
              <w:rPr>
                <w:rFonts w:ascii="Arial"/>
                <w:b/>
                <w:spacing w:val="-2"/>
              </w:rPr>
              <w:t>Statements</w:t>
            </w:r>
          </w:p>
        </w:tc>
        <w:tc>
          <w:tcPr>
            <w:tcW w:w="786" w:type="dxa"/>
            <w:tcBorders>
              <w:top w:val="single" w:sz="4" w:space="0" w:color="000000"/>
              <w:bottom w:val="single" w:sz="4" w:space="0" w:color="000000"/>
            </w:tcBorders>
          </w:tcPr>
          <w:p w14:paraId="05BC5F0E" w14:textId="77777777" w:rsidR="00E349C1" w:rsidRDefault="00E349C1" w:rsidP="00E349C1">
            <w:pPr>
              <w:pStyle w:val="TableParagraph"/>
              <w:ind w:left="4" w:right="2"/>
              <w:jc w:val="center"/>
              <w:rPr>
                <w:rFonts w:ascii="Arial"/>
                <w:b/>
              </w:rPr>
            </w:pPr>
            <w:r>
              <w:rPr>
                <w:rFonts w:ascii="Arial"/>
                <w:b/>
                <w:spacing w:val="-4"/>
              </w:rPr>
              <w:t>Mean</w:t>
            </w:r>
          </w:p>
        </w:tc>
        <w:tc>
          <w:tcPr>
            <w:tcW w:w="1206" w:type="dxa"/>
            <w:tcBorders>
              <w:top w:val="single" w:sz="4" w:space="0" w:color="000000"/>
              <w:bottom w:val="single" w:sz="4" w:space="0" w:color="000000"/>
            </w:tcBorders>
          </w:tcPr>
          <w:p w14:paraId="2697405A" w14:textId="77777777" w:rsidR="00E349C1" w:rsidRDefault="00E349C1" w:rsidP="00E349C1">
            <w:pPr>
              <w:pStyle w:val="TableParagraph"/>
              <w:ind w:right="1"/>
              <w:jc w:val="center"/>
              <w:rPr>
                <w:rFonts w:ascii="Arial"/>
                <w:b/>
              </w:rPr>
            </w:pPr>
            <w:r>
              <w:rPr>
                <w:rFonts w:ascii="Arial"/>
                <w:b/>
                <w:spacing w:val="-4"/>
              </w:rPr>
              <w:t>Std.</w:t>
            </w:r>
          </w:p>
          <w:p w14:paraId="138C933E" w14:textId="77777777" w:rsidR="00E349C1" w:rsidRDefault="00E349C1" w:rsidP="00E349C1">
            <w:pPr>
              <w:pStyle w:val="TableParagraph"/>
              <w:ind w:left="1" w:right="1"/>
              <w:jc w:val="center"/>
              <w:rPr>
                <w:rFonts w:ascii="Arial"/>
                <w:b/>
              </w:rPr>
            </w:pPr>
            <w:r>
              <w:rPr>
                <w:rFonts w:ascii="Arial"/>
                <w:b/>
                <w:spacing w:val="-2"/>
              </w:rPr>
              <w:t>Deviation</w:t>
            </w:r>
          </w:p>
        </w:tc>
        <w:tc>
          <w:tcPr>
            <w:tcW w:w="1638" w:type="dxa"/>
            <w:tcBorders>
              <w:top w:val="single" w:sz="4" w:space="0" w:color="000000"/>
              <w:bottom w:val="single" w:sz="4" w:space="0" w:color="000000"/>
            </w:tcBorders>
          </w:tcPr>
          <w:p w14:paraId="12F95D23" w14:textId="77777777" w:rsidR="00E349C1" w:rsidRDefault="00E349C1" w:rsidP="00E349C1">
            <w:pPr>
              <w:pStyle w:val="TableParagraph"/>
              <w:ind w:right="1"/>
              <w:jc w:val="center"/>
              <w:rPr>
                <w:rFonts w:ascii="Arial"/>
                <w:b/>
              </w:rPr>
            </w:pPr>
            <w:r>
              <w:rPr>
                <w:rFonts w:ascii="Arial"/>
                <w:b/>
                <w:spacing w:val="-2"/>
              </w:rPr>
              <w:t>Interpretation</w:t>
            </w:r>
          </w:p>
        </w:tc>
      </w:tr>
      <w:tr w:rsidR="00E349C1" w14:paraId="14045ECB" w14:textId="77777777" w:rsidTr="00AD3DC4">
        <w:trPr>
          <w:trHeight w:val="227"/>
        </w:trPr>
        <w:tc>
          <w:tcPr>
            <w:tcW w:w="4926" w:type="dxa"/>
            <w:tcBorders>
              <w:top w:val="single" w:sz="4" w:space="0" w:color="000000"/>
            </w:tcBorders>
          </w:tcPr>
          <w:p w14:paraId="7B546B5A" w14:textId="77777777" w:rsidR="00E349C1" w:rsidRDefault="00E349C1" w:rsidP="00E349C1">
            <w:pPr>
              <w:pStyle w:val="TableParagraph"/>
              <w:spacing w:line="250" w:lineRule="atLeast"/>
              <w:ind w:left="117"/>
            </w:pPr>
            <w:r>
              <w:t>1.</w:t>
            </w:r>
            <w:r>
              <w:rPr>
                <w:spacing w:val="-4"/>
              </w:rPr>
              <w:t xml:space="preserve"> </w:t>
            </w:r>
            <w:r>
              <w:t>Tax</w:t>
            </w:r>
            <w:r>
              <w:rPr>
                <w:spacing w:val="-4"/>
              </w:rPr>
              <w:t xml:space="preserve"> </w:t>
            </w:r>
            <w:r>
              <w:t>education</w:t>
            </w:r>
            <w:r>
              <w:rPr>
                <w:spacing w:val="-7"/>
              </w:rPr>
              <w:t xml:space="preserve"> </w:t>
            </w:r>
            <w:r>
              <w:t>enables</w:t>
            </w:r>
            <w:r>
              <w:rPr>
                <w:spacing w:val="-8"/>
              </w:rPr>
              <w:t xml:space="preserve"> </w:t>
            </w:r>
            <w:r>
              <w:t>estimation</w:t>
            </w:r>
            <w:r>
              <w:rPr>
                <w:spacing w:val="-7"/>
              </w:rPr>
              <w:t xml:space="preserve"> </w:t>
            </w:r>
            <w:r>
              <w:t>of</w:t>
            </w:r>
            <w:r>
              <w:rPr>
                <w:spacing w:val="-4"/>
              </w:rPr>
              <w:t xml:space="preserve"> </w:t>
            </w:r>
            <w:r>
              <w:t>business revenue and profit.</w:t>
            </w:r>
          </w:p>
        </w:tc>
        <w:tc>
          <w:tcPr>
            <w:tcW w:w="786" w:type="dxa"/>
            <w:tcBorders>
              <w:top w:val="single" w:sz="4" w:space="0" w:color="000000"/>
            </w:tcBorders>
          </w:tcPr>
          <w:p w14:paraId="70A74F4F" w14:textId="77777777" w:rsidR="00E349C1" w:rsidRDefault="00E349C1" w:rsidP="00E349C1">
            <w:pPr>
              <w:pStyle w:val="TableParagraph"/>
              <w:ind w:left="4"/>
              <w:jc w:val="center"/>
            </w:pPr>
            <w:r>
              <w:rPr>
                <w:spacing w:val="-4"/>
              </w:rPr>
              <w:t>4.35</w:t>
            </w:r>
          </w:p>
        </w:tc>
        <w:tc>
          <w:tcPr>
            <w:tcW w:w="1206" w:type="dxa"/>
            <w:tcBorders>
              <w:top w:val="single" w:sz="4" w:space="0" w:color="000000"/>
            </w:tcBorders>
          </w:tcPr>
          <w:p w14:paraId="5D9A6E07" w14:textId="77777777" w:rsidR="00E349C1" w:rsidRDefault="00E349C1" w:rsidP="00E349C1">
            <w:pPr>
              <w:pStyle w:val="TableParagraph"/>
              <w:ind w:left="1" w:right="1"/>
              <w:jc w:val="center"/>
            </w:pPr>
            <w:r>
              <w:rPr>
                <w:spacing w:val="-4"/>
              </w:rPr>
              <w:t>0.83</w:t>
            </w:r>
          </w:p>
        </w:tc>
        <w:tc>
          <w:tcPr>
            <w:tcW w:w="1638" w:type="dxa"/>
            <w:tcBorders>
              <w:top w:val="single" w:sz="4" w:space="0" w:color="000000"/>
            </w:tcBorders>
          </w:tcPr>
          <w:p w14:paraId="087BE4C7" w14:textId="77777777" w:rsidR="00E349C1" w:rsidRDefault="00E349C1" w:rsidP="00E349C1">
            <w:pPr>
              <w:pStyle w:val="TableParagraph"/>
              <w:ind w:right="1"/>
              <w:jc w:val="center"/>
            </w:pPr>
            <w:r>
              <w:rPr>
                <w:spacing w:val="-2"/>
              </w:rPr>
              <w:t>Extensive</w:t>
            </w:r>
          </w:p>
        </w:tc>
      </w:tr>
      <w:tr w:rsidR="00E349C1" w14:paraId="12FC1EFD" w14:textId="77777777" w:rsidTr="00AD3DC4">
        <w:trPr>
          <w:trHeight w:val="227"/>
        </w:trPr>
        <w:tc>
          <w:tcPr>
            <w:tcW w:w="4926" w:type="dxa"/>
          </w:tcPr>
          <w:p w14:paraId="06B54394" w14:textId="77777777" w:rsidR="00E349C1" w:rsidRDefault="00E349C1" w:rsidP="00E349C1">
            <w:pPr>
              <w:pStyle w:val="TableParagraph"/>
              <w:spacing w:line="254" w:lineRule="exact"/>
              <w:ind w:left="117"/>
            </w:pPr>
            <w:r>
              <w:t>2.</w:t>
            </w:r>
            <w:r>
              <w:rPr>
                <w:spacing w:val="-2"/>
              </w:rPr>
              <w:t xml:space="preserve"> </w:t>
            </w:r>
            <w:r>
              <w:t>Education</w:t>
            </w:r>
            <w:r>
              <w:rPr>
                <w:spacing w:val="-6"/>
              </w:rPr>
              <w:t xml:space="preserve"> </w:t>
            </w:r>
            <w:r>
              <w:t>has</w:t>
            </w:r>
            <w:r>
              <w:rPr>
                <w:spacing w:val="-3"/>
              </w:rPr>
              <w:t xml:space="preserve"> </w:t>
            </w:r>
            <w:r>
              <w:t>been</w:t>
            </w:r>
            <w:r>
              <w:rPr>
                <w:spacing w:val="-6"/>
              </w:rPr>
              <w:t xml:space="preserve"> </w:t>
            </w:r>
            <w:r>
              <w:t>provided</w:t>
            </w:r>
            <w:r>
              <w:rPr>
                <w:spacing w:val="-6"/>
              </w:rPr>
              <w:t xml:space="preserve"> </w:t>
            </w:r>
            <w:r>
              <w:t>on</w:t>
            </w:r>
            <w:r>
              <w:rPr>
                <w:spacing w:val="-1"/>
              </w:rPr>
              <w:t xml:space="preserve"> </w:t>
            </w:r>
            <w:r>
              <w:t>how</w:t>
            </w:r>
            <w:r>
              <w:rPr>
                <w:spacing w:val="-4"/>
              </w:rPr>
              <w:t xml:space="preserve"> </w:t>
            </w:r>
            <w:r>
              <w:t>to</w:t>
            </w:r>
            <w:r>
              <w:rPr>
                <w:spacing w:val="-1"/>
              </w:rPr>
              <w:t xml:space="preserve"> </w:t>
            </w:r>
            <w:r>
              <w:t>keep accounting books.</w:t>
            </w:r>
          </w:p>
        </w:tc>
        <w:tc>
          <w:tcPr>
            <w:tcW w:w="786" w:type="dxa"/>
          </w:tcPr>
          <w:p w14:paraId="72EE3039" w14:textId="77777777" w:rsidR="00E349C1" w:rsidRDefault="00E349C1" w:rsidP="00E349C1">
            <w:pPr>
              <w:pStyle w:val="TableParagraph"/>
              <w:ind w:left="4"/>
              <w:jc w:val="center"/>
            </w:pPr>
            <w:r>
              <w:rPr>
                <w:spacing w:val="-4"/>
              </w:rPr>
              <w:t>4.40</w:t>
            </w:r>
          </w:p>
        </w:tc>
        <w:tc>
          <w:tcPr>
            <w:tcW w:w="1206" w:type="dxa"/>
          </w:tcPr>
          <w:p w14:paraId="36BCE209" w14:textId="77777777" w:rsidR="00E349C1" w:rsidRDefault="00E349C1" w:rsidP="00E349C1">
            <w:pPr>
              <w:pStyle w:val="TableParagraph"/>
              <w:ind w:left="1" w:right="1"/>
              <w:jc w:val="center"/>
            </w:pPr>
            <w:r>
              <w:rPr>
                <w:spacing w:val="-4"/>
              </w:rPr>
              <w:t>0.72</w:t>
            </w:r>
          </w:p>
        </w:tc>
        <w:tc>
          <w:tcPr>
            <w:tcW w:w="1638" w:type="dxa"/>
          </w:tcPr>
          <w:p w14:paraId="07383955" w14:textId="77777777" w:rsidR="00E349C1" w:rsidRDefault="00E349C1" w:rsidP="00E349C1">
            <w:pPr>
              <w:pStyle w:val="TableParagraph"/>
              <w:ind w:right="1"/>
              <w:jc w:val="center"/>
            </w:pPr>
            <w:r>
              <w:rPr>
                <w:spacing w:val="-2"/>
              </w:rPr>
              <w:t>Extensive</w:t>
            </w:r>
          </w:p>
        </w:tc>
      </w:tr>
      <w:tr w:rsidR="00E349C1" w14:paraId="11220714" w14:textId="77777777" w:rsidTr="00AD3DC4">
        <w:trPr>
          <w:trHeight w:val="227"/>
        </w:trPr>
        <w:tc>
          <w:tcPr>
            <w:tcW w:w="4926" w:type="dxa"/>
          </w:tcPr>
          <w:p w14:paraId="6D3D90B8" w14:textId="77777777" w:rsidR="00E349C1" w:rsidRDefault="00E349C1" w:rsidP="00E349C1">
            <w:pPr>
              <w:pStyle w:val="TableParagraph"/>
              <w:spacing w:line="250" w:lineRule="atLeast"/>
              <w:ind w:left="117"/>
            </w:pPr>
            <w:r>
              <w:t>3.</w:t>
            </w:r>
            <w:r>
              <w:rPr>
                <w:spacing w:val="-3"/>
              </w:rPr>
              <w:t xml:space="preserve"> </w:t>
            </w:r>
            <w:r>
              <w:t>Education</w:t>
            </w:r>
            <w:r>
              <w:rPr>
                <w:spacing w:val="-7"/>
              </w:rPr>
              <w:t xml:space="preserve"> </w:t>
            </w:r>
            <w:r>
              <w:t>has</w:t>
            </w:r>
            <w:r>
              <w:rPr>
                <w:spacing w:val="-4"/>
              </w:rPr>
              <w:t xml:space="preserve"> </w:t>
            </w:r>
            <w:r>
              <w:t>been</w:t>
            </w:r>
            <w:r>
              <w:rPr>
                <w:spacing w:val="-7"/>
              </w:rPr>
              <w:t xml:space="preserve"> </w:t>
            </w:r>
            <w:r>
              <w:t>provided</w:t>
            </w:r>
            <w:r>
              <w:rPr>
                <w:spacing w:val="-7"/>
              </w:rPr>
              <w:t xml:space="preserve"> </w:t>
            </w:r>
            <w:r>
              <w:t>on</w:t>
            </w:r>
            <w:r>
              <w:rPr>
                <w:spacing w:val="-3"/>
              </w:rPr>
              <w:t xml:space="preserve"> </w:t>
            </w:r>
            <w:r>
              <w:t>seeking assistance in keeping financial records.</w:t>
            </w:r>
          </w:p>
        </w:tc>
        <w:tc>
          <w:tcPr>
            <w:tcW w:w="786" w:type="dxa"/>
          </w:tcPr>
          <w:p w14:paraId="6DE5E79D" w14:textId="77777777" w:rsidR="00E349C1" w:rsidRDefault="00E349C1" w:rsidP="00E349C1">
            <w:pPr>
              <w:pStyle w:val="TableParagraph"/>
              <w:ind w:left="4"/>
              <w:jc w:val="center"/>
            </w:pPr>
            <w:r>
              <w:rPr>
                <w:spacing w:val="-4"/>
              </w:rPr>
              <w:t>4.37</w:t>
            </w:r>
          </w:p>
        </w:tc>
        <w:tc>
          <w:tcPr>
            <w:tcW w:w="1206" w:type="dxa"/>
          </w:tcPr>
          <w:p w14:paraId="27F36D25" w14:textId="77777777" w:rsidR="00E349C1" w:rsidRDefault="00E349C1" w:rsidP="00E349C1">
            <w:pPr>
              <w:pStyle w:val="TableParagraph"/>
              <w:ind w:left="1" w:right="1"/>
              <w:jc w:val="center"/>
            </w:pPr>
            <w:r>
              <w:rPr>
                <w:spacing w:val="-4"/>
              </w:rPr>
              <w:t>0.72</w:t>
            </w:r>
          </w:p>
        </w:tc>
        <w:tc>
          <w:tcPr>
            <w:tcW w:w="1638" w:type="dxa"/>
          </w:tcPr>
          <w:p w14:paraId="40AEE8B4" w14:textId="77777777" w:rsidR="00E349C1" w:rsidRDefault="00E349C1" w:rsidP="00E349C1">
            <w:pPr>
              <w:pStyle w:val="TableParagraph"/>
              <w:ind w:right="1"/>
              <w:jc w:val="center"/>
            </w:pPr>
            <w:r>
              <w:rPr>
                <w:spacing w:val="-2"/>
              </w:rPr>
              <w:t>Extensive</w:t>
            </w:r>
          </w:p>
        </w:tc>
      </w:tr>
      <w:tr w:rsidR="00E349C1" w14:paraId="6CA39ECD" w14:textId="77777777" w:rsidTr="00AD3DC4">
        <w:trPr>
          <w:trHeight w:val="227"/>
        </w:trPr>
        <w:tc>
          <w:tcPr>
            <w:tcW w:w="4926" w:type="dxa"/>
          </w:tcPr>
          <w:p w14:paraId="61763AE4" w14:textId="77777777" w:rsidR="00E349C1" w:rsidRDefault="00E349C1" w:rsidP="00E349C1">
            <w:pPr>
              <w:pStyle w:val="TableParagraph"/>
              <w:ind w:left="117"/>
            </w:pPr>
            <w:r>
              <w:t>4.</w:t>
            </w:r>
            <w:r>
              <w:rPr>
                <w:spacing w:val="-1"/>
              </w:rPr>
              <w:t xml:space="preserve"> </w:t>
            </w:r>
            <w:r>
              <w:t>Tax</w:t>
            </w:r>
            <w:r>
              <w:rPr>
                <w:spacing w:val="-1"/>
              </w:rPr>
              <w:t xml:space="preserve"> </w:t>
            </w:r>
            <w:r>
              <w:t>education</w:t>
            </w:r>
            <w:r>
              <w:rPr>
                <w:spacing w:val="-3"/>
              </w:rPr>
              <w:t xml:space="preserve"> </w:t>
            </w:r>
            <w:r>
              <w:t>creates</w:t>
            </w:r>
            <w:r>
              <w:rPr>
                <w:spacing w:val="-5"/>
              </w:rPr>
              <w:t xml:space="preserve"> </w:t>
            </w:r>
            <w:r>
              <w:t>an</w:t>
            </w:r>
            <w:r>
              <w:rPr>
                <w:spacing w:val="-4"/>
              </w:rPr>
              <w:t xml:space="preserve"> </w:t>
            </w:r>
            <w:r>
              <w:t>awareness</w:t>
            </w:r>
            <w:r>
              <w:rPr>
                <w:spacing w:val="-5"/>
              </w:rPr>
              <w:t xml:space="preserve"> </w:t>
            </w:r>
            <w:r>
              <w:t xml:space="preserve">of </w:t>
            </w:r>
            <w:r>
              <w:rPr>
                <w:spacing w:val="-5"/>
              </w:rPr>
              <w:t>the</w:t>
            </w:r>
          </w:p>
          <w:p w14:paraId="0FBE389D" w14:textId="77777777" w:rsidR="00E349C1" w:rsidRDefault="00E349C1" w:rsidP="00E349C1">
            <w:pPr>
              <w:pStyle w:val="TableParagraph"/>
              <w:spacing w:line="250" w:lineRule="atLeast"/>
              <w:ind w:left="117" w:right="69"/>
            </w:pPr>
            <w:r>
              <w:t>need</w:t>
            </w:r>
            <w:r>
              <w:rPr>
                <w:spacing w:val="-4"/>
              </w:rPr>
              <w:t xml:space="preserve"> </w:t>
            </w:r>
            <w:r>
              <w:t>to</w:t>
            </w:r>
            <w:r>
              <w:rPr>
                <w:spacing w:val="-4"/>
              </w:rPr>
              <w:t xml:space="preserve"> </w:t>
            </w:r>
            <w:r>
              <w:t>prepare</w:t>
            </w:r>
            <w:r>
              <w:rPr>
                <w:spacing w:val="-4"/>
              </w:rPr>
              <w:t xml:space="preserve"> </w:t>
            </w:r>
            <w:r>
              <w:t>accounts</w:t>
            </w:r>
            <w:r>
              <w:rPr>
                <w:spacing w:val="-6"/>
              </w:rPr>
              <w:t xml:space="preserve"> </w:t>
            </w:r>
            <w:r>
              <w:t>and</w:t>
            </w:r>
            <w:r>
              <w:rPr>
                <w:spacing w:val="-4"/>
              </w:rPr>
              <w:t xml:space="preserve"> </w:t>
            </w:r>
            <w:r>
              <w:t>present</w:t>
            </w:r>
            <w:r>
              <w:rPr>
                <w:spacing w:val="-4"/>
              </w:rPr>
              <w:t xml:space="preserve"> </w:t>
            </w:r>
            <w:r>
              <w:t>them</w:t>
            </w:r>
            <w:r>
              <w:rPr>
                <w:spacing w:val="-2"/>
              </w:rPr>
              <w:t xml:space="preserve"> </w:t>
            </w:r>
            <w:r>
              <w:t>to tax officers.</w:t>
            </w:r>
          </w:p>
        </w:tc>
        <w:tc>
          <w:tcPr>
            <w:tcW w:w="786" w:type="dxa"/>
          </w:tcPr>
          <w:p w14:paraId="0F8E9536" w14:textId="77777777" w:rsidR="00E349C1" w:rsidRDefault="00E349C1" w:rsidP="00E349C1">
            <w:pPr>
              <w:pStyle w:val="TableParagraph"/>
            </w:pPr>
          </w:p>
          <w:p w14:paraId="6BFEF89B" w14:textId="77777777" w:rsidR="00E349C1" w:rsidRDefault="00E349C1" w:rsidP="00E349C1">
            <w:pPr>
              <w:pStyle w:val="TableParagraph"/>
              <w:ind w:left="4"/>
              <w:jc w:val="center"/>
            </w:pPr>
            <w:r>
              <w:rPr>
                <w:spacing w:val="-4"/>
              </w:rPr>
              <w:t>4.47</w:t>
            </w:r>
          </w:p>
        </w:tc>
        <w:tc>
          <w:tcPr>
            <w:tcW w:w="1206" w:type="dxa"/>
          </w:tcPr>
          <w:p w14:paraId="2F9430CB" w14:textId="77777777" w:rsidR="00E349C1" w:rsidRDefault="00E349C1" w:rsidP="00E349C1">
            <w:pPr>
              <w:pStyle w:val="TableParagraph"/>
            </w:pPr>
          </w:p>
          <w:p w14:paraId="6320B788" w14:textId="77777777" w:rsidR="00E349C1" w:rsidRDefault="00E349C1" w:rsidP="00E349C1">
            <w:pPr>
              <w:pStyle w:val="TableParagraph"/>
              <w:ind w:left="1" w:right="1"/>
              <w:jc w:val="center"/>
            </w:pPr>
            <w:r>
              <w:rPr>
                <w:spacing w:val="-4"/>
              </w:rPr>
              <w:t>0.67</w:t>
            </w:r>
          </w:p>
        </w:tc>
        <w:tc>
          <w:tcPr>
            <w:tcW w:w="1638" w:type="dxa"/>
          </w:tcPr>
          <w:p w14:paraId="792DC9CC" w14:textId="77777777" w:rsidR="00E349C1" w:rsidRDefault="00E349C1" w:rsidP="00E349C1">
            <w:pPr>
              <w:pStyle w:val="TableParagraph"/>
              <w:ind w:right="1"/>
              <w:jc w:val="center"/>
            </w:pPr>
            <w:r>
              <w:rPr>
                <w:spacing w:val="-2"/>
              </w:rPr>
              <w:t>Extensive</w:t>
            </w:r>
          </w:p>
        </w:tc>
      </w:tr>
      <w:tr w:rsidR="00E349C1" w14:paraId="0E32D41A" w14:textId="77777777" w:rsidTr="00AD3DC4">
        <w:trPr>
          <w:trHeight w:val="227"/>
        </w:trPr>
        <w:tc>
          <w:tcPr>
            <w:tcW w:w="4926" w:type="dxa"/>
            <w:tcBorders>
              <w:bottom w:val="single" w:sz="4" w:space="0" w:color="000000"/>
            </w:tcBorders>
          </w:tcPr>
          <w:p w14:paraId="5C101CE0" w14:textId="77777777" w:rsidR="00E349C1" w:rsidRDefault="00E349C1" w:rsidP="00E349C1">
            <w:pPr>
              <w:pStyle w:val="TableParagraph"/>
              <w:spacing w:line="254" w:lineRule="exact"/>
              <w:ind w:left="117"/>
            </w:pPr>
            <w:r>
              <w:t>5.</w:t>
            </w:r>
            <w:r>
              <w:rPr>
                <w:spacing w:val="-3"/>
              </w:rPr>
              <w:t xml:space="preserve"> </w:t>
            </w:r>
            <w:r>
              <w:t>Ability</w:t>
            </w:r>
            <w:r>
              <w:rPr>
                <w:spacing w:val="-4"/>
              </w:rPr>
              <w:t xml:space="preserve"> </w:t>
            </w:r>
            <w:r>
              <w:t>to</w:t>
            </w:r>
            <w:r>
              <w:rPr>
                <w:spacing w:val="-3"/>
              </w:rPr>
              <w:t xml:space="preserve"> </w:t>
            </w:r>
            <w:r>
              <w:t>conduct</w:t>
            </w:r>
            <w:r>
              <w:rPr>
                <w:spacing w:val="-3"/>
              </w:rPr>
              <w:t xml:space="preserve"> </w:t>
            </w:r>
            <w:r>
              <w:t>self-assessment</w:t>
            </w:r>
            <w:r>
              <w:rPr>
                <w:spacing w:val="-7"/>
              </w:rPr>
              <w:t xml:space="preserve"> </w:t>
            </w:r>
            <w:r>
              <w:t>due</w:t>
            </w:r>
            <w:r>
              <w:rPr>
                <w:spacing w:val="-3"/>
              </w:rPr>
              <w:t xml:space="preserve"> </w:t>
            </w:r>
            <w:r>
              <w:t>to</w:t>
            </w:r>
            <w:r>
              <w:rPr>
                <w:spacing w:val="-3"/>
              </w:rPr>
              <w:t xml:space="preserve"> </w:t>
            </w:r>
            <w:r>
              <w:t xml:space="preserve">tax </w:t>
            </w:r>
            <w:r>
              <w:rPr>
                <w:spacing w:val="-2"/>
              </w:rPr>
              <w:t>education</w:t>
            </w:r>
          </w:p>
        </w:tc>
        <w:tc>
          <w:tcPr>
            <w:tcW w:w="786" w:type="dxa"/>
            <w:tcBorders>
              <w:bottom w:val="single" w:sz="4" w:space="0" w:color="000000"/>
            </w:tcBorders>
          </w:tcPr>
          <w:p w14:paraId="7130A7B2" w14:textId="77777777" w:rsidR="00E349C1" w:rsidRDefault="00E349C1" w:rsidP="00E349C1">
            <w:pPr>
              <w:pStyle w:val="TableParagraph"/>
              <w:ind w:left="4"/>
              <w:jc w:val="center"/>
            </w:pPr>
            <w:r>
              <w:rPr>
                <w:spacing w:val="-4"/>
              </w:rPr>
              <w:t>4.49</w:t>
            </w:r>
          </w:p>
        </w:tc>
        <w:tc>
          <w:tcPr>
            <w:tcW w:w="1206" w:type="dxa"/>
            <w:tcBorders>
              <w:bottom w:val="single" w:sz="4" w:space="0" w:color="000000"/>
            </w:tcBorders>
          </w:tcPr>
          <w:p w14:paraId="729E4E33" w14:textId="77777777" w:rsidR="00E349C1" w:rsidRDefault="00E349C1" w:rsidP="00E349C1">
            <w:pPr>
              <w:pStyle w:val="TableParagraph"/>
              <w:ind w:left="1" w:right="1"/>
              <w:jc w:val="center"/>
            </w:pPr>
            <w:r>
              <w:rPr>
                <w:spacing w:val="-4"/>
              </w:rPr>
              <w:t>0.79</w:t>
            </w:r>
          </w:p>
        </w:tc>
        <w:tc>
          <w:tcPr>
            <w:tcW w:w="1638" w:type="dxa"/>
            <w:tcBorders>
              <w:bottom w:val="single" w:sz="4" w:space="0" w:color="000000"/>
            </w:tcBorders>
          </w:tcPr>
          <w:p w14:paraId="3E2AE227" w14:textId="77777777" w:rsidR="00E349C1" w:rsidRDefault="00E349C1" w:rsidP="00E349C1">
            <w:pPr>
              <w:pStyle w:val="TableParagraph"/>
              <w:ind w:right="1"/>
              <w:jc w:val="center"/>
            </w:pPr>
            <w:r>
              <w:rPr>
                <w:spacing w:val="-2"/>
              </w:rPr>
              <w:t>Extensive</w:t>
            </w:r>
          </w:p>
        </w:tc>
      </w:tr>
      <w:tr w:rsidR="00E349C1" w14:paraId="06B484D5" w14:textId="77777777" w:rsidTr="00AD3DC4">
        <w:trPr>
          <w:trHeight w:val="227"/>
        </w:trPr>
        <w:tc>
          <w:tcPr>
            <w:tcW w:w="4926" w:type="dxa"/>
            <w:tcBorders>
              <w:top w:val="single" w:sz="4" w:space="0" w:color="000000"/>
              <w:bottom w:val="single" w:sz="4" w:space="0" w:color="000000"/>
            </w:tcBorders>
          </w:tcPr>
          <w:p w14:paraId="4EFFAC6E" w14:textId="77777777" w:rsidR="00E349C1" w:rsidRDefault="00E349C1" w:rsidP="00E349C1">
            <w:pPr>
              <w:pStyle w:val="TableParagraph"/>
              <w:spacing w:line="246" w:lineRule="exact"/>
              <w:ind w:left="11" w:right="4"/>
              <w:jc w:val="center"/>
              <w:rPr>
                <w:rFonts w:ascii="Arial"/>
                <w:b/>
              </w:rPr>
            </w:pPr>
            <w:r>
              <w:rPr>
                <w:rFonts w:ascii="Arial"/>
                <w:b/>
                <w:spacing w:val="-2"/>
              </w:rPr>
              <w:t>Average</w:t>
            </w:r>
          </w:p>
        </w:tc>
        <w:tc>
          <w:tcPr>
            <w:tcW w:w="786" w:type="dxa"/>
            <w:tcBorders>
              <w:top w:val="single" w:sz="4" w:space="0" w:color="000000"/>
              <w:bottom w:val="single" w:sz="4" w:space="0" w:color="000000"/>
            </w:tcBorders>
          </w:tcPr>
          <w:p w14:paraId="4186E0A3" w14:textId="77777777" w:rsidR="00E349C1" w:rsidRDefault="00E349C1" w:rsidP="00E349C1">
            <w:pPr>
              <w:pStyle w:val="TableParagraph"/>
              <w:ind w:left="4"/>
              <w:jc w:val="center"/>
            </w:pPr>
            <w:r>
              <w:rPr>
                <w:spacing w:val="-4"/>
              </w:rPr>
              <w:t>4.41</w:t>
            </w:r>
          </w:p>
        </w:tc>
        <w:tc>
          <w:tcPr>
            <w:tcW w:w="1206" w:type="dxa"/>
            <w:tcBorders>
              <w:top w:val="single" w:sz="4" w:space="0" w:color="000000"/>
              <w:bottom w:val="single" w:sz="4" w:space="0" w:color="000000"/>
            </w:tcBorders>
          </w:tcPr>
          <w:p w14:paraId="6E649D89" w14:textId="77777777" w:rsidR="00E349C1" w:rsidRDefault="00E349C1" w:rsidP="00E349C1">
            <w:pPr>
              <w:pStyle w:val="TableParagraph"/>
              <w:ind w:left="1" w:right="1"/>
              <w:jc w:val="center"/>
            </w:pPr>
            <w:r>
              <w:rPr>
                <w:spacing w:val="-4"/>
              </w:rPr>
              <w:t>0.60</w:t>
            </w:r>
          </w:p>
        </w:tc>
        <w:tc>
          <w:tcPr>
            <w:tcW w:w="1638" w:type="dxa"/>
            <w:tcBorders>
              <w:top w:val="single" w:sz="4" w:space="0" w:color="000000"/>
              <w:bottom w:val="single" w:sz="4" w:space="0" w:color="000000"/>
            </w:tcBorders>
          </w:tcPr>
          <w:p w14:paraId="24FC862F" w14:textId="77777777" w:rsidR="00E349C1" w:rsidRDefault="00E349C1" w:rsidP="00E349C1">
            <w:pPr>
              <w:pStyle w:val="TableParagraph"/>
              <w:ind w:right="1"/>
              <w:jc w:val="center"/>
            </w:pPr>
            <w:r>
              <w:rPr>
                <w:spacing w:val="-2"/>
              </w:rPr>
              <w:t>Extensive</w:t>
            </w:r>
          </w:p>
        </w:tc>
      </w:tr>
    </w:tbl>
    <w:p w14:paraId="3FA9E238" w14:textId="77777777" w:rsidR="00C527BC" w:rsidRDefault="00C527BC" w:rsidP="00E349C1">
      <w:pPr>
        <w:pStyle w:val="Body"/>
        <w:spacing w:after="0"/>
        <w:rPr>
          <w:rFonts w:ascii="Arial" w:hAnsi="Arial" w:cs="Arial"/>
        </w:rPr>
      </w:pPr>
    </w:p>
    <w:p w14:paraId="55FD9F67" w14:textId="77777777" w:rsidR="00C527BC" w:rsidRDefault="00C527BC" w:rsidP="00441B6F">
      <w:pPr>
        <w:pStyle w:val="Body"/>
        <w:spacing w:after="0"/>
        <w:rPr>
          <w:rFonts w:ascii="Arial" w:hAnsi="Arial" w:cs="Arial"/>
        </w:rPr>
      </w:pPr>
    </w:p>
    <w:p w14:paraId="08D4A80D" w14:textId="52960D04" w:rsidR="00F65CC1" w:rsidRDefault="00F65CC1" w:rsidP="00F65CC1">
      <w:pPr>
        <w:pStyle w:val="BodyText"/>
        <w:spacing w:before="154" w:after="2" w:line="480" w:lineRule="auto"/>
        <w:jc w:val="both"/>
      </w:pPr>
      <w:bookmarkStart w:id="2" w:name="_Hlk202634185"/>
      <w:r w:rsidRPr="00F65CC1">
        <w:t xml:space="preserve">Table </w:t>
      </w:r>
      <w:r>
        <w:t>4</w:t>
      </w:r>
      <w:r w:rsidRPr="00F65CC1">
        <w:t xml:space="preserve"> reveals that entrepreneurs in </w:t>
      </w:r>
      <w:proofErr w:type="spellStart"/>
      <w:r w:rsidRPr="00F65CC1">
        <w:t>Cateel</w:t>
      </w:r>
      <w:proofErr w:type="spellEnd"/>
      <w:r w:rsidRPr="00F65CC1">
        <w:t xml:space="preserve"> demonstrate a very high level of business income knowledge (x̄ = 4.49, s = 0.79), indicating their capacity for self-assessment due to tax </w:t>
      </w:r>
      <w:r w:rsidRPr="00F65CC1">
        <w:lastRenderedPageBreak/>
        <w:t>education. This suggests that tax knowledge enables business owners to understand and manage their revenue obligations independently.</w:t>
      </w:r>
      <w:r w:rsidR="004814B2">
        <w:t xml:space="preserve"> </w:t>
      </w:r>
      <w:proofErr w:type="spellStart"/>
      <w:r w:rsidRPr="00F65CC1">
        <w:t>Renoria</w:t>
      </w:r>
      <w:proofErr w:type="spellEnd"/>
      <w:r w:rsidRPr="00F65CC1">
        <w:t xml:space="preserve"> (2024) found that tax education through seminars and media positively influences behavior. Similarly, </w:t>
      </w:r>
      <w:proofErr w:type="spellStart"/>
      <w:r w:rsidRPr="00F65CC1">
        <w:t>Wibowo</w:t>
      </w:r>
      <w:proofErr w:type="spellEnd"/>
      <w:r w:rsidRPr="00F65CC1">
        <w:t xml:space="preserve"> et al. (2022) confirmed that tax knowledge significantly boosts compliance, emphasizing the vital role of self-assessment systems in promoting responsible tax practices.</w:t>
      </w:r>
    </w:p>
    <w:p w14:paraId="617E2EC3" w14:textId="59C75FD6" w:rsidR="007B7445" w:rsidRDefault="007B7445" w:rsidP="00F65CC1">
      <w:pPr>
        <w:pStyle w:val="BodyText"/>
        <w:spacing w:before="154" w:after="2" w:line="480" w:lineRule="auto"/>
        <w:jc w:val="both"/>
      </w:pPr>
      <w:r w:rsidRPr="007B7445">
        <w:t>Table 5. Tax knowledge in relation to awareness of sanctions</w:t>
      </w:r>
    </w:p>
    <w:p w14:paraId="17DCD516" w14:textId="77777777" w:rsidR="00F65CC1" w:rsidRDefault="00F65CC1" w:rsidP="00F65CC1">
      <w:pPr>
        <w:pStyle w:val="BodyText"/>
        <w:spacing w:before="154" w:after="2"/>
        <w:jc w:val="both"/>
      </w:pPr>
    </w:p>
    <w:p w14:paraId="4590A249" w14:textId="1C026AFB" w:rsidR="00F65CC1" w:rsidRPr="00F65CC1" w:rsidRDefault="00F65CC1" w:rsidP="00F65CC1">
      <w:pPr>
        <w:pStyle w:val="BodyText"/>
        <w:spacing w:before="154" w:after="2" w:line="480" w:lineRule="auto"/>
        <w:jc w:val="both"/>
        <w:rPr>
          <w:lang w:val="en-PH"/>
        </w:rPr>
      </w:pPr>
      <w:r w:rsidRPr="00F65CC1">
        <w:rPr>
          <w:lang w:val="en-PH"/>
        </w:rPr>
        <w:t xml:space="preserve">Table </w:t>
      </w:r>
      <w:r>
        <w:rPr>
          <w:lang w:val="en-PH"/>
        </w:rPr>
        <w:t>5</w:t>
      </w:r>
      <w:r w:rsidRPr="00F65CC1">
        <w:rPr>
          <w:lang w:val="en-PH"/>
        </w:rPr>
        <w:t xml:space="preserve"> shows that business owners in </w:t>
      </w:r>
      <w:proofErr w:type="spellStart"/>
      <w:r w:rsidRPr="00F65CC1">
        <w:rPr>
          <w:lang w:val="en-PH"/>
        </w:rPr>
        <w:t>Cateel</w:t>
      </w:r>
      <w:proofErr w:type="spellEnd"/>
      <w:r w:rsidRPr="00F65CC1">
        <w:rPr>
          <w:lang w:val="en-PH"/>
        </w:rPr>
        <w:t xml:space="preserve"> have a very high awareness of tax sanctions (x̄ = 4.48, s = 0.58), with all items rated as extensive. This indicates that tax education effectively informs them of the serious consequences of non-compliance, such as fines, prosecution, and business closure. These findings align with Hauptman et al. (2024), who emphasized that understanding penalties increases tax adherence. Kahneman and Tversky (2019) also noted that awareness of sanctions deters non-compliance by enhancing perceived control. Similarly, </w:t>
      </w:r>
      <w:proofErr w:type="spellStart"/>
      <w:r w:rsidRPr="00F65CC1">
        <w:rPr>
          <w:lang w:val="en-PH"/>
        </w:rPr>
        <w:t>Oladipupo</w:t>
      </w:r>
      <w:proofErr w:type="spellEnd"/>
      <w:r w:rsidRPr="00F65CC1">
        <w:rPr>
          <w:lang w:val="en-PH"/>
        </w:rPr>
        <w:t xml:space="preserve"> and </w:t>
      </w:r>
      <w:proofErr w:type="spellStart"/>
      <w:r w:rsidRPr="00F65CC1">
        <w:rPr>
          <w:lang w:val="en-PH"/>
        </w:rPr>
        <w:t>Obazee</w:t>
      </w:r>
      <w:proofErr w:type="spellEnd"/>
      <w:r w:rsidRPr="00F65CC1">
        <w:rPr>
          <w:lang w:val="en-PH"/>
        </w:rPr>
        <w:t xml:space="preserve"> (2016) found that such awareness positively influences behavioral intentions and social norms, leading to improved compliance.</w:t>
      </w:r>
    </w:p>
    <w:p w14:paraId="10FE9F3A" w14:textId="77777777" w:rsidR="009A0AF4" w:rsidRDefault="009A0AF4" w:rsidP="009A0AF4">
      <w:pPr>
        <w:pStyle w:val="Heading2"/>
        <w:jc w:val="both"/>
        <w:rPr>
          <w:rFonts w:ascii="Arial" w:hAnsi="Arial" w:cs="Arial"/>
          <w:b/>
          <w:bCs/>
          <w:color w:val="auto"/>
          <w:sz w:val="22"/>
          <w:szCs w:val="22"/>
        </w:rPr>
      </w:pPr>
    </w:p>
    <w:p w14:paraId="78919C40" w14:textId="0664B83B" w:rsidR="00F65CC1" w:rsidRPr="009A0AF4" w:rsidRDefault="009A0AF4" w:rsidP="009A0AF4">
      <w:pPr>
        <w:pStyle w:val="Heading2"/>
        <w:jc w:val="both"/>
        <w:rPr>
          <w:rFonts w:ascii="Arial" w:hAnsi="Arial" w:cs="Arial"/>
          <w:b/>
          <w:bCs/>
          <w:color w:val="auto"/>
          <w:sz w:val="22"/>
          <w:szCs w:val="22"/>
        </w:rPr>
      </w:pPr>
      <w:r w:rsidRPr="009A0AF4">
        <w:rPr>
          <w:rFonts w:ascii="Arial" w:hAnsi="Arial" w:cs="Arial"/>
          <w:b/>
          <w:bCs/>
          <w:color w:val="auto"/>
          <w:sz w:val="22"/>
          <w:szCs w:val="22"/>
        </w:rPr>
        <w:t>LEVEL</w:t>
      </w:r>
      <w:r w:rsidRPr="009A0AF4">
        <w:rPr>
          <w:rFonts w:ascii="Arial" w:hAnsi="Arial" w:cs="Arial"/>
          <w:b/>
          <w:bCs/>
          <w:color w:val="auto"/>
          <w:spacing w:val="-11"/>
          <w:sz w:val="22"/>
          <w:szCs w:val="22"/>
        </w:rPr>
        <w:t xml:space="preserve"> </w:t>
      </w:r>
      <w:r w:rsidRPr="009A0AF4">
        <w:rPr>
          <w:rFonts w:ascii="Arial" w:hAnsi="Arial" w:cs="Arial"/>
          <w:b/>
          <w:bCs/>
          <w:color w:val="auto"/>
          <w:sz w:val="22"/>
          <w:szCs w:val="22"/>
        </w:rPr>
        <w:t>OF</w:t>
      </w:r>
      <w:r w:rsidRPr="009A0AF4">
        <w:rPr>
          <w:rFonts w:ascii="Arial" w:hAnsi="Arial" w:cs="Arial"/>
          <w:b/>
          <w:bCs/>
          <w:color w:val="auto"/>
          <w:spacing w:val="-6"/>
          <w:sz w:val="22"/>
          <w:szCs w:val="22"/>
        </w:rPr>
        <w:t xml:space="preserve"> </w:t>
      </w:r>
      <w:r w:rsidRPr="009A0AF4">
        <w:rPr>
          <w:rFonts w:ascii="Arial" w:hAnsi="Arial" w:cs="Arial"/>
          <w:b/>
          <w:bCs/>
          <w:color w:val="auto"/>
          <w:sz w:val="22"/>
          <w:szCs w:val="22"/>
        </w:rPr>
        <w:t>TAX</w:t>
      </w:r>
      <w:r w:rsidRPr="009A0AF4">
        <w:rPr>
          <w:rFonts w:ascii="Arial" w:hAnsi="Arial" w:cs="Arial"/>
          <w:b/>
          <w:bCs/>
          <w:color w:val="auto"/>
          <w:spacing w:val="-3"/>
          <w:sz w:val="22"/>
          <w:szCs w:val="22"/>
        </w:rPr>
        <w:t xml:space="preserve"> </w:t>
      </w:r>
      <w:r w:rsidRPr="009A0AF4">
        <w:rPr>
          <w:rFonts w:ascii="Arial" w:hAnsi="Arial" w:cs="Arial"/>
          <w:b/>
          <w:bCs/>
          <w:color w:val="auto"/>
          <w:sz w:val="22"/>
          <w:szCs w:val="22"/>
        </w:rPr>
        <w:t>COMPLIANCE</w:t>
      </w:r>
      <w:r w:rsidRPr="009A0AF4">
        <w:rPr>
          <w:rFonts w:ascii="Arial" w:hAnsi="Arial" w:cs="Arial"/>
          <w:b/>
          <w:bCs/>
          <w:color w:val="auto"/>
          <w:spacing w:val="-4"/>
          <w:sz w:val="22"/>
          <w:szCs w:val="22"/>
        </w:rPr>
        <w:t xml:space="preserve"> </w:t>
      </w:r>
      <w:r w:rsidRPr="009A0AF4">
        <w:rPr>
          <w:rFonts w:ascii="Arial" w:hAnsi="Arial" w:cs="Arial"/>
          <w:b/>
          <w:bCs/>
          <w:color w:val="auto"/>
          <w:sz w:val="22"/>
          <w:szCs w:val="22"/>
        </w:rPr>
        <w:t>AMONG</w:t>
      </w:r>
      <w:r w:rsidRPr="009A0AF4">
        <w:rPr>
          <w:rFonts w:ascii="Arial" w:hAnsi="Arial" w:cs="Arial"/>
          <w:b/>
          <w:bCs/>
          <w:color w:val="auto"/>
          <w:spacing w:val="-5"/>
          <w:sz w:val="22"/>
          <w:szCs w:val="22"/>
        </w:rPr>
        <w:t xml:space="preserve"> </w:t>
      </w:r>
      <w:r w:rsidRPr="009A0AF4">
        <w:rPr>
          <w:rFonts w:ascii="Arial" w:hAnsi="Arial" w:cs="Arial"/>
          <w:b/>
          <w:bCs/>
          <w:color w:val="auto"/>
          <w:sz w:val="22"/>
          <w:szCs w:val="22"/>
        </w:rPr>
        <w:t>BUSINESS</w:t>
      </w:r>
      <w:r w:rsidRPr="009A0AF4">
        <w:rPr>
          <w:rFonts w:ascii="Arial" w:hAnsi="Arial" w:cs="Arial"/>
          <w:b/>
          <w:bCs/>
          <w:color w:val="auto"/>
          <w:spacing w:val="-7"/>
          <w:sz w:val="22"/>
          <w:szCs w:val="22"/>
        </w:rPr>
        <w:t xml:space="preserve"> </w:t>
      </w:r>
      <w:r w:rsidRPr="009A0AF4">
        <w:rPr>
          <w:rFonts w:ascii="Arial" w:hAnsi="Arial" w:cs="Arial"/>
          <w:b/>
          <w:bCs/>
          <w:color w:val="auto"/>
          <w:spacing w:val="-2"/>
          <w:sz w:val="22"/>
          <w:szCs w:val="22"/>
        </w:rPr>
        <w:t>OWNERS</w:t>
      </w:r>
    </w:p>
    <w:tbl>
      <w:tblPr>
        <w:tblpPr w:leftFromText="180" w:rightFromText="180" w:vertAnchor="page" w:horzAnchor="margin" w:tblpY="4647"/>
        <w:tblW w:w="8553" w:type="dxa"/>
        <w:tblLayout w:type="fixed"/>
        <w:tblCellMar>
          <w:left w:w="0" w:type="dxa"/>
          <w:right w:w="0" w:type="dxa"/>
        </w:tblCellMar>
        <w:tblLook w:val="01E0" w:firstRow="1" w:lastRow="1" w:firstColumn="1" w:lastColumn="1" w:noHBand="0" w:noVBand="0"/>
      </w:tblPr>
      <w:tblGrid>
        <w:gridCol w:w="4805"/>
        <w:gridCol w:w="906"/>
        <w:gridCol w:w="1205"/>
        <w:gridCol w:w="1637"/>
      </w:tblGrid>
      <w:tr w:rsidR="00F65CC1" w14:paraId="497896A7" w14:textId="77777777" w:rsidTr="007B7445">
        <w:trPr>
          <w:trHeight w:val="227"/>
        </w:trPr>
        <w:tc>
          <w:tcPr>
            <w:tcW w:w="4805" w:type="dxa"/>
            <w:tcBorders>
              <w:top w:val="single" w:sz="4" w:space="0" w:color="000000"/>
              <w:bottom w:val="single" w:sz="4" w:space="0" w:color="000000"/>
            </w:tcBorders>
          </w:tcPr>
          <w:bookmarkEnd w:id="2"/>
          <w:p w14:paraId="023DA0BD" w14:textId="77777777" w:rsidR="00F65CC1" w:rsidRDefault="00F65CC1" w:rsidP="007B7445">
            <w:pPr>
              <w:pStyle w:val="TableParagraph"/>
              <w:spacing w:before="172"/>
              <w:ind w:left="132"/>
              <w:jc w:val="center"/>
              <w:rPr>
                <w:rFonts w:ascii="Arial"/>
                <w:b/>
              </w:rPr>
            </w:pPr>
            <w:r>
              <w:rPr>
                <w:rFonts w:ascii="Arial"/>
                <w:b/>
                <w:spacing w:val="-2"/>
              </w:rPr>
              <w:t>Statements</w:t>
            </w:r>
          </w:p>
        </w:tc>
        <w:tc>
          <w:tcPr>
            <w:tcW w:w="906" w:type="dxa"/>
            <w:tcBorders>
              <w:top w:val="single" w:sz="4" w:space="0" w:color="000000"/>
              <w:bottom w:val="single" w:sz="4" w:space="0" w:color="000000"/>
            </w:tcBorders>
          </w:tcPr>
          <w:p w14:paraId="114C1F05" w14:textId="77777777" w:rsidR="00F65CC1" w:rsidRDefault="00F65CC1" w:rsidP="007B7445">
            <w:pPr>
              <w:pStyle w:val="TableParagraph"/>
              <w:spacing w:before="172"/>
              <w:ind w:left="234"/>
              <w:rPr>
                <w:rFonts w:ascii="Arial"/>
                <w:b/>
              </w:rPr>
            </w:pPr>
            <w:r>
              <w:rPr>
                <w:rFonts w:ascii="Arial"/>
                <w:b/>
                <w:spacing w:val="-4"/>
              </w:rPr>
              <w:t>Mean</w:t>
            </w:r>
          </w:p>
        </w:tc>
        <w:tc>
          <w:tcPr>
            <w:tcW w:w="1205" w:type="dxa"/>
            <w:tcBorders>
              <w:top w:val="single" w:sz="4" w:space="0" w:color="000000"/>
              <w:bottom w:val="single" w:sz="4" w:space="0" w:color="000000"/>
            </w:tcBorders>
          </w:tcPr>
          <w:p w14:paraId="304ECAAD" w14:textId="77777777" w:rsidR="00F65CC1" w:rsidRDefault="00F65CC1" w:rsidP="007B7445">
            <w:pPr>
              <w:pStyle w:val="TableParagraph"/>
              <w:spacing w:before="48" w:line="251" w:lineRule="exact"/>
              <w:ind w:left="2" w:right="2"/>
              <w:jc w:val="center"/>
              <w:rPr>
                <w:rFonts w:ascii="Arial"/>
                <w:b/>
              </w:rPr>
            </w:pPr>
            <w:r>
              <w:rPr>
                <w:rFonts w:ascii="Arial"/>
                <w:b/>
                <w:spacing w:val="-4"/>
              </w:rPr>
              <w:t>Std.</w:t>
            </w:r>
          </w:p>
          <w:p w14:paraId="59C220BE" w14:textId="77777777" w:rsidR="00F65CC1" w:rsidRDefault="00F65CC1" w:rsidP="007B7445">
            <w:pPr>
              <w:pStyle w:val="TableParagraph"/>
              <w:spacing w:line="251" w:lineRule="exact"/>
              <w:ind w:left="2" w:right="2"/>
              <w:jc w:val="center"/>
              <w:rPr>
                <w:rFonts w:ascii="Arial"/>
                <w:b/>
              </w:rPr>
            </w:pPr>
            <w:r>
              <w:rPr>
                <w:rFonts w:ascii="Arial"/>
                <w:b/>
                <w:spacing w:val="-2"/>
              </w:rPr>
              <w:t>Deviation</w:t>
            </w:r>
          </w:p>
        </w:tc>
        <w:tc>
          <w:tcPr>
            <w:tcW w:w="1637" w:type="dxa"/>
            <w:tcBorders>
              <w:top w:val="single" w:sz="4" w:space="0" w:color="000000"/>
              <w:bottom w:val="single" w:sz="4" w:space="0" w:color="000000"/>
            </w:tcBorders>
          </w:tcPr>
          <w:p w14:paraId="076F0752" w14:textId="77777777" w:rsidR="00F65CC1" w:rsidRDefault="00F65CC1" w:rsidP="007B7445">
            <w:pPr>
              <w:pStyle w:val="TableParagraph"/>
              <w:spacing w:before="172"/>
              <w:ind w:left="5" w:right="4"/>
              <w:jc w:val="center"/>
              <w:rPr>
                <w:rFonts w:ascii="Arial"/>
                <w:b/>
              </w:rPr>
            </w:pPr>
            <w:r>
              <w:rPr>
                <w:rFonts w:ascii="Arial"/>
                <w:b/>
                <w:spacing w:val="-2"/>
              </w:rPr>
              <w:t>Interpretation</w:t>
            </w:r>
          </w:p>
        </w:tc>
      </w:tr>
      <w:tr w:rsidR="00F65CC1" w14:paraId="14EE39FF" w14:textId="77777777" w:rsidTr="007B7445">
        <w:trPr>
          <w:trHeight w:val="227"/>
        </w:trPr>
        <w:tc>
          <w:tcPr>
            <w:tcW w:w="4805" w:type="dxa"/>
            <w:tcBorders>
              <w:top w:val="single" w:sz="4" w:space="0" w:color="000000"/>
            </w:tcBorders>
          </w:tcPr>
          <w:p w14:paraId="3238518C" w14:textId="77777777" w:rsidR="00F65CC1" w:rsidRDefault="00F65CC1" w:rsidP="007B7445">
            <w:pPr>
              <w:pStyle w:val="TableParagraph"/>
              <w:spacing w:line="250" w:lineRule="atLeast"/>
              <w:ind w:left="117"/>
            </w:pPr>
            <w:r>
              <w:t>Tax</w:t>
            </w:r>
            <w:r>
              <w:rPr>
                <w:spacing w:val="-5"/>
              </w:rPr>
              <w:t xml:space="preserve"> </w:t>
            </w:r>
            <w:r>
              <w:t>education</w:t>
            </w:r>
            <w:r>
              <w:rPr>
                <w:spacing w:val="-4"/>
              </w:rPr>
              <w:t xml:space="preserve"> </w:t>
            </w:r>
            <w:r>
              <w:t>creates</w:t>
            </w:r>
            <w:r>
              <w:rPr>
                <w:spacing w:val="-9"/>
              </w:rPr>
              <w:t xml:space="preserve"> </w:t>
            </w:r>
            <w:r>
              <w:t>awareness</w:t>
            </w:r>
            <w:r>
              <w:rPr>
                <w:spacing w:val="-9"/>
              </w:rPr>
              <w:t xml:space="preserve"> </w:t>
            </w:r>
            <w:r>
              <w:t>of</w:t>
            </w:r>
            <w:r>
              <w:rPr>
                <w:spacing w:val="-1"/>
              </w:rPr>
              <w:t xml:space="preserve"> </w:t>
            </w:r>
            <w:r>
              <w:t>the sanctions for non-compliance.</w:t>
            </w:r>
          </w:p>
        </w:tc>
        <w:tc>
          <w:tcPr>
            <w:tcW w:w="906" w:type="dxa"/>
            <w:tcBorders>
              <w:top w:val="single" w:sz="4" w:space="0" w:color="000000"/>
            </w:tcBorders>
          </w:tcPr>
          <w:p w14:paraId="359D2946" w14:textId="77777777" w:rsidR="00F65CC1" w:rsidRDefault="00F65CC1" w:rsidP="007B7445">
            <w:pPr>
              <w:pStyle w:val="TableParagraph"/>
              <w:spacing w:before="128"/>
              <w:ind w:left="301"/>
            </w:pPr>
            <w:r>
              <w:rPr>
                <w:spacing w:val="-4"/>
              </w:rPr>
              <w:t>4.45</w:t>
            </w:r>
          </w:p>
        </w:tc>
        <w:tc>
          <w:tcPr>
            <w:tcW w:w="1205" w:type="dxa"/>
            <w:tcBorders>
              <w:top w:val="single" w:sz="4" w:space="0" w:color="000000"/>
            </w:tcBorders>
          </w:tcPr>
          <w:p w14:paraId="69452BDB" w14:textId="77777777" w:rsidR="00F65CC1" w:rsidRDefault="00F65CC1" w:rsidP="007B7445">
            <w:pPr>
              <w:pStyle w:val="TableParagraph"/>
              <w:spacing w:before="128"/>
              <w:ind w:left="2"/>
              <w:jc w:val="center"/>
            </w:pPr>
            <w:r>
              <w:rPr>
                <w:spacing w:val="-4"/>
              </w:rPr>
              <w:t>0.66</w:t>
            </w:r>
          </w:p>
        </w:tc>
        <w:tc>
          <w:tcPr>
            <w:tcW w:w="1637" w:type="dxa"/>
            <w:tcBorders>
              <w:top w:val="single" w:sz="4" w:space="0" w:color="000000"/>
            </w:tcBorders>
          </w:tcPr>
          <w:p w14:paraId="1DB07110" w14:textId="77777777" w:rsidR="00F65CC1" w:rsidRDefault="00F65CC1" w:rsidP="007B7445">
            <w:pPr>
              <w:pStyle w:val="TableParagraph"/>
              <w:spacing w:before="3"/>
              <w:ind w:left="5" w:right="2"/>
              <w:jc w:val="center"/>
            </w:pPr>
            <w:r>
              <w:rPr>
                <w:spacing w:val="-2"/>
              </w:rPr>
              <w:t>Extensive</w:t>
            </w:r>
          </w:p>
        </w:tc>
      </w:tr>
      <w:tr w:rsidR="00F65CC1" w14:paraId="534E7BE8" w14:textId="77777777" w:rsidTr="007B7445">
        <w:trPr>
          <w:trHeight w:val="227"/>
        </w:trPr>
        <w:tc>
          <w:tcPr>
            <w:tcW w:w="4805" w:type="dxa"/>
          </w:tcPr>
          <w:p w14:paraId="1233B48C" w14:textId="77777777" w:rsidR="00F65CC1" w:rsidRDefault="00F65CC1" w:rsidP="007B7445">
            <w:pPr>
              <w:pStyle w:val="TableParagraph"/>
              <w:spacing w:line="254" w:lineRule="exact"/>
              <w:ind w:left="117"/>
            </w:pPr>
            <w:r>
              <w:t>Tax education creates awareness that a business</w:t>
            </w:r>
            <w:r>
              <w:rPr>
                <w:spacing w:val="-4"/>
              </w:rPr>
              <w:t xml:space="preserve"> </w:t>
            </w:r>
            <w:r>
              <w:t>could</w:t>
            </w:r>
            <w:r>
              <w:rPr>
                <w:spacing w:val="-7"/>
              </w:rPr>
              <w:t xml:space="preserve"> </w:t>
            </w:r>
            <w:r>
              <w:t>be</w:t>
            </w:r>
            <w:r>
              <w:rPr>
                <w:spacing w:val="-3"/>
              </w:rPr>
              <w:t xml:space="preserve"> </w:t>
            </w:r>
            <w:r>
              <w:t>closed</w:t>
            </w:r>
            <w:r>
              <w:rPr>
                <w:spacing w:val="-7"/>
              </w:rPr>
              <w:t xml:space="preserve"> </w:t>
            </w:r>
            <w:r>
              <w:t>for</w:t>
            </w:r>
            <w:r>
              <w:rPr>
                <w:spacing w:val="-10"/>
              </w:rPr>
              <w:t xml:space="preserve"> </w:t>
            </w:r>
            <w:r>
              <w:t>non-compliance.</w:t>
            </w:r>
          </w:p>
        </w:tc>
        <w:tc>
          <w:tcPr>
            <w:tcW w:w="906" w:type="dxa"/>
          </w:tcPr>
          <w:p w14:paraId="64A20838" w14:textId="77777777" w:rsidR="00F65CC1" w:rsidRDefault="00F65CC1" w:rsidP="007B7445">
            <w:pPr>
              <w:pStyle w:val="TableParagraph"/>
              <w:spacing w:before="125"/>
              <w:ind w:left="301"/>
            </w:pPr>
            <w:r>
              <w:rPr>
                <w:spacing w:val="-4"/>
              </w:rPr>
              <w:t>4.47</w:t>
            </w:r>
          </w:p>
        </w:tc>
        <w:tc>
          <w:tcPr>
            <w:tcW w:w="1205" w:type="dxa"/>
          </w:tcPr>
          <w:p w14:paraId="37223060" w14:textId="77777777" w:rsidR="00F65CC1" w:rsidRDefault="00F65CC1" w:rsidP="007B7445">
            <w:pPr>
              <w:pStyle w:val="TableParagraph"/>
              <w:spacing w:before="125"/>
              <w:ind w:left="2"/>
              <w:jc w:val="center"/>
            </w:pPr>
            <w:r>
              <w:rPr>
                <w:spacing w:val="-4"/>
              </w:rPr>
              <w:t>0.66</w:t>
            </w:r>
          </w:p>
        </w:tc>
        <w:tc>
          <w:tcPr>
            <w:tcW w:w="1637" w:type="dxa"/>
          </w:tcPr>
          <w:p w14:paraId="35A69929" w14:textId="77777777" w:rsidR="00F65CC1" w:rsidRDefault="00F65CC1" w:rsidP="007B7445">
            <w:pPr>
              <w:pStyle w:val="TableParagraph"/>
              <w:spacing w:before="1"/>
              <w:ind w:left="5" w:right="2"/>
              <w:jc w:val="center"/>
            </w:pPr>
            <w:r>
              <w:rPr>
                <w:spacing w:val="-2"/>
              </w:rPr>
              <w:t>Extensive</w:t>
            </w:r>
          </w:p>
        </w:tc>
      </w:tr>
      <w:tr w:rsidR="00F65CC1" w14:paraId="536D847D" w14:textId="77777777" w:rsidTr="007B7445">
        <w:trPr>
          <w:trHeight w:val="227"/>
        </w:trPr>
        <w:tc>
          <w:tcPr>
            <w:tcW w:w="4805" w:type="dxa"/>
          </w:tcPr>
          <w:p w14:paraId="04F44E19" w14:textId="77777777" w:rsidR="00F65CC1" w:rsidRDefault="00F65CC1" w:rsidP="007B7445">
            <w:pPr>
              <w:pStyle w:val="TableParagraph"/>
              <w:spacing w:line="246" w:lineRule="exact"/>
              <w:ind w:left="117"/>
            </w:pPr>
            <w:r>
              <w:t>Tax</w:t>
            </w:r>
            <w:r>
              <w:rPr>
                <w:spacing w:val="-4"/>
              </w:rPr>
              <w:t xml:space="preserve"> </w:t>
            </w:r>
            <w:r>
              <w:t>education</w:t>
            </w:r>
            <w:r>
              <w:rPr>
                <w:spacing w:val="-2"/>
              </w:rPr>
              <w:t xml:space="preserve"> </w:t>
            </w:r>
            <w:r>
              <w:t>creates</w:t>
            </w:r>
            <w:r>
              <w:rPr>
                <w:spacing w:val="-8"/>
              </w:rPr>
              <w:t xml:space="preserve"> </w:t>
            </w:r>
            <w:r>
              <w:t>awareness</w:t>
            </w:r>
            <w:r>
              <w:rPr>
                <w:spacing w:val="-4"/>
              </w:rPr>
              <w:t xml:space="preserve"> </w:t>
            </w:r>
            <w:r>
              <w:t>that</w:t>
            </w:r>
            <w:r>
              <w:rPr>
                <w:spacing w:val="-6"/>
              </w:rPr>
              <w:t xml:space="preserve"> </w:t>
            </w:r>
            <w:r>
              <w:rPr>
                <w:spacing w:val="-4"/>
              </w:rPr>
              <w:t>fines</w:t>
            </w:r>
          </w:p>
          <w:p w14:paraId="2B64CE41" w14:textId="77777777" w:rsidR="00F65CC1" w:rsidRDefault="00F65CC1" w:rsidP="007B7445">
            <w:pPr>
              <w:pStyle w:val="TableParagraph"/>
              <w:spacing w:before="5" w:line="233" w:lineRule="exact"/>
              <w:ind w:left="117"/>
            </w:pPr>
            <w:r>
              <w:t>may</w:t>
            </w:r>
            <w:r>
              <w:rPr>
                <w:spacing w:val="-2"/>
              </w:rPr>
              <w:t xml:space="preserve"> </w:t>
            </w:r>
            <w:r>
              <w:t>be</w:t>
            </w:r>
            <w:r>
              <w:rPr>
                <w:spacing w:val="1"/>
              </w:rPr>
              <w:t xml:space="preserve"> </w:t>
            </w:r>
            <w:r>
              <w:t>imposed</w:t>
            </w:r>
            <w:r>
              <w:rPr>
                <w:spacing w:val="-4"/>
              </w:rPr>
              <w:t xml:space="preserve"> </w:t>
            </w:r>
            <w:r>
              <w:t>for</w:t>
            </w:r>
            <w:r>
              <w:rPr>
                <w:spacing w:val="1"/>
              </w:rPr>
              <w:t xml:space="preserve"> </w:t>
            </w:r>
            <w:r>
              <w:t>non-</w:t>
            </w:r>
            <w:r>
              <w:rPr>
                <w:spacing w:val="-2"/>
              </w:rPr>
              <w:t>compliance.</w:t>
            </w:r>
          </w:p>
        </w:tc>
        <w:tc>
          <w:tcPr>
            <w:tcW w:w="906" w:type="dxa"/>
          </w:tcPr>
          <w:p w14:paraId="55495DCB" w14:textId="77777777" w:rsidR="00F65CC1" w:rsidRDefault="00F65CC1" w:rsidP="007B7445">
            <w:pPr>
              <w:pStyle w:val="TableParagraph"/>
              <w:spacing w:before="127"/>
              <w:ind w:left="301"/>
            </w:pPr>
            <w:r>
              <w:rPr>
                <w:spacing w:val="-4"/>
              </w:rPr>
              <w:t>4.47</w:t>
            </w:r>
          </w:p>
        </w:tc>
        <w:tc>
          <w:tcPr>
            <w:tcW w:w="1205" w:type="dxa"/>
          </w:tcPr>
          <w:p w14:paraId="7AA007D7" w14:textId="77777777" w:rsidR="00F65CC1" w:rsidRDefault="00F65CC1" w:rsidP="007B7445">
            <w:pPr>
              <w:pStyle w:val="TableParagraph"/>
              <w:spacing w:before="127"/>
              <w:ind w:left="2"/>
              <w:jc w:val="center"/>
            </w:pPr>
            <w:r>
              <w:rPr>
                <w:spacing w:val="-4"/>
              </w:rPr>
              <w:t>0.66</w:t>
            </w:r>
          </w:p>
        </w:tc>
        <w:tc>
          <w:tcPr>
            <w:tcW w:w="1637" w:type="dxa"/>
          </w:tcPr>
          <w:p w14:paraId="6859ADCD" w14:textId="77777777" w:rsidR="00F65CC1" w:rsidRDefault="00F65CC1" w:rsidP="007B7445">
            <w:pPr>
              <w:pStyle w:val="TableParagraph"/>
              <w:spacing w:line="246" w:lineRule="exact"/>
              <w:ind w:left="5" w:right="2"/>
              <w:jc w:val="center"/>
            </w:pPr>
            <w:r>
              <w:rPr>
                <w:spacing w:val="-2"/>
              </w:rPr>
              <w:t>Extensive</w:t>
            </w:r>
          </w:p>
        </w:tc>
      </w:tr>
      <w:tr w:rsidR="00F65CC1" w14:paraId="3B0EDEB5" w14:textId="77777777" w:rsidTr="007B7445">
        <w:trPr>
          <w:trHeight w:val="227"/>
        </w:trPr>
        <w:tc>
          <w:tcPr>
            <w:tcW w:w="4805" w:type="dxa"/>
            <w:tcBorders>
              <w:bottom w:val="single" w:sz="4" w:space="0" w:color="000000"/>
            </w:tcBorders>
          </w:tcPr>
          <w:p w14:paraId="2B808248" w14:textId="77777777" w:rsidR="00F65CC1" w:rsidRDefault="00F65CC1" w:rsidP="007B7445">
            <w:pPr>
              <w:pStyle w:val="TableParagraph"/>
              <w:spacing w:line="250" w:lineRule="atLeast"/>
              <w:ind w:left="117"/>
            </w:pPr>
            <w:r>
              <w:t>Tax education creates awareness of the possibility</w:t>
            </w:r>
            <w:r>
              <w:rPr>
                <w:spacing w:val="-8"/>
              </w:rPr>
              <w:t xml:space="preserve"> </w:t>
            </w:r>
            <w:r>
              <w:t>of</w:t>
            </w:r>
            <w:r>
              <w:rPr>
                <w:spacing w:val="-8"/>
              </w:rPr>
              <w:t xml:space="preserve"> </w:t>
            </w:r>
            <w:r>
              <w:t>prosecution</w:t>
            </w:r>
            <w:r>
              <w:rPr>
                <w:spacing w:val="-11"/>
              </w:rPr>
              <w:t xml:space="preserve"> </w:t>
            </w:r>
            <w:r>
              <w:t>for</w:t>
            </w:r>
            <w:r>
              <w:rPr>
                <w:spacing w:val="-9"/>
              </w:rPr>
              <w:t xml:space="preserve"> </w:t>
            </w:r>
            <w:r>
              <w:t>non-compliance.</w:t>
            </w:r>
          </w:p>
        </w:tc>
        <w:tc>
          <w:tcPr>
            <w:tcW w:w="906" w:type="dxa"/>
            <w:tcBorders>
              <w:bottom w:val="single" w:sz="4" w:space="0" w:color="000000"/>
            </w:tcBorders>
          </w:tcPr>
          <w:p w14:paraId="7C12D9F2" w14:textId="77777777" w:rsidR="00F65CC1" w:rsidRDefault="00F65CC1" w:rsidP="007B7445">
            <w:pPr>
              <w:pStyle w:val="TableParagraph"/>
              <w:spacing w:before="125"/>
              <w:ind w:left="301"/>
            </w:pPr>
            <w:r>
              <w:rPr>
                <w:spacing w:val="-4"/>
              </w:rPr>
              <w:t>4.50</w:t>
            </w:r>
          </w:p>
        </w:tc>
        <w:tc>
          <w:tcPr>
            <w:tcW w:w="1205" w:type="dxa"/>
            <w:tcBorders>
              <w:bottom w:val="single" w:sz="4" w:space="0" w:color="000000"/>
            </w:tcBorders>
          </w:tcPr>
          <w:p w14:paraId="7A40184A" w14:textId="77777777" w:rsidR="00F65CC1" w:rsidRDefault="00F65CC1" w:rsidP="007B7445">
            <w:pPr>
              <w:pStyle w:val="TableParagraph"/>
              <w:spacing w:before="125"/>
              <w:ind w:left="2"/>
              <w:jc w:val="center"/>
            </w:pPr>
            <w:r>
              <w:rPr>
                <w:spacing w:val="-4"/>
              </w:rPr>
              <w:t>0.73</w:t>
            </w:r>
          </w:p>
        </w:tc>
        <w:tc>
          <w:tcPr>
            <w:tcW w:w="1637" w:type="dxa"/>
            <w:tcBorders>
              <w:bottom w:val="single" w:sz="4" w:space="0" w:color="000000"/>
            </w:tcBorders>
          </w:tcPr>
          <w:p w14:paraId="07F0C6FF" w14:textId="77777777" w:rsidR="00F65CC1" w:rsidRDefault="00F65CC1" w:rsidP="007B7445">
            <w:pPr>
              <w:pStyle w:val="TableParagraph"/>
              <w:spacing w:before="1"/>
              <w:ind w:left="5" w:right="2"/>
              <w:jc w:val="center"/>
            </w:pPr>
            <w:r>
              <w:rPr>
                <w:spacing w:val="-2"/>
              </w:rPr>
              <w:t>Extensive</w:t>
            </w:r>
          </w:p>
        </w:tc>
      </w:tr>
      <w:tr w:rsidR="00F65CC1" w14:paraId="14AC539F" w14:textId="77777777" w:rsidTr="007B7445">
        <w:trPr>
          <w:trHeight w:val="227"/>
        </w:trPr>
        <w:tc>
          <w:tcPr>
            <w:tcW w:w="4805" w:type="dxa"/>
            <w:tcBorders>
              <w:top w:val="single" w:sz="4" w:space="0" w:color="000000"/>
              <w:bottom w:val="single" w:sz="4" w:space="0" w:color="000000"/>
            </w:tcBorders>
          </w:tcPr>
          <w:p w14:paraId="448296D4" w14:textId="77777777" w:rsidR="00F65CC1" w:rsidRDefault="00F65CC1" w:rsidP="007B7445">
            <w:pPr>
              <w:pStyle w:val="TableParagraph"/>
              <w:spacing w:line="248" w:lineRule="exact"/>
              <w:ind w:left="132" w:right="4"/>
              <w:jc w:val="center"/>
              <w:rPr>
                <w:rFonts w:ascii="Arial"/>
                <w:b/>
              </w:rPr>
            </w:pPr>
            <w:r>
              <w:rPr>
                <w:rFonts w:ascii="Arial"/>
                <w:b/>
                <w:spacing w:val="-2"/>
              </w:rPr>
              <w:t>Average</w:t>
            </w:r>
          </w:p>
        </w:tc>
        <w:tc>
          <w:tcPr>
            <w:tcW w:w="906" w:type="dxa"/>
            <w:tcBorders>
              <w:top w:val="single" w:sz="4" w:space="0" w:color="000000"/>
              <w:bottom w:val="single" w:sz="4" w:space="0" w:color="000000"/>
            </w:tcBorders>
          </w:tcPr>
          <w:p w14:paraId="60E10B05" w14:textId="77777777" w:rsidR="00F65CC1" w:rsidRDefault="00F65CC1" w:rsidP="007B7445">
            <w:pPr>
              <w:pStyle w:val="TableParagraph"/>
              <w:spacing w:before="37"/>
              <w:ind w:left="301"/>
            </w:pPr>
            <w:r>
              <w:rPr>
                <w:spacing w:val="-4"/>
              </w:rPr>
              <w:t>4.48</w:t>
            </w:r>
          </w:p>
        </w:tc>
        <w:tc>
          <w:tcPr>
            <w:tcW w:w="1205" w:type="dxa"/>
            <w:tcBorders>
              <w:top w:val="single" w:sz="4" w:space="0" w:color="000000"/>
              <w:bottom w:val="single" w:sz="4" w:space="0" w:color="000000"/>
            </w:tcBorders>
          </w:tcPr>
          <w:p w14:paraId="3470AE03" w14:textId="77777777" w:rsidR="00F65CC1" w:rsidRDefault="00F65CC1" w:rsidP="007B7445">
            <w:pPr>
              <w:pStyle w:val="TableParagraph"/>
              <w:spacing w:before="37"/>
              <w:ind w:left="2"/>
              <w:jc w:val="center"/>
            </w:pPr>
            <w:r>
              <w:rPr>
                <w:spacing w:val="-4"/>
              </w:rPr>
              <w:t>0.58</w:t>
            </w:r>
          </w:p>
        </w:tc>
        <w:tc>
          <w:tcPr>
            <w:tcW w:w="1637" w:type="dxa"/>
            <w:tcBorders>
              <w:top w:val="single" w:sz="4" w:space="0" w:color="000000"/>
              <w:bottom w:val="single" w:sz="4" w:space="0" w:color="000000"/>
            </w:tcBorders>
          </w:tcPr>
          <w:p w14:paraId="61D071D8" w14:textId="77777777" w:rsidR="00F65CC1" w:rsidRDefault="00F65CC1" w:rsidP="007B7445">
            <w:pPr>
              <w:pStyle w:val="TableParagraph"/>
              <w:spacing w:before="3"/>
              <w:ind w:left="5" w:right="2"/>
              <w:jc w:val="center"/>
            </w:pPr>
            <w:r>
              <w:rPr>
                <w:spacing w:val="-2"/>
              </w:rPr>
              <w:t>Extensive</w:t>
            </w:r>
          </w:p>
        </w:tc>
      </w:tr>
    </w:tbl>
    <w:p w14:paraId="3D7C4A7C" w14:textId="3C53C131" w:rsidR="003121B6" w:rsidRDefault="003121B6" w:rsidP="003121B6">
      <w:pPr>
        <w:pStyle w:val="BodyText"/>
        <w:spacing w:before="157" w:after="2"/>
        <w:jc w:val="both"/>
      </w:pPr>
      <w:r>
        <w:t>Table</w:t>
      </w:r>
      <w:r>
        <w:rPr>
          <w:spacing w:val="-2"/>
        </w:rPr>
        <w:t xml:space="preserve"> </w:t>
      </w:r>
      <w:r>
        <w:t>6.</w:t>
      </w:r>
      <w:r>
        <w:rPr>
          <w:spacing w:val="-6"/>
        </w:rPr>
        <w:t xml:space="preserve"> </w:t>
      </w:r>
      <w:r>
        <w:t>Level</w:t>
      </w:r>
      <w:r>
        <w:rPr>
          <w:spacing w:val="-8"/>
        </w:rPr>
        <w:t xml:space="preserve"> </w:t>
      </w:r>
      <w:r>
        <w:t>of</w:t>
      </w:r>
      <w:r>
        <w:rPr>
          <w:spacing w:val="2"/>
        </w:rPr>
        <w:t xml:space="preserve"> </w:t>
      </w:r>
      <w:r>
        <w:t>tax</w:t>
      </w:r>
      <w:r>
        <w:rPr>
          <w:spacing w:val="-4"/>
        </w:rPr>
        <w:t xml:space="preserve"> </w:t>
      </w:r>
      <w:r>
        <w:t>compliance</w:t>
      </w:r>
      <w:r>
        <w:rPr>
          <w:spacing w:val="-2"/>
        </w:rPr>
        <w:t xml:space="preserve"> </w:t>
      </w:r>
      <w:r>
        <w:t>among</w:t>
      </w:r>
      <w:r>
        <w:rPr>
          <w:spacing w:val="-6"/>
        </w:rPr>
        <w:t xml:space="preserve"> </w:t>
      </w:r>
      <w:r>
        <w:t>business</w:t>
      </w:r>
      <w:r>
        <w:rPr>
          <w:spacing w:val="-4"/>
        </w:rPr>
        <w:t xml:space="preserve"> </w:t>
      </w:r>
      <w:r>
        <w:rPr>
          <w:spacing w:val="-2"/>
        </w:rPr>
        <w:t>owners</w:t>
      </w:r>
    </w:p>
    <w:tbl>
      <w:tblPr>
        <w:tblW w:w="8556" w:type="dxa"/>
        <w:tblLayout w:type="fixed"/>
        <w:tblCellMar>
          <w:left w:w="0" w:type="dxa"/>
          <w:right w:w="0" w:type="dxa"/>
        </w:tblCellMar>
        <w:tblLook w:val="01E0" w:firstRow="1" w:lastRow="1" w:firstColumn="1" w:lastColumn="1" w:noHBand="0" w:noVBand="0"/>
      </w:tblPr>
      <w:tblGrid>
        <w:gridCol w:w="4852"/>
        <w:gridCol w:w="848"/>
        <w:gridCol w:w="1218"/>
        <w:gridCol w:w="1638"/>
      </w:tblGrid>
      <w:tr w:rsidR="003121B6" w14:paraId="1BCDBD60" w14:textId="77777777" w:rsidTr="00143856">
        <w:trPr>
          <w:trHeight w:val="227"/>
        </w:trPr>
        <w:tc>
          <w:tcPr>
            <w:tcW w:w="4852" w:type="dxa"/>
            <w:tcBorders>
              <w:top w:val="single" w:sz="4" w:space="0" w:color="000000"/>
              <w:bottom w:val="single" w:sz="4" w:space="0" w:color="000000"/>
            </w:tcBorders>
          </w:tcPr>
          <w:p w14:paraId="20CD0A82" w14:textId="77777777" w:rsidR="003121B6" w:rsidRDefault="003121B6" w:rsidP="006E080E">
            <w:pPr>
              <w:pStyle w:val="TableParagraph"/>
              <w:spacing w:before="120"/>
              <w:ind w:left="37"/>
              <w:jc w:val="center"/>
              <w:rPr>
                <w:rFonts w:ascii="Arial"/>
                <w:b/>
              </w:rPr>
            </w:pPr>
            <w:r>
              <w:rPr>
                <w:rFonts w:ascii="Arial"/>
                <w:b/>
                <w:spacing w:val="-2"/>
              </w:rPr>
              <w:t>Statements</w:t>
            </w:r>
          </w:p>
        </w:tc>
        <w:tc>
          <w:tcPr>
            <w:tcW w:w="848" w:type="dxa"/>
            <w:tcBorders>
              <w:top w:val="single" w:sz="4" w:space="0" w:color="000000"/>
              <w:bottom w:val="single" w:sz="4" w:space="0" w:color="000000"/>
            </w:tcBorders>
          </w:tcPr>
          <w:p w14:paraId="7518E3F5" w14:textId="77777777" w:rsidR="003121B6" w:rsidRDefault="003121B6" w:rsidP="006E080E">
            <w:pPr>
              <w:pStyle w:val="TableParagraph"/>
              <w:spacing w:before="120"/>
              <w:ind w:left="42" w:right="2"/>
              <w:jc w:val="center"/>
              <w:rPr>
                <w:rFonts w:ascii="Arial"/>
                <w:b/>
              </w:rPr>
            </w:pPr>
            <w:r>
              <w:rPr>
                <w:rFonts w:ascii="Arial"/>
                <w:b/>
                <w:spacing w:val="-4"/>
              </w:rPr>
              <w:t>Mean</w:t>
            </w:r>
          </w:p>
        </w:tc>
        <w:tc>
          <w:tcPr>
            <w:tcW w:w="1218" w:type="dxa"/>
            <w:tcBorders>
              <w:top w:val="single" w:sz="4" w:space="0" w:color="000000"/>
              <w:bottom w:val="single" w:sz="4" w:space="0" w:color="000000"/>
            </w:tcBorders>
          </w:tcPr>
          <w:p w14:paraId="56EE19D3" w14:textId="77777777" w:rsidR="003121B6" w:rsidRDefault="003121B6" w:rsidP="006E080E">
            <w:pPr>
              <w:pStyle w:val="TableParagraph"/>
              <w:spacing w:line="248" w:lineRule="exact"/>
              <w:ind w:left="11" w:right="3"/>
              <w:jc w:val="center"/>
              <w:rPr>
                <w:rFonts w:ascii="Arial"/>
                <w:b/>
              </w:rPr>
            </w:pPr>
            <w:r>
              <w:rPr>
                <w:rFonts w:ascii="Arial"/>
                <w:b/>
                <w:spacing w:val="-4"/>
              </w:rPr>
              <w:t>Std.</w:t>
            </w:r>
          </w:p>
          <w:p w14:paraId="07619C2E" w14:textId="77777777" w:rsidR="003121B6" w:rsidRDefault="003121B6" w:rsidP="006E080E">
            <w:pPr>
              <w:pStyle w:val="TableParagraph"/>
              <w:spacing w:before="1" w:line="239" w:lineRule="exact"/>
              <w:ind w:left="11" w:right="2"/>
              <w:jc w:val="center"/>
              <w:rPr>
                <w:rFonts w:ascii="Arial"/>
                <w:b/>
              </w:rPr>
            </w:pPr>
            <w:r>
              <w:rPr>
                <w:rFonts w:ascii="Arial"/>
                <w:b/>
                <w:spacing w:val="-2"/>
              </w:rPr>
              <w:t>Deviation</w:t>
            </w:r>
          </w:p>
        </w:tc>
        <w:tc>
          <w:tcPr>
            <w:tcW w:w="1638" w:type="dxa"/>
            <w:tcBorders>
              <w:top w:val="single" w:sz="4" w:space="0" w:color="000000"/>
              <w:bottom w:val="single" w:sz="4" w:space="0" w:color="000000"/>
            </w:tcBorders>
          </w:tcPr>
          <w:p w14:paraId="46B15319" w14:textId="77777777" w:rsidR="003121B6" w:rsidRDefault="003121B6" w:rsidP="006E080E">
            <w:pPr>
              <w:pStyle w:val="TableParagraph"/>
              <w:spacing w:before="120"/>
              <w:ind w:right="1"/>
              <w:jc w:val="center"/>
              <w:rPr>
                <w:rFonts w:ascii="Arial"/>
                <w:b/>
              </w:rPr>
            </w:pPr>
            <w:r>
              <w:rPr>
                <w:rFonts w:ascii="Arial"/>
                <w:b/>
                <w:spacing w:val="-2"/>
              </w:rPr>
              <w:t>Interpretation</w:t>
            </w:r>
          </w:p>
        </w:tc>
      </w:tr>
      <w:tr w:rsidR="003121B6" w14:paraId="749B0FBE" w14:textId="77777777" w:rsidTr="00143856">
        <w:trPr>
          <w:trHeight w:val="227"/>
        </w:trPr>
        <w:tc>
          <w:tcPr>
            <w:tcW w:w="4852" w:type="dxa"/>
            <w:tcBorders>
              <w:top w:val="single" w:sz="4" w:space="0" w:color="000000"/>
            </w:tcBorders>
          </w:tcPr>
          <w:p w14:paraId="3EE6D6CE" w14:textId="77777777" w:rsidR="003121B6" w:rsidRDefault="003121B6" w:rsidP="006E080E">
            <w:pPr>
              <w:pStyle w:val="TableParagraph"/>
              <w:spacing w:line="232" w:lineRule="exact"/>
              <w:ind w:left="117"/>
            </w:pPr>
            <w:r>
              <w:t>1. Ability</w:t>
            </w:r>
            <w:r>
              <w:rPr>
                <w:spacing w:val="-1"/>
              </w:rPr>
              <w:t xml:space="preserve"> </w:t>
            </w:r>
            <w:r>
              <w:t>to</w:t>
            </w:r>
            <w:r>
              <w:rPr>
                <w:spacing w:val="-1"/>
              </w:rPr>
              <w:t xml:space="preserve"> </w:t>
            </w:r>
            <w:r>
              <w:t>pay</w:t>
            </w:r>
            <w:r>
              <w:rPr>
                <w:spacing w:val="-5"/>
              </w:rPr>
              <w:t xml:space="preserve"> </w:t>
            </w:r>
            <w:r>
              <w:t>taxes</w:t>
            </w:r>
            <w:r>
              <w:rPr>
                <w:spacing w:val="-1"/>
              </w:rPr>
              <w:t xml:space="preserve"> </w:t>
            </w:r>
            <w:r>
              <w:rPr>
                <w:spacing w:val="-2"/>
              </w:rPr>
              <w:t>voluntarily.</w:t>
            </w:r>
          </w:p>
        </w:tc>
        <w:tc>
          <w:tcPr>
            <w:tcW w:w="848" w:type="dxa"/>
            <w:tcBorders>
              <w:top w:val="single" w:sz="4" w:space="0" w:color="000000"/>
            </w:tcBorders>
          </w:tcPr>
          <w:p w14:paraId="38CB68E4" w14:textId="77777777" w:rsidR="003121B6" w:rsidRDefault="003121B6" w:rsidP="006E080E">
            <w:pPr>
              <w:pStyle w:val="TableParagraph"/>
              <w:spacing w:line="232" w:lineRule="exact"/>
              <w:ind w:left="42"/>
              <w:jc w:val="center"/>
            </w:pPr>
            <w:r>
              <w:rPr>
                <w:spacing w:val="-4"/>
              </w:rPr>
              <w:t>4.75</w:t>
            </w:r>
          </w:p>
        </w:tc>
        <w:tc>
          <w:tcPr>
            <w:tcW w:w="1218" w:type="dxa"/>
            <w:tcBorders>
              <w:top w:val="single" w:sz="4" w:space="0" w:color="000000"/>
            </w:tcBorders>
          </w:tcPr>
          <w:p w14:paraId="6E83B450" w14:textId="77777777" w:rsidR="003121B6" w:rsidRDefault="003121B6" w:rsidP="006E080E">
            <w:pPr>
              <w:pStyle w:val="TableParagraph"/>
              <w:spacing w:line="232" w:lineRule="exact"/>
              <w:ind w:left="11"/>
              <w:jc w:val="center"/>
            </w:pPr>
            <w:r>
              <w:rPr>
                <w:spacing w:val="-4"/>
              </w:rPr>
              <w:t>0.54</w:t>
            </w:r>
          </w:p>
        </w:tc>
        <w:tc>
          <w:tcPr>
            <w:tcW w:w="1638" w:type="dxa"/>
            <w:tcBorders>
              <w:top w:val="single" w:sz="4" w:space="0" w:color="000000"/>
            </w:tcBorders>
          </w:tcPr>
          <w:p w14:paraId="4DA957D3" w14:textId="77777777" w:rsidR="003121B6" w:rsidRDefault="003121B6" w:rsidP="006E080E">
            <w:pPr>
              <w:pStyle w:val="TableParagraph"/>
              <w:spacing w:line="232" w:lineRule="exact"/>
              <w:ind w:right="1"/>
              <w:jc w:val="center"/>
            </w:pPr>
            <w:r>
              <w:rPr>
                <w:spacing w:val="-2"/>
              </w:rPr>
              <w:t>Extensive</w:t>
            </w:r>
          </w:p>
        </w:tc>
      </w:tr>
      <w:tr w:rsidR="003121B6" w14:paraId="1083181C" w14:textId="77777777" w:rsidTr="00143856">
        <w:trPr>
          <w:trHeight w:val="227"/>
        </w:trPr>
        <w:tc>
          <w:tcPr>
            <w:tcW w:w="4852" w:type="dxa"/>
          </w:tcPr>
          <w:p w14:paraId="7BB7E0E9" w14:textId="77777777" w:rsidR="003121B6" w:rsidRDefault="003121B6" w:rsidP="006E080E">
            <w:pPr>
              <w:pStyle w:val="TableParagraph"/>
              <w:spacing w:before="1"/>
              <w:ind w:left="117"/>
            </w:pPr>
            <w:r>
              <w:t>2.</w:t>
            </w:r>
            <w:r>
              <w:rPr>
                <w:spacing w:val="-1"/>
              </w:rPr>
              <w:t xml:space="preserve"> </w:t>
            </w:r>
            <w:r>
              <w:t>Payment</w:t>
            </w:r>
            <w:r>
              <w:rPr>
                <w:spacing w:val="-5"/>
              </w:rPr>
              <w:t xml:space="preserve"> </w:t>
            </w:r>
            <w:r>
              <w:t>of taxes</w:t>
            </w:r>
            <w:r>
              <w:rPr>
                <w:spacing w:val="-2"/>
              </w:rPr>
              <w:t xml:space="preserve"> </w:t>
            </w:r>
            <w:r>
              <w:t>without</w:t>
            </w:r>
            <w:r>
              <w:rPr>
                <w:spacing w:val="-4"/>
              </w:rPr>
              <w:t xml:space="preserve"> </w:t>
            </w:r>
            <w:r>
              <w:t>thinking</w:t>
            </w:r>
            <w:r>
              <w:rPr>
                <w:spacing w:val="-5"/>
              </w:rPr>
              <w:t xml:space="preserve"> </w:t>
            </w:r>
            <w:r>
              <w:t>of</w:t>
            </w:r>
            <w:r>
              <w:rPr>
                <w:spacing w:val="-1"/>
              </w:rPr>
              <w:t xml:space="preserve"> </w:t>
            </w:r>
            <w:r>
              <w:t>how</w:t>
            </w:r>
            <w:r>
              <w:rPr>
                <w:spacing w:val="-2"/>
              </w:rPr>
              <w:t xml:space="preserve"> </w:t>
            </w:r>
            <w:r>
              <w:rPr>
                <w:spacing w:val="-5"/>
              </w:rPr>
              <w:t>to</w:t>
            </w:r>
          </w:p>
          <w:p w14:paraId="583C3245" w14:textId="77777777" w:rsidR="003121B6" w:rsidRDefault="003121B6" w:rsidP="006E080E">
            <w:pPr>
              <w:pStyle w:val="TableParagraph"/>
              <w:spacing w:before="6" w:line="231" w:lineRule="exact"/>
              <w:ind w:left="117"/>
            </w:pPr>
            <w:r>
              <w:lastRenderedPageBreak/>
              <w:t>reduce</w:t>
            </w:r>
            <w:r>
              <w:rPr>
                <w:spacing w:val="1"/>
              </w:rPr>
              <w:t xml:space="preserve"> </w:t>
            </w:r>
            <w:r>
              <w:rPr>
                <w:spacing w:val="-2"/>
              </w:rPr>
              <w:t>them.</w:t>
            </w:r>
          </w:p>
        </w:tc>
        <w:tc>
          <w:tcPr>
            <w:tcW w:w="848" w:type="dxa"/>
          </w:tcPr>
          <w:p w14:paraId="18616300" w14:textId="77777777" w:rsidR="003121B6" w:rsidRDefault="003121B6" w:rsidP="006E080E">
            <w:pPr>
              <w:pStyle w:val="TableParagraph"/>
              <w:spacing w:before="126"/>
              <w:ind w:left="42"/>
              <w:jc w:val="center"/>
            </w:pPr>
            <w:r>
              <w:rPr>
                <w:spacing w:val="-4"/>
              </w:rPr>
              <w:lastRenderedPageBreak/>
              <w:t>4.53</w:t>
            </w:r>
          </w:p>
        </w:tc>
        <w:tc>
          <w:tcPr>
            <w:tcW w:w="1218" w:type="dxa"/>
          </w:tcPr>
          <w:p w14:paraId="6B1FB9FC" w14:textId="77777777" w:rsidR="003121B6" w:rsidRDefault="003121B6" w:rsidP="006E080E">
            <w:pPr>
              <w:pStyle w:val="TableParagraph"/>
              <w:spacing w:before="126"/>
              <w:ind w:left="11"/>
              <w:jc w:val="center"/>
            </w:pPr>
            <w:r>
              <w:rPr>
                <w:spacing w:val="-4"/>
              </w:rPr>
              <w:t>0.83</w:t>
            </w:r>
          </w:p>
        </w:tc>
        <w:tc>
          <w:tcPr>
            <w:tcW w:w="1638" w:type="dxa"/>
          </w:tcPr>
          <w:p w14:paraId="3B2EE139" w14:textId="77777777" w:rsidR="003121B6" w:rsidRDefault="003121B6" w:rsidP="006E080E">
            <w:pPr>
              <w:pStyle w:val="TableParagraph"/>
              <w:spacing w:before="1"/>
              <w:ind w:right="1"/>
              <w:jc w:val="center"/>
            </w:pPr>
            <w:r>
              <w:rPr>
                <w:spacing w:val="-2"/>
              </w:rPr>
              <w:t>Extensive</w:t>
            </w:r>
          </w:p>
        </w:tc>
      </w:tr>
      <w:tr w:rsidR="003121B6" w14:paraId="3D687B75" w14:textId="77777777" w:rsidTr="00143856">
        <w:trPr>
          <w:trHeight w:val="227"/>
        </w:trPr>
        <w:tc>
          <w:tcPr>
            <w:tcW w:w="4852" w:type="dxa"/>
          </w:tcPr>
          <w:p w14:paraId="104099D4" w14:textId="77777777" w:rsidR="003121B6" w:rsidRDefault="003121B6" w:rsidP="006E080E">
            <w:pPr>
              <w:pStyle w:val="TableParagraph"/>
              <w:spacing w:line="248" w:lineRule="exact"/>
              <w:ind w:left="117"/>
            </w:pPr>
            <w:r>
              <w:t>3.</w:t>
            </w:r>
            <w:r>
              <w:rPr>
                <w:spacing w:val="-1"/>
              </w:rPr>
              <w:t xml:space="preserve"> </w:t>
            </w:r>
            <w:r>
              <w:t>Consistent</w:t>
            </w:r>
            <w:r>
              <w:rPr>
                <w:spacing w:val="-5"/>
              </w:rPr>
              <w:t xml:space="preserve"> </w:t>
            </w:r>
            <w:r>
              <w:t>filing of</w:t>
            </w:r>
            <w:r>
              <w:rPr>
                <w:spacing w:val="-1"/>
              </w:rPr>
              <w:t xml:space="preserve"> </w:t>
            </w:r>
            <w:r>
              <w:t>returns</w:t>
            </w:r>
            <w:r>
              <w:rPr>
                <w:spacing w:val="-6"/>
              </w:rPr>
              <w:t xml:space="preserve"> </w:t>
            </w:r>
            <w:r>
              <w:t>to</w:t>
            </w:r>
            <w:r>
              <w:rPr>
                <w:spacing w:val="-5"/>
              </w:rPr>
              <w:t xml:space="preserve"> </w:t>
            </w:r>
            <w:r>
              <w:t>the</w:t>
            </w:r>
            <w:r>
              <w:rPr>
                <w:spacing w:val="-5"/>
              </w:rPr>
              <w:t xml:space="preserve"> </w:t>
            </w:r>
            <w:r>
              <w:rPr>
                <w:spacing w:val="-2"/>
              </w:rPr>
              <w:t>appropriate</w:t>
            </w:r>
          </w:p>
          <w:p w14:paraId="195A2193" w14:textId="77777777" w:rsidR="003121B6" w:rsidRDefault="003121B6" w:rsidP="006E080E">
            <w:pPr>
              <w:pStyle w:val="TableParagraph"/>
              <w:spacing w:before="5" w:line="233" w:lineRule="exact"/>
              <w:ind w:left="117"/>
            </w:pPr>
            <w:r>
              <w:t>tax</w:t>
            </w:r>
            <w:r>
              <w:rPr>
                <w:spacing w:val="-8"/>
              </w:rPr>
              <w:t xml:space="preserve"> </w:t>
            </w:r>
            <w:r>
              <w:t>authorities</w:t>
            </w:r>
            <w:r>
              <w:rPr>
                <w:spacing w:val="-5"/>
              </w:rPr>
              <w:t xml:space="preserve"> </w:t>
            </w:r>
            <w:r>
              <w:t>without</w:t>
            </w:r>
            <w:r>
              <w:rPr>
                <w:spacing w:val="-7"/>
              </w:rPr>
              <w:t xml:space="preserve"> </w:t>
            </w:r>
            <w:r>
              <w:rPr>
                <w:spacing w:val="-2"/>
              </w:rPr>
              <w:t>audits.</w:t>
            </w:r>
          </w:p>
        </w:tc>
        <w:tc>
          <w:tcPr>
            <w:tcW w:w="848" w:type="dxa"/>
          </w:tcPr>
          <w:p w14:paraId="31C6C9CA" w14:textId="77777777" w:rsidR="003121B6" w:rsidRDefault="003121B6" w:rsidP="006E080E">
            <w:pPr>
              <w:pStyle w:val="TableParagraph"/>
              <w:spacing w:before="128"/>
              <w:ind w:left="42"/>
              <w:jc w:val="center"/>
            </w:pPr>
            <w:r>
              <w:rPr>
                <w:spacing w:val="-4"/>
              </w:rPr>
              <w:t>4.65</w:t>
            </w:r>
          </w:p>
        </w:tc>
        <w:tc>
          <w:tcPr>
            <w:tcW w:w="1218" w:type="dxa"/>
          </w:tcPr>
          <w:p w14:paraId="32380581" w14:textId="77777777" w:rsidR="003121B6" w:rsidRDefault="003121B6" w:rsidP="006E080E">
            <w:pPr>
              <w:pStyle w:val="TableParagraph"/>
              <w:spacing w:before="128"/>
              <w:ind w:left="11"/>
              <w:jc w:val="center"/>
            </w:pPr>
            <w:r>
              <w:rPr>
                <w:spacing w:val="-4"/>
              </w:rPr>
              <w:t>0.75</w:t>
            </w:r>
          </w:p>
        </w:tc>
        <w:tc>
          <w:tcPr>
            <w:tcW w:w="1638" w:type="dxa"/>
          </w:tcPr>
          <w:p w14:paraId="2A37E567" w14:textId="77777777" w:rsidR="003121B6" w:rsidRDefault="003121B6" w:rsidP="006E080E">
            <w:pPr>
              <w:pStyle w:val="TableParagraph"/>
              <w:spacing w:line="248" w:lineRule="exact"/>
              <w:ind w:right="1"/>
              <w:jc w:val="center"/>
            </w:pPr>
            <w:r>
              <w:rPr>
                <w:spacing w:val="-2"/>
              </w:rPr>
              <w:t>Extensive</w:t>
            </w:r>
          </w:p>
        </w:tc>
      </w:tr>
      <w:tr w:rsidR="003121B6" w14:paraId="40643480" w14:textId="77777777" w:rsidTr="00143856">
        <w:trPr>
          <w:trHeight w:val="227"/>
        </w:trPr>
        <w:tc>
          <w:tcPr>
            <w:tcW w:w="4852" w:type="dxa"/>
          </w:tcPr>
          <w:p w14:paraId="6C550594" w14:textId="77777777" w:rsidR="003121B6" w:rsidRDefault="003121B6" w:rsidP="006E080E">
            <w:pPr>
              <w:pStyle w:val="TableParagraph"/>
              <w:spacing w:line="254" w:lineRule="exact"/>
              <w:ind w:left="117" w:right="161"/>
            </w:pPr>
            <w:r>
              <w:t>4.</w:t>
            </w:r>
            <w:r>
              <w:rPr>
                <w:spacing w:val="-4"/>
              </w:rPr>
              <w:t xml:space="preserve"> </w:t>
            </w:r>
            <w:r>
              <w:t>Consistent</w:t>
            </w:r>
            <w:r>
              <w:rPr>
                <w:spacing w:val="-4"/>
              </w:rPr>
              <w:t xml:space="preserve"> </w:t>
            </w:r>
            <w:r>
              <w:t>payment</w:t>
            </w:r>
            <w:r>
              <w:rPr>
                <w:spacing w:val="-7"/>
              </w:rPr>
              <w:t xml:space="preserve"> </w:t>
            </w:r>
            <w:r>
              <w:t>of all</w:t>
            </w:r>
            <w:r>
              <w:rPr>
                <w:spacing w:val="-6"/>
              </w:rPr>
              <w:t xml:space="preserve"> </w:t>
            </w:r>
            <w:r>
              <w:t>taxes</w:t>
            </w:r>
            <w:r>
              <w:rPr>
                <w:spacing w:val="-9"/>
              </w:rPr>
              <w:t xml:space="preserve"> </w:t>
            </w:r>
            <w:r>
              <w:t>(obedience to tax payment).</w:t>
            </w:r>
          </w:p>
        </w:tc>
        <w:tc>
          <w:tcPr>
            <w:tcW w:w="848" w:type="dxa"/>
          </w:tcPr>
          <w:p w14:paraId="14C3E2F3" w14:textId="77777777" w:rsidR="003121B6" w:rsidRDefault="003121B6" w:rsidP="006E080E">
            <w:pPr>
              <w:pStyle w:val="TableParagraph"/>
              <w:spacing w:before="125"/>
              <w:ind w:left="42"/>
              <w:jc w:val="center"/>
            </w:pPr>
            <w:r>
              <w:rPr>
                <w:spacing w:val="-4"/>
              </w:rPr>
              <w:t>5.18</w:t>
            </w:r>
          </w:p>
        </w:tc>
        <w:tc>
          <w:tcPr>
            <w:tcW w:w="1218" w:type="dxa"/>
          </w:tcPr>
          <w:p w14:paraId="39E63236" w14:textId="77777777" w:rsidR="003121B6" w:rsidRDefault="003121B6" w:rsidP="006E080E">
            <w:pPr>
              <w:pStyle w:val="TableParagraph"/>
              <w:spacing w:before="125"/>
              <w:ind w:left="11"/>
              <w:jc w:val="center"/>
            </w:pPr>
            <w:r>
              <w:rPr>
                <w:spacing w:val="-4"/>
              </w:rPr>
              <w:t>4.28</w:t>
            </w:r>
          </w:p>
        </w:tc>
        <w:tc>
          <w:tcPr>
            <w:tcW w:w="1638" w:type="dxa"/>
          </w:tcPr>
          <w:p w14:paraId="4F21025B" w14:textId="77777777" w:rsidR="003121B6" w:rsidRDefault="003121B6" w:rsidP="006E080E">
            <w:pPr>
              <w:pStyle w:val="TableParagraph"/>
              <w:spacing w:before="1"/>
              <w:ind w:right="1"/>
              <w:jc w:val="center"/>
            </w:pPr>
            <w:r>
              <w:rPr>
                <w:spacing w:val="-2"/>
              </w:rPr>
              <w:t>Extensive</w:t>
            </w:r>
          </w:p>
        </w:tc>
      </w:tr>
      <w:tr w:rsidR="003121B6" w14:paraId="4D1D4B44" w14:textId="77777777" w:rsidTr="00143856">
        <w:trPr>
          <w:trHeight w:val="227"/>
        </w:trPr>
        <w:tc>
          <w:tcPr>
            <w:tcW w:w="4852" w:type="dxa"/>
            <w:tcBorders>
              <w:bottom w:val="single" w:sz="4" w:space="0" w:color="000000"/>
            </w:tcBorders>
          </w:tcPr>
          <w:p w14:paraId="5F3EEB5D" w14:textId="77777777" w:rsidR="003121B6" w:rsidRDefault="003121B6" w:rsidP="006E080E">
            <w:pPr>
              <w:pStyle w:val="TableParagraph"/>
              <w:spacing w:line="246" w:lineRule="exact"/>
              <w:ind w:left="117"/>
            </w:pPr>
            <w:r>
              <w:t>5.</w:t>
            </w:r>
            <w:r>
              <w:rPr>
                <w:spacing w:val="-1"/>
              </w:rPr>
              <w:t xml:space="preserve"> </w:t>
            </w:r>
            <w:r>
              <w:t>Knowing</w:t>
            </w:r>
            <w:r>
              <w:rPr>
                <w:spacing w:val="-3"/>
              </w:rPr>
              <w:t xml:space="preserve"> </w:t>
            </w:r>
            <w:r>
              <w:t>that</w:t>
            </w:r>
            <w:r>
              <w:rPr>
                <w:spacing w:val="-4"/>
              </w:rPr>
              <w:t xml:space="preserve"> </w:t>
            </w:r>
            <w:r>
              <w:t>paying</w:t>
            </w:r>
            <w:r>
              <w:rPr>
                <w:spacing w:val="-4"/>
              </w:rPr>
              <w:t xml:space="preserve"> </w:t>
            </w:r>
            <w:r>
              <w:t>taxes</w:t>
            </w:r>
            <w:r>
              <w:rPr>
                <w:spacing w:val="-1"/>
              </w:rPr>
              <w:t xml:space="preserve"> </w:t>
            </w:r>
            <w:r>
              <w:t>is</w:t>
            </w:r>
            <w:r>
              <w:rPr>
                <w:spacing w:val="-6"/>
              </w:rPr>
              <w:t xml:space="preserve"> </w:t>
            </w:r>
            <w:r>
              <w:t>doing</w:t>
            </w:r>
            <w:r>
              <w:rPr>
                <w:spacing w:val="-3"/>
              </w:rPr>
              <w:t xml:space="preserve"> </w:t>
            </w:r>
            <w:r>
              <w:t xml:space="preserve">the </w:t>
            </w:r>
            <w:r>
              <w:rPr>
                <w:spacing w:val="-4"/>
              </w:rPr>
              <w:t>right</w:t>
            </w:r>
          </w:p>
          <w:p w14:paraId="0BD838F6" w14:textId="77777777" w:rsidR="003121B6" w:rsidRDefault="003121B6" w:rsidP="006E080E">
            <w:pPr>
              <w:pStyle w:val="TableParagraph"/>
              <w:spacing w:before="5" w:line="231" w:lineRule="exact"/>
              <w:ind w:left="117"/>
            </w:pPr>
            <w:r>
              <w:rPr>
                <w:spacing w:val="-2"/>
              </w:rPr>
              <w:t>thing.</w:t>
            </w:r>
          </w:p>
        </w:tc>
        <w:tc>
          <w:tcPr>
            <w:tcW w:w="848" w:type="dxa"/>
            <w:tcBorders>
              <w:bottom w:val="single" w:sz="4" w:space="0" w:color="000000"/>
            </w:tcBorders>
          </w:tcPr>
          <w:p w14:paraId="010DF79C" w14:textId="77777777" w:rsidR="003121B6" w:rsidRDefault="003121B6" w:rsidP="006E080E">
            <w:pPr>
              <w:pStyle w:val="TableParagraph"/>
              <w:spacing w:before="126"/>
              <w:ind w:left="42"/>
              <w:jc w:val="center"/>
            </w:pPr>
            <w:r>
              <w:rPr>
                <w:spacing w:val="-4"/>
              </w:rPr>
              <w:t>5.07</w:t>
            </w:r>
          </w:p>
        </w:tc>
        <w:tc>
          <w:tcPr>
            <w:tcW w:w="1218" w:type="dxa"/>
            <w:tcBorders>
              <w:bottom w:val="single" w:sz="4" w:space="0" w:color="000000"/>
            </w:tcBorders>
          </w:tcPr>
          <w:p w14:paraId="0FE0BEAB" w14:textId="77777777" w:rsidR="003121B6" w:rsidRDefault="003121B6" w:rsidP="006E080E">
            <w:pPr>
              <w:pStyle w:val="TableParagraph"/>
              <w:spacing w:before="126"/>
              <w:ind w:left="11"/>
              <w:jc w:val="center"/>
            </w:pPr>
            <w:r>
              <w:rPr>
                <w:spacing w:val="-4"/>
              </w:rPr>
              <w:t>2.59</w:t>
            </w:r>
          </w:p>
        </w:tc>
        <w:tc>
          <w:tcPr>
            <w:tcW w:w="1638" w:type="dxa"/>
            <w:tcBorders>
              <w:bottom w:val="single" w:sz="4" w:space="0" w:color="000000"/>
            </w:tcBorders>
          </w:tcPr>
          <w:p w14:paraId="3BFF52EE" w14:textId="77777777" w:rsidR="003121B6" w:rsidRDefault="003121B6" w:rsidP="006E080E">
            <w:pPr>
              <w:pStyle w:val="TableParagraph"/>
              <w:spacing w:line="246" w:lineRule="exact"/>
              <w:ind w:right="1"/>
              <w:jc w:val="center"/>
            </w:pPr>
            <w:r>
              <w:rPr>
                <w:spacing w:val="-2"/>
              </w:rPr>
              <w:t>Extensive</w:t>
            </w:r>
          </w:p>
        </w:tc>
      </w:tr>
      <w:tr w:rsidR="003121B6" w14:paraId="09C01E07" w14:textId="77777777" w:rsidTr="00143856">
        <w:trPr>
          <w:trHeight w:val="227"/>
        </w:trPr>
        <w:tc>
          <w:tcPr>
            <w:tcW w:w="4852" w:type="dxa"/>
            <w:tcBorders>
              <w:top w:val="single" w:sz="4" w:space="0" w:color="000000"/>
              <w:bottom w:val="single" w:sz="4" w:space="0" w:color="000000"/>
            </w:tcBorders>
          </w:tcPr>
          <w:p w14:paraId="77DD46EB" w14:textId="77777777" w:rsidR="003121B6" w:rsidRDefault="003121B6" w:rsidP="006E080E">
            <w:pPr>
              <w:pStyle w:val="TableParagraph"/>
              <w:spacing w:line="234" w:lineRule="exact"/>
              <w:ind w:left="1193"/>
              <w:rPr>
                <w:rFonts w:ascii="Arial"/>
                <w:b/>
              </w:rPr>
            </w:pPr>
            <w:r>
              <w:rPr>
                <w:rFonts w:ascii="Arial"/>
                <w:b/>
              </w:rPr>
              <w:t>Overall</w:t>
            </w:r>
            <w:r>
              <w:rPr>
                <w:rFonts w:ascii="Arial"/>
                <w:b/>
                <w:spacing w:val="-5"/>
              </w:rPr>
              <w:t xml:space="preserve"> </w:t>
            </w:r>
            <w:r>
              <w:rPr>
                <w:rFonts w:ascii="Arial"/>
                <w:b/>
              </w:rPr>
              <w:t xml:space="preserve">Tax </w:t>
            </w:r>
            <w:r>
              <w:rPr>
                <w:rFonts w:ascii="Arial"/>
                <w:b/>
                <w:spacing w:val="-2"/>
              </w:rPr>
              <w:t>Compliance</w:t>
            </w:r>
          </w:p>
        </w:tc>
        <w:tc>
          <w:tcPr>
            <w:tcW w:w="848" w:type="dxa"/>
            <w:tcBorders>
              <w:top w:val="single" w:sz="4" w:space="0" w:color="000000"/>
              <w:bottom w:val="single" w:sz="4" w:space="0" w:color="000000"/>
            </w:tcBorders>
          </w:tcPr>
          <w:p w14:paraId="7EF68FB1" w14:textId="77777777" w:rsidR="003121B6" w:rsidRDefault="003121B6" w:rsidP="006E080E">
            <w:pPr>
              <w:pStyle w:val="TableParagraph"/>
              <w:spacing w:before="3" w:line="231" w:lineRule="exact"/>
              <w:ind w:left="42"/>
              <w:jc w:val="center"/>
            </w:pPr>
            <w:r>
              <w:rPr>
                <w:spacing w:val="-4"/>
              </w:rPr>
              <w:t>4.84</w:t>
            </w:r>
          </w:p>
        </w:tc>
        <w:tc>
          <w:tcPr>
            <w:tcW w:w="1218" w:type="dxa"/>
            <w:tcBorders>
              <w:top w:val="single" w:sz="4" w:space="0" w:color="000000"/>
              <w:bottom w:val="single" w:sz="4" w:space="0" w:color="000000"/>
            </w:tcBorders>
          </w:tcPr>
          <w:p w14:paraId="53F36FE9" w14:textId="77777777" w:rsidR="003121B6" w:rsidRDefault="003121B6" w:rsidP="006E080E">
            <w:pPr>
              <w:pStyle w:val="TableParagraph"/>
              <w:spacing w:before="3" w:line="231" w:lineRule="exact"/>
              <w:ind w:left="11"/>
              <w:jc w:val="center"/>
            </w:pPr>
            <w:r>
              <w:rPr>
                <w:spacing w:val="-4"/>
              </w:rPr>
              <w:t>1.08</w:t>
            </w:r>
          </w:p>
        </w:tc>
        <w:tc>
          <w:tcPr>
            <w:tcW w:w="1638" w:type="dxa"/>
            <w:tcBorders>
              <w:top w:val="single" w:sz="4" w:space="0" w:color="000000"/>
              <w:bottom w:val="single" w:sz="4" w:space="0" w:color="000000"/>
            </w:tcBorders>
          </w:tcPr>
          <w:p w14:paraId="3D192C2A" w14:textId="77777777" w:rsidR="003121B6" w:rsidRDefault="003121B6" w:rsidP="006E080E">
            <w:pPr>
              <w:pStyle w:val="TableParagraph"/>
              <w:spacing w:before="3" w:line="231" w:lineRule="exact"/>
              <w:ind w:right="1"/>
              <w:jc w:val="center"/>
            </w:pPr>
            <w:r>
              <w:rPr>
                <w:spacing w:val="-2"/>
              </w:rPr>
              <w:t>Extensive</w:t>
            </w:r>
          </w:p>
        </w:tc>
      </w:tr>
    </w:tbl>
    <w:p w14:paraId="12E5EC14" w14:textId="77777777" w:rsidR="00E349C1" w:rsidRDefault="00E349C1" w:rsidP="00441B6F">
      <w:pPr>
        <w:pStyle w:val="Body"/>
        <w:spacing w:after="0"/>
        <w:rPr>
          <w:rFonts w:ascii="Arial" w:hAnsi="Arial" w:cs="Arial"/>
        </w:rPr>
      </w:pPr>
    </w:p>
    <w:p w14:paraId="42430DBB" w14:textId="41581721" w:rsidR="009A0AF4" w:rsidRPr="009A0AF4" w:rsidRDefault="009A0AF4" w:rsidP="009A0AF4">
      <w:pPr>
        <w:pStyle w:val="Body"/>
        <w:spacing w:after="0" w:line="480" w:lineRule="auto"/>
        <w:rPr>
          <w:rFonts w:ascii="Arial" w:hAnsi="Arial" w:cs="Arial"/>
          <w:lang w:val="en-PH"/>
        </w:rPr>
      </w:pPr>
      <w:r w:rsidRPr="009A0AF4">
        <w:rPr>
          <w:rFonts w:ascii="Arial" w:hAnsi="Arial" w:cs="Arial"/>
          <w:lang w:val="en-PH"/>
        </w:rPr>
        <w:t xml:space="preserve">Table </w:t>
      </w:r>
      <w:r>
        <w:rPr>
          <w:rFonts w:ascii="Arial" w:hAnsi="Arial" w:cs="Arial"/>
          <w:lang w:val="en-PH"/>
        </w:rPr>
        <w:t>6</w:t>
      </w:r>
      <w:r w:rsidRPr="009A0AF4">
        <w:rPr>
          <w:rFonts w:ascii="Arial" w:hAnsi="Arial" w:cs="Arial"/>
          <w:lang w:val="en-PH"/>
        </w:rPr>
        <w:t xml:space="preserve"> shows that tax compliance among business owners in </w:t>
      </w:r>
      <w:proofErr w:type="spellStart"/>
      <w:r w:rsidRPr="009A0AF4">
        <w:rPr>
          <w:rFonts w:ascii="Arial" w:hAnsi="Arial" w:cs="Arial"/>
          <w:lang w:val="en-PH"/>
        </w:rPr>
        <w:t>Cateel</w:t>
      </w:r>
      <w:proofErr w:type="spellEnd"/>
      <w:r w:rsidRPr="009A0AF4">
        <w:rPr>
          <w:rFonts w:ascii="Arial" w:hAnsi="Arial" w:cs="Arial"/>
          <w:lang w:val="en-PH"/>
        </w:rPr>
        <w:t xml:space="preserve"> is consistently extensive (x̄ = 4.84, s = 1.08), reflecting strong voluntary compliance, ethical responsibility, and adherence to tax regulations. The highest-rated item</w:t>
      </w:r>
      <w:proofErr w:type="gramStart"/>
      <w:r w:rsidRPr="009A0AF4">
        <w:rPr>
          <w:rFonts w:ascii="Arial" w:hAnsi="Arial" w:cs="Arial"/>
          <w:lang w:val="en-PH"/>
        </w:rPr>
        <w:t>—“</w:t>
      </w:r>
      <w:proofErr w:type="gramEnd"/>
      <w:r w:rsidRPr="009A0AF4">
        <w:rPr>
          <w:rFonts w:ascii="Arial" w:hAnsi="Arial" w:cs="Arial"/>
          <w:lang w:val="en-PH"/>
        </w:rPr>
        <w:t>Knowing that paying taxes is doing the right thing” (x̄ = 5.07)—emphasizes the moral dimension of compliance, while even the lowest-rated item (x̄ = 4.53) still indicates a high level of cooperation. Interpreted through the Theory of Planned Behavior (</w:t>
      </w:r>
      <w:proofErr w:type="spellStart"/>
      <w:r w:rsidRPr="009A0AF4">
        <w:rPr>
          <w:rFonts w:ascii="Arial" w:hAnsi="Arial" w:cs="Arial"/>
          <w:lang w:val="en-PH"/>
        </w:rPr>
        <w:t>Yucedogru</w:t>
      </w:r>
      <w:proofErr w:type="spellEnd"/>
      <w:r w:rsidRPr="009A0AF4">
        <w:rPr>
          <w:rFonts w:ascii="Arial" w:hAnsi="Arial" w:cs="Arial"/>
          <w:lang w:val="en-PH"/>
        </w:rPr>
        <w:t xml:space="preserve"> &amp; </w:t>
      </w:r>
      <w:proofErr w:type="spellStart"/>
      <w:r w:rsidRPr="009A0AF4">
        <w:rPr>
          <w:rFonts w:ascii="Arial" w:hAnsi="Arial" w:cs="Arial"/>
          <w:lang w:val="en-PH"/>
        </w:rPr>
        <w:t>Gerçek</w:t>
      </w:r>
      <w:proofErr w:type="spellEnd"/>
      <w:r w:rsidRPr="009A0AF4">
        <w:rPr>
          <w:rFonts w:ascii="Arial" w:hAnsi="Arial" w:cs="Arial"/>
          <w:lang w:val="en-PH"/>
        </w:rPr>
        <w:t xml:space="preserve">, 2021), these results suggest that business owners are influenced by favorable attitudes, strong normative pressure, and high perceived control. </w:t>
      </w:r>
      <w:proofErr w:type="spellStart"/>
      <w:r w:rsidRPr="009A0AF4">
        <w:rPr>
          <w:rFonts w:ascii="Arial" w:hAnsi="Arial" w:cs="Arial"/>
          <w:lang w:val="en-PH"/>
        </w:rPr>
        <w:t>Bobek</w:t>
      </w:r>
      <w:proofErr w:type="spellEnd"/>
      <w:r w:rsidRPr="009A0AF4">
        <w:rPr>
          <w:rFonts w:ascii="Arial" w:hAnsi="Arial" w:cs="Arial"/>
          <w:lang w:val="en-PH"/>
        </w:rPr>
        <w:t xml:space="preserve"> et al. (2018), who found that ethical values and perceived behavioral control significantly shape tax compliance behavior.</w:t>
      </w:r>
    </w:p>
    <w:p w14:paraId="5E19178B" w14:textId="00672789" w:rsidR="009A0AF4" w:rsidRPr="009A0AF4" w:rsidRDefault="009A0AF4" w:rsidP="009A0AF4">
      <w:pPr>
        <w:pStyle w:val="Heading2"/>
        <w:spacing w:line="477" w:lineRule="auto"/>
        <w:ind w:right="1075"/>
        <w:jc w:val="both"/>
        <w:rPr>
          <w:rFonts w:ascii="Arial" w:hAnsi="Arial" w:cs="Arial"/>
          <w:b/>
          <w:bCs/>
          <w:color w:val="auto"/>
          <w:sz w:val="22"/>
          <w:szCs w:val="22"/>
        </w:rPr>
      </w:pPr>
      <w:r w:rsidRPr="009A0AF4">
        <w:rPr>
          <w:rFonts w:ascii="Arial" w:hAnsi="Arial" w:cs="Arial"/>
          <w:b/>
          <w:bCs/>
          <w:color w:val="auto"/>
          <w:sz w:val="22"/>
          <w:szCs w:val="22"/>
        </w:rPr>
        <w:t>Significant</w:t>
      </w:r>
      <w:r w:rsidRPr="009A0AF4">
        <w:rPr>
          <w:rFonts w:ascii="Arial" w:hAnsi="Arial" w:cs="Arial"/>
          <w:b/>
          <w:bCs/>
          <w:color w:val="auto"/>
          <w:spacing w:val="-5"/>
          <w:sz w:val="22"/>
          <w:szCs w:val="22"/>
        </w:rPr>
        <w:t xml:space="preserve"> </w:t>
      </w:r>
      <w:r w:rsidRPr="009A0AF4">
        <w:rPr>
          <w:rFonts w:ascii="Arial" w:hAnsi="Arial" w:cs="Arial"/>
          <w:b/>
          <w:bCs/>
          <w:color w:val="auto"/>
          <w:sz w:val="22"/>
          <w:szCs w:val="22"/>
        </w:rPr>
        <w:t>Relationship</w:t>
      </w:r>
      <w:r w:rsidRPr="009A0AF4">
        <w:rPr>
          <w:rFonts w:ascii="Arial" w:hAnsi="Arial" w:cs="Arial"/>
          <w:b/>
          <w:bCs/>
          <w:color w:val="auto"/>
          <w:spacing w:val="-4"/>
          <w:sz w:val="22"/>
          <w:szCs w:val="22"/>
        </w:rPr>
        <w:t xml:space="preserve"> </w:t>
      </w:r>
      <w:r w:rsidRPr="009A0AF4">
        <w:rPr>
          <w:rFonts w:ascii="Arial" w:hAnsi="Arial" w:cs="Arial"/>
          <w:b/>
          <w:bCs/>
          <w:color w:val="auto"/>
          <w:sz w:val="22"/>
          <w:szCs w:val="22"/>
        </w:rPr>
        <w:t>Between the</w:t>
      </w:r>
      <w:r w:rsidRPr="009A0AF4">
        <w:rPr>
          <w:rFonts w:ascii="Arial" w:hAnsi="Arial" w:cs="Arial"/>
          <w:b/>
          <w:bCs/>
          <w:color w:val="auto"/>
          <w:spacing w:val="-2"/>
          <w:sz w:val="22"/>
          <w:szCs w:val="22"/>
        </w:rPr>
        <w:t xml:space="preserve"> </w:t>
      </w:r>
      <w:r w:rsidRPr="009A0AF4">
        <w:rPr>
          <w:rFonts w:ascii="Arial" w:hAnsi="Arial" w:cs="Arial"/>
          <w:b/>
          <w:bCs/>
          <w:color w:val="auto"/>
          <w:sz w:val="22"/>
          <w:szCs w:val="22"/>
        </w:rPr>
        <w:t>Level</w:t>
      </w:r>
      <w:r w:rsidRPr="009A0AF4">
        <w:rPr>
          <w:rFonts w:ascii="Arial" w:hAnsi="Arial" w:cs="Arial"/>
          <w:b/>
          <w:bCs/>
          <w:color w:val="auto"/>
          <w:spacing w:val="-7"/>
          <w:sz w:val="22"/>
          <w:szCs w:val="22"/>
        </w:rPr>
        <w:t xml:space="preserve"> </w:t>
      </w:r>
      <w:r w:rsidRPr="009A0AF4">
        <w:rPr>
          <w:rFonts w:ascii="Arial" w:hAnsi="Arial" w:cs="Arial"/>
          <w:b/>
          <w:bCs/>
          <w:color w:val="auto"/>
          <w:sz w:val="22"/>
          <w:szCs w:val="22"/>
        </w:rPr>
        <w:t>of</w:t>
      </w:r>
      <w:r w:rsidRPr="009A0AF4">
        <w:rPr>
          <w:rFonts w:ascii="Arial" w:hAnsi="Arial" w:cs="Arial"/>
          <w:b/>
          <w:bCs/>
          <w:color w:val="auto"/>
          <w:spacing w:val="-9"/>
          <w:sz w:val="22"/>
          <w:szCs w:val="22"/>
        </w:rPr>
        <w:t xml:space="preserve"> </w:t>
      </w:r>
      <w:r w:rsidRPr="009A0AF4">
        <w:rPr>
          <w:rFonts w:ascii="Arial" w:hAnsi="Arial" w:cs="Arial"/>
          <w:b/>
          <w:bCs/>
          <w:color w:val="auto"/>
          <w:sz w:val="22"/>
          <w:szCs w:val="22"/>
        </w:rPr>
        <w:t>Tax</w:t>
      </w:r>
      <w:r w:rsidRPr="009A0AF4">
        <w:rPr>
          <w:rFonts w:ascii="Arial" w:hAnsi="Arial" w:cs="Arial"/>
          <w:b/>
          <w:bCs/>
          <w:color w:val="auto"/>
          <w:spacing w:val="-2"/>
          <w:sz w:val="22"/>
          <w:szCs w:val="22"/>
        </w:rPr>
        <w:t xml:space="preserve"> </w:t>
      </w:r>
      <w:r w:rsidRPr="009A0AF4">
        <w:rPr>
          <w:rFonts w:ascii="Arial" w:hAnsi="Arial" w:cs="Arial"/>
          <w:b/>
          <w:bCs/>
          <w:color w:val="auto"/>
          <w:sz w:val="22"/>
          <w:szCs w:val="22"/>
        </w:rPr>
        <w:t>Knowledge</w:t>
      </w:r>
      <w:r w:rsidRPr="009A0AF4">
        <w:rPr>
          <w:rFonts w:ascii="Arial" w:hAnsi="Arial" w:cs="Arial"/>
          <w:b/>
          <w:bCs/>
          <w:color w:val="auto"/>
          <w:spacing w:val="-6"/>
          <w:sz w:val="22"/>
          <w:szCs w:val="22"/>
        </w:rPr>
        <w:t xml:space="preserve"> </w:t>
      </w:r>
      <w:r w:rsidRPr="009A0AF4">
        <w:rPr>
          <w:rFonts w:ascii="Arial" w:hAnsi="Arial" w:cs="Arial"/>
          <w:b/>
          <w:bCs/>
          <w:color w:val="auto"/>
          <w:sz w:val="22"/>
          <w:szCs w:val="22"/>
        </w:rPr>
        <w:t>and</w:t>
      </w:r>
      <w:r>
        <w:rPr>
          <w:rFonts w:ascii="Arial" w:hAnsi="Arial" w:cs="Arial"/>
          <w:b/>
          <w:bCs/>
          <w:color w:val="auto"/>
          <w:sz w:val="22"/>
          <w:szCs w:val="22"/>
        </w:rPr>
        <w:t xml:space="preserve"> t</w:t>
      </w:r>
      <w:r w:rsidRPr="009A0AF4">
        <w:rPr>
          <w:rFonts w:ascii="Arial" w:hAnsi="Arial" w:cs="Arial"/>
          <w:b/>
          <w:bCs/>
          <w:color w:val="auto"/>
          <w:sz w:val="22"/>
          <w:szCs w:val="22"/>
        </w:rPr>
        <w:t>he Degree of Tax Compliance</w:t>
      </w:r>
    </w:p>
    <w:p w14:paraId="047A829D" w14:textId="729B152B" w:rsidR="00E349C1" w:rsidRPr="003121B6" w:rsidRDefault="003121B6" w:rsidP="003121B6">
      <w:pPr>
        <w:pStyle w:val="BodyText"/>
        <w:spacing w:before="156"/>
        <w:jc w:val="both"/>
      </w:pPr>
      <w:r>
        <w:t>Table</w:t>
      </w:r>
      <w:r>
        <w:rPr>
          <w:spacing w:val="-4"/>
        </w:rPr>
        <w:t xml:space="preserve"> </w:t>
      </w:r>
      <w:r>
        <w:t>7.</w:t>
      </w:r>
      <w:r>
        <w:rPr>
          <w:spacing w:val="-3"/>
        </w:rPr>
        <w:t xml:space="preserve"> </w:t>
      </w:r>
      <w:r>
        <w:t>Level</w:t>
      </w:r>
      <w:r>
        <w:rPr>
          <w:spacing w:val="-3"/>
        </w:rPr>
        <w:t xml:space="preserve"> </w:t>
      </w:r>
      <w:r>
        <w:t>of Tax</w:t>
      </w:r>
      <w:r>
        <w:rPr>
          <w:spacing w:val="-1"/>
        </w:rPr>
        <w:t xml:space="preserve"> </w:t>
      </w:r>
      <w:r>
        <w:t>Knowledge</w:t>
      </w:r>
      <w:r>
        <w:rPr>
          <w:spacing w:val="-4"/>
        </w:rPr>
        <w:t xml:space="preserve"> </w:t>
      </w:r>
      <w:r>
        <w:t>and</w:t>
      </w:r>
      <w:r>
        <w:rPr>
          <w:spacing w:val="1"/>
        </w:rPr>
        <w:t xml:space="preserve"> </w:t>
      </w:r>
      <w:r>
        <w:t>the</w:t>
      </w:r>
      <w:r>
        <w:rPr>
          <w:spacing w:val="-4"/>
        </w:rPr>
        <w:t xml:space="preserve"> </w:t>
      </w:r>
      <w:r>
        <w:t>Degree</w:t>
      </w:r>
      <w:r>
        <w:rPr>
          <w:spacing w:val="-4"/>
        </w:rPr>
        <w:t xml:space="preserve"> </w:t>
      </w:r>
      <w:r>
        <w:t>of</w:t>
      </w:r>
      <w:r>
        <w:rPr>
          <w:spacing w:val="4"/>
        </w:rPr>
        <w:t xml:space="preserve"> </w:t>
      </w:r>
      <w:r>
        <w:t>Tax</w:t>
      </w:r>
      <w:r>
        <w:rPr>
          <w:spacing w:val="-1"/>
        </w:rPr>
        <w:t xml:space="preserve"> </w:t>
      </w:r>
      <w:r>
        <w:rPr>
          <w:spacing w:val="-2"/>
        </w:rPr>
        <w:t>Compliance</w:t>
      </w:r>
    </w:p>
    <w:tbl>
      <w:tblPr>
        <w:tblpPr w:leftFromText="180" w:rightFromText="180" w:vertAnchor="text" w:horzAnchor="margin" w:tblpY="112"/>
        <w:tblW w:w="8514" w:type="dxa"/>
        <w:tblLayout w:type="fixed"/>
        <w:tblCellMar>
          <w:left w:w="0" w:type="dxa"/>
          <w:right w:w="0" w:type="dxa"/>
        </w:tblCellMar>
        <w:tblLook w:val="01E0" w:firstRow="1" w:lastRow="1" w:firstColumn="1" w:lastColumn="1" w:noHBand="0" w:noVBand="0"/>
      </w:tblPr>
      <w:tblGrid>
        <w:gridCol w:w="2089"/>
        <w:gridCol w:w="2473"/>
        <w:gridCol w:w="1559"/>
        <w:gridCol w:w="2393"/>
      </w:tblGrid>
      <w:tr w:rsidR="003121B6" w14:paraId="4E8CBBD5" w14:textId="77777777" w:rsidTr="00143856">
        <w:trPr>
          <w:trHeight w:val="170"/>
        </w:trPr>
        <w:tc>
          <w:tcPr>
            <w:tcW w:w="4562" w:type="dxa"/>
            <w:gridSpan w:val="2"/>
            <w:tcBorders>
              <w:top w:val="single" w:sz="4" w:space="0" w:color="000000"/>
              <w:bottom w:val="single" w:sz="4" w:space="0" w:color="000000"/>
            </w:tcBorders>
          </w:tcPr>
          <w:p w14:paraId="674C5D1F" w14:textId="77777777" w:rsidR="003121B6" w:rsidRDefault="003121B6" w:rsidP="003121B6">
            <w:pPr>
              <w:pStyle w:val="TableParagraph"/>
              <w:spacing w:before="120"/>
              <w:ind w:left="1152"/>
              <w:rPr>
                <w:rFonts w:ascii="Arial"/>
                <w:b/>
              </w:rPr>
            </w:pPr>
            <w:r>
              <w:rPr>
                <w:rFonts w:ascii="Arial"/>
                <w:b/>
              </w:rPr>
              <w:t>Independent</w:t>
            </w:r>
            <w:r>
              <w:rPr>
                <w:rFonts w:ascii="Arial"/>
                <w:b/>
                <w:spacing w:val="-6"/>
              </w:rPr>
              <w:t xml:space="preserve"> </w:t>
            </w:r>
            <w:r>
              <w:rPr>
                <w:rFonts w:ascii="Arial"/>
                <w:b/>
                <w:spacing w:val="-2"/>
              </w:rPr>
              <w:t>Variables</w:t>
            </w:r>
          </w:p>
        </w:tc>
        <w:tc>
          <w:tcPr>
            <w:tcW w:w="1559" w:type="dxa"/>
            <w:tcBorders>
              <w:top w:val="single" w:sz="4" w:space="0" w:color="000000"/>
              <w:bottom w:val="single" w:sz="4" w:space="0" w:color="000000"/>
            </w:tcBorders>
          </w:tcPr>
          <w:p w14:paraId="779D6A0A" w14:textId="77777777" w:rsidR="003121B6" w:rsidRDefault="003121B6" w:rsidP="003121B6">
            <w:pPr>
              <w:pStyle w:val="TableParagraph"/>
              <w:spacing w:line="250" w:lineRule="exact"/>
              <w:ind w:left="205" w:firstLine="432"/>
              <w:rPr>
                <w:rFonts w:ascii="Arial"/>
                <w:b/>
              </w:rPr>
            </w:pPr>
            <w:r>
              <w:rPr>
                <w:rFonts w:ascii="Arial"/>
                <w:b/>
                <w:spacing w:val="-4"/>
              </w:rPr>
              <w:t xml:space="preserve">Tax </w:t>
            </w:r>
            <w:r>
              <w:rPr>
                <w:rFonts w:ascii="Arial"/>
                <w:b/>
                <w:spacing w:val="-2"/>
              </w:rPr>
              <w:t>Compliance</w:t>
            </w:r>
          </w:p>
        </w:tc>
        <w:tc>
          <w:tcPr>
            <w:tcW w:w="2393" w:type="dxa"/>
            <w:tcBorders>
              <w:top w:val="single" w:sz="4" w:space="0" w:color="000000"/>
              <w:bottom w:val="single" w:sz="4" w:space="0" w:color="000000"/>
            </w:tcBorders>
          </w:tcPr>
          <w:p w14:paraId="6CFA0488" w14:textId="77777777" w:rsidR="003121B6" w:rsidRDefault="003121B6" w:rsidP="003121B6">
            <w:pPr>
              <w:pStyle w:val="TableParagraph"/>
              <w:spacing w:before="120"/>
              <w:ind w:left="486"/>
              <w:rPr>
                <w:rFonts w:ascii="Arial"/>
                <w:b/>
              </w:rPr>
            </w:pPr>
            <w:r>
              <w:rPr>
                <w:rFonts w:ascii="Arial"/>
                <w:b/>
                <w:spacing w:val="-2"/>
              </w:rPr>
              <w:t>Interpretation</w:t>
            </w:r>
          </w:p>
        </w:tc>
      </w:tr>
      <w:tr w:rsidR="003121B6" w14:paraId="0BDB35FC" w14:textId="77777777" w:rsidTr="00143856">
        <w:trPr>
          <w:trHeight w:val="170"/>
        </w:trPr>
        <w:tc>
          <w:tcPr>
            <w:tcW w:w="2089" w:type="dxa"/>
            <w:vMerge w:val="restart"/>
            <w:tcBorders>
              <w:top w:val="single" w:sz="4" w:space="0" w:color="000000"/>
            </w:tcBorders>
          </w:tcPr>
          <w:p w14:paraId="080EBFE9" w14:textId="77777777" w:rsidR="003121B6" w:rsidRDefault="003121B6" w:rsidP="003121B6">
            <w:pPr>
              <w:pStyle w:val="TableParagraph"/>
              <w:spacing w:line="254" w:lineRule="exact"/>
              <w:ind w:left="105" w:right="452"/>
            </w:pPr>
            <w:r>
              <w:t xml:space="preserve">Tax Rights and </w:t>
            </w:r>
            <w:r>
              <w:rPr>
                <w:spacing w:val="-2"/>
              </w:rPr>
              <w:t>Responsibilities</w:t>
            </w:r>
          </w:p>
        </w:tc>
        <w:tc>
          <w:tcPr>
            <w:tcW w:w="2473" w:type="dxa"/>
            <w:tcBorders>
              <w:top w:val="single" w:sz="4" w:space="0" w:color="000000"/>
            </w:tcBorders>
          </w:tcPr>
          <w:p w14:paraId="38E505D7" w14:textId="77777777" w:rsidR="003121B6" w:rsidRDefault="003121B6" w:rsidP="003121B6">
            <w:pPr>
              <w:pStyle w:val="TableParagraph"/>
              <w:spacing w:before="3"/>
              <w:ind w:left="101"/>
              <w:jc w:val="center"/>
            </w:pPr>
            <w:r>
              <w:t>Pearson</w:t>
            </w:r>
            <w:r>
              <w:rPr>
                <w:spacing w:val="-1"/>
              </w:rPr>
              <w:t xml:space="preserve"> </w:t>
            </w:r>
            <w:r>
              <w:rPr>
                <w:spacing w:val="-2"/>
              </w:rPr>
              <w:t>Correlation</w:t>
            </w:r>
          </w:p>
        </w:tc>
        <w:tc>
          <w:tcPr>
            <w:tcW w:w="1559" w:type="dxa"/>
            <w:tcBorders>
              <w:top w:val="single" w:sz="4" w:space="0" w:color="000000"/>
            </w:tcBorders>
          </w:tcPr>
          <w:p w14:paraId="451DEBC9" w14:textId="77777777" w:rsidR="003121B6" w:rsidRDefault="003121B6" w:rsidP="003121B6">
            <w:pPr>
              <w:pStyle w:val="TableParagraph"/>
              <w:spacing w:before="94"/>
              <w:ind w:right="513"/>
              <w:jc w:val="right"/>
            </w:pPr>
            <w:r>
              <w:rPr>
                <w:spacing w:val="-4"/>
              </w:rPr>
              <w:t>0.15</w:t>
            </w:r>
          </w:p>
        </w:tc>
        <w:tc>
          <w:tcPr>
            <w:tcW w:w="2393" w:type="dxa"/>
            <w:vMerge w:val="restart"/>
            <w:tcBorders>
              <w:top w:val="single" w:sz="4" w:space="0" w:color="000000"/>
            </w:tcBorders>
          </w:tcPr>
          <w:p w14:paraId="27EB6054" w14:textId="77777777" w:rsidR="003121B6" w:rsidRDefault="003121B6" w:rsidP="003121B6">
            <w:pPr>
              <w:pStyle w:val="TableParagraph"/>
              <w:spacing w:before="186" w:line="244" w:lineRule="auto"/>
              <w:ind w:left="107"/>
            </w:pPr>
            <w:r>
              <w:t>Weak</w:t>
            </w:r>
            <w:r>
              <w:rPr>
                <w:spacing w:val="-15"/>
              </w:rPr>
              <w:t xml:space="preserve"> </w:t>
            </w:r>
            <w:r>
              <w:t>but</w:t>
            </w:r>
            <w:r>
              <w:rPr>
                <w:spacing w:val="-15"/>
              </w:rPr>
              <w:t xml:space="preserve"> </w:t>
            </w:r>
            <w:r>
              <w:t xml:space="preserve">significant </w:t>
            </w:r>
            <w:r>
              <w:rPr>
                <w:spacing w:val="-2"/>
              </w:rPr>
              <w:t>relationship</w:t>
            </w:r>
          </w:p>
        </w:tc>
      </w:tr>
      <w:tr w:rsidR="003121B6" w14:paraId="00EC9814" w14:textId="77777777" w:rsidTr="00143856">
        <w:trPr>
          <w:trHeight w:val="170"/>
        </w:trPr>
        <w:tc>
          <w:tcPr>
            <w:tcW w:w="2089" w:type="dxa"/>
            <w:vMerge/>
            <w:tcBorders>
              <w:top w:val="nil"/>
            </w:tcBorders>
          </w:tcPr>
          <w:p w14:paraId="73B2B240" w14:textId="77777777" w:rsidR="003121B6" w:rsidRDefault="003121B6" w:rsidP="003121B6">
            <w:pPr>
              <w:rPr>
                <w:sz w:val="2"/>
                <w:szCs w:val="2"/>
              </w:rPr>
            </w:pPr>
          </w:p>
        </w:tc>
        <w:tc>
          <w:tcPr>
            <w:tcW w:w="2473" w:type="dxa"/>
            <w:vMerge w:val="restart"/>
          </w:tcPr>
          <w:p w14:paraId="296D39D0" w14:textId="77777777" w:rsidR="003121B6" w:rsidRDefault="003121B6" w:rsidP="003121B6">
            <w:pPr>
              <w:pStyle w:val="TableParagraph"/>
              <w:spacing w:before="49"/>
              <w:ind w:left="307"/>
            </w:pPr>
            <w:r>
              <w:t>Sig.</w:t>
            </w:r>
            <w:r>
              <w:rPr>
                <w:spacing w:val="-5"/>
              </w:rPr>
              <w:t xml:space="preserve"> </w:t>
            </w:r>
            <w:r>
              <w:t>(2-</w:t>
            </w:r>
            <w:r>
              <w:rPr>
                <w:spacing w:val="-2"/>
              </w:rPr>
              <w:t>tailed)</w:t>
            </w:r>
          </w:p>
        </w:tc>
        <w:tc>
          <w:tcPr>
            <w:tcW w:w="1559" w:type="dxa"/>
          </w:tcPr>
          <w:p w14:paraId="5E4F9E14" w14:textId="77777777" w:rsidR="003121B6" w:rsidRDefault="003121B6" w:rsidP="003121B6">
            <w:pPr>
              <w:pStyle w:val="TableParagraph"/>
              <w:rPr>
                <w:rFonts w:ascii="Times New Roman"/>
                <w:sz w:val="6"/>
              </w:rPr>
            </w:pPr>
          </w:p>
        </w:tc>
        <w:tc>
          <w:tcPr>
            <w:tcW w:w="2393" w:type="dxa"/>
            <w:vMerge/>
            <w:tcBorders>
              <w:top w:val="nil"/>
            </w:tcBorders>
          </w:tcPr>
          <w:p w14:paraId="2F7043FA" w14:textId="77777777" w:rsidR="003121B6" w:rsidRDefault="003121B6" w:rsidP="003121B6">
            <w:pPr>
              <w:rPr>
                <w:sz w:val="2"/>
                <w:szCs w:val="2"/>
              </w:rPr>
            </w:pPr>
          </w:p>
        </w:tc>
      </w:tr>
      <w:tr w:rsidR="003121B6" w14:paraId="2D936A24" w14:textId="77777777" w:rsidTr="00143856">
        <w:trPr>
          <w:trHeight w:val="170"/>
        </w:trPr>
        <w:tc>
          <w:tcPr>
            <w:tcW w:w="2089" w:type="dxa"/>
          </w:tcPr>
          <w:p w14:paraId="0F92EAF8" w14:textId="77777777" w:rsidR="003121B6" w:rsidRDefault="003121B6" w:rsidP="003121B6">
            <w:pPr>
              <w:pStyle w:val="TableParagraph"/>
              <w:rPr>
                <w:rFonts w:ascii="Times New Roman"/>
              </w:rPr>
            </w:pPr>
          </w:p>
        </w:tc>
        <w:tc>
          <w:tcPr>
            <w:tcW w:w="2473" w:type="dxa"/>
            <w:vMerge/>
            <w:tcBorders>
              <w:top w:val="nil"/>
            </w:tcBorders>
          </w:tcPr>
          <w:p w14:paraId="124CEC50" w14:textId="77777777" w:rsidR="003121B6" w:rsidRDefault="003121B6" w:rsidP="003121B6">
            <w:pPr>
              <w:rPr>
                <w:sz w:val="2"/>
                <w:szCs w:val="2"/>
              </w:rPr>
            </w:pPr>
          </w:p>
        </w:tc>
        <w:tc>
          <w:tcPr>
            <w:tcW w:w="1559" w:type="dxa"/>
          </w:tcPr>
          <w:p w14:paraId="2C126B3B" w14:textId="77777777" w:rsidR="003121B6" w:rsidRDefault="003121B6" w:rsidP="003121B6">
            <w:pPr>
              <w:pStyle w:val="TableParagraph"/>
              <w:spacing w:before="13"/>
              <w:ind w:right="513"/>
              <w:jc w:val="right"/>
            </w:pPr>
            <w:r>
              <w:rPr>
                <w:spacing w:val="-4"/>
              </w:rPr>
              <w:t>0.08</w:t>
            </w:r>
          </w:p>
        </w:tc>
        <w:tc>
          <w:tcPr>
            <w:tcW w:w="2393" w:type="dxa"/>
            <w:vMerge/>
            <w:tcBorders>
              <w:top w:val="nil"/>
            </w:tcBorders>
          </w:tcPr>
          <w:p w14:paraId="59A86E11" w14:textId="77777777" w:rsidR="003121B6" w:rsidRDefault="003121B6" w:rsidP="003121B6">
            <w:pPr>
              <w:rPr>
                <w:sz w:val="2"/>
                <w:szCs w:val="2"/>
              </w:rPr>
            </w:pPr>
          </w:p>
        </w:tc>
      </w:tr>
      <w:tr w:rsidR="003121B6" w14:paraId="210EECE4" w14:textId="77777777" w:rsidTr="00143856">
        <w:trPr>
          <w:trHeight w:val="170"/>
        </w:trPr>
        <w:tc>
          <w:tcPr>
            <w:tcW w:w="2089" w:type="dxa"/>
            <w:vMerge w:val="restart"/>
          </w:tcPr>
          <w:p w14:paraId="0B5BAEB7" w14:textId="77777777" w:rsidR="003121B6" w:rsidRDefault="003121B6" w:rsidP="003121B6">
            <w:pPr>
              <w:pStyle w:val="TableParagraph"/>
              <w:spacing w:before="39" w:line="250" w:lineRule="atLeast"/>
              <w:ind w:left="105"/>
            </w:pPr>
            <w:r>
              <w:t>Knowledge of Business</w:t>
            </w:r>
            <w:r>
              <w:rPr>
                <w:spacing w:val="-15"/>
              </w:rPr>
              <w:t xml:space="preserve"> </w:t>
            </w:r>
            <w:r>
              <w:t>Income</w:t>
            </w:r>
          </w:p>
        </w:tc>
        <w:tc>
          <w:tcPr>
            <w:tcW w:w="2473" w:type="dxa"/>
          </w:tcPr>
          <w:p w14:paraId="574A4878" w14:textId="77777777" w:rsidR="003121B6" w:rsidRDefault="003121B6" w:rsidP="003121B6">
            <w:pPr>
              <w:pStyle w:val="TableParagraph"/>
              <w:spacing w:before="44"/>
              <w:ind w:left="101" w:right="2"/>
              <w:jc w:val="center"/>
            </w:pPr>
            <w:r>
              <w:t>Pearson</w:t>
            </w:r>
            <w:r>
              <w:rPr>
                <w:spacing w:val="-3"/>
              </w:rPr>
              <w:t xml:space="preserve"> </w:t>
            </w:r>
            <w:r>
              <w:rPr>
                <w:spacing w:val="-2"/>
              </w:rPr>
              <w:t>Correlation</w:t>
            </w:r>
          </w:p>
        </w:tc>
        <w:tc>
          <w:tcPr>
            <w:tcW w:w="1559" w:type="dxa"/>
          </w:tcPr>
          <w:p w14:paraId="57CB00F4" w14:textId="77777777" w:rsidR="003121B6" w:rsidRDefault="003121B6" w:rsidP="003121B6">
            <w:pPr>
              <w:pStyle w:val="TableParagraph"/>
              <w:spacing w:before="135"/>
              <w:ind w:right="513"/>
              <w:jc w:val="right"/>
            </w:pPr>
            <w:r>
              <w:rPr>
                <w:spacing w:val="-4"/>
              </w:rPr>
              <w:t>0.13</w:t>
            </w:r>
          </w:p>
        </w:tc>
        <w:tc>
          <w:tcPr>
            <w:tcW w:w="2393" w:type="dxa"/>
            <w:vMerge w:val="restart"/>
          </w:tcPr>
          <w:p w14:paraId="21F076EB" w14:textId="77777777" w:rsidR="003121B6" w:rsidRDefault="003121B6" w:rsidP="003121B6">
            <w:pPr>
              <w:pStyle w:val="TableParagraph"/>
              <w:spacing w:before="226"/>
              <w:ind w:left="107" w:right="111"/>
            </w:pPr>
            <w:r>
              <w:t>Weak and not significant</w:t>
            </w:r>
            <w:r>
              <w:rPr>
                <w:spacing w:val="-15"/>
              </w:rPr>
              <w:t xml:space="preserve"> </w:t>
            </w:r>
            <w:r>
              <w:t>relationship</w:t>
            </w:r>
          </w:p>
        </w:tc>
      </w:tr>
      <w:tr w:rsidR="003121B6" w14:paraId="782FD7D7" w14:textId="77777777" w:rsidTr="00143856">
        <w:trPr>
          <w:trHeight w:val="170"/>
        </w:trPr>
        <w:tc>
          <w:tcPr>
            <w:tcW w:w="2089" w:type="dxa"/>
            <w:vMerge/>
            <w:tcBorders>
              <w:top w:val="nil"/>
            </w:tcBorders>
          </w:tcPr>
          <w:p w14:paraId="54A2A04C" w14:textId="77777777" w:rsidR="003121B6" w:rsidRDefault="003121B6" w:rsidP="003121B6">
            <w:pPr>
              <w:rPr>
                <w:sz w:val="2"/>
                <w:szCs w:val="2"/>
              </w:rPr>
            </w:pPr>
          </w:p>
        </w:tc>
        <w:tc>
          <w:tcPr>
            <w:tcW w:w="2473" w:type="dxa"/>
            <w:vMerge w:val="restart"/>
          </w:tcPr>
          <w:p w14:paraId="7DEC69A9" w14:textId="77777777" w:rsidR="003121B6" w:rsidRDefault="003121B6" w:rsidP="003121B6">
            <w:pPr>
              <w:pStyle w:val="TableParagraph"/>
              <w:spacing w:before="44"/>
              <w:ind w:left="307"/>
            </w:pPr>
            <w:r>
              <w:t>Sig.</w:t>
            </w:r>
            <w:r>
              <w:rPr>
                <w:spacing w:val="-5"/>
              </w:rPr>
              <w:t xml:space="preserve"> </w:t>
            </w:r>
            <w:r>
              <w:t>(2-</w:t>
            </w:r>
            <w:r>
              <w:rPr>
                <w:spacing w:val="-2"/>
              </w:rPr>
              <w:t>tailed)</w:t>
            </w:r>
          </w:p>
        </w:tc>
        <w:tc>
          <w:tcPr>
            <w:tcW w:w="1559" w:type="dxa"/>
          </w:tcPr>
          <w:p w14:paraId="719E615E" w14:textId="77777777" w:rsidR="003121B6" w:rsidRDefault="003121B6" w:rsidP="003121B6">
            <w:pPr>
              <w:pStyle w:val="TableParagraph"/>
              <w:rPr>
                <w:rFonts w:ascii="Times New Roman"/>
                <w:sz w:val="6"/>
              </w:rPr>
            </w:pPr>
          </w:p>
        </w:tc>
        <w:tc>
          <w:tcPr>
            <w:tcW w:w="2393" w:type="dxa"/>
            <w:vMerge/>
            <w:tcBorders>
              <w:top w:val="nil"/>
            </w:tcBorders>
          </w:tcPr>
          <w:p w14:paraId="640A3F6B" w14:textId="77777777" w:rsidR="003121B6" w:rsidRDefault="003121B6" w:rsidP="003121B6">
            <w:pPr>
              <w:rPr>
                <w:sz w:val="2"/>
                <w:szCs w:val="2"/>
              </w:rPr>
            </w:pPr>
          </w:p>
        </w:tc>
      </w:tr>
      <w:tr w:rsidR="003121B6" w14:paraId="3F26E5DB" w14:textId="77777777" w:rsidTr="00143856">
        <w:trPr>
          <w:trHeight w:val="170"/>
        </w:trPr>
        <w:tc>
          <w:tcPr>
            <w:tcW w:w="2089" w:type="dxa"/>
          </w:tcPr>
          <w:p w14:paraId="5E78497E" w14:textId="77777777" w:rsidR="003121B6" w:rsidRDefault="003121B6" w:rsidP="003121B6">
            <w:pPr>
              <w:pStyle w:val="TableParagraph"/>
              <w:rPr>
                <w:rFonts w:ascii="Times New Roman"/>
              </w:rPr>
            </w:pPr>
          </w:p>
        </w:tc>
        <w:tc>
          <w:tcPr>
            <w:tcW w:w="2473" w:type="dxa"/>
            <w:vMerge/>
            <w:tcBorders>
              <w:top w:val="nil"/>
            </w:tcBorders>
          </w:tcPr>
          <w:p w14:paraId="47A84050" w14:textId="77777777" w:rsidR="003121B6" w:rsidRDefault="003121B6" w:rsidP="003121B6">
            <w:pPr>
              <w:rPr>
                <w:sz w:val="2"/>
                <w:szCs w:val="2"/>
              </w:rPr>
            </w:pPr>
          </w:p>
        </w:tc>
        <w:tc>
          <w:tcPr>
            <w:tcW w:w="1559" w:type="dxa"/>
          </w:tcPr>
          <w:p w14:paraId="1CB8193A" w14:textId="77777777" w:rsidR="003121B6" w:rsidRDefault="003121B6" w:rsidP="003121B6">
            <w:pPr>
              <w:pStyle w:val="TableParagraph"/>
              <w:spacing w:before="8"/>
              <w:ind w:right="513"/>
              <w:jc w:val="right"/>
            </w:pPr>
            <w:r>
              <w:rPr>
                <w:spacing w:val="-4"/>
              </w:rPr>
              <w:t>0.13</w:t>
            </w:r>
          </w:p>
        </w:tc>
        <w:tc>
          <w:tcPr>
            <w:tcW w:w="2393" w:type="dxa"/>
            <w:vMerge/>
            <w:tcBorders>
              <w:top w:val="nil"/>
            </w:tcBorders>
          </w:tcPr>
          <w:p w14:paraId="5DAC8994" w14:textId="77777777" w:rsidR="003121B6" w:rsidRDefault="003121B6" w:rsidP="003121B6">
            <w:pPr>
              <w:rPr>
                <w:sz w:val="2"/>
                <w:szCs w:val="2"/>
              </w:rPr>
            </w:pPr>
          </w:p>
        </w:tc>
      </w:tr>
      <w:tr w:rsidR="003121B6" w14:paraId="0D8147FA" w14:textId="77777777" w:rsidTr="00143856">
        <w:trPr>
          <w:trHeight w:val="170"/>
        </w:trPr>
        <w:tc>
          <w:tcPr>
            <w:tcW w:w="2089" w:type="dxa"/>
            <w:vMerge w:val="restart"/>
          </w:tcPr>
          <w:p w14:paraId="524CDC66" w14:textId="77777777" w:rsidR="003121B6" w:rsidRDefault="003121B6" w:rsidP="003121B6">
            <w:pPr>
              <w:pStyle w:val="TableParagraph"/>
              <w:spacing w:before="35" w:line="250" w:lineRule="atLeast"/>
              <w:ind w:left="105" w:right="648"/>
            </w:pPr>
            <w:r>
              <w:t>Awareness</w:t>
            </w:r>
            <w:r>
              <w:rPr>
                <w:spacing w:val="-15"/>
              </w:rPr>
              <w:t xml:space="preserve"> </w:t>
            </w:r>
            <w:r>
              <w:t xml:space="preserve">of </w:t>
            </w:r>
            <w:r>
              <w:rPr>
                <w:spacing w:val="-2"/>
              </w:rPr>
              <w:t>Sanctions</w:t>
            </w:r>
          </w:p>
        </w:tc>
        <w:tc>
          <w:tcPr>
            <w:tcW w:w="2473" w:type="dxa"/>
          </w:tcPr>
          <w:p w14:paraId="69B006B9" w14:textId="77777777" w:rsidR="003121B6" w:rsidRDefault="003121B6" w:rsidP="003121B6">
            <w:pPr>
              <w:pStyle w:val="TableParagraph"/>
              <w:spacing w:before="44"/>
              <w:ind w:left="101" w:right="2"/>
              <w:jc w:val="center"/>
            </w:pPr>
            <w:r>
              <w:t>Pearson</w:t>
            </w:r>
            <w:r>
              <w:rPr>
                <w:spacing w:val="-3"/>
              </w:rPr>
              <w:t xml:space="preserve"> </w:t>
            </w:r>
            <w:r>
              <w:rPr>
                <w:spacing w:val="-2"/>
              </w:rPr>
              <w:t>Correlation</w:t>
            </w:r>
          </w:p>
        </w:tc>
        <w:tc>
          <w:tcPr>
            <w:tcW w:w="1559" w:type="dxa"/>
          </w:tcPr>
          <w:p w14:paraId="20FEE6F6" w14:textId="77777777" w:rsidR="003121B6" w:rsidRDefault="003121B6" w:rsidP="003121B6">
            <w:pPr>
              <w:pStyle w:val="TableParagraph"/>
              <w:spacing w:before="135"/>
              <w:ind w:right="513"/>
              <w:jc w:val="right"/>
            </w:pPr>
            <w:r>
              <w:rPr>
                <w:spacing w:val="-4"/>
              </w:rPr>
              <w:t>0.22</w:t>
            </w:r>
          </w:p>
        </w:tc>
        <w:tc>
          <w:tcPr>
            <w:tcW w:w="2393" w:type="dxa"/>
            <w:vMerge w:val="restart"/>
            <w:tcBorders>
              <w:bottom w:val="single" w:sz="4" w:space="0" w:color="000000"/>
            </w:tcBorders>
          </w:tcPr>
          <w:p w14:paraId="6DEF3997" w14:textId="77777777" w:rsidR="003121B6" w:rsidRDefault="003121B6" w:rsidP="003121B6">
            <w:pPr>
              <w:pStyle w:val="TableParagraph"/>
              <w:spacing w:before="227"/>
              <w:ind w:left="107"/>
            </w:pPr>
            <w:r>
              <w:t>Weak</w:t>
            </w:r>
            <w:r>
              <w:rPr>
                <w:spacing w:val="-15"/>
              </w:rPr>
              <w:t xml:space="preserve"> </w:t>
            </w:r>
            <w:r>
              <w:t>but</w:t>
            </w:r>
            <w:r>
              <w:rPr>
                <w:spacing w:val="-15"/>
              </w:rPr>
              <w:t xml:space="preserve"> </w:t>
            </w:r>
            <w:r>
              <w:t xml:space="preserve">significant </w:t>
            </w:r>
            <w:r>
              <w:rPr>
                <w:spacing w:val="-2"/>
              </w:rPr>
              <w:t>relationship</w:t>
            </w:r>
          </w:p>
        </w:tc>
      </w:tr>
      <w:tr w:rsidR="003121B6" w14:paraId="020839B9" w14:textId="77777777" w:rsidTr="00143856">
        <w:trPr>
          <w:trHeight w:val="170"/>
        </w:trPr>
        <w:tc>
          <w:tcPr>
            <w:tcW w:w="2089" w:type="dxa"/>
            <w:vMerge/>
            <w:tcBorders>
              <w:top w:val="nil"/>
            </w:tcBorders>
          </w:tcPr>
          <w:p w14:paraId="33B2E783" w14:textId="77777777" w:rsidR="003121B6" w:rsidRDefault="003121B6" w:rsidP="003121B6">
            <w:pPr>
              <w:rPr>
                <w:sz w:val="2"/>
                <w:szCs w:val="2"/>
              </w:rPr>
            </w:pPr>
          </w:p>
        </w:tc>
        <w:tc>
          <w:tcPr>
            <w:tcW w:w="2473" w:type="dxa"/>
            <w:vMerge w:val="restart"/>
            <w:tcBorders>
              <w:bottom w:val="single" w:sz="4" w:space="0" w:color="000000"/>
            </w:tcBorders>
          </w:tcPr>
          <w:p w14:paraId="71684E13" w14:textId="77777777" w:rsidR="003121B6" w:rsidRDefault="003121B6" w:rsidP="003121B6">
            <w:pPr>
              <w:pStyle w:val="TableParagraph"/>
              <w:spacing w:before="39"/>
              <w:ind w:left="307"/>
            </w:pPr>
            <w:r>
              <w:t>Sig.</w:t>
            </w:r>
            <w:r>
              <w:rPr>
                <w:spacing w:val="-5"/>
              </w:rPr>
              <w:t xml:space="preserve"> </w:t>
            </w:r>
            <w:r>
              <w:t>(2-</w:t>
            </w:r>
            <w:r>
              <w:rPr>
                <w:spacing w:val="-2"/>
              </w:rPr>
              <w:t>tailed)</w:t>
            </w:r>
          </w:p>
        </w:tc>
        <w:tc>
          <w:tcPr>
            <w:tcW w:w="1559" w:type="dxa"/>
          </w:tcPr>
          <w:p w14:paraId="498825AA" w14:textId="77777777" w:rsidR="003121B6" w:rsidRDefault="003121B6" w:rsidP="003121B6">
            <w:pPr>
              <w:pStyle w:val="TableParagraph"/>
              <w:rPr>
                <w:rFonts w:ascii="Times New Roman"/>
                <w:sz w:val="6"/>
              </w:rPr>
            </w:pPr>
          </w:p>
        </w:tc>
        <w:tc>
          <w:tcPr>
            <w:tcW w:w="2393" w:type="dxa"/>
            <w:vMerge/>
            <w:tcBorders>
              <w:top w:val="nil"/>
              <w:bottom w:val="single" w:sz="4" w:space="0" w:color="000000"/>
            </w:tcBorders>
          </w:tcPr>
          <w:p w14:paraId="0719C0DB" w14:textId="77777777" w:rsidR="003121B6" w:rsidRDefault="003121B6" w:rsidP="003121B6">
            <w:pPr>
              <w:rPr>
                <w:sz w:val="2"/>
                <w:szCs w:val="2"/>
              </w:rPr>
            </w:pPr>
          </w:p>
        </w:tc>
      </w:tr>
      <w:tr w:rsidR="003121B6" w14:paraId="10F3FFE7" w14:textId="77777777" w:rsidTr="00143856">
        <w:trPr>
          <w:trHeight w:val="170"/>
        </w:trPr>
        <w:tc>
          <w:tcPr>
            <w:tcW w:w="2089" w:type="dxa"/>
            <w:tcBorders>
              <w:bottom w:val="single" w:sz="4" w:space="0" w:color="000000"/>
            </w:tcBorders>
          </w:tcPr>
          <w:p w14:paraId="109B2F79" w14:textId="77777777" w:rsidR="003121B6" w:rsidRDefault="003121B6" w:rsidP="003121B6">
            <w:pPr>
              <w:pStyle w:val="TableParagraph"/>
              <w:rPr>
                <w:rFonts w:ascii="Times New Roman"/>
              </w:rPr>
            </w:pPr>
          </w:p>
        </w:tc>
        <w:tc>
          <w:tcPr>
            <w:tcW w:w="2473" w:type="dxa"/>
            <w:vMerge/>
            <w:tcBorders>
              <w:top w:val="nil"/>
              <w:bottom w:val="single" w:sz="4" w:space="0" w:color="000000"/>
            </w:tcBorders>
          </w:tcPr>
          <w:p w14:paraId="2C78F074" w14:textId="77777777" w:rsidR="003121B6" w:rsidRDefault="003121B6" w:rsidP="003121B6">
            <w:pPr>
              <w:rPr>
                <w:sz w:val="2"/>
                <w:szCs w:val="2"/>
              </w:rPr>
            </w:pPr>
          </w:p>
        </w:tc>
        <w:tc>
          <w:tcPr>
            <w:tcW w:w="1559" w:type="dxa"/>
            <w:tcBorders>
              <w:bottom w:val="single" w:sz="4" w:space="0" w:color="000000"/>
            </w:tcBorders>
          </w:tcPr>
          <w:p w14:paraId="36AD6529" w14:textId="77777777" w:rsidR="003121B6" w:rsidRDefault="003121B6" w:rsidP="003121B6">
            <w:pPr>
              <w:pStyle w:val="TableParagraph"/>
              <w:spacing w:before="3"/>
              <w:ind w:right="513"/>
              <w:jc w:val="right"/>
            </w:pPr>
            <w:r>
              <w:rPr>
                <w:spacing w:val="-4"/>
              </w:rPr>
              <w:t>0.01</w:t>
            </w:r>
          </w:p>
        </w:tc>
        <w:tc>
          <w:tcPr>
            <w:tcW w:w="2393" w:type="dxa"/>
            <w:vMerge/>
            <w:tcBorders>
              <w:top w:val="nil"/>
              <w:bottom w:val="single" w:sz="4" w:space="0" w:color="000000"/>
            </w:tcBorders>
          </w:tcPr>
          <w:p w14:paraId="350EB9A0" w14:textId="77777777" w:rsidR="003121B6" w:rsidRDefault="003121B6" w:rsidP="003121B6">
            <w:pPr>
              <w:rPr>
                <w:sz w:val="2"/>
                <w:szCs w:val="2"/>
              </w:rPr>
            </w:pPr>
          </w:p>
        </w:tc>
      </w:tr>
      <w:tr w:rsidR="003121B6" w14:paraId="6A74C5AD" w14:textId="77777777" w:rsidTr="00143856">
        <w:trPr>
          <w:trHeight w:val="170"/>
        </w:trPr>
        <w:tc>
          <w:tcPr>
            <w:tcW w:w="2089" w:type="dxa"/>
            <w:vMerge w:val="restart"/>
            <w:tcBorders>
              <w:top w:val="single" w:sz="4" w:space="0" w:color="000000"/>
            </w:tcBorders>
          </w:tcPr>
          <w:p w14:paraId="7BACED0C" w14:textId="77777777" w:rsidR="003121B6" w:rsidRDefault="003121B6" w:rsidP="003121B6">
            <w:pPr>
              <w:pStyle w:val="TableParagraph"/>
              <w:spacing w:line="243" w:lineRule="exact"/>
              <w:ind w:left="105"/>
              <w:rPr>
                <w:rFonts w:ascii="Arial"/>
                <w:b/>
              </w:rPr>
            </w:pPr>
            <w:r>
              <w:rPr>
                <w:rFonts w:ascii="Arial"/>
                <w:b/>
              </w:rPr>
              <w:t>Overall</w:t>
            </w:r>
            <w:r>
              <w:rPr>
                <w:rFonts w:ascii="Arial"/>
                <w:b/>
                <w:spacing w:val="-7"/>
              </w:rPr>
              <w:t xml:space="preserve"> </w:t>
            </w:r>
            <w:r>
              <w:rPr>
                <w:rFonts w:ascii="Arial"/>
                <w:b/>
                <w:spacing w:val="-5"/>
              </w:rPr>
              <w:t>Tax</w:t>
            </w:r>
          </w:p>
          <w:p w14:paraId="340EE50A" w14:textId="77777777" w:rsidR="003121B6" w:rsidRDefault="003121B6" w:rsidP="003121B6">
            <w:pPr>
              <w:pStyle w:val="TableParagraph"/>
              <w:spacing w:before="1" w:line="246" w:lineRule="exact"/>
              <w:ind w:left="105"/>
              <w:rPr>
                <w:rFonts w:ascii="Arial"/>
                <w:b/>
              </w:rPr>
            </w:pPr>
            <w:r>
              <w:rPr>
                <w:rFonts w:ascii="Arial"/>
                <w:b/>
                <w:spacing w:val="-2"/>
              </w:rPr>
              <w:t>Knowledge</w:t>
            </w:r>
          </w:p>
        </w:tc>
        <w:tc>
          <w:tcPr>
            <w:tcW w:w="2473" w:type="dxa"/>
            <w:tcBorders>
              <w:top w:val="single" w:sz="4" w:space="0" w:color="000000"/>
            </w:tcBorders>
          </w:tcPr>
          <w:p w14:paraId="3A7577E4" w14:textId="77777777" w:rsidR="003121B6" w:rsidRDefault="003121B6" w:rsidP="003121B6">
            <w:pPr>
              <w:pStyle w:val="TableParagraph"/>
              <w:spacing w:line="248" w:lineRule="exact"/>
              <w:ind w:left="101" w:right="2"/>
              <w:jc w:val="center"/>
            </w:pPr>
            <w:r>
              <w:t>Pearson</w:t>
            </w:r>
            <w:r>
              <w:rPr>
                <w:spacing w:val="-3"/>
              </w:rPr>
              <w:t xml:space="preserve"> </w:t>
            </w:r>
            <w:r>
              <w:rPr>
                <w:spacing w:val="-2"/>
              </w:rPr>
              <w:t>Correlation</w:t>
            </w:r>
          </w:p>
        </w:tc>
        <w:tc>
          <w:tcPr>
            <w:tcW w:w="1559" w:type="dxa"/>
            <w:tcBorders>
              <w:top w:val="single" w:sz="4" w:space="0" w:color="000000"/>
            </w:tcBorders>
          </w:tcPr>
          <w:p w14:paraId="478535B4" w14:textId="77777777" w:rsidR="003121B6" w:rsidRDefault="003121B6" w:rsidP="003121B6">
            <w:pPr>
              <w:pStyle w:val="TableParagraph"/>
              <w:spacing w:before="89"/>
              <w:ind w:right="513"/>
              <w:jc w:val="right"/>
            </w:pPr>
            <w:r>
              <w:rPr>
                <w:spacing w:val="-4"/>
              </w:rPr>
              <w:t>0.19</w:t>
            </w:r>
          </w:p>
        </w:tc>
        <w:tc>
          <w:tcPr>
            <w:tcW w:w="2393" w:type="dxa"/>
            <w:vMerge w:val="restart"/>
            <w:tcBorders>
              <w:top w:val="single" w:sz="4" w:space="0" w:color="000000"/>
              <w:bottom w:val="single" w:sz="4" w:space="0" w:color="000000"/>
            </w:tcBorders>
          </w:tcPr>
          <w:p w14:paraId="5C6A05FE" w14:textId="77777777" w:rsidR="003121B6" w:rsidRDefault="003121B6" w:rsidP="003121B6">
            <w:pPr>
              <w:pStyle w:val="TableParagraph"/>
              <w:spacing w:before="185"/>
              <w:ind w:left="107"/>
            </w:pPr>
            <w:r>
              <w:t>Weak</w:t>
            </w:r>
            <w:r>
              <w:rPr>
                <w:spacing w:val="-15"/>
              </w:rPr>
              <w:t xml:space="preserve"> </w:t>
            </w:r>
            <w:r>
              <w:t>but</w:t>
            </w:r>
            <w:r>
              <w:rPr>
                <w:spacing w:val="-15"/>
              </w:rPr>
              <w:t xml:space="preserve"> </w:t>
            </w:r>
            <w:r>
              <w:t xml:space="preserve">significant </w:t>
            </w:r>
            <w:r>
              <w:rPr>
                <w:spacing w:val="-2"/>
              </w:rPr>
              <w:t>relationship</w:t>
            </w:r>
          </w:p>
        </w:tc>
      </w:tr>
      <w:tr w:rsidR="003121B6" w14:paraId="0FDF6BA9" w14:textId="77777777" w:rsidTr="00143856">
        <w:trPr>
          <w:trHeight w:val="170"/>
        </w:trPr>
        <w:tc>
          <w:tcPr>
            <w:tcW w:w="2089" w:type="dxa"/>
            <w:vMerge/>
            <w:tcBorders>
              <w:top w:val="nil"/>
            </w:tcBorders>
          </w:tcPr>
          <w:p w14:paraId="1CD066F9" w14:textId="77777777" w:rsidR="003121B6" w:rsidRDefault="003121B6" w:rsidP="003121B6">
            <w:pPr>
              <w:rPr>
                <w:sz w:val="2"/>
                <w:szCs w:val="2"/>
              </w:rPr>
            </w:pPr>
          </w:p>
        </w:tc>
        <w:tc>
          <w:tcPr>
            <w:tcW w:w="2473" w:type="dxa"/>
            <w:vMerge w:val="restart"/>
            <w:tcBorders>
              <w:bottom w:val="single" w:sz="4" w:space="0" w:color="000000"/>
            </w:tcBorders>
          </w:tcPr>
          <w:p w14:paraId="020B323B" w14:textId="77777777" w:rsidR="003121B6" w:rsidRDefault="003121B6" w:rsidP="003121B6">
            <w:pPr>
              <w:pStyle w:val="TableParagraph"/>
              <w:spacing w:before="44"/>
              <w:ind w:left="307"/>
            </w:pPr>
            <w:r>
              <w:t>Sig.</w:t>
            </w:r>
            <w:r>
              <w:rPr>
                <w:spacing w:val="-5"/>
              </w:rPr>
              <w:t xml:space="preserve"> </w:t>
            </w:r>
            <w:r>
              <w:t>(2-</w:t>
            </w:r>
            <w:r>
              <w:rPr>
                <w:spacing w:val="-2"/>
              </w:rPr>
              <w:t>tailed)</w:t>
            </w:r>
          </w:p>
        </w:tc>
        <w:tc>
          <w:tcPr>
            <w:tcW w:w="1559" w:type="dxa"/>
          </w:tcPr>
          <w:p w14:paraId="0292B7C3" w14:textId="77777777" w:rsidR="003121B6" w:rsidRDefault="003121B6" w:rsidP="003121B6">
            <w:pPr>
              <w:pStyle w:val="TableParagraph"/>
              <w:rPr>
                <w:rFonts w:ascii="Times New Roman"/>
                <w:sz w:val="6"/>
              </w:rPr>
            </w:pPr>
          </w:p>
        </w:tc>
        <w:tc>
          <w:tcPr>
            <w:tcW w:w="2393" w:type="dxa"/>
            <w:vMerge/>
            <w:tcBorders>
              <w:top w:val="nil"/>
              <w:bottom w:val="single" w:sz="4" w:space="0" w:color="000000"/>
            </w:tcBorders>
          </w:tcPr>
          <w:p w14:paraId="51A05B67" w14:textId="77777777" w:rsidR="003121B6" w:rsidRDefault="003121B6" w:rsidP="003121B6">
            <w:pPr>
              <w:rPr>
                <w:sz w:val="2"/>
                <w:szCs w:val="2"/>
              </w:rPr>
            </w:pPr>
          </w:p>
        </w:tc>
      </w:tr>
      <w:tr w:rsidR="003121B6" w14:paraId="2C7E4650" w14:textId="77777777" w:rsidTr="00143856">
        <w:trPr>
          <w:trHeight w:val="170"/>
        </w:trPr>
        <w:tc>
          <w:tcPr>
            <w:tcW w:w="2089" w:type="dxa"/>
            <w:tcBorders>
              <w:bottom w:val="single" w:sz="4" w:space="0" w:color="000000"/>
            </w:tcBorders>
          </w:tcPr>
          <w:p w14:paraId="0931FE27" w14:textId="77777777" w:rsidR="003121B6" w:rsidRDefault="003121B6" w:rsidP="003121B6">
            <w:pPr>
              <w:pStyle w:val="TableParagraph"/>
              <w:rPr>
                <w:rFonts w:ascii="Times New Roman"/>
              </w:rPr>
            </w:pPr>
          </w:p>
        </w:tc>
        <w:tc>
          <w:tcPr>
            <w:tcW w:w="2473" w:type="dxa"/>
            <w:vMerge/>
            <w:tcBorders>
              <w:top w:val="nil"/>
              <w:bottom w:val="single" w:sz="4" w:space="0" w:color="000000"/>
            </w:tcBorders>
          </w:tcPr>
          <w:p w14:paraId="5DEFC3C8" w14:textId="77777777" w:rsidR="003121B6" w:rsidRDefault="003121B6" w:rsidP="003121B6">
            <w:pPr>
              <w:rPr>
                <w:sz w:val="2"/>
                <w:szCs w:val="2"/>
              </w:rPr>
            </w:pPr>
          </w:p>
        </w:tc>
        <w:tc>
          <w:tcPr>
            <w:tcW w:w="1559" w:type="dxa"/>
            <w:tcBorders>
              <w:bottom w:val="single" w:sz="4" w:space="0" w:color="000000"/>
            </w:tcBorders>
          </w:tcPr>
          <w:p w14:paraId="5236B08A" w14:textId="77777777" w:rsidR="003121B6" w:rsidRDefault="003121B6" w:rsidP="003121B6">
            <w:pPr>
              <w:pStyle w:val="TableParagraph"/>
              <w:spacing w:before="10"/>
              <w:ind w:right="513"/>
              <w:jc w:val="right"/>
            </w:pPr>
            <w:r>
              <w:rPr>
                <w:spacing w:val="-4"/>
              </w:rPr>
              <w:t>0.03</w:t>
            </w:r>
          </w:p>
        </w:tc>
        <w:tc>
          <w:tcPr>
            <w:tcW w:w="2393" w:type="dxa"/>
            <w:vMerge/>
            <w:tcBorders>
              <w:top w:val="nil"/>
              <w:bottom w:val="single" w:sz="4" w:space="0" w:color="000000"/>
            </w:tcBorders>
          </w:tcPr>
          <w:p w14:paraId="171F72A8" w14:textId="77777777" w:rsidR="003121B6" w:rsidRDefault="003121B6" w:rsidP="003121B6">
            <w:pPr>
              <w:rPr>
                <w:sz w:val="2"/>
                <w:szCs w:val="2"/>
              </w:rPr>
            </w:pPr>
          </w:p>
        </w:tc>
      </w:tr>
    </w:tbl>
    <w:p w14:paraId="515DB3FD" w14:textId="77777777" w:rsidR="00E349C1" w:rsidRDefault="00E349C1" w:rsidP="00441B6F">
      <w:pPr>
        <w:pStyle w:val="Body"/>
        <w:spacing w:after="0"/>
        <w:rPr>
          <w:rFonts w:ascii="Arial" w:hAnsi="Arial" w:cs="Arial"/>
        </w:rPr>
      </w:pPr>
    </w:p>
    <w:p w14:paraId="10D7B0FE" w14:textId="77777777" w:rsidR="00E349C1" w:rsidRDefault="00E349C1" w:rsidP="00441B6F">
      <w:pPr>
        <w:pStyle w:val="Body"/>
        <w:spacing w:after="0"/>
        <w:rPr>
          <w:rFonts w:ascii="Arial" w:hAnsi="Arial" w:cs="Arial"/>
        </w:rPr>
      </w:pPr>
    </w:p>
    <w:p w14:paraId="6B6ADCF7" w14:textId="6C703592" w:rsidR="00E349C1" w:rsidRDefault="00AD3DC4" w:rsidP="009A0AF4">
      <w:pPr>
        <w:pStyle w:val="Body"/>
        <w:spacing w:after="0" w:line="480" w:lineRule="auto"/>
        <w:ind w:firstLine="720"/>
        <w:rPr>
          <w:rFonts w:ascii="Arial" w:hAnsi="Arial" w:cs="Arial"/>
        </w:rPr>
      </w:pPr>
      <w:r w:rsidRPr="00AD3DC4">
        <w:rPr>
          <w:rFonts w:ascii="Arial" w:hAnsi="Arial" w:cs="Arial"/>
        </w:rPr>
        <w:lastRenderedPageBreak/>
        <w:t>The Pearson correlation results indicate that tax rights and responsibilities (r = 0.15, p = 0.08) and awareness of sanctions (r = 0.22, p = 0.01) show weak but statistically significant relationships with tax compliance, while knowledge of business income (r = 0.13, p = 0.13) does not. These findings support the Theory of Planned Behavior (TPB), which emphasizes that attitudes, subjective norms, and perceived behavioral control shape compliance intentions (</w:t>
      </w:r>
      <w:proofErr w:type="spellStart"/>
      <w:r w:rsidRPr="00AD3DC4">
        <w:rPr>
          <w:rFonts w:ascii="Arial" w:hAnsi="Arial" w:cs="Arial"/>
        </w:rPr>
        <w:t>Taing</w:t>
      </w:r>
      <w:proofErr w:type="spellEnd"/>
      <w:r w:rsidRPr="00AD3DC4">
        <w:rPr>
          <w:rFonts w:ascii="Arial" w:hAnsi="Arial" w:cs="Arial"/>
        </w:rPr>
        <w:t xml:space="preserve"> &amp; Chang, 2021). Prior studies affirm this. </w:t>
      </w:r>
      <w:r w:rsidR="00C54B28" w:rsidRPr="00BA756F">
        <w:rPr>
          <w:bCs/>
        </w:rPr>
        <w:t xml:space="preserve">Smulders, S., </w:t>
      </w:r>
      <w:r w:rsidR="00C54B28">
        <w:rPr>
          <w:bCs/>
        </w:rPr>
        <w:t>and</w:t>
      </w:r>
      <w:r w:rsidR="00C54B28" w:rsidRPr="00BA756F">
        <w:rPr>
          <w:bCs/>
        </w:rPr>
        <w:t xml:space="preserve"> Evans, C</w:t>
      </w:r>
      <w:r w:rsidR="00C54B28">
        <w:rPr>
          <w:bCs/>
        </w:rPr>
        <w:t>.,</w:t>
      </w:r>
      <w:r w:rsidR="00C54B28" w:rsidRPr="00AD3DC4">
        <w:rPr>
          <w:rFonts w:ascii="Arial" w:hAnsi="Arial" w:cs="Arial"/>
        </w:rPr>
        <w:t xml:space="preserve"> </w:t>
      </w:r>
      <w:r w:rsidRPr="00AD3DC4">
        <w:rPr>
          <w:rFonts w:ascii="Arial" w:hAnsi="Arial" w:cs="Arial"/>
        </w:rPr>
        <w:t>(201</w:t>
      </w:r>
      <w:r w:rsidR="00C54B28">
        <w:rPr>
          <w:rFonts w:ascii="Arial" w:hAnsi="Arial" w:cs="Arial"/>
        </w:rPr>
        <w:t>7</w:t>
      </w:r>
      <w:r w:rsidRPr="00AD3DC4">
        <w:rPr>
          <w:rFonts w:ascii="Arial" w:hAnsi="Arial" w:cs="Arial"/>
        </w:rPr>
        <w:t xml:space="preserve">) found that informed taxpayers are more likely to comply. </w:t>
      </w:r>
      <w:hyperlink r:id="rId17" w:tooltip="Ling Tuo" w:history="1">
        <w:proofErr w:type="spellStart"/>
        <w:r w:rsidR="005C4D87" w:rsidRPr="003654E3">
          <w:rPr>
            <w:rStyle w:val="Hyperlink"/>
            <w:rFonts w:ascii="Arial" w:hAnsi="Arial" w:cs="Arial"/>
            <w:bCs/>
            <w:color w:val="auto"/>
            <w:u w:val="none"/>
            <w:lang w:val="en-PH"/>
          </w:rPr>
          <w:t>Tuo</w:t>
        </w:r>
        <w:proofErr w:type="spellEnd"/>
        <w:r w:rsidR="005C4D87" w:rsidRPr="003654E3">
          <w:rPr>
            <w:rStyle w:val="Hyperlink"/>
            <w:rFonts w:ascii="Arial" w:hAnsi="Arial" w:cs="Arial"/>
            <w:bCs/>
            <w:color w:val="auto"/>
            <w:u w:val="none"/>
            <w:lang w:val="en-PH"/>
          </w:rPr>
          <w:t>, L.</w:t>
        </w:r>
      </w:hyperlink>
      <w:r w:rsidR="005C4D87" w:rsidRPr="003654E3">
        <w:rPr>
          <w:rFonts w:ascii="Arial" w:hAnsi="Arial" w:cs="Arial"/>
          <w:bCs/>
          <w:lang w:val="en-PH"/>
        </w:rPr>
        <w:t> and </w:t>
      </w:r>
      <w:hyperlink r:id="rId18" w:tooltip="Shipeng Han" w:history="1">
        <w:r w:rsidR="005C4D87" w:rsidRPr="003654E3">
          <w:rPr>
            <w:rStyle w:val="Hyperlink"/>
            <w:rFonts w:ascii="Arial" w:hAnsi="Arial" w:cs="Arial"/>
            <w:bCs/>
            <w:color w:val="auto"/>
            <w:u w:val="none"/>
            <w:lang w:val="en-PH"/>
          </w:rPr>
          <w:t>Han, S.</w:t>
        </w:r>
      </w:hyperlink>
      <w:r w:rsidR="005C4D87">
        <w:rPr>
          <w:rFonts w:ascii="Arial" w:hAnsi="Arial" w:cs="Arial"/>
          <w:bCs/>
        </w:rPr>
        <w:t>,</w:t>
      </w:r>
      <w:r w:rsidR="005C4D87" w:rsidRPr="003654E3">
        <w:rPr>
          <w:rFonts w:ascii="Arial" w:hAnsi="Arial" w:cs="Arial"/>
          <w:bCs/>
          <w:lang w:val="en-PH"/>
        </w:rPr>
        <w:t> (2024)</w:t>
      </w:r>
      <w:r w:rsidRPr="00AD3DC4">
        <w:rPr>
          <w:rFonts w:ascii="Arial" w:hAnsi="Arial" w:cs="Arial"/>
        </w:rPr>
        <w:t xml:space="preserve"> highlighted the role of education in boosting compliance, while Saad (2014) and Olsen et al. (20</w:t>
      </w:r>
      <w:r w:rsidR="00D01CB6">
        <w:rPr>
          <w:rFonts w:ascii="Arial" w:hAnsi="Arial" w:cs="Arial"/>
        </w:rPr>
        <w:t>22</w:t>
      </w:r>
      <w:r w:rsidRPr="00AD3DC4">
        <w:rPr>
          <w:rFonts w:ascii="Arial" w:hAnsi="Arial" w:cs="Arial"/>
        </w:rPr>
        <w:t xml:space="preserve">) stressed that awareness of sanctions enhances perceived control. </w:t>
      </w:r>
      <w:proofErr w:type="spellStart"/>
      <w:r w:rsidRPr="00AD3DC4">
        <w:rPr>
          <w:rFonts w:ascii="Arial" w:hAnsi="Arial" w:cs="Arial"/>
        </w:rPr>
        <w:t>Mas’ud</w:t>
      </w:r>
      <w:proofErr w:type="spellEnd"/>
      <w:r w:rsidRPr="00AD3DC4">
        <w:rPr>
          <w:rFonts w:ascii="Arial" w:hAnsi="Arial" w:cs="Arial"/>
        </w:rPr>
        <w:t xml:space="preserve"> et al. (2019) showed enforcement deters evasion. In contrast, technical knowledge alone—such as understanding business income—does not strongly influence behavior, as it does not directly affect key TPB constructs without motivation or financial literacy (Putra &amp; Osman, 2019).</w:t>
      </w:r>
    </w:p>
    <w:p w14:paraId="56E77018" w14:textId="77777777" w:rsidR="00C527BC" w:rsidRPr="00607E75" w:rsidRDefault="00C527BC" w:rsidP="00441B6F">
      <w:pPr>
        <w:pStyle w:val="Body"/>
        <w:spacing w:after="0"/>
        <w:rPr>
          <w:rFonts w:ascii="Arial" w:hAnsi="Arial" w:cs="Arial"/>
        </w:rPr>
      </w:pPr>
    </w:p>
    <w:p w14:paraId="03FE7649" w14:textId="1E2D5C3C" w:rsidR="00B01FCD" w:rsidRPr="00607E75" w:rsidRDefault="00B01FCD" w:rsidP="00441B6F">
      <w:pPr>
        <w:pStyle w:val="ConcHead"/>
        <w:spacing w:after="0"/>
        <w:jc w:val="both"/>
        <w:rPr>
          <w:rFonts w:ascii="Arial" w:hAnsi="Arial" w:cs="Arial"/>
        </w:rPr>
      </w:pPr>
      <w:r w:rsidRPr="00607E75">
        <w:rPr>
          <w:rFonts w:ascii="Arial" w:hAnsi="Arial" w:cs="Arial"/>
        </w:rPr>
        <w:t>Conclusion</w:t>
      </w:r>
    </w:p>
    <w:p w14:paraId="540C7089" w14:textId="77777777" w:rsidR="00790ADA" w:rsidRPr="00607E75" w:rsidRDefault="00790ADA" w:rsidP="00441B6F">
      <w:pPr>
        <w:pStyle w:val="ConcHead"/>
        <w:spacing w:after="0"/>
        <w:jc w:val="both"/>
        <w:rPr>
          <w:rFonts w:ascii="Arial" w:hAnsi="Arial" w:cs="Arial"/>
        </w:rPr>
      </w:pPr>
    </w:p>
    <w:p w14:paraId="68F0BDD6" w14:textId="69E360B7" w:rsidR="000C1553" w:rsidRPr="00607E75" w:rsidRDefault="000C1553" w:rsidP="001B3E24">
      <w:pPr>
        <w:spacing w:line="480" w:lineRule="auto"/>
        <w:ind w:firstLine="720"/>
        <w:jc w:val="both"/>
        <w:rPr>
          <w:rFonts w:ascii="Arial" w:hAnsi="Arial" w:cs="Arial"/>
          <w:bCs/>
          <w:color w:val="000000" w:themeColor="text1"/>
        </w:rPr>
      </w:pPr>
      <w:r w:rsidRPr="00607E75">
        <w:rPr>
          <w:rFonts w:ascii="Arial" w:hAnsi="Arial" w:cs="Arial"/>
          <w:bCs/>
          <w:color w:val="000000" w:themeColor="text1"/>
        </w:rPr>
        <w:t xml:space="preserve">Based on the results, most of the business owner respondents in </w:t>
      </w:r>
      <w:proofErr w:type="spellStart"/>
      <w:r w:rsidRPr="00607E75">
        <w:rPr>
          <w:rFonts w:ascii="Arial" w:hAnsi="Arial" w:cs="Arial"/>
          <w:bCs/>
          <w:color w:val="000000" w:themeColor="text1"/>
        </w:rPr>
        <w:t>Cateel</w:t>
      </w:r>
      <w:proofErr w:type="spellEnd"/>
      <w:r w:rsidRPr="00607E75">
        <w:rPr>
          <w:rFonts w:ascii="Arial" w:hAnsi="Arial" w:cs="Arial"/>
          <w:bCs/>
          <w:color w:val="000000" w:themeColor="text1"/>
        </w:rPr>
        <w:t xml:space="preserve"> are young to middle-aged adults who primarily operate micro-sized enterprises. A significant portion of them is engaged in the trading and servicing industries. In terms of educational background, the majority are high school and college graduates. Most have been running their businesses for several years, typically within a one to nine-year range. Respondents exhibited high levels of tax knowledge, particularly regarding their rights, responsibilities, and sanctions. This reflects a relatively well-informed business community. The level of tax compliance was found to be extensive. While only a weak correlation was found between tax knowledge and compliance, the significance of the relationship—especially in terms of rights and sanctions—suggests that specific knowledge areas do influence compliance behavior.</w:t>
      </w:r>
      <w:r w:rsidRPr="00607E75">
        <w:rPr>
          <w:rFonts w:ascii="Arial" w:hAnsi="Arial" w:cs="Arial"/>
          <w:bCs/>
          <w:color w:val="000000" w:themeColor="text1"/>
          <w:lang w:val="en-PH"/>
        </w:rPr>
        <w:t xml:space="preserve"> No significant differences in tax knowledge or tax compliance were found across demographic or business-related variables, indicating consistent knowledge and behavior patterns among different groups. </w:t>
      </w:r>
      <w:r w:rsidRPr="00607E75">
        <w:rPr>
          <w:rFonts w:ascii="Arial" w:hAnsi="Arial" w:cs="Arial"/>
          <w:bCs/>
          <w:color w:val="000000" w:themeColor="text1"/>
        </w:rPr>
        <w:t xml:space="preserve">The significant relationships between compliance and both tax rights and awareness of sanctions imply that </w:t>
      </w:r>
      <w:r w:rsidRPr="00607E75">
        <w:rPr>
          <w:rFonts w:ascii="Arial" w:hAnsi="Arial" w:cs="Arial"/>
          <w:bCs/>
          <w:color w:val="000000" w:themeColor="text1"/>
        </w:rPr>
        <w:lastRenderedPageBreak/>
        <w:t>targeted knowledge influences compliance more than general tax understanding.</w:t>
      </w:r>
      <w:r w:rsidRPr="00607E75">
        <w:rPr>
          <w:rFonts w:ascii="Arial" w:hAnsi="Arial" w:cs="Arial"/>
          <w:bCs/>
          <w:color w:val="000000" w:themeColor="text1"/>
          <w:lang w:val="en-PH"/>
        </w:rPr>
        <w:t xml:space="preserve"> </w:t>
      </w:r>
      <w:r w:rsidRPr="00607E75">
        <w:rPr>
          <w:rFonts w:ascii="Arial" w:hAnsi="Arial" w:cs="Arial"/>
          <w:bCs/>
          <w:color w:val="000000" w:themeColor="text1"/>
        </w:rPr>
        <w:t>Since no demographic differences significantly influenced tax compliance, tax-related behavior among business owners appears broadly uniform across various segments.</w:t>
      </w:r>
    </w:p>
    <w:p w14:paraId="50283458" w14:textId="77777777" w:rsidR="00EF2F4A" w:rsidRPr="00607E75" w:rsidRDefault="00EF2F4A" w:rsidP="00441B6F">
      <w:pPr>
        <w:pStyle w:val="ReferHead"/>
        <w:spacing w:after="0"/>
        <w:jc w:val="both"/>
        <w:rPr>
          <w:rFonts w:ascii="Arial" w:hAnsi="Arial" w:cs="Arial"/>
          <w:b w:val="0"/>
          <w:caps w:val="0"/>
          <w:sz w:val="20"/>
        </w:rPr>
      </w:pPr>
    </w:p>
    <w:p w14:paraId="5623CB27" w14:textId="50B48595" w:rsidR="002B685A" w:rsidRPr="00607E75" w:rsidRDefault="002B685A" w:rsidP="00441B6F">
      <w:pPr>
        <w:pStyle w:val="ReferHead"/>
        <w:spacing w:after="0"/>
        <w:jc w:val="both"/>
        <w:rPr>
          <w:rFonts w:ascii="Arial" w:hAnsi="Arial" w:cs="Arial"/>
          <w:bCs/>
        </w:rPr>
      </w:pPr>
      <w:r w:rsidRPr="00607E75">
        <w:rPr>
          <w:rFonts w:ascii="Arial" w:hAnsi="Arial" w:cs="Arial"/>
          <w:bCs/>
        </w:rPr>
        <w:t xml:space="preserve">Consent </w:t>
      </w:r>
    </w:p>
    <w:p w14:paraId="7CABB32F" w14:textId="77777777" w:rsidR="00EF2F4A" w:rsidRPr="00607E75" w:rsidRDefault="00EF2F4A" w:rsidP="00441B6F">
      <w:pPr>
        <w:pStyle w:val="ReferHead"/>
        <w:spacing w:after="0"/>
        <w:jc w:val="both"/>
        <w:rPr>
          <w:rFonts w:ascii="Arial" w:hAnsi="Arial" w:cs="Arial"/>
          <w:b w:val="0"/>
          <w:caps w:val="0"/>
          <w:sz w:val="20"/>
        </w:rPr>
      </w:pPr>
    </w:p>
    <w:p w14:paraId="11008AEA" w14:textId="4F0B7C05" w:rsidR="001A29D8" w:rsidRPr="00607E75" w:rsidRDefault="001A29D8" w:rsidP="00441B6F">
      <w:pPr>
        <w:pStyle w:val="ReferHead"/>
        <w:spacing w:after="0"/>
        <w:jc w:val="both"/>
        <w:rPr>
          <w:rFonts w:ascii="Arial" w:hAnsi="Arial" w:cs="Arial"/>
          <w:b w:val="0"/>
          <w:caps w:val="0"/>
          <w:sz w:val="20"/>
        </w:rPr>
      </w:pPr>
      <w:r w:rsidRPr="00607E75">
        <w:rPr>
          <w:rFonts w:ascii="Arial" w:hAnsi="Arial" w:cs="Arial"/>
          <w:b w:val="0"/>
          <w:caps w:val="0"/>
          <w:sz w:val="20"/>
        </w:rPr>
        <w:t>All authors declare that ‘written informed consent</w:t>
      </w:r>
      <w:r w:rsidR="00EF2F4A" w:rsidRPr="00607E75">
        <w:rPr>
          <w:rFonts w:ascii="Arial" w:hAnsi="Arial" w:cs="Arial"/>
          <w:b w:val="0"/>
          <w:caps w:val="0"/>
          <w:sz w:val="20"/>
        </w:rPr>
        <w:t xml:space="preserve"> form</w:t>
      </w:r>
      <w:r w:rsidRPr="00607E75">
        <w:rPr>
          <w:rFonts w:ascii="Arial" w:hAnsi="Arial" w:cs="Arial"/>
          <w:b w:val="0"/>
          <w:caps w:val="0"/>
          <w:sz w:val="20"/>
        </w:rPr>
        <w:t xml:space="preserve"> was obtained from the patient (or other approved parties) for publication of this case report and accompanying images. A copy of the written consent</w:t>
      </w:r>
      <w:r w:rsidR="00EF2F4A" w:rsidRPr="00607E75">
        <w:rPr>
          <w:rFonts w:ascii="Arial" w:hAnsi="Arial" w:cs="Arial"/>
          <w:b w:val="0"/>
          <w:caps w:val="0"/>
          <w:sz w:val="20"/>
        </w:rPr>
        <w:t xml:space="preserve"> (image)</w:t>
      </w:r>
      <w:r w:rsidRPr="00607E75">
        <w:rPr>
          <w:rFonts w:ascii="Arial" w:hAnsi="Arial" w:cs="Arial"/>
          <w:b w:val="0"/>
          <w:caps w:val="0"/>
          <w:sz w:val="20"/>
        </w:rPr>
        <w:t xml:space="preserve"> is available</w:t>
      </w:r>
      <w:r w:rsidR="00EF2F4A" w:rsidRPr="00607E75">
        <w:rPr>
          <w:rFonts w:ascii="Arial" w:hAnsi="Arial" w:cs="Arial"/>
          <w:b w:val="0"/>
          <w:caps w:val="0"/>
          <w:sz w:val="20"/>
        </w:rPr>
        <w:t xml:space="preserve"> anytime</w:t>
      </w:r>
      <w:r w:rsidR="00BC1F86" w:rsidRPr="00607E75">
        <w:rPr>
          <w:rFonts w:ascii="Arial" w:hAnsi="Arial" w:cs="Arial"/>
          <w:b w:val="0"/>
          <w:caps w:val="0"/>
          <w:sz w:val="20"/>
        </w:rPr>
        <w:t xml:space="preserve"> if the editor </w:t>
      </w:r>
      <w:r w:rsidR="00F05B6F" w:rsidRPr="00607E75">
        <w:rPr>
          <w:rFonts w:ascii="Arial" w:hAnsi="Arial" w:cs="Arial"/>
          <w:b w:val="0"/>
          <w:caps w:val="0"/>
          <w:sz w:val="20"/>
        </w:rPr>
        <w:t>asks</w:t>
      </w:r>
      <w:r w:rsidR="00BC1F86" w:rsidRPr="00607E75">
        <w:rPr>
          <w:rFonts w:ascii="Arial" w:hAnsi="Arial" w:cs="Arial"/>
          <w:b w:val="0"/>
          <w:caps w:val="0"/>
          <w:sz w:val="20"/>
        </w:rPr>
        <w:t xml:space="preserve"> for it</w:t>
      </w:r>
      <w:r w:rsidR="00EF2F4A" w:rsidRPr="00607E75">
        <w:rPr>
          <w:rFonts w:ascii="Arial" w:hAnsi="Arial" w:cs="Arial"/>
          <w:b w:val="0"/>
          <w:caps w:val="0"/>
          <w:sz w:val="20"/>
        </w:rPr>
        <w:t xml:space="preserve"> </w:t>
      </w:r>
      <w:r w:rsidRPr="00607E75">
        <w:rPr>
          <w:rFonts w:ascii="Arial" w:hAnsi="Arial" w:cs="Arial"/>
          <w:b w:val="0"/>
          <w:caps w:val="0"/>
          <w:sz w:val="20"/>
        </w:rPr>
        <w:t>for review of this journal.</w:t>
      </w:r>
    </w:p>
    <w:p w14:paraId="5CDDFFCF" w14:textId="77777777" w:rsidR="001A29D8" w:rsidRPr="00607E75" w:rsidRDefault="001A29D8" w:rsidP="00441B6F">
      <w:pPr>
        <w:pStyle w:val="ReferHead"/>
        <w:spacing w:after="0"/>
        <w:jc w:val="both"/>
        <w:rPr>
          <w:rFonts w:ascii="Arial" w:hAnsi="Arial" w:cs="Arial"/>
          <w:b w:val="0"/>
          <w:caps w:val="0"/>
          <w:sz w:val="20"/>
        </w:rPr>
      </w:pPr>
    </w:p>
    <w:p w14:paraId="4BAB8902" w14:textId="77777777" w:rsidR="005C784C" w:rsidRPr="00607E75" w:rsidRDefault="005C784C" w:rsidP="00441B6F">
      <w:pPr>
        <w:pStyle w:val="ReferHead"/>
        <w:spacing w:after="0"/>
        <w:jc w:val="both"/>
        <w:rPr>
          <w:rFonts w:ascii="Arial" w:hAnsi="Arial" w:cs="Arial"/>
          <w:b w:val="0"/>
          <w:caps w:val="0"/>
          <w:sz w:val="20"/>
        </w:rPr>
      </w:pPr>
    </w:p>
    <w:p w14:paraId="0EB3DF48" w14:textId="2EB66DCE" w:rsidR="005C784C" w:rsidRPr="00607E75" w:rsidRDefault="005C784C" w:rsidP="00441B6F">
      <w:pPr>
        <w:pStyle w:val="ReferHead"/>
        <w:spacing w:after="0"/>
        <w:jc w:val="both"/>
        <w:rPr>
          <w:rFonts w:ascii="Arial" w:hAnsi="Arial" w:cs="Arial"/>
          <w:bCs/>
        </w:rPr>
      </w:pPr>
      <w:r w:rsidRPr="00607E75">
        <w:rPr>
          <w:rFonts w:ascii="Arial" w:hAnsi="Arial" w:cs="Arial"/>
          <w:bCs/>
        </w:rPr>
        <w:t xml:space="preserve">Ethical approval </w:t>
      </w:r>
    </w:p>
    <w:p w14:paraId="2589808F" w14:textId="77777777" w:rsidR="005C784C" w:rsidRPr="00607E75" w:rsidRDefault="005C784C" w:rsidP="00441B6F">
      <w:pPr>
        <w:pStyle w:val="ReferHead"/>
        <w:spacing w:after="0"/>
        <w:jc w:val="both"/>
        <w:rPr>
          <w:rFonts w:ascii="Arial" w:hAnsi="Arial" w:cs="Arial"/>
          <w:bCs/>
        </w:rPr>
      </w:pPr>
    </w:p>
    <w:p w14:paraId="756AFAC2" w14:textId="77777777" w:rsidR="007B7445" w:rsidRDefault="00CD6856" w:rsidP="00441B6F">
      <w:pPr>
        <w:pStyle w:val="ReferHead"/>
        <w:spacing w:after="0"/>
        <w:jc w:val="both"/>
        <w:rPr>
          <w:rFonts w:ascii="Arial" w:hAnsi="Arial" w:cs="Arial"/>
          <w:b w:val="0"/>
          <w:caps w:val="0"/>
          <w:sz w:val="20"/>
        </w:rPr>
      </w:pPr>
      <w:r w:rsidRPr="00607E75">
        <w:rPr>
          <w:rFonts w:ascii="Arial" w:hAnsi="Arial" w:cs="Arial"/>
          <w:b w:val="0"/>
          <w:caps w:val="0"/>
          <w:sz w:val="20"/>
        </w:rPr>
        <w:t>All manuscripts which deal with the study of human subjects must be accompanied by Institutional Review Board (IRB) or Ethical Committee Approval, or the national or regional equivalent. The name of the Board or Committee giving approval and the study number assigned must accompany the submission. If required, author should be ready to submit a scanned copy of the IRB or Ethical Committee Approval at any stage of publication (</w:t>
      </w:r>
      <w:proofErr w:type="gramStart"/>
      <w:r w:rsidRPr="00607E75">
        <w:rPr>
          <w:rFonts w:ascii="Arial" w:hAnsi="Arial" w:cs="Arial"/>
          <w:b w:val="0"/>
          <w:caps w:val="0"/>
          <w:sz w:val="20"/>
        </w:rPr>
        <w:t>Pre of</w:t>
      </w:r>
      <w:proofErr w:type="gramEnd"/>
      <w:r w:rsidRPr="00607E75">
        <w:rPr>
          <w:rFonts w:ascii="Arial" w:hAnsi="Arial" w:cs="Arial"/>
          <w:b w:val="0"/>
          <w:caps w:val="0"/>
          <w:sz w:val="20"/>
        </w:rPr>
        <w:t xml:space="preserve"> post publication stage). </w:t>
      </w:r>
    </w:p>
    <w:p w14:paraId="6683FD5F" w14:textId="77777777" w:rsidR="007B7445" w:rsidRDefault="007B7445" w:rsidP="00441B6F">
      <w:pPr>
        <w:pStyle w:val="ReferHead"/>
        <w:spacing w:after="0"/>
        <w:jc w:val="both"/>
        <w:rPr>
          <w:rFonts w:ascii="Arial" w:hAnsi="Arial" w:cs="Arial"/>
          <w:b w:val="0"/>
          <w:caps w:val="0"/>
          <w:sz w:val="20"/>
        </w:rPr>
      </w:pPr>
    </w:p>
    <w:p w14:paraId="28F9FFA5" w14:textId="19D1251A" w:rsidR="00C86605" w:rsidRDefault="00C86605" w:rsidP="00441B6F">
      <w:pPr>
        <w:pStyle w:val="ReferHead"/>
        <w:spacing w:after="0"/>
        <w:jc w:val="both"/>
        <w:rPr>
          <w:rFonts w:ascii="Arial" w:hAnsi="Arial" w:cs="Arial"/>
          <w:b w:val="0"/>
          <w:caps w:val="0"/>
          <w:sz w:val="20"/>
          <w:u w:val="single"/>
        </w:rPr>
      </w:pPr>
    </w:p>
    <w:p w14:paraId="2ED899B6" w14:textId="77777777" w:rsidR="00C86605" w:rsidRPr="007B7445" w:rsidRDefault="00C86605" w:rsidP="00C86605">
      <w:pPr>
        <w:rPr>
          <w:b/>
          <w:highlight w:val="yellow"/>
        </w:rPr>
      </w:pPr>
      <w:r w:rsidRPr="007B7445">
        <w:rPr>
          <w:b/>
          <w:highlight w:val="yellow"/>
        </w:rPr>
        <w:t>Disclaimer (Artificial intelligence)</w:t>
      </w:r>
    </w:p>
    <w:p w14:paraId="468D9DA7" w14:textId="77777777" w:rsidR="00C86605" w:rsidRPr="00394842" w:rsidRDefault="00C86605" w:rsidP="00C86605">
      <w:pPr>
        <w:rPr>
          <w:highlight w:val="yellow"/>
        </w:rPr>
      </w:pPr>
    </w:p>
    <w:p w14:paraId="41E5F4E5" w14:textId="77777777" w:rsidR="00C86605" w:rsidRPr="00394842" w:rsidRDefault="00C86605" w:rsidP="00C86605">
      <w:pPr>
        <w:rPr>
          <w:highlight w:val="yellow"/>
        </w:rPr>
      </w:pPr>
      <w:r w:rsidRPr="00394842">
        <w:rPr>
          <w:highlight w:val="yellow"/>
        </w:rPr>
        <w:t xml:space="preserve">Option 1: </w:t>
      </w:r>
    </w:p>
    <w:p w14:paraId="2DF0DE3E" w14:textId="77777777" w:rsidR="00C86605" w:rsidRPr="00394842" w:rsidRDefault="00C86605" w:rsidP="00C86605">
      <w:pPr>
        <w:rPr>
          <w:highlight w:val="yellow"/>
        </w:rPr>
      </w:pPr>
    </w:p>
    <w:p w14:paraId="0C8ABD54" w14:textId="77777777" w:rsidR="00C86605" w:rsidRPr="00394842" w:rsidRDefault="00C86605" w:rsidP="00C86605">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18DF9F6" w14:textId="77777777" w:rsidR="00C86605" w:rsidRPr="00394842" w:rsidRDefault="00C86605" w:rsidP="00C86605">
      <w:pPr>
        <w:rPr>
          <w:highlight w:val="yellow"/>
        </w:rPr>
      </w:pPr>
    </w:p>
    <w:p w14:paraId="7EBB1FEA" w14:textId="77777777" w:rsidR="00C86605" w:rsidRPr="00394842" w:rsidRDefault="00C86605" w:rsidP="00C86605">
      <w:pPr>
        <w:rPr>
          <w:highlight w:val="yellow"/>
        </w:rPr>
      </w:pPr>
      <w:r w:rsidRPr="00394842">
        <w:rPr>
          <w:highlight w:val="yellow"/>
        </w:rPr>
        <w:t xml:space="preserve">Option 2: </w:t>
      </w:r>
    </w:p>
    <w:p w14:paraId="6BC45422" w14:textId="77777777" w:rsidR="00C86605" w:rsidRPr="00394842" w:rsidRDefault="00C86605" w:rsidP="00C86605">
      <w:pPr>
        <w:rPr>
          <w:highlight w:val="yellow"/>
        </w:rPr>
      </w:pPr>
    </w:p>
    <w:p w14:paraId="65DC8D91" w14:textId="77777777" w:rsidR="00C86605" w:rsidRPr="00394842" w:rsidRDefault="00C86605" w:rsidP="00C8660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2FDF32" w14:textId="77777777" w:rsidR="00C86605" w:rsidRPr="00394842" w:rsidRDefault="00C86605" w:rsidP="00C86605">
      <w:pPr>
        <w:rPr>
          <w:highlight w:val="yellow"/>
        </w:rPr>
      </w:pPr>
    </w:p>
    <w:p w14:paraId="1C92741B" w14:textId="77777777" w:rsidR="00C86605" w:rsidRPr="00394842" w:rsidRDefault="00C86605" w:rsidP="00C86605">
      <w:pPr>
        <w:rPr>
          <w:highlight w:val="yellow"/>
        </w:rPr>
      </w:pPr>
      <w:r w:rsidRPr="00394842">
        <w:rPr>
          <w:highlight w:val="yellow"/>
        </w:rPr>
        <w:t>Details of the AI usage are given below:</w:t>
      </w:r>
    </w:p>
    <w:p w14:paraId="397CFBB6" w14:textId="77777777" w:rsidR="00C86605" w:rsidRPr="00394842" w:rsidRDefault="00C86605" w:rsidP="00C86605">
      <w:pPr>
        <w:rPr>
          <w:highlight w:val="yellow"/>
        </w:rPr>
      </w:pPr>
      <w:r w:rsidRPr="00394842">
        <w:rPr>
          <w:highlight w:val="yellow"/>
        </w:rPr>
        <w:t>1.</w:t>
      </w:r>
    </w:p>
    <w:p w14:paraId="0AD14F09" w14:textId="77777777" w:rsidR="00C86605" w:rsidRPr="00394842" w:rsidRDefault="00C86605" w:rsidP="00C86605">
      <w:pPr>
        <w:rPr>
          <w:highlight w:val="yellow"/>
        </w:rPr>
      </w:pPr>
      <w:r w:rsidRPr="00394842">
        <w:rPr>
          <w:highlight w:val="yellow"/>
        </w:rPr>
        <w:t>2.</w:t>
      </w:r>
    </w:p>
    <w:p w14:paraId="1AD1BE8D" w14:textId="77777777" w:rsidR="00C86605" w:rsidRPr="00165217" w:rsidRDefault="00C86605" w:rsidP="00C86605">
      <w:r w:rsidRPr="00394842">
        <w:rPr>
          <w:highlight w:val="yellow"/>
        </w:rPr>
        <w:t>3.</w:t>
      </w:r>
    </w:p>
    <w:p w14:paraId="078906DA" w14:textId="77777777" w:rsidR="00C86605" w:rsidRPr="00607E75" w:rsidRDefault="00C86605" w:rsidP="00441B6F">
      <w:pPr>
        <w:pStyle w:val="ReferHead"/>
        <w:spacing w:after="0"/>
        <w:jc w:val="both"/>
        <w:rPr>
          <w:rFonts w:ascii="Arial" w:hAnsi="Arial" w:cs="Arial"/>
          <w:b w:val="0"/>
          <w:caps w:val="0"/>
          <w:sz w:val="20"/>
          <w:u w:val="single"/>
        </w:rPr>
      </w:pPr>
    </w:p>
    <w:p w14:paraId="3C65E42B" w14:textId="77777777" w:rsidR="00860000" w:rsidRPr="00607E75" w:rsidRDefault="00860000" w:rsidP="00441B6F">
      <w:pPr>
        <w:pStyle w:val="ReferHead"/>
        <w:spacing w:after="0"/>
        <w:jc w:val="both"/>
        <w:rPr>
          <w:rFonts w:ascii="Arial" w:hAnsi="Arial" w:cs="Arial"/>
        </w:rPr>
      </w:pPr>
    </w:p>
    <w:p w14:paraId="2BEF0FA7" w14:textId="77777777" w:rsidR="00B01FCD" w:rsidRPr="00607E75" w:rsidRDefault="00B01FCD" w:rsidP="00441B6F">
      <w:pPr>
        <w:pStyle w:val="ReferHead"/>
        <w:spacing w:after="0"/>
        <w:jc w:val="both"/>
        <w:rPr>
          <w:rFonts w:ascii="Arial" w:hAnsi="Arial" w:cs="Arial"/>
        </w:rPr>
      </w:pPr>
      <w:r w:rsidRPr="00607E75">
        <w:rPr>
          <w:rFonts w:ascii="Arial" w:hAnsi="Arial" w:cs="Arial"/>
        </w:rPr>
        <w:t>References</w:t>
      </w:r>
    </w:p>
    <w:p w14:paraId="1BF2C650" w14:textId="77777777" w:rsidR="00790ADA" w:rsidRPr="00607E75" w:rsidRDefault="00790ADA" w:rsidP="00441B6F">
      <w:pPr>
        <w:pStyle w:val="Body"/>
        <w:spacing w:after="0"/>
        <w:rPr>
          <w:rFonts w:ascii="Arial" w:hAnsi="Arial" w:cs="Arial"/>
        </w:rPr>
      </w:pPr>
    </w:p>
    <w:p w14:paraId="4F7731B2" w14:textId="77777777" w:rsidR="00230CF4" w:rsidRPr="00412D0D" w:rsidRDefault="00230CF4" w:rsidP="00230CF4">
      <w:pPr>
        <w:jc w:val="both"/>
      </w:pPr>
      <w:proofErr w:type="spellStart"/>
      <w:r w:rsidRPr="00412D0D">
        <w:t>Akmed</w:t>
      </w:r>
      <w:proofErr w:type="spellEnd"/>
      <w:r w:rsidRPr="00412D0D">
        <w:t xml:space="preserve">, J &amp; </w:t>
      </w:r>
      <w:proofErr w:type="spellStart"/>
      <w:r w:rsidRPr="00412D0D">
        <w:t>Masnona</w:t>
      </w:r>
      <w:proofErr w:type="spellEnd"/>
      <w:r w:rsidRPr="00412D0D">
        <w:t xml:space="preserve"> A. (2024). Assessment on doing business at the Bureau of Internal Revenue-</w:t>
      </w:r>
      <w:proofErr w:type="spellStart"/>
      <w:r w:rsidRPr="00412D0D">
        <w:t>Jolo</w:t>
      </w:r>
      <w:proofErr w:type="spellEnd"/>
      <w:r w:rsidRPr="00412D0D">
        <w:t>: Taxpayers’ perspective. SOCIAL PSYCHOLOGY AND HUMAN EXPERIENCE. 1. 1-15 10.62596/p2x2xn44.</w:t>
      </w:r>
    </w:p>
    <w:p w14:paraId="05CAC86A" w14:textId="77777777" w:rsidR="00230CF4" w:rsidRDefault="00230CF4" w:rsidP="00441B6F">
      <w:pPr>
        <w:pStyle w:val="Body"/>
        <w:spacing w:after="0"/>
        <w:rPr>
          <w:rFonts w:ascii="Arial" w:hAnsi="Arial" w:cs="Arial"/>
          <w:u w:val="single"/>
        </w:rPr>
      </w:pPr>
    </w:p>
    <w:p w14:paraId="1818AE27" w14:textId="70A3927A" w:rsidR="00136460" w:rsidRDefault="00136460" w:rsidP="00136460">
      <w:proofErr w:type="spellStart"/>
      <w:r w:rsidRPr="00136460">
        <w:t>Ajzen</w:t>
      </w:r>
      <w:proofErr w:type="spellEnd"/>
      <w:r w:rsidRPr="00136460">
        <w:t>, I. (2020). The theory of planned behavior: Frequently asked questions. Human Behavior</w:t>
      </w:r>
      <w:r>
        <w:t xml:space="preserve"> </w:t>
      </w:r>
      <w:r w:rsidRPr="00136460">
        <w:t>and</w:t>
      </w:r>
      <w:r>
        <w:t xml:space="preserve"> </w:t>
      </w:r>
      <w:r w:rsidRPr="00136460">
        <w:t>Emerging</w:t>
      </w:r>
      <w:r>
        <w:t xml:space="preserve"> </w:t>
      </w:r>
      <w:r w:rsidRPr="00136460">
        <w:t>Technologies,</w:t>
      </w:r>
      <w:r>
        <w:t xml:space="preserve"> </w:t>
      </w:r>
      <w:r w:rsidRPr="00136460">
        <w:t>2(4),</w:t>
      </w:r>
      <w:r>
        <w:t xml:space="preserve"> </w:t>
      </w:r>
      <w:r w:rsidRPr="00136460">
        <w:t>314-324.</w:t>
      </w:r>
      <w:r>
        <w:t xml:space="preserve"> </w:t>
      </w:r>
      <w:r w:rsidRPr="00136460">
        <w:t>https://doi.org/10.1002/hbe2.195.</w:t>
      </w:r>
    </w:p>
    <w:p w14:paraId="19855CBD" w14:textId="77777777" w:rsidR="00E45ED8" w:rsidRDefault="00E45ED8" w:rsidP="00136460"/>
    <w:p w14:paraId="7CCCD803" w14:textId="77777777" w:rsidR="00E45ED8" w:rsidRDefault="00E45ED8" w:rsidP="00E45ED8">
      <w:pPr>
        <w:jc w:val="both"/>
        <w:rPr>
          <w:rFonts w:ascii="Arial" w:hAnsi="Arial" w:cs="Arial"/>
        </w:rPr>
      </w:pPr>
      <w:r w:rsidRPr="00D16BD0">
        <w:rPr>
          <w:rFonts w:ascii="Arial" w:hAnsi="Arial" w:cs="Arial"/>
        </w:rPr>
        <w:t xml:space="preserve">Ali, M., O. </w:t>
      </w:r>
      <w:proofErr w:type="spellStart"/>
      <w:r w:rsidRPr="00D16BD0">
        <w:rPr>
          <w:rFonts w:ascii="Arial" w:hAnsi="Arial" w:cs="Arial"/>
        </w:rPr>
        <w:t>Fjelstad</w:t>
      </w:r>
      <w:proofErr w:type="spellEnd"/>
      <w:r w:rsidRPr="00D16BD0">
        <w:rPr>
          <w:rFonts w:ascii="Arial" w:hAnsi="Arial" w:cs="Arial"/>
        </w:rPr>
        <w:t xml:space="preserve">, and I. </w:t>
      </w:r>
      <w:proofErr w:type="spellStart"/>
      <w:r w:rsidRPr="00D16BD0">
        <w:rPr>
          <w:rFonts w:ascii="Arial" w:hAnsi="Arial" w:cs="Arial"/>
        </w:rPr>
        <w:t>Sjursen</w:t>
      </w:r>
      <w:proofErr w:type="spellEnd"/>
      <w:r w:rsidRPr="00D16BD0">
        <w:rPr>
          <w:rFonts w:ascii="Arial" w:hAnsi="Arial" w:cs="Arial"/>
        </w:rPr>
        <w:t xml:space="preserve">. 2014. To Pay or Not to Pay? Citizens’ Attitudes </w:t>
      </w:r>
      <w:proofErr w:type="spellStart"/>
      <w:r w:rsidRPr="00D16BD0">
        <w:rPr>
          <w:rFonts w:ascii="Arial" w:hAnsi="Arial" w:cs="Arial"/>
          <w:spacing w:val="-2"/>
        </w:rPr>
        <w:t>Toward</w:t>
      </w:r>
      <w:r w:rsidRPr="00D16BD0">
        <w:rPr>
          <w:rFonts w:ascii="Arial" w:hAnsi="Arial" w:cs="Arial"/>
        </w:rPr>
        <w:t>Taxation</w:t>
      </w:r>
      <w:proofErr w:type="spellEnd"/>
      <w:r w:rsidRPr="00D16BD0">
        <w:rPr>
          <w:rFonts w:ascii="Arial" w:hAnsi="Arial" w:cs="Arial"/>
        </w:rPr>
        <w:t xml:space="preserve"> in Kenya, Tanzania, Uganda, and South Africa. </w:t>
      </w:r>
      <w:r w:rsidRPr="00D16BD0">
        <w:rPr>
          <w:rFonts w:ascii="Arial" w:hAnsi="Arial" w:cs="Arial"/>
          <w:i/>
        </w:rPr>
        <w:t xml:space="preserve">World Development </w:t>
      </w:r>
      <w:r w:rsidRPr="00D16BD0">
        <w:rPr>
          <w:rFonts w:ascii="Arial" w:hAnsi="Arial" w:cs="Arial"/>
        </w:rPr>
        <w:t>64: 828–</w:t>
      </w:r>
      <w:r w:rsidRPr="00D16BD0">
        <w:rPr>
          <w:rFonts w:ascii="Arial" w:hAnsi="Arial" w:cs="Arial"/>
          <w:spacing w:val="-4"/>
        </w:rPr>
        <w:t xml:space="preserve">842. </w:t>
      </w:r>
      <w:hyperlink r:id="rId19">
        <w:r w:rsidRPr="00D16BD0">
          <w:rPr>
            <w:rFonts w:ascii="Arial" w:hAnsi="Arial" w:cs="Arial"/>
            <w:spacing w:val="-2"/>
          </w:rPr>
          <w:t>https://doi.org/10.1016/j.worlddev.2014.07.006</w:t>
        </w:r>
      </w:hyperlink>
      <w:r>
        <w:rPr>
          <w:rFonts w:ascii="Arial" w:hAnsi="Arial" w:cs="Arial"/>
        </w:rPr>
        <w:t>.</w:t>
      </w:r>
    </w:p>
    <w:p w14:paraId="4075DCE6" w14:textId="77777777" w:rsidR="00230CF4" w:rsidRDefault="00230CF4" w:rsidP="00E45ED8">
      <w:pPr>
        <w:jc w:val="both"/>
        <w:rPr>
          <w:rFonts w:ascii="Arial" w:hAnsi="Arial" w:cs="Arial"/>
        </w:rPr>
      </w:pPr>
    </w:p>
    <w:p w14:paraId="4152AF2C" w14:textId="297684C4" w:rsidR="00230CF4" w:rsidRPr="00DB7697" w:rsidRDefault="00230CF4" w:rsidP="00230CF4">
      <w:pPr>
        <w:jc w:val="both"/>
        <w:rPr>
          <w:rFonts w:ascii="Arial" w:hAnsi="Arial" w:cs="Arial"/>
        </w:rPr>
      </w:pPr>
      <w:r w:rsidRPr="00DB7697">
        <w:rPr>
          <w:rFonts w:ascii="Arial" w:hAnsi="Arial" w:cs="Arial"/>
        </w:rPr>
        <w:t xml:space="preserve">Awasthi, R., &amp; </w:t>
      </w:r>
      <w:proofErr w:type="spellStart"/>
      <w:r w:rsidRPr="00DB7697">
        <w:rPr>
          <w:rFonts w:ascii="Arial" w:hAnsi="Arial" w:cs="Arial"/>
        </w:rPr>
        <w:t>Engelschalk</w:t>
      </w:r>
      <w:proofErr w:type="spellEnd"/>
      <w:r w:rsidRPr="00DB7697">
        <w:rPr>
          <w:rFonts w:ascii="Arial" w:hAnsi="Arial" w:cs="Arial"/>
        </w:rPr>
        <w:t>, M. (2018). Taxation and the shadow economy: How the tax system can stimulate and enforce the formalization of business activities. The World Bank Group.</w:t>
      </w:r>
    </w:p>
    <w:p w14:paraId="616332DB" w14:textId="77777777" w:rsidR="00230CF4" w:rsidRDefault="00230CF4" w:rsidP="00230CF4">
      <w:pPr>
        <w:jc w:val="both"/>
        <w:rPr>
          <w:rFonts w:ascii="Arial" w:hAnsi="Arial" w:cs="Arial"/>
        </w:rPr>
      </w:pPr>
    </w:p>
    <w:p w14:paraId="65A41E07" w14:textId="77777777" w:rsidR="00320850" w:rsidRPr="00320850" w:rsidRDefault="00C77059" w:rsidP="00320850">
      <w:pPr>
        <w:jc w:val="both"/>
        <w:rPr>
          <w:rFonts w:ascii="Arial" w:hAnsi="Arial" w:cs="Arial"/>
        </w:rPr>
      </w:pPr>
      <w:hyperlink r:id="rId20" w:tooltip="Rida Belahouaoui" w:history="1">
        <w:r w:rsidR="00320850" w:rsidRPr="00320850">
          <w:rPr>
            <w:rStyle w:val="Hyperlink"/>
            <w:rFonts w:ascii="Arial" w:hAnsi="Arial" w:cs="Arial"/>
            <w:color w:val="auto"/>
            <w:u w:val="none"/>
          </w:rPr>
          <w:t>Belahouaoui, R.</w:t>
        </w:r>
      </w:hyperlink>
      <w:r w:rsidR="00320850" w:rsidRPr="00320850">
        <w:rPr>
          <w:rFonts w:ascii="Arial" w:hAnsi="Arial" w:cs="Arial"/>
        </w:rPr>
        <w:t> and </w:t>
      </w:r>
      <w:hyperlink r:id="rId21" w:tooltip="El Houssain Attak" w:history="1">
        <w:r w:rsidR="00320850" w:rsidRPr="00320850">
          <w:rPr>
            <w:rStyle w:val="Hyperlink"/>
            <w:rFonts w:ascii="Arial" w:hAnsi="Arial" w:cs="Arial"/>
            <w:color w:val="auto"/>
            <w:u w:val="none"/>
          </w:rPr>
          <w:t>Attak, E.H.</w:t>
        </w:r>
      </w:hyperlink>
      <w:r w:rsidR="00320850" w:rsidRPr="00320850">
        <w:rPr>
          <w:rFonts w:ascii="Arial" w:hAnsi="Arial" w:cs="Arial"/>
        </w:rPr>
        <w:t> (2023), "The importance of perceived fairness regarding tax burden in compliance behavior: a qualitative study using the Delphi method in Morocco", </w:t>
      </w:r>
      <w:hyperlink r:id="rId22" w:history="1">
        <w:r w:rsidR="00320850" w:rsidRPr="00320850">
          <w:rPr>
            <w:rStyle w:val="Hyperlink"/>
            <w:rFonts w:ascii="Arial" w:hAnsi="Arial" w:cs="Arial"/>
            <w:color w:val="auto"/>
            <w:u w:val="none"/>
          </w:rPr>
          <w:t>Journal of Financial Reporting and Accounting</w:t>
        </w:r>
      </w:hyperlink>
      <w:r w:rsidR="00320850" w:rsidRPr="00320850">
        <w:rPr>
          <w:rFonts w:ascii="Arial" w:hAnsi="Arial" w:cs="Arial"/>
        </w:rPr>
        <w:t>.  </w:t>
      </w:r>
      <w:hyperlink r:id="rId23" w:tooltip="DOI: https://doi.org/10.1108/JFRA-04-2023-0213" w:history="1">
        <w:r w:rsidR="00320850" w:rsidRPr="00320850">
          <w:rPr>
            <w:rStyle w:val="Hyperlink"/>
            <w:rFonts w:ascii="Arial" w:hAnsi="Arial" w:cs="Arial"/>
            <w:color w:val="auto"/>
            <w:u w:val="none"/>
          </w:rPr>
          <w:t>https://doi.org/10.1108/JFRA-04-2023-0213</w:t>
        </w:r>
      </w:hyperlink>
    </w:p>
    <w:p w14:paraId="70D99132" w14:textId="77777777" w:rsidR="00320850" w:rsidRDefault="00320850" w:rsidP="00230CF4">
      <w:pPr>
        <w:rPr>
          <w:rFonts w:ascii="Arial" w:hAnsi="Arial" w:cs="Arial"/>
        </w:rPr>
      </w:pPr>
    </w:p>
    <w:p w14:paraId="22D9AD12" w14:textId="77777777" w:rsidR="00230CF4" w:rsidRDefault="00230CF4" w:rsidP="00230CF4">
      <w:pPr>
        <w:jc w:val="both"/>
        <w:rPr>
          <w:rFonts w:ascii="Arial" w:hAnsi="Arial" w:cs="Arial"/>
        </w:rPr>
      </w:pPr>
      <w:proofErr w:type="spellStart"/>
      <w:r w:rsidRPr="002D0D93">
        <w:rPr>
          <w:rFonts w:ascii="Arial" w:hAnsi="Arial" w:cs="Arial"/>
        </w:rPr>
        <w:t>Belahouaoui</w:t>
      </w:r>
      <w:proofErr w:type="spellEnd"/>
      <w:r w:rsidRPr="002D0D93">
        <w:rPr>
          <w:rFonts w:ascii="Arial" w:hAnsi="Arial" w:cs="Arial"/>
        </w:rPr>
        <w:t>,</w:t>
      </w:r>
      <w:r w:rsidRPr="002D0D93">
        <w:rPr>
          <w:rFonts w:ascii="Arial" w:hAnsi="Arial" w:cs="Arial"/>
          <w:spacing w:val="-5"/>
        </w:rPr>
        <w:t xml:space="preserve"> </w:t>
      </w:r>
      <w:r w:rsidRPr="002D0D93">
        <w:rPr>
          <w:rFonts w:ascii="Arial" w:hAnsi="Arial" w:cs="Arial"/>
        </w:rPr>
        <w:t>R.,</w:t>
      </w:r>
      <w:r w:rsidRPr="002D0D93">
        <w:rPr>
          <w:rFonts w:ascii="Arial" w:hAnsi="Arial" w:cs="Arial"/>
          <w:spacing w:val="-5"/>
        </w:rPr>
        <w:t xml:space="preserve"> </w:t>
      </w:r>
      <w:r w:rsidRPr="002D0D93">
        <w:rPr>
          <w:rFonts w:ascii="Arial" w:hAnsi="Arial" w:cs="Arial"/>
        </w:rPr>
        <w:t xml:space="preserve">&amp; </w:t>
      </w:r>
      <w:proofErr w:type="spellStart"/>
      <w:r w:rsidRPr="002D0D93">
        <w:rPr>
          <w:rFonts w:ascii="Arial" w:hAnsi="Arial" w:cs="Arial"/>
        </w:rPr>
        <w:t>Attak</w:t>
      </w:r>
      <w:proofErr w:type="spellEnd"/>
      <w:r w:rsidRPr="002D0D93">
        <w:rPr>
          <w:rFonts w:ascii="Arial" w:hAnsi="Arial" w:cs="Arial"/>
        </w:rPr>
        <w:t>,</w:t>
      </w:r>
      <w:r w:rsidRPr="002D0D93">
        <w:rPr>
          <w:rFonts w:ascii="Arial" w:hAnsi="Arial" w:cs="Arial"/>
          <w:spacing w:val="-1"/>
        </w:rPr>
        <w:t xml:space="preserve"> </w:t>
      </w:r>
      <w:r w:rsidRPr="002D0D93">
        <w:rPr>
          <w:rFonts w:ascii="Arial" w:hAnsi="Arial" w:cs="Arial"/>
        </w:rPr>
        <w:t>E.</w:t>
      </w:r>
      <w:r w:rsidRPr="002D0D93">
        <w:rPr>
          <w:rFonts w:ascii="Arial" w:hAnsi="Arial" w:cs="Arial"/>
          <w:spacing w:val="-1"/>
        </w:rPr>
        <w:t xml:space="preserve"> </w:t>
      </w:r>
      <w:r w:rsidRPr="002D0D93">
        <w:rPr>
          <w:rFonts w:ascii="Arial" w:hAnsi="Arial" w:cs="Arial"/>
        </w:rPr>
        <w:t>H.</w:t>
      </w:r>
      <w:r w:rsidRPr="002D0D93">
        <w:rPr>
          <w:rFonts w:ascii="Arial" w:hAnsi="Arial" w:cs="Arial"/>
          <w:spacing w:val="-1"/>
        </w:rPr>
        <w:t xml:space="preserve"> </w:t>
      </w:r>
      <w:r w:rsidRPr="002D0D93">
        <w:rPr>
          <w:rFonts w:ascii="Arial" w:hAnsi="Arial" w:cs="Arial"/>
        </w:rPr>
        <w:t>(2024). Exploring the relationship between taxpayers</w:t>
      </w:r>
      <w:r w:rsidRPr="002D0D93">
        <w:rPr>
          <w:rFonts w:ascii="Arial" w:hAnsi="Arial" w:cs="Arial"/>
          <w:spacing w:val="-6"/>
        </w:rPr>
        <w:t xml:space="preserve"> </w:t>
      </w:r>
      <w:r w:rsidRPr="002D0D93">
        <w:rPr>
          <w:rFonts w:ascii="Arial" w:hAnsi="Arial" w:cs="Arial"/>
        </w:rPr>
        <w:t>and tax</w:t>
      </w:r>
      <w:r w:rsidRPr="002D0D93">
        <w:rPr>
          <w:rFonts w:ascii="Arial" w:hAnsi="Arial" w:cs="Arial"/>
          <w:spacing w:val="-4"/>
        </w:rPr>
        <w:t xml:space="preserve"> </w:t>
      </w:r>
      <w:r w:rsidRPr="002D0D93">
        <w:rPr>
          <w:rFonts w:ascii="Arial" w:hAnsi="Arial" w:cs="Arial"/>
        </w:rPr>
        <w:t>authorities</w:t>
      </w:r>
      <w:r w:rsidRPr="002D0D93">
        <w:rPr>
          <w:rFonts w:ascii="Arial" w:hAnsi="Arial" w:cs="Arial"/>
          <w:spacing w:val="-5"/>
        </w:rPr>
        <w:t xml:space="preserve"> </w:t>
      </w:r>
      <w:r w:rsidRPr="002D0D93">
        <w:rPr>
          <w:rFonts w:ascii="Arial" w:hAnsi="Arial" w:cs="Arial"/>
        </w:rPr>
        <w:t>in</w:t>
      </w:r>
      <w:r w:rsidRPr="002D0D93">
        <w:rPr>
          <w:rFonts w:ascii="Arial" w:hAnsi="Arial" w:cs="Arial"/>
          <w:spacing w:val="-3"/>
        </w:rPr>
        <w:t xml:space="preserve"> </w:t>
      </w:r>
      <w:r w:rsidRPr="002D0D93">
        <w:rPr>
          <w:rFonts w:ascii="Arial" w:hAnsi="Arial" w:cs="Arial"/>
        </w:rPr>
        <w:t>the</w:t>
      </w:r>
      <w:r w:rsidRPr="002D0D93">
        <w:rPr>
          <w:rFonts w:ascii="Arial" w:hAnsi="Arial" w:cs="Arial"/>
          <w:spacing w:val="-3"/>
        </w:rPr>
        <w:t xml:space="preserve"> </w:t>
      </w:r>
      <w:r w:rsidRPr="002D0D93">
        <w:rPr>
          <w:rFonts w:ascii="Arial" w:hAnsi="Arial" w:cs="Arial"/>
        </w:rPr>
        <w:t>digital</w:t>
      </w:r>
      <w:r w:rsidRPr="002D0D93">
        <w:rPr>
          <w:rFonts w:ascii="Arial" w:hAnsi="Arial" w:cs="Arial"/>
          <w:spacing w:val="-5"/>
        </w:rPr>
        <w:t xml:space="preserve"> </w:t>
      </w:r>
      <w:r w:rsidRPr="002D0D93">
        <w:rPr>
          <w:rFonts w:ascii="Arial" w:hAnsi="Arial" w:cs="Arial"/>
        </w:rPr>
        <w:t>era:</w:t>
      </w:r>
      <w:r w:rsidRPr="002D0D93">
        <w:rPr>
          <w:rFonts w:ascii="Arial" w:hAnsi="Arial" w:cs="Arial"/>
          <w:spacing w:val="-3"/>
        </w:rPr>
        <w:t xml:space="preserve"> </w:t>
      </w:r>
      <w:r w:rsidRPr="002D0D93">
        <w:rPr>
          <w:rFonts w:ascii="Arial" w:hAnsi="Arial" w:cs="Arial"/>
        </w:rPr>
        <w:t>evidence</w:t>
      </w:r>
      <w:r w:rsidRPr="002D0D93">
        <w:rPr>
          <w:rFonts w:ascii="Arial" w:hAnsi="Arial" w:cs="Arial"/>
          <w:spacing w:val="-3"/>
        </w:rPr>
        <w:t xml:space="preserve"> </w:t>
      </w:r>
      <w:r w:rsidRPr="002D0D93">
        <w:rPr>
          <w:rFonts w:ascii="Arial" w:hAnsi="Arial" w:cs="Arial"/>
        </w:rPr>
        <w:t>on</w:t>
      </w:r>
      <w:r w:rsidRPr="002D0D93">
        <w:rPr>
          <w:rFonts w:ascii="Arial" w:hAnsi="Arial" w:cs="Arial"/>
          <w:spacing w:val="-3"/>
        </w:rPr>
        <w:t xml:space="preserve"> </w:t>
      </w:r>
      <w:r w:rsidRPr="002D0D93">
        <w:rPr>
          <w:rFonts w:ascii="Arial" w:hAnsi="Arial" w:cs="Arial"/>
        </w:rPr>
        <w:t>tax</w:t>
      </w:r>
      <w:r w:rsidRPr="002D0D93">
        <w:rPr>
          <w:rFonts w:ascii="Arial" w:hAnsi="Arial" w:cs="Arial"/>
          <w:spacing w:val="-5"/>
        </w:rPr>
        <w:t xml:space="preserve"> </w:t>
      </w:r>
      <w:r w:rsidRPr="002D0D93">
        <w:rPr>
          <w:rFonts w:ascii="Arial" w:hAnsi="Arial" w:cs="Arial"/>
        </w:rPr>
        <w:t>compliance</w:t>
      </w:r>
      <w:r w:rsidRPr="002D0D93">
        <w:rPr>
          <w:rFonts w:ascii="Arial" w:hAnsi="Arial" w:cs="Arial"/>
          <w:spacing w:val="-3"/>
        </w:rPr>
        <w:t xml:space="preserve"> </w:t>
      </w:r>
      <w:r w:rsidRPr="002D0D93">
        <w:rPr>
          <w:rFonts w:ascii="Arial" w:hAnsi="Arial" w:cs="Arial"/>
        </w:rPr>
        <w:t>behavior</w:t>
      </w:r>
      <w:r w:rsidRPr="002D0D93">
        <w:rPr>
          <w:rFonts w:ascii="Arial" w:hAnsi="Arial" w:cs="Arial"/>
          <w:spacing w:val="-1"/>
        </w:rPr>
        <w:t xml:space="preserve"> </w:t>
      </w:r>
      <w:r w:rsidRPr="002D0D93">
        <w:rPr>
          <w:rFonts w:ascii="Arial" w:hAnsi="Arial" w:cs="Arial"/>
        </w:rPr>
        <w:t>in</w:t>
      </w:r>
      <w:r w:rsidRPr="002D0D93">
        <w:rPr>
          <w:rFonts w:ascii="Arial" w:hAnsi="Arial" w:cs="Arial"/>
          <w:spacing w:val="-3"/>
        </w:rPr>
        <w:t xml:space="preserve"> </w:t>
      </w:r>
      <w:r w:rsidRPr="002D0D93">
        <w:rPr>
          <w:rFonts w:ascii="Arial" w:hAnsi="Arial" w:cs="Arial"/>
        </w:rPr>
        <w:t>emerging economies. International Journal of Law and Management.</w:t>
      </w:r>
    </w:p>
    <w:p w14:paraId="361D433E" w14:textId="77777777" w:rsidR="00320850" w:rsidRDefault="00320850" w:rsidP="00230CF4">
      <w:pPr>
        <w:jc w:val="both"/>
        <w:rPr>
          <w:rFonts w:ascii="Arial" w:hAnsi="Arial" w:cs="Arial"/>
        </w:rPr>
      </w:pPr>
    </w:p>
    <w:p w14:paraId="3787439E" w14:textId="77777777" w:rsidR="00230CF4" w:rsidRPr="00D16BD0" w:rsidRDefault="00230CF4" w:rsidP="00230CF4">
      <w:pPr>
        <w:jc w:val="both"/>
        <w:rPr>
          <w:rFonts w:ascii="Arial" w:hAnsi="Arial" w:cs="Arial"/>
        </w:rPr>
      </w:pPr>
      <w:r w:rsidRPr="00D16BD0">
        <w:rPr>
          <w:rFonts w:ascii="Arial" w:hAnsi="Arial" w:cs="Arial"/>
        </w:rPr>
        <w:t>Bird, R. M. (2015). Improving tax administration in developing countries. Journal of Tax</w:t>
      </w:r>
    </w:p>
    <w:p w14:paraId="188A258D" w14:textId="03900B96" w:rsidR="00230CF4" w:rsidRDefault="00230CF4" w:rsidP="00230CF4">
      <w:pPr>
        <w:jc w:val="both"/>
      </w:pPr>
      <w:r w:rsidRPr="00D16BD0">
        <w:rPr>
          <w:rFonts w:ascii="Arial" w:hAnsi="Arial" w:cs="Arial"/>
        </w:rPr>
        <w:t>Administration, 1(1), 23-45. https://doi.org/10.5089/9781557753175.071.</w:t>
      </w:r>
      <w:r w:rsidR="00320850">
        <w:rPr>
          <w:rFonts w:ascii="Arial" w:hAnsi="Arial" w:cs="Arial"/>
        </w:rPr>
        <w:t xml:space="preserve"> </w:t>
      </w:r>
      <w:proofErr w:type="spellStart"/>
      <w:r>
        <w:t>Bobek</w:t>
      </w:r>
      <w:proofErr w:type="spellEnd"/>
      <w:r>
        <w:t>,</w:t>
      </w:r>
      <w:r>
        <w:rPr>
          <w:spacing w:val="-5"/>
        </w:rPr>
        <w:t xml:space="preserve"> </w:t>
      </w:r>
      <w:r>
        <w:t>Donna</w:t>
      </w:r>
      <w:r>
        <w:rPr>
          <w:spacing w:val="-8"/>
        </w:rPr>
        <w:t xml:space="preserve"> </w:t>
      </w:r>
      <w:r>
        <w:t>&amp;</w:t>
      </w:r>
      <w:r>
        <w:rPr>
          <w:spacing w:val="-5"/>
        </w:rPr>
        <w:t xml:space="preserve"> </w:t>
      </w:r>
      <w:r>
        <w:t>Hageman,</w:t>
      </w:r>
      <w:r>
        <w:rPr>
          <w:spacing w:val="-9"/>
        </w:rPr>
        <w:t xml:space="preserve"> </w:t>
      </w:r>
      <w:r>
        <w:t>Amy</w:t>
      </w:r>
      <w:r>
        <w:rPr>
          <w:spacing w:val="-6"/>
        </w:rPr>
        <w:t xml:space="preserve"> </w:t>
      </w:r>
      <w:r>
        <w:t>&amp;</w:t>
      </w:r>
      <w:r>
        <w:rPr>
          <w:spacing w:val="-5"/>
        </w:rPr>
        <w:t xml:space="preserve"> </w:t>
      </w:r>
      <w:proofErr w:type="spellStart"/>
      <w:r>
        <w:t>Kelliher</w:t>
      </w:r>
      <w:proofErr w:type="spellEnd"/>
      <w:r>
        <w:t>,</w:t>
      </w:r>
      <w:r>
        <w:rPr>
          <w:spacing w:val="-5"/>
        </w:rPr>
        <w:t xml:space="preserve"> </w:t>
      </w:r>
      <w:r>
        <w:t>Charles.</w:t>
      </w:r>
      <w:r>
        <w:rPr>
          <w:spacing w:val="-5"/>
        </w:rPr>
        <w:t xml:space="preserve"> </w:t>
      </w:r>
      <w:r>
        <w:t>(2012).</w:t>
      </w:r>
      <w:r>
        <w:rPr>
          <w:spacing w:val="-5"/>
        </w:rPr>
        <w:t xml:space="preserve"> </w:t>
      </w:r>
      <w:r>
        <w:t>Analyzing</w:t>
      </w:r>
      <w:r>
        <w:rPr>
          <w:spacing w:val="-5"/>
        </w:rPr>
        <w:t xml:space="preserve"> </w:t>
      </w:r>
      <w:r>
        <w:t>the</w:t>
      </w:r>
      <w:r>
        <w:rPr>
          <w:spacing w:val="-5"/>
        </w:rPr>
        <w:t xml:space="preserve"> </w:t>
      </w:r>
      <w:r>
        <w:t>Role</w:t>
      </w:r>
      <w:r>
        <w:rPr>
          <w:spacing w:val="-5"/>
        </w:rPr>
        <w:t xml:space="preserve"> </w:t>
      </w:r>
      <w:r>
        <w:t>of</w:t>
      </w:r>
      <w:r>
        <w:rPr>
          <w:spacing w:val="-6"/>
        </w:rPr>
        <w:t xml:space="preserve"> </w:t>
      </w:r>
      <w:r>
        <w:t>Social Norms in Tax Compliance Behavior. Journal of Business Ethics. 115. 10.1007/s10551-012-1390-</w:t>
      </w:r>
      <w:r>
        <w:rPr>
          <w:spacing w:val="80"/>
          <w:w w:val="150"/>
        </w:rPr>
        <w:t xml:space="preserve"> </w:t>
      </w:r>
      <w:r>
        <w:t>7.</w:t>
      </w:r>
    </w:p>
    <w:p w14:paraId="74CB5AFA" w14:textId="77777777" w:rsidR="00673A65" w:rsidRDefault="00673A65" w:rsidP="00230CF4">
      <w:pPr>
        <w:jc w:val="both"/>
      </w:pPr>
    </w:p>
    <w:p w14:paraId="68276664" w14:textId="7D0240F4" w:rsidR="00673A65" w:rsidRPr="00673A65" w:rsidRDefault="00673A65" w:rsidP="00673A65">
      <w:pPr>
        <w:jc w:val="both"/>
        <w:rPr>
          <w:rFonts w:ascii="Arial" w:hAnsi="Arial" w:cs="Arial"/>
        </w:rPr>
      </w:pPr>
      <w:bookmarkStart w:id="3" w:name="_Hlk202988415"/>
      <w:r w:rsidRPr="00673A65">
        <w:rPr>
          <w:rFonts w:ascii="Arial" w:hAnsi="Arial" w:cs="Arial"/>
        </w:rPr>
        <w:t xml:space="preserve">Bruno, Randolph Luca, </w:t>
      </w:r>
      <w:r>
        <w:rPr>
          <w:rFonts w:ascii="Arial" w:hAnsi="Arial" w:cs="Arial"/>
        </w:rPr>
        <w:t>(</w:t>
      </w:r>
      <w:r w:rsidRPr="00673A65">
        <w:rPr>
          <w:rFonts w:ascii="Arial" w:hAnsi="Arial" w:cs="Arial"/>
        </w:rPr>
        <w:t>2019</w:t>
      </w:r>
      <w:r>
        <w:rPr>
          <w:rFonts w:ascii="Arial" w:hAnsi="Arial" w:cs="Arial"/>
        </w:rPr>
        <w:t xml:space="preserve">). </w:t>
      </w:r>
      <w:hyperlink r:id="rId24" w:history="1">
        <w:r w:rsidRPr="00673A65">
          <w:rPr>
            <w:rStyle w:val="Hyperlink"/>
            <w:rFonts w:ascii="Arial" w:hAnsi="Arial" w:cs="Arial"/>
            <w:color w:val="auto"/>
            <w:u w:val="none"/>
          </w:rPr>
          <w:t>Tax enforcement, tax compliance and tax morale in transition economies: A theoretical model</w:t>
        </w:r>
      </w:hyperlink>
      <w:r w:rsidRPr="00673A65">
        <w:rPr>
          <w:rFonts w:ascii="Arial" w:hAnsi="Arial" w:cs="Arial"/>
        </w:rPr>
        <w:t>," </w:t>
      </w:r>
      <w:hyperlink r:id="rId25" w:history="1">
        <w:r w:rsidRPr="00673A65">
          <w:rPr>
            <w:rStyle w:val="Hyperlink"/>
            <w:rFonts w:ascii="Arial" w:hAnsi="Arial" w:cs="Arial"/>
            <w:color w:val="auto"/>
            <w:u w:val="none"/>
          </w:rPr>
          <w:t>European Journal of Political Economy</w:t>
        </w:r>
      </w:hyperlink>
      <w:r w:rsidRPr="00673A65">
        <w:rPr>
          <w:rFonts w:ascii="Arial" w:hAnsi="Arial" w:cs="Arial"/>
        </w:rPr>
        <w:t>, Elsevier, vol. 56(C), pages 193-211. DOI: 10.1016/j.ejpoleco.2018.08.006</w:t>
      </w:r>
    </w:p>
    <w:bookmarkEnd w:id="3"/>
    <w:p w14:paraId="51E6B3F9" w14:textId="77777777" w:rsidR="0050635B" w:rsidRDefault="0050635B" w:rsidP="00230CF4">
      <w:pPr>
        <w:jc w:val="both"/>
      </w:pPr>
    </w:p>
    <w:p w14:paraId="3EB92583" w14:textId="77777777" w:rsidR="0050635B" w:rsidRDefault="0050635B" w:rsidP="0018744C">
      <w:pPr>
        <w:rPr>
          <w:spacing w:val="-2"/>
        </w:rPr>
      </w:pPr>
      <w:proofErr w:type="spellStart"/>
      <w:r w:rsidRPr="00D16BD0">
        <w:t>Compio</w:t>
      </w:r>
      <w:proofErr w:type="spellEnd"/>
      <w:r w:rsidRPr="00D16BD0">
        <w:t xml:space="preserve">, M., Gadiel, S., Cruz, B., Timothy, M., </w:t>
      </w:r>
      <w:proofErr w:type="spellStart"/>
      <w:r w:rsidRPr="00D16BD0">
        <w:t>Gaurano</w:t>
      </w:r>
      <w:proofErr w:type="spellEnd"/>
      <w:r w:rsidRPr="00D16BD0">
        <w:t xml:space="preserve">, P., &amp; </w:t>
      </w:r>
      <w:proofErr w:type="spellStart"/>
      <w:r w:rsidRPr="00D16BD0">
        <w:t>Cabauatan</w:t>
      </w:r>
      <w:proofErr w:type="spellEnd"/>
      <w:r w:rsidRPr="00D16BD0">
        <w:t>, R. (2022). The Study on How Tax Reform for Acceleration and Inclusion Law (TRAIN) Affects Low-Income Class Families in Manila. International Journal of Social and Management</w:t>
      </w:r>
      <w:r>
        <w:t xml:space="preserve"> </w:t>
      </w:r>
      <w:r w:rsidRPr="00D16BD0">
        <w:t>Studies,</w:t>
      </w:r>
      <w:r>
        <w:t xml:space="preserve"> </w:t>
      </w:r>
      <w:r w:rsidRPr="00D16BD0">
        <w:t xml:space="preserve">3(05). </w:t>
      </w:r>
      <w:hyperlink r:id="rId26">
        <w:r w:rsidRPr="00D16BD0">
          <w:rPr>
            <w:rStyle w:val="Hyperlink"/>
            <w:rFonts w:ascii="Arial" w:hAnsi="Arial" w:cs="Arial"/>
            <w:color w:val="auto"/>
            <w:u w:val="none"/>
          </w:rPr>
          <w:t>https://www.ijosmas.org/index.php/ijosmas/article/download/168/124</w:t>
        </w:r>
      </w:hyperlink>
      <w:r>
        <w:rPr>
          <w:spacing w:val="-2"/>
        </w:rPr>
        <w:t>.</w:t>
      </w:r>
    </w:p>
    <w:p w14:paraId="790B5FC9" w14:textId="77777777" w:rsidR="0018744C" w:rsidRDefault="0018744C" w:rsidP="0018744C">
      <w:pPr>
        <w:rPr>
          <w:spacing w:val="-2"/>
        </w:rPr>
      </w:pPr>
    </w:p>
    <w:p w14:paraId="3C7FD459" w14:textId="77777777" w:rsidR="0018744C" w:rsidRDefault="0018744C" w:rsidP="0018744C">
      <w:r w:rsidRPr="00E957FD">
        <w:t>Fonseca Corona, F.J. Tax morale: a global scoping review from the cultural approach to economics. </w:t>
      </w:r>
      <w:r w:rsidRPr="00E957FD">
        <w:rPr>
          <w:i/>
          <w:iCs/>
        </w:rPr>
        <w:t>Int Rev Econ</w:t>
      </w:r>
      <w:r w:rsidRPr="00E957FD">
        <w:t> </w:t>
      </w:r>
      <w:r w:rsidRPr="00E957FD">
        <w:rPr>
          <w:b/>
          <w:bCs/>
        </w:rPr>
        <w:t>71</w:t>
      </w:r>
      <w:r w:rsidRPr="00E957FD">
        <w:t>, 343–365 (2024</w:t>
      </w:r>
      <w:r w:rsidRPr="0018744C">
        <w:rPr>
          <w:rFonts w:ascii="Arial" w:hAnsi="Arial" w:cs="Arial"/>
        </w:rPr>
        <w:t xml:space="preserve">). </w:t>
      </w:r>
      <w:hyperlink r:id="rId27" w:history="1">
        <w:r w:rsidRPr="0018744C">
          <w:rPr>
            <w:rStyle w:val="Hyperlink"/>
            <w:rFonts w:ascii="Arial" w:hAnsi="Arial" w:cs="Arial"/>
            <w:color w:val="auto"/>
            <w:u w:val="none"/>
          </w:rPr>
          <w:t>https://doi.org/10.1007/s12232-024-00446-x</w:t>
        </w:r>
      </w:hyperlink>
      <w:r w:rsidRPr="0018744C">
        <w:rPr>
          <w:rFonts w:ascii="Arial" w:hAnsi="Arial" w:cs="Arial"/>
        </w:rPr>
        <w:t>.</w:t>
      </w:r>
    </w:p>
    <w:p w14:paraId="628C6BE8" w14:textId="77777777" w:rsidR="0018744C" w:rsidRDefault="0018744C" w:rsidP="00230CF4">
      <w:pPr>
        <w:jc w:val="both"/>
        <w:rPr>
          <w:rFonts w:ascii="Arial" w:hAnsi="Arial" w:cs="Arial"/>
        </w:rPr>
      </w:pPr>
    </w:p>
    <w:p w14:paraId="65F02BC1" w14:textId="572FDF0A" w:rsidR="00230CF4" w:rsidRDefault="00230CF4" w:rsidP="00230CF4">
      <w:pPr>
        <w:jc w:val="both"/>
      </w:pPr>
      <w:r w:rsidRPr="002D0D93">
        <w:rPr>
          <w:rFonts w:ascii="Arial" w:hAnsi="Arial" w:cs="Arial"/>
        </w:rPr>
        <w:t xml:space="preserve">De Castro, J. A. C., Cordero, M. J. D., De Chavez, J. R., </w:t>
      </w:r>
      <w:proofErr w:type="spellStart"/>
      <w:r w:rsidRPr="002D0D93">
        <w:rPr>
          <w:rFonts w:ascii="Arial" w:hAnsi="Arial" w:cs="Arial"/>
        </w:rPr>
        <w:t>Gabia</w:t>
      </w:r>
      <w:proofErr w:type="spellEnd"/>
      <w:r w:rsidRPr="002D0D93">
        <w:rPr>
          <w:rFonts w:ascii="Arial" w:hAnsi="Arial" w:cs="Arial"/>
        </w:rPr>
        <w:t xml:space="preserve">, M. F. P., </w:t>
      </w:r>
      <w:proofErr w:type="spellStart"/>
      <w:r w:rsidRPr="002D0D93">
        <w:rPr>
          <w:rFonts w:ascii="Arial" w:hAnsi="Arial" w:cs="Arial"/>
        </w:rPr>
        <w:t>Mortel</w:t>
      </w:r>
      <w:proofErr w:type="spellEnd"/>
      <w:r w:rsidRPr="002D0D93">
        <w:rPr>
          <w:rFonts w:ascii="Arial" w:hAnsi="Arial" w:cs="Arial"/>
        </w:rPr>
        <w:t xml:space="preserve">, S. A. A., </w:t>
      </w:r>
      <w:proofErr w:type="spellStart"/>
      <w:r w:rsidRPr="002D0D93">
        <w:rPr>
          <w:rFonts w:ascii="Arial" w:hAnsi="Arial" w:cs="Arial"/>
        </w:rPr>
        <w:t>Yortas</w:t>
      </w:r>
      <w:proofErr w:type="spellEnd"/>
      <w:r w:rsidRPr="002D0D93">
        <w:rPr>
          <w:rFonts w:ascii="Arial" w:hAnsi="Arial" w:cs="Arial"/>
        </w:rPr>
        <w:t xml:space="preserve">, J. C., ... &amp; </w:t>
      </w:r>
      <w:proofErr w:type="spellStart"/>
      <w:r w:rsidRPr="002D0D93">
        <w:rPr>
          <w:rFonts w:ascii="Arial" w:hAnsi="Arial" w:cs="Arial"/>
        </w:rPr>
        <w:t>Pateña</w:t>
      </w:r>
      <w:proofErr w:type="spellEnd"/>
      <w:r w:rsidRPr="002D0D93">
        <w:rPr>
          <w:rFonts w:ascii="Arial" w:hAnsi="Arial" w:cs="Arial"/>
        </w:rPr>
        <w:t xml:space="preserve">, A. D. (2015). Awareness on BIR e-Filing and Payment </w:t>
      </w:r>
      <w:proofErr w:type="spellStart"/>
      <w:r w:rsidRPr="002D0D93">
        <w:rPr>
          <w:rFonts w:ascii="Arial" w:hAnsi="Arial" w:cs="Arial"/>
        </w:rPr>
        <w:t>Ssystem</w:t>
      </w:r>
      <w:proofErr w:type="spellEnd"/>
      <w:r w:rsidRPr="002D0D93">
        <w:rPr>
          <w:rFonts w:ascii="Arial" w:hAnsi="Arial" w:cs="Arial"/>
        </w:rPr>
        <w:t>: Basis for Efficient Revenue Transactions. Asia Pacific Journal of Academic   Research   in   Business   Administration, 1(1),</w:t>
      </w:r>
      <w:r>
        <w:rPr>
          <w:rFonts w:ascii="Arial" w:hAnsi="Arial" w:cs="Arial"/>
        </w:rPr>
        <w:t xml:space="preserve"> </w:t>
      </w:r>
      <w:r w:rsidRPr="002D0D93">
        <w:rPr>
          <w:rFonts w:ascii="Arial" w:hAnsi="Arial" w:cs="Arial"/>
        </w:rPr>
        <w:t>32-40.</w:t>
      </w:r>
      <w:r>
        <w:rPr>
          <w:rFonts w:ascii="Arial" w:hAnsi="Arial" w:cs="Arial"/>
        </w:rPr>
        <w:t xml:space="preserve"> </w:t>
      </w:r>
      <w:hyperlink r:id="rId28">
        <w:r w:rsidRPr="002D0D93">
          <w:rPr>
            <w:rStyle w:val="Hyperlink"/>
            <w:rFonts w:ascii="Arial" w:hAnsi="Arial" w:cs="Arial"/>
            <w:color w:val="auto"/>
            <w:u w:val="none"/>
          </w:rPr>
          <w:t>https://research.lpubatangas.edu.ph/wp-content/uploads/2015/05/APJARBA-</w:t>
        </w:r>
      </w:hyperlink>
      <w:r w:rsidRPr="002D0D93">
        <w:rPr>
          <w:rFonts w:ascii="Arial" w:hAnsi="Arial" w:cs="Arial"/>
        </w:rPr>
        <w:t xml:space="preserve"> </w:t>
      </w:r>
      <w:hyperlink r:id="rId29">
        <w:r w:rsidRPr="002D0D93">
          <w:rPr>
            <w:rStyle w:val="Hyperlink"/>
            <w:rFonts w:ascii="Arial" w:hAnsi="Arial" w:cs="Arial"/>
            <w:color w:val="auto"/>
            <w:u w:val="none"/>
          </w:rPr>
          <w:t>2015-1-</w:t>
        </w:r>
        <w:r w:rsidRPr="002D0D93">
          <w:rPr>
            <w:rStyle w:val="Hyperlink"/>
            <w:rFonts w:ascii="Arial" w:hAnsi="Arial" w:cs="Arial"/>
            <w:color w:val="auto"/>
            <w:u w:val="none"/>
          </w:rPr>
          <w:tab/>
          <w:t>004-Awareness-on-BIR-E-Filing-and-Payment-System.pdf</w:t>
        </w:r>
      </w:hyperlink>
      <w:r w:rsidR="008A051F">
        <w:t>.</w:t>
      </w:r>
    </w:p>
    <w:p w14:paraId="20A8E4DA" w14:textId="77777777" w:rsidR="008A051F" w:rsidRDefault="008A051F" w:rsidP="00230CF4">
      <w:pPr>
        <w:jc w:val="both"/>
      </w:pPr>
    </w:p>
    <w:p w14:paraId="2B8CB3BB" w14:textId="256D11C1" w:rsidR="008A051F" w:rsidRPr="008A051F" w:rsidRDefault="008A051F" w:rsidP="00230CF4">
      <w:pPr>
        <w:jc w:val="both"/>
        <w:rPr>
          <w:rFonts w:ascii="Arial" w:hAnsi="Arial" w:cs="Arial"/>
        </w:rPr>
      </w:pPr>
      <w:r w:rsidRPr="008A051F">
        <w:rPr>
          <w:rFonts w:ascii="Arial" w:hAnsi="Arial" w:cs="Arial"/>
        </w:rPr>
        <w:t xml:space="preserve">Devi, </w:t>
      </w:r>
      <w:proofErr w:type="spellStart"/>
      <w:r w:rsidRPr="008A051F">
        <w:rPr>
          <w:rFonts w:ascii="Arial" w:hAnsi="Arial" w:cs="Arial"/>
        </w:rPr>
        <w:t>Barkha</w:t>
      </w:r>
      <w:proofErr w:type="spellEnd"/>
      <w:r w:rsidRPr="008A051F">
        <w:rPr>
          <w:rFonts w:ascii="Arial" w:hAnsi="Arial" w:cs="Arial"/>
        </w:rPr>
        <w:t xml:space="preserve"> &amp; </w:t>
      </w:r>
      <w:proofErr w:type="spellStart"/>
      <w:r w:rsidRPr="008A051F">
        <w:rPr>
          <w:rFonts w:ascii="Arial" w:hAnsi="Arial" w:cs="Arial"/>
        </w:rPr>
        <w:t>Lepcha</w:t>
      </w:r>
      <w:proofErr w:type="spellEnd"/>
      <w:r w:rsidRPr="008A051F">
        <w:rPr>
          <w:rFonts w:ascii="Arial" w:hAnsi="Arial" w:cs="Arial"/>
        </w:rPr>
        <w:t xml:space="preserve">, </w:t>
      </w:r>
      <w:proofErr w:type="spellStart"/>
      <w:r w:rsidRPr="008A051F">
        <w:rPr>
          <w:rFonts w:ascii="Arial" w:hAnsi="Arial" w:cs="Arial"/>
        </w:rPr>
        <w:t>Mrs</w:t>
      </w:r>
      <w:proofErr w:type="spellEnd"/>
      <w:r w:rsidRPr="008A051F">
        <w:rPr>
          <w:rFonts w:ascii="Arial" w:hAnsi="Arial" w:cs="Arial"/>
        </w:rPr>
        <w:t xml:space="preserve"> &amp; Basnet, </w:t>
      </w:r>
      <w:proofErr w:type="spellStart"/>
      <w:r w:rsidRPr="008A051F">
        <w:rPr>
          <w:rFonts w:ascii="Arial" w:hAnsi="Arial" w:cs="Arial"/>
        </w:rPr>
        <w:t>Shakeela</w:t>
      </w:r>
      <w:proofErr w:type="spellEnd"/>
      <w:r w:rsidRPr="008A051F">
        <w:rPr>
          <w:rFonts w:ascii="Arial" w:hAnsi="Arial" w:cs="Arial"/>
        </w:rPr>
        <w:t xml:space="preserve">. (2023). APPLICATION OF CORRELATIONAL RESEARCH DESIGN IN NURSING AND MEDICAL RESEARCH. Xi'an </w:t>
      </w:r>
      <w:proofErr w:type="spellStart"/>
      <w:r w:rsidRPr="008A051F">
        <w:rPr>
          <w:rFonts w:ascii="Arial" w:hAnsi="Arial" w:cs="Arial"/>
        </w:rPr>
        <w:t>Shiyou</w:t>
      </w:r>
      <w:proofErr w:type="spellEnd"/>
      <w:r w:rsidRPr="008A051F">
        <w:rPr>
          <w:rFonts w:ascii="Arial" w:hAnsi="Arial" w:cs="Arial"/>
        </w:rPr>
        <w:t xml:space="preserve"> </w:t>
      </w:r>
      <w:proofErr w:type="spellStart"/>
      <w:r w:rsidRPr="008A051F">
        <w:rPr>
          <w:rFonts w:ascii="Arial" w:hAnsi="Arial" w:cs="Arial"/>
        </w:rPr>
        <w:t>Daxue</w:t>
      </w:r>
      <w:proofErr w:type="spellEnd"/>
      <w:r w:rsidRPr="008A051F">
        <w:rPr>
          <w:rFonts w:ascii="Arial" w:hAnsi="Arial" w:cs="Arial"/>
        </w:rPr>
        <w:t xml:space="preserve"> </w:t>
      </w:r>
      <w:proofErr w:type="spellStart"/>
      <w:r w:rsidRPr="008A051F">
        <w:rPr>
          <w:rFonts w:ascii="Arial" w:hAnsi="Arial" w:cs="Arial"/>
        </w:rPr>
        <w:t>Xuebao</w:t>
      </w:r>
      <w:proofErr w:type="spellEnd"/>
      <w:r w:rsidRPr="008A051F">
        <w:rPr>
          <w:rFonts w:ascii="Arial" w:hAnsi="Arial" w:cs="Arial"/>
        </w:rPr>
        <w:t xml:space="preserve"> (</w:t>
      </w:r>
      <w:proofErr w:type="spellStart"/>
      <w:r w:rsidRPr="008A051F">
        <w:rPr>
          <w:rFonts w:ascii="Arial" w:hAnsi="Arial" w:cs="Arial"/>
        </w:rPr>
        <w:t>Ziran</w:t>
      </w:r>
      <w:proofErr w:type="spellEnd"/>
      <w:r w:rsidRPr="008A051F">
        <w:rPr>
          <w:rFonts w:ascii="Arial" w:hAnsi="Arial" w:cs="Arial"/>
        </w:rPr>
        <w:t xml:space="preserve"> </w:t>
      </w:r>
      <w:proofErr w:type="spellStart"/>
      <w:r w:rsidRPr="008A051F">
        <w:rPr>
          <w:rFonts w:ascii="Arial" w:hAnsi="Arial" w:cs="Arial"/>
        </w:rPr>
        <w:t>Kexue</w:t>
      </w:r>
      <w:proofErr w:type="spellEnd"/>
      <w:r w:rsidRPr="008A051F">
        <w:rPr>
          <w:rFonts w:ascii="Arial" w:hAnsi="Arial" w:cs="Arial"/>
        </w:rPr>
        <w:t xml:space="preserve"> Ban)/Journal of Xi'an </w:t>
      </w:r>
      <w:proofErr w:type="spellStart"/>
      <w:r w:rsidRPr="008A051F">
        <w:rPr>
          <w:rFonts w:ascii="Arial" w:hAnsi="Arial" w:cs="Arial"/>
        </w:rPr>
        <w:t>Shiyou</w:t>
      </w:r>
      <w:proofErr w:type="spellEnd"/>
      <w:r w:rsidRPr="008A051F">
        <w:rPr>
          <w:rFonts w:ascii="Arial" w:hAnsi="Arial" w:cs="Arial"/>
        </w:rPr>
        <w:t xml:space="preserve"> University. 65. 60-69. 10.17605/OSF.IO/YRZ68.</w:t>
      </w:r>
    </w:p>
    <w:p w14:paraId="59CB1C0F" w14:textId="77777777" w:rsidR="00230CF4" w:rsidRDefault="00230CF4" w:rsidP="00230CF4">
      <w:pPr>
        <w:jc w:val="both"/>
      </w:pPr>
    </w:p>
    <w:p w14:paraId="3D3F454D" w14:textId="77777777" w:rsidR="00230CF4" w:rsidRDefault="00230CF4" w:rsidP="00230CF4">
      <w:r w:rsidRPr="005A690F">
        <w:t xml:space="preserve">Devos, K. (2014). Factors influencing individual taxpayer compliance </w:t>
      </w:r>
      <w:proofErr w:type="spellStart"/>
      <w:r w:rsidRPr="005A690F">
        <w:t>behaviour</w:t>
      </w:r>
      <w:proofErr w:type="spellEnd"/>
      <w:r w:rsidRPr="005A690F">
        <w:t>. https://link.springer.com/book/10.1007/978-94-007-7476-6.</w:t>
      </w:r>
    </w:p>
    <w:p w14:paraId="6D24F105" w14:textId="77777777" w:rsidR="00230CF4" w:rsidRPr="002D0D93" w:rsidRDefault="00230CF4" w:rsidP="00230CF4">
      <w:pPr>
        <w:jc w:val="both"/>
        <w:rPr>
          <w:rFonts w:ascii="Arial" w:hAnsi="Arial" w:cs="Arial"/>
        </w:rPr>
      </w:pPr>
    </w:p>
    <w:p w14:paraId="3BBFE2A8" w14:textId="1E5C1C96" w:rsidR="00230CF4" w:rsidRDefault="00230CF4" w:rsidP="00230CF4">
      <w:pPr>
        <w:jc w:val="both"/>
      </w:pPr>
      <w:r w:rsidRPr="00412D0D">
        <w:rPr>
          <w:rFonts w:ascii="Arial" w:hAnsi="Arial" w:cs="Arial"/>
        </w:rPr>
        <w:t>DOF, (2024). BIR ramps up tax compliance and enforcement drives in 2023, results in higher collection</w:t>
      </w:r>
      <w:r w:rsidRPr="00412D0D">
        <w:rPr>
          <w:rFonts w:ascii="Arial" w:hAnsi="Arial" w:cs="Arial"/>
        </w:rPr>
        <w:tab/>
        <w:t>performance.</w:t>
      </w:r>
      <w:r w:rsidRPr="00412D0D">
        <w:rPr>
          <w:rFonts w:ascii="Arial" w:hAnsi="Arial" w:cs="Arial"/>
        </w:rPr>
        <w:tab/>
        <w:t>Department</w:t>
      </w:r>
      <w:r w:rsidRPr="00412D0D">
        <w:rPr>
          <w:rFonts w:ascii="Arial" w:hAnsi="Arial" w:cs="Arial"/>
        </w:rPr>
        <w:tab/>
        <w:t>of</w:t>
      </w:r>
      <w:r w:rsidRPr="00412D0D">
        <w:rPr>
          <w:rFonts w:ascii="Arial" w:hAnsi="Arial" w:cs="Arial"/>
        </w:rPr>
        <w:tab/>
        <w:t>Finance. https://</w:t>
      </w:r>
      <w:hyperlink r:id="rId30">
        <w:r w:rsidRPr="00412D0D">
          <w:rPr>
            <w:rStyle w:val="Hyperlink"/>
            <w:rFonts w:ascii="Arial" w:hAnsi="Arial" w:cs="Arial"/>
            <w:color w:val="auto"/>
            <w:u w:val="none"/>
          </w:rPr>
          <w:t>www.dof.gov.ph/bir-</w:t>
        </w:r>
      </w:hyperlink>
      <w:r w:rsidRPr="00412D0D">
        <w:rPr>
          <w:rFonts w:ascii="Arial" w:hAnsi="Arial" w:cs="Arial"/>
        </w:rPr>
        <w:t xml:space="preserve"> ramps- up-tax-compliance-and-enforcement-drives- in-2023-</w:t>
      </w:r>
      <w:r w:rsidRPr="00412D0D">
        <w:rPr>
          <w:rFonts w:ascii="Arial" w:hAnsi="Arial" w:cs="Arial"/>
        </w:rPr>
        <w:lastRenderedPageBreak/>
        <w:t>results-in-higher-</w:t>
      </w:r>
      <w:r>
        <w:rPr>
          <w:rFonts w:ascii="Arial" w:hAnsi="Arial" w:cs="Arial"/>
        </w:rPr>
        <w:t xml:space="preserve"> </w:t>
      </w:r>
      <w:r w:rsidRPr="00412D0D">
        <w:rPr>
          <w:rFonts w:ascii="Arial" w:hAnsi="Arial" w:cs="Arial"/>
        </w:rPr>
        <w:t>collection-</w:t>
      </w:r>
      <w:r>
        <w:t>performance/?cf_chl_tk=gaqPYovux0Pz6Xh0RZ9xguNqLLmzpLgIN3lZRYWfs Y8-</w:t>
      </w:r>
      <w:r>
        <w:rPr>
          <w:spacing w:val="80"/>
        </w:rPr>
        <w:t xml:space="preserve"> 1730943207</w:t>
      </w:r>
      <w:r>
        <w:t>-1.0.1.1-y3ZlGfs9o0FgdFjSxnJREw.EF7Tgac5ryB4fLl18puI.</w:t>
      </w:r>
    </w:p>
    <w:p w14:paraId="1A75DA96" w14:textId="77777777" w:rsidR="005A690F" w:rsidRDefault="005A690F" w:rsidP="005A690F">
      <w:pPr>
        <w:jc w:val="both"/>
      </w:pPr>
    </w:p>
    <w:p w14:paraId="2F012895" w14:textId="77777777" w:rsidR="00230CF4" w:rsidRDefault="00230CF4" w:rsidP="00230CF4">
      <w:pPr>
        <w:pStyle w:val="BodyText"/>
        <w:rPr>
          <w:spacing w:val="-2"/>
        </w:rPr>
      </w:pPr>
      <w:r w:rsidRPr="0050635B">
        <w:t>Eriksen,</w:t>
      </w:r>
      <w:r w:rsidRPr="0050635B">
        <w:rPr>
          <w:spacing w:val="-6"/>
        </w:rPr>
        <w:t xml:space="preserve"> </w:t>
      </w:r>
      <w:r w:rsidRPr="0050635B">
        <w:t>K.,</w:t>
      </w:r>
      <w:r w:rsidRPr="0050635B">
        <w:rPr>
          <w:spacing w:val="-1"/>
        </w:rPr>
        <w:t xml:space="preserve"> </w:t>
      </w:r>
      <w:r w:rsidRPr="0050635B">
        <w:t>&amp;</w:t>
      </w:r>
      <w:r w:rsidRPr="0050635B">
        <w:rPr>
          <w:spacing w:val="-6"/>
        </w:rPr>
        <w:t xml:space="preserve"> </w:t>
      </w:r>
      <w:proofErr w:type="spellStart"/>
      <w:r w:rsidRPr="0050635B">
        <w:t>Fallan</w:t>
      </w:r>
      <w:proofErr w:type="spellEnd"/>
      <w:r w:rsidRPr="0050635B">
        <w:t>,</w:t>
      </w:r>
      <w:r w:rsidRPr="0050635B">
        <w:rPr>
          <w:spacing w:val="-5"/>
        </w:rPr>
        <w:t xml:space="preserve"> </w:t>
      </w:r>
      <w:r w:rsidRPr="0050635B">
        <w:t>L.</w:t>
      </w:r>
      <w:r w:rsidRPr="0050635B">
        <w:rPr>
          <w:spacing w:val="-2"/>
        </w:rPr>
        <w:t xml:space="preserve"> </w:t>
      </w:r>
      <w:r w:rsidRPr="0050635B">
        <w:t>(2016).</w:t>
      </w:r>
      <w:r w:rsidRPr="0050635B">
        <w:rPr>
          <w:spacing w:val="-1"/>
        </w:rPr>
        <w:t xml:space="preserve"> </w:t>
      </w:r>
      <w:r w:rsidRPr="0050635B">
        <w:t>Tax</w:t>
      </w:r>
      <w:r w:rsidRPr="0050635B">
        <w:rPr>
          <w:spacing w:val="-2"/>
        </w:rPr>
        <w:t xml:space="preserve"> </w:t>
      </w:r>
      <w:r w:rsidRPr="0050635B">
        <w:t>knowledge</w:t>
      </w:r>
      <w:r w:rsidRPr="0050635B">
        <w:rPr>
          <w:spacing w:val="-6"/>
        </w:rPr>
        <w:t xml:space="preserve"> </w:t>
      </w:r>
      <w:r w:rsidRPr="0050635B">
        <w:t>and attitudes</w:t>
      </w:r>
      <w:r w:rsidRPr="0050635B">
        <w:rPr>
          <w:spacing w:val="-3"/>
        </w:rPr>
        <w:t xml:space="preserve"> </w:t>
      </w:r>
      <w:r w:rsidRPr="0050635B">
        <w:t>towards</w:t>
      </w:r>
      <w:r w:rsidRPr="0050635B">
        <w:rPr>
          <w:spacing w:val="-7"/>
        </w:rPr>
        <w:t xml:space="preserve"> </w:t>
      </w:r>
      <w:r w:rsidRPr="0050635B">
        <w:rPr>
          <w:spacing w:val="-2"/>
        </w:rPr>
        <w:t>taxation.</w:t>
      </w:r>
    </w:p>
    <w:p w14:paraId="508C7C97" w14:textId="77777777" w:rsidR="0050635B" w:rsidRPr="00D16BD0" w:rsidRDefault="0050635B" w:rsidP="0050635B">
      <w:pPr>
        <w:jc w:val="both"/>
        <w:rPr>
          <w:rFonts w:ascii="Arial" w:hAnsi="Arial" w:cs="Arial"/>
        </w:rPr>
      </w:pPr>
      <w:proofErr w:type="spellStart"/>
      <w:r w:rsidRPr="00D16BD0">
        <w:rPr>
          <w:rFonts w:ascii="Arial" w:hAnsi="Arial" w:cs="Arial"/>
        </w:rPr>
        <w:t>Fatoki</w:t>
      </w:r>
      <w:proofErr w:type="spellEnd"/>
      <w:r w:rsidRPr="00D16BD0">
        <w:rPr>
          <w:rFonts w:ascii="Arial" w:hAnsi="Arial" w:cs="Arial"/>
        </w:rPr>
        <w:t>, O. (2019). The financial literacy of micro-entrepreneurs in South Africa. Journal of Social</w:t>
      </w:r>
      <w:r w:rsidRPr="00D16BD0">
        <w:rPr>
          <w:rFonts w:ascii="Arial" w:hAnsi="Arial" w:cs="Arial"/>
        </w:rPr>
        <w:tab/>
        <w:t>Science,</w:t>
      </w:r>
      <w:r w:rsidRPr="00D16BD0">
        <w:rPr>
          <w:rFonts w:ascii="Arial" w:hAnsi="Arial" w:cs="Arial"/>
        </w:rPr>
        <w:tab/>
        <w:t>58(1-3),</w:t>
      </w:r>
      <w:r w:rsidRPr="00D16BD0">
        <w:rPr>
          <w:rFonts w:ascii="Arial" w:hAnsi="Arial" w:cs="Arial"/>
        </w:rPr>
        <w:tab/>
        <w:t>45-54.</w:t>
      </w:r>
    </w:p>
    <w:p w14:paraId="38949B60" w14:textId="77777777" w:rsidR="0050635B" w:rsidRDefault="00C77059" w:rsidP="0050635B">
      <w:pPr>
        <w:jc w:val="both"/>
        <w:rPr>
          <w:rFonts w:ascii="Arial" w:hAnsi="Arial" w:cs="Arial"/>
        </w:rPr>
      </w:pPr>
      <w:hyperlink r:id="rId31">
        <w:r w:rsidR="0050635B" w:rsidRPr="00D16BD0">
          <w:rPr>
            <w:rStyle w:val="Hyperlink"/>
            <w:rFonts w:ascii="Arial" w:hAnsi="Arial" w:cs="Arial"/>
            <w:color w:val="auto"/>
            <w:u w:val="none"/>
          </w:rPr>
          <w:t>http://dx.doi.org/10.1080/09718923.2014.11893311</w:t>
        </w:r>
      </w:hyperlink>
      <w:r w:rsidR="0050635B">
        <w:rPr>
          <w:rFonts w:ascii="Arial" w:hAnsi="Arial" w:cs="Arial"/>
        </w:rPr>
        <w:t>.</w:t>
      </w:r>
    </w:p>
    <w:p w14:paraId="2EC2F0F6" w14:textId="77777777" w:rsidR="002455BD" w:rsidRDefault="002455BD" w:rsidP="0050635B">
      <w:pPr>
        <w:jc w:val="both"/>
        <w:rPr>
          <w:rFonts w:ascii="Arial" w:hAnsi="Arial" w:cs="Arial"/>
        </w:rPr>
      </w:pPr>
    </w:p>
    <w:p w14:paraId="04503891" w14:textId="602EF3A1" w:rsidR="00EC0796" w:rsidRPr="00412D0D" w:rsidRDefault="00EC0796" w:rsidP="00EC0796">
      <w:pPr>
        <w:jc w:val="both"/>
        <w:rPr>
          <w:rFonts w:ascii="Arial" w:hAnsi="Arial" w:cs="Arial"/>
        </w:rPr>
      </w:pPr>
      <w:proofErr w:type="spellStart"/>
      <w:r w:rsidRPr="00412D0D">
        <w:rPr>
          <w:rFonts w:ascii="Arial" w:hAnsi="Arial" w:cs="Arial"/>
        </w:rPr>
        <w:t>Gandia</w:t>
      </w:r>
      <w:proofErr w:type="spellEnd"/>
      <w:r w:rsidRPr="00412D0D">
        <w:rPr>
          <w:rFonts w:ascii="Arial" w:hAnsi="Arial" w:cs="Arial"/>
        </w:rPr>
        <w:t xml:space="preserve">, </w:t>
      </w:r>
      <w:proofErr w:type="spellStart"/>
      <w:r w:rsidRPr="00412D0D">
        <w:rPr>
          <w:rFonts w:ascii="Arial" w:hAnsi="Arial" w:cs="Arial"/>
        </w:rPr>
        <w:t>Giann</w:t>
      </w:r>
      <w:proofErr w:type="spellEnd"/>
      <w:r w:rsidRPr="00412D0D">
        <w:rPr>
          <w:rFonts w:ascii="Arial" w:hAnsi="Arial" w:cs="Arial"/>
        </w:rPr>
        <w:t xml:space="preserve"> Carlo V. and </w:t>
      </w:r>
      <w:proofErr w:type="spellStart"/>
      <w:r w:rsidRPr="00412D0D">
        <w:rPr>
          <w:rFonts w:ascii="Arial" w:hAnsi="Arial" w:cs="Arial"/>
        </w:rPr>
        <w:t>Vigonte</w:t>
      </w:r>
      <w:proofErr w:type="spellEnd"/>
      <w:r w:rsidRPr="00412D0D">
        <w:rPr>
          <w:rFonts w:ascii="Arial" w:hAnsi="Arial" w:cs="Arial"/>
        </w:rPr>
        <w:t xml:space="preserve">, Florinda and </w:t>
      </w:r>
      <w:proofErr w:type="spellStart"/>
      <w:r w:rsidRPr="00412D0D">
        <w:rPr>
          <w:rFonts w:ascii="Arial" w:hAnsi="Arial" w:cs="Arial"/>
        </w:rPr>
        <w:t>Abante</w:t>
      </w:r>
      <w:proofErr w:type="spellEnd"/>
      <w:r w:rsidRPr="00412D0D">
        <w:rPr>
          <w:rFonts w:ascii="Arial" w:hAnsi="Arial" w:cs="Arial"/>
        </w:rPr>
        <w:t xml:space="preserve">, </w:t>
      </w:r>
      <w:proofErr w:type="spellStart"/>
      <w:r w:rsidRPr="00412D0D">
        <w:rPr>
          <w:rFonts w:ascii="Arial" w:hAnsi="Arial" w:cs="Arial"/>
        </w:rPr>
        <w:t>Marmelo</w:t>
      </w:r>
      <w:proofErr w:type="spellEnd"/>
      <w:r w:rsidRPr="00412D0D">
        <w:rPr>
          <w:rFonts w:ascii="Arial" w:hAnsi="Arial" w:cs="Arial"/>
        </w:rPr>
        <w:t xml:space="preserve"> V., (2024). Assessing the Efficacy</w:t>
      </w:r>
      <w:r w:rsidRPr="00412D0D">
        <w:rPr>
          <w:rFonts w:ascii="Arial" w:hAnsi="Arial" w:cs="Arial"/>
        </w:rPr>
        <w:tab/>
        <w:t>and Challenges of Tax Collection in the Philippines. Available   at</w:t>
      </w:r>
    </w:p>
    <w:p w14:paraId="1496D331" w14:textId="77777777" w:rsidR="00EC0796" w:rsidRPr="00412D0D" w:rsidRDefault="00EC0796" w:rsidP="00EC0796">
      <w:pPr>
        <w:jc w:val="both"/>
        <w:rPr>
          <w:rFonts w:ascii="Arial" w:hAnsi="Arial" w:cs="Arial"/>
        </w:rPr>
      </w:pPr>
      <w:r w:rsidRPr="00412D0D">
        <w:rPr>
          <w:rFonts w:ascii="Arial" w:hAnsi="Arial" w:cs="Arial"/>
        </w:rPr>
        <w:t xml:space="preserve">SSRN: </w:t>
      </w:r>
      <w:hyperlink r:id="rId32">
        <w:r w:rsidRPr="00412D0D">
          <w:rPr>
            <w:rStyle w:val="Hyperlink"/>
            <w:rFonts w:ascii="Arial" w:hAnsi="Arial" w:cs="Arial"/>
            <w:color w:val="auto"/>
            <w:u w:val="none"/>
          </w:rPr>
          <w:t>https://ssrn.com/abstract=4849597</w:t>
        </w:r>
      </w:hyperlink>
      <w:r w:rsidRPr="00412D0D">
        <w:rPr>
          <w:rFonts w:ascii="Arial" w:hAnsi="Arial" w:cs="Arial"/>
        </w:rPr>
        <w:t xml:space="preserve"> or </w:t>
      </w:r>
      <w:hyperlink r:id="rId33">
        <w:r w:rsidRPr="00412D0D">
          <w:rPr>
            <w:rStyle w:val="Hyperlink"/>
            <w:rFonts w:ascii="Arial" w:hAnsi="Arial" w:cs="Arial"/>
            <w:color w:val="auto"/>
            <w:u w:val="none"/>
          </w:rPr>
          <w:t>http://dx.doi.org/10.2139/ssrn.4849</w:t>
        </w:r>
      </w:hyperlink>
      <w:r w:rsidRPr="00412D0D">
        <w:rPr>
          <w:rFonts w:ascii="Arial" w:hAnsi="Arial" w:cs="Arial"/>
        </w:rPr>
        <w:t xml:space="preserve"> </w:t>
      </w:r>
      <w:hyperlink r:id="rId34">
        <w:r w:rsidRPr="00412D0D">
          <w:rPr>
            <w:rStyle w:val="Hyperlink"/>
            <w:rFonts w:ascii="Arial" w:hAnsi="Arial" w:cs="Arial"/>
            <w:color w:val="auto"/>
            <w:u w:val="none"/>
          </w:rPr>
          <w:t>597</w:t>
        </w:r>
      </w:hyperlink>
      <w:r w:rsidRPr="00412D0D">
        <w:rPr>
          <w:rFonts w:ascii="Arial" w:hAnsi="Arial" w:cs="Arial"/>
        </w:rPr>
        <w:t>.</w:t>
      </w:r>
    </w:p>
    <w:p w14:paraId="59390362" w14:textId="77777777" w:rsidR="0050635B" w:rsidRDefault="0050635B" w:rsidP="0050635B">
      <w:pPr>
        <w:jc w:val="both"/>
        <w:rPr>
          <w:rFonts w:ascii="Arial" w:hAnsi="Arial" w:cs="Arial"/>
        </w:rPr>
      </w:pPr>
      <w:proofErr w:type="spellStart"/>
      <w:r w:rsidRPr="00D16BD0">
        <w:rPr>
          <w:rFonts w:ascii="Arial" w:hAnsi="Arial" w:cs="Arial"/>
        </w:rPr>
        <w:t>Granfon</w:t>
      </w:r>
      <w:proofErr w:type="spellEnd"/>
      <w:r w:rsidRPr="00D16BD0">
        <w:rPr>
          <w:rFonts w:ascii="Arial" w:hAnsi="Arial" w:cs="Arial"/>
        </w:rPr>
        <w:t xml:space="preserve">, J., et al., (2023). Factors Affecting Tax Compliance of MSMEs in </w:t>
      </w:r>
      <w:proofErr w:type="spellStart"/>
      <w:r w:rsidRPr="00D16BD0">
        <w:rPr>
          <w:rFonts w:ascii="Arial" w:hAnsi="Arial" w:cs="Arial"/>
        </w:rPr>
        <w:t>Dipolog</w:t>
      </w:r>
      <w:proofErr w:type="spellEnd"/>
      <w:r w:rsidRPr="00D16BD0">
        <w:rPr>
          <w:rFonts w:ascii="Arial" w:hAnsi="Arial" w:cs="Arial"/>
        </w:rPr>
        <w:t xml:space="preserve"> City. </w:t>
      </w:r>
      <w:hyperlink r:id="rId35">
        <w:r w:rsidRPr="00D16BD0">
          <w:rPr>
            <w:rStyle w:val="Hyperlink"/>
            <w:rFonts w:ascii="Arial" w:hAnsi="Arial" w:cs="Arial"/>
            <w:color w:val="auto"/>
            <w:u w:val="none"/>
          </w:rPr>
          <w:t>http://dx.doi.org/10.11594/ijmaber.04.04.29</w:t>
        </w:r>
      </w:hyperlink>
    </w:p>
    <w:p w14:paraId="7D3E470F" w14:textId="0524AF67" w:rsidR="0050635B" w:rsidRPr="0050635B" w:rsidRDefault="00EC0796" w:rsidP="00DB7697">
      <w:pPr>
        <w:jc w:val="both"/>
      </w:pPr>
      <w:r>
        <w:t xml:space="preserve">  </w:t>
      </w:r>
    </w:p>
    <w:p w14:paraId="1F84FE29" w14:textId="77777777" w:rsidR="00230CF4" w:rsidRPr="0050635B" w:rsidRDefault="00230CF4" w:rsidP="00230CF4">
      <w:pPr>
        <w:jc w:val="both"/>
      </w:pPr>
      <w:r w:rsidRPr="0050635B">
        <w:t xml:space="preserve">Hauptman, L., </w:t>
      </w:r>
      <w:proofErr w:type="spellStart"/>
      <w:r w:rsidRPr="0050635B">
        <w:t>Žmuk</w:t>
      </w:r>
      <w:proofErr w:type="spellEnd"/>
      <w:r w:rsidRPr="0050635B">
        <w:t xml:space="preserve">, B., &amp; </w:t>
      </w:r>
      <w:proofErr w:type="spellStart"/>
      <w:r w:rsidRPr="0050635B">
        <w:t>Pavić</w:t>
      </w:r>
      <w:proofErr w:type="spellEnd"/>
      <w:r w:rsidRPr="0050635B">
        <w:t>, I. (2024). Tax Compliance in Slovenia: An Empirical Assessment of Tax Knowledge and Fairness Perception. Journal of Risk and Financial Management, 17(3), 89. https://doi.org/10.3390/jrfm17030089.</w:t>
      </w:r>
    </w:p>
    <w:p w14:paraId="42C1CA91" w14:textId="77777777" w:rsidR="00230CF4" w:rsidRPr="0050635B" w:rsidRDefault="00230CF4" w:rsidP="00DB7697">
      <w:pPr>
        <w:jc w:val="both"/>
      </w:pPr>
    </w:p>
    <w:p w14:paraId="152F83A9" w14:textId="77777777" w:rsidR="0050635B" w:rsidRDefault="0050635B" w:rsidP="0050635B">
      <w:pPr>
        <w:jc w:val="both"/>
        <w:rPr>
          <w:spacing w:val="-2"/>
        </w:rPr>
      </w:pPr>
      <w:r w:rsidRPr="00D16BD0">
        <w:t xml:space="preserve">International </w:t>
      </w:r>
      <w:proofErr w:type="spellStart"/>
      <w:r w:rsidRPr="00D16BD0">
        <w:t>Labour</w:t>
      </w:r>
      <w:proofErr w:type="spellEnd"/>
      <w:r w:rsidRPr="00D16BD0">
        <w:t xml:space="preserve"> Organization</w:t>
      </w:r>
      <w:r>
        <w:t>.</w:t>
      </w:r>
      <w:r>
        <w:rPr>
          <w:spacing w:val="-6"/>
        </w:rPr>
        <w:t xml:space="preserve"> </w:t>
      </w:r>
      <w:r>
        <w:t>(2015).</w:t>
      </w:r>
      <w:r>
        <w:rPr>
          <w:spacing w:val="-8"/>
        </w:rPr>
        <w:t xml:space="preserve"> </w:t>
      </w:r>
      <w:r>
        <w:t>Small</w:t>
      </w:r>
      <w:r>
        <w:rPr>
          <w:spacing w:val="-12"/>
        </w:rPr>
        <w:t xml:space="preserve"> </w:t>
      </w:r>
      <w:r>
        <w:t>and</w:t>
      </w:r>
      <w:r>
        <w:rPr>
          <w:spacing w:val="-9"/>
        </w:rPr>
        <w:t xml:space="preserve"> </w:t>
      </w:r>
      <w:r>
        <w:t>medium-sized</w:t>
      </w:r>
      <w:r>
        <w:rPr>
          <w:spacing w:val="-9"/>
        </w:rPr>
        <w:t xml:space="preserve"> </w:t>
      </w:r>
      <w:r>
        <w:t>enterprises</w:t>
      </w:r>
      <w:r>
        <w:rPr>
          <w:spacing w:val="-11"/>
        </w:rPr>
        <w:t xml:space="preserve"> </w:t>
      </w:r>
      <w:r>
        <w:t>and</w:t>
      </w:r>
      <w:r>
        <w:rPr>
          <w:spacing w:val="-9"/>
        </w:rPr>
        <w:t xml:space="preserve"> </w:t>
      </w:r>
      <w:r>
        <w:t>decent</w:t>
      </w:r>
      <w:r>
        <w:rPr>
          <w:spacing w:val="-10"/>
        </w:rPr>
        <w:t xml:space="preserve"> </w:t>
      </w:r>
      <w:r>
        <w:t>and</w:t>
      </w:r>
      <w:r>
        <w:rPr>
          <w:spacing w:val="-9"/>
        </w:rPr>
        <w:t xml:space="preserve"> </w:t>
      </w:r>
      <w:r>
        <w:t>productive</w:t>
      </w:r>
      <w:r>
        <w:rPr>
          <w:spacing w:val="-9"/>
        </w:rPr>
        <w:t xml:space="preserve"> </w:t>
      </w:r>
      <w:r>
        <w:t xml:space="preserve">employment </w:t>
      </w:r>
      <w:r>
        <w:rPr>
          <w:spacing w:val="-2"/>
        </w:rPr>
        <w:t xml:space="preserve">creation. </w:t>
      </w:r>
      <w:hyperlink r:id="rId36">
        <w:r>
          <w:rPr>
            <w:spacing w:val="-2"/>
          </w:rPr>
          <w:t>https://www.ilo.org/sites/default/files/wcmsp5/groups/public/@ed_norm/@relconf/</w:t>
        </w:r>
      </w:hyperlink>
      <w:r>
        <w:rPr>
          <w:spacing w:val="-2"/>
        </w:rPr>
        <w:t xml:space="preserve"> documents/</w:t>
      </w:r>
      <w:proofErr w:type="spellStart"/>
      <w:r>
        <w:rPr>
          <w:spacing w:val="-2"/>
        </w:rPr>
        <w:t>meetingdocument</w:t>
      </w:r>
      <w:proofErr w:type="spellEnd"/>
      <w:r>
        <w:rPr>
          <w:spacing w:val="-2"/>
        </w:rPr>
        <w:t>/wcms_358294.pdf.</w:t>
      </w:r>
    </w:p>
    <w:p w14:paraId="4D71807D" w14:textId="77777777" w:rsidR="009D0AE9" w:rsidRDefault="009D0AE9" w:rsidP="0050635B">
      <w:pPr>
        <w:jc w:val="both"/>
        <w:rPr>
          <w:spacing w:val="-2"/>
        </w:rPr>
      </w:pPr>
    </w:p>
    <w:p w14:paraId="14C1E6DE" w14:textId="0D62E8CA" w:rsidR="009D0AE9" w:rsidRDefault="009D0AE9" w:rsidP="0050635B">
      <w:pPr>
        <w:jc w:val="both"/>
        <w:rPr>
          <w:spacing w:val="-2"/>
        </w:rPr>
      </w:pPr>
      <w:proofErr w:type="spellStart"/>
      <w:r w:rsidRPr="009D0AE9">
        <w:rPr>
          <w:spacing w:val="-2"/>
        </w:rPr>
        <w:t>Jatuchai</w:t>
      </w:r>
      <w:proofErr w:type="spellEnd"/>
      <w:r w:rsidRPr="009D0AE9">
        <w:rPr>
          <w:spacing w:val="-2"/>
        </w:rPr>
        <w:t xml:space="preserve">, S.., &amp; </w:t>
      </w:r>
      <w:proofErr w:type="spellStart"/>
      <w:r w:rsidRPr="009D0AE9">
        <w:rPr>
          <w:spacing w:val="-2"/>
        </w:rPr>
        <w:t>Pitiphat</w:t>
      </w:r>
      <w:proofErr w:type="spellEnd"/>
      <w:r w:rsidRPr="009D0AE9">
        <w:rPr>
          <w:spacing w:val="-2"/>
        </w:rPr>
        <w:t>, S. (2024). A Causal Model of Factors Influencing Compliance of Corporate Income Tax Law of Small and Medium Enterprises (SMEs) in the Northeast of Thailand. </w:t>
      </w:r>
      <w:r w:rsidRPr="009D0AE9">
        <w:rPr>
          <w:i/>
          <w:iCs/>
          <w:spacing w:val="-2"/>
        </w:rPr>
        <w:t>Modern Management Frontier Journal</w:t>
      </w:r>
      <w:r w:rsidRPr="009D0AE9">
        <w:rPr>
          <w:spacing w:val="-2"/>
        </w:rPr>
        <w:t>, </w:t>
      </w:r>
      <w:r w:rsidRPr="009D0AE9">
        <w:rPr>
          <w:i/>
          <w:iCs/>
          <w:spacing w:val="-2"/>
        </w:rPr>
        <w:t>21</w:t>
      </w:r>
      <w:r w:rsidRPr="009D0AE9">
        <w:rPr>
          <w:spacing w:val="-2"/>
        </w:rPr>
        <w:t>(2), 105–122. retrieved from https://so04.tci-thaijo.org/index.php/stou-sms-pr/article/view/267934</w:t>
      </w:r>
    </w:p>
    <w:p w14:paraId="3572EE5F" w14:textId="77777777" w:rsidR="0050635B" w:rsidRDefault="0050635B" w:rsidP="00230CF4">
      <w:pPr>
        <w:jc w:val="both"/>
      </w:pPr>
    </w:p>
    <w:p w14:paraId="1AF3C5AB" w14:textId="44BF1A8B" w:rsidR="00230CF4" w:rsidRPr="0050635B" w:rsidRDefault="00230CF4" w:rsidP="00230CF4">
      <w:pPr>
        <w:jc w:val="both"/>
      </w:pPr>
      <w:r w:rsidRPr="0050635B">
        <w:t>Kahneman, D., &amp; Tversky, A. (2019). Prospect Theory: An Analysis of Decision under Risk.</w:t>
      </w:r>
      <w:r w:rsidRPr="0050635B">
        <w:rPr>
          <w:spacing w:val="80"/>
          <w:w w:val="150"/>
        </w:rPr>
        <w:t xml:space="preserve"> </w:t>
      </w:r>
      <w:proofErr w:type="spellStart"/>
      <w:r w:rsidRPr="0050635B">
        <w:rPr>
          <w:rFonts w:ascii="Arial"/>
        </w:rPr>
        <w:t>Econometrica</w:t>
      </w:r>
      <w:proofErr w:type="spellEnd"/>
      <w:r w:rsidRPr="0050635B">
        <w:t>, 47(2), 263-292.</w:t>
      </w:r>
    </w:p>
    <w:p w14:paraId="653849BD" w14:textId="77777777" w:rsidR="00DB7697" w:rsidRPr="0050635B" w:rsidRDefault="00DB7697" w:rsidP="00DB7697">
      <w:pPr>
        <w:jc w:val="both"/>
        <w:rPr>
          <w:rFonts w:ascii="Arial" w:hAnsi="Arial" w:cs="Arial"/>
        </w:rPr>
      </w:pPr>
    </w:p>
    <w:p w14:paraId="049B7CD3" w14:textId="7CE9EA82" w:rsidR="00DB7697" w:rsidRDefault="00DB7697" w:rsidP="00DB7697">
      <w:pPr>
        <w:jc w:val="both"/>
        <w:rPr>
          <w:rFonts w:ascii="Arial" w:hAnsi="Arial" w:cs="Arial"/>
        </w:rPr>
      </w:pPr>
      <w:proofErr w:type="spellStart"/>
      <w:r w:rsidRPr="00DB7697">
        <w:rPr>
          <w:rFonts w:ascii="Arial" w:hAnsi="Arial" w:cs="Arial"/>
        </w:rPr>
        <w:t>Luttmer</w:t>
      </w:r>
      <w:proofErr w:type="spellEnd"/>
      <w:r w:rsidRPr="00DB7697">
        <w:rPr>
          <w:rFonts w:ascii="Arial" w:hAnsi="Arial" w:cs="Arial"/>
        </w:rPr>
        <w:t xml:space="preserve">, E. F. P., &amp; Singhal, M. (2014). Tax morale. Journal of Economic Perspectives, 28(4), 149-168. </w:t>
      </w:r>
      <w:hyperlink r:id="rId37">
        <w:r w:rsidRPr="00DB7697">
          <w:rPr>
            <w:rStyle w:val="Hyperlink"/>
            <w:rFonts w:ascii="Arial" w:hAnsi="Arial" w:cs="Arial"/>
            <w:color w:val="auto"/>
            <w:u w:val="none"/>
          </w:rPr>
          <w:t>https://doi.org/10.1257/jep.28.4.149</w:t>
        </w:r>
      </w:hyperlink>
      <w:r>
        <w:rPr>
          <w:rFonts w:ascii="Arial" w:hAnsi="Arial" w:cs="Arial"/>
        </w:rPr>
        <w:t>.</w:t>
      </w:r>
    </w:p>
    <w:p w14:paraId="6CFBF530" w14:textId="77777777" w:rsidR="00DB7697" w:rsidRDefault="00DB7697" w:rsidP="00DB7697">
      <w:pPr>
        <w:jc w:val="both"/>
        <w:rPr>
          <w:rFonts w:ascii="Arial" w:hAnsi="Arial" w:cs="Arial"/>
        </w:rPr>
      </w:pPr>
    </w:p>
    <w:p w14:paraId="7FE141DE" w14:textId="77777777" w:rsidR="00CE482F" w:rsidRPr="00CE482F" w:rsidRDefault="00CE482F" w:rsidP="00CE482F">
      <w:pPr>
        <w:rPr>
          <w:rFonts w:ascii="Arial" w:hAnsi="Arial" w:cs="Arial"/>
        </w:rPr>
      </w:pPr>
      <w:r w:rsidRPr="00CE482F">
        <w:rPr>
          <w:rFonts w:ascii="Arial" w:hAnsi="Arial" w:cs="Arial"/>
        </w:rPr>
        <w:t xml:space="preserve">Kahneman, D., &amp; Tversky, A. (2019). Prospect Theory: An Analysis of Decision under Risk. </w:t>
      </w:r>
      <w:proofErr w:type="spellStart"/>
      <w:r w:rsidRPr="00CE482F">
        <w:rPr>
          <w:rFonts w:ascii="Arial" w:hAnsi="Arial" w:cs="Arial"/>
        </w:rPr>
        <w:t>Econometrica</w:t>
      </w:r>
      <w:proofErr w:type="spellEnd"/>
      <w:r w:rsidRPr="00CE482F">
        <w:rPr>
          <w:rFonts w:ascii="Arial" w:hAnsi="Arial" w:cs="Arial"/>
        </w:rPr>
        <w:t>, 47(2), 263-292.</w:t>
      </w:r>
    </w:p>
    <w:p w14:paraId="0C3127D8" w14:textId="77777777" w:rsidR="002D0D93" w:rsidRDefault="002D0D93" w:rsidP="002D0D93">
      <w:pPr>
        <w:jc w:val="both"/>
        <w:rPr>
          <w:rFonts w:ascii="Arial" w:hAnsi="Arial" w:cs="Arial"/>
        </w:rPr>
      </w:pPr>
    </w:p>
    <w:p w14:paraId="54E90AA2" w14:textId="57253505" w:rsidR="00D16BD0" w:rsidRPr="00D16BD0" w:rsidRDefault="00D16BD0" w:rsidP="00D16BD0">
      <w:pPr>
        <w:jc w:val="both"/>
        <w:rPr>
          <w:rFonts w:ascii="Arial" w:hAnsi="Arial" w:cs="Arial"/>
        </w:rPr>
      </w:pPr>
      <w:proofErr w:type="spellStart"/>
      <w:r w:rsidRPr="00D16BD0">
        <w:rPr>
          <w:rFonts w:ascii="Arial" w:hAnsi="Arial" w:cs="Arial"/>
        </w:rPr>
        <w:t>Kleven</w:t>
      </w:r>
      <w:proofErr w:type="spellEnd"/>
      <w:r w:rsidRPr="00D16BD0">
        <w:rPr>
          <w:rFonts w:ascii="Arial" w:hAnsi="Arial" w:cs="Arial"/>
        </w:rPr>
        <w:t xml:space="preserve">, H. J., </w:t>
      </w:r>
      <w:proofErr w:type="spellStart"/>
      <w:r w:rsidRPr="00D16BD0">
        <w:rPr>
          <w:rFonts w:ascii="Arial" w:hAnsi="Arial" w:cs="Arial"/>
        </w:rPr>
        <w:t>Kreiner</w:t>
      </w:r>
      <w:proofErr w:type="spellEnd"/>
      <w:r w:rsidRPr="00D16BD0">
        <w:rPr>
          <w:rFonts w:ascii="Arial" w:hAnsi="Arial" w:cs="Arial"/>
        </w:rPr>
        <w:t xml:space="preserve">, C. T., &amp; </w:t>
      </w:r>
      <w:proofErr w:type="spellStart"/>
      <w:r w:rsidRPr="00D16BD0">
        <w:rPr>
          <w:rFonts w:ascii="Arial" w:hAnsi="Arial" w:cs="Arial"/>
        </w:rPr>
        <w:t>Saez</w:t>
      </w:r>
      <w:proofErr w:type="spellEnd"/>
      <w:r w:rsidRPr="00D16BD0">
        <w:rPr>
          <w:rFonts w:ascii="Arial" w:hAnsi="Arial" w:cs="Arial"/>
        </w:rPr>
        <w:t xml:space="preserve">, E. (2016). Why Can Modern Governments Tax So Much? An Agency Model of Firms as Fiscal Intermediaries. </w:t>
      </w:r>
      <w:proofErr w:type="spellStart"/>
      <w:r w:rsidRPr="00D16BD0">
        <w:rPr>
          <w:rFonts w:ascii="Arial" w:hAnsi="Arial" w:cs="Arial"/>
        </w:rPr>
        <w:t>Economica</w:t>
      </w:r>
      <w:proofErr w:type="spellEnd"/>
      <w:r w:rsidRPr="00D16BD0">
        <w:rPr>
          <w:rFonts w:ascii="Arial" w:hAnsi="Arial" w:cs="Arial"/>
        </w:rPr>
        <w:t xml:space="preserve">, 83(330), 219–246. DOI: </w:t>
      </w:r>
      <w:hyperlink r:id="rId38">
        <w:r w:rsidRPr="00D16BD0">
          <w:rPr>
            <w:rStyle w:val="Hyperlink"/>
            <w:rFonts w:ascii="Arial" w:hAnsi="Arial" w:cs="Arial"/>
            <w:color w:val="auto"/>
            <w:u w:val="none"/>
          </w:rPr>
          <w:t>https://doi.org/10.1111/ecca.12182</w:t>
        </w:r>
      </w:hyperlink>
      <w:r w:rsidRPr="00D16BD0">
        <w:rPr>
          <w:rFonts w:ascii="Arial" w:hAnsi="Arial" w:cs="Arial"/>
        </w:rPr>
        <w:t>.</w:t>
      </w:r>
    </w:p>
    <w:p w14:paraId="58BD2353" w14:textId="77777777" w:rsidR="00DB7697" w:rsidRPr="00DB7697" w:rsidRDefault="00DB7697" w:rsidP="00DB7697">
      <w:pPr>
        <w:jc w:val="both"/>
        <w:rPr>
          <w:rFonts w:ascii="Arial" w:hAnsi="Arial" w:cs="Arial"/>
        </w:rPr>
      </w:pPr>
    </w:p>
    <w:p w14:paraId="4F3B94B7" w14:textId="77777777" w:rsidR="00D16BD0" w:rsidRPr="00D16BD0" w:rsidRDefault="00D16BD0" w:rsidP="00D16BD0">
      <w:pPr>
        <w:jc w:val="both"/>
        <w:rPr>
          <w:rFonts w:ascii="Arial" w:hAnsi="Arial" w:cs="Arial"/>
        </w:rPr>
      </w:pPr>
      <w:proofErr w:type="spellStart"/>
      <w:r w:rsidRPr="00D16BD0">
        <w:rPr>
          <w:rFonts w:ascii="Arial" w:hAnsi="Arial" w:cs="Arial"/>
        </w:rPr>
        <w:t>Kritikos</w:t>
      </w:r>
      <w:proofErr w:type="spellEnd"/>
      <w:r w:rsidRPr="00D16BD0">
        <w:rPr>
          <w:rFonts w:ascii="Arial" w:hAnsi="Arial" w:cs="Arial"/>
        </w:rPr>
        <w:t xml:space="preserve">, A. (2015). Entrepreneurship and Economic Growth. </w:t>
      </w:r>
      <w:hyperlink r:id="rId39">
        <w:r w:rsidRPr="00D16BD0">
          <w:rPr>
            <w:rStyle w:val="Hyperlink"/>
            <w:rFonts w:ascii="Arial" w:hAnsi="Arial" w:cs="Arial"/>
            <w:color w:val="auto"/>
            <w:u w:val="none"/>
          </w:rPr>
          <w:t>https://doi.org/10.1016/B978-</w:t>
        </w:r>
      </w:hyperlink>
      <w:r w:rsidRPr="00D16BD0">
        <w:rPr>
          <w:rFonts w:ascii="Arial" w:hAnsi="Arial" w:cs="Arial"/>
        </w:rPr>
        <w:t xml:space="preserve"> </w:t>
      </w:r>
      <w:hyperlink r:id="rId40">
        <w:r w:rsidRPr="00D16BD0">
          <w:rPr>
            <w:rStyle w:val="Hyperlink"/>
            <w:rFonts w:ascii="Arial" w:hAnsi="Arial" w:cs="Arial"/>
            <w:color w:val="auto"/>
            <w:u w:val="none"/>
          </w:rPr>
          <w:t>0-08- 097086-8.94004-2</w:t>
        </w:r>
      </w:hyperlink>
    </w:p>
    <w:p w14:paraId="3C0F68DE" w14:textId="77777777" w:rsidR="00230CF4" w:rsidRPr="0050635B" w:rsidRDefault="00230CF4" w:rsidP="00230CF4">
      <w:pPr>
        <w:jc w:val="both"/>
        <w:rPr>
          <w:rFonts w:ascii="Arial" w:hAnsi="Arial" w:cs="Arial"/>
        </w:rPr>
      </w:pPr>
      <w:proofErr w:type="spellStart"/>
      <w:r w:rsidRPr="0050635B">
        <w:rPr>
          <w:rFonts w:ascii="Arial" w:hAnsi="Arial" w:cs="Arial"/>
        </w:rPr>
        <w:t>Manipol</w:t>
      </w:r>
      <w:proofErr w:type="spellEnd"/>
      <w:r w:rsidRPr="0050635B">
        <w:rPr>
          <w:rFonts w:ascii="Arial" w:hAnsi="Arial" w:cs="Arial"/>
        </w:rPr>
        <w:t xml:space="preserve">, </w:t>
      </w:r>
      <w:proofErr w:type="spellStart"/>
      <w:r w:rsidRPr="0050635B">
        <w:rPr>
          <w:rFonts w:ascii="Arial" w:hAnsi="Arial" w:cs="Arial"/>
        </w:rPr>
        <w:t>Vergel</w:t>
      </w:r>
      <w:proofErr w:type="spellEnd"/>
      <w:r w:rsidRPr="0050635B">
        <w:rPr>
          <w:rFonts w:ascii="Arial" w:hAnsi="Arial" w:cs="Arial"/>
        </w:rPr>
        <w:t>. (2023). Effectiveness of Microenterprise Law to Registered Microenterprises: Quantitative Assessment in The Philippines. International Journal</w:t>
      </w:r>
      <w:r w:rsidRPr="0050635B">
        <w:rPr>
          <w:rFonts w:ascii="Arial" w:hAnsi="Arial" w:cs="Arial"/>
        </w:rPr>
        <w:tab/>
        <w:t>of Multidisciplinary: Applied Business and Education Research.</w:t>
      </w:r>
    </w:p>
    <w:p w14:paraId="3636DB79" w14:textId="77777777" w:rsidR="00230CF4" w:rsidRPr="0050635B" w:rsidRDefault="00230CF4" w:rsidP="00230CF4">
      <w:pPr>
        <w:jc w:val="both"/>
        <w:rPr>
          <w:rFonts w:ascii="Arial" w:hAnsi="Arial" w:cs="Arial"/>
        </w:rPr>
      </w:pPr>
      <w:r w:rsidRPr="0050635B">
        <w:rPr>
          <w:rFonts w:ascii="Arial" w:hAnsi="Arial" w:cs="Arial"/>
        </w:rPr>
        <w:t>4. 1299-1309. 10.11594/ijmaber.04.04.25.</w:t>
      </w:r>
    </w:p>
    <w:p w14:paraId="64734143" w14:textId="77777777" w:rsidR="0050635B" w:rsidRPr="0050635B" w:rsidRDefault="0050635B" w:rsidP="0050635B">
      <w:pPr>
        <w:jc w:val="both"/>
        <w:rPr>
          <w:rFonts w:ascii="Arial" w:hAnsi="Arial" w:cs="Arial"/>
        </w:rPr>
      </w:pPr>
    </w:p>
    <w:p w14:paraId="34B716C8" w14:textId="77777777" w:rsidR="00230CF4" w:rsidRDefault="00230CF4" w:rsidP="00230CF4">
      <w:pPr>
        <w:jc w:val="both"/>
        <w:rPr>
          <w:rFonts w:ascii="Arial" w:hAnsi="Arial" w:cs="Arial"/>
          <w:spacing w:val="-4"/>
        </w:rPr>
      </w:pPr>
      <w:proofErr w:type="spellStart"/>
      <w:r w:rsidRPr="0050635B">
        <w:rPr>
          <w:rFonts w:ascii="Arial" w:hAnsi="Arial" w:cs="Arial"/>
        </w:rPr>
        <w:t>Masud</w:t>
      </w:r>
      <w:proofErr w:type="spellEnd"/>
      <w:r w:rsidRPr="0050635B">
        <w:rPr>
          <w:rFonts w:ascii="Arial" w:hAnsi="Arial" w:cs="Arial"/>
        </w:rPr>
        <w:t>,</w:t>
      </w:r>
      <w:r w:rsidRPr="0050635B">
        <w:rPr>
          <w:rFonts w:ascii="Arial" w:hAnsi="Arial" w:cs="Arial"/>
          <w:spacing w:val="-1"/>
        </w:rPr>
        <w:t xml:space="preserve"> </w:t>
      </w:r>
      <w:r w:rsidRPr="0050635B">
        <w:rPr>
          <w:rFonts w:ascii="Arial" w:hAnsi="Arial" w:cs="Arial"/>
        </w:rPr>
        <w:t>Abdulsalam &amp;</w:t>
      </w:r>
      <w:r w:rsidRPr="0050635B">
        <w:rPr>
          <w:rFonts w:ascii="Arial" w:hAnsi="Arial" w:cs="Arial"/>
          <w:spacing w:val="-2"/>
        </w:rPr>
        <w:t xml:space="preserve"> </w:t>
      </w:r>
      <w:proofErr w:type="spellStart"/>
      <w:r w:rsidRPr="0050635B">
        <w:rPr>
          <w:rFonts w:ascii="Arial" w:hAnsi="Arial" w:cs="Arial"/>
        </w:rPr>
        <w:t>Manaf</w:t>
      </w:r>
      <w:proofErr w:type="spellEnd"/>
      <w:r w:rsidRPr="0050635B">
        <w:rPr>
          <w:rFonts w:ascii="Arial" w:hAnsi="Arial" w:cs="Arial"/>
        </w:rPr>
        <w:t>, Nor</w:t>
      </w:r>
      <w:r w:rsidRPr="0050635B">
        <w:rPr>
          <w:rFonts w:ascii="Arial" w:hAnsi="Arial" w:cs="Arial"/>
          <w:spacing w:val="-5"/>
        </w:rPr>
        <w:t xml:space="preserve"> </w:t>
      </w:r>
      <w:r w:rsidRPr="0050635B">
        <w:rPr>
          <w:rFonts w:ascii="Arial" w:hAnsi="Arial" w:cs="Arial"/>
        </w:rPr>
        <w:t>&amp;</w:t>
      </w:r>
      <w:r w:rsidRPr="0050635B">
        <w:rPr>
          <w:rFonts w:ascii="Arial" w:hAnsi="Arial" w:cs="Arial"/>
          <w:spacing w:val="-2"/>
        </w:rPr>
        <w:t xml:space="preserve"> </w:t>
      </w:r>
      <w:r w:rsidRPr="0050635B">
        <w:rPr>
          <w:rFonts w:ascii="Arial" w:hAnsi="Arial" w:cs="Arial"/>
        </w:rPr>
        <w:t xml:space="preserve">Saad, </w:t>
      </w:r>
      <w:proofErr w:type="spellStart"/>
      <w:r w:rsidRPr="0050635B">
        <w:rPr>
          <w:rFonts w:ascii="Arial" w:hAnsi="Arial" w:cs="Arial"/>
        </w:rPr>
        <w:t>Natrah</w:t>
      </w:r>
      <w:proofErr w:type="spellEnd"/>
      <w:r w:rsidRPr="0050635B">
        <w:rPr>
          <w:rFonts w:ascii="Arial" w:hAnsi="Arial" w:cs="Arial"/>
        </w:rPr>
        <w:t>.</w:t>
      </w:r>
      <w:r w:rsidRPr="0050635B">
        <w:rPr>
          <w:rFonts w:ascii="Arial" w:hAnsi="Arial" w:cs="Arial"/>
          <w:spacing w:val="-2"/>
        </w:rPr>
        <w:t xml:space="preserve"> </w:t>
      </w:r>
      <w:r w:rsidRPr="0050635B">
        <w:rPr>
          <w:rFonts w:ascii="Arial" w:hAnsi="Arial" w:cs="Arial"/>
        </w:rPr>
        <w:t>(2019).</w:t>
      </w:r>
      <w:r w:rsidRPr="0050635B">
        <w:rPr>
          <w:rFonts w:ascii="Arial" w:hAnsi="Arial" w:cs="Arial"/>
          <w:spacing w:val="-2"/>
        </w:rPr>
        <w:t xml:space="preserve"> </w:t>
      </w:r>
      <w:r w:rsidRPr="0050635B">
        <w:rPr>
          <w:rFonts w:ascii="Arial" w:hAnsi="Arial" w:cs="Arial"/>
        </w:rPr>
        <w:t>Trust</w:t>
      </w:r>
      <w:r w:rsidRPr="0050635B">
        <w:rPr>
          <w:rFonts w:ascii="Arial" w:hAnsi="Arial" w:cs="Arial"/>
          <w:spacing w:val="-2"/>
        </w:rPr>
        <w:t xml:space="preserve"> </w:t>
      </w:r>
      <w:r w:rsidRPr="0050635B">
        <w:rPr>
          <w:rFonts w:ascii="Arial" w:hAnsi="Arial" w:cs="Arial"/>
        </w:rPr>
        <w:t>and</w:t>
      </w:r>
      <w:r w:rsidRPr="0050635B">
        <w:rPr>
          <w:rFonts w:ascii="Arial" w:hAnsi="Arial" w:cs="Arial"/>
          <w:spacing w:val="-2"/>
        </w:rPr>
        <w:t xml:space="preserve"> </w:t>
      </w:r>
      <w:r w:rsidRPr="0050635B">
        <w:rPr>
          <w:rFonts w:ascii="Arial" w:hAnsi="Arial" w:cs="Arial"/>
        </w:rPr>
        <w:t xml:space="preserve">power as predictors </w:t>
      </w:r>
      <w:proofErr w:type="spellStart"/>
      <w:r w:rsidRPr="0050635B">
        <w:rPr>
          <w:rFonts w:ascii="Arial" w:hAnsi="Arial" w:cs="Arial"/>
          <w:spacing w:val="-5"/>
        </w:rPr>
        <w:t>totax</w:t>
      </w:r>
      <w:proofErr w:type="spellEnd"/>
      <w:r w:rsidRPr="0050635B">
        <w:rPr>
          <w:rFonts w:ascii="Arial" w:hAnsi="Arial" w:cs="Arial"/>
        </w:rPr>
        <w:t xml:space="preserve"> compliance:</w:t>
      </w:r>
      <w:r w:rsidRPr="0050635B">
        <w:rPr>
          <w:rFonts w:ascii="Arial" w:hAnsi="Arial" w:cs="Arial"/>
          <w:spacing w:val="35"/>
        </w:rPr>
        <w:t xml:space="preserve"> </w:t>
      </w:r>
      <w:r w:rsidRPr="0050635B">
        <w:rPr>
          <w:rFonts w:ascii="Arial" w:hAnsi="Arial" w:cs="Arial"/>
        </w:rPr>
        <w:t>Global</w:t>
      </w:r>
      <w:r w:rsidRPr="0050635B">
        <w:rPr>
          <w:rFonts w:ascii="Arial" w:hAnsi="Arial" w:cs="Arial"/>
          <w:spacing w:val="38"/>
        </w:rPr>
        <w:t xml:space="preserve"> </w:t>
      </w:r>
      <w:r w:rsidRPr="0050635B">
        <w:rPr>
          <w:rFonts w:ascii="Arial" w:hAnsi="Arial" w:cs="Arial"/>
        </w:rPr>
        <w:t>evidence.</w:t>
      </w:r>
      <w:r w:rsidRPr="0050635B">
        <w:rPr>
          <w:rFonts w:ascii="Arial" w:hAnsi="Arial" w:cs="Arial"/>
          <w:spacing w:val="40"/>
        </w:rPr>
        <w:t xml:space="preserve"> </w:t>
      </w:r>
      <w:r w:rsidRPr="0050635B">
        <w:rPr>
          <w:rFonts w:ascii="Arial" w:hAnsi="Arial" w:cs="Arial"/>
        </w:rPr>
        <w:t>Economics</w:t>
      </w:r>
      <w:r w:rsidRPr="0050635B">
        <w:rPr>
          <w:rFonts w:ascii="Arial" w:hAnsi="Arial" w:cs="Arial"/>
          <w:spacing w:val="34"/>
        </w:rPr>
        <w:t xml:space="preserve"> </w:t>
      </w:r>
      <w:r w:rsidRPr="0050635B">
        <w:rPr>
          <w:rFonts w:ascii="Arial" w:hAnsi="Arial" w:cs="Arial"/>
        </w:rPr>
        <w:t>&amp;</w:t>
      </w:r>
      <w:r w:rsidRPr="0050635B">
        <w:rPr>
          <w:rFonts w:ascii="Arial" w:hAnsi="Arial" w:cs="Arial"/>
          <w:spacing w:val="40"/>
        </w:rPr>
        <w:t xml:space="preserve"> </w:t>
      </w:r>
      <w:r w:rsidRPr="0050635B">
        <w:rPr>
          <w:rFonts w:ascii="Arial" w:hAnsi="Arial" w:cs="Arial"/>
        </w:rPr>
        <w:t>Sociology.</w:t>
      </w:r>
      <w:r w:rsidRPr="0050635B">
        <w:rPr>
          <w:rFonts w:ascii="Arial" w:hAnsi="Arial" w:cs="Arial"/>
          <w:spacing w:val="40"/>
        </w:rPr>
        <w:t xml:space="preserve"> </w:t>
      </w:r>
      <w:r w:rsidRPr="0050635B">
        <w:rPr>
          <w:rFonts w:ascii="Arial" w:hAnsi="Arial" w:cs="Arial"/>
        </w:rPr>
        <w:t>12.</w:t>
      </w:r>
      <w:r w:rsidRPr="0050635B">
        <w:rPr>
          <w:rFonts w:ascii="Arial" w:hAnsi="Arial" w:cs="Arial"/>
          <w:spacing w:val="39"/>
        </w:rPr>
        <w:t xml:space="preserve"> </w:t>
      </w:r>
      <w:r w:rsidRPr="0050635B">
        <w:rPr>
          <w:rFonts w:ascii="Arial" w:hAnsi="Arial" w:cs="Arial"/>
          <w:spacing w:val="-4"/>
        </w:rPr>
        <w:t>192- 204.</w:t>
      </w:r>
      <w:r w:rsidRPr="0050635B">
        <w:rPr>
          <w:rFonts w:ascii="Arial" w:hAnsi="Arial" w:cs="Arial"/>
        </w:rPr>
        <w:tab/>
      </w:r>
      <w:r w:rsidRPr="0050635B">
        <w:rPr>
          <w:rFonts w:ascii="Arial" w:hAnsi="Arial" w:cs="Arial"/>
          <w:spacing w:val="-2"/>
        </w:rPr>
        <w:t>10.14254/2071-789X.2019/12-</w:t>
      </w:r>
      <w:r w:rsidRPr="0050635B">
        <w:rPr>
          <w:rFonts w:ascii="Arial" w:hAnsi="Arial" w:cs="Arial"/>
          <w:spacing w:val="-4"/>
        </w:rPr>
        <w:t>2/11.</w:t>
      </w:r>
    </w:p>
    <w:p w14:paraId="1AD022C2" w14:textId="77777777" w:rsidR="009F2DEF" w:rsidRDefault="009F2DEF" w:rsidP="00230CF4">
      <w:pPr>
        <w:jc w:val="both"/>
        <w:rPr>
          <w:rFonts w:ascii="Arial" w:hAnsi="Arial" w:cs="Arial"/>
          <w:spacing w:val="-4"/>
        </w:rPr>
      </w:pPr>
    </w:p>
    <w:p w14:paraId="55DCC7B7" w14:textId="754C4AEC" w:rsidR="009F2DEF" w:rsidRPr="00E40E2B" w:rsidRDefault="009F2DEF" w:rsidP="009F2DEF">
      <w:pPr>
        <w:rPr>
          <w:rFonts w:ascii="Arial" w:hAnsi="Arial" w:cs="Arial"/>
          <w:lang w:val="en-PH"/>
        </w:rPr>
      </w:pPr>
      <w:proofErr w:type="spellStart"/>
      <w:r w:rsidRPr="00E40E2B">
        <w:rPr>
          <w:rFonts w:ascii="Arial" w:hAnsi="Arial" w:cs="Arial"/>
          <w:lang w:val="en-PH"/>
        </w:rPr>
        <w:lastRenderedPageBreak/>
        <w:t>Trifan</w:t>
      </w:r>
      <w:proofErr w:type="spellEnd"/>
      <w:r w:rsidRPr="00E40E2B">
        <w:rPr>
          <w:rFonts w:ascii="Arial" w:hAnsi="Arial" w:cs="Arial"/>
          <w:lang w:val="en-PH"/>
        </w:rPr>
        <w:t xml:space="preserve">, V. A., </w:t>
      </w:r>
      <w:proofErr w:type="spellStart"/>
      <w:r w:rsidRPr="00E40E2B">
        <w:rPr>
          <w:rFonts w:ascii="Arial" w:hAnsi="Arial" w:cs="Arial"/>
          <w:lang w:val="en-PH"/>
        </w:rPr>
        <w:t>Szentesi</w:t>
      </w:r>
      <w:proofErr w:type="spellEnd"/>
      <w:r w:rsidRPr="00E40E2B">
        <w:rPr>
          <w:rFonts w:ascii="Arial" w:hAnsi="Arial" w:cs="Arial"/>
          <w:lang w:val="en-PH"/>
        </w:rPr>
        <w:t xml:space="preserve">, S. G., Cuc, L. D., &amp; </w:t>
      </w:r>
      <w:proofErr w:type="spellStart"/>
      <w:r w:rsidRPr="00E40E2B">
        <w:rPr>
          <w:rFonts w:ascii="Arial" w:hAnsi="Arial" w:cs="Arial"/>
          <w:lang w:val="en-PH"/>
        </w:rPr>
        <w:t>Pantea</w:t>
      </w:r>
      <w:proofErr w:type="spellEnd"/>
      <w:r w:rsidRPr="00E40E2B">
        <w:rPr>
          <w:rFonts w:ascii="Arial" w:hAnsi="Arial" w:cs="Arial"/>
          <w:lang w:val="en-PH"/>
        </w:rPr>
        <w:t xml:space="preserve">, M. F. (2023). Assessing Tax Compliance Behavior Among Romanian Taxpayers: An Empirical Case Study. SAGE Open, 13(3). </w:t>
      </w:r>
      <w:hyperlink r:id="rId41" w:history="1">
        <w:r w:rsidRPr="00E40E2B">
          <w:rPr>
            <w:rStyle w:val="Hyperlink"/>
            <w:rFonts w:ascii="Arial" w:hAnsi="Arial" w:cs="Arial"/>
            <w:color w:val="auto"/>
            <w:u w:val="none"/>
            <w:lang w:val="en-PH"/>
          </w:rPr>
          <w:t>https://doi.org/10.1177/21582440231195676</w:t>
        </w:r>
      </w:hyperlink>
      <w:r w:rsidRPr="00E40E2B">
        <w:rPr>
          <w:rFonts w:ascii="Arial" w:hAnsi="Arial" w:cs="Arial"/>
          <w:lang w:val="en-PH"/>
        </w:rPr>
        <w:t xml:space="preserve"> </w:t>
      </w:r>
    </w:p>
    <w:p w14:paraId="40CA6931" w14:textId="77777777" w:rsidR="009F2DEF" w:rsidRPr="0050635B" w:rsidRDefault="009F2DEF" w:rsidP="00230CF4">
      <w:pPr>
        <w:jc w:val="both"/>
        <w:rPr>
          <w:rFonts w:ascii="Arial" w:hAnsi="Arial" w:cs="Arial"/>
          <w:spacing w:val="-4"/>
        </w:rPr>
      </w:pPr>
    </w:p>
    <w:p w14:paraId="718E8E17" w14:textId="77777777" w:rsidR="00230CF4" w:rsidRPr="0050635B" w:rsidRDefault="00230CF4" w:rsidP="00230CF4">
      <w:pPr>
        <w:jc w:val="both"/>
        <w:rPr>
          <w:rFonts w:ascii="Arial" w:hAnsi="Arial" w:cs="Arial"/>
        </w:rPr>
      </w:pPr>
    </w:p>
    <w:bookmarkStart w:id="4" w:name="_Hlk202983095"/>
    <w:p w14:paraId="65216520" w14:textId="77777777" w:rsidR="00216778" w:rsidRPr="003654E3" w:rsidRDefault="00216778" w:rsidP="00216778">
      <w:pPr>
        <w:jc w:val="both"/>
        <w:rPr>
          <w:rFonts w:ascii="Arial" w:hAnsi="Arial" w:cs="Arial"/>
          <w:bCs/>
          <w:lang w:val="en-PH"/>
        </w:rPr>
      </w:pPr>
      <w:r w:rsidRPr="003654E3">
        <w:rPr>
          <w:rFonts w:ascii="Arial" w:hAnsi="Arial" w:cs="Arial"/>
          <w:bCs/>
          <w:lang w:val="en-PH"/>
        </w:rPr>
        <w:fldChar w:fldCharType="begin"/>
      </w:r>
      <w:r w:rsidRPr="003654E3">
        <w:rPr>
          <w:rFonts w:ascii="Arial" w:hAnsi="Arial" w:cs="Arial"/>
          <w:bCs/>
          <w:lang w:val="en-PH"/>
        </w:rPr>
        <w:instrText>HYPERLINK "https://www.emerald.com/insight/search?q=Ling%20Tuo" \o "Ling Tuo"</w:instrText>
      </w:r>
      <w:r w:rsidRPr="003654E3">
        <w:rPr>
          <w:rFonts w:ascii="Arial" w:hAnsi="Arial" w:cs="Arial"/>
          <w:bCs/>
          <w:lang w:val="en-PH"/>
        </w:rPr>
        <w:fldChar w:fldCharType="separate"/>
      </w:r>
      <w:r w:rsidRPr="003654E3">
        <w:rPr>
          <w:rStyle w:val="Hyperlink"/>
          <w:rFonts w:ascii="Arial" w:hAnsi="Arial" w:cs="Arial"/>
          <w:bCs/>
          <w:color w:val="auto"/>
          <w:u w:val="none"/>
          <w:lang w:val="en-PH"/>
        </w:rPr>
        <w:t>Tuo, L.</w:t>
      </w:r>
      <w:r w:rsidRPr="003654E3">
        <w:rPr>
          <w:rFonts w:ascii="Arial" w:hAnsi="Arial" w:cs="Arial"/>
          <w:bCs/>
        </w:rPr>
        <w:fldChar w:fldCharType="end"/>
      </w:r>
      <w:r w:rsidRPr="003654E3">
        <w:rPr>
          <w:rFonts w:ascii="Arial" w:hAnsi="Arial" w:cs="Arial"/>
          <w:bCs/>
          <w:lang w:val="en-PH"/>
        </w:rPr>
        <w:t> and </w:t>
      </w:r>
      <w:hyperlink r:id="rId42" w:tooltip="Shipeng Han" w:history="1">
        <w:r w:rsidRPr="003654E3">
          <w:rPr>
            <w:rStyle w:val="Hyperlink"/>
            <w:rFonts w:ascii="Arial" w:hAnsi="Arial" w:cs="Arial"/>
            <w:bCs/>
            <w:color w:val="auto"/>
            <w:u w:val="none"/>
            <w:lang w:val="en-PH"/>
          </w:rPr>
          <w:t>Han, S.</w:t>
        </w:r>
      </w:hyperlink>
      <w:r w:rsidRPr="003654E3">
        <w:rPr>
          <w:rFonts w:ascii="Arial" w:hAnsi="Arial" w:cs="Arial"/>
          <w:bCs/>
          <w:lang w:val="en-PH"/>
        </w:rPr>
        <w:t xml:space="preserve"> (2024), </w:t>
      </w:r>
      <w:bookmarkEnd w:id="4"/>
      <w:r w:rsidRPr="003654E3">
        <w:rPr>
          <w:rFonts w:ascii="Arial" w:hAnsi="Arial" w:cs="Arial"/>
          <w:bCs/>
          <w:lang w:val="en-PH"/>
        </w:rPr>
        <w:t>"Does Taxation Education Improve Tax Compliance: An Empirical Study", </w:t>
      </w:r>
      <w:hyperlink r:id="rId43" w:tooltip="John Hasseldine" w:history="1">
        <w:r w:rsidRPr="003654E3">
          <w:rPr>
            <w:rStyle w:val="Hyperlink"/>
            <w:rFonts w:ascii="Arial" w:hAnsi="Arial" w:cs="Arial"/>
            <w:bCs/>
            <w:color w:val="auto"/>
            <w:u w:val="none"/>
            <w:lang w:val="en-PH"/>
          </w:rPr>
          <w:t>Hasseldine, J.</w:t>
        </w:r>
      </w:hyperlink>
      <w:r w:rsidRPr="003654E3">
        <w:rPr>
          <w:rFonts w:ascii="Arial" w:hAnsi="Arial" w:cs="Arial"/>
          <w:bCs/>
          <w:lang w:val="en-PH"/>
        </w:rPr>
        <w:t> (Ed.) Advances in Taxation (Advances in Taxation, Vol. 31), Emerald Publishing Limited, Leeds, pp. 165-208. </w:t>
      </w:r>
      <w:hyperlink r:id="rId44" w:tooltip="DOI: https://doi.org/10.1108/S1058-749720240000031006" w:history="1">
        <w:r w:rsidRPr="003654E3">
          <w:rPr>
            <w:rStyle w:val="Hyperlink"/>
            <w:rFonts w:ascii="Arial" w:hAnsi="Arial" w:cs="Arial"/>
            <w:bCs/>
            <w:color w:val="auto"/>
            <w:u w:val="none"/>
            <w:lang w:val="en-PH"/>
          </w:rPr>
          <w:t>https://doi.org/10.1108/S1058-749720240000031006</w:t>
        </w:r>
      </w:hyperlink>
    </w:p>
    <w:p w14:paraId="1CA5E6CB" w14:textId="77777777" w:rsidR="00230CF4" w:rsidRPr="00216778" w:rsidRDefault="00230CF4" w:rsidP="00E45ED8">
      <w:pPr>
        <w:jc w:val="both"/>
        <w:rPr>
          <w:rFonts w:ascii="Arial" w:hAnsi="Arial" w:cs="Arial"/>
          <w:spacing w:val="-4"/>
          <w:lang w:val="en-PH"/>
        </w:rPr>
      </w:pPr>
    </w:p>
    <w:p w14:paraId="47088617" w14:textId="77777777" w:rsidR="0050635B" w:rsidRPr="0050635B" w:rsidRDefault="0050635B" w:rsidP="0050635B">
      <w:pPr>
        <w:jc w:val="both"/>
        <w:rPr>
          <w:rFonts w:ascii="Arial" w:hAnsi="Arial" w:cs="Arial"/>
        </w:rPr>
      </w:pPr>
      <w:r w:rsidRPr="0050635B">
        <w:rPr>
          <w:rFonts w:ascii="Arial" w:hAnsi="Arial" w:cs="Arial"/>
        </w:rPr>
        <w:t xml:space="preserve">McGee, R. W., </w:t>
      </w:r>
      <w:proofErr w:type="spellStart"/>
      <w:r w:rsidRPr="0050635B">
        <w:rPr>
          <w:rFonts w:ascii="Arial" w:hAnsi="Arial" w:cs="Arial"/>
        </w:rPr>
        <w:t>Benk</w:t>
      </w:r>
      <w:proofErr w:type="spellEnd"/>
      <w:r w:rsidRPr="0050635B">
        <w:rPr>
          <w:rFonts w:ascii="Arial" w:hAnsi="Arial" w:cs="Arial"/>
        </w:rPr>
        <w:t xml:space="preserve">, S., </w:t>
      </w:r>
      <w:proofErr w:type="spellStart"/>
      <w:r w:rsidRPr="0050635B">
        <w:rPr>
          <w:rFonts w:ascii="Arial" w:hAnsi="Arial" w:cs="Arial"/>
        </w:rPr>
        <w:t>Yüzbaşı</w:t>
      </w:r>
      <w:proofErr w:type="spellEnd"/>
      <w:r w:rsidRPr="0050635B">
        <w:rPr>
          <w:rFonts w:ascii="Arial" w:hAnsi="Arial" w:cs="Arial"/>
        </w:rPr>
        <w:t>, B., &amp; Budak, T. (2020). Does Religiosity Affect Attitudes toward the Ethics of Tax Evasion? The Case of Turkey. Religions, 11(9), 476. https://doi.org/10.3390/rel11090476.</w:t>
      </w:r>
    </w:p>
    <w:p w14:paraId="338316A5" w14:textId="77777777" w:rsidR="0050635B" w:rsidRPr="0050635B" w:rsidRDefault="0050635B" w:rsidP="00E45ED8">
      <w:pPr>
        <w:jc w:val="both"/>
        <w:rPr>
          <w:rFonts w:ascii="Arial" w:hAnsi="Arial" w:cs="Arial"/>
          <w:spacing w:val="-4"/>
        </w:rPr>
      </w:pPr>
    </w:p>
    <w:p w14:paraId="0A5A07AB" w14:textId="77777777" w:rsidR="00230CF4" w:rsidRDefault="00230CF4" w:rsidP="00230CF4">
      <w:pPr>
        <w:jc w:val="both"/>
        <w:rPr>
          <w:rFonts w:ascii="Arial" w:hAnsi="Arial" w:cs="Arial"/>
        </w:rPr>
      </w:pPr>
      <w:r w:rsidRPr="0050635B">
        <w:rPr>
          <w:rFonts w:ascii="Arial" w:hAnsi="Arial" w:cs="Arial"/>
        </w:rPr>
        <w:t xml:space="preserve">Nguyen, H. T., &amp; </w:t>
      </w:r>
      <w:proofErr w:type="spellStart"/>
      <w:r w:rsidRPr="0050635B">
        <w:rPr>
          <w:rFonts w:ascii="Arial" w:hAnsi="Arial" w:cs="Arial"/>
        </w:rPr>
        <w:t>Darsono</w:t>
      </w:r>
      <w:proofErr w:type="spellEnd"/>
      <w:r w:rsidRPr="0050635B">
        <w:rPr>
          <w:rFonts w:ascii="Arial" w:hAnsi="Arial" w:cs="Arial"/>
        </w:rPr>
        <w:t>, S. N. A. C. (2022). The Impacts of Tax Revenue and Investment on the Economic Growth in Southeast Asian Countries. Journal of Accounting</w:t>
      </w:r>
      <w:r w:rsidRPr="0050635B">
        <w:rPr>
          <w:rFonts w:ascii="Arial" w:hAnsi="Arial" w:cs="Arial"/>
        </w:rPr>
        <w:tab/>
        <w:t>and Investment,</w:t>
      </w:r>
      <w:r w:rsidRPr="0050635B">
        <w:rPr>
          <w:rFonts w:ascii="Arial" w:hAnsi="Arial" w:cs="Arial"/>
        </w:rPr>
        <w:tab/>
        <w:t>23(1),</w:t>
      </w:r>
      <w:r w:rsidRPr="0050635B">
        <w:rPr>
          <w:rFonts w:ascii="Arial" w:hAnsi="Arial" w:cs="Arial"/>
        </w:rPr>
        <w:tab/>
        <w:t>128–146.</w:t>
      </w:r>
      <w:r w:rsidRPr="0050635B">
        <w:rPr>
          <w:rFonts w:ascii="Arial" w:hAnsi="Arial" w:cs="Arial"/>
        </w:rPr>
        <w:tab/>
        <w:t xml:space="preserve">DOI: </w:t>
      </w:r>
      <w:hyperlink r:id="rId45">
        <w:r w:rsidRPr="0050635B">
          <w:rPr>
            <w:rStyle w:val="Hyperlink"/>
            <w:rFonts w:ascii="Arial" w:hAnsi="Arial" w:cs="Arial"/>
            <w:color w:val="auto"/>
            <w:u w:val="none"/>
          </w:rPr>
          <w:t>https://doi.org/10.18196/jai.v23i1.13270</w:t>
        </w:r>
      </w:hyperlink>
      <w:r w:rsidRPr="0050635B">
        <w:rPr>
          <w:rFonts w:ascii="Arial" w:hAnsi="Arial" w:cs="Arial"/>
        </w:rPr>
        <w:t>.</w:t>
      </w:r>
    </w:p>
    <w:p w14:paraId="20E8B5DA" w14:textId="77777777" w:rsidR="0050635B" w:rsidRDefault="0050635B" w:rsidP="00230CF4">
      <w:pPr>
        <w:jc w:val="both"/>
        <w:rPr>
          <w:rFonts w:ascii="Arial" w:hAnsi="Arial" w:cs="Arial"/>
        </w:rPr>
      </w:pPr>
    </w:p>
    <w:p w14:paraId="5E21C3FC" w14:textId="77777777" w:rsidR="0050635B" w:rsidRDefault="0050635B" w:rsidP="0050635B">
      <w:pPr>
        <w:jc w:val="both"/>
      </w:pPr>
      <w:proofErr w:type="spellStart"/>
      <w:r>
        <w:t>Oladipupo</w:t>
      </w:r>
      <w:proofErr w:type="spellEnd"/>
      <w:r>
        <w:t>,</w:t>
      </w:r>
      <w:r>
        <w:rPr>
          <w:spacing w:val="-2"/>
        </w:rPr>
        <w:t xml:space="preserve"> </w:t>
      </w:r>
      <w:r>
        <w:t>A. O., &amp;</w:t>
      </w:r>
      <w:r>
        <w:rPr>
          <w:spacing w:val="-2"/>
        </w:rPr>
        <w:t xml:space="preserve"> </w:t>
      </w:r>
      <w:proofErr w:type="spellStart"/>
      <w:r>
        <w:t>Obazee</w:t>
      </w:r>
      <w:proofErr w:type="spellEnd"/>
      <w:r>
        <w:t>, U. (2016). Tax knowledge,</w:t>
      </w:r>
      <w:r>
        <w:rPr>
          <w:spacing w:val="-2"/>
        </w:rPr>
        <w:t xml:space="preserve"> </w:t>
      </w:r>
      <w:r>
        <w:t>penalties,</w:t>
      </w:r>
      <w:r>
        <w:rPr>
          <w:spacing w:val="-2"/>
        </w:rPr>
        <w:t xml:space="preserve"> </w:t>
      </w:r>
      <w:r>
        <w:t>and tax</w:t>
      </w:r>
      <w:r>
        <w:rPr>
          <w:spacing w:val="-3"/>
        </w:rPr>
        <w:t xml:space="preserve"> </w:t>
      </w:r>
      <w:r>
        <w:t>compliance in small</w:t>
      </w:r>
      <w:r>
        <w:rPr>
          <w:spacing w:val="-7"/>
        </w:rPr>
        <w:t xml:space="preserve"> </w:t>
      </w:r>
      <w:r>
        <w:t>and</w:t>
      </w:r>
      <w:r>
        <w:rPr>
          <w:spacing w:val="-9"/>
        </w:rPr>
        <w:t xml:space="preserve"> </w:t>
      </w:r>
      <w:r>
        <w:t>medium</w:t>
      </w:r>
      <w:r>
        <w:rPr>
          <w:spacing w:val="-8"/>
        </w:rPr>
        <w:t xml:space="preserve"> </w:t>
      </w:r>
      <w:r>
        <w:t>scale</w:t>
      </w:r>
      <w:r>
        <w:rPr>
          <w:spacing w:val="-9"/>
        </w:rPr>
        <w:t xml:space="preserve"> </w:t>
      </w:r>
      <w:r>
        <w:t>enterprises</w:t>
      </w:r>
      <w:r>
        <w:rPr>
          <w:spacing w:val="-6"/>
        </w:rPr>
        <w:t xml:space="preserve"> </w:t>
      </w:r>
      <w:r>
        <w:t>in</w:t>
      </w:r>
      <w:r>
        <w:rPr>
          <w:spacing w:val="-5"/>
        </w:rPr>
        <w:t xml:space="preserve"> </w:t>
      </w:r>
      <w:r>
        <w:t>Nigeria.</w:t>
      </w:r>
      <w:r>
        <w:rPr>
          <w:spacing w:val="-4"/>
        </w:rPr>
        <w:t xml:space="preserve"> </w:t>
      </w:r>
      <w:r>
        <w:rPr>
          <w:rFonts w:ascii="Arial"/>
          <w:i/>
        </w:rPr>
        <w:t>European</w:t>
      </w:r>
      <w:r>
        <w:rPr>
          <w:rFonts w:ascii="Arial"/>
          <w:i/>
          <w:spacing w:val="-12"/>
        </w:rPr>
        <w:t xml:space="preserve"> </w:t>
      </w:r>
      <w:r>
        <w:rPr>
          <w:rFonts w:ascii="Arial"/>
          <w:i/>
        </w:rPr>
        <w:t>Journal</w:t>
      </w:r>
      <w:r>
        <w:rPr>
          <w:rFonts w:ascii="Arial"/>
          <w:i/>
          <w:spacing w:val="-14"/>
        </w:rPr>
        <w:t xml:space="preserve"> </w:t>
      </w:r>
      <w:r>
        <w:rPr>
          <w:rFonts w:ascii="Arial"/>
          <w:i/>
        </w:rPr>
        <w:t>of</w:t>
      </w:r>
      <w:r>
        <w:rPr>
          <w:rFonts w:ascii="Arial"/>
          <w:i/>
          <w:spacing w:val="-13"/>
        </w:rPr>
        <w:t xml:space="preserve"> </w:t>
      </w:r>
      <w:r>
        <w:rPr>
          <w:rFonts w:ascii="Arial"/>
          <w:i/>
        </w:rPr>
        <w:t>Business</w:t>
      </w:r>
      <w:r>
        <w:rPr>
          <w:rFonts w:ascii="Arial"/>
          <w:i/>
          <w:spacing w:val="-13"/>
        </w:rPr>
        <w:t xml:space="preserve"> </w:t>
      </w:r>
      <w:r>
        <w:rPr>
          <w:rFonts w:ascii="Arial"/>
          <w:i/>
        </w:rPr>
        <w:t>and Management</w:t>
      </w:r>
      <w:r>
        <w:t xml:space="preserve">, 8(17), 1-9. </w:t>
      </w:r>
      <w:hyperlink r:id="rId46">
        <w:r>
          <w:t>http://dx.doi.org/10.4236/ib.2016.81001</w:t>
        </w:r>
      </w:hyperlink>
    </w:p>
    <w:p w14:paraId="3D4E0491" w14:textId="77777777" w:rsidR="00230CF4" w:rsidRPr="0050635B" w:rsidRDefault="00230CF4" w:rsidP="00230CF4">
      <w:pPr>
        <w:jc w:val="both"/>
        <w:rPr>
          <w:rFonts w:ascii="Arial" w:hAnsi="Arial" w:cs="Arial"/>
        </w:rPr>
      </w:pPr>
    </w:p>
    <w:p w14:paraId="71D6E29B" w14:textId="61988F1A" w:rsidR="00230CF4" w:rsidRPr="0050635B" w:rsidRDefault="00230CF4" w:rsidP="00230CF4">
      <w:pPr>
        <w:jc w:val="both"/>
        <w:rPr>
          <w:rFonts w:ascii="Arial" w:hAnsi="Arial" w:cs="Arial"/>
          <w:spacing w:val="-2"/>
        </w:rPr>
      </w:pPr>
      <w:r w:rsidRPr="0050635B">
        <w:rPr>
          <w:rFonts w:ascii="Arial" w:hAnsi="Arial" w:cs="Arial"/>
        </w:rPr>
        <w:t xml:space="preserve">Olsen, J </w:t>
      </w:r>
      <w:proofErr w:type="spellStart"/>
      <w:r w:rsidRPr="0050635B">
        <w:rPr>
          <w:rFonts w:ascii="Arial" w:hAnsi="Arial" w:cs="Arial"/>
        </w:rPr>
        <w:t>Kogler</w:t>
      </w:r>
      <w:proofErr w:type="spellEnd"/>
      <w:r w:rsidRPr="0050635B">
        <w:rPr>
          <w:rFonts w:ascii="Arial" w:hAnsi="Arial" w:cs="Arial"/>
        </w:rPr>
        <w:t xml:space="preserve">, C., </w:t>
      </w:r>
      <w:proofErr w:type="spellStart"/>
      <w:r w:rsidRPr="0050635B">
        <w:rPr>
          <w:rFonts w:ascii="Arial" w:hAnsi="Arial" w:cs="Arial"/>
        </w:rPr>
        <w:t>Kirchler</w:t>
      </w:r>
      <w:proofErr w:type="spellEnd"/>
      <w:r w:rsidRPr="0050635B">
        <w:rPr>
          <w:rFonts w:ascii="Arial" w:hAnsi="Arial" w:cs="Arial"/>
        </w:rPr>
        <w:t xml:space="preserve">, E., </w:t>
      </w:r>
      <w:proofErr w:type="spellStart"/>
      <w:r w:rsidRPr="0050635B">
        <w:rPr>
          <w:rFonts w:ascii="Arial" w:hAnsi="Arial" w:cs="Arial"/>
        </w:rPr>
        <w:t>Batrancea</w:t>
      </w:r>
      <w:proofErr w:type="spellEnd"/>
      <w:r w:rsidRPr="0050635B">
        <w:rPr>
          <w:rFonts w:ascii="Arial" w:hAnsi="Arial" w:cs="Arial"/>
        </w:rPr>
        <w:t xml:space="preserve">, L. M., &amp; </w:t>
      </w:r>
      <w:proofErr w:type="spellStart"/>
      <w:r w:rsidRPr="0050635B">
        <w:rPr>
          <w:rFonts w:ascii="Arial" w:hAnsi="Arial" w:cs="Arial"/>
        </w:rPr>
        <w:t>Nichita</w:t>
      </w:r>
      <w:proofErr w:type="spellEnd"/>
      <w:r w:rsidRPr="0050635B">
        <w:rPr>
          <w:rFonts w:ascii="Arial" w:hAnsi="Arial" w:cs="Arial"/>
        </w:rPr>
        <w:t>, A. (2022). Perceptions of trust</w:t>
      </w:r>
      <w:r w:rsidRPr="0050635B">
        <w:rPr>
          <w:rFonts w:ascii="Arial" w:hAnsi="Arial" w:cs="Arial"/>
          <w:spacing w:val="40"/>
        </w:rPr>
        <w:t xml:space="preserve"> and</w:t>
      </w:r>
      <w:r w:rsidRPr="0050635B">
        <w:rPr>
          <w:rFonts w:ascii="Arial" w:hAnsi="Arial" w:cs="Arial"/>
          <w:spacing w:val="80"/>
        </w:rPr>
        <w:t xml:space="preserve"> power </w:t>
      </w:r>
      <w:r w:rsidRPr="0050635B">
        <w:rPr>
          <w:rFonts w:ascii="Arial" w:hAnsi="Arial" w:cs="Arial"/>
        </w:rPr>
        <w:t>are</w:t>
      </w:r>
      <w:r w:rsidRPr="0050635B">
        <w:rPr>
          <w:rFonts w:ascii="Arial" w:hAnsi="Arial" w:cs="Arial"/>
          <w:spacing w:val="80"/>
        </w:rPr>
        <w:t xml:space="preserve"> </w:t>
      </w:r>
      <w:r w:rsidRPr="0050635B">
        <w:rPr>
          <w:rFonts w:ascii="Arial" w:hAnsi="Arial" w:cs="Arial"/>
        </w:rPr>
        <w:t>associated</w:t>
      </w:r>
      <w:r w:rsidRPr="0050635B">
        <w:rPr>
          <w:rFonts w:ascii="Arial" w:hAnsi="Arial" w:cs="Arial"/>
          <w:spacing w:val="80"/>
        </w:rPr>
        <w:t xml:space="preserve"> </w:t>
      </w:r>
      <w:r w:rsidRPr="0050635B">
        <w:rPr>
          <w:rFonts w:ascii="Arial" w:hAnsi="Arial" w:cs="Arial"/>
        </w:rPr>
        <w:t>with</w:t>
      </w:r>
      <w:r w:rsidRPr="0050635B">
        <w:rPr>
          <w:rFonts w:ascii="Arial" w:hAnsi="Arial" w:cs="Arial"/>
          <w:spacing w:val="80"/>
        </w:rPr>
        <w:t xml:space="preserve"> </w:t>
      </w:r>
      <w:r w:rsidRPr="0050635B">
        <w:rPr>
          <w:rFonts w:ascii="Arial" w:hAnsi="Arial" w:cs="Arial"/>
        </w:rPr>
        <w:t>tax</w:t>
      </w:r>
      <w:r w:rsidRPr="0050635B">
        <w:rPr>
          <w:rFonts w:ascii="Arial" w:hAnsi="Arial" w:cs="Arial"/>
          <w:spacing w:val="80"/>
        </w:rPr>
        <w:t xml:space="preserve"> </w:t>
      </w:r>
      <w:r w:rsidRPr="0050635B">
        <w:rPr>
          <w:rFonts w:ascii="Arial" w:hAnsi="Arial" w:cs="Arial"/>
        </w:rPr>
        <w:t>compliance:</w:t>
      </w:r>
      <w:r w:rsidRPr="0050635B">
        <w:rPr>
          <w:rFonts w:ascii="Arial" w:hAnsi="Arial" w:cs="Arial"/>
          <w:spacing w:val="80"/>
        </w:rPr>
        <w:t xml:space="preserve"> </w:t>
      </w:r>
      <w:r w:rsidRPr="0050635B">
        <w:rPr>
          <w:rFonts w:ascii="Arial" w:hAnsi="Arial" w:cs="Arial"/>
        </w:rPr>
        <w:t>A</w:t>
      </w:r>
      <w:r w:rsidRPr="0050635B">
        <w:rPr>
          <w:rFonts w:ascii="Arial" w:hAnsi="Arial" w:cs="Arial"/>
          <w:spacing w:val="80"/>
        </w:rPr>
        <w:t xml:space="preserve"> </w:t>
      </w:r>
      <w:r w:rsidRPr="0050635B">
        <w:rPr>
          <w:rFonts w:ascii="Arial" w:hAnsi="Arial" w:cs="Arial"/>
        </w:rPr>
        <w:t>cross-cultural study. Economic and Political</w:t>
      </w:r>
      <w:r w:rsidRPr="0050635B">
        <w:rPr>
          <w:rFonts w:ascii="Arial" w:hAnsi="Arial" w:cs="Arial"/>
        </w:rPr>
        <w:tab/>
        <w:t>Studies, 11(3),</w:t>
      </w:r>
      <w:r w:rsidRPr="0050635B">
        <w:rPr>
          <w:rFonts w:ascii="Arial" w:hAnsi="Arial" w:cs="Arial"/>
        </w:rPr>
        <w:tab/>
      </w:r>
      <w:r w:rsidRPr="0050635B">
        <w:rPr>
          <w:rFonts w:ascii="Arial" w:hAnsi="Arial" w:cs="Arial"/>
          <w:spacing w:val="-2"/>
        </w:rPr>
        <w:t xml:space="preserve">365–381. </w:t>
      </w:r>
      <w:hyperlink r:id="rId47" w:history="1">
        <w:r w:rsidR="0050635B" w:rsidRPr="0050635B">
          <w:rPr>
            <w:rStyle w:val="Hyperlink"/>
            <w:rFonts w:ascii="Arial" w:hAnsi="Arial" w:cs="Arial"/>
            <w:color w:val="auto"/>
            <w:spacing w:val="-2"/>
            <w:u w:val="none"/>
          </w:rPr>
          <w:t>https://doi.org/10.1080/20954816.2022.2130501</w:t>
        </w:r>
      </w:hyperlink>
      <w:r w:rsidRPr="0050635B">
        <w:rPr>
          <w:rFonts w:ascii="Arial" w:hAnsi="Arial" w:cs="Arial"/>
          <w:spacing w:val="-2"/>
        </w:rPr>
        <w:t>.</w:t>
      </w:r>
    </w:p>
    <w:p w14:paraId="332EDFFC" w14:textId="77777777" w:rsidR="0050635B" w:rsidRPr="0050635B" w:rsidRDefault="0050635B" w:rsidP="00230CF4">
      <w:pPr>
        <w:jc w:val="both"/>
        <w:rPr>
          <w:rFonts w:ascii="Arial" w:hAnsi="Arial" w:cs="Arial"/>
          <w:spacing w:val="-2"/>
        </w:rPr>
      </w:pPr>
    </w:p>
    <w:p w14:paraId="4871F6CD" w14:textId="77777777" w:rsidR="0050635B" w:rsidRDefault="0050635B" w:rsidP="0050635B">
      <w:pPr>
        <w:jc w:val="both"/>
        <w:rPr>
          <w:rFonts w:ascii="Arial" w:hAnsi="Arial" w:cs="Arial"/>
        </w:rPr>
      </w:pPr>
      <w:proofErr w:type="spellStart"/>
      <w:r w:rsidRPr="0050635B">
        <w:rPr>
          <w:rFonts w:ascii="Arial" w:hAnsi="Arial" w:cs="Arial"/>
        </w:rPr>
        <w:t>Pacaldo</w:t>
      </w:r>
      <w:proofErr w:type="spellEnd"/>
      <w:r w:rsidRPr="0050635B">
        <w:rPr>
          <w:rFonts w:ascii="Arial" w:hAnsi="Arial" w:cs="Arial"/>
        </w:rPr>
        <w:t xml:space="preserve">, R. S., &amp; Ferrer, R. C. (2020). Determinants of tax morale using structural </w:t>
      </w:r>
      <w:proofErr w:type="spellStart"/>
      <w:r w:rsidRPr="0050635B">
        <w:rPr>
          <w:rFonts w:ascii="Arial" w:hAnsi="Arial" w:cs="Arial"/>
        </w:rPr>
        <w:t>equationmodel</w:t>
      </w:r>
      <w:proofErr w:type="spellEnd"/>
      <w:r w:rsidRPr="0050635B">
        <w:rPr>
          <w:rFonts w:ascii="Arial" w:hAnsi="Arial" w:cs="Arial"/>
        </w:rPr>
        <w:t xml:space="preserve"> (SEM). DLSU Business and Economics Review, 29(2), 40-57.https://</w:t>
      </w:r>
      <w:hyperlink r:id="rId48">
        <w:r w:rsidRPr="0050635B">
          <w:rPr>
            <w:rStyle w:val="Hyperlink"/>
            <w:rFonts w:ascii="Arial" w:hAnsi="Arial" w:cs="Arial"/>
            <w:color w:val="auto"/>
            <w:u w:val="none"/>
          </w:rPr>
          <w:t>www.researchgate.net/profile/Raymond-Pacaldo-</w:t>
        </w:r>
      </w:hyperlink>
      <w:r w:rsidRPr="0050635B">
        <w:rPr>
          <w:rFonts w:ascii="Arial" w:hAnsi="Arial" w:cs="Arial"/>
        </w:rPr>
        <w:t>/publication/344739865_Determinants_of_Tax_Morale_using_Structural_Equati</w:t>
      </w:r>
      <w:r w:rsidRPr="002D0D93">
        <w:rPr>
          <w:rFonts w:ascii="Arial" w:hAnsi="Arial" w:cs="Arial"/>
        </w:rPr>
        <w:t xml:space="preserve"> on_Model_SEM/links/5f8d427692851c14bcd2a86b/Determinants-of-Tax-Morale- using- Structural-Equation-Model-SEM.pdf?</w:t>
      </w:r>
    </w:p>
    <w:p w14:paraId="0AED30B3" w14:textId="77777777" w:rsidR="0050635B" w:rsidRDefault="0050635B" w:rsidP="00230CF4">
      <w:pPr>
        <w:jc w:val="both"/>
      </w:pPr>
    </w:p>
    <w:p w14:paraId="768A86ED" w14:textId="2E695E31" w:rsidR="00FC008B" w:rsidRDefault="00FC008B" w:rsidP="00E45ED8">
      <w:pPr>
        <w:jc w:val="both"/>
      </w:pPr>
      <w:r w:rsidRPr="00E45ED8">
        <w:t xml:space="preserve">Putra, I. M. W., AMP, I. N. K., &amp; </w:t>
      </w:r>
      <w:proofErr w:type="spellStart"/>
      <w:r w:rsidRPr="00E45ED8">
        <w:t>Sudiartana</w:t>
      </w:r>
      <w:proofErr w:type="spellEnd"/>
      <w:r w:rsidRPr="00E45ED8">
        <w:t xml:space="preserve">, I. M. (2021). </w:t>
      </w:r>
      <w:proofErr w:type="spellStart"/>
      <w:r w:rsidRPr="00E45ED8">
        <w:t>Pengaruh</w:t>
      </w:r>
      <w:proofErr w:type="spellEnd"/>
      <w:r w:rsidRPr="00E45ED8">
        <w:t xml:space="preserve"> </w:t>
      </w:r>
      <w:proofErr w:type="spellStart"/>
      <w:r w:rsidRPr="00E45ED8">
        <w:t>Kesadaran</w:t>
      </w:r>
      <w:proofErr w:type="spellEnd"/>
      <w:r w:rsidRPr="00E45ED8">
        <w:t xml:space="preserve"> </w:t>
      </w:r>
      <w:proofErr w:type="spellStart"/>
      <w:r w:rsidRPr="00E45ED8">
        <w:t>Wajib</w:t>
      </w:r>
      <w:proofErr w:type="spellEnd"/>
      <w:r w:rsidRPr="00E45ED8">
        <w:t xml:space="preserve"> </w:t>
      </w:r>
      <w:proofErr w:type="spellStart"/>
      <w:r w:rsidRPr="00E45ED8">
        <w:t>Pajak</w:t>
      </w:r>
      <w:proofErr w:type="spellEnd"/>
      <w:r w:rsidRPr="00E45ED8">
        <w:t xml:space="preserve">, </w:t>
      </w:r>
      <w:proofErr w:type="spellStart"/>
      <w:r w:rsidRPr="00E45ED8">
        <w:t>Sanksi</w:t>
      </w:r>
      <w:proofErr w:type="spellEnd"/>
      <w:r w:rsidRPr="00E45ED8">
        <w:t xml:space="preserve"> </w:t>
      </w:r>
      <w:proofErr w:type="spellStart"/>
      <w:r w:rsidRPr="00E45ED8">
        <w:t>Pajak</w:t>
      </w:r>
      <w:proofErr w:type="spellEnd"/>
      <w:r w:rsidRPr="00E45ED8">
        <w:t xml:space="preserve">, </w:t>
      </w:r>
      <w:proofErr w:type="spellStart"/>
      <w:r w:rsidRPr="00E45ED8">
        <w:t>Sosialisasi</w:t>
      </w:r>
      <w:proofErr w:type="spellEnd"/>
      <w:r w:rsidRPr="00E45ED8">
        <w:t xml:space="preserve"> </w:t>
      </w:r>
      <w:proofErr w:type="spellStart"/>
      <w:r w:rsidRPr="00E45ED8">
        <w:t>Pajak</w:t>
      </w:r>
      <w:proofErr w:type="spellEnd"/>
      <w:r w:rsidRPr="00E45ED8">
        <w:t xml:space="preserve"> Dan </w:t>
      </w:r>
      <w:proofErr w:type="spellStart"/>
      <w:r w:rsidRPr="00E45ED8">
        <w:t>Penerapan</w:t>
      </w:r>
      <w:proofErr w:type="spellEnd"/>
      <w:r w:rsidRPr="00E45ED8">
        <w:t xml:space="preserve"> E-Billing </w:t>
      </w:r>
      <w:proofErr w:type="spellStart"/>
      <w:r w:rsidRPr="00E45ED8">
        <w:t>Terhadap</w:t>
      </w:r>
      <w:proofErr w:type="spellEnd"/>
      <w:r w:rsidRPr="00E45ED8">
        <w:t xml:space="preserve"> </w:t>
      </w:r>
      <w:proofErr w:type="spellStart"/>
      <w:r w:rsidRPr="00E45ED8">
        <w:t>Kepatuhan</w:t>
      </w:r>
      <w:proofErr w:type="spellEnd"/>
      <w:r w:rsidRPr="00E45ED8">
        <w:rPr>
          <w:spacing w:val="-15"/>
        </w:rPr>
        <w:t xml:space="preserve"> </w:t>
      </w:r>
      <w:proofErr w:type="spellStart"/>
      <w:r w:rsidRPr="00E45ED8">
        <w:t>Membayar</w:t>
      </w:r>
      <w:proofErr w:type="spellEnd"/>
      <w:r w:rsidRPr="00E45ED8">
        <w:rPr>
          <w:spacing w:val="-15"/>
        </w:rPr>
        <w:t xml:space="preserve"> </w:t>
      </w:r>
      <w:proofErr w:type="spellStart"/>
      <w:r w:rsidRPr="00E45ED8">
        <w:t>Pajak</w:t>
      </w:r>
      <w:proofErr w:type="spellEnd"/>
      <w:r w:rsidRPr="00E45ED8">
        <w:rPr>
          <w:spacing w:val="-14"/>
        </w:rPr>
        <w:t xml:space="preserve"> </w:t>
      </w:r>
      <w:proofErr w:type="spellStart"/>
      <w:r w:rsidRPr="00E45ED8">
        <w:t>Wajib</w:t>
      </w:r>
      <w:proofErr w:type="spellEnd"/>
      <w:r w:rsidRPr="00E45ED8">
        <w:rPr>
          <w:spacing w:val="-15"/>
        </w:rPr>
        <w:t xml:space="preserve"> </w:t>
      </w:r>
      <w:proofErr w:type="spellStart"/>
      <w:r w:rsidRPr="00E45ED8">
        <w:t>Pajak</w:t>
      </w:r>
      <w:proofErr w:type="spellEnd"/>
      <w:r w:rsidRPr="00E45ED8">
        <w:rPr>
          <w:spacing w:val="-15"/>
        </w:rPr>
        <w:t xml:space="preserve"> </w:t>
      </w:r>
      <w:r w:rsidRPr="00E45ED8">
        <w:t>Orang</w:t>
      </w:r>
      <w:r w:rsidRPr="00E45ED8">
        <w:rPr>
          <w:spacing w:val="-14"/>
        </w:rPr>
        <w:t xml:space="preserve"> </w:t>
      </w:r>
      <w:proofErr w:type="spellStart"/>
      <w:r w:rsidRPr="00E45ED8">
        <w:t>Pribadi</w:t>
      </w:r>
      <w:proofErr w:type="spellEnd"/>
      <w:r w:rsidRPr="00E45ED8">
        <w:rPr>
          <w:spacing w:val="-15"/>
        </w:rPr>
        <w:t xml:space="preserve"> </w:t>
      </w:r>
      <w:r w:rsidRPr="00E45ED8">
        <w:t>di</w:t>
      </w:r>
      <w:r w:rsidRPr="00E45ED8">
        <w:rPr>
          <w:spacing w:val="-14"/>
        </w:rPr>
        <w:t xml:space="preserve"> </w:t>
      </w:r>
      <w:r w:rsidRPr="00E45ED8">
        <w:t>Kantor</w:t>
      </w:r>
      <w:r w:rsidRPr="00E45ED8">
        <w:rPr>
          <w:spacing w:val="-15"/>
        </w:rPr>
        <w:t xml:space="preserve"> </w:t>
      </w:r>
      <w:proofErr w:type="spellStart"/>
      <w:r w:rsidRPr="00E45ED8">
        <w:t>Pelayanan</w:t>
      </w:r>
      <w:proofErr w:type="spellEnd"/>
      <w:r w:rsidRPr="00E45ED8">
        <w:rPr>
          <w:spacing w:val="-15"/>
        </w:rPr>
        <w:t xml:space="preserve"> </w:t>
      </w:r>
      <w:proofErr w:type="spellStart"/>
      <w:r w:rsidRPr="00E45ED8">
        <w:t>Pajak</w:t>
      </w:r>
      <w:proofErr w:type="spellEnd"/>
      <w:r w:rsidRPr="00E45ED8">
        <w:t xml:space="preserve"> </w:t>
      </w:r>
      <w:proofErr w:type="spellStart"/>
      <w:r w:rsidRPr="00E45ED8">
        <w:t>Pratama</w:t>
      </w:r>
      <w:proofErr w:type="spellEnd"/>
      <w:r w:rsidRPr="00E45ED8">
        <w:t xml:space="preserve"> </w:t>
      </w:r>
      <w:proofErr w:type="spellStart"/>
      <w:r w:rsidRPr="00E45ED8">
        <w:t>Badung</w:t>
      </w:r>
      <w:proofErr w:type="spellEnd"/>
      <w:r w:rsidRPr="00E45ED8">
        <w:t xml:space="preserve"> Utara. </w:t>
      </w:r>
      <w:proofErr w:type="spellStart"/>
      <w:r w:rsidRPr="00E45ED8">
        <w:t>Jurnal</w:t>
      </w:r>
      <w:proofErr w:type="spellEnd"/>
      <w:r w:rsidRPr="00E45ED8">
        <w:t xml:space="preserve"> </w:t>
      </w:r>
      <w:proofErr w:type="spellStart"/>
      <w:r w:rsidRPr="00E45ED8">
        <w:t>Kharisma</w:t>
      </w:r>
      <w:proofErr w:type="spellEnd"/>
      <w:r w:rsidRPr="00E45ED8">
        <w:t>, 3(1), 117–127.</w:t>
      </w:r>
    </w:p>
    <w:p w14:paraId="5F6E6B35" w14:textId="77777777" w:rsidR="0050635B" w:rsidRDefault="0050635B" w:rsidP="00E45ED8">
      <w:pPr>
        <w:jc w:val="both"/>
      </w:pPr>
    </w:p>
    <w:p w14:paraId="7EA7DCF0" w14:textId="77777777" w:rsidR="0050635B" w:rsidRPr="005A690F" w:rsidRDefault="0050635B" w:rsidP="0050635B">
      <w:pPr>
        <w:jc w:val="both"/>
      </w:pPr>
      <w:r w:rsidRPr="005A690F">
        <w:t>Procedia</w:t>
      </w:r>
      <w:r>
        <w:t xml:space="preserve"> </w:t>
      </w:r>
      <w:r w:rsidRPr="005A690F">
        <w:t xml:space="preserve">Social and Behavioral Sciences, 109, 1069-1075. </w:t>
      </w:r>
      <w:hyperlink r:id="rId49" w:history="1">
        <w:r w:rsidRPr="005A690F">
          <w:rPr>
            <w:rStyle w:val="Hyperlink"/>
            <w:color w:val="auto"/>
            <w:u w:val="none"/>
          </w:rPr>
          <w:t>https://doi.org/10.1016/j.sbspro.2013.12.590</w:t>
        </w:r>
      </w:hyperlink>
    </w:p>
    <w:p w14:paraId="08D3D336" w14:textId="77777777" w:rsidR="0050635B" w:rsidRPr="00E45ED8" w:rsidRDefault="0050635B" w:rsidP="0050635B">
      <w:pPr>
        <w:jc w:val="both"/>
      </w:pPr>
    </w:p>
    <w:p w14:paraId="7BD36166" w14:textId="77777777" w:rsidR="0050635B" w:rsidRPr="004814B2" w:rsidRDefault="0050635B" w:rsidP="0050635B">
      <w:pPr>
        <w:jc w:val="both"/>
        <w:rPr>
          <w:rFonts w:ascii="Arial" w:hAnsi="Arial" w:cs="Arial"/>
        </w:rPr>
      </w:pPr>
      <w:proofErr w:type="spellStart"/>
      <w:r w:rsidRPr="004814B2">
        <w:rPr>
          <w:rFonts w:ascii="Arial" w:hAnsi="Arial" w:cs="Arial"/>
        </w:rPr>
        <w:t>Renoria</w:t>
      </w:r>
      <w:proofErr w:type="spellEnd"/>
      <w:r w:rsidRPr="004814B2">
        <w:rPr>
          <w:rFonts w:ascii="Arial" w:hAnsi="Arial" w:cs="Arial"/>
        </w:rPr>
        <w:t xml:space="preserve">, KM. (2024). The Tax Awareness and Compliance Levels among Small Business Owners: Basis for Tax Education Program. </w:t>
      </w:r>
      <w:hyperlink r:id="rId50">
        <w:r w:rsidRPr="004814B2">
          <w:rPr>
            <w:rStyle w:val="Hyperlink"/>
            <w:rFonts w:ascii="Arial" w:hAnsi="Arial" w:cs="Arial"/>
            <w:color w:val="auto"/>
            <w:u w:val="none"/>
          </w:rPr>
          <w:t>https://uijrt.com/articles/v5/i7/UIJRTV5I70015.pdf</w:t>
        </w:r>
      </w:hyperlink>
    </w:p>
    <w:p w14:paraId="00B6B1E5" w14:textId="77777777" w:rsidR="0050635B" w:rsidRDefault="0050635B" w:rsidP="00230CF4">
      <w:pPr>
        <w:jc w:val="both"/>
      </w:pPr>
    </w:p>
    <w:p w14:paraId="73554E3D" w14:textId="77777777" w:rsidR="0050635B" w:rsidRDefault="0050635B" w:rsidP="0050635B">
      <w:pPr>
        <w:rPr>
          <w:rFonts w:ascii="Arial" w:hAnsi="Arial" w:cs="Arial"/>
        </w:rPr>
      </w:pPr>
      <w:proofErr w:type="spellStart"/>
      <w:r w:rsidRPr="00412D0D">
        <w:rPr>
          <w:rFonts w:ascii="Arial" w:hAnsi="Arial" w:cs="Arial"/>
        </w:rPr>
        <w:t>Rosid</w:t>
      </w:r>
      <w:proofErr w:type="spellEnd"/>
      <w:r w:rsidRPr="00412D0D">
        <w:rPr>
          <w:rFonts w:ascii="Arial" w:hAnsi="Arial" w:cs="Arial"/>
        </w:rPr>
        <w:t>, A., Evans, C., &amp; Tran-Nam, B. (2018). Tax Non-Compliance and Perceptions of Corruption: Policy Implications for Developing Countries. Bulletin of Indonesian</w:t>
      </w:r>
      <w:r>
        <w:rPr>
          <w:rFonts w:ascii="Arial" w:hAnsi="Arial" w:cs="Arial"/>
        </w:rPr>
        <w:t xml:space="preserve"> </w:t>
      </w:r>
      <w:proofErr w:type="spellStart"/>
      <w:r w:rsidRPr="00412D0D">
        <w:rPr>
          <w:rFonts w:ascii="Arial" w:hAnsi="Arial" w:cs="Arial"/>
        </w:rPr>
        <w:t>EconomicStudies</w:t>
      </w:r>
      <w:proofErr w:type="spellEnd"/>
      <w:r w:rsidRPr="00412D0D">
        <w:rPr>
          <w:rFonts w:ascii="Arial" w:hAnsi="Arial" w:cs="Arial"/>
        </w:rPr>
        <w:t>, 54(1),</w:t>
      </w:r>
      <w:r w:rsidRPr="00412D0D">
        <w:rPr>
          <w:rFonts w:ascii="Arial" w:hAnsi="Arial" w:cs="Arial"/>
        </w:rPr>
        <w:tab/>
        <w:t>25–60.</w:t>
      </w:r>
      <w:r w:rsidRPr="00412D0D">
        <w:rPr>
          <w:rFonts w:ascii="Arial" w:hAnsi="Arial" w:cs="Arial"/>
        </w:rPr>
        <w:tab/>
        <w:t>DOI:</w:t>
      </w:r>
      <w:r>
        <w:rPr>
          <w:rFonts w:ascii="Arial" w:hAnsi="Arial" w:cs="Arial"/>
        </w:rPr>
        <w:t xml:space="preserve"> </w:t>
      </w:r>
      <w:r w:rsidRPr="00412D0D">
        <w:rPr>
          <w:rFonts w:ascii="Arial" w:hAnsi="Arial" w:cs="Arial"/>
        </w:rPr>
        <w:t>https://doi.org/10.1080/00074918.2017.1364349.</w:t>
      </w:r>
    </w:p>
    <w:p w14:paraId="252B75DB" w14:textId="77777777" w:rsidR="0050635B" w:rsidRDefault="0050635B" w:rsidP="00230CF4">
      <w:pPr>
        <w:jc w:val="both"/>
      </w:pPr>
    </w:p>
    <w:p w14:paraId="4714643A" w14:textId="7455EB92" w:rsidR="00230CF4" w:rsidRDefault="00230CF4" w:rsidP="00230CF4">
      <w:pPr>
        <w:jc w:val="both"/>
      </w:pPr>
      <w:r w:rsidRPr="005A690F">
        <w:t>Saad, N. (2014). Tax knowledge, tax complexity and tax compliance: Taxpayers' view.</w:t>
      </w:r>
    </w:p>
    <w:p w14:paraId="49AB0CA8" w14:textId="77777777" w:rsidR="00FA4152" w:rsidRDefault="00FA4152" w:rsidP="00230CF4">
      <w:pPr>
        <w:jc w:val="both"/>
      </w:pPr>
    </w:p>
    <w:p w14:paraId="31162AA8" w14:textId="2DA28C37" w:rsidR="00FA4152" w:rsidRPr="003873ED" w:rsidRDefault="00FA4152" w:rsidP="00230CF4">
      <w:pPr>
        <w:jc w:val="both"/>
        <w:rPr>
          <w:rFonts w:ascii="Arial" w:hAnsi="Arial" w:cs="Arial"/>
        </w:rPr>
      </w:pPr>
      <w:r w:rsidRPr="003873ED">
        <w:rPr>
          <w:rFonts w:ascii="Arial" w:hAnsi="Arial" w:cs="Arial"/>
        </w:rPr>
        <w:t xml:space="preserve">Salvatore </w:t>
      </w:r>
      <w:proofErr w:type="spellStart"/>
      <w:r w:rsidRPr="003873ED">
        <w:rPr>
          <w:rFonts w:ascii="Arial" w:hAnsi="Arial" w:cs="Arial"/>
        </w:rPr>
        <w:t>Ciucci</w:t>
      </w:r>
      <w:proofErr w:type="spellEnd"/>
      <w:r w:rsidRPr="003873ED">
        <w:rPr>
          <w:rFonts w:ascii="Arial" w:hAnsi="Arial" w:cs="Arial"/>
        </w:rPr>
        <w:t>, 2024. "</w:t>
      </w:r>
      <w:hyperlink r:id="rId51" w:history="1">
        <w:r w:rsidRPr="003873ED">
          <w:rPr>
            <w:rStyle w:val="Hyperlink"/>
            <w:rFonts w:ascii="Arial" w:hAnsi="Arial" w:cs="Arial"/>
            <w:color w:val="auto"/>
            <w:u w:val="none"/>
          </w:rPr>
          <w:t>Tax evasion, education and shadow economy</w:t>
        </w:r>
      </w:hyperlink>
      <w:r w:rsidRPr="003873ED">
        <w:rPr>
          <w:rFonts w:ascii="Arial" w:hAnsi="Arial" w:cs="Arial"/>
        </w:rPr>
        <w:t>," </w:t>
      </w:r>
      <w:hyperlink r:id="rId52" w:history="1">
        <w:r w:rsidRPr="003873ED">
          <w:rPr>
            <w:rStyle w:val="Hyperlink"/>
            <w:rFonts w:ascii="Arial" w:hAnsi="Arial" w:cs="Arial"/>
            <w:color w:val="auto"/>
            <w:u w:val="none"/>
          </w:rPr>
          <w:t>Economic Change and Restructuring</w:t>
        </w:r>
      </w:hyperlink>
      <w:r w:rsidRPr="003873ED">
        <w:rPr>
          <w:rFonts w:ascii="Arial" w:hAnsi="Arial" w:cs="Arial"/>
        </w:rPr>
        <w:t xml:space="preserve">, Springer, vol. 57(4), pages 1-16, August.. </w:t>
      </w:r>
      <w:r w:rsidR="009F6F5C" w:rsidRPr="003873ED">
        <w:rPr>
          <w:rFonts w:ascii="Arial" w:hAnsi="Arial" w:cs="Arial"/>
        </w:rPr>
        <w:t>DOI: 10.1007/s10644-024-09732-8</w:t>
      </w:r>
    </w:p>
    <w:p w14:paraId="16E5573B" w14:textId="77777777" w:rsidR="0050635B" w:rsidRDefault="0050635B" w:rsidP="00230CF4">
      <w:pPr>
        <w:jc w:val="both"/>
      </w:pPr>
    </w:p>
    <w:p w14:paraId="4C5D9138" w14:textId="77777777" w:rsidR="0050635B" w:rsidRPr="00D16BD0" w:rsidRDefault="0050635B" w:rsidP="0050635B">
      <w:pPr>
        <w:jc w:val="both"/>
        <w:rPr>
          <w:rFonts w:ascii="Arial" w:hAnsi="Arial" w:cs="Arial"/>
        </w:rPr>
      </w:pPr>
      <w:r w:rsidRPr="00D16BD0">
        <w:rPr>
          <w:rFonts w:ascii="Arial" w:hAnsi="Arial" w:cs="Arial"/>
        </w:rPr>
        <w:t xml:space="preserve">Santos, B. M., Serrano, K. S., &amp; </w:t>
      </w:r>
      <w:proofErr w:type="spellStart"/>
      <w:r w:rsidRPr="00D16BD0">
        <w:rPr>
          <w:rFonts w:ascii="Arial" w:hAnsi="Arial" w:cs="Arial"/>
        </w:rPr>
        <w:t>Pigao</w:t>
      </w:r>
      <w:proofErr w:type="spellEnd"/>
      <w:r w:rsidRPr="00D16BD0">
        <w:rPr>
          <w:rFonts w:ascii="Arial" w:hAnsi="Arial" w:cs="Arial"/>
        </w:rPr>
        <w:t xml:space="preserve">, K. J. (2022). An Assessment: The Philippine Outstanding Debt and Other Economic Determinants Towards its Implication on Economic Growth.  Journal of Economics, Finance and Accounting Studies, 4(2), 126–147. DOI: </w:t>
      </w:r>
      <w:hyperlink r:id="rId53">
        <w:r w:rsidRPr="00D16BD0">
          <w:rPr>
            <w:rStyle w:val="Hyperlink"/>
            <w:rFonts w:ascii="Arial" w:hAnsi="Arial" w:cs="Arial"/>
            <w:color w:val="auto"/>
            <w:u w:val="none"/>
          </w:rPr>
          <w:t>https://doi.org/10.32996/jefas.2022.4.2.11</w:t>
        </w:r>
      </w:hyperlink>
    </w:p>
    <w:p w14:paraId="597A856D" w14:textId="5F43B7CC" w:rsidR="0050635B" w:rsidRDefault="003873ED" w:rsidP="00230CF4">
      <w:pPr>
        <w:jc w:val="both"/>
      </w:pPr>
      <w:r>
        <w:t xml:space="preserve"> </w:t>
      </w:r>
    </w:p>
    <w:p w14:paraId="2C0C7569" w14:textId="5480BDE6" w:rsidR="009D0AE9" w:rsidRPr="009D0AE9" w:rsidRDefault="009D0AE9" w:rsidP="0050635B">
      <w:pPr>
        <w:jc w:val="both"/>
        <w:rPr>
          <w:rFonts w:ascii="Arial" w:hAnsi="Arial" w:cs="Arial"/>
        </w:rPr>
      </w:pPr>
      <w:r w:rsidRPr="009D0AE9">
        <w:rPr>
          <w:rFonts w:ascii="Arial" w:hAnsi="Arial" w:cs="Arial"/>
          <w:bCs/>
        </w:rPr>
        <w:t>Smulders, S., &amp; Evans, C. (2017, January). Mitigating VAT compliance costs-a developing country perspective. In </w:t>
      </w:r>
      <w:r w:rsidRPr="009D0AE9">
        <w:rPr>
          <w:rFonts w:ascii="Arial" w:hAnsi="Arial" w:cs="Arial"/>
          <w:bCs/>
          <w:i/>
          <w:iCs/>
        </w:rPr>
        <w:t>Australian tax forum</w:t>
      </w:r>
      <w:r w:rsidRPr="009D0AE9">
        <w:rPr>
          <w:rFonts w:ascii="Arial" w:hAnsi="Arial" w:cs="Arial"/>
          <w:bCs/>
        </w:rPr>
        <w:t> (Vol. 32, No. 2, pp. 283-316).</w:t>
      </w:r>
      <w:r>
        <w:rPr>
          <w:rFonts w:ascii="Arial" w:hAnsi="Arial" w:cs="Arial"/>
          <w:bCs/>
        </w:rPr>
        <w:t xml:space="preserve"> </w:t>
      </w:r>
      <w:proofErr w:type="spellStart"/>
      <w:r w:rsidRPr="009D0AE9">
        <w:rPr>
          <w:rFonts w:ascii="Arial" w:hAnsi="Arial" w:cs="Arial"/>
          <w:bCs/>
        </w:rPr>
        <w:t>doi</w:t>
      </w:r>
      <w:proofErr w:type="spellEnd"/>
      <w:r w:rsidRPr="009D0AE9">
        <w:rPr>
          <w:rFonts w:ascii="Arial" w:hAnsi="Arial" w:cs="Arial"/>
          <w:bCs/>
        </w:rPr>
        <w:t>/10.3316/ielapa.948807973198738</w:t>
      </w:r>
    </w:p>
    <w:p w14:paraId="0F4E6EDC" w14:textId="77777777" w:rsidR="0050635B" w:rsidRDefault="0050635B" w:rsidP="00230CF4">
      <w:pPr>
        <w:jc w:val="both"/>
      </w:pPr>
    </w:p>
    <w:p w14:paraId="2A9D1639" w14:textId="77777777" w:rsidR="0050635B" w:rsidRDefault="0050635B" w:rsidP="0050635B">
      <w:pPr>
        <w:jc w:val="both"/>
        <w:rPr>
          <w:rFonts w:ascii="Arial" w:hAnsi="Arial" w:cs="Arial"/>
        </w:rPr>
      </w:pPr>
      <w:proofErr w:type="spellStart"/>
      <w:r w:rsidRPr="00DB7697">
        <w:rPr>
          <w:rFonts w:ascii="Arial" w:hAnsi="Arial" w:cs="Arial"/>
        </w:rPr>
        <w:t>Torgler</w:t>
      </w:r>
      <w:proofErr w:type="spellEnd"/>
      <w:r w:rsidRPr="00DB7697">
        <w:rPr>
          <w:rFonts w:ascii="Arial" w:hAnsi="Arial" w:cs="Arial"/>
        </w:rPr>
        <w:t xml:space="preserve">, B. (2011). Tax morale and compliance: Review of evidence and case studies for Europe. World Bank Policy Research Working Paper. </w:t>
      </w:r>
      <w:hyperlink r:id="rId54">
        <w:r w:rsidRPr="00DB7697">
          <w:rPr>
            <w:rStyle w:val="Hyperlink"/>
            <w:rFonts w:ascii="Arial" w:hAnsi="Arial" w:cs="Arial"/>
            <w:color w:val="auto"/>
            <w:u w:val="none"/>
          </w:rPr>
          <w:t>https://doi.org/10.1596/1813-9450-5922</w:t>
        </w:r>
      </w:hyperlink>
      <w:r>
        <w:rPr>
          <w:rFonts w:ascii="Arial" w:hAnsi="Arial" w:cs="Arial"/>
        </w:rPr>
        <w:t>.</w:t>
      </w:r>
    </w:p>
    <w:p w14:paraId="40865EFD" w14:textId="77777777" w:rsidR="0050635B" w:rsidRDefault="0050635B" w:rsidP="0050635B">
      <w:pPr>
        <w:jc w:val="both"/>
      </w:pPr>
    </w:p>
    <w:p w14:paraId="7DF6D55D" w14:textId="77777777" w:rsidR="0050635B" w:rsidRPr="00E45ED8" w:rsidRDefault="0050635B" w:rsidP="0050635B">
      <w:pPr>
        <w:jc w:val="both"/>
        <w:rPr>
          <w:rFonts w:ascii="Arial" w:hAnsi="Arial" w:cs="Arial"/>
        </w:rPr>
      </w:pPr>
      <w:proofErr w:type="spellStart"/>
      <w:r w:rsidRPr="00E45ED8">
        <w:rPr>
          <w:rFonts w:ascii="Arial" w:hAnsi="Arial" w:cs="Arial"/>
        </w:rPr>
        <w:t>Taing</w:t>
      </w:r>
      <w:proofErr w:type="spellEnd"/>
      <w:r w:rsidRPr="00E45ED8">
        <w:rPr>
          <w:rFonts w:ascii="Arial" w:hAnsi="Arial" w:cs="Arial"/>
        </w:rPr>
        <w:t>, H. B., &amp; Chang, Y. (2020). Determinants of Tax Compliance Intention: Focus on The Theory of Planned Behavior. International Journal of Public Administration, 44(1), 62–73.</w:t>
      </w:r>
    </w:p>
    <w:p w14:paraId="01645F9A" w14:textId="77777777" w:rsidR="0050635B" w:rsidRPr="00E45ED8" w:rsidRDefault="0050635B" w:rsidP="0050635B">
      <w:pPr>
        <w:jc w:val="both"/>
        <w:rPr>
          <w:rFonts w:ascii="Arial" w:hAnsi="Arial" w:cs="Arial"/>
        </w:rPr>
      </w:pPr>
    </w:p>
    <w:p w14:paraId="02B45284" w14:textId="77777777" w:rsidR="0050635B" w:rsidRPr="00E45ED8" w:rsidRDefault="0050635B" w:rsidP="0050635B">
      <w:pPr>
        <w:jc w:val="both"/>
        <w:rPr>
          <w:lang w:val="en-GB"/>
        </w:rPr>
      </w:pPr>
      <w:proofErr w:type="spellStart"/>
      <w:r w:rsidRPr="00E45ED8">
        <w:rPr>
          <w:rFonts w:eastAsia="Calibri"/>
          <w:shd w:val="clear" w:color="auto" w:fill="FFFFFF"/>
          <w:lang w:val="en-IN"/>
        </w:rPr>
        <w:t>Tumoro</w:t>
      </w:r>
      <w:proofErr w:type="spellEnd"/>
      <w:r w:rsidRPr="00E45ED8">
        <w:rPr>
          <w:rFonts w:eastAsia="Calibri"/>
          <w:shd w:val="clear" w:color="auto" w:fill="FFFFFF"/>
          <w:lang w:val="en-IN"/>
        </w:rPr>
        <w:t xml:space="preserve"> DT, Pandya H. Factors Affecting Tax Compliance in Ethiopia: A Systematic Review. Asian J. Econ. </w:t>
      </w:r>
      <w:proofErr w:type="spellStart"/>
      <w:r w:rsidRPr="00E45ED8">
        <w:rPr>
          <w:rFonts w:eastAsia="Calibri"/>
          <w:shd w:val="clear" w:color="auto" w:fill="FFFFFF"/>
          <w:lang w:val="en-IN"/>
        </w:rPr>
        <w:t>Busin</w:t>
      </w:r>
      <w:proofErr w:type="spellEnd"/>
      <w:r w:rsidRPr="00E45ED8">
        <w:rPr>
          <w:rFonts w:eastAsia="Calibri"/>
          <w:shd w:val="clear" w:color="auto" w:fill="FFFFFF"/>
          <w:lang w:val="en-IN"/>
        </w:rPr>
        <w:t xml:space="preserve">. Acc. [Internet]. 2025 Mar. 28 [cited 2025 Jul. 7];25(4):222-38. Available from: </w:t>
      </w:r>
      <w:hyperlink r:id="rId55" w:history="1">
        <w:r w:rsidRPr="00E45ED8">
          <w:rPr>
            <w:rFonts w:eastAsia="Calibri"/>
            <w:shd w:val="clear" w:color="auto" w:fill="FFFFFF"/>
            <w:lang w:val="en-IN"/>
          </w:rPr>
          <w:t>https://journalajeba.com/index.php/AJEBA/article/view/1744</w:t>
        </w:r>
      </w:hyperlink>
      <w:r w:rsidRPr="00E45ED8">
        <w:rPr>
          <w:rFonts w:eastAsia="Calibri"/>
          <w:shd w:val="clear" w:color="auto" w:fill="FFFFFF"/>
          <w:lang w:val="en-IN"/>
        </w:rPr>
        <w:t xml:space="preserve"> </w:t>
      </w:r>
    </w:p>
    <w:p w14:paraId="42ED748D" w14:textId="77777777" w:rsidR="0050635B" w:rsidRDefault="0050635B" w:rsidP="00230CF4">
      <w:pPr>
        <w:jc w:val="both"/>
        <w:rPr>
          <w:lang w:val="en-GB"/>
        </w:rPr>
      </w:pPr>
    </w:p>
    <w:p w14:paraId="37D956CC" w14:textId="77777777" w:rsidR="0050635B" w:rsidRDefault="0050635B" w:rsidP="0050635B">
      <w:pPr>
        <w:jc w:val="both"/>
        <w:rPr>
          <w:rFonts w:ascii="Arial" w:hAnsi="Arial" w:cs="Arial"/>
        </w:rPr>
      </w:pPr>
      <w:r w:rsidRPr="002D0D93">
        <w:rPr>
          <w:rFonts w:ascii="Arial" w:hAnsi="Arial" w:cs="Arial"/>
        </w:rPr>
        <w:t>United Nations Economic and Social Commission for Asia and the Pacific.</w:t>
      </w:r>
      <w:r>
        <w:rPr>
          <w:rFonts w:ascii="Arial" w:hAnsi="Arial" w:cs="Arial"/>
        </w:rPr>
        <w:t xml:space="preserve"> </w:t>
      </w:r>
      <w:r w:rsidRPr="002D0D93">
        <w:rPr>
          <w:rFonts w:ascii="Arial" w:hAnsi="Arial" w:cs="Arial"/>
        </w:rPr>
        <w:t xml:space="preserve">(2023). The digitalization of tax administrations in Asia and the Pacific: a manual for practitioners. </w:t>
      </w:r>
      <w:hyperlink r:id="rId56">
        <w:r w:rsidRPr="002D0D93">
          <w:rPr>
            <w:rStyle w:val="Hyperlink"/>
            <w:rFonts w:ascii="Arial" w:hAnsi="Arial" w:cs="Arial"/>
            <w:color w:val="auto"/>
            <w:u w:val="none"/>
          </w:rPr>
          <w:t>https://hdl.handle.net/20.500.12870/5291</w:t>
        </w:r>
      </w:hyperlink>
      <w:r w:rsidRPr="002D0D93">
        <w:rPr>
          <w:rFonts w:ascii="Arial" w:hAnsi="Arial" w:cs="Arial"/>
        </w:rPr>
        <w:t>.</w:t>
      </w:r>
    </w:p>
    <w:p w14:paraId="1475A175" w14:textId="39865663" w:rsidR="00D01CB6" w:rsidRDefault="00D01CB6" w:rsidP="00E45ED8">
      <w:pPr>
        <w:jc w:val="both"/>
        <w:rPr>
          <w:spacing w:val="-4"/>
        </w:rPr>
      </w:pPr>
    </w:p>
    <w:p w14:paraId="4B9D4824" w14:textId="77777777" w:rsidR="00230CF4" w:rsidRPr="00D16BD0" w:rsidRDefault="00230CF4" w:rsidP="00230CF4">
      <w:pPr>
        <w:jc w:val="both"/>
        <w:rPr>
          <w:rFonts w:ascii="Arial" w:hAnsi="Arial" w:cs="Arial"/>
        </w:rPr>
      </w:pPr>
      <w:r w:rsidRPr="00D16BD0">
        <w:rPr>
          <w:rFonts w:ascii="Arial" w:hAnsi="Arial" w:cs="Arial"/>
        </w:rPr>
        <w:t>United Nations Industrial Development Organization.</w:t>
      </w:r>
      <w:r>
        <w:rPr>
          <w:rFonts w:ascii="Arial" w:hAnsi="Arial" w:cs="Arial"/>
        </w:rPr>
        <w:t xml:space="preserve"> </w:t>
      </w:r>
      <w:r w:rsidRPr="00D16BD0">
        <w:rPr>
          <w:rFonts w:ascii="Arial" w:hAnsi="Arial" w:cs="Arial"/>
        </w:rPr>
        <w:t xml:space="preserve">(2016). The Importance of Manufacturing in Economic Development: has this </w:t>
      </w:r>
      <w:proofErr w:type="spellStart"/>
      <w:r w:rsidRPr="00D16BD0">
        <w:rPr>
          <w:rFonts w:ascii="Arial" w:hAnsi="Arial" w:cs="Arial"/>
        </w:rPr>
        <w:t>Changed.https</w:t>
      </w:r>
      <w:proofErr w:type="spellEnd"/>
      <w:r w:rsidRPr="00D16BD0">
        <w:rPr>
          <w:rFonts w:ascii="Arial" w:hAnsi="Arial" w:cs="Arial"/>
        </w:rPr>
        <w:t>://</w:t>
      </w:r>
      <w:hyperlink r:id="rId57">
        <w:r w:rsidRPr="00D16BD0">
          <w:rPr>
            <w:rStyle w:val="Hyperlink"/>
            <w:rFonts w:ascii="Arial" w:hAnsi="Arial" w:cs="Arial"/>
            <w:color w:val="auto"/>
            <w:u w:val="none"/>
          </w:rPr>
          <w:t>www.unido.org/sites/default/files/2017-</w:t>
        </w:r>
      </w:hyperlink>
      <w:r w:rsidRPr="00D16BD0">
        <w:rPr>
          <w:rFonts w:ascii="Arial" w:hAnsi="Arial" w:cs="Arial"/>
        </w:rPr>
        <w:t xml:space="preserve"> 02/the_importance_of_manufacturing_in_economic_development_0.pdf</w:t>
      </w:r>
    </w:p>
    <w:p w14:paraId="0F3D8B44" w14:textId="77777777" w:rsidR="00230CF4" w:rsidRPr="00E45ED8" w:rsidRDefault="00230CF4" w:rsidP="00E45ED8">
      <w:pPr>
        <w:jc w:val="both"/>
      </w:pPr>
    </w:p>
    <w:p w14:paraId="1831648A" w14:textId="72B727AF" w:rsidR="00E45ED8" w:rsidRPr="00E45ED8" w:rsidRDefault="00E45ED8" w:rsidP="00E45ED8">
      <w:pPr>
        <w:jc w:val="both"/>
        <w:rPr>
          <w:spacing w:val="-2"/>
        </w:rPr>
      </w:pPr>
      <w:proofErr w:type="spellStart"/>
      <w:r w:rsidRPr="00E45ED8">
        <w:t>Weeghel</w:t>
      </w:r>
      <w:proofErr w:type="spellEnd"/>
      <w:r w:rsidRPr="00E45ED8">
        <w:t>,</w:t>
      </w:r>
      <w:r w:rsidRPr="00E45ED8">
        <w:rPr>
          <w:spacing w:val="-15"/>
        </w:rPr>
        <w:t xml:space="preserve"> </w:t>
      </w:r>
      <w:r w:rsidRPr="00E45ED8">
        <w:t>S.</w:t>
      </w:r>
      <w:r w:rsidRPr="00E45ED8">
        <w:rPr>
          <w:spacing w:val="-14"/>
        </w:rPr>
        <w:t xml:space="preserve"> </w:t>
      </w:r>
      <w:r w:rsidRPr="00E45ED8">
        <w:t>(2015).</w:t>
      </w:r>
      <w:r w:rsidRPr="00E45ED8">
        <w:rPr>
          <w:spacing w:val="-9"/>
        </w:rPr>
        <w:t xml:space="preserve"> </w:t>
      </w:r>
      <w:r w:rsidRPr="00E45ED8">
        <w:t>Paying</w:t>
      </w:r>
      <w:r w:rsidRPr="00E45ED8">
        <w:rPr>
          <w:spacing w:val="-9"/>
        </w:rPr>
        <w:t xml:space="preserve"> </w:t>
      </w:r>
      <w:r w:rsidRPr="00E45ED8">
        <w:t>taxes:</w:t>
      </w:r>
      <w:r w:rsidRPr="00E45ED8">
        <w:rPr>
          <w:spacing w:val="-14"/>
        </w:rPr>
        <w:t xml:space="preserve"> </w:t>
      </w:r>
      <w:r w:rsidRPr="00E45ED8">
        <w:t>the</w:t>
      </w:r>
      <w:r w:rsidRPr="00E45ED8">
        <w:rPr>
          <w:spacing w:val="-9"/>
        </w:rPr>
        <w:t xml:space="preserve"> </w:t>
      </w:r>
      <w:r w:rsidRPr="00E45ED8">
        <w:t>global</w:t>
      </w:r>
      <w:r w:rsidRPr="00E45ED8">
        <w:rPr>
          <w:spacing w:val="-15"/>
        </w:rPr>
        <w:t xml:space="preserve"> </w:t>
      </w:r>
      <w:r w:rsidRPr="00E45ED8">
        <w:t>picture</w:t>
      </w:r>
      <w:r w:rsidRPr="00E45ED8">
        <w:rPr>
          <w:spacing w:val="-1"/>
        </w:rPr>
        <w:t xml:space="preserve"> </w:t>
      </w:r>
      <w:r w:rsidRPr="00E45ED8">
        <w:t>-</w:t>
      </w:r>
      <w:r w:rsidRPr="00E45ED8">
        <w:rPr>
          <w:spacing w:val="-12"/>
        </w:rPr>
        <w:t xml:space="preserve"> </w:t>
      </w:r>
      <w:r w:rsidRPr="00E45ED8">
        <w:t>the</w:t>
      </w:r>
      <w:r w:rsidRPr="00E45ED8">
        <w:rPr>
          <w:spacing w:val="-13"/>
        </w:rPr>
        <w:t xml:space="preserve"> </w:t>
      </w:r>
      <w:r w:rsidRPr="00E45ED8">
        <w:t>changing</w:t>
      </w:r>
      <w:r w:rsidRPr="00E45ED8">
        <w:rPr>
          <w:spacing w:val="-13"/>
        </w:rPr>
        <w:t xml:space="preserve"> </w:t>
      </w:r>
      <w:r w:rsidRPr="00E45ED8">
        <w:t>face</w:t>
      </w:r>
      <w:r w:rsidRPr="00E45ED8">
        <w:rPr>
          <w:spacing w:val="-13"/>
        </w:rPr>
        <w:t xml:space="preserve"> </w:t>
      </w:r>
      <w:r w:rsidRPr="00E45ED8">
        <w:t>of</w:t>
      </w:r>
      <w:r w:rsidRPr="00E45ED8">
        <w:rPr>
          <w:spacing w:val="-9"/>
        </w:rPr>
        <w:t xml:space="preserve"> </w:t>
      </w:r>
      <w:r w:rsidRPr="00E45ED8">
        <w:t>tax</w:t>
      </w:r>
      <w:r w:rsidRPr="00E45ED8">
        <w:rPr>
          <w:spacing w:val="-10"/>
        </w:rPr>
        <w:t xml:space="preserve"> </w:t>
      </w:r>
      <w:r w:rsidRPr="00E45ED8">
        <w:t>compliance in</w:t>
      </w:r>
      <w:r w:rsidRPr="00E45ED8">
        <w:rPr>
          <w:spacing w:val="80"/>
          <w:w w:val="150"/>
        </w:rPr>
        <w:t xml:space="preserve"> </w:t>
      </w:r>
      <w:r w:rsidRPr="00E45ED8">
        <w:t>189</w:t>
      </w:r>
      <w:r w:rsidRPr="00E45ED8">
        <w:rPr>
          <w:spacing w:val="40"/>
        </w:rPr>
        <w:t xml:space="preserve"> </w:t>
      </w:r>
      <w:r w:rsidRPr="00E45ED8">
        <w:t>economies</w:t>
      </w:r>
      <w:r w:rsidRPr="00E45ED8">
        <w:rPr>
          <w:spacing w:val="40"/>
        </w:rPr>
        <w:t xml:space="preserve"> </w:t>
      </w:r>
      <w:r w:rsidRPr="00E45ED8">
        <w:t>worldwide</w:t>
      </w:r>
      <w:r w:rsidRPr="00E45ED8">
        <w:rPr>
          <w:spacing w:val="40"/>
        </w:rPr>
        <w:t xml:space="preserve"> </w:t>
      </w:r>
      <w:r w:rsidRPr="00E45ED8">
        <w:t>(English).</w:t>
      </w:r>
      <w:r w:rsidRPr="00E45ED8">
        <w:rPr>
          <w:spacing w:val="-4"/>
        </w:rPr>
        <w:t xml:space="preserve"> </w:t>
      </w:r>
      <w:r w:rsidRPr="00E45ED8">
        <w:t>Washington,</w:t>
      </w:r>
      <w:r w:rsidRPr="00E45ED8">
        <w:rPr>
          <w:spacing w:val="40"/>
        </w:rPr>
        <w:t xml:space="preserve"> </w:t>
      </w:r>
      <w:r w:rsidRPr="00E45ED8">
        <w:t>D.C.:</w:t>
      </w:r>
      <w:r w:rsidRPr="00E45ED8">
        <w:rPr>
          <w:spacing w:val="40"/>
        </w:rPr>
        <w:t xml:space="preserve"> </w:t>
      </w:r>
      <w:r w:rsidRPr="00E45ED8">
        <w:t>World</w:t>
      </w:r>
      <w:r w:rsidRPr="00E45ED8">
        <w:rPr>
          <w:spacing w:val="40"/>
        </w:rPr>
        <w:t xml:space="preserve"> </w:t>
      </w:r>
      <w:r w:rsidRPr="00E45ED8">
        <w:t>BankGroup.</w:t>
      </w:r>
      <w:hyperlink r:id="rId58">
        <w:r w:rsidRPr="00E45ED8">
          <w:t>http://documents.worldbank.org/curated/en/758831468126901094/Paying</w:t>
        </w:r>
      </w:hyperlink>
      <w:r w:rsidRPr="00E45ED8">
        <w:t xml:space="preserve"> taxes-2015-the-global-picture-the-changing-of-tax-compliance-in-189- </w:t>
      </w:r>
      <w:r w:rsidRPr="00E45ED8">
        <w:rPr>
          <w:spacing w:val="-2"/>
        </w:rPr>
        <w:t>economies-worldwide.</w:t>
      </w:r>
    </w:p>
    <w:p w14:paraId="010F3CB8" w14:textId="77777777" w:rsidR="005A690F" w:rsidRPr="00E45ED8" w:rsidRDefault="005A690F" w:rsidP="00E45ED8">
      <w:pPr>
        <w:jc w:val="both"/>
      </w:pPr>
    </w:p>
    <w:p w14:paraId="68EED893" w14:textId="77777777" w:rsidR="00E45ED8" w:rsidRPr="00E45ED8" w:rsidRDefault="00E45ED8" w:rsidP="00E45ED8">
      <w:pPr>
        <w:jc w:val="both"/>
      </w:pPr>
      <w:proofErr w:type="spellStart"/>
      <w:r w:rsidRPr="00E45ED8">
        <w:t>Wibowo</w:t>
      </w:r>
      <w:proofErr w:type="spellEnd"/>
      <w:r w:rsidRPr="00E45ED8">
        <w:t xml:space="preserve">, S. N., </w:t>
      </w:r>
      <w:proofErr w:type="spellStart"/>
      <w:r w:rsidRPr="00E45ED8">
        <w:t>Siregar</w:t>
      </w:r>
      <w:proofErr w:type="spellEnd"/>
      <w:r w:rsidRPr="00E45ED8">
        <w:t xml:space="preserve">, N. F., &amp; </w:t>
      </w:r>
      <w:proofErr w:type="spellStart"/>
      <w:r w:rsidRPr="00E45ED8">
        <w:t>Febriansyah</w:t>
      </w:r>
      <w:proofErr w:type="spellEnd"/>
      <w:r w:rsidRPr="00E45ED8">
        <w:t xml:space="preserve">, R. (2023). Determinants of Tax Aggressiveness in Indonesia: The Influence of Profitability, Leverage, and Liquidity. Graduate Journal of Food Studies, 1(2). </w:t>
      </w:r>
      <w:hyperlink r:id="rId59">
        <w:r w:rsidRPr="00E45ED8">
          <w:rPr>
            <w:rStyle w:val="Hyperlink"/>
            <w:rFonts w:ascii="Arial" w:hAnsi="Arial" w:cs="Arial"/>
            <w:color w:val="auto"/>
            <w:u w:val="none"/>
          </w:rPr>
          <w:t>https://doi.org/10.21428/92775833.4cd5987b</w:t>
        </w:r>
      </w:hyperlink>
      <w:r w:rsidRPr="00E45ED8">
        <w:t>.</w:t>
      </w:r>
    </w:p>
    <w:p w14:paraId="7374F52E" w14:textId="77777777" w:rsidR="00E45ED8" w:rsidRPr="00E45ED8" w:rsidRDefault="00E45ED8" w:rsidP="00E45ED8">
      <w:pPr>
        <w:jc w:val="both"/>
      </w:pPr>
    </w:p>
    <w:p w14:paraId="07C812F0" w14:textId="77777777" w:rsidR="00E45ED8" w:rsidRPr="00E45ED8" w:rsidRDefault="00E45ED8" w:rsidP="00E45ED8">
      <w:pPr>
        <w:jc w:val="both"/>
      </w:pPr>
      <w:proofErr w:type="spellStart"/>
      <w:r w:rsidRPr="00E45ED8">
        <w:t>Yucedogru</w:t>
      </w:r>
      <w:proofErr w:type="spellEnd"/>
      <w:r w:rsidRPr="00E45ED8">
        <w:t xml:space="preserve">, Recep. (2021). Understanding Tax Compliance Decisions with Theory of Planned </w:t>
      </w:r>
      <w:proofErr w:type="spellStart"/>
      <w:r w:rsidRPr="00E45ED8">
        <w:t>Behaviour</w:t>
      </w:r>
      <w:proofErr w:type="spellEnd"/>
      <w:r w:rsidRPr="00E45ED8">
        <w:t>.</w:t>
      </w:r>
    </w:p>
    <w:p w14:paraId="7201B9A4" w14:textId="77777777" w:rsidR="005A690F" w:rsidRPr="00E45ED8" w:rsidRDefault="005A690F" w:rsidP="00E45ED8">
      <w:pPr>
        <w:jc w:val="both"/>
      </w:pPr>
    </w:p>
    <w:p w14:paraId="7C50E18D" w14:textId="45E9C6F9" w:rsidR="00E45ED8" w:rsidRPr="00E45ED8" w:rsidRDefault="00E45ED8" w:rsidP="00E45ED8">
      <w:pPr>
        <w:jc w:val="both"/>
      </w:pPr>
      <w:r w:rsidRPr="00E45ED8">
        <w:t>Zhang, Y. (2021). Understanding how education affects students’ attitudes towards tax evasion</w:t>
      </w:r>
      <w:r w:rsidRPr="00E45ED8">
        <w:tab/>
        <w:t>and tax</w:t>
      </w:r>
      <w:r w:rsidRPr="00E45ED8">
        <w:tab/>
        <w:t>avoidance in the New Zealand. https://ir.canterbury.ac.nz/server/api/core/bitstreams/6f7bb485-f97f-4730-bfda- a2b06a24885d/content.</w:t>
      </w:r>
    </w:p>
    <w:p w14:paraId="5CB45563" w14:textId="77777777" w:rsidR="005A690F" w:rsidRPr="00E45ED8" w:rsidRDefault="005A690F" w:rsidP="00E45ED8">
      <w:pPr>
        <w:jc w:val="both"/>
      </w:pPr>
    </w:p>
    <w:p w14:paraId="56AE9542" w14:textId="77777777" w:rsidR="005A690F" w:rsidRPr="00E45ED8" w:rsidRDefault="005A690F" w:rsidP="00E45ED8">
      <w:pPr>
        <w:jc w:val="both"/>
      </w:pPr>
    </w:p>
    <w:p w14:paraId="68632AF7" w14:textId="77777777" w:rsidR="005A690F" w:rsidRDefault="005A690F" w:rsidP="005A690F">
      <w:pPr>
        <w:jc w:val="both"/>
      </w:pPr>
    </w:p>
    <w:p w14:paraId="1F0A75D1" w14:textId="77777777" w:rsidR="005A690F" w:rsidRPr="00607E75" w:rsidRDefault="005A690F" w:rsidP="005A690F">
      <w:pPr>
        <w:jc w:val="both"/>
        <w:rPr>
          <w:rFonts w:ascii="Arial" w:hAnsi="Arial" w:cs="Arial"/>
          <w:u w:val="single"/>
        </w:rPr>
      </w:pPr>
    </w:p>
    <w:p w14:paraId="2B66E860" w14:textId="77777777" w:rsidR="007110EC" w:rsidRPr="00607E75" w:rsidRDefault="007110EC" w:rsidP="00441B6F">
      <w:pPr>
        <w:pStyle w:val="Body"/>
        <w:spacing w:after="0"/>
        <w:rPr>
          <w:rFonts w:ascii="Arial" w:hAnsi="Arial" w:cs="Arial"/>
        </w:rPr>
      </w:pPr>
    </w:p>
    <w:p w14:paraId="7280E412" w14:textId="77777777" w:rsidR="007110EC" w:rsidRPr="00607E75" w:rsidRDefault="007110EC" w:rsidP="00441B6F">
      <w:pPr>
        <w:pStyle w:val="Body"/>
        <w:spacing w:after="0"/>
        <w:rPr>
          <w:rFonts w:ascii="Arial" w:hAnsi="Arial" w:cs="Arial"/>
        </w:rPr>
      </w:pPr>
    </w:p>
    <w:p w14:paraId="4CDBCC27" w14:textId="77777777" w:rsidR="007110EC" w:rsidRPr="00607E75" w:rsidRDefault="007110EC" w:rsidP="00441B6F">
      <w:pPr>
        <w:pStyle w:val="Body"/>
        <w:spacing w:after="0"/>
        <w:rPr>
          <w:rFonts w:ascii="Arial" w:hAnsi="Arial" w:cs="Arial"/>
        </w:rPr>
      </w:pPr>
    </w:p>
    <w:p w14:paraId="246FAE3C" w14:textId="77777777" w:rsidR="001E17DC" w:rsidRPr="00607E75" w:rsidRDefault="001E17DC" w:rsidP="00441B6F">
      <w:pPr>
        <w:pStyle w:val="Appendix"/>
        <w:spacing w:after="0"/>
        <w:jc w:val="both"/>
        <w:rPr>
          <w:rFonts w:ascii="Arial" w:hAnsi="Arial" w:cs="Arial"/>
        </w:rPr>
        <w:sectPr w:rsidR="001E17DC" w:rsidRPr="00607E75" w:rsidSect="001B0D84">
          <w:headerReference w:type="even" r:id="rId60"/>
          <w:headerReference w:type="default" r:id="rId61"/>
          <w:footerReference w:type="default" r:id="rId62"/>
          <w:headerReference w:type="first" r:id="rId63"/>
          <w:type w:val="continuous"/>
          <w:pgSz w:w="12240" w:h="15840"/>
          <w:pgMar w:top="1440" w:right="2016" w:bottom="2016" w:left="2016" w:header="720" w:footer="1123" w:gutter="0"/>
          <w:cols w:space="720"/>
          <w:docGrid w:linePitch="272"/>
        </w:sectPr>
      </w:pPr>
    </w:p>
    <w:p w14:paraId="2EC09A0D" w14:textId="289FA4A1" w:rsidR="007110EC" w:rsidRPr="00607E75" w:rsidRDefault="007110EC" w:rsidP="00441B6F">
      <w:pPr>
        <w:pStyle w:val="Appendix"/>
        <w:spacing w:after="0"/>
        <w:jc w:val="both"/>
        <w:rPr>
          <w:rFonts w:ascii="Arial" w:hAnsi="Arial" w:cs="Arial"/>
        </w:rPr>
      </w:pPr>
    </w:p>
    <w:p w14:paraId="5B55ED6E" w14:textId="0F7B72E8" w:rsidR="004D4277" w:rsidRPr="00607E75" w:rsidRDefault="003D6BEF" w:rsidP="00441B6F">
      <w:pPr>
        <w:pStyle w:val="Appendix"/>
        <w:spacing w:after="0"/>
        <w:jc w:val="both"/>
        <w:rPr>
          <w:rFonts w:ascii="Arial" w:hAnsi="Arial" w:cs="Arial"/>
          <w:b w:val="0"/>
        </w:rPr>
        <w:sectPr w:rsidR="004D4277" w:rsidRPr="00607E75" w:rsidSect="001B0D84">
          <w:pgSz w:w="12240" w:h="15840"/>
          <w:pgMar w:top="1440" w:right="2016" w:bottom="2016" w:left="2016" w:header="720" w:footer="1123" w:gutter="0"/>
          <w:cols w:space="720"/>
          <w:docGrid w:linePitch="272"/>
        </w:sectPr>
      </w:pPr>
      <w:r w:rsidRPr="00607E75">
        <w:rPr>
          <w:rFonts w:ascii="Arial" w:hAnsi="Arial" w:cs="Arial"/>
          <w:b w:val="0"/>
          <w:noProof/>
        </w:rPr>
        <w:drawing>
          <wp:anchor distT="0" distB="0" distL="114300" distR="114300" simplePos="0" relativeHeight="251658240" behindDoc="0" locked="0" layoutInCell="1" allowOverlap="1" wp14:anchorId="4B505994" wp14:editId="4EDC51FD">
            <wp:simplePos x="0" y="0"/>
            <wp:positionH relativeFrom="margin">
              <wp:align>left</wp:align>
            </wp:positionH>
            <wp:positionV relativeFrom="paragraph">
              <wp:posOffset>580753</wp:posOffset>
            </wp:positionV>
            <wp:extent cx="4124325" cy="5677535"/>
            <wp:effectExtent l="0" t="0" r="9525" b="0"/>
            <wp:wrapNone/>
            <wp:docPr id="120917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7036" name=""/>
                    <pic:cNvPicPr/>
                  </pic:nvPicPr>
                  <pic:blipFill>
                    <a:blip r:embed="rId64">
                      <a:extLst>
                        <a:ext uri="{28A0092B-C50C-407E-A947-70E740481C1C}">
                          <a14:useLocalDpi xmlns:a14="http://schemas.microsoft.com/office/drawing/2010/main" val="0"/>
                        </a:ext>
                      </a:extLst>
                    </a:blip>
                    <a:stretch>
                      <a:fillRect/>
                    </a:stretch>
                  </pic:blipFill>
                  <pic:spPr>
                    <a:xfrm>
                      <a:off x="0" y="0"/>
                      <a:ext cx="4124325" cy="5677535"/>
                    </a:xfrm>
                    <a:prstGeom prst="rect">
                      <a:avLst/>
                    </a:prstGeom>
                  </pic:spPr>
                </pic:pic>
              </a:graphicData>
            </a:graphic>
          </wp:anchor>
        </w:drawing>
      </w:r>
      <w:r w:rsidR="00B01FCD" w:rsidRPr="00607E75">
        <w:rPr>
          <w:rFonts w:ascii="Arial" w:hAnsi="Arial" w:cs="Arial"/>
        </w:rPr>
        <w:t>APPENDIX</w:t>
      </w:r>
    </w:p>
    <w:p w14:paraId="48F27E0E" w14:textId="1FA897DF" w:rsidR="007110EC" w:rsidRPr="00607E75" w:rsidRDefault="007110EC" w:rsidP="00441B6F">
      <w:pPr>
        <w:pStyle w:val="Appendix"/>
        <w:spacing w:after="0"/>
        <w:jc w:val="both"/>
        <w:rPr>
          <w:rFonts w:ascii="Arial" w:hAnsi="Arial" w:cs="Arial"/>
          <w:b w:val="0"/>
        </w:rPr>
      </w:pPr>
    </w:p>
    <w:p w14:paraId="5B05BDA9" w14:textId="48DDB387" w:rsidR="007110EC" w:rsidRPr="00607E75" w:rsidRDefault="003D6BEF" w:rsidP="00441B6F">
      <w:pPr>
        <w:pStyle w:val="Appendix"/>
        <w:spacing w:after="0"/>
        <w:jc w:val="both"/>
        <w:rPr>
          <w:rFonts w:ascii="Arial" w:hAnsi="Arial" w:cs="Arial"/>
          <w:b w:val="0"/>
        </w:rPr>
      </w:pPr>
      <w:r w:rsidRPr="00607E75">
        <w:rPr>
          <w:rFonts w:ascii="Arial" w:hAnsi="Arial" w:cs="Arial"/>
          <w:b w:val="0"/>
          <w:noProof/>
        </w:rPr>
        <w:drawing>
          <wp:anchor distT="0" distB="0" distL="114300" distR="114300" simplePos="0" relativeHeight="251659264" behindDoc="0" locked="0" layoutInCell="1" allowOverlap="1" wp14:anchorId="7D23B5CD" wp14:editId="1F4CDA28">
            <wp:simplePos x="0" y="0"/>
            <wp:positionH relativeFrom="column">
              <wp:posOffset>1333319</wp:posOffset>
            </wp:positionH>
            <wp:positionV relativeFrom="paragraph">
              <wp:posOffset>100454</wp:posOffset>
            </wp:positionV>
            <wp:extent cx="4095750" cy="4906010"/>
            <wp:effectExtent l="0" t="0" r="0" b="8890"/>
            <wp:wrapNone/>
            <wp:docPr id="51148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85339" name=""/>
                    <pic:cNvPicPr/>
                  </pic:nvPicPr>
                  <pic:blipFill>
                    <a:blip r:embed="rId65">
                      <a:extLst>
                        <a:ext uri="{28A0092B-C50C-407E-A947-70E740481C1C}">
                          <a14:useLocalDpi xmlns:a14="http://schemas.microsoft.com/office/drawing/2010/main" val="0"/>
                        </a:ext>
                      </a:extLst>
                    </a:blip>
                    <a:stretch>
                      <a:fillRect/>
                    </a:stretch>
                  </pic:blipFill>
                  <pic:spPr>
                    <a:xfrm>
                      <a:off x="0" y="0"/>
                      <a:ext cx="4095750" cy="4906010"/>
                    </a:xfrm>
                    <a:prstGeom prst="rect">
                      <a:avLst/>
                    </a:prstGeom>
                  </pic:spPr>
                </pic:pic>
              </a:graphicData>
            </a:graphic>
          </wp:anchor>
        </w:drawing>
      </w:r>
    </w:p>
    <w:p w14:paraId="4709009B" w14:textId="77777777" w:rsidR="007110EC" w:rsidRPr="00607E75" w:rsidRDefault="007110EC" w:rsidP="00441B6F">
      <w:pPr>
        <w:pStyle w:val="Appendix"/>
        <w:spacing w:after="0"/>
        <w:jc w:val="both"/>
        <w:rPr>
          <w:rFonts w:ascii="Arial" w:hAnsi="Arial" w:cs="Arial"/>
          <w:b w:val="0"/>
        </w:rPr>
      </w:pPr>
    </w:p>
    <w:p w14:paraId="2C49D405" w14:textId="58657F9E" w:rsidR="007110EC" w:rsidRPr="00607E75" w:rsidRDefault="007110EC" w:rsidP="00441B6F">
      <w:pPr>
        <w:pStyle w:val="Appendix"/>
        <w:spacing w:after="0"/>
        <w:jc w:val="both"/>
        <w:rPr>
          <w:rFonts w:ascii="Arial" w:hAnsi="Arial" w:cs="Arial"/>
          <w:b w:val="0"/>
        </w:rPr>
      </w:pPr>
    </w:p>
    <w:p w14:paraId="4BEA644D" w14:textId="099AA746" w:rsidR="007110EC" w:rsidRPr="00607E75" w:rsidRDefault="007110EC" w:rsidP="00441B6F">
      <w:pPr>
        <w:pStyle w:val="Appendix"/>
        <w:spacing w:after="0"/>
        <w:jc w:val="both"/>
        <w:rPr>
          <w:rFonts w:ascii="Arial" w:hAnsi="Arial" w:cs="Arial"/>
          <w:b w:val="0"/>
        </w:rPr>
      </w:pPr>
    </w:p>
    <w:p w14:paraId="304CC1FB" w14:textId="77777777" w:rsidR="007110EC" w:rsidRPr="00607E75" w:rsidRDefault="007110EC" w:rsidP="00441B6F">
      <w:pPr>
        <w:pStyle w:val="Appendix"/>
        <w:spacing w:after="0"/>
        <w:jc w:val="both"/>
        <w:rPr>
          <w:rFonts w:ascii="Arial" w:hAnsi="Arial" w:cs="Arial"/>
          <w:b w:val="0"/>
        </w:rPr>
      </w:pPr>
    </w:p>
    <w:p w14:paraId="23711354" w14:textId="007FA678" w:rsidR="007110EC" w:rsidRPr="00607E75" w:rsidRDefault="007110EC" w:rsidP="00441B6F">
      <w:pPr>
        <w:pStyle w:val="Appendix"/>
        <w:spacing w:after="0"/>
        <w:jc w:val="both"/>
        <w:rPr>
          <w:rFonts w:ascii="Arial" w:hAnsi="Arial" w:cs="Arial"/>
          <w:b w:val="0"/>
        </w:rPr>
      </w:pPr>
    </w:p>
    <w:p w14:paraId="644393B7" w14:textId="77777777" w:rsidR="007110EC" w:rsidRPr="00607E75" w:rsidRDefault="007110EC" w:rsidP="00441B6F">
      <w:pPr>
        <w:pStyle w:val="Appendix"/>
        <w:spacing w:after="0"/>
        <w:jc w:val="both"/>
        <w:rPr>
          <w:rFonts w:ascii="Arial" w:hAnsi="Arial" w:cs="Arial"/>
          <w:b w:val="0"/>
        </w:rPr>
      </w:pPr>
    </w:p>
    <w:p w14:paraId="302BB44C" w14:textId="43AC6C98" w:rsidR="007110EC" w:rsidRPr="00607E75" w:rsidRDefault="007110EC" w:rsidP="00441B6F">
      <w:pPr>
        <w:pStyle w:val="Appendix"/>
        <w:spacing w:after="0"/>
        <w:jc w:val="both"/>
        <w:rPr>
          <w:rFonts w:ascii="Arial" w:hAnsi="Arial" w:cs="Arial"/>
          <w:b w:val="0"/>
        </w:rPr>
      </w:pPr>
    </w:p>
    <w:p w14:paraId="016DF945" w14:textId="0A8865ED" w:rsidR="007110EC" w:rsidRPr="00607E75" w:rsidRDefault="007110EC" w:rsidP="00441B6F">
      <w:pPr>
        <w:pStyle w:val="Appendix"/>
        <w:spacing w:after="0"/>
        <w:jc w:val="both"/>
        <w:rPr>
          <w:rFonts w:ascii="Arial" w:hAnsi="Arial" w:cs="Arial"/>
          <w:b w:val="0"/>
        </w:rPr>
      </w:pPr>
    </w:p>
    <w:p w14:paraId="11F28B73" w14:textId="77777777" w:rsidR="007110EC" w:rsidRPr="00607E75" w:rsidRDefault="007110EC" w:rsidP="00441B6F">
      <w:pPr>
        <w:pStyle w:val="Appendix"/>
        <w:spacing w:after="0"/>
        <w:jc w:val="both"/>
        <w:rPr>
          <w:rFonts w:ascii="Arial" w:hAnsi="Arial" w:cs="Arial"/>
          <w:b w:val="0"/>
        </w:rPr>
      </w:pPr>
    </w:p>
    <w:p w14:paraId="529F0BFF" w14:textId="3077BFCF" w:rsidR="007110EC" w:rsidRPr="00607E75" w:rsidRDefault="007110EC" w:rsidP="00441B6F">
      <w:pPr>
        <w:pStyle w:val="Appendix"/>
        <w:spacing w:after="0"/>
        <w:jc w:val="both"/>
        <w:rPr>
          <w:rFonts w:ascii="Arial" w:hAnsi="Arial" w:cs="Arial"/>
          <w:b w:val="0"/>
        </w:rPr>
      </w:pPr>
    </w:p>
    <w:p w14:paraId="52059A6A" w14:textId="3137913E" w:rsidR="007110EC" w:rsidRPr="00607E75" w:rsidRDefault="007110EC" w:rsidP="00441B6F">
      <w:pPr>
        <w:pStyle w:val="Appendix"/>
        <w:spacing w:after="0"/>
        <w:jc w:val="both"/>
        <w:rPr>
          <w:rFonts w:ascii="Arial" w:hAnsi="Arial" w:cs="Arial"/>
          <w:b w:val="0"/>
        </w:rPr>
      </w:pPr>
    </w:p>
    <w:p w14:paraId="1C2D0986" w14:textId="53497F30" w:rsidR="007110EC" w:rsidRPr="00607E75" w:rsidRDefault="007110EC" w:rsidP="00441B6F">
      <w:pPr>
        <w:pStyle w:val="Appendix"/>
        <w:spacing w:after="0"/>
        <w:jc w:val="both"/>
        <w:rPr>
          <w:rFonts w:ascii="Arial" w:hAnsi="Arial" w:cs="Arial"/>
          <w:b w:val="0"/>
        </w:rPr>
      </w:pPr>
    </w:p>
    <w:p w14:paraId="0B3F8655" w14:textId="7847EA7D" w:rsidR="007110EC" w:rsidRPr="00607E75" w:rsidRDefault="007110EC" w:rsidP="00441B6F">
      <w:pPr>
        <w:pStyle w:val="Appendix"/>
        <w:spacing w:after="0"/>
        <w:jc w:val="both"/>
        <w:rPr>
          <w:rFonts w:ascii="Arial" w:hAnsi="Arial" w:cs="Arial"/>
          <w:b w:val="0"/>
        </w:rPr>
      </w:pPr>
    </w:p>
    <w:p w14:paraId="2326FAAC" w14:textId="77777777" w:rsidR="007110EC" w:rsidRPr="00607E75" w:rsidRDefault="007110EC" w:rsidP="00441B6F">
      <w:pPr>
        <w:pStyle w:val="Appendix"/>
        <w:spacing w:after="0"/>
        <w:jc w:val="both"/>
        <w:rPr>
          <w:rFonts w:ascii="Arial" w:hAnsi="Arial" w:cs="Arial"/>
          <w:b w:val="0"/>
        </w:rPr>
      </w:pPr>
    </w:p>
    <w:p w14:paraId="04262B47" w14:textId="289D0D73" w:rsidR="007110EC" w:rsidRPr="00607E75" w:rsidRDefault="007110EC" w:rsidP="00441B6F">
      <w:pPr>
        <w:pStyle w:val="Appendix"/>
        <w:spacing w:after="0"/>
        <w:jc w:val="both"/>
        <w:rPr>
          <w:rFonts w:ascii="Arial" w:hAnsi="Arial" w:cs="Arial"/>
          <w:b w:val="0"/>
        </w:rPr>
      </w:pPr>
    </w:p>
    <w:p w14:paraId="16CD8178" w14:textId="695955B2" w:rsidR="007110EC" w:rsidRPr="00607E75" w:rsidRDefault="007110EC" w:rsidP="00441B6F">
      <w:pPr>
        <w:pStyle w:val="Appendix"/>
        <w:spacing w:after="0"/>
        <w:jc w:val="both"/>
        <w:rPr>
          <w:rFonts w:ascii="Arial" w:hAnsi="Arial" w:cs="Arial"/>
          <w:b w:val="0"/>
        </w:rPr>
      </w:pPr>
    </w:p>
    <w:p w14:paraId="001E2C5F" w14:textId="1DB93C69" w:rsidR="007110EC" w:rsidRPr="00607E75" w:rsidRDefault="007110EC" w:rsidP="00441B6F">
      <w:pPr>
        <w:pStyle w:val="Appendix"/>
        <w:spacing w:after="0"/>
        <w:jc w:val="both"/>
        <w:rPr>
          <w:rFonts w:ascii="Arial" w:hAnsi="Arial" w:cs="Arial"/>
          <w:b w:val="0"/>
        </w:rPr>
      </w:pPr>
    </w:p>
    <w:p w14:paraId="1480D296" w14:textId="77777777" w:rsidR="007110EC" w:rsidRPr="00607E75" w:rsidRDefault="007110EC" w:rsidP="00441B6F">
      <w:pPr>
        <w:pStyle w:val="Appendix"/>
        <w:spacing w:after="0"/>
        <w:jc w:val="both"/>
        <w:rPr>
          <w:rFonts w:ascii="Arial" w:hAnsi="Arial" w:cs="Arial"/>
          <w:b w:val="0"/>
        </w:rPr>
      </w:pPr>
    </w:p>
    <w:p w14:paraId="7BC5C9EF" w14:textId="77777777" w:rsidR="007110EC" w:rsidRPr="00607E75" w:rsidRDefault="007110EC" w:rsidP="00441B6F">
      <w:pPr>
        <w:pStyle w:val="Appendix"/>
        <w:spacing w:after="0"/>
        <w:jc w:val="both"/>
        <w:rPr>
          <w:rFonts w:ascii="Arial" w:hAnsi="Arial" w:cs="Arial"/>
          <w:b w:val="0"/>
        </w:rPr>
      </w:pPr>
    </w:p>
    <w:p w14:paraId="53CCFCF1" w14:textId="77777777" w:rsidR="007110EC" w:rsidRPr="00607E75" w:rsidRDefault="007110EC" w:rsidP="00441B6F">
      <w:pPr>
        <w:pStyle w:val="Appendix"/>
        <w:spacing w:after="0"/>
        <w:jc w:val="both"/>
        <w:rPr>
          <w:rFonts w:ascii="Arial" w:hAnsi="Arial" w:cs="Arial"/>
          <w:b w:val="0"/>
        </w:rPr>
      </w:pPr>
    </w:p>
    <w:p w14:paraId="539FDF1A" w14:textId="77777777" w:rsidR="007110EC" w:rsidRPr="00607E75" w:rsidRDefault="007110EC" w:rsidP="00441B6F">
      <w:pPr>
        <w:pStyle w:val="Appendix"/>
        <w:spacing w:after="0"/>
        <w:jc w:val="both"/>
        <w:rPr>
          <w:rFonts w:ascii="Arial" w:hAnsi="Arial" w:cs="Arial"/>
          <w:b w:val="0"/>
        </w:rPr>
      </w:pPr>
    </w:p>
    <w:p w14:paraId="7E782F98" w14:textId="77777777" w:rsidR="007110EC" w:rsidRPr="00607E75" w:rsidRDefault="007110EC" w:rsidP="00441B6F">
      <w:pPr>
        <w:pStyle w:val="Appendix"/>
        <w:spacing w:after="0"/>
        <w:jc w:val="both"/>
        <w:rPr>
          <w:rFonts w:ascii="Arial" w:hAnsi="Arial" w:cs="Arial"/>
          <w:b w:val="0"/>
        </w:rPr>
      </w:pPr>
    </w:p>
    <w:p w14:paraId="0C22EFCA" w14:textId="0EC705C6" w:rsidR="007110EC" w:rsidRPr="00607E75" w:rsidRDefault="007110EC" w:rsidP="00441B6F">
      <w:pPr>
        <w:pStyle w:val="Appendix"/>
        <w:spacing w:after="0"/>
        <w:jc w:val="both"/>
        <w:rPr>
          <w:rFonts w:ascii="Arial" w:hAnsi="Arial" w:cs="Arial"/>
          <w:b w:val="0"/>
        </w:rPr>
      </w:pPr>
    </w:p>
    <w:p w14:paraId="72A7CDF5" w14:textId="77777777" w:rsidR="007110EC" w:rsidRPr="00607E75" w:rsidRDefault="007110EC" w:rsidP="00441B6F">
      <w:pPr>
        <w:pStyle w:val="Appendix"/>
        <w:spacing w:after="0"/>
        <w:jc w:val="both"/>
        <w:rPr>
          <w:rFonts w:ascii="Arial" w:hAnsi="Arial" w:cs="Arial"/>
          <w:b w:val="0"/>
        </w:rPr>
      </w:pPr>
    </w:p>
    <w:p w14:paraId="66C9AEB2" w14:textId="4A875233" w:rsidR="007110EC" w:rsidRPr="00607E75" w:rsidRDefault="007110EC" w:rsidP="00441B6F">
      <w:pPr>
        <w:pStyle w:val="Appendix"/>
        <w:spacing w:after="0"/>
        <w:jc w:val="both"/>
        <w:rPr>
          <w:rFonts w:ascii="Arial" w:hAnsi="Arial" w:cs="Arial"/>
          <w:b w:val="0"/>
        </w:rPr>
      </w:pPr>
    </w:p>
    <w:p w14:paraId="54966BC1" w14:textId="77777777" w:rsidR="007110EC" w:rsidRPr="00607E75" w:rsidRDefault="007110EC" w:rsidP="00441B6F">
      <w:pPr>
        <w:pStyle w:val="Appendix"/>
        <w:spacing w:after="0"/>
        <w:jc w:val="both"/>
        <w:rPr>
          <w:rFonts w:ascii="Arial" w:hAnsi="Arial" w:cs="Arial"/>
          <w:b w:val="0"/>
        </w:rPr>
      </w:pPr>
    </w:p>
    <w:p w14:paraId="707C767E" w14:textId="7D42BEC2" w:rsidR="007110EC" w:rsidRPr="00607E75" w:rsidRDefault="007110EC" w:rsidP="00441B6F">
      <w:pPr>
        <w:pStyle w:val="Appendix"/>
        <w:spacing w:after="0"/>
        <w:jc w:val="both"/>
        <w:rPr>
          <w:rFonts w:ascii="Arial" w:hAnsi="Arial" w:cs="Arial"/>
          <w:b w:val="0"/>
        </w:rPr>
      </w:pPr>
    </w:p>
    <w:p w14:paraId="71F56168" w14:textId="2A1903F4" w:rsidR="007110EC" w:rsidRPr="00607E75" w:rsidRDefault="007110EC" w:rsidP="00441B6F">
      <w:pPr>
        <w:pStyle w:val="Appendix"/>
        <w:spacing w:after="0"/>
        <w:jc w:val="both"/>
        <w:rPr>
          <w:rFonts w:ascii="Arial" w:hAnsi="Arial" w:cs="Arial"/>
          <w:b w:val="0"/>
        </w:rPr>
      </w:pPr>
    </w:p>
    <w:p w14:paraId="0DF12DF4" w14:textId="5641252E" w:rsidR="007110EC" w:rsidRPr="00607E75" w:rsidRDefault="007110EC" w:rsidP="00441B6F">
      <w:pPr>
        <w:pStyle w:val="Appendix"/>
        <w:spacing w:after="0"/>
        <w:jc w:val="both"/>
        <w:rPr>
          <w:rFonts w:ascii="Arial" w:hAnsi="Arial" w:cs="Arial"/>
          <w:b w:val="0"/>
        </w:rPr>
      </w:pPr>
    </w:p>
    <w:p w14:paraId="32790E64" w14:textId="4807CB30" w:rsidR="007110EC" w:rsidRPr="00607E75" w:rsidRDefault="007110EC" w:rsidP="00441B6F">
      <w:pPr>
        <w:pStyle w:val="Appendix"/>
        <w:spacing w:after="0"/>
        <w:jc w:val="both"/>
        <w:rPr>
          <w:rFonts w:ascii="Arial" w:hAnsi="Arial" w:cs="Arial"/>
          <w:b w:val="0"/>
        </w:rPr>
      </w:pPr>
    </w:p>
    <w:p w14:paraId="388B5F49" w14:textId="696CC452" w:rsidR="007110EC" w:rsidRPr="00607E75" w:rsidRDefault="007110EC" w:rsidP="00441B6F">
      <w:pPr>
        <w:pStyle w:val="Appendix"/>
        <w:spacing w:after="0"/>
        <w:jc w:val="both"/>
        <w:rPr>
          <w:rFonts w:ascii="Arial" w:hAnsi="Arial" w:cs="Arial"/>
          <w:b w:val="0"/>
        </w:rPr>
      </w:pPr>
    </w:p>
    <w:p w14:paraId="0B923B4F" w14:textId="6E0AC661" w:rsidR="007110EC" w:rsidRPr="00607E75" w:rsidRDefault="001B0D84" w:rsidP="00441B6F">
      <w:pPr>
        <w:pStyle w:val="Appendix"/>
        <w:spacing w:after="0"/>
        <w:jc w:val="both"/>
        <w:rPr>
          <w:rFonts w:ascii="Arial" w:hAnsi="Arial" w:cs="Arial"/>
          <w:b w:val="0"/>
        </w:rPr>
      </w:pPr>
      <w:r w:rsidRPr="00607E75">
        <w:rPr>
          <w:rFonts w:ascii="Arial" w:hAnsi="Arial" w:cs="Arial"/>
          <w:b w:val="0"/>
          <w:noProof/>
        </w:rPr>
        <w:drawing>
          <wp:anchor distT="0" distB="0" distL="114300" distR="114300" simplePos="0" relativeHeight="251660288" behindDoc="0" locked="0" layoutInCell="1" allowOverlap="1" wp14:anchorId="13139533" wp14:editId="62154657">
            <wp:simplePos x="0" y="0"/>
            <wp:positionH relativeFrom="margin">
              <wp:posOffset>1250950</wp:posOffset>
            </wp:positionH>
            <wp:positionV relativeFrom="paragraph">
              <wp:posOffset>7620</wp:posOffset>
            </wp:positionV>
            <wp:extent cx="4154805" cy="3144520"/>
            <wp:effectExtent l="0" t="0" r="0" b="0"/>
            <wp:wrapNone/>
            <wp:docPr id="169916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60532" name=""/>
                    <pic:cNvPicPr/>
                  </pic:nvPicPr>
                  <pic:blipFill rotWithShape="1">
                    <a:blip r:embed="rId66">
                      <a:extLst>
                        <a:ext uri="{28A0092B-C50C-407E-A947-70E740481C1C}">
                          <a14:useLocalDpi xmlns:a14="http://schemas.microsoft.com/office/drawing/2010/main" val="0"/>
                        </a:ext>
                      </a:extLst>
                    </a:blip>
                    <a:srcRect t="9048"/>
                    <a:stretch>
                      <a:fillRect/>
                    </a:stretch>
                  </pic:blipFill>
                  <pic:spPr bwMode="auto">
                    <a:xfrm>
                      <a:off x="0" y="0"/>
                      <a:ext cx="4154805" cy="314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3A590F" w14:textId="77777777" w:rsidR="007110EC" w:rsidRPr="00607E75" w:rsidRDefault="007110EC" w:rsidP="00441B6F">
      <w:pPr>
        <w:pStyle w:val="Appendix"/>
        <w:spacing w:after="0"/>
        <w:jc w:val="both"/>
        <w:rPr>
          <w:rFonts w:ascii="Arial" w:hAnsi="Arial" w:cs="Arial"/>
          <w:b w:val="0"/>
        </w:rPr>
      </w:pPr>
    </w:p>
    <w:p w14:paraId="4434D8CD" w14:textId="77777777" w:rsidR="007110EC" w:rsidRPr="00607E75" w:rsidRDefault="007110EC" w:rsidP="00441B6F">
      <w:pPr>
        <w:pStyle w:val="Appendix"/>
        <w:spacing w:after="0"/>
        <w:jc w:val="both"/>
        <w:rPr>
          <w:rFonts w:ascii="Arial" w:hAnsi="Arial" w:cs="Arial"/>
          <w:b w:val="0"/>
        </w:rPr>
      </w:pPr>
    </w:p>
    <w:p w14:paraId="161F0D8C" w14:textId="77777777" w:rsidR="007110EC" w:rsidRPr="00607E75" w:rsidRDefault="007110EC" w:rsidP="00441B6F">
      <w:pPr>
        <w:pStyle w:val="Appendix"/>
        <w:spacing w:after="0"/>
        <w:jc w:val="both"/>
        <w:rPr>
          <w:rFonts w:ascii="Arial" w:hAnsi="Arial" w:cs="Arial"/>
          <w:b w:val="0"/>
        </w:rPr>
      </w:pPr>
    </w:p>
    <w:p w14:paraId="30FAC373" w14:textId="77777777" w:rsidR="007110EC" w:rsidRPr="00607E75" w:rsidRDefault="007110EC" w:rsidP="00441B6F">
      <w:pPr>
        <w:pStyle w:val="Appendix"/>
        <w:spacing w:after="0"/>
        <w:jc w:val="both"/>
        <w:rPr>
          <w:rFonts w:ascii="Arial" w:hAnsi="Arial" w:cs="Arial"/>
          <w:b w:val="0"/>
        </w:rPr>
      </w:pPr>
    </w:p>
    <w:p w14:paraId="5ABC1589" w14:textId="77777777" w:rsidR="007110EC" w:rsidRPr="00607E75" w:rsidRDefault="007110EC" w:rsidP="00441B6F">
      <w:pPr>
        <w:pStyle w:val="Appendix"/>
        <w:spacing w:after="0"/>
        <w:jc w:val="both"/>
        <w:rPr>
          <w:rFonts w:ascii="Arial" w:hAnsi="Arial" w:cs="Arial"/>
          <w:b w:val="0"/>
        </w:rPr>
      </w:pPr>
    </w:p>
    <w:p w14:paraId="08E9F5BD" w14:textId="77777777" w:rsidR="007110EC" w:rsidRPr="00607E75" w:rsidRDefault="007110EC" w:rsidP="00441B6F">
      <w:pPr>
        <w:pStyle w:val="Appendix"/>
        <w:spacing w:after="0"/>
        <w:jc w:val="both"/>
        <w:rPr>
          <w:rFonts w:ascii="Arial" w:hAnsi="Arial" w:cs="Arial"/>
          <w:b w:val="0"/>
        </w:rPr>
      </w:pPr>
    </w:p>
    <w:p w14:paraId="365D7399" w14:textId="675A4708" w:rsidR="007110EC" w:rsidRPr="00607E75" w:rsidRDefault="007110EC" w:rsidP="00441B6F">
      <w:pPr>
        <w:pStyle w:val="Appendix"/>
        <w:spacing w:after="0"/>
        <w:jc w:val="both"/>
        <w:rPr>
          <w:rFonts w:ascii="Arial" w:hAnsi="Arial" w:cs="Arial"/>
          <w:b w:val="0"/>
        </w:rPr>
      </w:pPr>
    </w:p>
    <w:p w14:paraId="1E807D88" w14:textId="77777777" w:rsidR="007110EC" w:rsidRPr="00607E75" w:rsidRDefault="007110EC" w:rsidP="00441B6F">
      <w:pPr>
        <w:pStyle w:val="Appendix"/>
        <w:spacing w:after="0"/>
        <w:jc w:val="both"/>
        <w:rPr>
          <w:rFonts w:ascii="Arial" w:hAnsi="Arial" w:cs="Arial"/>
          <w:b w:val="0"/>
        </w:rPr>
      </w:pPr>
    </w:p>
    <w:p w14:paraId="4D7AC581" w14:textId="77777777" w:rsidR="007110EC" w:rsidRPr="00607E75" w:rsidRDefault="007110EC" w:rsidP="00441B6F">
      <w:pPr>
        <w:pStyle w:val="Appendix"/>
        <w:spacing w:after="0"/>
        <w:jc w:val="both"/>
        <w:rPr>
          <w:rFonts w:ascii="Arial" w:hAnsi="Arial" w:cs="Arial"/>
          <w:b w:val="0"/>
        </w:rPr>
      </w:pPr>
    </w:p>
    <w:p w14:paraId="665A375E" w14:textId="77777777" w:rsidR="007110EC" w:rsidRPr="00607E75" w:rsidRDefault="007110EC" w:rsidP="00441B6F">
      <w:pPr>
        <w:pStyle w:val="Appendix"/>
        <w:spacing w:after="0"/>
        <w:jc w:val="both"/>
        <w:rPr>
          <w:rFonts w:ascii="Arial" w:hAnsi="Arial" w:cs="Arial"/>
          <w:b w:val="0"/>
        </w:rPr>
      </w:pPr>
    </w:p>
    <w:p w14:paraId="7E7B789C" w14:textId="77777777" w:rsidR="007110EC" w:rsidRPr="00607E75" w:rsidRDefault="007110EC" w:rsidP="00441B6F">
      <w:pPr>
        <w:pStyle w:val="Appendix"/>
        <w:spacing w:after="0"/>
        <w:jc w:val="both"/>
        <w:rPr>
          <w:rFonts w:ascii="Arial" w:hAnsi="Arial" w:cs="Arial"/>
          <w:b w:val="0"/>
        </w:rPr>
      </w:pPr>
    </w:p>
    <w:p w14:paraId="740263FC" w14:textId="77777777" w:rsidR="007110EC" w:rsidRPr="00607E75" w:rsidRDefault="007110EC" w:rsidP="00441B6F">
      <w:pPr>
        <w:pStyle w:val="Appendix"/>
        <w:spacing w:after="0"/>
        <w:jc w:val="both"/>
        <w:rPr>
          <w:rFonts w:ascii="Arial" w:hAnsi="Arial" w:cs="Arial"/>
          <w:b w:val="0"/>
        </w:rPr>
      </w:pPr>
    </w:p>
    <w:p w14:paraId="78FCF7DC" w14:textId="77777777" w:rsidR="007110EC" w:rsidRPr="00607E75" w:rsidRDefault="007110EC" w:rsidP="00441B6F">
      <w:pPr>
        <w:pStyle w:val="Appendix"/>
        <w:spacing w:after="0"/>
        <w:jc w:val="both"/>
        <w:rPr>
          <w:rFonts w:ascii="Arial" w:hAnsi="Arial" w:cs="Arial"/>
          <w:b w:val="0"/>
        </w:rPr>
      </w:pPr>
    </w:p>
    <w:p w14:paraId="057813F8" w14:textId="77777777" w:rsidR="007110EC" w:rsidRPr="00607E75" w:rsidRDefault="007110EC" w:rsidP="00441B6F">
      <w:pPr>
        <w:pStyle w:val="Appendix"/>
        <w:spacing w:after="0"/>
        <w:jc w:val="both"/>
        <w:rPr>
          <w:rFonts w:ascii="Arial" w:hAnsi="Arial" w:cs="Arial"/>
          <w:b w:val="0"/>
        </w:rPr>
      </w:pPr>
    </w:p>
    <w:p w14:paraId="54002B64" w14:textId="77777777" w:rsidR="007110EC" w:rsidRPr="00607E75" w:rsidRDefault="007110EC" w:rsidP="00441B6F">
      <w:pPr>
        <w:pStyle w:val="Appendix"/>
        <w:spacing w:after="0"/>
        <w:jc w:val="both"/>
        <w:rPr>
          <w:rFonts w:ascii="Arial" w:hAnsi="Arial" w:cs="Arial"/>
          <w:b w:val="0"/>
        </w:rPr>
      </w:pPr>
    </w:p>
    <w:p w14:paraId="6BBBAD9E" w14:textId="77777777" w:rsidR="007110EC" w:rsidRPr="00607E75" w:rsidRDefault="007110EC" w:rsidP="00441B6F">
      <w:pPr>
        <w:pStyle w:val="Appendix"/>
        <w:spacing w:after="0"/>
        <w:jc w:val="both"/>
        <w:rPr>
          <w:rFonts w:ascii="Arial" w:hAnsi="Arial" w:cs="Arial"/>
          <w:b w:val="0"/>
        </w:rPr>
      </w:pPr>
    </w:p>
    <w:p w14:paraId="19E573A1" w14:textId="77777777" w:rsidR="007110EC" w:rsidRPr="00607E75" w:rsidRDefault="007110EC" w:rsidP="00441B6F">
      <w:pPr>
        <w:pStyle w:val="Appendix"/>
        <w:spacing w:after="0"/>
        <w:jc w:val="both"/>
        <w:rPr>
          <w:rFonts w:ascii="Arial" w:hAnsi="Arial" w:cs="Arial"/>
          <w:b w:val="0"/>
        </w:rPr>
      </w:pPr>
    </w:p>
    <w:p w14:paraId="70EA67DD" w14:textId="77777777" w:rsidR="007110EC" w:rsidRPr="00607E75" w:rsidRDefault="007110EC" w:rsidP="00441B6F">
      <w:pPr>
        <w:pStyle w:val="Appendix"/>
        <w:spacing w:after="0"/>
        <w:jc w:val="both"/>
        <w:rPr>
          <w:rFonts w:ascii="Arial" w:hAnsi="Arial" w:cs="Arial"/>
          <w:b w:val="0"/>
        </w:rPr>
      </w:pPr>
    </w:p>
    <w:p w14:paraId="54A20869" w14:textId="77777777" w:rsidR="007110EC" w:rsidRPr="00607E75" w:rsidRDefault="007110EC" w:rsidP="00441B6F">
      <w:pPr>
        <w:pStyle w:val="Appendix"/>
        <w:spacing w:after="0"/>
        <w:jc w:val="both"/>
        <w:rPr>
          <w:rFonts w:ascii="Arial" w:hAnsi="Arial" w:cs="Arial"/>
          <w:b w:val="0"/>
        </w:rPr>
      </w:pPr>
    </w:p>
    <w:p w14:paraId="61253DDE" w14:textId="77777777" w:rsidR="007110EC" w:rsidRPr="00607E75" w:rsidRDefault="007110EC" w:rsidP="00441B6F">
      <w:pPr>
        <w:pStyle w:val="Appendix"/>
        <w:spacing w:after="0"/>
        <w:jc w:val="both"/>
        <w:rPr>
          <w:rFonts w:ascii="Arial" w:hAnsi="Arial" w:cs="Arial"/>
          <w:b w:val="0"/>
        </w:rPr>
      </w:pPr>
    </w:p>
    <w:p w14:paraId="73EF1588" w14:textId="77777777" w:rsidR="007110EC" w:rsidRPr="00607E75" w:rsidRDefault="007110EC" w:rsidP="00441B6F">
      <w:pPr>
        <w:pStyle w:val="Appendix"/>
        <w:spacing w:after="0"/>
        <w:jc w:val="both"/>
        <w:rPr>
          <w:rFonts w:ascii="Arial" w:hAnsi="Arial" w:cs="Arial"/>
          <w:b w:val="0"/>
        </w:rPr>
      </w:pPr>
    </w:p>
    <w:p w14:paraId="71AC790C" w14:textId="77777777" w:rsidR="007110EC" w:rsidRPr="00607E75" w:rsidRDefault="007110EC" w:rsidP="00441B6F">
      <w:pPr>
        <w:pStyle w:val="Appendix"/>
        <w:spacing w:after="0"/>
        <w:jc w:val="both"/>
        <w:rPr>
          <w:rFonts w:ascii="Arial" w:hAnsi="Arial" w:cs="Arial"/>
          <w:b w:val="0"/>
        </w:rPr>
      </w:pPr>
    </w:p>
    <w:p w14:paraId="10F11498" w14:textId="1F1230A2" w:rsidR="007110EC" w:rsidRPr="00607E75" w:rsidRDefault="007110EC" w:rsidP="00441B6F">
      <w:pPr>
        <w:pStyle w:val="Appendix"/>
        <w:spacing w:after="0"/>
        <w:jc w:val="both"/>
        <w:rPr>
          <w:rFonts w:ascii="Arial" w:hAnsi="Arial" w:cs="Arial"/>
          <w:b w:val="0"/>
        </w:rPr>
      </w:pPr>
    </w:p>
    <w:p w14:paraId="40DF5796" w14:textId="5AB90BEF" w:rsidR="007110EC" w:rsidRPr="00607E75" w:rsidRDefault="003D6BEF" w:rsidP="00441B6F">
      <w:pPr>
        <w:pStyle w:val="Appendix"/>
        <w:spacing w:after="0"/>
        <w:jc w:val="both"/>
        <w:rPr>
          <w:rFonts w:ascii="Arial" w:hAnsi="Arial" w:cs="Arial"/>
          <w:b w:val="0"/>
        </w:rPr>
      </w:pPr>
      <w:r w:rsidRPr="00607E75">
        <w:rPr>
          <w:rFonts w:ascii="Arial" w:hAnsi="Arial" w:cs="Arial"/>
          <w:b w:val="0"/>
          <w:noProof/>
        </w:rPr>
        <w:drawing>
          <wp:anchor distT="0" distB="0" distL="114300" distR="114300" simplePos="0" relativeHeight="251661312" behindDoc="0" locked="0" layoutInCell="1" allowOverlap="1" wp14:anchorId="66C0E013" wp14:editId="529C8D3D">
            <wp:simplePos x="0" y="0"/>
            <wp:positionH relativeFrom="column">
              <wp:posOffset>533400</wp:posOffset>
            </wp:positionH>
            <wp:positionV relativeFrom="paragraph">
              <wp:posOffset>125095</wp:posOffset>
            </wp:positionV>
            <wp:extent cx="5105400" cy="4716780"/>
            <wp:effectExtent l="0" t="0" r="0" b="7620"/>
            <wp:wrapNone/>
            <wp:docPr id="1439407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07811" name=""/>
                    <pic:cNvPicPr/>
                  </pic:nvPicPr>
                  <pic:blipFill rotWithShape="1">
                    <a:blip r:embed="rId67">
                      <a:extLst>
                        <a:ext uri="{28A0092B-C50C-407E-A947-70E740481C1C}">
                          <a14:useLocalDpi xmlns:a14="http://schemas.microsoft.com/office/drawing/2010/main" val="0"/>
                        </a:ext>
                      </a:extLst>
                    </a:blip>
                    <a:srcRect l="11070" r="9594"/>
                    <a:stretch>
                      <a:fillRect/>
                    </a:stretch>
                  </pic:blipFill>
                  <pic:spPr bwMode="auto">
                    <a:xfrm>
                      <a:off x="0" y="0"/>
                      <a:ext cx="5105845" cy="4717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7FC0E4" w14:textId="3C9E7645" w:rsidR="007110EC" w:rsidRPr="00607E75" w:rsidRDefault="007110EC" w:rsidP="00441B6F">
      <w:pPr>
        <w:pStyle w:val="Appendix"/>
        <w:spacing w:after="0"/>
        <w:jc w:val="both"/>
        <w:rPr>
          <w:rFonts w:ascii="Arial" w:hAnsi="Arial" w:cs="Arial"/>
          <w:b w:val="0"/>
        </w:rPr>
      </w:pPr>
    </w:p>
    <w:p w14:paraId="18B7E14D" w14:textId="01CAC375" w:rsidR="007110EC" w:rsidRPr="00607E75" w:rsidRDefault="007110EC" w:rsidP="00441B6F">
      <w:pPr>
        <w:pStyle w:val="Appendix"/>
        <w:spacing w:after="0"/>
        <w:jc w:val="both"/>
        <w:rPr>
          <w:rFonts w:ascii="Arial" w:hAnsi="Arial" w:cs="Arial"/>
          <w:b w:val="0"/>
        </w:rPr>
      </w:pPr>
    </w:p>
    <w:p w14:paraId="03873D40" w14:textId="638993D3" w:rsidR="007110EC" w:rsidRPr="00607E75" w:rsidRDefault="007110EC" w:rsidP="00441B6F">
      <w:pPr>
        <w:pStyle w:val="Appendix"/>
        <w:spacing w:after="0"/>
        <w:jc w:val="both"/>
        <w:rPr>
          <w:rFonts w:ascii="Arial" w:hAnsi="Arial" w:cs="Arial"/>
          <w:b w:val="0"/>
        </w:rPr>
      </w:pPr>
    </w:p>
    <w:p w14:paraId="6385D9A6" w14:textId="75E36B90" w:rsidR="007110EC" w:rsidRPr="00607E75" w:rsidRDefault="007110EC" w:rsidP="00441B6F">
      <w:pPr>
        <w:pStyle w:val="Appendix"/>
        <w:spacing w:after="0"/>
        <w:jc w:val="both"/>
        <w:rPr>
          <w:rFonts w:ascii="Arial" w:hAnsi="Arial" w:cs="Arial"/>
          <w:b w:val="0"/>
        </w:rPr>
      </w:pPr>
    </w:p>
    <w:p w14:paraId="5ECB188F" w14:textId="4DEDE34D" w:rsidR="007110EC" w:rsidRPr="00607E75" w:rsidRDefault="007110EC" w:rsidP="00441B6F">
      <w:pPr>
        <w:pStyle w:val="Appendix"/>
        <w:spacing w:after="0"/>
        <w:jc w:val="both"/>
        <w:rPr>
          <w:rFonts w:ascii="Arial" w:hAnsi="Arial" w:cs="Arial"/>
          <w:b w:val="0"/>
        </w:rPr>
      </w:pPr>
    </w:p>
    <w:p w14:paraId="412DBFCF" w14:textId="00D1DC82" w:rsidR="007110EC" w:rsidRPr="00607E75" w:rsidRDefault="007110EC" w:rsidP="00441B6F">
      <w:pPr>
        <w:pStyle w:val="Appendix"/>
        <w:spacing w:after="0"/>
        <w:jc w:val="both"/>
        <w:rPr>
          <w:rFonts w:ascii="Arial" w:hAnsi="Arial" w:cs="Arial"/>
          <w:b w:val="0"/>
        </w:rPr>
      </w:pPr>
    </w:p>
    <w:p w14:paraId="2B7B60B5" w14:textId="4042857B" w:rsidR="007110EC" w:rsidRPr="00607E75" w:rsidRDefault="007110EC" w:rsidP="00441B6F">
      <w:pPr>
        <w:pStyle w:val="Appendix"/>
        <w:spacing w:after="0"/>
        <w:jc w:val="both"/>
        <w:rPr>
          <w:rFonts w:ascii="Arial" w:hAnsi="Arial" w:cs="Arial"/>
          <w:b w:val="0"/>
        </w:rPr>
      </w:pPr>
    </w:p>
    <w:p w14:paraId="7D7A6D6D" w14:textId="6AB7E3ED" w:rsidR="007110EC" w:rsidRPr="00607E75" w:rsidRDefault="007110EC" w:rsidP="00441B6F">
      <w:pPr>
        <w:pStyle w:val="Appendix"/>
        <w:spacing w:after="0"/>
        <w:jc w:val="both"/>
        <w:rPr>
          <w:rFonts w:ascii="Arial" w:hAnsi="Arial" w:cs="Arial"/>
          <w:b w:val="0"/>
        </w:rPr>
      </w:pPr>
    </w:p>
    <w:p w14:paraId="5D0B9EDB" w14:textId="353E5546" w:rsidR="007110EC" w:rsidRPr="00607E75" w:rsidRDefault="007110EC" w:rsidP="00441B6F">
      <w:pPr>
        <w:pStyle w:val="Appendix"/>
        <w:spacing w:after="0"/>
        <w:jc w:val="both"/>
        <w:rPr>
          <w:rFonts w:ascii="Arial" w:hAnsi="Arial" w:cs="Arial"/>
          <w:b w:val="0"/>
        </w:rPr>
      </w:pPr>
    </w:p>
    <w:p w14:paraId="6EE200A4" w14:textId="37424EA3" w:rsidR="007110EC" w:rsidRPr="00607E75" w:rsidRDefault="007110EC" w:rsidP="00441B6F">
      <w:pPr>
        <w:pStyle w:val="Appendix"/>
        <w:spacing w:after="0"/>
        <w:jc w:val="both"/>
        <w:rPr>
          <w:rFonts w:ascii="Arial" w:hAnsi="Arial" w:cs="Arial"/>
          <w:b w:val="0"/>
        </w:rPr>
      </w:pPr>
    </w:p>
    <w:p w14:paraId="5C561E1D" w14:textId="003A12F8" w:rsidR="007110EC" w:rsidRPr="00607E75" w:rsidRDefault="007110EC" w:rsidP="00441B6F">
      <w:pPr>
        <w:pStyle w:val="Appendix"/>
        <w:spacing w:after="0"/>
        <w:jc w:val="both"/>
        <w:rPr>
          <w:rFonts w:ascii="Arial" w:hAnsi="Arial" w:cs="Arial"/>
          <w:b w:val="0"/>
        </w:rPr>
      </w:pPr>
    </w:p>
    <w:p w14:paraId="336BCCB5" w14:textId="77777777" w:rsidR="007110EC" w:rsidRPr="00607E75" w:rsidRDefault="007110EC" w:rsidP="00441B6F">
      <w:pPr>
        <w:pStyle w:val="Appendix"/>
        <w:spacing w:after="0"/>
        <w:jc w:val="both"/>
        <w:rPr>
          <w:rFonts w:ascii="Arial" w:hAnsi="Arial" w:cs="Arial"/>
          <w:b w:val="0"/>
        </w:rPr>
      </w:pPr>
    </w:p>
    <w:p w14:paraId="1209E269" w14:textId="49DE05A8" w:rsidR="007110EC" w:rsidRPr="00607E75" w:rsidRDefault="007110EC" w:rsidP="00441B6F">
      <w:pPr>
        <w:pStyle w:val="Appendix"/>
        <w:spacing w:after="0"/>
        <w:jc w:val="both"/>
        <w:rPr>
          <w:rFonts w:ascii="Arial" w:hAnsi="Arial" w:cs="Arial"/>
          <w:b w:val="0"/>
        </w:rPr>
      </w:pPr>
    </w:p>
    <w:p w14:paraId="56A20F6A" w14:textId="575F3D62" w:rsidR="007110EC" w:rsidRPr="00607E75" w:rsidRDefault="007110EC" w:rsidP="00441B6F">
      <w:pPr>
        <w:pStyle w:val="Appendix"/>
        <w:spacing w:after="0"/>
        <w:jc w:val="both"/>
        <w:rPr>
          <w:rFonts w:ascii="Arial" w:hAnsi="Arial" w:cs="Arial"/>
          <w:b w:val="0"/>
        </w:rPr>
      </w:pPr>
    </w:p>
    <w:p w14:paraId="1BE3B0B5" w14:textId="77777777" w:rsidR="007110EC" w:rsidRPr="00607E75" w:rsidRDefault="007110EC" w:rsidP="00441B6F">
      <w:pPr>
        <w:pStyle w:val="Appendix"/>
        <w:spacing w:after="0"/>
        <w:jc w:val="both"/>
        <w:rPr>
          <w:rFonts w:ascii="Arial" w:hAnsi="Arial" w:cs="Arial"/>
          <w:b w:val="0"/>
        </w:rPr>
      </w:pPr>
    </w:p>
    <w:p w14:paraId="1EB34E90" w14:textId="77777777" w:rsidR="007110EC" w:rsidRPr="00607E75" w:rsidRDefault="007110EC" w:rsidP="00441B6F">
      <w:pPr>
        <w:pStyle w:val="Appendix"/>
        <w:spacing w:after="0"/>
        <w:jc w:val="both"/>
        <w:rPr>
          <w:rFonts w:ascii="Arial" w:hAnsi="Arial" w:cs="Arial"/>
          <w:b w:val="0"/>
        </w:rPr>
      </w:pPr>
    </w:p>
    <w:p w14:paraId="22FF5C89" w14:textId="5569D43F" w:rsidR="007110EC" w:rsidRPr="00607E75" w:rsidRDefault="007110EC" w:rsidP="00441B6F">
      <w:pPr>
        <w:pStyle w:val="Appendix"/>
        <w:spacing w:after="0"/>
        <w:jc w:val="both"/>
        <w:rPr>
          <w:rFonts w:ascii="Arial" w:hAnsi="Arial" w:cs="Arial"/>
          <w:b w:val="0"/>
        </w:rPr>
      </w:pPr>
    </w:p>
    <w:p w14:paraId="0112C06C" w14:textId="0312E5D1" w:rsidR="007110EC" w:rsidRPr="00607E75" w:rsidRDefault="007110EC" w:rsidP="00441B6F">
      <w:pPr>
        <w:pStyle w:val="Appendix"/>
        <w:spacing w:after="0"/>
        <w:jc w:val="both"/>
        <w:rPr>
          <w:rFonts w:ascii="Arial" w:hAnsi="Arial" w:cs="Arial"/>
          <w:b w:val="0"/>
        </w:rPr>
      </w:pPr>
    </w:p>
    <w:p w14:paraId="2D056B05" w14:textId="77777777" w:rsidR="007110EC" w:rsidRPr="00607E75" w:rsidRDefault="007110EC" w:rsidP="00441B6F">
      <w:pPr>
        <w:pStyle w:val="Appendix"/>
        <w:spacing w:after="0"/>
        <w:jc w:val="both"/>
        <w:rPr>
          <w:rFonts w:ascii="Arial" w:hAnsi="Arial" w:cs="Arial"/>
          <w:b w:val="0"/>
        </w:rPr>
      </w:pPr>
    </w:p>
    <w:p w14:paraId="47BABB0E" w14:textId="77777777" w:rsidR="007110EC" w:rsidRPr="00607E75" w:rsidRDefault="007110EC" w:rsidP="00441B6F">
      <w:pPr>
        <w:pStyle w:val="Appendix"/>
        <w:spacing w:after="0"/>
        <w:jc w:val="both"/>
        <w:rPr>
          <w:rFonts w:ascii="Arial" w:hAnsi="Arial" w:cs="Arial"/>
          <w:b w:val="0"/>
        </w:rPr>
      </w:pPr>
    </w:p>
    <w:p w14:paraId="49464E7C" w14:textId="5F4EC4B1" w:rsidR="007110EC" w:rsidRPr="00607E75" w:rsidRDefault="007110EC" w:rsidP="00441B6F">
      <w:pPr>
        <w:pStyle w:val="Appendix"/>
        <w:spacing w:after="0"/>
        <w:jc w:val="both"/>
        <w:rPr>
          <w:rFonts w:ascii="Arial" w:hAnsi="Arial" w:cs="Arial"/>
          <w:b w:val="0"/>
        </w:rPr>
      </w:pPr>
    </w:p>
    <w:p w14:paraId="0084B363" w14:textId="77777777" w:rsidR="007110EC" w:rsidRPr="00607E75" w:rsidRDefault="007110EC" w:rsidP="00441B6F">
      <w:pPr>
        <w:pStyle w:val="Appendix"/>
        <w:spacing w:after="0"/>
        <w:jc w:val="both"/>
        <w:rPr>
          <w:rFonts w:ascii="Arial" w:hAnsi="Arial" w:cs="Arial"/>
          <w:b w:val="0"/>
        </w:rPr>
      </w:pPr>
    </w:p>
    <w:p w14:paraId="4D227D92" w14:textId="66C5A5D1" w:rsidR="007110EC" w:rsidRPr="00607E75" w:rsidRDefault="007110EC" w:rsidP="00441B6F">
      <w:pPr>
        <w:pStyle w:val="Appendix"/>
        <w:spacing w:after="0"/>
        <w:jc w:val="both"/>
        <w:rPr>
          <w:rFonts w:ascii="Arial" w:hAnsi="Arial" w:cs="Arial"/>
          <w:b w:val="0"/>
        </w:rPr>
      </w:pPr>
    </w:p>
    <w:p w14:paraId="30B98BB7" w14:textId="53C2B076" w:rsidR="007110EC" w:rsidRPr="00607E75" w:rsidRDefault="007110EC" w:rsidP="00441B6F">
      <w:pPr>
        <w:pStyle w:val="Appendix"/>
        <w:spacing w:after="0"/>
        <w:jc w:val="both"/>
        <w:rPr>
          <w:rFonts w:ascii="Arial" w:hAnsi="Arial" w:cs="Arial"/>
          <w:b w:val="0"/>
        </w:rPr>
      </w:pPr>
    </w:p>
    <w:p w14:paraId="34287A65" w14:textId="1EC1FB6F" w:rsidR="007110EC" w:rsidRPr="00607E75" w:rsidRDefault="007110EC" w:rsidP="00441B6F">
      <w:pPr>
        <w:pStyle w:val="Appendix"/>
        <w:spacing w:after="0"/>
        <w:jc w:val="both"/>
        <w:rPr>
          <w:rFonts w:ascii="Arial" w:hAnsi="Arial" w:cs="Arial"/>
          <w:b w:val="0"/>
        </w:rPr>
      </w:pPr>
    </w:p>
    <w:p w14:paraId="1840C8C5" w14:textId="0DA47475" w:rsidR="007110EC" w:rsidRPr="00607E75" w:rsidRDefault="007110EC" w:rsidP="00441B6F">
      <w:pPr>
        <w:pStyle w:val="Appendix"/>
        <w:spacing w:after="0"/>
        <w:jc w:val="both"/>
        <w:rPr>
          <w:rFonts w:ascii="Arial" w:hAnsi="Arial" w:cs="Arial"/>
          <w:b w:val="0"/>
        </w:rPr>
      </w:pPr>
    </w:p>
    <w:p w14:paraId="4ABD86E5" w14:textId="0E051C34" w:rsidR="007110EC" w:rsidRPr="00607E75" w:rsidRDefault="003D6BEF" w:rsidP="00441B6F">
      <w:pPr>
        <w:pStyle w:val="Appendix"/>
        <w:spacing w:after="0"/>
        <w:jc w:val="both"/>
        <w:rPr>
          <w:rFonts w:ascii="Arial" w:hAnsi="Arial" w:cs="Arial"/>
          <w:b w:val="0"/>
        </w:rPr>
      </w:pPr>
      <w:r w:rsidRPr="00607E75">
        <w:rPr>
          <w:rFonts w:ascii="Arial" w:hAnsi="Arial" w:cs="Arial"/>
          <w:b w:val="0"/>
          <w:noProof/>
        </w:rPr>
        <w:drawing>
          <wp:anchor distT="0" distB="0" distL="114300" distR="114300" simplePos="0" relativeHeight="251662336" behindDoc="0" locked="0" layoutInCell="1" allowOverlap="1" wp14:anchorId="23B51413" wp14:editId="4A236270">
            <wp:simplePos x="0" y="0"/>
            <wp:positionH relativeFrom="margin">
              <wp:align>left</wp:align>
            </wp:positionH>
            <wp:positionV relativeFrom="paragraph">
              <wp:posOffset>169545</wp:posOffset>
            </wp:positionV>
            <wp:extent cx="6515735" cy="2895600"/>
            <wp:effectExtent l="0" t="0" r="0" b="0"/>
            <wp:wrapNone/>
            <wp:docPr id="1338779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79561" name=""/>
                    <pic:cNvPicPr/>
                  </pic:nvPicPr>
                  <pic:blipFill rotWithShape="1">
                    <a:blip r:embed="rId68">
                      <a:extLst>
                        <a:ext uri="{28A0092B-C50C-407E-A947-70E740481C1C}">
                          <a14:useLocalDpi xmlns:a14="http://schemas.microsoft.com/office/drawing/2010/main" val="0"/>
                        </a:ext>
                      </a:extLst>
                    </a:blip>
                    <a:srcRect l="5847" t="10029" r="-5847" b="45138"/>
                    <a:stretch>
                      <a:fillRect/>
                    </a:stretch>
                  </pic:blipFill>
                  <pic:spPr bwMode="auto">
                    <a:xfrm>
                      <a:off x="0" y="0"/>
                      <a:ext cx="6515735" cy="2895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ED9601" w14:textId="54B18DAD" w:rsidR="007110EC" w:rsidRPr="00607E75" w:rsidRDefault="007110EC" w:rsidP="00441B6F">
      <w:pPr>
        <w:pStyle w:val="Appendix"/>
        <w:spacing w:after="0"/>
        <w:jc w:val="both"/>
        <w:rPr>
          <w:rFonts w:ascii="Arial" w:hAnsi="Arial" w:cs="Arial"/>
          <w:b w:val="0"/>
        </w:rPr>
      </w:pPr>
    </w:p>
    <w:p w14:paraId="75536CCD" w14:textId="01ABFDD0" w:rsidR="007110EC" w:rsidRPr="00607E75" w:rsidRDefault="007110EC" w:rsidP="00441B6F">
      <w:pPr>
        <w:pStyle w:val="Appendix"/>
        <w:spacing w:after="0"/>
        <w:jc w:val="both"/>
        <w:rPr>
          <w:rFonts w:ascii="Arial" w:hAnsi="Arial" w:cs="Arial"/>
          <w:b w:val="0"/>
        </w:rPr>
      </w:pPr>
    </w:p>
    <w:p w14:paraId="7ECE51DB" w14:textId="40090C76" w:rsidR="007110EC" w:rsidRPr="00607E75" w:rsidRDefault="007110EC" w:rsidP="00441B6F">
      <w:pPr>
        <w:pStyle w:val="Appendix"/>
        <w:spacing w:after="0"/>
        <w:jc w:val="both"/>
        <w:rPr>
          <w:rFonts w:ascii="Arial" w:hAnsi="Arial" w:cs="Arial"/>
          <w:b w:val="0"/>
        </w:rPr>
      </w:pPr>
    </w:p>
    <w:p w14:paraId="087AD2BA" w14:textId="756E0E8E" w:rsidR="007110EC" w:rsidRPr="00607E75" w:rsidRDefault="007110EC" w:rsidP="00441B6F">
      <w:pPr>
        <w:pStyle w:val="Appendix"/>
        <w:spacing w:after="0"/>
        <w:jc w:val="both"/>
        <w:rPr>
          <w:rFonts w:ascii="Arial" w:hAnsi="Arial" w:cs="Arial"/>
          <w:b w:val="0"/>
        </w:rPr>
      </w:pPr>
    </w:p>
    <w:p w14:paraId="43C43409" w14:textId="77777777" w:rsidR="007110EC" w:rsidRPr="00607E75" w:rsidRDefault="007110EC" w:rsidP="00441B6F">
      <w:pPr>
        <w:pStyle w:val="Appendix"/>
        <w:spacing w:after="0"/>
        <w:jc w:val="both"/>
        <w:rPr>
          <w:rFonts w:ascii="Arial" w:hAnsi="Arial" w:cs="Arial"/>
          <w:b w:val="0"/>
        </w:rPr>
      </w:pPr>
    </w:p>
    <w:p w14:paraId="3E4C6880" w14:textId="0CC4272F" w:rsidR="007110EC" w:rsidRPr="00607E75" w:rsidRDefault="007110EC" w:rsidP="00441B6F">
      <w:pPr>
        <w:pStyle w:val="Appendix"/>
        <w:spacing w:after="0"/>
        <w:jc w:val="both"/>
        <w:rPr>
          <w:rFonts w:ascii="Arial" w:hAnsi="Arial" w:cs="Arial"/>
          <w:b w:val="0"/>
        </w:rPr>
      </w:pPr>
    </w:p>
    <w:p w14:paraId="5816F1D0" w14:textId="77777777" w:rsidR="007110EC" w:rsidRPr="00607E75" w:rsidRDefault="007110EC" w:rsidP="00441B6F">
      <w:pPr>
        <w:pStyle w:val="Appendix"/>
        <w:spacing w:after="0"/>
        <w:jc w:val="both"/>
        <w:rPr>
          <w:rFonts w:ascii="Arial" w:hAnsi="Arial" w:cs="Arial"/>
          <w:b w:val="0"/>
        </w:rPr>
      </w:pPr>
    </w:p>
    <w:p w14:paraId="77CA8858" w14:textId="77777777" w:rsidR="007110EC" w:rsidRPr="00607E75" w:rsidRDefault="007110EC" w:rsidP="00441B6F">
      <w:pPr>
        <w:pStyle w:val="Appendix"/>
        <w:spacing w:after="0"/>
        <w:jc w:val="both"/>
        <w:rPr>
          <w:rFonts w:ascii="Arial" w:hAnsi="Arial" w:cs="Arial"/>
          <w:b w:val="0"/>
        </w:rPr>
      </w:pPr>
    </w:p>
    <w:p w14:paraId="6CF0E284" w14:textId="77777777" w:rsidR="007110EC" w:rsidRPr="00607E75" w:rsidRDefault="007110EC" w:rsidP="00441B6F">
      <w:pPr>
        <w:pStyle w:val="Appendix"/>
        <w:spacing w:after="0"/>
        <w:jc w:val="both"/>
        <w:rPr>
          <w:rFonts w:ascii="Arial" w:hAnsi="Arial" w:cs="Arial"/>
          <w:b w:val="0"/>
        </w:rPr>
      </w:pPr>
    </w:p>
    <w:p w14:paraId="786BD587" w14:textId="77777777" w:rsidR="007110EC" w:rsidRPr="00607E75" w:rsidRDefault="007110EC" w:rsidP="00441B6F">
      <w:pPr>
        <w:pStyle w:val="Appendix"/>
        <w:spacing w:after="0"/>
        <w:jc w:val="both"/>
        <w:rPr>
          <w:rFonts w:ascii="Arial" w:hAnsi="Arial" w:cs="Arial"/>
          <w:b w:val="0"/>
        </w:rPr>
      </w:pPr>
    </w:p>
    <w:p w14:paraId="061D5A44" w14:textId="77777777" w:rsidR="007110EC" w:rsidRPr="00607E75" w:rsidRDefault="007110EC" w:rsidP="00441B6F">
      <w:pPr>
        <w:pStyle w:val="Appendix"/>
        <w:spacing w:after="0"/>
        <w:jc w:val="both"/>
        <w:rPr>
          <w:rFonts w:ascii="Arial" w:hAnsi="Arial" w:cs="Arial"/>
          <w:b w:val="0"/>
        </w:rPr>
      </w:pPr>
    </w:p>
    <w:p w14:paraId="11FC8DA7" w14:textId="77777777" w:rsidR="007110EC" w:rsidRPr="00607E75" w:rsidRDefault="007110EC" w:rsidP="00441B6F">
      <w:pPr>
        <w:pStyle w:val="Appendix"/>
        <w:spacing w:after="0"/>
        <w:jc w:val="both"/>
        <w:rPr>
          <w:rFonts w:ascii="Arial" w:hAnsi="Arial" w:cs="Arial"/>
          <w:b w:val="0"/>
        </w:rPr>
      </w:pPr>
    </w:p>
    <w:p w14:paraId="5C803447" w14:textId="77777777" w:rsidR="007110EC" w:rsidRPr="00607E75" w:rsidRDefault="007110EC" w:rsidP="00441B6F">
      <w:pPr>
        <w:pStyle w:val="Appendix"/>
        <w:spacing w:after="0"/>
        <w:jc w:val="both"/>
        <w:rPr>
          <w:rFonts w:ascii="Arial" w:hAnsi="Arial" w:cs="Arial"/>
          <w:b w:val="0"/>
        </w:rPr>
      </w:pPr>
    </w:p>
    <w:p w14:paraId="61F3107A" w14:textId="77292C01" w:rsidR="007110EC" w:rsidRPr="00607E75" w:rsidRDefault="007110EC" w:rsidP="00441B6F">
      <w:pPr>
        <w:pStyle w:val="Appendix"/>
        <w:spacing w:after="0"/>
        <w:jc w:val="both"/>
        <w:rPr>
          <w:rFonts w:ascii="Arial" w:hAnsi="Arial" w:cs="Arial"/>
          <w:b w:val="0"/>
        </w:rPr>
      </w:pPr>
    </w:p>
    <w:p w14:paraId="7C511949" w14:textId="77777777" w:rsidR="007110EC" w:rsidRPr="00607E75" w:rsidRDefault="007110EC" w:rsidP="00441B6F">
      <w:pPr>
        <w:pStyle w:val="Appendix"/>
        <w:spacing w:after="0"/>
        <w:jc w:val="both"/>
        <w:rPr>
          <w:rFonts w:ascii="Arial" w:hAnsi="Arial" w:cs="Arial"/>
          <w:b w:val="0"/>
        </w:rPr>
      </w:pPr>
    </w:p>
    <w:p w14:paraId="51C38784" w14:textId="77777777" w:rsidR="007110EC" w:rsidRPr="00607E75" w:rsidRDefault="007110EC" w:rsidP="00441B6F">
      <w:pPr>
        <w:pStyle w:val="Appendix"/>
        <w:spacing w:after="0"/>
        <w:jc w:val="both"/>
        <w:rPr>
          <w:rFonts w:ascii="Arial" w:hAnsi="Arial" w:cs="Arial"/>
          <w:b w:val="0"/>
        </w:rPr>
      </w:pPr>
    </w:p>
    <w:p w14:paraId="176DB1E9" w14:textId="77777777" w:rsidR="007110EC" w:rsidRPr="00607E75" w:rsidRDefault="007110EC" w:rsidP="00441B6F">
      <w:pPr>
        <w:pStyle w:val="Appendix"/>
        <w:spacing w:after="0"/>
        <w:jc w:val="both"/>
        <w:rPr>
          <w:rFonts w:ascii="Arial" w:hAnsi="Arial" w:cs="Arial"/>
          <w:b w:val="0"/>
        </w:rPr>
      </w:pPr>
    </w:p>
    <w:p w14:paraId="0C33C0AF" w14:textId="77777777" w:rsidR="007110EC" w:rsidRPr="00607E75" w:rsidRDefault="007110EC" w:rsidP="00441B6F">
      <w:pPr>
        <w:pStyle w:val="Appendix"/>
        <w:spacing w:after="0"/>
        <w:jc w:val="both"/>
        <w:rPr>
          <w:rFonts w:ascii="Arial" w:hAnsi="Arial" w:cs="Arial"/>
          <w:b w:val="0"/>
        </w:rPr>
      </w:pPr>
    </w:p>
    <w:p w14:paraId="16BF7716" w14:textId="77777777" w:rsidR="007110EC" w:rsidRPr="00607E75" w:rsidRDefault="007110EC" w:rsidP="00441B6F">
      <w:pPr>
        <w:pStyle w:val="Appendix"/>
        <w:spacing w:after="0"/>
        <w:jc w:val="both"/>
        <w:rPr>
          <w:rFonts w:ascii="Arial" w:hAnsi="Arial" w:cs="Arial"/>
          <w:b w:val="0"/>
        </w:rPr>
      </w:pPr>
    </w:p>
    <w:p w14:paraId="6CC7031B" w14:textId="77777777" w:rsidR="007110EC" w:rsidRPr="00607E75" w:rsidRDefault="007110EC" w:rsidP="00441B6F">
      <w:pPr>
        <w:pStyle w:val="Appendix"/>
        <w:spacing w:after="0"/>
        <w:jc w:val="both"/>
        <w:rPr>
          <w:rFonts w:ascii="Arial" w:hAnsi="Arial" w:cs="Arial"/>
          <w:b w:val="0"/>
        </w:rPr>
      </w:pPr>
    </w:p>
    <w:p w14:paraId="20A8E70B" w14:textId="77777777" w:rsidR="007110EC" w:rsidRPr="00607E75" w:rsidRDefault="007110EC" w:rsidP="00441B6F">
      <w:pPr>
        <w:pStyle w:val="Appendix"/>
        <w:spacing w:after="0"/>
        <w:jc w:val="both"/>
        <w:rPr>
          <w:rFonts w:ascii="Arial" w:hAnsi="Arial" w:cs="Arial"/>
          <w:b w:val="0"/>
        </w:rPr>
      </w:pPr>
    </w:p>
    <w:p w14:paraId="0386A131" w14:textId="77777777" w:rsidR="007110EC" w:rsidRPr="00607E75" w:rsidRDefault="007110EC" w:rsidP="00441B6F">
      <w:pPr>
        <w:pStyle w:val="Appendix"/>
        <w:spacing w:after="0"/>
        <w:jc w:val="both"/>
        <w:rPr>
          <w:rFonts w:ascii="Arial" w:hAnsi="Arial" w:cs="Arial"/>
          <w:b w:val="0"/>
        </w:rPr>
      </w:pPr>
    </w:p>
    <w:p w14:paraId="6433445F" w14:textId="77777777" w:rsidR="007110EC" w:rsidRPr="00607E75" w:rsidRDefault="007110EC" w:rsidP="00441B6F">
      <w:pPr>
        <w:pStyle w:val="Appendix"/>
        <w:spacing w:after="0"/>
        <w:jc w:val="both"/>
        <w:rPr>
          <w:rFonts w:ascii="Arial" w:hAnsi="Arial" w:cs="Arial"/>
          <w:b w:val="0"/>
        </w:rPr>
      </w:pPr>
    </w:p>
    <w:p w14:paraId="54570CC3" w14:textId="77777777" w:rsidR="007110EC" w:rsidRPr="00607E75" w:rsidRDefault="007110EC" w:rsidP="00441B6F">
      <w:pPr>
        <w:pStyle w:val="Appendix"/>
        <w:spacing w:after="0"/>
        <w:jc w:val="both"/>
        <w:rPr>
          <w:rFonts w:ascii="Arial" w:hAnsi="Arial" w:cs="Arial"/>
          <w:b w:val="0"/>
        </w:rPr>
      </w:pPr>
    </w:p>
    <w:p w14:paraId="6B59C576" w14:textId="77777777" w:rsidR="007110EC" w:rsidRPr="00607E75" w:rsidRDefault="007110EC" w:rsidP="00441B6F">
      <w:pPr>
        <w:pStyle w:val="Appendix"/>
        <w:spacing w:after="0"/>
        <w:jc w:val="both"/>
        <w:rPr>
          <w:rFonts w:ascii="Arial" w:hAnsi="Arial" w:cs="Arial"/>
          <w:b w:val="0"/>
        </w:rPr>
      </w:pPr>
    </w:p>
    <w:p w14:paraId="302AEC59" w14:textId="77777777" w:rsidR="007110EC" w:rsidRPr="00607E75" w:rsidRDefault="007110EC" w:rsidP="00441B6F">
      <w:pPr>
        <w:pStyle w:val="Appendix"/>
        <w:spacing w:after="0"/>
        <w:jc w:val="both"/>
        <w:rPr>
          <w:rFonts w:ascii="Arial" w:hAnsi="Arial" w:cs="Arial"/>
          <w:b w:val="0"/>
        </w:rPr>
      </w:pPr>
    </w:p>
    <w:p w14:paraId="609E3A07" w14:textId="77777777" w:rsidR="007110EC" w:rsidRPr="00607E75" w:rsidRDefault="007110EC" w:rsidP="00441B6F">
      <w:pPr>
        <w:pStyle w:val="Appendix"/>
        <w:spacing w:after="0"/>
        <w:jc w:val="both"/>
        <w:rPr>
          <w:rFonts w:ascii="Arial" w:hAnsi="Arial" w:cs="Arial"/>
          <w:b w:val="0"/>
        </w:rPr>
      </w:pPr>
    </w:p>
    <w:p w14:paraId="55FDB1B3" w14:textId="3ABD0E33" w:rsidR="007110EC" w:rsidRPr="00607E75" w:rsidRDefault="007110EC" w:rsidP="00441B6F">
      <w:pPr>
        <w:pStyle w:val="Appendix"/>
        <w:spacing w:after="0"/>
        <w:jc w:val="both"/>
        <w:rPr>
          <w:rFonts w:ascii="Arial" w:hAnsi="Arial" w:cs="Arial"/>
          <w:b w:val="0"/>
        </w:rPr>
      </w:pPr>
    </w:p>
    <w:p w14:paraId="0D19E513" w14:textId="4EF687DC" w:rsidR="007110EC" w:rsidRPr="00607E75" w:rsidRDefault="007110EC" w:rsidP="00441B6F">
      <w:pPr>
        <w:pStyle w:val="Appendix"/>
        <w:spacing w:after="0"/>
        <w:jc w:val="both"/>
        <w:rPr>
          <w:rFonts w:ascii="Arial" w:hAnsi="Arial" w:cs="Arial"/>
          <w:b w:val="0"/>
        </w:rPr>
      </w:pPr>
    </w:p>
    <w:p w14:paraId="506DA0CC" w14:textId="47F6F73D" w:rsidR="007110EC" w:rsidRPr="00607E75" w:rsidRDefault="007110EC" w:rsidP="00441B6F">
      <w:pPr>
        <w:pStyle w:val="Appendix"/>
        <w:spacing w:after="0"/>
        <w:jc w:val="both"/>
        <w:rPr>
          <w:rFonts w:ascii="Arial" w:hAnsi="Arial" w:cs="Arial"/>
          <w:b w:val="0"/>
        </w:rPr>
      </w:pPr>
    </w:p>
    <w:p w14:paraId="51579C70" w14:textId="77777777" w:rsidR="007110EC" w:rsidRPr="00607E75" w:rsidRDefault="007110EC" w:rsidP="00441B6F">
      <w:pPr>
        <w:pStyle w:val="Appendix"/>
        <w:spacing w:after="0"/>
        <w:jc w:val="both"/>
        <w:rPr>
          <w:rFonts w:ascii="Arial" w:hAnsi="Arial" w:cs="Arial"/>
          <w:b w:val="0"/>
        </w:rPr>
      </w:pPr>
    </w:p>
    <w:p w14:paraId="70D15AE5" w14:textId="252F48BB" w:rsidR="007110EC" w:rsidRPr="00607E75" w:rsidRDefault="007110EC" w:rsidP="00441B6F">
      <w:pPr>
        <w:pStyle w:val="Appendix"/>
        <w:spacing w:after="0"/>
        <w:jc w:val="both"/>
        <w:rPr>
          <w:rFonts w:ascii="Arial" w:hAnsi="Arial" w:cs="Arial"/>
          <w:b w:val="0"/>
        </w:rPr>
      </w:pPr>
    </w:p>
    <w:p w14:paraId="2EAC358C" w14:textId="114E8965" w:rsidR="007110EC" w:rsidRPr="00607E75" w:rsidRDefault="007110EC" w:rsidP="00441B6F">
      <w:pPr>
        <w:pStyle w:val="Appendix"/>
        <w:spacing w:after="0"/>
        <w:jc w:val="both"/>
        <w:rPr>
          <w:rFonts w:ascii="Arial" w:hAnsi="Arial" w:cs="Arial"/>
          <w:b w:val="0"/>
        </w:rPr>
      </w:pPr>
    </w:p>
    <w:p w14:paraId="3E9F8C9C" w14:textId="77777777" w:rsidR="007110EC" w:rsidRPr="00607E75" w:rsidRDefault="007110EC" w:rsidP="00441B6F">
      <w:pPr>
        <w:pStyle w:val="Appendix"/>
        <w:spacing w:after="0"/>
        <w:jc w:val="both"/>
        <w:rPr>
          <w:rFonts w:ascii="Arial" w:hAnsi="Arial" w:cs="Arial"/>
          <w:b w:val="0"/>
        </w:rPr>
      </w:pPr>
    </w:p>
    <w:p w14:paraId="161F2964" w14:textId="781B6B49" w:rsidR="007110EC" w:rsidRPr="00607E75" w:rsidRDefault="007110EC" w:rsidP="00441B6F">
      <w:pPr>
        <w:pStyle w:val="Appendix"/>
        <w:spacing w:after="0"/>
        <w:jc w:val="both"/>
        <w:rPr>
          <w:rFonts w:ascii="Arial" w:hAnsi="Arial" w:cs="Arial"/>
          <w:b w:val="0"/>
        </w:rPr>
      </w:pPr>
    </w:p>
    <w:p w14:paraId="649843DA" w14:textId="77777777" w:rsidR="007110EC" w:rsidRPr="00607E75" w:rsidRDefault="007110EC" w:rsidP="00441B6F">
      <w:pPr>
        <w:pStyle w:val="Appendix"/>
        <w:spacing w:after="0"/>
        <w:jc w:val="both"/>
        <w:rPr>
          <w:rFonts w:ascii="Arial" w:hAnsi="Arial" w:cs="Arial"/>
          <w:b w:val="0"/>
        </w:rPr>
      </w:pPr>
    </w:p>
    <w:p w14:paraId="7204FB63" w14:textId="51212C23" w:rsidR="007110EC" w:rsidRPr="00607E75" w:rsidRDefault="007110EC" w:rsidP="00441B6F">
      <w:pPr>
        <w:pStyle w:val="Appendix"/>
        <w:spacing w:after="0"/>
        <w:jc w:val="both"/>
        <w:rPr>
          <w:rFonts w:ascii="Arial" w:hAnsi="Arial" w:cs="Arial"/>
          <w:b w:val="0"/>
        </w:rPr>
      </w:pPr>
    </w:p>
    <w:p w14:paraId="238490E7" w14:textId="77777777" w:rsidR="007110EC" w:rsidRPr="00607E75" w:rsidRDefault="007110EC" w:rsidP="00441B6F">
      <w:pPr>
        <w:pStyle w:val="Appendix"/>
        <w:spacing w:after="0"/>
        <w:jc w:val="both"/>
        <w:rPr>
          <w:rFonts w:ascii="Arial" w:hAnsi="Arial" w:cs="Arial"/>
          <w:b w:val="0"/>
        </w:rPr>
      </w:pPr>
    </w:p>
    <w:p w14:paraId="3883D534" w14:textId="1C3A595B" w:rsidR="007110EC" w:rsidRPr="00607E75" w:rsidRDefault="007110EC" w:rsidP="00441B6F">
      <w:pPr>
        <w:pStyle w:val="Appendix"/>
        <w:spacing w:after="0"/>
        <w:jc w:val="both"/>
        <w:rPr>
          <w:rFonts w:ascii="Arial" w:hAnsi="Arial" w:cs="Arial"/>
          <w:b w:val="0"/>
        </w:rPr>
      </w:pPr>
    </w:p>
    <w:p w14:paraId="688D00E7" w14:textId="77777777" w:rsidR="007110EC" w:rsidRPr="00607E75" w:rsidRDefault="007110EC" w:rsidP="00441B6F">
      <w:pPr>
        <w:pStyle w:val="Appendix"/>
        <w:spacing w:after="0"/>
        <w:jc w:val="both"/>
        <w:rPr>
          <w:rFonts w:ascii="Arial" w:hAnsi="Arial" w:cs="Arial"/>
          <w:b w:val="0"/>
        </w:rPr>
      </w:pPr>
    </w:p>
    <w:p w14:paraId="5A648AB6" w14:textId="77777777" w:rsidR="007110EC" w:rsidRPr="00607E75" w:rsidRDefault="007110EC" w:rsidP="00441B6F">
      <w:pPr>
        <w:pStyle w:val="Appendix"/>
        <w:spacing w:after="0"/>
        <w:jc w:val="both"/>
        <w:rPr>
          <w:rFonts w:ascii="Arial" w:hAnsi="Arial" w:cs="Arial"/>
          <w:b w:val="0"/>
        </w:rPr>
      </w:pPr>
    </w:p>
    <w:p w14:paraId="111E46AE" w14:textId="59897FEC" w:rsidR="007110EC" w:rsidRPr="00607E75" w:rsidRDefault="007110EC" w:rsidP="00441B6F">
      <w:pPr>
        <w:pStyle w:val="Appendix"/>
        <w:spacing w:after="0"/>
        <w:jc w:val="both"/>
        <w:rPr>
          <w:rFonts w:ascii="Arial" w:hAnsi="Arial" w:cs="Arial"/>
          <w:b w:val="0"/>
        </w:rPr>
      </w:pPr>
    </w:p>
    <w:p w14:paraId="43A24188" w14:textId="77777777" w:rsidR="007110EC" w:rsidRPr="00607E75" w:rsidRDefault="007110EC" w:rsidP="00441B6F">
      <w:pPr>
        <w:pStyle w:val="Appendix"/>
        <w:spacing w:after="0"/>
        <w:jc w:val="both"/>
        <w:rPr>
          <w:rFonts w:ascii="Arial" w:hAnsi="Arial" w:cs="Arial"/>
          <w:b w:val="0"/>
        </w:rPr>
      </w:pPr>
    </w:p>
    <w:p w14:paraId="358A7549" w14:textId="77777777" w:rsidR="007110EC" w:rsidRPr="00607E75" w:rsidRDefault="007110EC" w:rsidP="00441B6F">
      <w:pPr>
        <w:pStyle w:val="Appendix"/>
        <w:spacing w:after="0"/>
        <w:jc w:val="both"/>
        <w:rPr>
          <w:rFonts w:ascii="Arial" w:hAnsi="Arial" w:cs="Arial"/>
          <w:b w:val="0"/>
        </w:rPr>
      </w:pPr>
    </w:p>
    <w:p w14:paraId="3B6839C0" w14:textId="77777777" w:rsidR="007110EC" w:rsidRPr="00607E75" w:rsidRDefault="007110EC" w:rsidP="00441B6F">
      <w:pPr>
        <w:pStyle w:val="Appendix"/>
        <w:spacing w:after="0"/>
        <w:jc w:val="both"/>
        <w:rPr>
          <w:rFonts w:ascii="Arial" w:hAnsi="Arial" w:cs="Arial"/>
          <w:b w:val="0"/>
        </w:rPr>
      </w:pPr>
    </w:p>
    <w:p w14:paraId="54520A84" w14:textId="093CFF2D" w:rsidR="007110EC" w:rsidRPr="00607E75" w:rsidRDefault="007110EC" w:rsidP="00441B6F">
      <w:pPr>
        <w:pStyle w:val="Appendix"/>
        <w:spacing w:after="0"/>
        <w:jc w:val="both"/>
        <w:rPr>
          <w:rFonts w:ascii="Arial" w:hAnsi="Arial" w:cs="Arial"/>
          <w:b w:val="0"/>
        </w:rPr>
      </w:pPr>
    </w:p>
    <w:p w14:paraId="50BBE1E8" w14:textId="77777777" w:rsidR="007110EC" w:rsidRPr="00607E75" w:rsidRDefault="007110EC" w:rsidP="00441B6F">
      <w:pPr>
        <w:pStyle w:val="Appendix"/>
        <w:spacing w:after="0"/>
        <w:jc w:val="both"/>
        <w:rPr>
          <w:rFonts w:ascii="Arial" w:hAnsi="Arial" w:cs="Arial"/>
          <w:b w:val="0"/>
        </w:rPr>
      </w:pPr>
    </w:p>
    <w:p w14:paraId="28C729D5" w14:textId="77777777" w:rsidR="007110EC" w:rsidRPr="00607E75" w:rsidRDefault="007110EC" w:rsidP="00441B6F">
      <w:pPr>
        <w:pStyle w:val="Appendix"/>
        <w:spacing w:after="0"/>
        <w:jc w:val="both"/>
        <w:rPr>
          <w:rFonts w:ascii="Arial" w:hAnsi="Arial" w:cs="Arial"/>
          <w:b w:val="0"/>
        </w:rPr>
      </w:pPr>
    </w:p>
    <w:p w14:paraId="27A64206" w14:textId="77777777" w:rsidR="007110EC" w:rsidRPr="00607E75" w:rsidRDefault="007110EC" w:rsidP="00441B6F">
      <w:pPr>
        <w:pStyle w:val="Appendix"/>
        <w:spacing w:after="0"/>
        <w:jc w:val="both"/>
        <w:rPr>
          <w:rFonts w:ascii="Arial" w:hAnsi="Arial" w:cs="Arial"/>
          <w:b w:val="0"/>
        </w:rPr>
      </w:pPr>
    </w:p>
    <w:p w14:paraId="604C9BF4" w14:textId="77777777" w:rsidR="007110EC" w:rsidRPr="00607E75" w:rsidRDefault="007110EC" w:rsidP="00441B6F">
      <w:pPr>
        <w:pStyle w:val="Appendix"/>
        <w:spacing w:after="0"/>
        <w:jc w:val="both"/>
        <w:rPr>
          <w:rFonts w:ascii="Arial" w:hAnsi="Arial" w:cs="Arial"/>
          <w:b w:val="0"/>
        </w:rPr>
      </w:pPr>
    </w:p>
    <w:p w14:paraId="6FB5A28D" w14:textId="77777777" w:rsidR="007110EC" w:rsidRPr="00607E75" w:rsidRDefault="007110EC" w:rsidP="00441B6F">
      <w:pPr>
        <w:pStyle w:val="Appendix"/>
        <w:spacing w:after="0"/>
        <w:jc w:val="both"/>
        <w:rPr>
          <w:rFonts w:ascii="Arial" w:hAnsi="Arial" w:cs="Arial"/>
          <w:b w:val="0"/>
        </w:rPr>
      </w:pPr>
    </w:p>
    <w:p w14:paraId="229BF638" w14:textId="5FCE2F5A" w:rsidR="007110EC" w:rsidRPr="00607E75" w:rsidRDefault="007110EC" w:rsidP="00441B6F">
      <w:pPr>
        <w:pStyle w:val="Appendix"/>
        <w:spacing w:after="0"/>
        <w:jc w:val="both"/>
        <w:rPr>
          <w:rFonts w:ascii="Arial" w:hAnsi="Arial" w:cs="Arial"/>
          <w:b w:val="0"/>
        </w:rPr>
      </w:pPr>
    </w:p>
    <w:p w14:paraId="05E3D4E2" w14:textId="77777777" w:rsidR="007110EC" w:rsidRPr="00607E75" w:rsidRDefault="007110EC" w:rsidP="00441B6F">
      <w:pPr>
        <w:pStyle w:val="Appendix"/>
        <w:spacing w:after="0"/>
        <w:jc w:val="both"/>
        <w:rPr>
          <w:rFonts w:ascii="Arial" w:hAnsi="Arial" w:cs="Arial"/>
          <w:b w:val="0"/>
        </w:rPr>
      </w:pPr>
    </w:p>
    <w:p w14:paraId="222D86BD" w14:textId="77777777" w:rsidR="007110EC" w:rsidRPr="00607E75" w:rsidRDefault="007110EC" w:rsidP="00441B6F">
      <w:pPr>
        <w:pStyle w:val="Appendix"/>
        <w:spacing w:after="0"/>
        <w:jc w:val="both"/>
        <w:rPr>
          <w:rFonts w:ascii="Arial" w:hAnsi="Arial" w:cs="Arial"/>
          <w:b w:val="0"/>
        </w:rPr>
      </w:pPr>
    </w:p>
    <w:p w14:paraId="7F913F48" w14:textId="77777777" w:rsidR="007110EC" w:rsidRPr="00607E75" w:rsidRDefault="007110EC" w:rsidP="00441B6F">
      <w:pPr>
        <w:pStyle w:val="Appendix"/>
        <w:spacing w:after="0"/>
        <w:jc w:val="both"/>
        <w:rPr>
          <w:rFonts w:ascii="Arial" w:hAnsi="Arial" w:cs="Arial"/>
          <w:b w:val="0"/>
        </w:rPr>
      </w:pPr>
    </w:p>
    <w:p w14:paraId="35A1AB76" w14:textId="77777777" w:rsidR="007110EC" w:rsidRPr="00607E75" w:rsidRDefault="007110EC" w:rsidP="00441B6F">
      <w:pPr>
        <w:pStyle w:val="Appendix"/>
        <w:spacing w:after="0"/>
        <w:jc w:val="both"/>
        <w:rPr>
          <w:rFonts w:ascii="Arial" w:hAnsi="Arial" w:cs="Arial"/>
          <w:b w:val="0"/>
        </w:rPr>
      </w:pPr>
    </w:p>
    <w:p w14:paraId="626588D2" w14:textId="77777777" w:rsidR="007110EC" w:rsidRPr="00607E75" w:rsidRDefault="007110EC" w:rsidP="00441B6F">
      <w:pPr>
        <w:pStyle w:val="Appendix"/>
        <w:spacing w:after="0"/>
        <w:jc w:val="both"/>
        <w:rPr>
          <w:rFonts w:ascii="Arial" w:hAnsi="Arial" w:cs="Arial"/>
          <w:b w:val="0"/>
        </w:rPr>
      </w:pPr>
    </w:p>
    <w:p w14:paraId="20B6AF13" w14:textId="77777777" w:rsidR="007110EC" w:rsidRPr="00607E75" w:rsidRDefault="007110EC" w:rsidP="00441B6F">
      <w:pPr>
        <w:pStyle w:val="Appendix"/>
        <w:spacing w:after="0"/>
        <w:jc w:val="both"/>
        <w:rPr>
          <w:rFonts w:ascii="Arial" w:hAnsi="Arial" w:cs="Arial"/>
          <w:b w:val="0"/>
        </w:rPr>
      </w:pPr>
    </w:p>
    <w:p w14:paraId="78159A5C" w14:textId="77777777" w:rsidR="007110EC" w:rsidRPr="00607E75" w:rsidRDefault="007110EC" w:rsidP="00441B6F">
      <w:pPr>
        <w:pStyle w:val="Appendix"/>
        <w:spacing w:after="0"/>
        <w:jc w:val="both"/>
        <w:rPr>
          <w:rFonts w:ascii="Arial" w:hAnsi="Arial" w:cs="Arial"/>
          <w:b w:val="0"/>
        </w:rPr>
      </w:pPr>
    </w:p>
    <w:p w14:paraId="7FFD97E1" w14:textId="77777777" w:rsidR="007110EC" w:rsidRPr="00607E75" w:rsidRDefault="007110EC" w:rsidP="00441B6F">
      <w:pPr>
        <w:pStyle w:val="Appendix"/>
        <w:spacing w:after="0"/>
        <w:jc w:val="both"/>
        <w:rPr>
          <w:rFonts w:ascii="Arial" w:hAnsi="Arial" w:cs="Arial"/>
          <w:b w:val="0"/>
        </w:rPr>
      </w:pPr>
    </w:p>
    <w:p w14:paraId="64F91947" w14:textId="77777777" w:rsidR="007110EC" w:rsidRPr="00607E75" w:rsidRDefault="007110EC" w:rsidP="00441B6F">
      <w:pPr>
        <w:pStyle w:val="Appendix"/>
        <w:spacing w:after="0"/>
        <w:jc w:val="both"/>
        <w:rPr>
          <w:rFonts w:ascii="Arial" w:hAnsi="Arial" w:cs="Arial"/>
          <w:b w:val="0"/>
        </w:rPr>
      </w:pPr>
    </w:p>
    <w:p w14:paraId="6AF4F2C4" w14:textId="77777777" w:rsidR="007110EC" w:rsidRPr="00607E75" w:rsidRDefault="007110EC" w:rsidP="00441B6F">
      <w:pPr>
        <w:pStyle w:val="Appendix"/>
        <w:spacing w:after="0"/>
        <w:jc w:val="both"/>
        <w:rPr>
          <w:rFonts w:ascii="Arial" w:hAnsi="Arial" w:cs="Arial"/>
          <w:b w:val="0"/>
        </w:rPr>
      </w:pPr>
    </w:p>
    <w:p w14:paraId="24C98DA6" w14:textId="77777777" w:rsidR="007110EC" w:rsidRPr="00607E75" w:rsidRDefault="007110EC" w:rsidP="00441B6F">
      <w:pPr>
        <w:pStyle w:val="Appendix"/>
        <w:spacing w:after="0"/>
        <w:jc w:val="both"/>
        <w:rPr>
          <w:rFonts w:ascii="Arial" w:hAnsi="Arial" w:cs="Arial"/>
          <w:b w:val="0"/>
        </w:rPr>
      </w:pPr>
    </w:p>
    <w:p w14:paraId="041B30CD" w14:textId="77777777" w:rsidR="007110EC" w:rsidRPr="00607E75" w:rsidRDefault="007110EC" w:rsidP="00441B6F">
      <w:pPr>
        <w:pStyle w:val="Appendix"/>
        <w:spacing w:after="0"/>
        <w:jc w:val="both"/>
        <w:rPr>
          <w:rFonts w:ascii="Arial" w:hAnsi="Arial" w:cs="Arial"/>
          <w:b w:val="0"/>
        </w:rPr>
      </w:pPr>
    </w:p>
    <w:p w14:paraId="6A1CDB6A" w14:textId="77777777" w:rsidR="007110EC" w:rsidRPr="00607E75" w:rsidRDefault="007110EC" w:rsidP="00441B6F">
      <w:pPr>
        <w:pStyle w:val="Appendix"/>
        <w:spacing w:after="0"/>
        <w:jc w:val="both"/>
        <w:rPr>
          <w:rFonts w:ascii="Arial" w:hAnsi="Arial" w:cs="Arial"/>
          <w:b w:val="0"/>
        </w:rPr>
      </w:pPr>
    </w:p>
    <w:p w14:paraId="031DDEE6" w14:textId="77777777" w:rsidR="007110EC" w:rsidRPr="00607E75" w:rsidRDefault="007110EC" w:rsidP="00441B6F">
      <w:pPr>
        <w:pStyle w:val="Appendix"/>
        <w:spacing w:after="0"/>
        <w:jc w:val="both"/>
        <w:rPr>
          <w:rFonts w:ascii="Arial" w:hAnsi="Arial" w:cs="Arial"/>
          <w:b w:val="0"/>
        </w:rPr>
      </w:pPr>
    </w:p>
    <w:p w14:paraId="476C27EE" w14:textId="77777777" w:rsidR="007110EC" w:rsidRPr="00607E75" w:rsidRDefault="007110EC" w:rsidP="00441B6F">
      <w:pPr>
        <w:pStyle w:val="Appendix"/>
        <w:spacing w:after="0"/>
        <w:jc w:val="both"/>
        <w:rPr>
          <w:rFonts w:ascii="Arial" w:hAnsi="Arial" w:cs="Arial"/>
          <w:b w:val="0"/>
        </w:rPr>
      </w:pPr>
    </w:p>
    <w:p w14:paraId="1E3A7421" w14:textId="77777777" w:rsidR="007110EC" w:rsidRPr="00607E75" w:rsidRDefault="007110EC" w:rsidP="00441B6F">
      <w:pPr>
        <w:pStyle w:val="Appendix"/>
        <w:spacing w:after="0"/>
        <w:jc w:val="both"/>
        <w:rPr>
          <w:rFonts w:ascii="Arial" w:hAnsi="Arial" w:cs="Arial"/>
          <w:b w:val="0"/>
        </w:rPr>
      </w:pPr>
    </w:p>
    <w:p w14:paraId="4DA482F1" w14:textId="77777777" w:rsidR="007110EC" w:rsidRPr="00607E75" w:rsidRDefault="007110EC" w:rsidP="00441B6F">
      <w:pPr>
        <w:pStyle w:val="Appendix"/>
        <w:spacing w:after="0"/>
        <w:jc w:val="both"/>
        <w:rPr>
          <w:rFonts w:ascii="Arial" w:hAnsi="Arial" w:cs="Arial"/>
          <w:b w:val="0"/>
        </w:rPr>
      </w:pPr>
    </w:p>
    <w:p w14:paraId="17EDAB35" w14:textId="77777777" w:rsidR="007110EC" w:rsidRPr="00607E75" w:rsidRDefault="007110EC" w:rsidP="00441B6F">
      <w:pPr>
        <w:pStyle w:val="Appendix"/>
        <w:spacing w:after="0"/>
        <w:jc w:val="both"/>
        <w:rPr>
          <w:rFonts w:ascii="Arial" w:hAnsi="Arial" w:cs="Arial"/>
          <w:b w:val="0"/>
        </w:rPr>
      </w:pPr>
    </w:p>
    <w:p w14:paraId="25310C68" w14:textId="77777777" w:rsidR="007110EC" w:rsidRPr="00607E75" w:rsidRDefault="007110EC" w:rsidP="00441B6F">
      <w:pPr>
        <w:pStyle w:val="Appendix"/>
        <w:spacing w:after="0"/>
        <w:jc w:val="both"/>
        <w:rPr>
          <w:rFonts w:ascii="Arial" w:hAnsi="Arial" w:cs="Arial"/>
          <w:b w:val="0"/>
        </w:rPr>
      </w:pPr>
    </w:p>
    <w:p w14:paraId="5FE1C0F0" w14:textId="77777777" w:rsidR="007110EC" w:rsidRPr="00607E75" w:rsidRDefault="007110EC" w:rsidP="00441B6F">
      <w:pPr>
        <w:pStyle w:val="Appendix"/>
        <w:spacing w:after="0"/>
        <w:jc w:val="both"/>
        <w:rPr>
          <w:rFonts w:ascii="Arial" w:hAnsi="Arial" w:cs="Arial"/>
          <w:b w:val="0"/>
        </w:rPr>
      </w:pPr>
    </w:p>
    <w:p w14:paraId="426D8D5B" w14:textId="77777777" w:rsidR="007110EC" w:rsidRPr="00607E75" w:rsidRDefault="007110EC" w:rsidP="00441B6F">
      <w:pPr>
        <w:pStyle w:val="Appendix"/>
        <w:spacing w:after="0"/>
        <w:jc w:val="both"/>
        <w:rPr>
          <w:rFonts w:ascii="Arial" w:hAnsi="Arial" w:cs="Arial"/>
          <w:b w:val="0"/>
        </w:rPr>
      </w:pPr>
    </w:p>
    <w:p w14:paraId="178AEED4" w14:textId="77777777" w:rsidR="007110EC" w:rsidRPr="00607E75" w:rsidRDefault="007110EC" w:rsidP="00441B6F">
      <w:pPr>
        <w:pStyle w:val="Appendix"/>
        <w:spacing w:after="0"/>
        <w:jc w:val="both"/>
        <w:rPr>
          <w:rFonts w:ascii="Arial" w:hAnsi="Arial" w:cs="Arial"/>
          <w:b w:val="0"/>
        </w:rPr>
      </w:pPr>
    </w:p>
    <w:p w14:paraId="1FF6BF32" w14:textId="77777777" w:rsidR="007110EC" w:rsidRPr="00607E75" w:rsidRDefault="007110EC" w:rsidP="00441B6F">
      <w:pPr>
        <w:pStyle w:val="Appendix"/>
        <w:spacing w:after="0"/>
        <w:jc w:val="both"/>
        <w:rPr>
          <w:rFonts w:ascii="Arial" w:hAnsi="Arial" w:cs="Arial"/>
          <w:b w:val="0"/>
        </w:rPr>
      </w:pPr>
    </w:p>
    <w:p w14:paraId="024D0B57" w14:textId="77777777" w:rsidR="007110EC" w:rsidRPr="00607E75" w:rsidRDefault="007110EC" w:rsidP="00441B6F">
      <w:pPr>
        <w:pStyle w:val="Appendix"/>
        <w:spacing w:after="0"/>
        <w:jc w:val="both"/>
        <w:rPr>
          <w:rFonts w:ascii="Arial" w:hAnsi="Arial" w:cs="Arial"/>
          <w:b w:val="0"/>
        </w:rPr>
      </w:pPr>
    </w:p>
    <w:p w14:paraId="0C4584D3" w14:textId="77777777" w:rsidR="007110EC" w:rsidRPr="00607E75" w:rsidRDefault="007110EC" w:rsidP="00441B6F">
      <w:pPr>
        <w:pStyle w:val="Appendix"/>
        <w:spacing w:after="0"/>
        <w:jc w:val="both"/>
        <w:rPr>
          <w:rFonts w:ascii="Arial" w:hAnsi="Arial" w:cs="Arial"/>
          <w:b w:val="0"/>
        </w:rPr>
      </w:pPr>
    </w:p>
    <w:p w14:paraId="45227C05" w14:textId="77777777" w:rsidR="007110EC" w:rsidRPr="00607E75" w:rsidRDefault="007110EC" w:rsidP="00441B6F">
      <w:pPr>
        <w:pStyle w:val="Appendix"/>
        <w:spacing w:after="0"/>
        <w:jc w:val="both"/>
        <w:rPr>
          <w:rFonts w:ascii="Arial" w:hAnsi="Arial" w:cs="Arial"/>
          <w:b w:val="0"/>
        </w:rPr>
      </w:pPr>
    </w:p>
    <w:p w14:paraId="6918F130" w14:textId="77777777" w:rsidR="007110EC" w:rsidRPr="00607E75" w:rsidRDefault="007110EC" w:rsidP="00441B6F">
      <w:pPr>
        <w:pStyle w:val="Appendix"/>
        <w:spacing w:after="0"/>
        <w:jc w:val="both"/>
        <w:rPr>
          <w:rFonts w:ascii="Arial" w:hAnsi="Arial" w:cs="Arial"/>
          <w:b w:val="0"/>
        </w:rPr>
      </w:pPr>
    </w:p>
    <w:p w14:paraId="199BAC39" w14:textId="77777777" w:rsidR="007110EC" w:rsidRPr="00607E75" w:rsidRDefault="007110EC" w:rsidP="00441B6F">
      <w:pPr>
        <w:pStyle w:val="Appendix"/>
        <w:spacing w:after="0"/>
        <w:jc w:val="both"/>
        <w:rPr>
          <w:rFonts w:ascii="Arial" w:hAnsi="Arial" w:cs="Arial"/>
          <w:b w:val="0"/>
        </w:rPr>
      </w:pPr>
    </w:p>
    <w:p w14:paraId="74DA1297" w14:textId="77777777" w:rsidR="007110EC" w:rsidRPr="00607E75" w:rsidRDefault="007110EC" w:rsidP="00441B6F">
      <w:pPr>
        <w:pStyle w:val="Appendix"/>
        <w:spacing w:after="0"/>
        <w:jc w:val="both"/>
        <w:rPr>
          <w:rFonts w:ascii="Arial" w:hAnsi="Arial" w:cs="Arial"/>
          <w:b w:val="0"/>
        </w:rPr>
      </w:pPr>
    </w:p>
    <w:p w14:paraId="2ED3E264" w14:textId="77777777" w:rsidR="007110EC" w:rsidRPr="00607E75" w:rsidRDefault="007110EC" w:rsidP="00441B6F">
      <w:pPr>
        <w:pStyle w:val="Appendix"/>
        <w:spacing w:after="0"/>
        <w:jc w:val="both"/>
        <w:rPr>
          <w:rFonts w:ascii="Arial" w:hAnsi="Arial" w:cs="Arial"/>
          <w:b w:val="0"/>
        </w:rPr>
      </w:pPr>
    </w:p>
    <w:p w14:paraId="14C58A16" w14:textId="77777777" w:rsidR="007110EC" w:rsidRPr="00607E75" w:rsidRDefault="007110EC" w:rsidP="00441B6F">
      <w:pPr>
        <w:pStyle w:val="Appendix"/>
        <w:spacing w:after="0"/>
        <w:jc w:val="both"/>
        <w:rPr>
          <w:rFonts w:ascii="Arial" w:hAnsi="Arial" w:cs="Arial"/>
          <w:b w:val="0"/>
        </w:rPr>
      </w:pPr>
    </w:p>
    <w:p w14:paraId="752B027C" w14:textId="78D0B8AE" w:rsidR="007110EC" w:rsidRPr="00607E75" w:rsidRDefault="007110EC" w:rsidP="00441B6F">
      <w:pPr>
        <w:pStyle w:val="Appendix"/>
        <w:spacing w:after="0"/>
        <w:jc w:val="both"/>
        <w:rPr>
          <w:rFonts w:ascii="Arial" w:hAnsi="Arial" w:cs="Arial"/>
          <w:b w:val="0"/>
        </w:rPr>
      </w:pPr>
    </w:p>
    <w:p w14:paraId="5529E059" w14:textId="77777777" w:rsidR="007110EC" w:rsidRPr="00607E75" w:rsidRDefault="007110EC" w:rsidP="00441B6F">
      <w:pPr>
        <w:pStyle w:val="Appendix"/>
        <w:spacing w:after="0"/>
        <w:jc w:val="both"/>
        <w:rPr>
          <w:rFonts w:ascii="Arial" w:hAnsi="Arial" w:cs="Arial"/>
          <w:b w:val="0"/>
        </w:rPr>
      </w:pPr>
    </w:p>
    <w:p w14:paraId="799620A8" w14:textId="6877B015" w:rsidR="007110EC" w:rsidRPr="00607E75" w:rsidRDefault="007110EC" w:rsidP="00441B6F">
      <w:pPr>
        <w:pStyle w:val="Appendix"/>
        <w:spacing w:after="0"/>
        <w:jc w:val="both"/>
        <w:rPr>
          <w:rFonts w:ascii="Arial" w:hAnsi="Arial" w:cs="Arial"/>
          <w:b w:val="0"/>
        </w:rPr>
      </w:pPr>
    </w:p>
    <w:p w14:paraId="051088B7" w14:textId="77777777" w:rsidR="007110EC" w:rsidRPr="00607E75" w:rsidRDefault="007110EC" w:rsidP="00441B6F">
      <w:pPr>
        <w:pStyle w:val="Appendix"/>
        <w:spacing w:after="0"/>
        <w:jc w:val="both"/>
        <w:rPr>
          <w:rFonts w:ascii="Arial" w:hAnsi="Arial" w:cs="Arial"/>
          <w:b w:val="0"/>
        </w:rPr>
      </w:pPr>
    </w:p>
    <w:p w14:paraId="13A466FC" w14:textId="77777777" w:rsidR="007110EC" w:rsidRPr="00607E75" w:rsidRDefault="007110EC" w:rsidP="00441B6F">
      <w:pPr>
        <w:pStyle w:val="Appendix"/>
        <w:spacing w:after="0"/>
        <w:jc w:val="both"/>
        <w:rPr>
          <w:rFonts w:ascii="Arial" w:hAnsi="Arial" w:cs="Arial"/>
          <w:b w:val="0"/>
        </w:rPr>
      </w:pPr>
    </w:p>
    <w:p w14:paraId="3DA2A71B" w14:textId="77777777" w:rsidR="007110EC" w:rsidRPr="00607E75" w:rsidRDefault="007110EC" w:rsidP="00441B6F">
      <w:pPr>
        <w:pStyle w:val="Appendix"/>
        <w:spacing w:after="0"/>
        <w:jc w:val="both"/>
        <w:rPr>
          <w:rFonts w:ascii="Arial" w:hAnsi="Arial" w:cs="Arial"/>
          <w:b w:val="0"/>
        </w:rPr>
      </w:pPr>
    </w:p>
    <w:p w14:paraId="4DBD1D7E" w14:textId="215F093B" w:rsidR="007110EC" w:rsidRPr="00607E75" w:rsidRDefault="007110EC" w:rsidP="00441B6F">
      <w:pPr>
        <w:pStyle w:val="Appendix"/>
        <w:spacing w:after="0"/>
        <w:jc w:val="both"/>
        <w:rPr>
          <w:rFonts w:ascii="Arial" w:hAnsi="Arial" w:cs="Arial"/>
          <w:b w:val="0"/>
        </w:rPr>
      </w:pPr>
    </w:p>
    <w:p w14:paraId="7F0AC689" w14:textId="77777777" w:rsidR="007110EC" w:rsidRPr="00607E75" w:rsidRDefault="007110EC" w:rsidP="00441B6F">
      <w:pPr>
        <w:pStyle w:val="Appendix"/>
        <w:spacing w:after="0"/>
        <w:jc w:val="both"/>
        <w:rPr>
          <w:rFonts w:ascii="Arial" w:hAnsi="Arial" w:cs="Arial"/>
          <w:b w:val="0"/>
        </w:rPr>
      </w:pPr>
    </w:p>
    <w:p w14:paraId="311D0B05" w14:textId="77777777" w:rsidR="007110EC" w:rsidRPr="00607E75" w:rsidRDefault="007110EC" w:rsidP="00441B6F">
      <w:pPr>
        <w:pStyle w:val="Appendix"/>
        <w:spacing w:after="0"/>
        <w:jc w:val="both"/>
        <w:rPr>
          <w:rFonts w:ascii="Arial" w:hAnsi="Arial" w:cs="Arial"/>
          <w:b w:val="0"/>
        </w:rPr>
      </w:pPr>
    </w:p>
    <w:p w14:paraId="4AE43A42" w14:textId="77777777" w:rsidR="007110EC" w:rsidRPr="00607E75" w:rsidRDefault="007110EC" w:rsidP="00441B6F">
      <w:pPr>
        <w:pStyle w:val="Appendix"/>
        <w:spacing w:after="0"/>
        <w:jc w:val="both"/>
        <w:rPr>
          <w:rFonts w:ascii="Arial" w:hAnsi="Arial" w:cs="Arial"/>
          <w:b w:val="0"/>
        </w:rPr>
      </w:pPr>
    </w:p>
    <w:p w14:paraId="695B68D8" w14:textId="2D0BBB79" w:rsidR="007110EC" w:rsidRPr="00607E75" w:rsidRDefault="007110EC" w:rsidP="00441B6F">
      <w:pPr>
        <w:pStyle w:val="Appendix"/>
        <w:spacing w:after="0"/>
        <w:jc w:val="both"/>
        <w:rPr>
          <w:rFonts w:ascii="Arial" w:hAnsi="Arial" w:cs="Arial"/>
          <w:b w:val="0"/>
        </w:rPr>
      </w:pPr>
    </w:p>
    <w:p w14:paraId="1E6DC161" w14:textId="06CA474C" w:rsidR="007110EC" w:rsidRPr="00607E75" w:rsidRDefault="007110EC" w:rsidP="00441B6F">
      <w:pPr>
        <w:pStyle w:val="Appendix"/>
        <w:spacing w:after="0"/>
        <w:jc w:val="both"/>
        <w:rPr>
          <w:rFonts w:ascii="Arial" w:hAnsi="Arial" w:cs="Arial"/>
          <w:b w:val="0"/>
        </w:rPr>
      </w:pPr>
    </w:p>
    <w:p w14:paraId="5064AFB3" w14:textId="77777777" w:rsidR="007110EC" w:rsidRPr="00607E75" w:rsidRDefault="007110EC" w:rsidP="00441B6F">
      <w:pPr>
        <w:pStyle w:val="Appendix"/>
        <w:spacing w:after="0"/>
        <w:jc w:val="both"/>
        <w:rPr>
          <w:rFonts w:ascii="Arial" w:hAnsi="Arial" w:cs="Arial"/>
          <w:b w:val="0"/>
        </w:rPr>
      </w:pPr>
    </w:p>
    <w:p w14:paraId="299E21A3" w14:textId="0CBB6F72" w:rsidR="007110EC" w:rsidRPr="00607E75" w:rsidRDefault="007110EC" w:rsidP="00441B6F">
      <w:pPr>
        <w:pStyle w:val="Appendix"/>
        <w:spacing w:after="0"/>
        <w:jc w:val="both"/>
        <w:rPr>
          <w:rFonts w:ascii="Arial" w:hAnsi="Arial" w:cs="Arial"/>
          <w:b w:val="0"/>
        </w:rPr>
      </w:pPr>
    </w:p>
    <w:p w14:paraId="01ED9401" w14:textId="77777777" w:rsidR="007110EC" w:rsidRPr="00607E75" w:rsidRDefault="007110EC" w:rsidP="00441B6F">
      <w:pPr>
        <w:pStyle w:val="Appendix"/>
        <w:spacing w:after="0"/>
        <w:jc w:val="both"/>
        <w:rPr>
          <w:rFonts w:ascii="Arial" w:hAnsi="Arial" w:cs="Arial"/>
          <w:b w:val="0"/>
        </w:rPr>
      </w:pPr>
    </w:p>
    <w:p w14:paraId="23957F97" w14:textId="350DC02D" w:rsidR="007110EC" w:rsidRPr="00607E75" w:rsidRDefault="007110EC" w:rsidP="00441B6F">
      <w:pPr>
        <w:pStyle w:val="Appendix"/>
        <w:spacing w:after="0"/>
        <w:jc w:val="both"/>
        <w:rPr>
          <w:rFonts w:ascii="Arial" w:hAnsi="Arial" w:cs="Arial"/>
          <w:b w:val="0"/>
        </w:rPr>
      </w:pPr>
    </w:p>
    <w:p w14:paraId="071ACD42" w14:textId="77777777" w:rsidR="007110EC" w:rsidRPr="00607E75" w:rsidRDefault="007110EC" w:rsidP="00441B6F">
      <w:pPr>
        <w:pStyle w:val="Appendix"/>
        <w:spacing w:after="0"/>
        <w:jc w:val="both"/>
        <w:rPr>
          <w:rFonts w:ascii="Arial" w:hAnsi="Arial" w:cs="Arial"/>
          <w:b w:val="0"/>
        </w:rPr>
      </w:pPr>
    </w:p>
    <w:p w14:paraId="6DF1AC2D" w14:textId="77777777" w:rsidR="007110EC" w:rsidRPr="00607E75" w:rsidRDefault="007110EC" w:rsidP="00441B6F">
      <w:pPr>
        <w:pStyle w:val="Appendix"/>
        <w:spacing w:after="0"/>
        <w:jc w:val="both"/>
        <w:rPr>
          <w:rFonts w:ascii="Arial" w:hAnsi="Arial" w:cs="Arial"/>
          <w:b w:val="0"/>
        </w:rPr>
      </w:pPr>
    </w:p>
    <w:p w14:paraId="46D535D3" w14:textId="77777777" w:rsidR="007110EC" w:rsidRPr="00607E75" w:rsidRDefault="007110EC" w:rsidP="00441B6F">
      <w:pPr>
        <w:pStyle w:val="Appendix"/>
        <w:spacing w:after="0"/>
        <w:jc w:val="both"/>
        <w:rPr>
          <w:rFonts w:ascii="Arial" w:hAnsi="Arial" w:cs="Arial"/>
          <w:b w:val="0"/>
        </w:rPr>
      </w:pPr>
    </w:p>
    <w:p w14:paraId="06E0B35A" w14:textId="77777777" w:rsidR="007110EC" w:rsidRPr="00607E75" w:rsidRDefault="007110EC" w:rsidP="00441B6F">
      <w:pPr>
        <w:pStyle w:val="Appendix"/>
        <w:spacing w:after="0"/>
        <w:jc w:val="both"/>
        <w:rPr>
          <w:rFonts w:ascii="Arial" w:hAnsi="Arial" w:cs="Arial"/>
          <w:b w:val="0"/>
        </w:rPr>
      </w:pPr>
    </w:p>
    <w:p w14:paraId="1A30418A" w14:textId="77777777" w:rsidR="007110EC" w:rsidRPr="00607E75" w:rsidRDefault="007110EC" w:rsidP="00441B6F">
      <w:pPr>
        <w:pStyle w:val="Appendix"/>
        <w:spacing w:after="0"/>
        <w:jc w:val="both"/>
        <w:rPr>
          <w:rFonts w:ascii="Arial" w:hAnsi="Arial" w:cs="Arial"/>
          <w:b w:val="0"/>
        </w:rPr>
      </w:pPr>
    </w:p>
    <w:p w14:paraId="1A067D35" w14:textId="77777777" w:rsidR="007110EC" w:rsidRPr="00607E75" w:rsidRDefault="007110EC" w:rsidP="00441B6F">
      <w:pPr>
        <w:pStyle w:val="Appendix"/>
        <w:spacing w:after="0"/>
        <w:jc w:val="both"/>
        <w:rPr>
          <w:rFonts w:ascii="Arial" w:hAnsi="Arial" w:cs="Arial"/>
          <w:b w:val="0"/>
        </w:rPr>
      </w:pPr>
    </w:p>
    <w:p w14:paraId="66A7DED2" w14:textId="77777777" w:rsidR="007110EC" w:rsidRPr="00607E75" w:rsidRDefault="007110EC" w:rsidP="00441B6F">
      <w:pPr>
        <w:pStyle w:val="Appendix"/>
        <w:spacing w:after="0"/>
        <w:jc w:val="both"/>
        <w:rPr>
          <w:rFonts w:ascii="Arial" w:hAnsi="Arial" w:cs="Arial"/>
          <w:b w:val="0"/>
        </w:rPr>
      </w:pPr>
    </w:p>
    <w:p w14:paraId="59E9B29E" w14:textId="77777777" w:rsidR="007110EC" w:rsidRPr="00607E75" w:rsidRDefault="007110EC" w:rsidP="00441B6F">
      <w:pPr>
        <w:pStyle w:val="Appendix"/>
        <w:spacing w:after="0"/>
        <w:jc w:val="both"/>
        <w:rPr>
          <w:rFonts w:ascii="Arial" w:hAnsi="Arial" w:cs="Arial"/>
          <w:b w:val="0"/>
        </w:rPr>
      </w:pPr>
    </w:p>
    <w:p w14:paraId="34759BEC" w14:textId="77777777" w:rsidR="007110EC" w:rsidRPr="00607E75" w:rsidRDefault="007110EC" w:rsidP="00441B6F">
      <w:pPr>
        <w:pStyle w:val="Appendix"/>
        <w:spacing w:after="0"/>
        <w:jc w:val="both"/>
        <w:rPr>
          <w:rFonts w:ascii="Arial" w:hAnsi="Arial" w:cs="Arial"/>
          <w:b w:val="0"/>
        </w:rPr>
      </w:pPr>
    </w:p>
    <w:p w14:paraId="57653D24" w14:textId="77777777" w:rsidR="007110EC" w:rsidRPr="00607E75" w:rsidRDefault="007110EC" w:rsidP="00441B6F">
      <w:pPr>
        <w:pStyle w:val="Appendix"/>
        <w:spacing w:after="0"/>
        <w:jc w:val="both"/>
        <w:rPr>
          <w:rFonts w:ascii="Arial" w:hAnsi="Arial" w:cs="Arial"/>
          <w:b w:val="0"/>
        </w:rPr>
      </w:pPr>
    </w:p>
    <w:p w14:paraId="54A437A9" w14:textId="77777777" w:rsidR="007110EC" w:rsidRPr="00607E75" w:rsidRDefault="007110EC" w:rsidP="00441B6F">
      <w:pPr>
        <w:pStyle w:val="Appendix"/>
        <w:spacing w:after="0"/>
        <w:jc w:val="both"/>
        <w:rPr>
          <w:rFonts w:ascii="Arial" w:hAnsi="Arial" w:cs="Arial"/>
          <w:b w:val="0"/>
        </w:rPr>
      </w:pPr>
    </w:p>
    <w:p w14:paraId="30C5DE3B" w14:textId="77777777" w:rsidR="007110EC" w:rsidRPr="00607E75" w:rsidRDefault="007110EC" w:rsidP="00441B6F">
      <w:pPr>
        <w:pStyle w:val="Appendix"/>
        <w:spacing w:after="0"/>
        <w:jc w:val="both"/>
        <w:rPr>
          <w:rFonts w:ascii="Arial" w:hAnsi="Arial" w:cs="Arial"/>
          <w:b w:val="0"/>
        </w:rPr>
      </w:pPr>
    </w:p>
    <w:p w14:paraId="676F893F" w14:textId="77777777" w:rsidR="007110EC" w:rsidRPr="00607E75" w:rsidRDefault="007110EC" w:rsidP="00441B6F">
      <w:pPr>
        <w:pStyle w:val="Appendix"/>
        <w:spacing w:after="0"/>
        <w:jc w:val="both"/>
        <w:rPr>
          <w:rFonts w:ascii="Arial" w:hAnsi="Arial" w:cs="Arial"/>
          <w:b w:val="0"/>
        </w:rPr>
      </w:pPr>
    </w:p>
    <w:p w14:paraId="4835B0A8" w14:textId="77777777" w:rsidR="007110EC" w:rsidRPr="00607E75" w:rsidRDefault="007110EC" w:rsidP="00441B6F">
      <w:pPr>
        <w:pStyle w:val="Appendix"/>
        <w:spacing w:after="0"/>
        <w:jc w:val="both"/>
        <w:rPr>
          <w:rFonts w:ascii="Arial" w:hAnsi="Arial" w:cs="Arial"/>
          <w:b w:val="0"/>
        </w:rPr>
      </w:pPr>
    </w:p>
    <w:p w14:paraId="4E77F6CF" w14:textId="77777777" w:rsidR="007110EC" w:rsidRPr="00607E75" w:rsidRDefault="007110EC" w:rsidP="00441B6F">
      <w:pPr>
        <w:pStyle w:val="Appendix"/>
        <w:spacing w:after="0"/>
        <w:jc w:val="both"/>
        <w:rPr>
          <w:rFonts w:ascii="Arial" w:hAnsi="Arial" w:cs="Arial"/>
          <w:b w:val="0"/>
        </w:rPr>
      </w:pPr>
    </w:p>
    <w:p w14:paraId="7A1A29D2" w14:textId="77777777" w:rsidR="007110EC" w:rsidRPr="00607E75" w:rsidRDefault="007110EC" w:rsidP="00441B6F">
      <w:pPr>
        <w:pStyle w:val="Appendix"/>
        <w:spacing w:after="0"/>
        <w:jc w:val="both"/>
        <w:rPr>
          <w:rFonts w:ascii="Arial" w:hAnsi="Arial" w:cs="Arial"/>
          <w:b w:val="0"/>
        </w:rPr>
      </w:pPr>
    </w:p>
    <w:p w14:paraId="1B982911" w14:textId="77777777" w:rsidR="007110EC" w:rsidRPr="00607E75" w:rsidRDefault="007110EC" w:rsidP="00441B6F">
      <w:pPr>
        <w:pStyle w:val="Appendix"/>
        <w:spacing w:after="0"/>
        <w:jc w:val="both"/>
        <w:rPr>
          <w:rFonts w:ascii="Arial" w:hAnsi="Arial" w:cs="Arial"/>
          <w:b w:val="0"/>
        </w:rPr>
      </w:pPr>
    </w:p>
    <w:p w14:paraId="710F903D" w14:textId="77777777" w:rsidR="007110EC" w:rsidRPr="00607E75" w:rsidRDefault="007110EC" w:rsidP="00441B6F">
      <w:pPr>
        <w:pStyle w:val="Appendix"/>
        <w:spacing w:after="0"/>
        <w:jc w:val="both"/>
        <w:rPr>
          <w:rFonts w:ascii="Arial" w:hAnsi="Arial" w:cs="Arial"/>
          <w:b w:val="0"/>
        </w:rPr>
      </w:pPr>
    </w:p>
    <w:p w14:paraId="7F4445AC" w14:textId="77777777" w:rsidR="007110EC" w:rsidRPr="00607E75" w:rsidRDefault="007110EC" w:rsidP="00441B6F">
      <w:pPr>
        <w:pStyle w:val="Appendix"/>
        <w:spacing w:after="0"/>
        <w:jc w:val="both"/>
        <w:rPr>
          <w:rFonts w:ascii="Arial" w:hAnsi="Arial" w:cs="Arial"/>
          <w:b w:val="0"/>
        </w:rPr>
      </w:pPr>
    </w:p>
    <w:p w14:paraId="59182F6B" w14:textId="77777777" w:rsidR="007110EC" w:rsidRPr="00607E75" w:rsidRDefault="007110EC" w:rsidP="00441B6F">
      <w:pPr>
        <w:pStyle w:val="Appendix"/>
        <w:spacing w:after="0"/>
        <w:jc w:val="both"/>
        <w:rPr>
          <w:rFonts w:ascii="Arial" w:hAnsi="Arial" w:cs="Arial"/>
          <w:b w:val="0"/>
        </w:rPr>
      </w:pPr>
    </w:p>
    <w:p w14:paraId="7459A363" w14:textId="77777777" w:rsidR="007110EC" w:rsidRPr="00607E75" w:rsidRDefault="007110EC" w:rsidP="00441B6F">
      <w:pPr>
        <w:pStyle w:val="Appendix"/>
        <w:spacing w:after="0"/>
        <w:jc w:val="both"/>
        <w:rPr>
          <w:rFonts w:ascii="Arial" w:hAnsi="Arial" w:cs="Arial"/>
          <w:b w:val="0"/>
        </w:rPr>
      </w:pPr>
    </w:p>
    <w:p w14:paraId="4494DD50" w14:textId="77777777" w:rsidR="007110EC" w:rsidRPr="00607E75" w:rsidRDefault="007110EC" w:rsidP="00441B6F">
      <w:pPr>
        <w:pStyle w:val="Appendix"/>
        <w:spacing w:after="0"/>
        <w:jc w:val="both"/>
        <w:rPr>
          <w:rFonts w:ascii="Arial" w:hAnsi="Arial" w:cs="Arial"/>
          <w:b w:val="0"/>
        </w:rPr>
      </w:pPr>
    </w:p>
    <w:p w14:paraId="7F2BB9A6" w14:textId="77777777" w:rsidR="007110EC" w:rsidRPr="00607E75" w:rsidRDefault="007110EC" w:rsidP="00441B6F">
      <w:pPr>
        <w:pStyle w:val="Appendix"/>
        <w:spacing w:after="0"/>
        <w:jc w:val="both"/>
        <w:rPr>
          <w:rFonts w:ascii="Arial" w:hAnsi="Arial" w:cs="Arial"/>
          <w:b w:val="0"/>
        </w:rPr>
      </w:pPr>
    </w:p>
    <w:p w14:paraId="484412F3" w14:textId="77777777" w:rsidR="007110EC" w:rsidRPr="00607E75" w:rsidRDefault="007110EC" w:rsidP="00441B6F">
      <w:pPr>
        <w:pStyle w:val="Appendix"/>
        <w:spacing w:after="0"/>
        <w:jc w:val="both"/>
        <w:rPr>
          <w:rFonts w:ascii="Arial" w:hAnsi="Arial" w:cs="Arial"/>
          <w:b w:val="0"/>
        </w:rPr>
      </w:pPr>
    </w:p>
    <w:p w14:paraId="29C321B0" w14:textId="77777777" w:rsidR="007110EC" w:rsidRPr="00607E75" w:rsidRDefault="007110EC" w:rsidP="00441B6F">
      <w:pPr>
        <w:pStyle w:val="Appendix"/>
        <w:spacing w:after="0"/>
        <w:jc w:val="both"/>
        <w:rPr>
          <w:rFonts w:ascii="Arial" w:hAnsi="Arial" w:cs="Arial"/>
          <w:b w:val="0"/>
        </w:rPr>
      </w:pPr>
    </w:p>
    <w:p w14:paraId="60C023CE" w14:textId="77777777" w:rsidR="007110EC" w:rsidRPr="00607E75" w:rsidRDefault="007110EC" w:rsidP="00441B6F">
      <w:pPr>
        <w:pStyle w:val="Appendix"/>
        <w:spacing w:after="0"/>
        <w:jc w:val="both"/>
        <w:rPr>
          <w:rFonts w:ascii="Arial" w:hAnsi="Arial" w:cs="Arial"/>
          <w:b w:val="0"/>
        </w:rPr>
      </w:pPr>
    </w:p>
    <w:p w14:paraId="35E96B4A" w14:textId="77777777" w:rsidR="007110EC" w:rsidRPr="00607E75" w:rsidRDefault="007110EC" w:rsidP="00441B6F">
      <w:pPr>
        <w:pStyle w:val="Appendix"/>
        <w:spacing w:after="0"/>
        <w:jc w:val="both"/>
        <w:rPr>
          <w:rFonts w:ascii="Arial" w:hAnsi="Arial" w:cs="Arial"/>
          <w:b w:val="0"/>
        </w:rPr>
      </w:pPr>
    </w:p>
    <w:p w14:paraId="51939B02" w14:textId="77777777" w:rsidR="007110EC" w:rsidRPr="00607E75" w:rsidRDefault="007110EC" w:rsidP="00441B6F">
      <w:pPr>
        <w:pStyle w:val="Appendix"/>
        <w:spacing w:after="0"/>
        <w:jc w:val="both"/>
        <w:rPr>
          <w:rFonts w:ascii="Arial" w:hAnsi="Arial" w:cs="Arial"/>
          <w:b w:val="0"/>
        </w:rPr>
      </w:pPr>
    </w:p>
    <w:p w14:paraId="70BBC24F" w14:textId="77777777" w:rsidR="007110EC" w:rsidRPr="00607E75" w:rsidRDefault="007110EC" w:rsidP="00441B6F">
      <w:pPr>
        <w:pStyle w:val="Appendix"/>
        <w:spacing w:after="0"/>
        <w:jc w:val="both"/>
        <w:rPr>
          <w:rFonts w:ascii="Arial" w:hAnsi="Arial" w:cs="Arial"/>
          <w:b w:val="0"/>
        </w:rPr>
      </w:pPr>
    </w:p>
    <w:p w14:paraId="3320715B" w14:textId="77777777" w:rsidR="007110EC" w:rsidRPr="00607E75" w:rsidRDefault="007110EC" w:rsidP="00441B6F">
      <w:pPr>
        <w:pStyle w:val="Appendix"/>
        <w:spacing w:after="0"/>
        <w:jc w:val="both"/>
        <w:rPr>
          <w:rFonts w:ascii="Arial" w:hAnsi="Arial" w:cs="Arial"/>
          <w:b w:val="0"/>
        </w:rPr>
      </w:pPr>
    </w:p>
    <w:p w14:paraId="71C5064B" w14:textId="77777777" w:rsidR="007110EC" w:rsidRPr="00607E75" w:rsidRDefault="007110EC" w:rsidP="00441B6F">
      <w:pPr>
        <w:pStyle w:val="Appendix"/>
        <w:spacing w:after="0"/>
        <w:jc w:val="both"/>
        <w:rPr>
          <w:rFonts w:ascii="Arial" w:hAnsi="Arial" w:cs="Arial"/>
          <w:b w:val="0"/>
        </w:rPr>
      </w:pPr>
    </w:p>
    <w:p w14:paraId="5D863EFE" w14:textId="77777777" w:rsidR="007110EC" w:rsidRPr="00607E75" w:rsidRDefault="007110EC" w:rsidP="00441B6F">
      <w:pPr>
        <w:pStyle w:val="Appendix"/>
        <w:spacing w:after="0"/>
        <w:jc w:val="both"/>
        <w:rPr>
          <w:rFonts w:ascii="Arial" w:hAnsi="Arial" w:cs="Arial"/>
          <w:b w:val="0"/>
        </w:rPr>
      </w:pPr>
    </w:p>
    <w:p w14:paraId="4F1CB158" w14:textId="77777777" w:rsidR="007110EC" w:rsidRPr="00607E75" w:rsidRDefault="007110EC" w:rsidP="00441B6F">
      <w:pPr>
        <w:pStyle w:val="Appendix"/>
        <w:spacing w:after="0"/>
        <w:jc w:val="both"/>
        <w:rPr>
          <w:rFonts w:ascii="Arial" w:hAnsi="Arial" w:cs="Arial"/>
          <w:b w:val="0"/>
        </w:rPr>
      </w:pPr>
    </w:p>
    <w:p w14:paraId="7E70D7A5" w14:textId="602AAC25" w:rsidR="007110EC" w:rsidRPr="00607E75" w:rsidRDefault="007110EC" w:rsidP="00441B6F">
      <w:pPr>
        <w:pStyle w:val="Appendix"/>
        <w:spacing w:after="0"/>
        <w:jc w:val="both"/>
        <w:rPr>
          <w:rFonts w:ascii="Arial" w:hAnsi="Arial" w:cs="Arial"/>
          <w:b w:val="0"/>
        </w:rPr>
      </w:pPr>
    </w:p>
    <w:p w14:paraId="1E5E2DE6" w14:textId="77777777" w:rsidR="007110EC" w:rsidRPr="00607E75" w:rsidRDefault="007110EC" w:rsidP="00441B6F">
      <w:pPr>
        <w:pStyle w:val="Appendix"/>
        <w:spacing w:after="0"/>
        <w:jc w:val="both"/>
        <w:rPr>
          <w:rFonts w:ascii="Arial" w:hAnsi="Arial" w:cs="Arial"/>
          <w:b w:val="0"/>
        </w:rPr>
      </w:pPr>
    </w:p>
    <w:p w14:paraId="2095AC23" w14:textId="77777777" w:rsidR="007110EC" w:rsidRPr="00607E75" w:rsidRDefault="007110EC" w:rsidP="00441B6F">
      <w:pPr>
        <w:pStyle w:val="Appendix"/>
        <w:spacing w:after="0"/>
        <w:jc w:val="both"/>
        <w:rPr>
          <w:rFonts w:ascii="Arial" w:hAnsi="Arial" w:cs="Arial"/>
          <w:b w:val="0"/>
        </w:rPr>
      </w:pPr>
    </w:p>
    <w:p w14:paraId="42E2FAA3" w14:textId="77777777" w:rsidR="007110EC" w:rsidRPr="00607E75" w:rsidRDefault="007110EC" w:rsidP="00441B6F">
      <w:pPr>
        <w:pStyle w:val="Appendix"/>
        <w:spacing w:after="0"/>
        <w:jc w:val="both"/>
        <w:rPr>
          <w:rFonts w:ascii="Arial" w:hAnsi="Arial" w:cs="Arial"/>
          <w:b w:val="0"/>
        </w:rPr>
      </w:pPr>
    </w:p>
    <w:p w14:paraId="2366EBD8" w14:textId="5BDDB24C" w:rsidR="007110EC" w:rsidRPr="00607E75" w:rsidRDefault="007110EC" w:rsidP="00441B6F">
      <w:pPr>
        <w:pStyle w:val="Appendix"/>
        <w:spacing w:after="0"/>
        <w:jc w:val="both"/>
        <w:rPr>
          <w:rFonts w:ascii="Arial" w:hAnsi="Arial" w:cs="Arial"/>
          <w:b w:val="0"/>
        </w:rPr>
      </w:pPr>
    </w:p>
    <w:p w14:paraId="0C75505A" w14:textId="77777777" w:rsidR="007110EC" w:rsidRPr="00607E75" w:rsidRDefault="007110EC" w:rsidP="00441B6F">
      <w:pPr>
        <w:pStyle w:val="Appendix"/>
        <w:spacing w:after="0"/>
        <w:jc w:val="both"/>
        <w:rPr>
          <w:rFonts w:ascii="Arial" w:hAnsi="Arial" w:cs="Arial"/>
          <w:b w:val="0"/>
        </w:rPr>
      </w:pPr>
    </w:p>
    <w:p w14:paraId="6A0E3C7D" w14:textId="77777777" w:rsidR="007110EC" w:rsidRPr="00607E75" w:rsidRDefault="007110EC" w:rsidP="00441B6F">
      <w:pPr>
        <w:pStyle w:val="Appendix"/>
        <w:spacing w:after="0"/>
        <w:jc w:val="both"/>
        <w:rPr>
          <w:rFonts w:ascii="Arial" w:hAnsi="Arial" w:cs="Arial"/>
          <w:b w:val="0"/>
        </w:rPr>
      </w:pPr>
    </w:p>
    <w:p w14:paraId="3E815460" w14:textId="52AAF610" w:rsidR="007110EC" w:rsidRPr="00607E75" w:rsidRDefault="007110EC" w:rsidP="00441B6F">
      <w:pPr>
        <w:pStyle w:val="Appendix"/>
        <w:spacing w:after="0"/>
        <w:jc w:val="both"/>
        <w:rPr>
          <w:rFonts w:ascii="Arial" w:hAnsi="Arial" w:cs="Arial"/>
          <w:b w:val="0"/>
        </w:rPr>
      </w:pPr>
    </w:p>
    <w:p w14:paraId="01978D0B" w14:textId="01B6D3B5" w:rsidR="007110EC" w:rsidRPr="00607E75" w:rsidRDefault="007110EC" w:rsidP="00441B6F">
      <w:pPr>
        <w:pStyle w:val="Appendix"/>
        <w:spacing w:after="0"/>
        <w:jc w:val="both"/>
        <w:rPr>
          <w:rFonts w:ascii="Arial" w:hAnsi="Arial" w:cs="Arial"/>
          <w:b w:val="0"/>
        </w:rPr>
      </w:pPr>
    </w:p>
    <w:p w14:paraId="4EFC82C5" w14:textId="5C925909" w:rsidR="007110EC" w:rsidRPr="00607E75" w:rsidRDefault="007110EC" w:rsidP="00441B6F">
      <w:pPr>
        <w:pStyle w:val="Appendix"/>
        <w:spacing w:after="0"/>
        <w:jc w:val="both"/>
        <w:rPr>
          <w:rFonts w:ascii="Arial" w:hAnsi="Arial" w:cs="Arial"/>
          <w:b w:val="0"/>
        </w:rPr>
      </w:pPr>
    </w:p>
    <w:p w14:paraId="58F3972E" w14:textId="59FF5AFD" w:rsidR="007110EC" w:rsidRPr="00607E75" w:rsidRDefault="007110EC" w:rsidP="00441B6F">
      <w:pPr>
        <w:pStyle w:val="Appendix"/>
        <w:spacing w:after="0"/>
        <w:jc w:val="both"/>
        <w:rPr>
          <w:rFonts w:ascii="Arial" w:hAnsi="Arial" w:cs="Arial"/>
          <w:b w:val="0"/>
        </w:rPr>
      </w:pPr>
    </w:p>
    <w:p w14:paraId="194D1441" w14:textId="77777777" w:rsidR="007110EC" w:rsidRPr="00607E75" w:rsidRDefault="007110EC" w:rsidP="00441B6F">
      <w:pPr>
        <w:pStyle w:val="Appendix"/>
        <w:spacing w:after="0"/>
        <w:jc w:val="both"/>
        <w:rPr>
          <w:rFonts w:ascii="Arial" w:hAnsi="Arial" w:cs="Arial"/>
          <w:b w:val="0"/>
        </w:rPr>
      </w:pPr>
    </w:p>
    <w:p w14:paraId="0A8281FC" w14:textId="7CCED1DF" w:rsidR="00B01FCD" w:rsidRPr="00607E75" w:rsidRDefault="00B01FCD" w:rsidP="00441B6F">
      <w:pPr>
        <w:pStyle w:val="Appendix"/>
        <w:spacing w:after="0"/>
        <w:jc w:val="both"/>
        <w:rPr>
          <w:rFonts w:ascii="Arial" w:hAnsi="Arial" w:cs="Arial"/>
          <w:b w:val="0"/>
        </w:rPr>
      </w:pPr>
    </w:p>
    <w:p w14:paraId="2F508735" w14:textId="77777777" w:rsidR="007110EC" w:rsidRPr="00607E75" w:rsidRDefault="007110EC" w:rsidP="00441B6F">
      <w:pPr>
        <w:pStyle w:val="Appendix"/>
        <w:spacing w:after="0"/>
        <w:jc w:val="both"/>
        <w:rPr>
          <w:rFonts w:ascii="Arial" w:hAnsi="Arial" w:cs="Arial"/>
          <w:b w:val="0"/>
        </w:rPr>
      </w:pPr>
    </w:p>
    <w:p w14:paraId="1F6B3E89" w14:textId="77777777" w:rsidR="007110EC" w:rsidRPr="00607E75" w:rsidRDefault="007110EC" w:rsidP="00441B6F">
      <w:pPr>
        <w:pStyle w:val="Appendix"/>
        <w:spacing w:after="0"/>
        <w:jc w:val="both"/>
        <w:rPr>
          <w:rFonts w:ascii="Arial" w:hAnsi="Arial" w:cs="Arial"/>
          <w:b w:val="0"/>
        </w:rPr>
      </w:pPr>
    </w:p>
    <w:p w14:paraId="612DA93F" w14:textId="77777777" w:rsidR="007110EC" w:rsidRPr="00607E75" w:rsidRDefault="007110EC" w:rsidP="00441B6F">
      <w:pPr>
        <w:pStyle w:val="Appendix"/>
        <w:spacing w:after="0"/>
        <w:jc w:val="both"/>
        <w:rPr>
          <w:rFonts w:ascii="Arial" w:hAnsi="Arial" w:cs="Arial"/>
          <w:b w:val="0"/>
        </w:rPr>
      </w:pPr>
    </w:p>
    <w:p w14:paraId="7DEB1B9E" w14:textId="77777777" w:rsidR="007110EC" w:rsidRPr="00607E75" w:rsidRDefault="007110EC" w:rsidP="00441B6F">
      <w:pPr>
        <w:pStyle w:val="Appendix"/>
        <w:spacing w:after="0"/>
        <w:jc w:val="both"/>
        <w:rPr>
          <w:rFonts w:ascii="Arial" w:hAnsi="Arial" w:cs="Arial"/>
          <w:b w:val="0"/>
        </w:rPr>
      </w:pPr>
    </w:p>
    <w:p w14:paraId="1BFC8450" w14:textId="77777777" w:rsidR="007110EC" w:rsidRPr="00607E75" w:rsidRDefault="007110EC" w:rsidP="00441B6F">
      <w:pPr>
        <w:pStyle w:val="Appendix"/>
        <w:spacing w:after="0"/>
        <w:jc w:val="both"/>
        <w:rPr>
          <w:rFonts w:ascii="Arial" w:hAnsi="Arial" w:cs="Arial"/>
          <w:b w:val="0"/>
        </w:rPr>
      </w:pPr>
    </w:p>
    <w:p w14:paraId="28143864" w14:textId="77777777" w:rsidR="007110EC" w:rsidRPr="00607E75" w:rsidRDefault="007110EC" w:rsidP="00441B6F">
      <w:pPr>
        <w:pStyle w:val="Appendix"/>
        <w:spacing w:after="0"/>
        <w:jc w:val="both"/>
        <w:rPr>
          <w:rFonts w:ascii="Arial" w:hAnsi="Arial" w:cs="Arial"/>
          <w:b w:val="0"/>
        </w:rPr>
      </w:pPr>
    </w:p>
    <w:p w14:paraId="68D535F5" w14:textId="77777777" w:rsidR="007110EC" w:rsidRPr="00607E75" w:rsidRDefault="007110EC" w:rsidP="00441B6F">
      <w:pPr>
        <w:pStyle w:val="Appendix"/>
        <w:spacing w:after="0"/>
        <w:jc w:val="both"/>
        <w:rPr>
          <w:rFonts w:ascii="Arial" w:hAnsi="Arial" w:cs="Arial"/>
          <w:b w:val="0"/>
        </w:rPr>
      </w:pPr>
    </w:p>
    <w:p w14:paraId="2D8DFD25" w14:textId="77777777" w:rsidR="007110EC" w:rsidRPr="00607E75" w:rsidRDefault="007110EC" w:rsidP="00441B6F">
      <w:pPr>
        <w:pStyle w:val="Appendix"/>
        <w:spacing w:after="0"/>
        <w:jc w:val="both"/>
        <w:rPr>
          <w:rFonts w:ascii="Arial" w:hAnsi="Arial" w:cs="Arial"/>
          <w:b w:val="0"/>
        </w:rPr>
      </w:pPr>
    </w:p>
    <w:p w14:paraId="188B7071" w14:textId="77777777" w:rsidR="007110EC" w:rsidRPr="00607E75" w:rsidRDefault="007110EC" w:rsidP="00441B6F">
      <w:pPr>
        <w:pStyle w:val="Appendix"/>
        <w:spacing w:after="0"/>
        <w:jc w:val="both"/>
        <w:rPr>
          <w:rFonts w:ascii="Arial" w:hAnsi="Arial" w:cs="Arial"/>
          <w:b w:val="0"/>
        </w:rPr>
      </w:pPr>
    </w:p>
    <w:p w14:paraId="741739FF" w14:textId="77777777" w:rsidR="007110EC" w:rsidRPr="00607E75" w:rsidRDefault="007110EC" w:rsidP="00441B6F">
      <w:pPr>
        <w:pStyle w:val="Appendix"/>
        <w:spacing w:after="0"/>
        <w:jc w:val="both"/>
        <w:rPr>
          <w:rFonts w:ascii="Arial" w:hAnsi="Arial" w:cs="Arial"/>
          <w:b w:val="0"/>
        </w:rPr>
      </w:pPr>
    </w:p>
    <w:p w14:paraId="3FFA8189" w14:textId="77777777" w:rsidR="007110EC" w:rsidRPr="00607E75" w:rsidRDefault="007110EC" w:rsidP="00441B6F">
      <w:pPr>
        <w:pStyle w:val="Appendix"/>
        <w:spacing w:after="0"/>
        <w:jc w:val="both"/>
        <w:rPr>
          <w:rFonts w:ascii="Arial" w:hAnsi="Arial" w:cs="Arial"/>
          <w:b w:val="0"/>
        </w:rPr>
      </w:pPr>
    </w:p>
    <w:p w14:paraId="5A8D1806" w14:textId="77777777" w:rsidR="007110EC" w:rsidRPr="00607E75" w:rsidRDefault="007110EC" w:rsidP="00441B6F">
      <w:pPr>
        <w:pStyle w:val="Appendix"/>
        <w:spacing w:after="0"/>
        <w:jc w:val="both"/>
        <w:rPr>
          <w:rFonts w:ascii="Arial" w:hAnsi="Arial" w:cs="Arial"/>
          <w:b w:val="0"/>
        </w:rPr>
      </w:pPr>
    </w:p>
    <w:p w14:paraId="3AB9A90F" w14:textId="77777777" w:rsidR="007110EC" w:rsidRPr="00607E75" w:rsidRDefault="007110EC" w:rsidP="00441B6F">
      <w:pPr>
        <w:pStyle w:val="Appendix"/>
        <w:spacing w:after="0"/>
        <w:jc w:val="both"/>
        <w:rPr>
          <w:rFonts w:ascii="Arial" w:hAnsi="Arial" w:cs="Arial"/>
          <w:b w:val="0"/>
        </w:rPr>
      </w:pPr>
    </w:p>
    <w:p w14:paraId="2D03FA04" w14:textId="77777777" w:rsidR="007110EC" w:rsidRPr="00607E75" w:rsidRDefault="007110EC" w:rsidP="00441B6F">
      <w:pPr>
        <w:pStyle w:val="Appendix"/>
        <w:spacing w:after="0"/>
        <w:jc w:val="both"/>
        <w:rPr>
          <w:rFonts w:ascii="Arial" w:hAnsi="Arial" w:cs="Arial"/>
          <w:b w:val="0"/>
        </w:rPr>
      </w:pPr>
    </w:p>
    <w:p w14:paraId="7C12F8E5" w14:textId="77777777" w:rsidR="007110EC" w:rsidRPr="00607E75" w:rsidRDefault="007110EC" w:rsidP="00441B6F">
      <w:pPr>
        <w:pStyle w:val="Appendix"/>
        <w:spacing w:after="0"/>
        <w:jc w:val="both"/>
        <w:rPr>
          <w:rFonts w:ascii="Arial" w:hAnsi="Arial" w:cs="Arial"/>
          <w:b w:val="0"/>
        </w:rPr>
      </w:pPr>
    </w:p>
    <w:p w14:paraId="267BCB10" w14:textId="407601CE" w:rsidR="007110EC" w:rsidRPr="00607E75" w:rsidRDefault="007110EC" w:rsidP="00441B6F">
      <w:pPr>
        <w:pStyle w:val="Appendix"/>
        <w:spacing w:after="0"/>
        <w:jc w:val="both"/>
        <w:rPr>
          <w:rFonts w:ascii="Arial" w:hAnsi="Arial" w:cs="Arial"/>
          <w:b w:val="0"/>
        </w:rPr>
      </w:pPr>
    </w:p>
    <w:p w14:paraId="664E4BEC" w14:textId="77777777" w:rsidR="007110EC" w:rsidRPr="00607E75" w:rsidRDefault="007110EC" w:rsidP="00441B6F">
      <w:pPr>
        <w:pStyle w:val="Appendix"/>
        <w:spacing w:after="0"/>
        <w:jc w:val="both"/>
        <w:rPr>
          <w:rFonts w:ascii="Arial" w:hAnsi="Arial" w:cs="Arial"/>
          <w:b w:val="0"/>
        </w:rPr>
      </w:pPr>
    </w:p>
    <w:p w14:paraId="5807F961" w14:textId="77777777" w:rsidR="007110EC" w:rsidRPr="00607E75" w:rsidRDefault="007110EC" w:rsidP="00441B6F">
      <w:pPr>
        <w:pStyle w:val="Appendix"/>
        <w:spacing w:after="0"/>
        <w:jc w:val="both"/>
        <w:rPr>
          <w:rFonts w:ascii="Arial" w:hAnsi="Arial" w:cs="Arial"/>
          <w:b w:val="0"/>
        </w:rPr>
      </w:pPr>
    </w:p>
    <w:p w14:paraId="5FBC2F67" w14:textId="77777777" w:rsidR="007110EC" w:rsidRPr="00607E75" w:rsidRDefault="007110EC" w:rsidP="00441B6F">
      <w:pPr>
        <w:pStyle w:val="Appendix"/>
        <w:spacing w:after="0"/>
        <w:jc w:val="both"/>
        <w:rPr>
          <w:rFonts w:ascii="Arial" w:hAnsi="Arial" w:cs="Arial"/>
          <w:b w:val="0"/>
        </w:rPr>
      </w:pPr>
    </w:p>
    <w:p w14:paraId="07AD4434" w14:textId="77777777" w:rsidR="007110EC" w:rsidRPr="00607E75" w:rsidRDefault="007110EC" w:rsidP="00441B6F">
      <w:pPr>
        <w:pStyle w:val="Appendix"/>
        <w:spacing w:after="0"/>
        <w:jc w:val="both"/>
        <w:rPr>
          <w:rFonts w:ascii="Arial" w:hAnsi="Arial" w:cs="Arial"/>
          <w:b w:val="0"/>
        </w:rPr>
      </w:pPr>
    </w:p>
    <w:p w14:paraId="3C426ED3" w14:textId="77777777" w:rsidR="007110EC" w:rsidRPr="00607E75" w:rsidRDefault="007110EC" w:rsidP="00441B6F">
      <w:pPr>
        <w:pStyle w:val="Appendix"/>
        <w:spacing w:after="0"/>
        <w:jc w:val="both"/>
        <w:rPr>
          <w:rFonts w:ascii="Arial" w:hAnsi="Arial" w:cs="Arial"/>
          <w:b w:val="0"/>
        </w:rPr>
      </w:pPr>
    </w:p>
    <w:p w14:paraId="02E273EC" w14:textId="77777777" w:rsidR="007110EC" w:rsidRPr="00607E75" w:rsidRDefault="007110EC" w:rsidP="00441B6F">
      <w:pPr>
        <w:pStyle w:val="Appendix"/>
        <w:spacing w:after="0"/>
        <w:jc w:val="both"/>
        <w:rPr>
          <w:rFonts w:ascii="Arial" w:hAnsi="Arial" w:cs="Arial"/>
          <w:b w:val="0"/>
        </w:rPr>
      </w:pPr>
    </w:p>
    <w:p w14:paraId="0F000443" w14:textId="77777777" w:rsidR="007110EC" w:rsidRPr="00607E75" w:rsidRDefault="007110EC" w:rsidP="00441B6F">
      <w:pPr>
        <w:pStyle w:val="Appendix"/>
        <w:spacing w:after="0"/>
        <w:jc w:val="both"/>
        <w:rPr>
          <w:rFonts w:ascii="Arial" w:hAnsi="Arial" w:cs="Arial"/>
          <w:b w:val="0"/>
        </w:rPr>
      </w:pPr>
    </w:p>
    <w:p w14:paraId="754EF546" w14:textId="77777777" w:rsidR="007110EC" w:rsidRPr="00607E75" w:rsidRDefault="007110EC" w:rsidP="00441B6F">
      <w:pPr>
        <w:pStyle w:val="Appendix"/>
        <w:spacing w:after="0"/>
        <w:jc w:val="both"/>
        <w:rPr>
          <w:rFonts w:ascii="Arial" w:hAnsi="Arial" w:cs="Arial"/>
          <w:b w:val="0"/>
        </w:rPr>
      </w:pPr>
    </w:p>
    <w:p w14:paraId="60A7D99F" w14:textId="77777777" w:rsidR="007110EC" w:rsidRPr="00607E75" w:rsidRDefault="007110EC" w:rsidP="00441B6F">
      <w:pPr>
        <w:pStyle w:val="Appendix"/>
        <w:spacing w:after="0"/>
        <w:jc w:val="both"/>
        <w:rPr>
          <w:rFonts w:ascii="Arial" w:hAnsi="Arial" w:cs="Arial"/>
          <w:b w:val="0"/>
        </w:rPr>
      </w:pPr>
    </w:p>
    <w:p w14:paraId="15A5BAC0" w14:textId="77777777" w:rsidR="007110EC" w:rsidRPr="00607E75" w:rsidRDefault="007110EC" w:rsidP="00441B6F">
      <w:pPr>
        <w:pStyle w:val="Appendix"/>
        <w:spacing w:after="0"/>
        <w:jc w:val="both"/>
        <w:rPr>
          <w:rFonts w:ascii="Arial" w:hAnsi="Arial" w:cs="Arial"/>
          <w:b w:val="0"/>
        </w:rPr>
      </w:pPr>
    </w:p>
    <w:p w14:paraId="217C0306" w14:textId="77777777" w:rsidR="007110EC" w:rsidRPr="00607E75" w:rsidRDefault="007110EC" w:rsidP="00441B6F">
      <w:pPr>
        <w:pStyle w:val="Appendix"/>
        <w:spacing w:after="0"/>
        <w:jc w:val="both"/>
        <w:rPr>
          <w:rFonts w:ascii="Arial" w:hAnsi="Arial" w:cs="Arial"/>
          <w:b w:val="0"/>
        </w:rPr>
      </w:pPr>
    </w:p>
    <w:p w14:paraId="145A829A" w14:textId="77777777" w:rsidR="007110EC" w:rsidRPr="00607E75" w:rsidRDefault="007110EC" w:rsidP="00441B6F">
      <w:pPr>
        <w:pStyle w:val="Appendix"/>
        <w:spacing w:after="0"/>
        <w:jc w:val="both"/>
        <w:rPr>
          <w:rFonts w:ascii="Arial" w:hAnsi="Arial" w:cs="Arial"/>
          <w:b w:val="0"/>
        </w:rPr>
      </w:pPr>
    </w:p>
    <w:p w14:paraId="14ADB8E7" w14:textId="77777777" w:rsidR="007110EC" w:rsidRPr="00607E75" w:rsidRDefault="007110EC" w:rsidP="00441B6F">
      <w:pPr>
        <w:pStyle w:val="Appendix"/>
        <w:spacing w:after="0"/>
        <w:jc w:val="both"/>
        <w:rPr>
          <w:rFonts w:ascii="Arial" w:hAnsi="Arial" w:cs="Arial"/>
          <w:b w:val="0"/>
        </w:rPr>
      </w:pPr>
    </w:p>
    <w:p w14:paraId="179A04B7" w14:textId="77777777" w:rsidR="007110EC" w:rsidRPr="00607E75" w:rsidRDefault="007110EC" w:rsidP="00441B6F">
      <w:pPr>
        <w:pStyle w:val="Appendix"/>
        <w:spacing w:after="0"/>
        <w:jc w:val="both"/>
        <w:rPr>
          <w:rFonts w:ascii="Arial" w:hAnsi="Arial" w:cs="Arial"/>
          <w:b w:val="0"/>
        </w:rPr>
      </w:pPr>
    </w:p>
    <w:p w14:paraId="69F959C5" w14:textId="77777777" w:rsidR="007110EC" w:rsidRPr="00607E75" w:rsidRDefault="007110EC" w:rsidP="00441B6F">
      <w:pPr>
        <w:pStyle w:val="Appendix"/>
        <w:spacing w:after="0"/>
        <w:jc w:val="both"/>
        <w:rPr>
          <w:rFonts w:ascii="Arial" w:hAnsi="Arial" w:cs="Arial"/>
          <w:b w:val="0"/>
        </w:rPr>
      </w:pPr>
    </w:p>
    <w:p w14:paraId="398B2829" w14:textId="77777777" w:rsidR="007110EC" w:rsidRPr="00607E75" w:rsidRDefault="007110EC" w:rsidP="00441B6F">
      <w:pPr>
        <w:pStyle w:val="Appendix"/>
        <w:spacing w:after="0"/>
        <w:jc w:val="both"/>
        <w:rPr>
          <w:rFonts w:ascii="Arial" w:hAnsi="Arial" w:cs="Arial"/>
          <w:b w:val="0"/>
        </w:rPr>
      </w:pPr>
    </w:p>
    <w:p w14:paraId="7710AF91" w14:textId="77777777" w:rsidR="007110EC" w:rsidRPr="00607E75" w:rsidRDefault="007110EC" w:rsidP="00441B6F">
      <w:pPr>
        <w:pStyle w:val="Appendix"/>
        <w:spacing w:after="0"/>
        <w:jc w:val="both"/>
        <w:rPr>
          <w:rFonts w:ascii="Arial" w:hAnsi="Arial" w:cs="Arial"/>
          <w:b w:val="0"/>
        </w:rPr>
      </w:pPr>
    </w:p>
    <w:p w14:paraId="0F2FA685" w14:textId="77777777" w:rsidR="007110EC" w:rsidRPr="00607E75" w:rsidRDefault="007110EC" w:rsidP="00441B6F">
      <w:pPr>
        <w:pStyle w:val="Appendix"/>
        <w:spacing w:after="0"/>
        <w:jc w:val="both"/>
        <w:rPr>
          <w:rFonts w:ascii="Arial" w:hAnsi="Arial" w:cs="Arial"/>
          <w:b w:val="0"/>
        </w:rPr>
      </w:pPr>
    </w:p>
    <w:p w14:paraId="3C2AEB39" w14:textId="77777777" w:rsidR="007110EC" w:rsidRPr="00607E75" w:rsidRDefault="007110EC" w:rsidP="00441B6F">
      <w:pPr>
        <w:pStyle w:val="Appendix"/>
        <w:spacing w:after="0"/>
        <w:jc w:val="both"/>
        <w:rPr>
          <w:rFonts w:ascii="Arial" w:hAnsi="Arial" w:cs="Arial"/>
          <w:b w:val="0"/>
        </w:rPr>
      </w:pPr>
    </w:p>
    <w:p w14:paraId="126B41B7" w14:textId="77777777" w:rsidR="007110EC" w:rsidRPr="00607E75" w:rsidRDefault="007110EC" w:rsidP="00441B6F">
      <w:pPr>
        <w:pStyle w:val="Appendix"/>
        <w:spacing w:after="0"/>
        <w:jc w:val="both"/>
        <w:rPr>
          <w:rFonts w:ascii="Arial" w:hAnsi="Arial" w:cs="Arial"/>
          <w:b w:val="0"/>
        </w:rPr>
      </w:pPr>
    </w:p>
    <w:p w14:paraId="329D235A" w14:textId="77777777" w:rsidR="007110EC" w:rsidRPr="00607E75" w:rsidRDefault="007110EC" w:rsidP="00441B6F">
      <w:pPr>
        <w:pStyle w:val="Appendix"/>
        <w:spacing w:after="0"/>
        <w:jc w:val="both"/>
        <w:rPr>
          <w:rFonts w:ascii="Arial" w:hAnsi="Arial" w:cs="Arial"/>
          <w:b w:val="0"/>
        </w:rPr>
      </w:pPr>
    </w:p>
    <w:p w14:paraId="221CD0B4" w14:textId="77777777" w:rsidR="007110EC" w:rsidRPr="00607E75" w:rsidRDefault="007110EC" w:rsidP="00441B6F">
      <w:pPr>
        <w:pStyle w:val="Appendix"/>
        <w:spacing w:after="0"/>
        <w:jc w:val="both"/>
        <w:rPr>
          <w:rFonts w:ascii="Arial" w:hAnsi="Arial" w:cs="Arial"/>
          <w:b w:val="0"/>
        </w:rPr>
      </w:pPr>
    </w:p>
    <w:p w14:paraId="0312AD46" w14:textId="77777777" w:rsidR="007110EC" w:rsidRPr="00607E75" w:rsidRDefault="007110EC" w:rsidP="00441B6F">
      <w:pPr>
        <w:pStyle w:val="Appendix"/>
        <w:spacing w:after="0"/>
        <w:jc w:val="both"/>
        <w:rPr>
          <w:rFonts w:ascii="Arial" w:hAnsi="Arial" w:cs="Arial"/>
          <w:b w:val="0"/>
        </w:rPr>
      </w:pPr>
    </w:p>
    <w:p w14:paraId="7D821BB7" w14:textId="77777777" w:rsidR="007110EC" w:rsidRPr="00607E75" w:rsidRDefault="007110EC" w:rsidP="00441B6F">
      <w:pPr>
        <w:pStyle w:val="Appendix"/>
        <w:spacing w:after="0"/>
        <w:jc w:val="both"/>
        <w:rPr>
          <w:rFonts w:ascii="Arial" w:hAnsi="Arial" w:cs="Arial"/>
          <w:b w:val="0"/>
        </w:rPr>
      </w:pPr>
    </w:p>
    <w:p w14:paraId="619362A6" w14:textId="77777777" w:rsidR="007110EC" w:rsidRPr="00607E75" w:rsidRDefault="007110EC" w:rsidP="00441B6F">
      <w:pPr>
        <w:pStyle w:val="Appendix"/>
        <w:spacing w:after="0"/>
        <w:jc w:val="both"/>
        <w:rPr>
          <w:rFonts w:ascii="Arial" w:hAnsi="Arial" w:cs="Arial"/>
          <w:b w:val="0"/>
        </w:rPr>
      </w:pPr>
    </w:p>
    <w:p w14:paraId="4B9B08B2" w14:textId="77777777" w:rsidR="007110EC" w:rsidRPr="00607E75" w:rsidRDefault="007110EC" w:rsidP="00441B6F">
      <w:pPr>
        <w:pStyle w:val="Appendix"/>
        <w:spacing w:after="0"/>
        <w:jc w:val="both"/>
        <w:rPr>
          <w:rFonts w:ascii="Arial" w:hAnsi="Arial" w:cs="Arial"/>
          <w:b w:val="0"/>
        </w:rPr>
      </w:pPr>
    </w:p>
    <w:p w14:paraId="229B5582" w14:textId="77777777" w:rsidR="007110EC" w:rsidRPr="00607E75" w:rsidRDefault="007110EC" w:rsidP="00441B6F">
      <w:pPr>
        <w:pStyle w:val="Appendix"/>
        <w:spacing w:after="0"/>
        <w:jc w:val="both"/>
        <w:rPr>
          <w:rFonts w:ascii="Arial" w:hAnsi="Arial" w:cs="Arial"/>
          <w:b w:val="0"/>
        </w:rPr>
      </w:pPr>
    </w:p>
    <w:p w14:paraId="31015079" w14:textId="77777777" w:rsidR="007110EC" w:rsidRPr="00607E75" w:rsidRDefault="007110EC" w:rsidP="00441B6F">
      <w:pPr>
        <w:pStyle w:val="Appendix"/>
        <w:spacing w:after="0"/>
        <w:jc w:val="both"/>
        <w:rPr>
          <w:rFonts w:ascii="Arial" w:hAnsi="Arial" w:cs="Arial"/>
          <w:b w:val="0"/>
        </w:rPr>
      </w:pPr>
    </w:p>
    <w:p w14:paraId="5A4FCDCF" w14:textId="77777777" w:rsidR="007110EC" w:rsidRPr="00607E75" w:rsidRDefault="007110EC" w:rsidP="00441B6F">
      <w:pPr>
        <w:pStyle w:val="Appendix"/>
        <w:spacing w:after="0"/>
        <w:jc w:val="both"/>
        <w:rPr>
          <w:rFonts w:ascii="Arial" w:hAnsi="Arial" w:cs="Arial"/>
          <w:b w:val="0"/>
        </w:rPr>
      </w:pPr>
    </w:p>
    <w:p w14:paraId="50B192F8" w14:textId="77777777" w:rsidR="007110EC" w:rsidRPr="00607E75" w:rsidRDefault="007110EC" w:rsidP="00441B6F">
      <w:pPr>
        <w:pStyle w:val="Appendix"/>
        <w:spacing w:after="0"/>
        <w:jc w:val="both"/>
        <w:rPr>
          <w:rFonts w:ascii="Arial" w:hAnsi="Arial" w:cs="Arial"/>
          <w:b w:val="0"/>
        </w:rPr>
      </w:pPr>
    </w:p>
    <w:p w14:paraId="73D9141F" w14:textId="77777777" w:rsidR="007110EC" w:rsidRPr="00607E75" w:rsidRDefault="007110EC" w:rsidP="00441B6F">
      <w:pPr>
        <w:pStyle w:val="Appendix"/>
        <w:spacing w:after="0"/>
        <w:jc w:val="both"/>
        <w:rPr>
          <w:rFonts w:ascii="Arial" w:hAnsi="Arial" w:cs="Arial"/>
          <w:b w:val="0"/>
        </w:rPr>
      </w:pPr>
    </w:p>
    <w:p w14:paraId="0509B3EC" w14:textId="77777777" w:rsidR="007110EC" w:rsidRPr="00607E75" w:rsidRDefault="007110EC" w:rsidP="00441B6F">
      <w:pPr>
        <w:pStyle w:val="Appendix"/>
        <w:spacing w:after="0"/>
        <w:jc w:val="both"/>
        <w:rPr>
          <w:rFonts w:ascii="Arial" w:hAnsi="Arial" w:cs="Arial"/>
          <w:b w:val="0"/>
        </w:rPr>
      </w:pPr>
    </w:p>
    <w:p w14:paraId="07AFC27D" w14:textId="77777777" w:rsidR="007110EC" w:rsidRPr="00607E75" w:rsidRDefault="007110EC" w:rsidP="00441B6F">
      <w:pPr>
        <w:pStyle w:val="Appendix"/>
        <w:spacing w:after="0"/>
        <w:jc w:val="both"/>
        <w:rPr>
          <w:rFonts w:ascii="Arial" w:hAnsi="Arial" w:cs="Arial"/>
          <w:b w:val="0"/>
        </w:rPr>
      </w:pPr>
    </w:p>
    <w:p w14:paraId="17A68A82" w14:textId="77777777" w:rsidR="007110EC" w:rsidRPr="00607E75" w:rsidRDefault="007110EC" w:rsidP="00441B6F">
      <w:pPr>
        <w:pStyle w:val="Appendix"/>
        <w:spacing w:after="0"/>
        <w:jc w:val="both"/>
        <w:rPr>
          <w:rFonts w:ascii="Arial" w:hAnsi="Arial" w:cs="Arial"/>
          <w:b w:val="0"/>
        </w:rPr>
      </w:pPr>
    </w:p>
    <w:p w14:paraId="1F37B780" w14:textId="61659AE0" w:rsidR="007110EC" w:rsidRPr="00607E75" w:rsidRDefault="007110EC" w:rsidP="00441B6F">
      <w:pPr>
        <w:pStyle w:val="Appendix"/>
        <w:spacing w:after="0"/>
        <w:jc w:val="both"/>
        <w:rPr>
          <w:rFonts w:ascii="Arial" w:hAnsi="Arial" w:cs="Arial"/>
          <w:b w:val="0"/>
        </w:rPr>
      </w:pPr>
    </w:p>
    <w:p w14:paraId="08DE5911" w14:textId="77777777" w:rsidR="007110EC" w:rsidRPr="00607E75" w:rsidRDefault="007110EC" w:rsidP="00441B6F">
      <w:pPr>
        <w:pStyle w:val="Appendix"/>
        <w:spacing w:after="0"/>
        <w:jc w:val="both"/>
        <w:rPr>
          <w:rFonts w:ascii="Arial" w:hAnsi="Arial" w:cs="Arial"/>
          <w:b w:val="0"/>
        </w:rPr>
      </w:pPr>
    </w:p>
    <w:p w14:paraId="6AD11C96" w14:textId="77777777" w:rsidR="007110EC" w:rsidRPr="00607E75" w:rsidRDefault="007110EC" w:rsidP="00441B6F">
      <w:pPr>
        <w:pStyle w:val="Appendix"/>
        <w:spacing w:after="0"/>
        <w:jc w:val="both"/>
        <w:rPr>
          <w:rFonts w:ascii="Arial" w:hAnsi="Arial" w:cs="Arial"/>
          <w:b w:val="0"/>
        </w:rPr>
      </w:pPr>
    </w:p>
    <w:p w14:paraId="1CB9943B" w14:textId="77777777" w:rsidR="007110EC" w:rsidRPr="00607E75" w:rsidRDefault="007110EC" w:rsidP="00441B6F">
      <w:pPr>
        <w:pStyle w:val="Appendix"/>
        <w:spacing w:after="0"/>
        <w:jc w:val="both"/>
        <w:rPr>
          <w:rFonts w:ascii="Arial" w:hAnsi="Arial" w:cs="Arial"/>
          <w:b w:val="0"/>
        </w:rPr>
      </w:pPr>
    </w:p>
    <w:p w14:paraId="393A5411" w14:textId="77777777" w:rsidR="007110EC" w:rsidRPr="00607E75" w:rsidRDefault="007110EC" w:rsidP="00441B6F">
      <w:pPr>
        <w:pStyle w:val="Appendix"/>
        <w:spacing w:after="0"/>
        <w:jc w:val="both"/>
        <w:rPr>
          <w:rFonts w:ascii="Arial" w:hAnsi="Arial" w:cs="Arial"/>
          <w:b w:val="0"/>
        </w:rPr>
      </w:pPr>
    </w:p>
    <w:p w14:paraId="6D19D4D3" w14:textId="77777777" w:rsidR="007110EC" w:rsidRPr="00607E75" w:rsidRDefault="007110EC" w:rsidP="00441B6F">
      <w:pPr>
        <w:pStyle w:val="Appendix"/>
        <w:spacing w:after="0"/>
        <w:jc w:val="both"/>
        <w:rPr>
          <w:rFonts w:ascii="Arial" w:hAnsi="Arial" w:cs="Arial"/>
          <w:b w:val="0"/>
        </w:rPr>
      </w:pPr>
    </w:p>
    <w:p w14:paraId="401EA23E" w14:textId="77777777" w:rsidR="007110EC" w:rsidRPr="00607E75" w:rsidRDefault="007110EC" w:rsidP="00441B6F">
      <w:pPr>
        <w:pStyle w:val="Appendix"/>
        <w:spacing w:after="0"/>
        <w:jc w:val="both"/>
        <w:rPr>
          <w:rFonts w:ascii="Arial" w:hAnsi="Arial" w:cs="Arial"/>
          <w:b w:val="0"/>
        </w:rPr>
      </w:pPr>
    </w:p>
    <w:p w14:paraId="7AA8AAB5" w14:textId="77777777" w:rsidR="007110EC" w:rsidRPr="00607E75" w:rsidRDefault="007110EC" w:rsidP="00441B6F">
      <w:pPr>
        <w:pStyle w:val="Appendix"/>
        <w:spacing w:after="0"/>
        <w:jc w:val="both"/>
        <w:rPr>
          <w:rFonts w:ascii="Arial" w:hAnsi="Arial" w:cs="Arial"/>
          <w:b w:val="0"/>
        </w:rPr>
      </w:pPr>
    </w:p>
    <w:p w14:paraId="4A0B71E7" w14:textId="77777777" w:rsidR="007110EC" w:rsidRPr="00607E75" w:rsidRDefault="007110EC" w:rsidP="00441B6F">
      <w:pPr>
        <w:pStyle w:val="Appendix"/>
        <w:spacing w:after="0"/>
        <w:jc w:val="both"/>
        <w:rPr>
          <w:rFonts w:ascii="Arial" w:hAnsi="Arial" w:cs="Arial"/>
          <w:b w:val="0"/>
        </w:rPr>
      </w:pPr>
    </w:p>
    <w:p w14:paraId="6AB94DE5" w14:textId="2AA70FF8" w:rsidR="007110EC" w:rsidRPr="00607E75" w:rsidRDefault="007110EC" w:rsidP="00441B6F">
      <w:pPr>
        <w:pStyle w:val="Appendix"/>
        <w:spacing w:after="0"/>
        <w:jc w:val="both"/>
        <w:rPr>
          <w:rFonts w:ascii="Arial" w:hAnsi="Arial" w:cs="Arial"/>
          <w:b w:val="0"/>
        </w:rPr>
      </w:pPr>
    </w:p>
    <w:p w14:paraId="0347AE07" w14:textId="77777777" w:rsidR="007110EC" w:rsidRPr="00607E75" w:rsidRDefault="007110EC" w:rsidP="00441B6F">
      <w:pPr>
        <w:pStyle w:val="Appendix"/>
        <w:spacing w:after="0"/>
        <w:jc w:val="both"/>
        <w:rPr>
          <w:rFonts w:ascii="Arial" w:hAnsi="Arial" w:cs="Arial"/>
          <w:b w:val="0"/>
        </w:rPr>
      </w:pPr>
    </w:p>
    <w:p w14:paraId="2490B0C3" w14:textId="03AE94E4" w:rsidR="007110EC" w:rsidRPr="00607E75" w:rsidRDefault="007110EC" w:rsidP="00441B6F">
      <w:pPr>
        <w:pStyle w:val="Appendix"/>
        <w:spacing w:after="0"/>
        <w:jc w:val="both"/>
        <w:rPr>
          <w:rFonts w:ascii="Arial" w:hAnsi="Arial" w:cs="Arial"/>
          <w:b w:val="0"/>
        </w:rPr>
      </w:pPr>
    </w:p>
    <w:p w14:paraId="6649A288" w14:textId="66034091" w:rsidR="007110EC" w:rsidRPr="00607E75" w:rsidRDefault="007110EC" w:rsidP="00441B6F">
      <w:pPr>
        <w:pStyle w:val="Appendix"/>
        <w:spacing w:after="0"/>
        <w:jc w:val="both"/>
        <w:rPr>
          <w:rFonts w:ascii="Arial" w:hAnsi="Arial" w:cs="Arial"/>
          <w:b w:val="0"/>
        </w:rPr>
      </w:pPr>
    </w:p>
    <w:p w14:paraId="74C79FE8" w14:textId="77777777" w:rsidR="007110EC" w:rsidRPr="00607E75" w:rsidRDefault="007110EC" w:rsidP="00441B6F">
      <w:pPr>
        <w:pStyle w:val="Appendix"/>
        <w:spacing w:after="0"/>
        <w:jc w:val="both"/>
        <w:rPr>
          <w:rFonts w:ascii="Arial" w:hAnsi="Arial" w:cs="Arial"/>
          <w:b w:val="0"/>
        </w:rPr>
      </w:pPr>
    </w:p>
    <w:p w14:paraId="7603B236" w14:textId="77777777" w:rsidR="007110EC" w:rsidRPr="00607E75" w:rsidRDefault="007110EC" w:rsidP="00441B6F">
      <w:pPr>
        <w:pStyle w:val="Appendix"/>
        <w:spacing w:after="0"/>
        <w:jc w:val="both"/>
        <w:rPr>
          <w:rFonts w:ascii="Arial" w:hAnsi="Arial" w:cs="Arial"/>
          <w:b w:val="0"/>
        </w:rPr>
      </w:pPr>
    </w:p>
    <w:p w14:paraId="2BA5BB83" w14:textId="77777777" w:rsidR="007110EC" w:rsidRPr="00607E75" w:rsidRDefault="007110EC" w:rsidP="00441B6F">
      <w:pPr>
        <w:pStyle w:val="Appendix"/>
        <w:spacing w:after="0"/>
        <w:jc w:val="both"/>
        <w:rPr>
          <w:rFonts w:ascii="Arial" w:hAnsi="Arial" w:cs="Arial"/>
          <w:b w:val="0"/>
        </w:rPr>
      </w:pPr>
    </w:p>
    <w:p w14:paraId="18B6ED85" w14:textId="77777777" w:rsidR="007110EC" w:rsidRPr="00607E75" w:rsidRDefault="007110EC" w:rsidP="00441B6F">
      <w:pPr>
        <w:pStyle w:val="Appendix"/>
        <w:spacing w:after="0"/>
        <w:jc w:val="both"/>
        <w:rPr>
          <w:rFonts w:ascii="Arial" w:hAnsi="Arial" w:cs="Arial"/>
          <w:b w:val="0"/>
        </w:rPr>
      </w:pPr>
    </w:p>
    <w:p w14:paraId="02B6E39B" w14:textId="77777777" w:rsidR="007110EC" w:rsidRPr="00607E75" w:rsidRDefault="007110EC" w:rsidP="00441B6F">
      <w:pPr>
        <w:pStyle w:val="Appendix"/>
        <w:spacing w:after="0"/>
        <w:jc w:val="both"/>
        <w:rPr>
          <w:rFonts w:ascii="Arial" w:hAnsi="Arial" w:cs="Arial"/>
          <w:b w:val="0"/>
        </w:rPr>
      </w:pPr>
    </w:p>
    <w:p w14:paraId="6F567606" w14:textId="77777777" w:rsidR="007110EC" w:rsidRPr="00607E75" w:rsidRDefault="007110EC" w:rsidP="00441B6F">
      <w:pPr>
        <w:pStyle w:val="Appendix"/>
        <w:spacing w:after="0"/>
        <w:jc w:val="both"/>
        <w:rPr>
          <w:rFonts w:ascii="Arial" w:hAnsi="Arial" w:cs="Arial"/>
          <w:b w:val="0"/>
        </w:rPr>
      </w:pPr>
    </w:p>
    <w:p w14:paraId="4103DD32" w14:textId="77777777" w:rsidR="007110EC" w:rsidRPr="00607E75" w:rsidRDefault="007110EC" w:rsidP="00441B6F">
      <w:pPr>
        <w:pStyle w:val="Appendix"/>
        <w:spacing w:after="0"/>
        <w:jc w:val="both"/>
        <w:rPr>
          <w:rFonts w:ascii="Arial" w:hAnsi="Arial" w:cs="Arial"/>
          <w:b w:val="0"/>
        </w:rPr>
      </w:pPr>
    </w:p>
    <w:p w14:paraId="3E0212A7" w14:textId="77777777" w:rsidR="007110EC" w:rsidRPr="00607E75" w:rsidRDefault="007110EC" w:rsidP="00441B6F">
      <w:pPr>
        <w:pStyle w:val="Appendix"/>
        <w:spacing w:after="0"/>
        <w:jc w:val="both"/>
        <w:rPr>
          <w:rFonts w:ascii="Arial" w:hAnsi="Arial" w:cs="Arial"/>
          <w:b w:val="0"/>
        </w:rPr>
      </w:pPr>
    </w:p>
    <w:p w14:paraId="15C1645F" w14:textId="77777777" w:rsidR="007110EC" w:rsidRPr="00607E75" w:rsidRDefault="007110EC" w:rsidP="00441B6F">
      <w:pPr>
        <w:pStyle w:val="Appendix"/>
        <w:spacing w:after="0"/>
        <w:jc w:val="both"/>
        <w:rPr>
          <w:rFonts w:ascii="Arial" w:hAnsi="Arial" w:cs="Arial"/>
          <w:b w:val="0"/>
        </w:rPr>
      </w:pPr>
    </w:p>
    <w:p w14:paraId="3FCB4DA1" w14:textId="77777777" w:rsidR="007110EC" w:rsidRPr="00607E75" w:rsidRDefault="007110EC" w:rsidP="00441B6F">
      <w:pPr>
        <w:pStyle w:val="Appendix"/>
        <w:spacing w:after="0"/>
        <w:jc w:val="both"/>
        <w:rPr>
          <w:rFonts w:ascii="Arial" w:hAnsi="Arial" w:cs="Arial"/>
          <w:b w:val="0"/>
        </w:rPr>
      </w:pPr>
    </w:p>
    <w:p w14:paraId="5C4EA99C" w14:textId="77777777" w:rsidR="007110EC" w:rsidRPr="00607E75" w:rsidRDefault="007110EC" w:rsidP="00441B6F">
      <w:pPr>
        <w:pStyle w:val="Appendix"/>
        <w:spacing w:after="0"/>
        <w:jc w:val="both"/>
        <w:rPr>
          <w:rFonts w:ascii="Arial" w:hAnsi="Arial" w:cs="Arial"/>
          <w:b w:val="0"/>
        </w:rPr>
      </w:pPr>
    </w:p>
    <w:p w14:paraId="324C9061" w14:textId="77777777" w:rsidR="007110EC" w:rsidRPr="00607E75" w:rsidRDefault="007110EC" w:rsidP="00441B6F">
      <w:pPr>
        <w:pStyle w:val="Appendix"/>
        <w:spacing w:after="0"/>
        <w:jc w:val="both"/>
        <w:rPr>
          <w:rFonts w:ascii="Arial" w:hAnsi="Arial" w:cs="Arial"/>
          <w:b w:val="0"/>
        </w:rPr>
      </w:pPr>
    </w:p>
    <w:p w14:paraId="686BFED4" w14:textId="77777777" w:rsidR="007110EC" w:rsidRPr="00607E75" w:rsidRDefault="007110EC" w:rsidP="00441B6F">
      <w:pPr>
        <w:pStyle w:val="Appendix"/>
        <w:spacing w:after="0"/>
        <w:jc w:val="both"/>
        <w:rPr>
          <w:rFonts w:ascii="Arial" w:hAnsi="Arial" w:cs="Arial"/>
          <w:b w:val="0"/>
        </w:rPr>
      </w:pPr>
    </w:p>
    <w:p w14:paraId="48E0F7FB" w14:textId="77777777" w:rsidR="007110EC" w:rsidRPr="00607E75" w:rsidRDefault="007110EC" w:rsidP="00441B6F">
      <w:pPr>
        <w:pStyle w:val="Appendix"/>
        <w:spacing w:after="0"/>
        <w:jc w:val="both"/>
        <w:rPr>
          <w:rFonts w:ascii="Arial" w:hAnsi="Arial" w:cs="Arial"/>
          <w:b w:val="0"/>
        </w:rPr>
      </w:pPr>
    </w:p>
    <w:p w14:paraId="66998E74" w14:textId="77777777" w:rsidR="007110EC" w:rsidRPr="00607E75" w:rsidRDefault="007110EC" w:rsidP="00441B6F">
      <w:pPr>
        <w:pStyle w:val="Appendix"/>
        <w:spacing w:after="0"/>
        <w:jc w:val="both"/>
        <w:rPr>
          <w:rFonts w:ascii="Arial" w:hAnsi="Arial" w:cs="Arial"/>
          <w:b w:val="0"/>
        </w:rPr>
      </w:pPr>
    </w:p>
    <w:p w14:paraId="20DE09F6" w14:textId="77777777" w:rsidR="007110EC" w:rsidRPr="00607E75" w:rsidRDefault="007110EC" w:rsidP="00441B6F">
      <w:pPr>
        <w:pStyle w:val="Appendix"/>
        <w:spacing w:after="0"/>
        <w:jc w:val="both"/>
        <w:rPr>
          <w:rFonts w:ascii="Arial" w:hAnsi="Arial" w:cs="Arial"/>
          <w:b w:val="0"/>
        </w:rPr>
      </w:pPr>
    </w:p>
    <w:p w14:paraId="09A2CADB" w14:textId="77777777" w:rsidR="007110EC" w:rsidRPr="00607E75" w:rsidRDefault="007110EC" w:rsidP="00441B6F">
      <w:pPr>
        <w:pStyle w:val="Appendix"/>
        <w:spacing w:after="0"/>
        <w:jc w:val="both"/>
        <w:rPr>
          <w:rFonts w:ascii="Arial" w:hAnsi="Arial" w:cs="Arial"/>
          <w:b w:val="0"/>
        </w:rPr>
      </w:pPr>
    </w:p>
    <w:p w14:paraId="03C3BDC4" w14:textId="77777777" w:rsidR="007110EC" w:rsidRPr="00607E75" w:rsidRDefault="007110EC" w:rsidP="00441B6F">
      <w:pPr>
        <w:pStyle w:val="Appendix"/>
        <w:spacing w:after="0"/>
        <w:jc w:val="both"/>
        <w:rPr>
          <w:rFonts w:ascii="Arial" w:hAnsi="Arial" w:cs="Arial"/>
          <w:b w:val="0"/>
        </w:rPr>
      </w:pPr>
    </w:p>
    <w:p w14:paraId="39CB41BD" w14:textId="77777777" w:rsidR="007110EC" w:rsidRPr="00607E75" w:rsidRDefault="007110EC" w:rsidP="00441B6F">
      <w:pPr>
        <w:pStyle w:val="Appendix"/>
        <w:spacing w:after="0"/>
        <w:jc w:val="both"/>
        <w:rPr>
          <w:rFonts w:ascii="Arial" w:hAnsi="Arial" w:cs="Arial"/>
          <w:b w:val="0"/>
        </w:rPr>
      </w:pPr>
    </w:p>
    <w:p w14:paraId="3D57E929" w14:textId="77777777" w:rsidR="007110EC" w:rsidRPr="00607E75" w:rsidRDefault="007110EC" w:rsidP="00441B6F">
      <w:pPr>
        <w:pStyle w:val="Appendix"/>
        <w:spacing w:after="0"/>
        <w:jc w:val="both"/>
        <w:rPr>
          <w:rFonts w:ascii="Arial" w:hAnsi="Arial" w:cs="Arial"/>
          <w:b w:val="0"/>
        </w:rPr>
      </w:pPr>
    </w:p>
    <w:p w14:paraId="55E6D582" w14:textId="77777777" w:rsidR="007110EC" w:rsidRPr="00607E75" w:rsidRDefault="007110EC" w:rsidP="00441B6F">
      <w:pPr>
        <w:pStyle w:val="Appendix"/>
        <w:spacing w:after="0"/>
        <w:jc w:val="both"/>
        <w:rPr>
          <w:rFonts w:ascii="Arial" w:hAnsi="Arial" w:cs="Arial"/>
          <w:b w:val="0"/>
        </w:rPr>
      </w:pPr>
    </w:p>
    <w:p w14:paraId="4E332BC9" w14:textId="77777777" w:rsidR="007110EC" w:rsidRPr="00607E75" w:rsidRDefault="007110EC" w:rsidP="00441B6F">
      <w:pPr>
        <w:pStyle w:val="Appendix"/>
        <w:spacing w:after="0"/>
        <w:jc w:val="both"/>
        <w:rPr>
          <w:rFonts w:ascii="Arial" w:hAnsi="Arial" w:cs="Arial"/>
          <w:b w:val="0"/>
        </w:rPr>
      </w:pPr>
    </w:p>
    <w:p w14:paraId="0DB4E7CC" w14:textId="77777777" w:rsidR="007110EC" w:rsidRPr="00607E75" w:rsidRDefault="007110EC" w:rsidP="00441B6F">
      <w:pPr>
        <w:pStyle w:val="Appendix"/>
        <w:spacing w:after="0"/>
        <w:jc w:val="both"/>
        <w:rPr>
          <w:rFonts w:ascii="Arial" w:hAnsi="Arial" w:cs="Arial"/>
          <w:b w:val="0"/>
        </w:rPr>
      </w:pPr>
    </w:p>
    <w:p w14:paraId="014BF961" w14:textId="77777777" w:rsidR="007110EC" w:rsidRPr="00607E75" w:rsidRDefault="007110EC" w:rsidP="00441B6F">
      <w:pPr>
        <w:pStyle w:val="Appendix"/>
        <w:spacing w:after="0"/>
        <w:jc w:val="both"/>
        <w:rPr>
          <w:rFonts w:ascii="Arial" w:hAnsi="Arial" w:cs="Arial"/>
          <w:b w:val="0"/>
        </w:rPr>
      </w:pPr>
    </w:p>
    <w:p w14:paraId="3D6E0C11" w14:textId="77777777" w:rsidR="007110EC" w:rsidRPr="00607E75" w:rsidRDefault="007110EC" w:rsidP="00441B6F">
      <w:pPr>
        <w:pStyle w:val="Appendix"/>
        <w:spacing w:after="0"/>
        <w:jc w:val="both"/>
        <w:rPr>
          <w:rFonts w:ascii="Arial" w:hAnsi="Arial" w:cs="Arial"/>
          <w:b w:val="0"/>
        </w:rPr>
      </w:pPr>
    </w:p>
    <w:p w14:paraId="1781971B" w14:textId="77777777" w:rsidR="007110EC" w:rsidRPr="00607E75" w:rsidRDefault="007110EC" w:rsidP="00441B6F">
      <w:pPr>
        <w:pStyle w:val="Appendix"/>
        <w:spacing w:after="0"/>
        <w:jc w:val="both"/>
        <w:rPr>
          <w:rFonts w:ascii="Arial" w:hAnsi="Arial" w:cs="Arial"/>
          <w:b w:val="0"/>
        </w:rPr>
      </w:pPr>
    </w:p>
    <w:p w14:paraId="66590C56" w14:textId="77777777" w:rsidR="007110EC" w:rsidRPr="00607E75" w:rsidRDefault="007110EC" w:rsidP="00441B6F">
      <w:pPr>
        <w:pStyle w:val="Appendix"/>
        <w:spacing w:after="0"/>
        <w:jc w:val="both"/>
        <w:rPr>
          <w:rFonts w:ascii="Arial" w:hAnsi="Arial" w:cs="Arial"/>
          <w:b w:val="0"/>
        </w:rPr>
      </w:pPr>
    </w:p>
    <w:p w14:paraId="686A3C79" w14:textId="77777777" w:rsidR="007110EC" w:rsidRPr="00607E75" w:rsidRDefault="007110EC" w:rsidP="00441B6F">
      <w:pPr>
        <w:pStyle w:val="Appendix"/>
        <w:spacing w:after="0"/>
        <w:jc w:val="both"/>
        <w:rPr>
          <w:rFonts w:ascii="Arial" w:hAnsi="Arial" w:cs="Arial"/>
          <w:b w:val="0"/>
        </w:rPr>
      </w:pPr>
    </w:p>
    <w:p w14:paraId="2C67328C" w14:textId="77777777" w:rsidR="007110EC" w:rsidRPr="00607E75" w:rsidRDefault="007110EC" w:rsidP="00441B6F">
      <w:pPr>
        <w:pStyle w:val="Appendix"/>
        <w:spacing w:after="0"/>
        <w:jc w:val="both"/>
        <w:rPr>
          <w:rFonts w:ascii="Arial" w:hAnsi="Arial" w:cs="Arial"/>
          <w:b w:val="0"/>
        </w:rPr>
      </w:pPr>
    </w:p>
    <w:p w14:paraId="7320D1EF" w14:textId="77777777" w:rsidR="007110EC" w:rsidRPr="00607E75" w:rsidRDefault="007110EC" w:rsidP="00441B6F">
      <w:pPr>
        <w:pStyle w:val="Appendix"/>
        <w:spacing w:after="0"/>
        <w:jc w:val="both"/>
        <w:rPr>
          <w:rFonts w:ascii="Arial" w:hAnsi="Arial" w:cs="Arial"/>
          <w:b w:val="0"/>
        </w:rPr>
      </w:pPr>
    </w:p>
    <w:p w14:paraId="4A5D5E7B" w14:textId="77777777" w:rsidR="007110EC" w:rsidRPr="00607E75" w:rsidRDefault="007110EC" w:rsidP="00441B6F">
      <w:pPr>
        <w:pStyle w:val="Appendix"/>
        <w:spacing w:after="0"/>
        <w:jc w:val="both"/>
        <w:rPr>
          <w:rFonts w:ascii="Arial" w:hAnsi="Arial" w:cs="Arial"/>
          <w:b w:val="0"/>
        </w:rPr>
      </w:pPr>
    </w:p>
    <w:p w14:paraId="072F854C" w14:textId="77777777" w:rsidR="007110EC" w:rsidRPr="00607E75" w:rsidRDefault="007110EC" w:rsidP="00441B6F">
      <w:pPr>
        <w:pStyle w:val="Appendix"/>
        <w:spacing w:after="0"/>
        <w:jc w:val="both"/>
        <w:rPr>
          <w:rFonts w:ascii="Arial" w:hAnsi="Arial" w:cs="Arial"/>
          <w:b w:val="0"/>
        </w:rPr>
      </w:pPr>
    </w:p>
    <w:p w14:paraId="6F5A4729" w14:textId="77777777" w:rsidR="007110EC" w:rsidRPr="00607E75" w:rsidRDefault="007110EC" w:rsidP="00441B6F">
      <w:pPr>
        <w:pStyle w:val="Appendix"/>
        <w:spacing w:after="0"/>
        <w:jc w:val="both"/>
        <w:rPr>
          <w:rFonts w:ascii="Arial" w:hAnsi="Arial" w:cs="Arial"/>
          <w:b w:val="0"/>
        </w:rPr>
      </w:pPr>
    </w:p>
    <w:p w14:paraId="5F93EF52" w14:textId="77777777" w:rsidR="007110EC" w:rsidRPr="00607E75" w:rsidRDefault="007110EC" w:rsidP="00441B6F">
      <w:pPr>
        <w:pStyle w:val="Appendix"/>
        <w:spacing w:after="0"/>
        <w:jc w:val="both"/>
        <w:rPr>
          <w:rFonts w:ascii="Arial" w:hAnsi="Arial" w:cs="Arial"/>
          <w:b w:val="0"/>
        </w:rPr>
      </w:pPr>
    </w:p>
    <w:p w14:paraId="4F435AE8" w14:textId="77777777" w:rsidR="007110EC" w:rsidRPr="00607E75" w:rsidRDefault="007110EC" w:rsidP="00441B6F">
      <w:pPr>
        <w:pStyle w:val="Appendix"/>
        <w:spacing w:after="0"/>
        <w:jc w:val="both"/>
        <w:rPr>
          <w:rFonts w:ascii="Arial" w:hAnsi="Arial" w:cs="Arial"/>
          <w:b w:val="0"/>
        </w:rPr>
      </w:pPr>
    </w:p>
    <w:p w14:paraId="6A5C507B" w14:textId="77777777" w:rsidR="007110EC" w:rsidRPr="00607E75" w:rsidRDefault="007110EC" w:rsidP="00441B6F">
      <w:pPr>
        <w:pStyle w:val="Appendix"/>
        <w:spacing w:after="0"/>
        <w:jc w:val="both"/>
        <w:rPr>
          <w:rFonts w:ascii="Arial" w:hAnsi="Arial" w:cs="Arial"/>
          <w:b w:val="0"/>
        </w:rPr>
      </w:pPr>
    </w:p>
    <w:p w14:paraId="4AFE3CF2" w14:textId="58AB7632" w:rsidR="007110EC" w:rsidRPr="00607E75" w:rsidRDefault="007110EC" w:rsidP="00441B6F">
      <w:pPr>
        <w:pStyle w:val="Appendix"/>
        <w:spacing w:after="0"/>
        <w:jc w:val="both"/>
        <w:rPr>
          <w:rFonts w:ascii="Arial" w:hAnsi="Arial" w:cs="Arial"/>
          <w:b w:val="0"/>
        </w:rPr>
      </w:pPr>
    </w:p>
    <w:sectPr w:rsidR="007110EC" w:rsidRPr="00607E75" w:rsidSect="001B0D8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3A1E" w14:textId="77777777" w:rsidR="00C77059" w:rsidRDefault="00C77059" w:rsidP="00C37E61">
      <w:r>
        <w:separator/>
      </w:r>
    </w:p>
  </w:endnote>
  <w:endnote w:type="continuationSeparator" w:id="0">
    <w:p w14:paraId="13043345" w14:textId="77777777" w:rsidR="00C77059" w:rsidRDefault="00C770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01F4" w14:textId="77777777" w:rsidR="009E048A" w:rsidRDefault="009E048A">
    <w:pPr>
      <w:pStyle w:val="Footer"/>
      <w:rPr>
        <w:rFonts w:ascii="Arial" w:hAnsi="Arial" w:cs="Arial"/>
        <w:sz w:val="16"/>
      </w:rPr>
    </w:pPr>
  </w:p>
  <w:p w14:paraId="48D4D7A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8626F7F" w14:textId="77777777" w:rsidR="009E048A" w:rsidRDefault="009E048A">
    <w:pPr>
      <w:pStyle w:val="Footer"/>
      <w:rPr>
        <w:rFonts w:ascii="Arial" w:hAnsi="Arial" w:cs="Arial"/>
        <w:sz w:val="16"/>
      </w:rPr>
    </w:pPr>
  </w:p>
  <w:p w14:paraId="635C33B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AF0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F775" w14:textId="77777777" w:rsidR="00C77059" w:rsidRDefault="00C77059" w:rsidP="00C37E61">
      <w:r>
        <w:separator/>
      </w:r>
    </w:p>
  </w:footnote>
  <w:footnote w:type="continuationSeparator" w:id="0">
    <w:p w14:paraId="45476EB5" w14:textId="77777777" w:rsidR="00C77059" w:rsidRDefault="00C770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36E9" w14:textId="4C788C4F" w:rsidR="00412735" w:rsidRDefault="00C77059">
    <w:pPr>
      <w:pStyle w:val="Header"/>
    </w:pPr>
    <w:r>
      <w:rPr>
        <w:noProof/>
      </w:rPr>
      <w:pict w14:anchorId="3119F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FA74" w14:textId="3B616F21" w:rsidR="00412735" w:rsidRDefault="00C77059">
    <w:pPr>
      <w:pStyle w:val="Header"/>
    </w:pPr>
    <w:r>
      <w:rPr>
        <w:noProof/>
      </w:rPr>
      <w:pict w14:anchorId="71A3F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C85A" w14:textId="7F3E0A3B" w:rsidR="00296529" w:rsidRPr="00296529" w:rsidRDefault="00C77059" w:rsidP="00296529">
    <w:pPr>
      <w:ind w:left="2160"/>
      <w:jc w:val="center"/>
      <w:rPr>
        <w:rFonts w:ascii="Times New Roman" w:eastAsia="Calibri" w:hAnsi="Times New Roman"/>
        <w:i/>
        <w:sz w:val="18"/>
        <w:szCs w:val="22"/>
      </w:rPr>
    </w:pPr>
    <w:r>
      <w:rPr>
        <w:noProof/>
      </w:rPr>
      <w:pict w14:anchorId="6C4A7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0F185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2473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5DB5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106C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0EB26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DFC8C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C979" w14:textId="74956C95" w:rsidR="00412735" w:rsidRDefault="00C77059">
    <w:pPr>
      <w:pStyle w:val="Header"/>
    </w:pPr>
    <w:r>
      <w:rPr>
        <w:noProof/>
      </w:rPr>
      <w:pict w14:anchorId="0877B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071C" w14:textId="119026E0" w:rsidR="00412735" w:rsidRDefault="00C77059">
    <w:pPr>
      <w:pStyle w:val="Header"/>
    </w:pPr>
    <w:r>
      <w:rPr>
        <w:noProof/>
      </w:rPr>
      <w:pict w14:anchorId="1A964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CF91" w14:textId="12FE64F0" w:rsidR="00412735" w:rsidRDefault="00C77059">
    <w:pPr>
      <w:pStyle w:val="Header"/>
    </w:pPr>
    <w:r>
      <w:rPr>
        <w:noProof/>
      </w:rPr>
      <w:pict w14:anchorId="41D13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7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C1553"/>
    <w:rsid w:val="000D06B3"/>
    <w:rsid w:val="000D1AFD"/>
    <w:rsid w:val="000D689F"/>
    <w:rsid w:val="000E4FED"/>
    <w:rsid w:val="000E5A54"/>
    <w:rsid w:val="000E7B7B"/>
    <w:rsid w:val="000E7D62"/>
    <w:rsid w:val="00103357"/>
    <w:rsid w:val="00123C9F"/>
    <w:rsid w:val="00126190"/>
    <w:rsid w:val="00130F17"/>
    <w:rsid w:val="001320BF"/>
    <w:rsid w:val="00132920"/>
    <w:rsid w:val="00136460"/>
    <w:rsid w:val="00143326"/>
    <w:rsid w:val="00143856"/>
    <w:rsid w:val="00163BC4"/>
    <w:rsid w:val="00184A3C"/>
    <w:rsid w:val="0018744C"/>
    <w:rsid w:val="00191062"/>
    <w:rsid w:val="00192B72"/>
    <w:rsid w:val="001A29D8"/>
    <w:rsid w:val="001A5CAA"/>
    <w:rsid w:val="001B0427"/>
    <w:rsid w:val="001B0D84"/>
    <w:rsid w:val="001B3E24"/>
    <w:rsid w:val="001D0454"/>
    <w:rsid w:val="001D3A51"/>
    <w:rsid w:val="001E10D2"/>
    <w:rsid w:val="001E17DC"/>
    <w:rsid w:val="001E25B4"/>
    <w:rsid w:val="001E44FE"/>
    <w:rsid w:val="001F5F94"/>
    <w:rsid w:val="00200595"/>
    <w:rsid w:val="00204835"/>
    <w:rsid w:val="00216778"/>
    <w:rsid w:val="00224ADA"/>
    <w:rsid w:val="00230CF4"/>
    <w:rsid w:val="00231920"/>
    <w:rsid w:val="0023195C"/>
    <w:rsid w:val="00235283"/>
    <w:rsid w:val="0024282C"/>
    <w:rsid w:val="002455BD"/>
    <w:rsid w:val="002460DC"/>
    <w:rsid w:val="00250985"/>
    <w:rsid w:val="002536DF"/>
    <w:rsid w:val="002556F6"/>
    <w:rsid w:val="00275D52"/>
    <w:rsid w:val="00283105"/>
    <w:rsid w:val="00284C4C"/>
    <w:rsid w:val="00287E68"/>
    <w:rsid w:val="00296529"/>
    <w:rsid w:val="002B27FB"/>
    <w:rsid w:val="002B685A"/>
    <w:rsid w:val="002C57D2"/>
    <w:rsid w:val="002D0D93"/>
    <w:rsid w:val="002E0D56"/>
    <w:rsid w:val="003078E2"/>
    <w:rsid w:val="003121B6"/>
    <w:rsid w:val="00315186"/>
    <w:rsid w:val="00320850"/>
    <w:rsid w:val="0033343E"/>
    <w:rsid w:val="0034476C"/>
    <w:rsid w:val="003512C2"/>
    <w:rsid w:val="00371FB6"/>
    <w:rsid w:val="00374CC5"/>
    <w:rsid w:val="003763C1"/>
    <w:rsid w:val="00376BBE"/>
    <w:rsid w:val="003873ED"/>
    <w:rsid w:val="0039224F"/>
    <w:rsid w:val="003A43A4"/>
    <w:rsid w:val="003A7E18"/>
    <w:rsid w:val="003C4C86"/>
    <w:rsid w:val="003C6258"/>
    <w:rsid w:val="003C6FFA"/>
    <w:rsid w:val="003D6BEF"/>
    <w:rsid w:val="003E2904"/>
    <w:rsid w:val="003F1303"/>
    <w:rsid w:val="00401927"/>
    <w:rsid w:val="0041027F"/>
    <w:rsid w:val="00412475"/>
    <w:rsid w:val="00412735"/>
    <w:rsid w:val="00412D0D"/>
    <w:rsid w:val="00423789"/>
    <w:rsid w:val="00440F43"/>
    <w:rsid w:val="00441B6F"/>
    <w:rsid w:val="00446221"/>
    <w:rsid w:val="00447036"/>
    <w:rsid w:val="00450E62"/>
    <w:rsid w:val="004539DB"/>
    <w:rsid w:val="00471A80"/>
    <w:rsid w:val="004814B2"/>
    <w:rsid w:val="004B5904"/>
    <w:rsid w:val="004C5738"/>
    <w:rsid w:val="004D305E"/>
    <w:rsid w:val="004D4277"/>
    <w:rsid w:val="004D684C"/>
    <w:rsid w:val="004D7AB3"/>
    <w:rsid w:val="00502516"/>
    <w:rsid w:val="00505F06"/>
    <w:rsid w:val="0050635B"/>
    <w:rsid w:val="00506828"/>
    <w:rsid w:val="0053056E"/>
    <w:rsid w:val="00554FDA"/>
    <w:rsid w:val="00567AEB"/>
    <w:rsid w:val="00576504"/>
    <w:rsid w:val="0057773F"/>
    <w:rsid w:val="005A690F"/>
    <w:rsid w:val="005C4D87"/>
    <w:rsid w:val="005C784C"/>
    <w:rsid w:val="005D17F6"/>
    <w:rsid w:val="005E4CE0"/>
    <w:rsid w:val="005E5539"/>
    <w:rsid w:val="005F0A3C"/>
    <w:rsid w:val="006008F0"/>
    <w:rsid w:val="00602BF5"/>
    <w:rsid w:val="0060553C"/>
    <w:rsid w:val="00607E75"/>
    <w:rsid w:val="00617FDD"/>
    <w:rsid w:val="00633614"/>
    <w:rsid w:val="00633F68"/>
    <w:rsid w:val="00636EB2"/>
    <w:rsid w:val="006375B8"/>
    <w:rsid w:val="00661B4B"/>
    <w:rsid w:val="0066510A"/>
    <w:rsid w:val="00673A65"/>
    <w:rsid w:val="00673F9F"/>
    <w:rsid w:val="00686953"/>
    <w:rsid w:val="00687DEA"/>
    <w:rsid w:val="00687E67"/>
    <w:rsid w:val="006967F7"/>
    <w:rsid w:val="00696B07"/>
    <w:rsid w:val="006A250C"/>
    <w:rsid w:val="006B08A1"/>
    <w:rsid w:val="006B21D3"/>
    <w:rsid w:val="006B57D0"/>
    <w:rsid w:val="006C7905"/>
    <w:rsid w:val="006D30FF"/>
    <w:rsid w:val="006D6940"/>
    <w:rsid w:val="006F11EC"/>
    <w:rsid w:val="006F5B5D"/>
    <w:rsid w:val="0070082C"/>
    <w:rsid w:val="007110EC"/>
    <w:rsid w:val="00733073"/>
    <w:rsid w:val="007369E6"/>
    <w:rsid w:val="00746E59"/>
    <w:rsid w:val="00754C9A"/>
    <w:rsid w:val="0075599A"/>
    <w:rsid w:val="00761D52"/>
    <w:rsid w:val="00776174"/>
    <w:rsid w:val="0077749E"/>
    <w:rsid w:val="00790ADA"/>
    <w:rsid w:val="007B7445"/>
    <w:rsid w:val="007D2288"/>
    <w:rsid w:val="007E088F"/>
    <w:rsid w:val="007F7B32"/>
    <w:rsid w:val="00801FE6"/>
    <w:rsid w:val="00804BC2"/>
    <w:rsid w:val="0081431A"/>
    <w:rsid w:val="0083216F"/>
    <w:rsid w:val="00837270"/>
    <w:rsid w:val="0084032C"/>
    <w:rsid w:val="00840DB0"/>
    <w:rsid w:val="00860000"/>
    <w:rsid w:val="00863BD3"/>
    <w:rsid w:val="008641ED"/>
    <w:rsid w:val="00866D66"/>
    <w:rsid w:val="008671C6"/>
    <w:rsid w:val="008678A3"/>
    <w:rsid w:val="00875803"/>
    <w:rsid w:val="00876E40"/>
    <w:rsid w:val="008A051F"/>
    <w:rsid w:val="008B3353"/>
    <w:rsid w:val="008B459E"/>
    <w:rsid w:val="008C2167"/>
    <w:rsid w:val="008E13AE"/>
    <w:rsid w:val="008E1506"/>
    <w:rsid w:val="008E710C"/>
    <w:rsid w:val="008F69D6"/>
    <w:rsid w:val="00902823"/>
    <w:rsid w:val="00915CA6"/>
    <w:rsid w:val="00927834"/>
    <w:rsid w:val="009403F3"/>
    <w:rsid w:val="009500A6"/>
    <w:rsid w:val="00957C18"/>
    <w:rsid w:val="009659BA"/>
    <w:rsid w:val="00970CF2"/>
    <w:rsid w:val="00983040"/>
    <w:rsid w:val="0099597B"/>
    <w:rsid w:val="009A0AF4"/>
    <w:rsid w:val="009B3FB9"/>
    <w:rsid w:val="009C2465"/>
    <w:rsid w:val="009D0AE9"/>
    <w:rsid w:val="009D35A0"/>
    <w:rsid w:val="009D7EB7"/>
    <w:rsid w:val="009E048A"/>
    <w:rsid w:val="009E08E9"/>
    <w:rsid w:val="009E3C0C"/>
    <w:rsid w:val="009E3DB9"/>
    <w:rsid w:val="009E6E35"/>
    <w:rsid w:val="009F0EDA"/>
    <w:rsid w:val="009F1D65"/>
    <w:rsid w:val="009F2DEF"/>
    <w:rsid w:val="009F6F5C"/>
    <w:rsid w:val="00A03B96"/>
    <w:rsid w:val="00A05B19"/>
    <w:rsid w:val="00A1134E"/>
    <w:rsid w:val="00A24E7E"/>
    <w:rsid w:val="00A258C3"/>
    <w:rsid w:val="00A347C0"/>
    <w:rsid w:val="00A51431"/>
    <w:rsid w:val="00A539AD"/>
    <w:rsid w:val="00A857C2"/>
    <w:rsid w:val="00A94063"/>
    <w:rsid w:val="00A957AC"/>
    <w:rsid w:val="00AA6219"/>
    <w:rsid w:val="00AA74E0"/>
    <w:rsid w:val="00AB703F"/>
    <w:rsid w:val="00AC6BB8"/>
    <w:rsid w:val="00AD3DC4"/>
    <w:rsid w:val="00AE008F"/>
    <w:rsid w:val="00B01FCD"/>
    <w:rsid w:val="00B162AD"/>
    <w:rsid w:val="00B1776C"/>
    <w:rsid w:val="00B52583"/>
    <w:rsid w:val="00B52896"/>
    <w:rsid w:val="00B95236"/>
    <w:rsid w:val="00B96BD9"/>
    <w:rsid w:val="00BA1B01"/>
    <w:rsid w:val="00BA2641"/>
    <w:rsid w:val="00BB37AA"/>
    <w:rsid w:val="00BB69F5"/>
    <w:rsid w:val="00BC16BE"/>
    <w:rsid w:val="00BC1F86"/>
    <w:rsid w:val="00BC4B2B"/>
    <w:rsid w:val="00BC53A0"/>
    <w:rsid w:val="00BE62AD"/>
    <w:rsid w:val="00BF121F"/>
    <w:rsid w:val="00BF1F80"/>
    <w:rsid w:val="00C166EF"/>
    <w:rsid w:val="00C17EB0"/>
    <w:rsid w:val="00C27F5F"/>
    <w:rsid w:val="00C30A0F"/>
    <w:rsid w:val="00C37E61"/>
    <w:rsid w:val="00C527BC"/>
    <w:rsid w:val="00C54B28"/>
    <w:rsid w:val="00C5633A"/>
    <w:rsid w:val="00C70F1B"/>
    <w:rsid w:val="00C71A47"/>
    <w:rsid w:val="00C7464C"/>
    <w:rsid w:val="00C74C6B"/>
    <w:rsid w:val="00C77059"/>
    <w:rsid w:val="00C85588"/>
    <w:rsid w:val="00C86605"/>
    <w:rsid w:val="00CD3814"/>
    <w:rsid w:val="00CD6755"/>
    <w:rsid w:val="00CD6856"/>
    <w:rsid w:val="00CE0089"/>
    <w:rsid w:val="00CE482F"/>
    <w:rsid w:val="00CE793C"/>
    <w:rsid w:val="00CF193C"/>
    <w:rsid w:val="00D01CB6"/>
    <w:rsid w:val="00D16BD0"/>
    <w:rsid w:val="00D173F1"/>
    <w:rsid w:val="00D74CB0"/>
    <w:rsid w:val="00D8295D"/>
    <w:rsid w:val="00DB7697"/>
    <w:rsid w:val="00DC2A65"/>
    <w:rsid w:val="00DE15F0"/>
    <w:rsid w:val="00DE5663"/>
    <w:rsid w:val="00DE78AA"/>
    <w:rsid w:val="00DF1C76"/>
    <w:rsid w:val="00E053D0"/>
    <w:rsid w:val="00E15994"/>
    <w:rsid w:val="00E3114E"/>
    <w:rsid w:val="00E31A70"/>
    <w:rsid w:val="00E349C1"/>
    <w:rsid w:val="00E35B02"/>
    <w:rsid w:val="00E45927"/>
    <w:rsid w:val="00E45ED8"/>
    <w:rsid w:val="00E66496"/>
    <w:rsid w:val="00E66B35"/>
    <w:rsid w:val="00E66E10"/>
    <w:rsid w:val="00E769F6"/>
    <w:rsid w:val="00E8407C"/>
    <w:rsid w:val="00E84F3C"/>
    <w:rsid w:val="00EA012C"/>
    <w:rsid w:val="00EB2398"/>
    <w:rsid w:val="00EB2C31"/>
    <w:rsid w:val="00EC0796"/>
    <w:rsid w:val="00EC6A55"/>
    <w:rsid w:val="00ED0004"/>
    <w:rsid w:val="00ED0288"/>
    <w:rsid w:val="00EE52CB"/>
    <w:rsid w:val="00EF1F0E"/>
    <w:rsid w:val="00EF2F4A"/>
    <w:rsid w:val="00EF581D"/>
    <w:rsid w:val="00EF7FD8"/>
    <w:rsid w:val="00F05B6F"/>
    <w:rsid w:val="00F06F59"/>
    <w:rsid w:val="00F17988"/>
    <w:rsid w:val="00F469F0"/>
    <w:rsid w:val="00F46DE5"/>
    <w:rsid w:val="00F53273"/>
    <w:rsid w:val="00F65CC1"/>
    <w:rsid w:val="00F755E4"/>
    <w:rsid w:val="00F75F90"/>
    <w:rsid w:val="00F77D02"/>
    <w:rsid w:val="00FA4152"/>
    <w:rsid w:val="00FB3A86"/>
    <w:rsid w:val="00FC008B"/>
    <w:rsid w:val="00FD36C8"/>
    <w:rsid w:val="00FD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FD5EA4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9A0A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8B3353"/>
    <w:rPr>
      <w:color w:val="666666"/>
    </w:rPr>
  </w:style>
  <w:style w:type="paragraph" w:styleId="NormalWeb">
    <w:name w:val="Normal (Web)"/>
    <w:basedOn w:val="Normal"/>
    <w:semiHidden/>
    <w:unhideWhenUsed/>
    <w:rsid w:val="004D7AB3"/>
    <w:rPr>
      <w:rFonts w:ascii="Times New Roman" w:hAnsi="Times New Roman"/>
      <w:sz w:val="24"/>
      <w:szCs w:val="24"/>
    </w:rPr>
  </w:style>
  <w:style w:type="paragraph" w:customStyle="1" w:styleId="TableParagraph">
    <w:name w:val="Table Paragraph"/>
    <w:basedOn w:val="Normal"/>
    <w:uiPriority w:val="1"/>
    <w:qFormat/>
    <w:rsid w:val="00733073"/>
    <w:pPr>
      <w:widowControl w:val="0"/>
      <w:autoSpaceDE w:val="0"/>
      <w:autoSpaceDN w:val="0"/>
    </w:pPr>
    <w:rPr>
      <w:rFonts w:ascii="Microsoft Sans Serif" w:eastAsia="Microsoft Sans Serif" w:hAnsi="Microsoft Sans Serif" w:cs="Microsoft Sans Serif"/>
      <w:sz w:val="22"/>
      <w:szCs w:val="22"/>
    </w:rPr>
  </w:style>
  <w:style w:type="paragraph" w:styleId="BodyText">
    <w:name w:val="Body Text"/>
    <w:basedOn w:val="Normal"/>
    <w:link w:val="BodyTextChar"/>
    <w:unhideWhenUsed/>
    <w:rsid w:val="00733073"/>
    <w:pPr>
      <w:spacing w:after="120"/>
    </w:pPr>
  </w:style>
  <w:style w:type="character" w:customStyle="1" w:styleId="BodyTextChar">
    <w:name w:val="Body Text Char"/>
    <w:basedOn w:val="DefaultParagraphFont"/>
    <w:link w:val="BodyText"/>
    <w:rsid w:val="00733073"/>
    <w:rPr>
      <w:rFonts w:ascii="Helvetica" w:hAnsi="Helvetica"/>
    </w:rPr>
  </w:style>
  <w:style w:type="character" w:customStyle="1" w:styleId="Heading2Char">
    <w:name w:val="Heading 2 Char"/>
    <w:basedOn w:val="DefaultParagraphFont"/>
    <w:link w:val="Heading2"/>
    <w:rsid w:val="009A0AF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35283"/>
    <w:pPr>
      <w:ind w:left="720"/>
      <w:contextualSpacing/>
    </w:pPr>
  </w:style>
  <w:style w:type="character" w:styleId="UnresolvedMention">
    <w:name w:val="Unresolved Mention"/>
    <w:basedOn w:val="DefaultParagraphFont"/>
    <w:uiPriority w:val="99"/>
    <w:semiHidden/>
    <w:unhideWhenUsed/>
    <w:rsid w:val="00E4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5294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659336">
      <w:bodyDiv w:val="1"/>
      <w:marLeft w:val="0"/>
      <w:marRight w:val="0"/>
      <w:marTop w:val="0"/>
      <w:marBottom w:val="0"/>
      <w:divBdr>
        <w:top w:val="none" w:sz="0" w:space="0" w:color="auto"/>
        <w:left w:val="none" w:sz="0" w:space="0" w:color="auto"/>
        <w:bottom w:val="none" w:sz="0" w:space="0" w:color="auto"/>
        <w:right w:val="none" w:sz="0" w:space="0" w:color="auto"/>
      </w:divBdr>
    </w:div>
    <w:div w:id="23346880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5863765">
      <w:bodyDiv w:val="1"/>
      <w:marLeft w:val="0"/>
      <w:marRight w:val="0"/>
      <w:marTop w:val="0"/>
      <w:marBottom w:val="0"/>
      <w:divBdr>
        <w:top w:val="none" w:sz="0" w:space="0" w:color="auto"/>
        <w:left w:val="none" w:sz="0" w:space="0" w:color="auto"/>
        <w:bottom w:val="none" w:sz="0" w:space="0" w:color="auto"/>
        <w:right w:val="none" w:sz="0" w:space="0" w:color="auto"/>
      </w:divBdr>
      <w:divsChild>
        <w:div w:id="1257784971">
          <w:marLeft w:val="0"/>
          <w:marRight w:val="0"/>
          <w:marTop w:val="15"/>
          <w:marBottom w:val="0"/>
          <w:divBdr>
            <w:top w:val="single" w:sz="48" w:space="0" w:color="auto"/>
            <w:left w:val="single" w:sz="48" w:space="0" w:color="auto"/>
            <w:bottom w:val="single" w:sz="48" w:space="0" w:color="auto"/>
            <w:right w:val="single" w:sz="48" w:space="0" w:color="auto"/>
          </w:divBdr>
          <w:divsChild>
            <w:div w:id="1670793476">
              <w:marLeft w:val="0"/>
              <w:marRight w:val="0"/>
              <w:marTop w:val="0"/>
              <w:marBottom w:val="0"/>
              <w:divBdr>
                <w:top w:val="none" w:sz="0" w:space="0" w:color="auto"/>
                <w:left w:val="none" w:sz="0" w:space="0" w:color="auto"/>
                <w:bottom w:val="none" w:sz="0" w:space="0" w:color="auto"/>
                <w:right w:val="none" w:sz="0" w:space="0" w:color="auto"/>
              </w:divBdr>
            </w:div>
          </w:divsChild>
        </w:div>
        <w:div w:id="1073238089">
          <w:marLeft w:val="0"/>
          <w:marRight w:val="0"/>
          <w:marTop w:val="15"/>
          <w:marBottom w:val="0"/>
          <w:divBdr>
            <w:top w:val="single" w:sz="48" w:space="0" w:color="auto"/>
            <w:left w:val="single" w:sz="48" w:space="0" w:color="auto"/>
            <w:bottom w:val="single" w:sz="48" w:space="0" w:color="auto"/>
            <w:right w:val="single" w:sz="48" w:space="0" w:color="auto"/>
          </w:divBdr>
          <w:divsChild>
            <w:div w:id="19073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415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625093">
      <w:bodyDiv w:val="1"/>
      <w:marLeft w:val="0"/>
      <w:marRight w:val="0"/>
      <w:marTop w:val="0"/>
      <w:marBottom w:val="0"/>
      <w:divBdr>
        <w:top w:val="none" w:sz="0" w:space="0" w:color="auto"/>
        <w:left w:val="none" w:sz="0" w:space="0" w:color="auto"/>
        <w:bottom w:val="none" w:sz="0" w:space="0" w:color="auto"/>
        <w:right w:val="none" w:sz="0" w:space="0" w:color="auto"/>
      </w:divBdr>
    </w:div>
    <w:div w:id="833952300">
      <w:bodyDiv w:val="1"/>
      <w:marLeft w:val="0"/>
      <w:marRight w:val="0"/>
      <w:marTop w:val="0"/>
      <w:marBottom w:val="0"/>
      <w:divBdr>
        <w:top w:val="none" w:sz="0" w:space="0" w:color="auto"/>
        <w:left w:val="none" w:sz="0" w:space="0" w:color="auto"/>
        <w:bottom w:val="none" w:sz="0" w:space="0" w:color="auto"/>
        <w:right w:val="none" w:sz="0" w:space="0" w:color="auto"/>
      </w:divBdr>
      <w:divsChild>
        <w:div w:id="2134445214">
          <w:marLeft w:val="0"/>
          <w:marRight w:val="0"/>
          <w:marTop w:val="15"/>
          <w:marBottom w:val="0"/>
          <w:divBdr>
            <w:top w:val="single" w:sz="48" w:space="0" w:color="auto"/>
            <w:left w:val="single" w:sz="48" w:space="0" w:color="auto"/>
            <w:bottom w:val="single" w:sz="48" w:space="0" w:color="auto"/>
            <w:right w:val="single" w:sz="48" w:space="0" w:color="auto"/>
          </w:divBdr>
          <w:divsChild>
            <w:div w:id="1314260195">
              <w:marLeft w:val="0"/>
              <w:marRight w:val="0"/>
              <w:marTop w:val="0"/>
              <w:marBottom w:val="0"/>
              <w:divBdr>
                <w:top w:val="none" w:sz="0" w:space="0" w:color="auto"/>
                <w:left w:val="none" w:sz="0" w:space="0" w:color="auto"/>
                <w:bottom w:val="none" w:sz="0" w:space="0" w:color="auto"/>
                <w:right w:val="none" w:sz="0" w:space="0" w:color="auto"/>
              </w:divBdr>
            </w:div>
          </w:divsChild>
        </w:div>
        <w:div w:id="1476071520">
          <w:marLeft w:val="0"/>
          <w:marRight w:val="0"/>
          <w:marTop w:val="15"/>
          <w:marBottom w:val="0"/>
          <w:divBdr>
            <w:top w:val="single" w:sz="48" w:space="0" w:color="auto"/>
            <w:left w:val="single" w:sz="48" w:space="0" w:color="auto"/>
            <w:bottom w:val="single" w:sz="48" w:space="0" w:color="auto"/>
            <w:right w:val="single" w:sz="48" w:space="0" w:color="auto"/>
          </w:divBdr>
          <w:divsChild>
            <w:div w:id="5185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955344">
      <w:bodyDiv w:val="1"/>
      <w:marLeft w:val="0"/>
      <w:marRight w:val="0"/>
      <w:marTop w:val="0"/>
      <w:marBottom w:val="0"/>
      <w:divBdr>
        <w:top w:val="none" w:sz="0" w:space="0" w:color="auto"/>
        <w:left w:val="none" w:sz="0" w:space="0" w:color="auto"/>
        <w:bottom w:val="none" w:sz="0" w:space="0" w:color="auto"/>
        <w:right w:val="none" w:sz="0" w:space="0" w:color="auto"/>
      </w:divBdr>
    </w:div>
    <w:div w:id="103326383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553764">
      <w:bodyDiv w:val="1"/>
      <w:marLeft w:val="0"/>
      <w:marRight w:val="0"/>
      <w:marTop w:val="0"/>
      <w:marBottom w:val="0"/>
      <w:divBdr>
        <w:top w:val="none" w:sz="0" w:space="0" w:color="auto"/>
        <w:left w:val="none" w:sz="0" w:space="0" w:color="auto"/>
        <w:bottom w:val="none" w:sz="0" w:space="0" w:color="auto"/>
        <w:right w:val="none" w:sz="0" w:space="0" w:color="auto"/>
      </w:divBdr>
    </w:div>
    <w:div w:id="1206212912">
      <w:bodyDiv w:val="1"/>
      <w:marLeft w:val="0"/>
      <w:marRight w:val="0"/>
      <w:marTop w:val="0"/>
      <w:marBottom w:val="0"/>
      <w:divBdr>
        <w:top w:val="none" w:sz="0" w:space="0" w:color="auto"/>
        <w:left w:val="none" w:sz="0" w:space="0" w:color="auto"/>
        <w:bottom w:val="none" w:sz="0" w:space="0" w:color="auto"/>
        <w:right w:val="none" w:sz="0" w:space="0" w:color="auto"/>
      </w:divBdr>
    </w:div>
    <w:div w:id="1381056676">
      <w:bodyDiv w:val="1"/>
      <w:marLeft w:val="0"/>
      <w:marRight w:val="0"/>
      <w:marTop w:val="0"/>
      <w:marBottom w:val="0"/>
      <w:divBdr>
        <w:top w:val="none" w:sz="0" w:space="0" w:color="auto"/>
        <w:left w:val="none" w:sz="0" w:space="0" w:color="auto"/>
        <w:bottom w:val="none" w:sz="0" w:space="0" w:color="auto"/>
        <w:right w:val="none" w:sz="0" w:space="0" w:color="auto"/>
      </w:divBdr>
    </w:div>
    <w:div w:id="1397319278">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51238674">
      <w:bodyDiv w:val="1"/>
      <w:marLeft w:val="0"/>
      <w:marRight w:val="0"/>
      <w:marTop w:val="0"/>
      <w:marBottom w:val="0"/>
      <w:divBdr>
        <w:top w:val="none" w:sz="0" w:space="0" w:color="auto"/>
        <w:left w:val="none" w:sz="0" w:space="0" w:color="auto"/>
        <w:bottom w:val="none" w:sz="0" w:space="0" w:color="auto"/>
        <w:right w:val="none" w:sz="0" w:space="0" w:color="auto"/>
      </w:divBdr>
    </w:div>
    <w:div w:id="14929819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3087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7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josmas.org/index.php/ijosmas/article/download/168/124" TargetMode="External"/><Relationship Id="rId21" Type="http://schemas.openxmlformats.org/officeDocument/2006/relationships/hyperlink" Target="https://www.emerald.com/insight/search?q=El%20Houssain%20Attak" TargetMode="External"/><Relationship Id="rId42" Type="http://schemas.openxmlformats.org/officeDocument/2006/relationships/hyperlink" Target="https://www.emerald.com/insight/search?q=Shipeng%20Han" TargetMode="External"/><Relationship Id="rId47" Type="http://schemas.openxmlformats.org/officeDocument/2006/relationships/hyperlink" Target="https://doi.org/10.1080/20954816.2022.2130501" TargetMode="External"/><Relationship Id="rId63" Type="http://schemas.openxmlformats.org/officeDocument/2006/relationships/header" Target="header6.xml"/><Relationship Id="rId68"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research.lpubatangas.edu.ph/wp-content/uploads/2015/05/APJARBA-%092015-1-%09004-Awareness-on-BIR-E-Filing-and-Payment-System.pdf" TargetMode="External"/><Relationship Id="rId11" Type="http://schemas.openxmlformats.org/officeDocument/2006/relationships/footer" Target="footer1.xml"/><Relationship Id="rId24" Type="http://schemas.openxmlformats.org/officeDocument/2006/relationships/hyperlink" Target="https://ideas.repec.org/a/eee/poleco/v56y2019icp193-211.html" TargetMode="External"/><Relationship Id="rId32" Type="http://schemas.openxmlformats.org/officeDocument/2006/relationships/hyperlink" Target="https://ssrn.com/abstract%3D4849597" TargetMode="External"/><Relationship Id="rId37" Type="http://schemas.openxmlformats.org/officeDocument/2006/relationships/hyperlink" Target="https://doi.org/10.1257/jep.28.4.149" TargetMode="External"/><Relationship Id="rId40" Type="http://schemas.openxmlformats.org/officeDocument/2006/relationships/hyperlink" Target="https://doi.org/10.1016/B978-0-08-%09097086-8.94004-2" TargetMode="External"/><Relationship Id="rId45" Type="http://schemas.openxmlformats.org/officeDocument/2006/relationships/hyperlink" Target="https://doi.org/10.18196/jai.v23i1.13270" TargetMode="External"/><Relationship Id="rId53" Type="http://schemas.openxmlformats.org/officeDocument/2006/relationships/hyperlink" Target="https://doi.org/10.32996/jefas.2022.4.2.11" TargetMode="External"/><Relationship Id="rId58" Type="http://schemas.openxmlformats.org/officeDocument/2006/relationships/hyperlink" Target="http://documents.worldbank.org/curated/en/758831468126901094/Paying%09-"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https://doi.org/10.1016/j.worlddev.2014.07.006" TargetMode="External"/><Relationship Id="rId14" Type="http://schemas.openxmlformats.org/officeDocument/2006/relationships/hyperlink" Target="https://www.emerald.com/insight/search?q=Rida%20Belahouaoui" TargetMode="External"/><Relationship Id="rId22" Type="http://schemas.openxmlformats.org/officeDocument/2006/relationships/hyperlink" Target="https://www.emerald.com/insight/publication/issn/1985-2517" TargetMode="External"/><Relationship Id="rId27" Type="http://schemas.openxmlformats.org/officeDocument/2006/relationships/hyperlink" Target="https://doi.org/10.1007/s12232-024-00446-x" TargetMode="External"/><Relationship Id="rId30" Type="http://schemas.openxmlformats.org/officeDocument/2006/relationships/hyperlink" Target="http://www.dof.gov.ph/bir-" TargetMode="External"/><Relationship Id="rId35" Type="http://schemas.openxmlformats.org/officeDocument/2006/relationships/hyperlink" Target="http://dx.doi.org/10.11594/ijmaber.04.04.29" TargetMode="External"/><Relationship Id="rId43" Type="http://schemas.openxmlformats.org/officeDocument/2006/relationships/hyperlink" Target="https://www.emerald.com/insight/search?q=John%20Hasseldine" TargetMode="External"/><Relationship Id="rId48" Type="http://schemas.openxmlformats.org/officeDocument/2006/relationships/hyperlink" Target="http://www.researchgate.net/profile/Raymond-Pacaldo-" TargetMode="External"/><Relationship Id="rId56" Type="http://schemas.openxmlformats.org/officeDocument/2006/relationships/hyperlink" Target="https://hdl.handle.net/20.500.12870/5291" TargetMode="External"/><Relationship Id="rId64" Type="http://schemas.openxmlformats.org/officeDocument/2006/relationships/image" Target="media/image2.png"/><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ideas.repec.org/a/kap/ecopln/v57y2024i4d10.1007_s10644-024-09732-8.html" TargetMode="External"/><Relationship Id="rId3" Type="http://schemas.openxmlformats.org/officeDocument/2006/relationships/styles" Target="styles.xml"/><Relationship Id="rId12" Type="http://schemas.openxmlformats.org/officeDocument/2006/relationships/hyperlink" Target="https://www.emerald.com/insight/search?q=Ling%20Tuo" TargetMode="External"/><Relationship Id="rId17" Type="http://schemas.openxmlformats.org/officeDocument/2006/relationships/hyperlink" Target="https://www.emerald.com/insight/search?q=Ling%20Tuo" TargetMode="External"/><Relationship Id="rId25" Type="http://schemas.openxmlformats.org/officeDocument/2006/relationships/hyperlink" Target="https://ideas.repec.org/s/eee/poleco.html" TargetMode="External"/><Relationship Id="rId33" Type="http://schemas.openxmlformats.org/officeDocument/2006/relationships/hyperlink" Target="http://dx.doi.org/10.2139/ssrn.4849%09597" TargetMode="External"/><Relationship Id="rId38" Type="http://schemas.openxmlformats.org/officeDocument/2006/relationships/hyperlink" Target="https://doi.org/10.1111/ecca.12182" TargetMode="External"/><Relationship Id="rId46" Type="http://schemas.openxmlformats.org/officeDocument/2006/relationships/hyperlink" Target="http://dx.doi.org/10.4236/ib.2016.81001" TargetMode="External"/><Relationship Id="rId59" Type="http://schemas.openxmlformats.org/officeDocument/2006/relationships/hyperlink" Target="https://doi.org/10.21428/92775833.4cd5987b" TargetMode="External"/><Relationship Id="rId67" Type="http://schemas.openxmlformats.org/officeDocument/2006/relationships/image" Target="media/image5.png"/><Relationship Id="rId20" Type="http://schemas.openxmlformats.org/officeDocument/2006/relationships/hyperlink" Target="https://www.emerald.com/insight/search?q=Rida%20Belahouaoui" TargetMode="External"/><Relationship Id="rId41" Type="http://schemas.openxmlformats.org/officeDocument/2006/relationships/hyperlink" Target="https://doi.org/10.1177/21582440231195676" TargetMode="External"/><Relationship Id="rId54" Type="http://schemas.openxmlformats.org/officeDocument/2006/relationships/hyperlink" Target="https://doi.org/10.1596/1813-9450-5922" TargetMode="External"/><Relationship Id="rId62" Type="http://schemas.openxmlformats.org/officeDocument/2006/relationships/footer" Target="foot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erald.com/insight/search?q=Rida%20Belahouaoui" TargetMode="External"/><Relationship Id="rId23" Type="http://schemas.openxmlformats.org/officeDocument/2006/relationships/hyperlink" Target="https://doi.org/10.1108/JFRA-04-2023-0213" TargetMode="External"/><Relationship Id="rId28" Type="http://schemas.openxmlformats.org/officeDocument/2006/relationships/hyperlink" Target="https://research.lpubatangas.edu.ph/wp-content/uploads/2015/05/APJARBA-%092015-1-%09004-Awareness-on-BIR-E-Filing-and-Payment-System.pdf" TargetMode="External"/><Relationship Id="rId36" Type="http://schemas.openxmlformats.org/officeDocument/2006/relationships/hyperlink" Target="https://www.ilo.org/sites/default/files/wcmsp5/groups/public/%40ed_norm/%40relconf/" TargetMode="External"/><Relationship Id="rId49" Type="http://schemas.openxmlformats.org/officeDocument/2006/relationships/hyperlink" Target="https://doi.org/10.1016/j.sbspro.2013.12.590" TargetMode="External"/><Relationship Id="rId57" Type="http://schemas.openxmlformats.org/officeDocument/2006/relationships/hyperlink" Target="http://www.unido.org/sites/default/files/2017-" TargetMode="External"/><Relationship Id="rId10" Type="http://schemas.openxmlformats.org/officeDocument/2006/relationships/header" Target="header3.xml"/><Relationship Id="rId31" Type="http://schemas.openxmlformats.org/officeDocument/2006/relationships/hyperlink" Target="http://dx.doi.org/10.1080/09718923.2014.11893311" TargetMode="External"/><Relationship Id="rId44" Type="http://schemas.openxmlformats.org/officeDocument/2006/relationships/hyperlink" Target="https://doi.org/10.1108/S1058-749720240000031006" TargetMode="External"/><Relationship Id="rId52" Type="http://schemas.openxmlformats.org/officeDocument/2006/relationships/hyperlink" Target="https://ideas.repec.org/s/kap/ecopln.html" TargetMode="External"/><Relationship Id="rId60" Type="http://schemas.openxmlformats.org/officeDocument/2006/relationships/header" Target="header4.xm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emerald.com/insight/search?q=Shipeng%20Han" TargetMode="External"/><Relationship Id="rId18" Type="http://schemas.openxmlformats.org/officeDocument/2006/relationships/hyperlink" Target="https://www.emerald.com/insight/search?q=Shipeng%20Han" TargetMode="External"/><Relationship Id="rId39" Type="http://schemas.openxmlformats.org/officeDocument/2006/relationships/hyperlink" Target="https://doi.org/10.1016/B978-0-08-%09097086-8.94004-2" TargetMode="External"/><Relationship Id="rId34" Type="http://schemas.openxmlformats.org/officeDocument/2006/relationships/hyperlink" Target="http://dx.doi.org/10.2139/ssrn.4849%09597" TargetMode="External"/><Relationship Id="rId50" Type="http://schemas.openxmlformats.org/officeDocument/2006/relationships/hyperlink" Target="https://uijrt.com/articles/v5/i7/UIJRTV5I70015.pdf" TargetMode="External"/><Relationship Id="rId55" Type="http://schemas.openxmlformats.org/officeDocument/2006/relationships/hyperlink" Target="https://journalajeba.com/index.php/AJEBA/article/view/17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FB29-44DE-4B7A-A15F-88E1969B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23</Pages>
  <Words>5743</Words>
  <Characters>32738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38405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cp:revision>
  <cp:lastPrinted>1999-07-06T11:00:00Z</cp:lastPrinted>
  <dcterms:created xsi:type="dcterms:W3CDTF">2025-07-09T07:05:00Z</dcterms:created>
  <dcterms:modified xsi:type="dcterms:W3CDTF">2025-07-11T08:33:00Z</dcterms:modified>
</cp:coreProperties>
</file>