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28E0" w14:textId="2710C64A" w:rsidR="0097542C" w:rsidRDefault="0097542C" w:rsidP="0046531C">
      <w:pPr>
        <w:spacing w:line="360" w:lineRule="auto"/>
        <w:jc w:val="center"/>
        <w:rPr>
          <w:rFonts w:ascii="Arial" w:eastAsia="Times New Roman" w:hAnsi="Arial" w:cs="Arial"/>
          <w:b/>
        </w:rPr>
      </w:pPr>
      <w:r>
        <w:rPr>
          <w:rFonts w:ascii="Arial" w:eastAsia="Times New Roman" w:hAnsi="Arial" w:cs="Arial"/>
          <w:b/>
        </w:rPr>
        <w:t>Investigating the Impact of Gamification Teaching Strategy on Pre-service Teachers’ Academic Achievement in STEM Concepts</w:t>
      </w:r>
    </w:p>
    <w:p w14:paraId="1D7FE1DE" w14:textId="77777777" w:rsidR="0023728C" w:rsidRPr="00916D35" w:rsidRDefault="0023728C" w:rsidP="0046531C">
      <w:pPr>
        <w:spacing w:line="360" w:lineRule="auto"/>
        <w:jc w:val="center"/>
        <w:rPr>
          <w:rFonts w:ascii="Arial" w:eastAsia="Times New Roman" w:hAnsi="Arial" w:cs="Arial"/>
          <w:b/>
        </w:rPr>
      </w:pPr>
    </w:p>
    <w:p w14:paraId="646CB5F3" w14:textId="7882601D" w:rsidR="00D67D6B" w:rsidRPr="00916D35" w:rsidRDefault="00916D35" w:rsidP="00916D35">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sidRPr="00916D35">
        <w:rPr>
          <w:rFonts w:ascii="Times New Roman" w:eastAsia="Times New Roman" w:hAnsi="Times New Roman" w:cs="Times New Roman"/>
          <w:b/>
          <w:color w:val="000000"/>
          <w:sz w:val="20"/>
          <w:szCs w:val="20"/>
        </w:rPr>
        <w:t>ABSTRACT</w:t>
      </w:r>
    </w:p>
    <w:p w14:paraId="4B7B2317" w14:textId="60B908B9" w:rsidR="00A25C73" w:rsidRPr="00A25C73" w:rsidRDefault="00D67D6B" w:rsidP="00A25C73">
      <w:pPr>
        <w:pBdr>
          <w:top w:val="nil"/>
          <w:left w:val="nil"/>
          <w:bottom w:val="nil"/>
          <w:right w:val="nil"/>
          <w:between w:val="nil"/>
        </w:pBdr>
        <w:spacing w:line="360" w:lineRule="auto"/>
        <w:jc w:val="both"/>
        <w:rPr>
          <w:rFonts w:ascii="Arial" w:eastAsia="Times New Roman" w:hAnsi="Arial" w:cs="Arial"/>
          <w:color w:val="000000"/>
        </w:rPr>
      </w:pPr>
      <w:r w:rsidRPr="00916D35">
        <w:rPr>
          <w:rFonts w:ascii="Arial" w:eastAsia="Times New Roman" w:hAnsi="Arial" w:cs="Arial"/>
          <w:color w:val="000000"/>
        </w:rPr>
        <w:t xml:space="preserve">Teaching of Science, Technology, Engineering, and Mathematics (STEM) disciplines are often perceived as </w:t>
      </w:r>
      <w:r w:rsidR="00206CDD" w:rsidRPr="00916D35">
        <w:rPr>
          <w:rFonts w:ascii="Arial" w:eastAsia="Times New Roman" w:hAnsi="Arial" w:cs="Arial"/>
          <w:color w:val="000000"/>
        </w:rPr>
        <w:t xml:space="preserve">the </w:t>
      </w:r>
      <w:r w:rsidRPr="00916D35">
        <w:rPr>
          <w:rFonts w:ascii="Arial" w:eastAsia="Times New Roman" w:hAnsi="Arial" w:cs="Arial"/>
          <w:color w:val="000000"/>
        </w:rPr>
        <w:t xml:space="preserve">most difficult, challenging, and abstract by the students. </w:t>
      </w:r>
      <w:r w:rsidR="007F18A5" w:rsidRPr="00916D35">
        <w:rPr>
          <w:rFonts w:ascii="Arial" w:eastAsia="Times New Roman" w:hAnsi="Arial" w:cs="Arial"/>
          <w:color w:val="000000"/>
        </w:rPr>
        <w:t>T</w:t>
      </w:r>
      <w:r w:rsidRPr="00916D35">
        <w:rPr>
          <w:rFonts w:ascii="Arial" w:eastAsia="Times New Roman" w:hAnsi="Arial" w:cs="Arial"/>
          <w:color w:val="000000"/>
        </w:rPr>
        <w:t>here is a growing need to find innovative teaching methods that can disabuse students' minds and at the same time enhance their interest and learning outcomes</w:t>
      </w:r>
      <w:r w:rsidR="00BA7569" w:rsidRPr="00916D35">
        <w:rPr>
          <w:rFonts w:ascii="Arial" w:eastAsia="Times New Roman" w:hAnsi="Arial" w:cs="Arial"/>
          <w:color w:val="000000"/>
        </w:rPr>
        <w:t>.</w:t>
      </w:r>
      <w:r w:rsidRPr="00916D35">
        <w:rPr>
          <w:rFonts w:ascii="Arial" w:eastAsia="Times New Roman" w:hAnsi="Arial" w:cs="Arial"/>
          <w:color w:val="000000"/>
        </w:rPr>
        <w:t xml:space="preserve"> Gamification, the application of game-design elements in non-game contexts, has emerged as a promising approach to achieving these goals. This research </w:t>
      </w:r>
      <w:r w:rsidR="00383120" w:rsidRPr="00916D35">
        <w:rPr>
          <w:rFonts w:ascii="Arial" w:eastAsia="Times New Roman" w:hAnsi="Arial" w:cs="Arial"/>
          <w:color w:val="000000"/>
        </w:rPr>
        <w:t>investigates</w:t>
      </w:r>
      <w:r w:rsidRPr="00916D35">
        <w:rPr>
          <w:rFonts w:ascii="Arial" w:eastAsia="Times New Roman" w:hAnsi="Arial" w:cs="Arial"/>
          <w:color w:val="000000"/>
        </w:rPr>
        <w:t xml:space="preserve"> the effect of gamification teaching techniques on </w:t>
      </w:r>
      <w:r w:rsidR="007D1D19">
        <w:rPr>
          <w:rFonts w:ascii="Arial" w:eastAsia="Times New Roman" w:hAnsi="Arial" w:cs="Arial"/>
          <w:color w:val="000000"/>
        </w:rPr>
        <w:t>pre-service teachers' academic achievement</w:t>
      </w:r>
      <w:r w:rsidRPr="00916D35">
        <w:rPr>
          <w:rFonts w:ascii="Arial" w:eastAsia="Times New Roman" w:hAnsi="Arial" w:cs="Arial"/>
          <w:color w:val="000000"/>
        </w:rPr>
        <w:t xml:space="preserve"> in STEM concepts. The pretest-posttest control group quasi-experimental design was used. Two intact classes </w:t>
      </w:r>
      <w:r w:rsidR="00383120" w:rsidRPr="00916D35">
        <w:rPr>
          <w:rFonts w:ascii="Arial" w:eastAsia="Times New Roman" w:hAnsi="Arial" w:cs="Arial"/>
          <w:color w:val="000000"/>
        </w:rPr>
        <w:t xml:space="preserve">of </w:t>
      </w:r>
      <w:r w:rsidRPr="00916D35">
        <w:rPr>
          <w:rFonts w:ascii="Arial" w:eastAsia="Times New Roman" w:hAnsi="Arial" w:cs="Arial"/>
          <w:color w:val="000000"/>
        </w:rPr>
        <w:t xml:space="preserve">200L </w:t>
      </w:r>
      <w:r w:rsidR="003747D5">
        <w:rPr>
          <w:rFonts w:ascii="Arial" w:eastAsia="Times New Roman" w:hAnsi="Arial" w:cs="Arial"/>
          <w:color w:val="000000"/>
        </w:rPr>
        <w:t xml:space="preserve">from two Nigerian State universities </w:t>
      </w:r>
      <w:r w:rsidR="007D1D19">
        <w:rPr>
          <w:rFonts w:ascii="Arial" w:eastAsia="Times New Roman" w:hAnsi="Arial" w:cs="Arial"/>
          <w:color w:val="000000"/>
        </w:rPr>
        <w:t>with 37 pre-service teachers (17 in the experimental group and 20 in the control group) w</w:t>
      </w:r>
      <w:r w:rsidRPr="00916D35">
        <w:rPr>
          <w:rFonts w:ascii="Arial" w:eastAsia="Times New Roman" w:hAnsi="Arial" w:cs="Arial"/>
          <w:color w:val="000000"/>
        </w:rPr>
        <w:t xml:space="preserve">ere used as </w:t>
      </w:r>
      <w:r w:rsidR="00BA7863">
        <w:rPr>
          <w:rFonts w:ascii="Arial" w:eastAsia="Times New Roman" w:hAnsi="Arial" w:cs="Arial"/>
          <w:color w:val="000000"/>
        </w:rPr>
        <w:t>a sample for the study</w:t>
      </w:r>
      <w:r w:rsidRPr="00916D35">
        <w:rPr>
          <w:rFonts w:ascii="Arial" w:eastAsia="Times New Roman" w:hAnsi="Arial" w:cs="Arial"/>
          <w:color w:val="000000"/>
        </w:rPr>
        <w:t xml:space="preserve">. </w:t>
      </w:r>
      <w:r w:rsidR="00BA7863">
        <w:rPr>
          <w:rFonts w:ascii="Arial" w:eastAsia="Times New Roman" w:hAnsi="Arial" w:cs="Arial"/>
          <w:color w:val="000000"/>
        </w:rPr>
        <w:t>Heat Transfer and Heat Capacity</w:t>
      </w:r>
      <w:r w:rsidR="00A25C73">
        <w:rPr>
          <w:rFonts w:ascii="Arial" w:eastAsia="Times New Roman" w:hAnsi="Arial" w:cs="Arial"/>
          <w:color w:val="000000"/>
        </w:rPr>
        <w:t>,</w:t>
      </w:r>
      <w:r w:rsidR="00BA7863">
        <w:rPr>
          <w:rFonts w:ascii="Arial" w:eastAsia="Times New Roman" w:hAnsi="Arial" w:cs="Arial"/>
          <w:color w:val="000000"/>
        </w:rPr>
        <w:t xml:space="preserve"> which are considered mathematically intensive and abstract topics, are the STEM concepts selected from the pre-service teachers' curriculum. </w:t>
      </w:r>
      <w:r w:rsidR="007F18A5" w:rsidRPr="00916D35">
        <w:rPr>
          <w:rFonts w:ascii="Arial" w:eastAsia="Times New Roman" w:hAnsi="Arial" w:cs="Arial"/>
          <w:color w:val="000000"/>
        </w:rPr>
        <w:t>Findings</w:t>
      </w:r>
      <w:r w:rsidR="008B6D8C" w:rsidRPr="00916D35">
        <w:rPr>
          <w:rFonts w:ascii="Arial" w:eastAsia="Times New Roman" w:hAnsi="Arial" w:cs="Arial"/>
          <w:color w:val="000000"/>
        </w:rPr>
        <w:t xml:space="preserve"> show</w:t>
      </w:r>
      <w:r w:rsidRPr="00916D35">
        <w:rPr>
          <w:rFonts w:ascii="Arial" w:eastAsia="Times New Roman" w:hAnsi="Arial" w:cs="Arial"/>
          <w:color w:val="000000"/>
        </w:rPr>
        <w:t xml:space="preserve"> that students in the gamified learning environment demonstrated significantly higher engagement and improved academic performance </w:t>
      </w:r>
      <w:r w:rsidR="00EA46AA" w:rsidRPr="00916D35">
        <w:rPr>
          <w:rFonts w:ascii="Arial" w:eastAsia="Times New Roman" w:hAnsi="Arial" w:cs="Arial"/>
          <w:color w:val="000000"/>
        </w:rPr>
        <w:t>than</w:t>
      </w:r>
      <w:r w:rsidRPr="00916D35">
        <w:rPr>
          <w:rFonts w:ascii="Arial" w:eastAsia="Times New Roman" w:hAnsi="Arial" w:cs="Arial"/>
          <w:color w:val="000000"/>
        </w:rPr>
        <w:t xml:space="preserve"> their peers in the traditional setting.</w:t>
      </w:r>
      <w:r w:rsidR="00BA7863">
        <w:rPr>
          <w:rFonts w:ascii="Arial" w:eastAsia="Times New Roman" w:hAnsi="Arial" w:cs="Arial"/>
          <w:color w:val="000000"/>
        </w:rPr>
        <w:t xml:space="preserve"> The experimental group showed a mean gain of 24.25 compared to 20.29 in the control group.</w:t>
      </w:r>
      <w:r w:rsidRPr="00916D35">
        <w:rPr>
          <w:rFonts w:ascii="Arial" w:eastAsia="Times New Roman" w:hAnsi="Arial" w:cs="Arial"/>
          <w:color w:val="000000"/>
        </w:rPr>
        <w:t xml:space="preserve"> </w:t>
      </w:r>
      <w:r w:rsidR="003747D5">
        <w:rPr>
          <w:rFonts w:ascii="Arial" w:eastAsia="Times New Roman" w:hAnsi="Arial" w:cs="Arial"/>
          <w:color w:val="000000"/>
        </w:rPr>
        <w:t xml:space="preserve">However, there is a </w:t>
      </w:r>
      <w:r w:rsidR="003747D5" w:rsidRPr="003747D5">
        <w:rPr>
          <w:rFonts w:ascii="Arial" w:eastAsia="Times New Roman" w:hAnsi="Arial" w:cs="Arial"/>
          <w:color w:val="000000"/>
        </w:rPr>
        <w:t>minimal difference in mean gains between male (17.00) and female (17.15) respondents</w:t>
      </w:r>
      <w:r w:rsidR="003747D5">
        <w:rPr>
          <w:rFonts w:ascii="Arial" w:eastAsia="Times New Roman" w:hAnsi="Arial" w:cs="Arial"/>
          <w:color w:val="000000"/>
        </w:rPr>
        <w:t>.</w:t>
      </w:r>
      <w:r w:rsidR="003747D5" w:rsidRPr="00916D35">
        <w:rPr>
          <w:rFonts w:ascii="Arial" w:eastAsia="Times New Roman" w:hAnsi="Arial" w:cs="Arial"/>
          <w:color w:val="000000"/>
        </w:rPr>
        <w:t xml:space="preserve"> </w:t>
      </w:r>
      <w:r w:rsidR="003747D5">
        <w:rPr>
          <w:rFonts w:ascii="Arial" w:eastAsia="Times New Roman" w:hAnsi="Arial" w:cs="Arial"/>
          <w:color w:val="000000"/>
        </w:rPr>
        <w:t>The study recommends that</w:t>
      </w:r>
      <w:r w:rsidRPr="00916D35">
        <w:rPr>
          <w:rFonts w:ascii="Arial" w:eastAsia="Times New Roman" w:hAnsi="Arial" w:cs="Arial"/>
          <w:color w:val="000000"/>
        </w:rPr>
        <w:t xml:space="preserve"> gamified learning environments should be integrated into the </w:t>
      </w:r>
      <w:r w:rsidR="00A25C73">
        <w:rPr>
          <w:rFonts w:ascii="Arial" w:eastAsia="Times New Roman" w:hAnsi="Arial" w:cs="Arial"/>
          <w:color w:val="000000"/>
        </w:rPr>
        <w:t xml:space="preserve">pre-service teachers' </w:t>
      </w:r>
      <w:r w:rsidRPr="00916D35">
        <w:rPr>
          <w:rFonts w:ascii="Arial" w:eastAsia="Times New Roman" w:hAnsi="Arial" w:cs="Arial"/>
          <w:color w:val="000000"/>
        </w:rPr>
        <w:t xml:space="preserve">Curriculum </w:t>
      </w:r>
      <w:r w:rsidR="00A25C73">
        <w:rPr>
          <w:rFonts w:ascii="Arial" w:eastAsia="Times New Roman" w:hAnsi="Arial" w:cs="Arial"/>
          <w:color w:val="000000"/>
        </w:rPr>
        <w:t xml:space="preserve">for their </w:t>
      </w:r>
      <w:r w:rsidRPr="00916D35">
        <w:rPr>
          <w:rFonts w:ascii="Arial" w:eastAsia="Times New Roman" w:hAnsi="Arial" w:cs="Arial"/>
          <w:color w:val="000000"/>
        </w:rPr>
        <w:t xml:space="preserve">professional development </w:t>
      </w:r>
      <w:r w:rsidR="00A25C73">
        <w:rPr>
          <w:rFonts w:ascii="Arial" w:eastAsia="Times New Roman" w:hAnsi="Arial" w:cs="Arial"/>
          <w:color w:val="000000"/>
        </w:rPr>
        <w:t>and growth, as</w:t>
      </w:r>
      <w:r w:rsidR="00A25C73" w:rsidRPr="00A25C73">
        <w:rPr>
          <w:rFonts w:ascii="Arial" w:eastAsia="Times New Roman" w:hAnsi="Arial" w:cs="Arial"/>
          <w:color w:val="000000"/>
        </w:rPr>
        <w:t xml:space="preserve"> </w:t>
      </w:r>
      <w:r w:rsidR="00A25C73">
        <w:rPr>
          <w:rFonts w:ascii="Arial" w:eastAsia="Times New Roman" w:hAnsi="Arial" w:cs="Arial"/>
          <w:color w:val="000000"/>
        </w:rPr>
        <w:t xml:space="preserve">gamification </w:t>
      </w:r>
      <w:r w:rsidR="00A25C73" w:rsidRPr="00A25C73">
        <w:rPr>
          <w:rFonts w:ascii="Arial" w:eastAsia="Times New Roman" w:hAnsi="Arial" w:cs="Arial"/>
          <w:color w:val="000000"/>
        </w:rPr>
        <w:t xml:space="preserve">can be used to turn around STEM education </w:t>
      </w:r>
      <w:r w:rsidR="00A25C73">
        <w:rPr>
          <w:rFonts w:ascii="Arial" w:eastAsia="Times New Roman" w:hAnsi="Arial" w:cs="Arial"/>
          <w:color w:val="000000"/>
        </w:rPr>
        <w:t xml:space="preserve">programs </w:t>
      </w:r>
      <w:r w:rsidR="00A25C73" w:rsidRPr="00A25C73">
        <w:rPr>
          <w:rFonts w:ascii="Arial" w:eastAsia="Times New Roman" w:hAnsi="Arial" w:cs="Arial"/>
          <w:color w:val="000000"/>
        </w:rPr>
        <w:t>by producing a new generation of critical thinkers, problem solvers, and creators of innovative ideas</w:t>
      </w:r>
      <w:r w:rsidR="00A25C73">
        <w:rPr>
          <w:rFonts w:ascii="Arial" w:eastAsia="Times New Roman" w:hAnsi="Arial" w:cs="Arial"/>
          <w:color w:val="000000"/>
        </w:rPr>
        <w:t xml:space="preserve"> and inventions</w:t>
      </w:r>
      <w:r w:rsidR="00A25C73" w:rsidRPr="00A25C73">
        <w:rPr>
          <w:rFonts w:ascii="Arial" w:eastAsia="Times New Roman" w:hAnsi="Arial" w:cs="Arial"/>
          <w:color w:val="000000"/>
        </w:rPr>
        <w:t>.</w:t>
      </w:r>
    </w:p>
    <w:p w14:paraId="646CB5F4" w14:textId="4DFDF6E8" w:rsidR="00D67D6B" w:rsidRPr="00916D35" w:rsidRDefault="00D67D6B" w:rsidP="0046531C">
      <w:pPr>
        <w:pBdr>
          <w:top w:val="nil"/>
          <w:left w:val="nil"/>
          <w:bottom w:val="nil"/>
          <w:right w:val="nil"/>
          <w:between w:val="nil"/>
        </w:pBdr>
        <w:spacing w:line="360" w:lineRule="auto"/>
        <w:jc w:val="both"/>
        <w:rPr>
          <w:rFonts w:ascii="Arial" w:eastAsia="Times New Roman" w:hAnsi="Arial" w:cs="Arial"/>
          <w:color w:val="000000"/>
        </w:rPr>
      </w:pPr>
    </w:p>
    <w:p w14:paraId="646CB5F5" w14:textId="4C84D56D" w:rsidR="00D67D6B" w:rsidRPr="00916D35" w:rsidRDefault="00D67D6B" w:rsidP="00916D35">
      <w:pPr>
        <w:spacing w:before="280" w:after="280" w:line="360" w:lineRule="auto"/>
        <w:jc w:val="both"/>
        <w:rPr>
          <w:rFonts w:ascii="Arial" w:eastAsia="Times New Roman" w:hAnsi="Arial" w:cs="Arial"/>
          <w:sz w:val="20"/>
          <w:szCs w:val="20"/>
        </w:rPr>
      </w:pPr>
      <w:r w:rsidRPr="00916D35">
        <w:rPr>
          <w:rFonts w:ascii="Arial" w:eastAsia="Times New Roman" w:hAnsi="Arial" w:cs="Arial"/>
          <w:b/>
          <w:sz w:val="20"/>
          <w:szCs w:val="20"/>
        </w:rPr>
        <w:t xml:space="preserve">Keywords: </w:t>
      </w:r>
      <w:r w:rsidRPr="00916D35">
        <w:rPr>
          <w:rFonts w:ascii="Arial" w:eastAsia="Times New Roman" w:hAnsi="Arial" w:cs="Arial"/>
          <w:sz w:val="20"/>
          <w:szCs w:val="20"/>
        </w:rPr>
        <w:t>Gamification, Innovative Thinking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Learning Outcomes</w:t>
      </w:r>
    </w:p>
    <w:p w14:paraId="646CB5F6" w14:textId="0356B728" w:rsidR="00D67D6B" w:rsidRPr="000C7916" w:rsidRDefault="009534DF" w:rsidP="0046531C">
      <w:pPr>
        <w:spacing w:line="360" w:lineRule="auto"/>
        <w:jc w:val="both"/>
        <w:rPr>
          <w:rFonts w:ascii="Arial" w:eastAsia="Times New Roman" w:hAnsi="Arial" w:cs="Arial"/>
          <w:b/>
        </w:rPr>
      </w:pPr>
      <w:r w:rsidRPr="000C7916">
        <w:rPr>
          <w:rFonts w:ascii="Arial" w:eastAsia="Times New Roman" w:hAnsi="Arial" w:cs="Arial"/>
          <w:b/>
        </w:rPr>
        <w:t>INTRODUCTION</w:t>
      </w:r>
    </w:p>
    <w:p w14:paraId="646CB5F7" w14:textId="0B3C5BA7" w:rsidR="007E6E19" w:rsidRPr="00916D35" w:rsidRDefault="00C473FF" w:rsidP="0046531C">
      <w:pPr>
        <w:spacing w:line="360" w:lineRule="auto"/>
        <w:jc w:val="both"/>
        <w:rPr>
          <w:rFonts w:ascii="Arial" w:eastAsia="Times New Roman" w:hAnsi="Arial" w:cs="Arial"/>
          <w:sz w:val="20"/>
          <w:szCs w:val="20"/>
        </w:rPr>
      </w:pPr>
      <w:r w:rsidRPr="00916D35">
        <w:rPr>
          <w:rFonts w:ascii="Arial" w:eastAsia="Times New Roman" w:hAnsi="Arial" w:cs="Arial"/>
          <w:sz w:val="20"/>
          <w:szCs w:val="20"/>
        </w:rPr>
        <w:t>STEM (Science, Technology, Engineering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Mathematics) Education is a unique approach to teaching that </w:t>
      </w:r>
      <w:r w:rsidR="00206CDD" w:rsidRPr="00916D35">
        <w:rPr>
          <w:rFonts w:ascii="Arial" w:eastAsia="Times New Roman" w:hAnsi="Arial" w:cs="Arial"/>
          <w:sz w:val="20"/>
          <w:szCs w:val="20"/>
        </w:rPr>
        <w:t>integrates</w:t>
      </w:r>
      <w:r w:rsidRPr="00916D35">
        <w:rPr>
          <w:rFonts w:ascii="Arial" w:eastAsia="Times New Roman" w:hAnsi="Arial" w:cs="Arial"/>
          <w:sz w:val="20"/>
          <w:szCs w:val="20"/>
        </w:rPr>
        <w:t xml:space="preserve"> science, technology, engineering, and mathematics as a unified whole. The crucial space that </w:t>
      </w:r>
      <w:r w:rsidR="00206CDD" w:rsidRPr="00916D35">
        <w:rPr>
          <w:rFonts w:ascii="Arial" w:eastAsia="Times New Roman" w:hAnsi="Arial" w:cs="Arial"/>
          <w:sz w:val="20"/>
          <w:szCs w:val="20"/>
        </w:rPr>
        <w:t>STEM</w:t>
      </w:r>
      <w:r w:rsidRPr="00916D35">
        <w:rPr>
          <w:rFonts w:ascii="Arial" w:eastAsia="Times New Roman" w:hAnsi="Arial" w:cs="Arial"/>
          <w:sz w:val="20"/>
          <w:szCs w:val="20"/>
        </w:rPr>
        <w:t xml:space="preserve"> education </w:t>
      </w:r>
      <w:r w:rsidR="00206CDD" w:rsidRPr="00916D35">
        <w:rPr>
          <w:rFonts w:ascii="Arial" w:eastAsia="Times New Roman" w:hAnsi="Arial" w:cs="Arial"/>
          <w:sz w:val="20"/>
          <w:szCs w:val="20"/>
        </w:rPr>
        <w:t>occupies</w:t>
      </w:r>
      <w:r w:rsidRPr="00916D35">
        <w:rPr>
          <w:rFonts w:ascii="Arial" w:eastAsia="Times New Roman" w:hAnsi="Arial" w:cs="Arial"/>
          <w:sz w:val="20"/>
          <w:szCs w:val="20"/>
        </w:rPr>
        <w:t xml:space="preserve"> in this era of technology innovation cannot be </w:t>
      </w:r>
      <w:r w:rsidR="00206CDD" w:rsidRPr="00916D35">
        <w:rPr>
          <w:rFonts w:ascii="Arial" w:eastAsia="Times New Roman" w:hAnsi="Arial" w:cs="Arial"/>
          <w:sz w:val="20"/>
          <w:szCs w:val="20"/>
        </w:rPr>
        <w:t>overemphasized</w:t>
      </w:r>
      <w:r w:rsidRPr="00916D35">
        <w:rPr>
          <w:rFonts w:ascii="Arial" w:eastAsia="Times New Roman" w:hAnsi="Arial" w:cs="Arial"/>
          <w:sz w:val="20"/>
          <w:szCs w:val="20"/>
        </w:rPr>
        <w:t xml:space="preserve">. It is a very critical aspect of education that prepares students with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necessary skills to face the challenges of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lastRenderedPageBreak/>
        <w:t>modern-day world</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where technological innovation and advancement </w:t>
      </w:r>
      <w:r w:rsidR="00F55DE9" w:rsidRPr="00916D35">
        <w:rPr>
          <w:rFonts w:ascii="Arial" w:eastAsia="Times New Roman" w:hAnsi="Arial" w:cs="Arial"/>
          <w:sz w:val="20"/>
          <w:szCs w:val="20"/>
        </w:rPr>
        <w:t>are</w:t>
      </w:r>
      <w:r w:rsidRPr="00916D35">
        <w:rPr>
          <w:rFonts w:ascii="Arial" w:eastAsia="Times New Roman" w:hAnsi="Arial" w:cs="Arial"/>
          <w:sz w:val="20"/>
          <w:szCs w:val="20"/>
        </w:rPr>
        <w:t xml:space="preserve"> the order of the day</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at the same time </w:t>
      </w:r>
      <w:r w:rsidR="00206CDD" w:rsidRPr="00916D35">
        <w:rPr>
          <w:rFonts w:ascii="Arial" w:eastAsia="Times New Roman" w:hAnsi="Arial" w:cs="Arial"/>
          <w:sz w:val="20"/>
          <w:szCs w:val="20"/>
        </w:rPr>
        <w:t>instills</w:t>
      </w:r>
      <w:r w:rsidRPr="00916D35">
        <w:rPr>
          <w:rFonts w:ascii="Arial" w:eastAsia="Times New Roman" w:hAnsi="Arial" w:cs="Arial"/>
          <w:sz w:val="20"/>
          <w:szCs w:val="20"/>
        </w:rPr>
        <w:t xml:space="preserve"> in them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confidence needed to practice those skills. STEM education is highly needed by all </w:t>
      </w:r>
      <w:r w:rsidR="00206CDD" w:rsidRPr="00916D35">
        <w:rPr>
          <w:rFonts w:ascii="Arial" w:eastAsia="Times New Roman" w:hAnsi="Arial" w:cs="Arial"/>
          <w:sz w:val="20"/>
          <w:szCs w:val="20"/>
        </w:rPr>
        <w:t>students</w:t>
      </w:r>
      <w:r w:rsidRPr="00916D35">
        <w:rPr>
          <w:rFonts w:ascii="Arial" w:eastAsia="Times New Roman" w:hAnsi="Arial" w:cs="Arial"/>
          <w:sz w:val="20"/>
          <w:szCs w:val="20"/>
        </w:rPr>
        <w:t xml:space="preserve"> at all levels as it encourages innovative thinking</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curiosity, gives room for collaboration among </w:t>
      </w:r>
      <w:r w:rsidR="00206CDD" w:rsidRPr="00916D35">
        <w:rPr>
          <w:rFonts w:ascii="Arial" w:eastAsia="Times New Roman" w:hAnsi="Arial" w:cs="Arial"/>
          <w:sz w:val="20"/>
          <w:szCs w:val="20"/>
        </w:rPr>
        <w:t>students</w:t>
      </w:r>
      <w:r w:rsidRPr="00916D35">
        <w:rPr>
          <w:rFonts w:ascii="Arial" w:eastAsia="Times New Roman" w:hAnsi="Arial" w:cs="Arial"/>
          <w:sz w:val="20"/>
          <w:szCs w:val="20"/>
        </w:rPr>
        <w:t xml:space="preserve">, </w:t>
      </w:r>
      <w:r w:rsidR="00F55DE9" w:rsidRPr="00916D35">
        <w:rPr>
          <w:rFonts w:ascii="Arial" w:eastAsia="Times New Roman" w:hAnsi="Arial" w:cs="Arial"/>
          <w:sz w:val="20"/>
          <w:szCs w:val="20"/>
        </w:rPr>
        <w:t>improves</w:t>
      </w:r>
      <w:r w:rsidRPr="00916D35">
        <w:rPr>
          <w:rFonts w:ascii="Arial" w:eastAsia="Times New Roman" w:hAnsi="Arial" w:cs="Arial"/>
          <w:sz w:val="20"/>
          <w:szCs w:val="20"/>
        </w:rPr>
        <w:t xml:space="preserve"> communication skills</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as well as </w:t>
      </w:r>
      <w:r w:rsidR="00206CDD" w:rsidRPr="00916D35">
        <w:rPr>
          <w:rFonts w:ascii="Arial" w:eastAsia="Times New Roman" w:hAnsi="Arial" w:cs="Arial"/>
          <w:sz w:val="20"/>
          <w:szCs w:val="20"/>
        </w:rPr>
        <w:t>prepares</w:t>
      </w:r>
      <w:r w:rsidRPr="00916D35">
        <w:rPr>
          <w:rFonts w:ascii="Arial" w:eastAsia="Times New Roman" w:hAnsi="Arial" w:cs="Arial"/>
          <w:sz w:val="20"/>
          <w:szCs w:val="20"/>
        </w:rPr>
        <w:t xml:space="preserve"> students for career and adult life. It focuses on </w:t>
      </w:r>
      <w:r w:rsidR="00206CDD" w:rsidRPr="00916D35">
        <w:rPr>
          <w:rFonts w:ascii="Arial" w:eastAsia="Times New Roman" w:hAnsi="Arial" w:cs="Arial"/>
          <w:sz w:val="20"/>
          <w:szCs w:val="20"/>
        </w:rPr>
        <w:t xml:space="preserve">a </w:t>
      </w:r>
      <w:r w:rsidRPr="00916D35">
        <w:rPr>
          <w:rFonts w:ascii="Arial" w:eastAsia="Times New Roman" w:hAnsi="Arial" w:cs="Arial"/>
          <w:sz w:val="20"/>
          <w:szCs w:val="20"/>
        </w:rPr>
        <w:t xml:space="preserve">hands-on and </w:t>
      </w:r>
      <w:r w:rsidR="00206CDD" w:rsidRPr="00916D35">
        <w:rPr>
          <w:rFonts w:ascii="Arial" w:eastAsia="Times New Roman" w:hAnsi="Arial" w:cs="Arial"/>
          <w:sz w:val="20"/>
          <w:szCs w:val="20"/>
        </w:rPr>
        <w:t>problem–based</w:t>
      </w:r>
      <w:r w:rsidRPr="00916D35">
        <w:rPr>
          <w:rFonts w:ascii="Arial" w:eastAsia="Times New Roman" w:hAnsi="Arial" w:cs="Arial"/>
          <w:sz w:val="20"/>
          <w:szCs w:val="20"/>
        </w:rPr>
        <w:t xml:space="preserve"> approach to teaching where students </w:t>
      </w:r>
      <w:r w:rsidR="00206CDD" w:rsidRPr="00916D35">
        <w:rPr>
          <w:rFonts w:ascii="Arial" w:eastAsia="Times New Roman" w:hAnsi="Arial" w:cs="Arial"/>
          <w:sz w:val="20"/>
          <w:szCs w:val="20"/>
        </w:rPr>
        <w:t xml:space="preserve">are </w:t>
      </w:r>
      <w:r w:rsidRPr="00916D35">
        <w:rPr>
          <w:rFonts w:ascii="Arial" w:eastAsia="Times New Roman" w:hAnsi="Arial" w:cs="Arial"/>
          <w:sz w:val="20"/>
          <w:szCs w:val="20"/>
        </w:rPr>
        <w:t xml:space="preserve">actively involved and </w:t>
      </w:r>
      <w:r w:rsidR="00206CDD" w:rsidRPr="00916D35">
        <w:rPr>
          <w:rFonts w:ascii="Arial" w:eastAsia="Times New Roman" w:hAnsi="Arial" w:cs="Arial"/>
          <w:sz w:val="20"/>
          <w:szCs w:val="20"/>
        </w:rPr>
        <w:t>participate</w:t>
      </w:r>
      <w:r w:rsidRPr="00916D35">
        <w:rPr>
          <w:rFonts w:ascii="Arial" w:eastAsia="Times New Roman" w:hAnsi="Arial" w:cs="Arial"/>
          <w:sz w:val="20"/>
          <w:szCs w:val="20"/>
        </w:rPr>
        <w:t xml:space="preserve"> in </w:t>
      </w:r>
      <w:r w:rsidR="00206CDD" w:rsidRPr="00916D35">
        <w:rPr>
          <w:rFonts w:ascii="Arial" w:eastAsia="Times New Roman" w:hAnsi="Arial" w:cs="Arial"/>
          <w:sz w:val="20"/>
          <w:szCs w:val="20"/>
        </w:rPr>
        <w:t xml:space="preserve">the </w:t>
      </w:r>
      <w:r w:rsidRPr="00916D35">
        <w:rPr>
          <w:rFonts w:ascii="Arial" w:eastAsia="Times New Roman" w:hAnsi="Arial" w:cs="Arial"/>
          <w:sz w:val="20"/>
          <w:szCs w:val="20"/>
        </w:rPr>
        <w:t>teaching and learning process</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thereby making learning more flexible, fun</w:t>
      </w:r>
      <w:r w:rsidR="00206CDD" w:rsidRPr="00916D35">
        <w:rPr>
          <w:rFonts w:ascii="Arial" w:eastAsia="Times New Roman" w:hAnsi="Arial" w:cs="Arial"/>
          <w:sz w:val="20"/>
          <w:szCs w:val="20"/>
        </w:rPr>
        <w:t>,</w:t>
      </w:r>
      <w:r w:rsidRPr="00916D35">
        <w:rPr>
          <w:rFonts w:ascii="Arial" w:eastAsia="Times New Roman" w:hAnsi="Arial" w:cs="Arial"/>
          <w:sz w:val="20"/>
          <w:szCs w:val="20"/>
        </w:rPr>
        <w:t xml:space="preserve"> and interesting. However, many students at all levels find it difficult to comprehend some concepts in STEM. They either find them too difficult to comprehend </w:t>
      </w:r>
      <w:r w:rsidR="004C5F78" w:rsidRPr="00916D35">
        <w:rPr>
          <w:rFonts w:ascii="Arial" w:eastAsia="Times New Roman" w:hAnsi="Arial" w:cs="Arial"/>
          <w:sz w:val="20"/>
          <w:szCs w:val="20"/>
        </w:rPr>
        <w:t>or</w:t>
      </w:r>
      <w:r w:rsidRPr="00916D35">
        <w:rPr>
          <w:rFonts w:ascii="Arial" w:eastAsia="Times New Roman" w:hAnsi="Arial" w:cs="Arial"/>
          <w:sz w:val="20"/>
          <w:szCs w:val="20"/>
        </w:rPr>
        <w:t xml:space="preserve"> too abstract to master. Traditional teaching strategies coupled with poor laboratory facilities </w:t>
      </w:r>
      <w:r w:rsidR="004C5F78" w:rsidRPr="00916D35">
        <w:rPr>
          <w:rFonts w:ascii="Arial" w:eastAsia="Times New Roman" w:hAnsi="Arial" w:cs="Arial"/>
          <w:sz w:val="20"/>
          <w:szCs w:val="20"/>
        </w:rPr>
        <w:t>may</w:t>
      </w:r>
      <w:r w:rsidRPr="00916D35">
        <w:rPr>
          <w:rFonts w:ascii="Arial" w:eastAsia="Times New Roman" w:hAnsi="Arial" w:cs="Arial"/>
          <w:sz w:val="20"/>
          <w:szCs w:val="20"/>
        </w:rPr>
        <w:t xml:space="preserve"> hinder teachers’ ability to arouse and sustain students’ interest and engagement in the STEM classroom. This implies that </w:t>
      </w:r>
      <w:r w:rsidR="004C5F78" w:rsidRPr="00916D35">
        <w:rPr>
          <w:rFonts w:ascii="Arial" w:eastAsia="Times New Roman" w:hAnsi="Arial" w:cs="Arial"/>
          <w:sz w:val="20"/>
          <w:szCs w:val="20"/>
        </w:rPr>
        <w:t>teachers</w:t>
      </w:r>
      <w:r w:rsidRPr="00916D35">
        <w:rPr>
          <w:rFonts w:ascii="Arial" w:eastAsia="Times New Roman" w:hAnsi="Arial" w:cs="Arial"/>
          <w:sz w:val="20"/>
          <w:szCs w:val="20"/>
        </w:rPr>
        <w:t xml:space="preserve"> need to look for more strategies that can support </w:t>
      </w:r>
      <w:r w:rsidR="004C5F78" w:rsidRPr="00916D35">
        <w:rPr>
          <w:rFonts w:ascii="Arial" w:eastAsia="Times New Roman" w:hAnsi="Arial" w:cs="Arial"/>
          <w:sz w:val="20"/>
          <w:szCs w:val="20"/>
        </w:rPr>
        <w:t>students'</w:t>
      </w:r>
      <w:r w:rsidRPr="00916D35">
        <w:rPr>
          <w:rFonts w:ascii="Arial" w:eastAsia="Times New Roman" w:hAnsi="Arial" w:cs="Arial"/>
          <w:sz w:val="20"/>
          <w:szCs w:val="20"/>
        </w:rPr>
        <w:t xml:space="preserve"> learning and make them actively involved in the business of teaching and learning without </w:t>
      </w:r>
      <w:r w:rsidR="004C5F78" w:rsidRPr="00916D35">
        <w:rPr>
          <w:rFonts w:ascii="Arial" w:eastAsia="Times New Roman" w:hAnsi="Arial" w:cs="Arial"/>
          <w:sz w:val="20"/>
          <w:szCs w:val="20"/>
        </w:rPr>
        <w:t>compromising</w:t>
      </w:r>
      <w:r w:rsidRPr="00916D35">
        <w:rPr>
          <w:rFonts w:ascii="Arial" w:eastAsia="Times New Roman" w:hAnsi="Arial" w:cs="Arial"/>
          <w:sz w:val="20"/>
          <w:szCs w:val="20"/>
        </w:rPr>
        <w:t xml:space="preserve"> the output</w:t>
      </w:r>
      <w:r w:rsidR="004C5F78" w:rsidRPr="00916D35">
        <w:rPr>
          <w:rFonts w:ascii="Arial" w:eastAsia="Times New Roman" w:hAnsi="Arial" w:cs="Arial"/>
          <w:sz w:val="20"/>
          <w:szCs w:val="20"/>
        </w:rPr>
        <w:t>,</w:t>
      </w:r>
      <w:r w:rsidRPr="00916D35">
        <w:rPr>
          <w:rFonts w:ascii="Arial" w:eastAsia="Times New Roman" w:hAnsi="Arial" w:cs="Arial"/>
          <w:sz w:val="20"/>
          <w:szCs w:val="20"/>
        </w:rPr>
        <w:t xml:space="preserve"> which is an improvement in the learning outcomes. The key challenges facing modern education are often attributed to students’ lack of engagement and motivation to actively participate in the learning process (</w:t>
      </w:r>
      <w:proofErr w:type="spellStart"/>
      <w:r w:rsidRPr="00916D35">
        <w:rPr>
          <w:rFonts w:ascii="Arial" w:eastAsia="Times New Roman" w:hAnsi="Arial" w:cs="Arial"/>
          <w:sz w:val="20"/>
          <w:szCs w:val="20"/>
        </w:rPr>
        <w:t>Minzi</w:t>
      </w:r>
      <w:proofErr w:type="spellEnd"/>
      <w:r w:rsidRPr="00916D35">
        <w:rPr>
          <w:rFonts w:ascii="Arial" w:eastAsia="Times New Roman" w:hAnsi="Arial" w:cs="Arial"/>
          <w:sz w:val="20"/>
          <w:szCs w:val="20"/>
        </w:rPr>
        <w:t xml:space="preserve"> et al, 2023). </w:t>
      </w:r>
      <w:r w:rsidR="00E379DE" w:rsidRPr="00E379DE">
        <w:rPr>
          <w:rFonts w:ascii="Arial" w:eastAsia="Times New Roman" w:hAnsi="Arial" w:cs="Arial"/>
          <w:sz w:val="20"/>
          <w:szCs w:val="20"/>
        </w:rPr>
        <w:t>The more the learners are involved in the learning process, the better their chances to grasp and attain the objectives set forth by the particular lesson</w:t>
      </w:r>
      <w:r w:rsidR="00E379DE">
        <w:rPr>
          <w:rFonts w:ascii="Arial" w:eastAsia="Times New Roman" w:hAnsi="Arial" w:cs="Arial"/>
          <w:sz w:val="20"/>
          <w:szCs w:val="20"/>
        </w:rPr>
        <w:t xml:space="preserve"> (Giray</w:t>
      </w:r>
      <w:r w:rsidR="00D7161D">
        <w:rPr>
          <w:rFonts w:ascii="Arial" w:eastAsia="Times New Roman" w:hAnsi="Arial" w:cs="Arial"/>
          <w:sz w:val="20"/>
          <w:szCs w:val="20"/>
        </w:rPr>
        <w:t xml:space="preserve"> Jr.</w:t>
      </w:r>
      <w:r w:rsidR="00E379DE">
        <w:rPr>
          <w:rFonts w:ascii="Arial" w:eastAsia="Times New Roman" w:hAnsi="Arial" w:cs="Arial"/>
          <w:sz w:val="20"/>
          <w:szCs w:val="20"/>
        </w:rPr>
        <w:t xml:space="preserve"> and </w:t>
      </w:r>
      <w:proofErr w:type="spellStart"/>
      <w:r w:rsidR="00E379DE">
        <w:rPr>
          <w:rFonts w:ascii="Arial" w:eastAsia="Times New Roman" w:hAnsi="Arial" w:cs="Arial"/>
          <w:sz w:val="20"/>
          <w:szCs w:val="20"/>
        </w:rPr>
        <w:t>Ballado</w:t>
      </w:r>
      <w:proofErr w:type="spellEnd"/>
      <w:r w:rsidR="00E379DE">
        <w:rPr>
          <w:rFonts w:ascii="Arial" w:eastAsia="Times New Roman" w:hAnsi="Arial" w:cs="Arial"/>
          <w:sz w:val="20"/>
          <w:szCs w:val="20"/>
        </w:rPr>
        <w:t>, 2025)</w:t>
      </w:r>
      <w:r w:rsidR="00E379DE" w:rsidRPr="00E379DE">
        <w:rPr>
          <w:rFonts w:ascii="Arial" w:eastAsia="Times New Roman" w:hAnsi="Arial" w:cs="Arial"/>
          <w:sz w:val="20"/>
          <w:szCs w:val="20"/>
        </w:rPr>
        <w:t xml:space="preserve">. </w:t>
      </w:r>
      <w:r w:rsidRPr="00916D35">
        <w:rPr>
          <w:rFonts w:ascii="Arial" w:eastAsia="Times New Roman" w:hAnsi="Arial" w:cs="Arial"/>
          <w:sz w:val="20"/>
          <w:szCs w:val="20"/>
        </w:rPr>
        <w:t xml:space="preserve">There should be a way of leveraging motivation and engagement to improve </w:t>
      </w:r>
      <w:r w:rsidR="004C5F78" w:rsidRPr="00916D35">
        <w:rPr>
          <w:rFonts w:ascii="Arial" w:eastAsia="Times New Roman" w:hAnsi="Arial" w:cs="Arial"/>
          <w:sz w:val="20"/>
          <w:szCs w:val="20"/>
        </w:rPr>
        <w:t xml:space="preserve">the </w:t>
      </w:r>
      <w:r w:rsidRPr="00916D35">
        <w:rPr>
          <w:rFonts w:ascii="Arial" w:eastAsia="Times New Roman" w:hAnsi="Arial" w:cs="Arial"/>
          <w:sz w:val="20"/>
          <w:szCs w:val="20"/>
        </w:rPr>
        <w:t xml:space="preserve">teaching and learning of STEM concepts. That is a strategy that </w:t>
      </w:r>
      <w:r w:rsidR="004C5F78" w:rsidRPr="00916D35">
        <w:rPr>
          <w:rFonts w:ascii="Arial" w:eastAsia="Times New Roman" w:hAnsi="Arial" w:cs="Arial"/>
          <w:sz w:val="20"/>
          <w:szCs w:val="20"/>
        </w:rPr>
        <w:t>makes</w:t>
      </w:r>
      <w:r w:rsidRPr="00916D35">
        <w:rPr>
          <w:rFonts w:ascii="Arial" w:eastAsia="Times New Roman" w:hAnsi="Arial" w:cs="Arial"/>
          <w:sz w:val="20"/>
          <w:szCs w:val="20"/>
        </w:rPr>
        <w:t xml:space="preserve"> </w:t>
      </w:r>
      <w:r w:rsidR="004C5F78" w:rsidRPr="00916D35">
        <w:rPr>
          <w:rFonts w:ascii="Arial" w:eastAsia="Times New Roman" w:hAnsi="Arial" w:cs="Arial"/>
          <w:sz w:val="20"/>
          <w:szCs w:val="20"/>
        </w:rPr>
        <w:t>students</w:t>
      </w:r>
      <w:r w:rsidRPr="00916D35">
        <w:rPr>
          <w:rFonts w:ascii="Arial" w:eastAsia="Times New Roman" w:hAnsi="Arial" w:cs="Arial"/>
          <w:sz w:val="20"/>
          <w:szCs w:val="20"/>
        </w:rPr>
        <w:t xml:space="preserve"> actively </w:t>
      </w:r>
      <w:r w:rsidR="004C5F78" w:rsidRPr="00916D35">
        <w:rPr>
          <w:rFonts w:ascii="Arial" w:eastAsia="Times New Roman" w:hAnsi="Arial" w:cs="Arial"/>
          <w:sz w:val="20"/>
          <w:szCs w:val="20"/>
        </w:rPr>
        <w:t>involved</w:t>
      </w:r>
      <w:r w:rsidRPr="00916D35">
        <w:rPr>
          <w:rFonts w:ascii="Arial" w:eastAsia="Times New Roman" w:hAnsi="Arial" w:cs="Arial"/>
          <w:sz w:val="20"/>
          <w:szCs w:val="20"/>
        </w:rPr>
        <w:t xml:space="preserve"> and at the same time </w:t>
      </w:r>
      <w:r w:rsidR="004C5F78" w:rsidRPr="00916D35">
        <w:rPr>
          <w:rFonts w:ascii="Arial" w:eastAsia="Times New Roman" w:hAnsi="Arial" w:cs="Arial"/>
          <w:sz w:val="20"/>
          <w:szCs w:val="20"/>
        </w:rPr>
        <w:t>have</w:t>
      </w:r>
      <w:r w:rsidRPr="00916D35">
        <w:rPr>
          <w:rFonts w:ascii="Arial" w:eastAsia="Times New Roman" w:hAnsi="Arial" w:cs="Arial"/>
          <w:sz w:val="20"/>
          <w:szCs w:val="20"/>
        </w:rPr>
        <w:t xml:space="preserve"> fun. One of the ways a teacher can achieve this is by having a gamified learning environment in which a teacher </w:t>
      </w:r>
      <w:r w:rsidR="004C5F78" w:rsidRPr="00916D35">
        <w:rPr>
          <w:rFonts w:ascii="Arial" w:eastAsia="Times New Roman" w:hAnsi="Arial" w:cs="Arial"/>
          <w:sz w:val="20"/>
          <w:szCs w:val="20"/>
        </w:rPr>
        <w:t>uses</w:t>
      </w:r>
      <w:r w:rsidRPr="00916D35">
        <w:rPr>
          <w:rFonts w:ascii="Arial" w:eastAsia="Times New Roman" w:hAnsi="Arial" w:cs="Arial"/>
          <w:sz w:val="20"/>
          <w:szCs w:val="20"/>
        </w:rPr>
        <w:t xml:space="preserve"> Gamification as a teaching and learning </w:t>
      </w:r>
      <w:r w:rsidR="004C5F78" w:rsidRPr="00916D35">
        <w:rPr>
          <w:rFonts w:ascii="Arial" w:eastAsia="Times New Roman" w:hAnsi="Arial" w:cs="Arial"/>
          <w:sz w:val="20"/>
          <w:szCs w:val="20"/>
        </w:rPr>
        <w:t>strategy</w:t>
      </w:r>
      <w:r w:rsidRPr="00916D35">
        <w:rPr>
          <w:rFonts w:ascii="Arial" w:eastAsia="Times New Roman" w:hAnsi="Arial" w:cs="Arial"/>
          <w:sz w:val="20"/>
          <w:szCs w:val="20"/>
        </w:rPr>
        <w:t xml:space="preserve">. </w:t>
      </w:r>
    </w:p>
    <w:p w14:paraId="646CB5F8" w14:textId="4231D159"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in STEM education is adding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game element of software </w:t>
      </w:r>
      <w:r w:rsidR="004C5F78" w:rsidRPr="00916D35">
        <w:rPr>
          <w:rFonts w:ascii="Arial" w:eastAsia="Times New Roman" w:hAnsi="Arial" w:cs="Arial"/>
          <w:color w:val="000000"/>
          <w:sz w:val="20"/>
          <w:szCs w:val="20"/>
        </w:rPr>
        <w:t>games</w:t>
      </w:r>
      <w:r w:rsidRPr="00916D35">
        <w:rPr>
          <w:rFonts w:ascii="Arial" w:eastAsia="Times New Roman" w:hAnsi="Arial" w:cs="Arial"/>
          <w:color w:val="000000"/>
          <w:sz w:val="20"/>
          <w:szCs w:val="20"/>
        </w:rPr>
        <w:t xml:space="preserve"> into teaching and learning of STEM concepts to encourage students’ participation, increase student engagement and collaboration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make the teaching and learning process more enjoyable and fun since people have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desire for competition and achievement. Gamification refers to using elements from games in non-gaming environments ( </w:t>
      </w:r>
      <w:hyperlink r:id="rId7" w:anchor="ref32">
        <w:r w:rsidRPr="00916D35">
          <w:rPr>
            <w:rFonts w:ascii="Arial" w:eastAsia="Times New Roman" w:hAnsi="Arial" w:cs="Arial"/>
            <w:color w:val="000000"/>
            <w:sz w:val="20"/>
            <w:szCs w:val="20"/>
          </w:rPr>
          <w:t>Garland</w:t>
        </w:r>
      </w:hyperlink>
      <w:hyperlink r:id="rId8" w:anchor="ref32">
        <w:r w:rsidR="00837F16" w:rsidRPr="00916D35">
          <w:rPr>
            <w:rFonts w:ascii="Arial" w:eastAsia="Times New Roman" w:hAnsi="Arial" w:cs="Arial"/>
            <w:color w:val="0563C1"/>
            <w:sz w:val="20"/>
            <w:szCs w:val="20"/>
            <w:u w:val="single"/>
          </w:rPr>
          <w:t>,</w:t>
        </w:r>
      </w:hyperlink>
      <w:r w:rsidR="00837F16" w:rsidRPr="00916D35">
        <w:rPr>
          <w:rFonts w:ascii="Arial" w:eastAsia="Times New Roman" w:hAnsi="Arial" w:cs="Arial"/>
          <w:color w:val="0563C1"/>
          <w:sz w:val="20"/>
          <w:szCs w:val="20"/>
          <w:u w:val="single"/>
        </w:rPr>
        <w:t xml:space="preserve"> </w:t>
      </w:r>
      <w:hyperlink r:id="rId9" w:anchor="ref32">
        <w:r w:rsidRPr="00916D35">
          <w:rPr>
            <w:rFonts w:ascii="Arial" w:eastAsia="Times New Roman" w:hAnsi="Arial" w:cs="Arial"/>
            <w:color w:val="000000"/>
            <w:sz w:val="20"/>
            <w:szCs w:val="20"/>
          </w:rPr>
          <w:t>2015</w:t>
        </w:r>
      </w:hyperlink>
      <w:r w:rsidRPr="00916D35">
        <w:rPr>
          <w:rFonts w:ascii="Arial" w:eastAsia="Times New Roman" w:hAnsi="Arial" w:cs="Arial"/>
          <w:color w:val="000000"/>
          <w:sz w:val="20"/>
          <w:szCs w:val="20"/>
        </w:rPr>
        <w: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main goals of gamification are to enhance certain abilities, introduce objectives that give learning a purpose, engage students, optimize learning, support behavior change, and socialize (</w:t>
      </w:r>
      <w:proofErr w:type="spellStart"/>
      <w:r>
        <w:fldChar w:fldCharType="begin"/>
      </w:r>
      <w:r>
        <w:instrText>HYPERLINK "https://slejournal.springeropen.com/articles/10.1186/s40561-019-0098-x" \l "ref-CR7" \h</w:instrText>
      </w:r>
      <w:r>
        <w:fldChar w:fldCharType="separate"/>
      </w:r>
      <w:r w:rsidRPr="00916D35">
        <w:rPr>
          <w:rFonts w:ascii="Arial" w:eastAsia="Times New Roman" w:hAnsi="Arial" w:cs="Arial"/>
          <w:color w:val="000000"/>
          <w:sz w:val="20"/>
          <w:szCs w:val="20"/>
        </w:rPr>
        <w:t>Dichev</w:t>
      </w:r>
      <w:proofErr w:type="spellEnd"/>
      <w:r>
        <w:fldChar w:fldCharType="end"/>
      </w:r>
      <w:hyperlink r:id="rId10" w:anchor="ref-CR7">
        <w:r w:rsidRPr="00916D35">
          <w:rPr>
            <w:rFonts w:ascii="Arial" w:eastAsia="Times New Roman" w:hAnsi="Arial" w:cs="Arial"/>
            <w:color w:val="0563C1"/>
            <w:sz w:val="20"/>
            <w:szCs w:val="20"/>
            <w:u w:val="single"/>
          </w:rPr>
          <w:t xml:space="preserve"> </w:t>
        </w:r>
      </w:hyperlink>
      <w:hyperlink r:id="rId11" w:anchor="ref-CR7">
        <w:r w:rsidRPr="00916D35">
          <w:rPr>
            <w:rFonts w:ascii="Arial" w:eastAsia="Times New Roman" w:hAnsi="Arial" w:cs="Arial"/>
            <w:color w:val="000000"/>
            <w:sz w:val="20"/>
            <w:szCs w:val="20"/>
          </w:rPr>
          <w:t>and</w:t>
        </w:r>
      </w:hyperlink>
      <w:hyperlink r:id="rId12" w:anchor="ref-CR7">
        <w:r w:rsidRPr="00916D35">
          <w:rPr>
            <w:rFonts w:ascii="Arial" w:eastAsia="Times New Roman" w:hAnsi="Arial" w:cs="Arial"/>
            <w:color w:val="0563C1"/>
            <w:sz w:val="20"/>
            <w:szCs w:val="20"/>
            <w:u w:val="single"/>
          </w:rPr>
          <w:t xml:space="preserve"> </w:t>
        </w:r>
      </w:hyperlink>
      <w:hyperlink r:id="rId13" w:anchor="ref-CR7">
        <w:proofErr w:type="spellStart"/>
        <w:r w:rsidRPr="00916D35">
          <w:rPr>
            <w:rFonts w:ascii="Arial" w:eastAsia="Times New Roman" w:hAnsi="Arial" w:cs="Arial"/>
            <w:color w:val="000000"/>
            <w:sz w:val="20"/>
            <w:szCs w:val="20"/>
          </w:rPr>
          <w:t>Dicheva</w:t>
        </w:r>
        <w:proofErr w:type="spellEnd"/>
      </w:hyperlink>
      <w:hyperlink r:id="rId14" w:anchor="ref-CR7">
        <w:r w:rsidRPr="00916D35">
          <w:rPr>
            <w:rFonts w:ascii="Arial" w:eastAsia="Times New Roman" w:hAnsi="Arial" w:cs="Arial"/>
            <w:color w:val="0563C1"/>
            <w:sz w:val="20"/>
            <w:szCs w:val="20"/>
            <w:u w:val="single"/>
          </w:rPr>
          <w:t xml:space="preserve"> </w:t>
        </w:r>
      </w:hyperlink>
      <w:hyperlink r:id="rId15" w:anchor="ref-CR7">
        <w:r w:rsidRPr="00916D35">
          <w:rPr>
            <w:rFonts w:ascii="Arial" w:eastAsia="Times New Roman" w:hAnsi="Arial" w:cs="Arial"/>
            <w:color w:val="000000"/>
            <w:sz w:val="20"/>
            <w:szCs w:val="20"/>
          </w:rPr>
          <w:t>2017</w:t>
        </w:r>
      </w:hyperlink>
      <w:r w:rsidRPr="00916D35">
        <w:rPr>
          <w:rFonts w:ascii="Arial" w:eastAsia="Times New Roman" w:hAnsi="Arial" w:cs="Arial"/>
          <w:color w:val="000000"/>
          <w:sz w:val="20"/>
          <w:szCs w:val="20"/>
        </w:rPr>
        <w:t xml:space="preserve">). It can be used at all </w:t>
      </w:r>
      <w:r w:rsidR="004C5F78" w:rsidRPr="00916D35">
        <w:rPr>
          <w:rFonts w:ascii="Arial" w:eastAsia="Times New Roman" w:hAnsi="Arial" w:cs="Arial"/>
          <w:color w:val="000000"/>
          <w:sz w:val="20"/>
          <w:szCs w:val="20"/>
        </w:rPr>
        <w:t>levels</w:t>
      </w:r>
      <w:r w:rsidRPr="00916D35">
        <w:rPr>
          <w:rFonts w:ascii="Arial" w:eastAsia="Times New Roman" w:hAnsi="Arial" w:cs="Arial"/>
          <w:color w:val="000000"/>
          <w:sz w:val="20"/>
          <w:szCs w:val="20"/>
        </w:rPr>
        <w:t xml:space="preserve"> of education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be it early childhood education, primary education, middle education, higher education, tertiary education, or adult education. Gamification can </w:t>
      </w:r>
      <w:r w:rsidR="004C5F78" w:rsidRPr="00916D35">
        <w:rPr>
          <w:rFonts w:ascii="Arial" w:eastAsia="Times New Roman" w:hAnsi="Arial" w:cs="Arial"/>
          <w:color w:val="000000"/>
          <w:sz w:val="20"/>
          <w:szCs w:val="20"/>
        </w:rPr>
        <w:t>be designed</w:t>
      </w:r>
      <w:r w:rsidRPr="00916D35">
        <w:rPr>
          <w:rFonts w:ascii="Arial" w:eastAsia="Times New Roman" w:hAnsi="Arial" w:cs="Arial"/>
          <w:color w:val="000000"/>
          <w:sz w:val="20"/>
          <w:szCs w:val="20"/>
        </w:rPr>
        <w:t xml:space="preserve"> and </w:t>
      </w:r>
      <w:r w:rsidR="004C5F78" w:rsidRPr="00916D35">
        <w:rPr>
          <w:rFonts w:ascii="Arial" w:eastAsia="Times New Roman" w:hAnsi="Arial" w:cs="Arial"/>
          <w:color w:val="000000"/>
          <w:sz w:val="20"/>
          <w:szCs w:val="20"/>
        </w:rPr>
        <w:t>adapted</w:t>
      </w:r>
      <w:r w:rsidRPr="00916D35">
        <w:rPr>
          <w:rFonts w:ascii="Arial" w:eastAsia="Times New Roman" w:hAnsi="Arial" w:cs="Arial"/>
          <w:color w:val="000000"/>
          <w:sz w:val="20"/>
          <w:szCs w:val="20"/>
        </w:rPr>
        <w:t xml:space="preserve"> to suit the </w:t>
      </w:r>
      <w:r w:rsidR="004C5F78" w:rsidRPr="00916D35">
        <w:rPr>
          <w:rFonts w:ascii="Arial" w:eastAsia="Times New Roman" w:hAnsi="Arial" w:cs="Arial"/>
          <w:color w:val="000000"/>
          <w:sz w:val="20"/>
          <w:szCs w:val="20"/>
        </w:rPr>
        <w:t>needs</w:t>
      </w:r>
      <w:r w:rsidRPr="00916D35">
        <w:rPr>
          <w:rFonts w:ascii="Arial" w:eastAsia="Times New Roman" w:hAnsi="Arial" w:cs="Arial"/>
          <w:color w:val="000000"/>
          <w:sz w:val="20"/>
          <w:szCs w:val="20"/>
        </w:rPr>
        <w:t xml:space="preserve"> of </w:t>
      </w:r>
      <w:r w:rsidR="004C5F78" w:rsidRPr="00916D35">
        <w:rPr>
          <w:rFonts w:ascii="Arial" w:eastAsia="Times New Roman" w:hAnsi="Arial" w:cs="Arial"/>
          <w:color w:val="000000"/>
          <w:sz w:val="20"/>
          <w:szCs w:val="20"/>
        </w:rPr>
        <w:t>learners'</w:t>
      </w:r>
      <w:r w:rsidRPr="00916D35">
        <w:rPr>
          <w:rFonts w:ascii="Arial" w:eastAsia="Times New Roman" w:hAnsi="Arial" w:cs="Arial"/>
          <w:color w:val="000000"/>
          <w:sz w:val="20"/>
          <w:szCs w:val="20"/>
        </w:rPr>
        <w:t xml:space="preserve"> developmental stage and educational level. It is a common fact nowadays that students </w:t>
      </w:r>
      <w:r w:rsidR="00867DF2">
        <w:rPr>
          <w:rFonts w:ascii="Arial" w:eastAsia="Times New Roman" w:hAnsi="Arial" w:cs="Arial"/>
          <w:color w:val="000000"/>
          <w:sz w:val="20"/>
          <w:szCs w:val="20"/>
        </w:rPr>
        <w:t xml:space="preserve">are always with </w:t>
      </w:r>
      <w:r w:rsidRPr="00916D35">
        <w:rPr>
          <w:rFonts w:ascii="Arial" w:eastAsia="Times New Roman" w:hAnsi="Arial" w:cs="Arial"/>
          <w:color w:val="000000"/>
          <w:sz w:val="20"/>
          <w:szCs w:val="20"/>
        </w:rPr>
        <w:t xml:space="preserve">their </w:t>
      </w:r>
      <w:r w:rsidR="004C5F78" w:rsidRPr="00916D35">
        <w:rPr>
          <w:rFonts w:ascii="Arial" w:eastAsia="Times New Roman" w:hAnsi="Arial" w:cs="Arial"/>
          <w:color w:val="000000"/>
          <w:sz w:val="20"/>
          <w:szCs w:val="20"/>
        </w:rPr>
        <w:t>handsets</w:t>
      </w:r>
      <w:r w:rsidRPr="00916D35">
        <w:rPr>
          <w:rFonts w:ascii="Arial" w:eastAsia="Times New Roman" w:hAnsi="Arial" w:cs="Arial"/>
          <w:color w:val="000000"/>
          <w:sz w:val="20"/>
          <w:szCs w:val="20"/>
        </w:rPr>
        <w:t xml:space="preserve">/ mobile </w:t>
      </w:r>
      <w:r w:rsidR="004C5F78" w:rsidRPr="00916D35">
        <w:rPr>
          <w:rFonts w:ascii="Arial" w:eastAsia="Times New Roman" w:hAnsi="Arial" w:cs="Arial"/>
          <w:color w:val="000000"/>
          <w:sz w:val="20"/>
          <w:szCs w:val="20"/>
        </w:rPr>
        <w:t>phones</w:t>
      </w:r>
      <w:r w:rsidRPr="00916D35">
        <w:rPr>
          <w:rFonts w:ascii="Arial" w:eastAsia="Times New Roman" w:hAnsi="Arial" w:cs="Arial"/>
          <w:color w:val="000000"/>
          <w:sz w:val="20"/>
          <w:szCs w:val="20"/>
        </w:rPr>
        <w:t xml:space="preserve">. They often play </w:t>
      </w:r>
      <w:r w:rsidR="004C5F78" w:rsidRPr="00916D35">
        <w:rPr>
          <w:rFonts w:ascii="Arial" w:eastAsia="Times New Roman" w:hAnsi="Arial" w:cs="Arial"/>
          <w:color w:val="000000"/>
          <w:sz w:val="20"/>
          <w:szCs w:val="20"/>
        </w:rPr>
        <w:t>games</w:t>
      </w:r>
      <w:r w:rsidRPr="00916D35">
        <w:rPr>
          <w:rFonts w:ascii="Arial" w:eastAsia="Times New Roman" w:hAnsi="Arial" w:cs="Arial"/>
          <w:color w:val="000000"/>
          <w:sz w:val="20"/>
          <w:szCs w:val="20"/>
        </w:rPr>
        <w:t xml:space="preserve"> on their phone even while in class. It may be even better to incorporate </w:t>
      </w:r>
      <w:r w:rsidR="004C5F78" w:rsidRPr="00916D35">
        <w:rPr>
          <w:rFonts w:ascii="Arial" w:eastAsia="Times New Roman" w:hAnsi="Arial" w:cs="Arial"/>
          <w:color w:val="000000"/>
          <w:sz w:val="20"/>
          <w:szCs w:val="20"/>
        </w:rPr>
        <w:t>elements</w:t>
      </w:r>
      <w:r w:rsidRPr="00916D35">
        <w:rPr>
          <w:rFonts w:ascii="Arial" w:eastAsia="Times New Roman" w:hAnsi="Arial" w:cs="Arial"/>
          <w:color w:val="000000"/>
          <w:sz w:val="20"/>
          <w:szCs w:val="20"/>
        </w:rPr>
        <w:t xml:space="preserve"> of this game into teaching to further enhance learning and engagement. For this research work, the researcher used </w:t>
      </w:r>
      <w:r w:rsidR="004C5F78"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tertiary education level</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precisely the pre-service STEM teacher</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with the assumption that if they </w:t>
      </w:r>
      <w:r w:rsidR="004C5F78" w:rsidRPr="00916D35">
        <w:rPr>
          <w:rFonts w:ascii="Arial" w:eastAsia="Times New Roman" w:hAnsi="Arial" w:cs="Arial"/>
          <w:color w:val="000000"/>
          <w:sz w:val="20"/>
          <w:szCs w:val="20"/>
        </w:rPr>
        <w:t>are</w:t>
      </w:r>
      <w:r w:rsidRPr="00916D35">
        <w:rPr>
          <w:rFonts w:ascii="Arial" w:eastAsia="Times New Roman" w:hAnsi="Arial" w:cs="Arial"/>
          <w:color w:val="000000"/>
          <w:sz w:val="20"/>
          <w:szCs w:val="20"/>
        </w:rPr>
        <w:t xml:space="preserve"> familiar with it during their training years, they will find it easy and convenient to use when practicing as a teacher. Gamification can be used online (where one </w:t>
      </w:r>
      <w:r w:rsidR="004C5F78" w:rsidRPr="00916D35">
        <w:rPr>
          <w:rFonts w:ascii="Arial" w:eastAsia="Times New Roman" w:hAnsi="Arial" w:cs="Arial"/>
          <w:color w:val="000000"/>
          <w:sz w:val="20"/>
          <w:szCs w:val="20"/>
        </w:rPr>
        <w:t>needs</w:t>
      </w:r>
      <w:r w:rsidRPr="00916D35">
        <w:rPr>
          <w:rFonts w:ascii="Arial" w:eastAsia="Times New Roman" w:hAnsi="Arial" w:cs="Arial"/>
          <w:color w:val="000000"/>
          <w:sz w:val="20"/>
          <w:szCs w:val="20"/>
        </w:rPr>
        <w:t xml:space="preserve"> to connect to a network) or offline (where you don’t have to connect </w:t>
      </w:r>
      <w:r w:rsidR="004C5F78" w:rsidRPr="00916D35">
        <w:rPr>
          <w:rFonts w:ascii="Arial" w:eastAsia="Times New Roman" w:hAnsi="Arial" w:cs="Arial"/>
          <w:color w:val="000000"/>
          <w:sz w:val="20"/>
          <w:szCs w:val="20"/>
        </w:rPr>
        <w:t>to</w:t>
      </w:r>
      <w:r w:rsidRPr="00916D35">
        <w:rPr>
          <w:rFonts w:ascii="Arial" w:eastAsia="Times New Roman" w:hAnsi="Arial" w:cs="Arial"/>
          <w:color w:val="000000"/>
          <w:sz w:val="20"/>
          <w:szCs w:val="20"/>
        </w:rPr>
        <w:t xml:space="preserve"> a network to play the game). </w:t>
      </w:r>
      <w:r w:rsidR="004C5F78" w:rsidRPr="00916D35">
        <w:rPr>
          <w:rFonts w:ascii="Arial" w:eastAsia="Times New Roman" w:hAnsi="Arial" w:cs="Arial"/>
          <w:color w:val="000000"/>
          <w:sz w:val="20"/>
          <w:szCs w:val="20"/>
        </w:rPr>
        <w:t>Different types of games can</w:t>
      </w:r>
      <w:r w:rsidRPr="00916D35">
        <w:rPr>
          <w:rFonts w:ascii="Arial" w:eastAsia="Times New Roman" w:hAnsi="Arial" w:cs="Arial"/>
          <w:color w:val="000000"/>
          <w:sz w:val="20"/>
          <w:szCs w:val="20"/>
        </w:rPr>
        <w:t xml:space="preserve"> be used in STEM Education. This includes: </w:t>
      </w:r>
      <w:proofErr w:type="spellStart"/>
      <w:r w:rsidRPr="00916D35">
        <w:rPr>
          <w:rFonts w:ascii="Arial" w:eastAsia="Times New Roman" w:hAnsi="Arial" w:cs="Arial"/>
          <w:color w:val="000000"/>
          <w:sz w:val="20"/>
          <w:szCs w:val="20"/>
        </w:rPr>
        <w:t>CodeCombat</w:t>
      </w:r>
      <w:proofErr w:type="spellEnd"/>
      <w:r w:rsidRPr="00916D35">
        <w:rPr>
          <w:rFonts w:ascii="Arial" w:eastAsia="Times New Roman" w:hAnsi="Arial" w:cs="Arial"/>
          <w:color w:val="000000"/>
          <w:sz w:val="20"/>
          <w:szCs w:val="20"/>
        </w:rPr>
        <w:t xml:space="preserve">, </w:t>
      </w:r>
      <w:proofErr w:type="spellStart"/>
      <w:r w:rsidRPr="00916D35">
        <w:rPr>
          <w:rFonts w:ascii="Arial" w:eastAsia="Times New Roman" w:hAnsi="Arial" w:cs="Arial"/>
          <w:color w:val="000000"/>
          <w:sz w:val="20"/>
          <w:szCs w:val="20"/>
        </w:rPr>
        <w:t>Labster</w:t>
      </w:r>
      <w:proofErr w:type="spellEnd"/>
      <w:r w:rsidRPr="00916D35">
        <w:rPr>
          <w:rFonts w:ascii="Arial" w:eastAsia="Times New Roman" w:hAnsi="Arial" w:cs="Arial"/>
          <w:color w:val="000000"/>
          <w:sz w:val="20"/>
          <w:szCs w:val="20"/>
        </w:rPr>
        <w:t xml:space="preserve">, </w:t>
      </w:r>
      <w:proofErr w:type="spellStart"/>
      <w:r w:rsidRPr="00916D35">
        <w:rPr>
          <w:rFonts w:ascii="Arial" w:eastAsia="Times New Roman" w:hAnsi="Arial" w:cs="Arial"/>
          <w:color w:val="000000"/>
          <w:sz w:val="20"/>
          <w:szCs w:val="20"/>
        </w:rPr>
        <w:t>Blockly</w:t>
      </w:r>
      <w:proofErr w:type="spellEnd"/>
      <w:r w:rsidRPr="00916D35">
        <w:rPr>
          <w:rFonts w:ascii="Arial" w:eastAsia="Times New Roman" w:hAnsi="Arial" w:cs="Arial"/>
          <w:color w:val="000000"/>
          <w:sz w:val="20"/>
          <w:szCs w:val="20"/>
        </w:rPr>
        <w:t xml:space="preserve"> Games, Tynker, Badges, Leaderboards, Points and Rewards, Quiz, Quests and Mission, Progress Tracking and Feedback, </w:t>
      </w:r>
      <w:r w:rsidRPr="00916D35">
        <w:rPr>
          <w:rFonts w:ascii="Arial" w:eastAsia="Times New Roman" w:hAnsi="Arial" w:cs="Arial"/>
          <w:color w:val="000000"/>
          <w:sz w:val="20"/>
          <w:szCs w:val="20"/>
        </w:rPr>
        <w:lastRenderedPageBreak/>
        <w:t>Storytelling and Narrative Elements, Simulation and Roleplayin</w:t>
      </w:r>
      <w:r w:rsidR="00837F16" w:rsidRPr="00916D35">
        <w:rPr>
          <w:rFonts w:ascii="Arial" w:eastAsia="Times New Roman" w:hAnsi="Arial" w:cs="Arial"/>
          <w:color w:val="000000"/>
          <w:sz w:val="20"/>
          <w:szCs w:val="20"/>
        </w:rPr>
        <w:t>g, Puzzles and Escape room</w:t>
      </w:r>
      <w:r w:rsidR="004C5F78" w:rsidRPr="00916D35">
        <w:rPr>
          <w:rFonts w:ascii="Arial" w:eastAsia="Times New Roman" w:hAnsi="Arial" w:cs="Arial"/>
          <w:color w:val="000000"/>
          <w:sz w:val="20"/>
          <w:szCs w:val="20"/>
        </w:rPr>
        <w:t>,</w:t>
      </w:r>
      <w:r w:rsidR="00837F16" w:rsidRPr="00916D35">
        <w:rPr>
          <w:rFonts w:ascii="Arial" w:eastAsia="Times New Roman" w:hAnsi="Arial" w:cs="Arial"/>
          <w:color w:val="000000"/>
          <w:sz w:val="20"/>
          <w:szCs w:val="20"/>
        </w:rPr>
        <w:t xml:space="preserve"> etc.</w:t>
      </w:r>
      <w:r w:rsidRPr="00916D35">
        <w:rPr>
          <w:rFonts w:ascii="Arial" w:eastAsia="Times New Roman" w:hAnsi="Arial" w:cs="Arial"/>
          <w:color w:val="000000"/>
          <w:sz w:val="20"/>
          <w:szCs w:val="20"/>
        </w:rPr>
        <w:t xml:space="preserve"> Teaching has gone beyond just dishing out information</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best and efficient teacher needs to contemplate on how best to discharge his/her duties effectively with active participation and positive engagement of the students. Therefore</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t>
      </w:r>
      <w:r w:rsidR="004C5F78" w:rsidRPr="00916D35">
        <w:rPr>
          <w:rFonts w:ascii="Arial" w:eastAsia="Times New Roman" w:hAnsi="Arial" w:cs="Arial"/>
          <w:color w:val="000000"/>
          <w:sz w:val="20"/>
          <w:szCs w:val="20"/>
        </w:rPr>
        <w:t>an instructional strategy</w:t>
      </w:r>
      <w:r w:rsidRPr="00916D35">
        <w:rPr>
          <w:rFonts w:ascii="Arial" w:eastAsia="Times New Roman" w:hAnsi="Arial" w:cs="Arial"/>
          <w:color w:val="000000"/>
          <w:sz w:val="20"/>
          <w:szCs w:val="20"/>
        </w:rPr>
        <w:t xml:space="preserve"> that can fit in</w:t>
      </w:r>
      <w:r w:rsidR="00867DF2">
        <w:rPr>
          <w:rFonts w:ascii="Arial" w:eastAsia="Times New Roman" w:hAnsi="Arial" w:cs="Arial"/>
          <w:color w:val="000000"/>
          <w:sz w:val="20"/>
          <w:szCs w:val="20"/>
        </w:rPr>
        <w:t xml:space="preserve"> the </w:t>
      </w:r>
      <w:r w:rsidRPr="00916D35">
        <w:rPr>
          <w:rFonts w:ascii="Arial" w:eastAsia="Times New Roman" w:hAnsi="Arial" w:cs="Arial"/>
          <w:color w:val="000000"/>
          <w:sz w:val="20"/>
          <w:szCs w:val="20"/>
        </w:rPr>
        <w:t xml:space="preserve">criteria and at the same that </w:t>
      </w:r>
      <w:r w:rsidR="004C5F78" w:rsidRPr="00916D35">
        <w:rPr>
          <w:rFonts w:ascii="Arial" w:eastAsia="Times New Roman" w:hAnsi="Arial" w:cs="Arial"/>
          <w:color w:val="000000"/>
          <w:sz w:val="20"/>
          <w:szCs w:val="20"/>
        </w:rPr>
        <w:t>make</w:t>
      </w:r>
      <w:r w:rsidRPr="00916D35">
        <w:rPr>
          <w:rFonts w:ascii="Arial" w:eastAsia="Times New Roman" w:hAnsi="Arial" w:cs="Arial"/>
          <w:color w:val="000000"/>
          <w:sz w:val="20"/>
          <w:szCs w:val="20"/>
        </w:rPr>
        <w:t xml:space="preserve"> teaching and learning a fun exercise is needed</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gamification </w:t>
      </w:r>
      <w:r w:rsidR="004C5F78" w:rsidRPr="00916D35">
        <w:rPr>
          <w:rFonts w:ascii="Arial" w:eastAsia="Times New Roman" w:hAnsi="Arial" w:cs="Arial"/>
          <w:color w:val="000000"/>
          <w:sz w:val="20"/>
          <w:szCs w:val="20"/>
        </w:rPr>
        <w:t>is intended</w:t>
      </w:r>
      <w:r w:rsidRPr="00916D35">
        <w:rPr>
          <w:rFonts w:ascii="Arial" w:eastAsia="Times New Roman" w:hAnsi="Arial" w:cs="Arial"/>
          <w:color w:val="000000"/>
          <w:sz w:val="20"/>
          <w:szCs w:val="20"/>
        </w:rPr>
        <w:t xml:space="preserve"> to do.</w:t>
      </w:r>
    </w:p>
    <w:p w14:paraId="646CB5F9" w14:textId="1AC02581" w:rsidR="007E6E19" w:rsidRPr="000C7916" w:rsidRDefault="000C7916" w:rsidP="0046531C">
      <w:pPr>
        <w:pBdr>
          <w:top w:val="nil"/>
          <w:left w:val="nil"/>
          <w:bottom w:val="nil"/>
          <w:right w:val="nil"/>
          <w:between w:val="nil"/>
        </w:pBdr>
        <w:spacing w:line="360" w:lineRule="auto"/>
        <w:rPr>
          <w:rFonts w:ascii="Arial" w:eastAsia="Times New Roman" w:hAnsi="Arial" w:cs="Arial"/>
          <w:b/>
          <w:color w:val="000000"/>
        </w:rPr>
      </w:pPr>
      <w:r w:rsidRPr="000C7916">
        <w:rPr>
          <w:rFonts w:ascii="Arial" w:eastAsia="Times New Roman" w:hAnsi="Arial" w:cs="Arial"/>
          <w:b/>
          <w:color w:val="000000"/>
        </w:rPr>
        <w:t>STATEMENT OF THE PROBLEM</w:t>
      </w:r>
    </w:p>
    <w:p w14:paraId="646CB5FA" w14:textId="39913B60"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Students’ </w:t>
      </w:r>
      <w:r w:rsidR="004C5F78" w:rsidRPr="00916D35">
        <w:rPr>
          <w:rFonts w:ascii="Arial" w:eastAsia="Times New Roman" w:hAnsi="Arial" w:cs="Arial"/>
          <w:color w:val="000000"/>
          <w:sz w:val="20"/>
          <w:szCs w:val="20"/>
        </w:rPr>
        <w:t>mastery</w:t>
      </w:r>
      <w:r w:rsidRPr="00916D35">
        <w:rPr>
          <w:rFonts w:ascii="Arial" w:eastAsia="Times New Roman" w:hAnsi="Arial" w:cs="Arial"/>
          <w:color w:val="000000"/>
          <w:sz w:val="20"/>
          <w:szCs w:val="20"/>
        </w:rPr>
        <w:t xml:space="preserve"> of </w:t>
      </w:r>
      <w:r w:rsidR="004C5F78" w:rsidRPr="00916D35">
        <w:rPr>
          <w:rFonts w:ascii="Arial" w:eastAsia="Times New Roman" w:hAnsi="Arial" w:cs="Arial"/>
          <w:color w:val="000000"/>
          <w:sz w:val="20"/>
          <w:szCs w:val="20"/>
        </w:rPr>
        <w:t>STEM</w:t>
      </w:r>
      <w:r w:rsidRPr="00916D35">
        <w:rPr>
          <w:rFonts w:ascii="Arial" w:eastAsia="Times New Roman" w:hAnsi="Arial" w:cs="Arial"/>
          <w:color w:val="000000"/>
          <w:sz w:val="20"/>
          <w:szCs w:val="20"/>
        </w:rPr>
        <w:t xml:space="preserve"> concepts and application of </w:t>
      </w:r>
      <w:r w:rsidR="004C5F78" w:rsidRPr="00916D35">
        <w:rPr>
          <w:rFonts w:ascii="Arial" w:eastAsia="Times New Roman" w:hAnsi="Arial" w:cs="Arial"/>
          <w:color w:val="000000"/>
          <w:sz w:val="20"/>
          <w:szCs w:val="20"/>
        </w:rPr>
        <w:t>21st-century</w:t>
      </w:r>
      <w:r w:rsidRPr="00916D35">
        <w:rPr>
          <w:rFonts w:ascii="Arial" w:eastAsia="Times New Roman" w:hAnsi="Arial" w:cs="Arial"/>
          <w:color w:val="000000"/>
          <w:sz w:val="20"/>
          <w:szCs w:val="20"/>
        </w:rPr>
        <w:t xml:space="preserve"> skills has been an issue attracting the attention of researchers and STEM educators. This is crucial for the subject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most especially </w:t>
      </w:r>
      <w:r w:rsidR="00F55DE9" w:rsidRPr="00916D35">
        <w:rPr>
          <w:rFonts w:ascii="Arial" w:eastAsia="Times New Roman" w:hAnsi="Arial" w:cs="Arial"/>
          <w:color w:val="000000"/>
          <w:sz w:val="20"/>
          <w:szCs w:val="20"/>
        </w:rPr>
        <w:t>in</w:t>
      </w:r>
      <w:r w:rsidRPr="00916D35">
        <w:rPr>
          <w:rFonts w:ascii="Arial" w:eastAsia="Times New Roman" w:hAnsi="Arial" w:cs="Arial"/>
          <w:color w:val="000000"/>
          <w:sz w:val="20"/>
          <w:szCs w:val="20"/>
        </w:rPr>
        <w:t xml:space="preserve"> this era of technological innovation and advancement. Students often find some concepts in STEM difficult </w:t>
      </w:r>
      <w:r w:rsidR="004C5F78" w:rsidRPr="00916D35">
        <w:rPr>
          <w:rFonts w:ascii="Arial" w:eastAsia="Times New Roman" w:hAnsi="Arial" w:cs="Arial"/>
          <w:color w:val="000000"/>
          <w:sz w:val="20"/>
          <w:szCs w:val="20"/>
        </w:rPr>
        <w:t>to master</w:t>
      </w:r>
      <w:r w:rsidRPr="00916D35">
        <w:rPr>
          <w:rFonts w:ascii="Arial" w:eastAsia="Times New Roman" w:hAnsi="Arial" w:cs="Arial"/>
          <w:color w:val="000000"/>
          <w:sz w:val="20"/>
          <w:szCs w:val="20"/>
        </w:rPr>
        <w:t xml:space="preserve"> and </w:t>
      </w:r>
      <w:r w:rsidR="004C5F78" w:rsidRPr="00916D35">
        <w:rPr>
          <w:rFonts w:ascii="Arial" w:eastAsia="Times New Roman" w:hAnsi="Arial" w:cs="Arial"/>
          <w:color w:val="000000"/>
          <w:sz w:val="20"/>
          <w:szCs w:val="20"/>
        </w:rPr>
        <w:t>abstract</w:t>
      </w:r>
      <w:r w:rsidRPr="00916D35">
        <w:rPr>
          <w:rFonts w:ascii="Arial" w:eastAsia="Times New Roman" w:hAnsi="Arial" w:cs="Arial"/>
          <w:color w:val="000000"/>
          <w:sz w:val="20"/>
          <w:szCs w:val="20"/>
        </w:rPr>
        <w:t xml:space="preserve">. Teachers need strategies that a student-centered with active participation to teach them and </w:t>
      </w:r>
      <w:r w:rsidR="004C5F78" w:rsidRPr="00916D35">
        <w:rPr>
          <w:rFonts w:ascii="Arial" w:eastAsia="Times New Roman" w:hAnsi="Arial" w:cs="Arial"/>
          <w:color w:val="000000"/>
          <w:sz w:val="20"/>
          <w:szCs w:val="20"/>
        </w:rPr>
        <w:t>make</w:t>
      </w:r>
      <w:r w:rsidRPr="00916D35">
        <w:rPr>
          <w:rFonts w:ascii="Arial" w:eastAsia="Times New Roman" w:hAnsi="Arial" w:cs="Arial"/>
          <w:color w:val="000000"/>
          <w:sz w:val="20"/>
          <w:szCs w:val="20"/>
        </w:rPr>
        <w:t xml:space="preserve"> the class fun and </w:t>
      </w:r>
      <w:r w:rsidR="004C5F78" w:rsidRPr="00916D35">
        <w:rPr>
          <w:rFonts w:ascii="Arial" w:eastAsia="Times New Roman" w:hAnsi="Arial" w:cs="Arial"/>
          <w:color w:val="000000"/>
          <w:sz w:val="20"/>
          <w:szCs w:val="20"/>
        </w:rPr>
        <w:t>educational</w:t>
      </w:r>
      <w:r w:rsidRPr="00916D35">
        <w:rPr>
          <w:rFonts w:ascii="Arial" w:eastAsia="Times New Roman" w:hAnsi="Arial" w:cs="Arial"/>
          <w:color w:val="000000"/>
          <w:sz w:val="20"/>
          <w:szCs w:val="20"/>
        </w:rPr>
        <w:t xml:space="preserve">. Most </w:t>
      </w:r>
      <w:r w:rsidR="004C5F78" w:rsidRPr="00916D35">
        <w:rPr>
          <w:rFonts w:ascii="Arial" w:eastAsia="Times New Roman" w:hAnsi="Arial" w:cs="Arial"/>
          <w:color w:val="000000"/>
          <w:sz w:val="20"/>
          <w:szCs w:val="20"/>
        </w:rPr>
        <w:t>students</w:t>
      </w:r>
      <w:r w:rsidRPr="00916D35">
        <w:rPr>
          <w:rFonts w:ascii="Arial" w:eastAsia="Times New Roman" w:hAnsi="Arial" w:cs="Arial"/>
          <w:color w:val="000000"/>
          <w:sz w:val="20"/>
          <w:szCs w:val="20"/>
        </w:rPr>
        <w:t xml:space="preserve"> dislike </w:t>
      </w:r>
      <w:r w:rsidR="004C5F78" w:rsidRPr="00916D35">
        <w:rPr>
          <w:rFonts w:ascii="Arial" w:eastAsia="Times New Roman" w:hAnsi="Arial" w:cs="Arial"/>
          <w:color w:val="000000"/>
          <w:sz w:val="20"/>
          <w:szCs w:val="20"/>
        </w:rPr>
        <w:t>concepts</w:t>
      </w:r>
      <w:r w:rsidRPr="00916D35">
        <w:rPr>
          <w:rFonts w:ascii="Arial" w:eastAsia="Times New Roman" w:hAnsi="Arial" w:cs="Arial"/>
          <w:color w:val="000000"/>
          <w:sz w:val="20"/>
          <w:szCs w:val="20"/>
        </w:rPr>
        <w:t xml:space="preserve"> like Heat and Temperature and other concepts for being </w:t>
      </w:r>
      <w:r w:rsidR="004C5F78" w:rsidRPr="00916D35">
        <w:rPr>
          <w:rFonts w:ascii="Arial" w:eastAsia="Times New Roman" w:hAnsi="Arial" w:cs="Arial"/>
          <w:color w:val="000000"/>
          <w:sz w:val="20"/>
          <w:szCs w:val="20"/>
        </w:rPr>
        <w:t>mathematically</w:t>
      </w:r>
      <w:r w:rsidRPr="00916D35">
        <w:rPr>
          <w:rFonts w:ascii="Arial" w:eastAsia="Times New Roman" w:hAnsi="Arial" w:cs="Arial"/>
          <w:color w:val="000000"/>
          <w:sz w:val="20"/>
          <w:szCs w:val="20"/>
        </w:rPr>
        <w:t xml:space="preserve"> oriented and abstract. As a result</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teacher needs a strategy that can encourage critical thinking, build students’ motivation and confidence, improve their communication skills, promote collaboration and </w:t>
      </w:r>
      <w:r w:rsidR="004C5F78" w:rsidRPr="00916D35">
        <w:rPr>
          <w:rFonts w:ascii="Arial" w:eastAsia="Times New Roman" w:hAnsi="Arial" w:cs="Arial"/>
          <w:color w:val="000000"/>
          <w:sz w:val="20"/>
          <w:szCs w:val="20"/>
        </w:rPr>
        <w:t>teamwork</w:t>
      </w:r>
      <w:r w:rsidRPr="00916D35">
        <w:rPr>
          <w:rFonts w:ascii="Arial" w:eastAsia="Times New Roman" w:hAnsi="Arial" w:cs="Arial"/>
          <w:color w:val="000000"/>
          <w:sz w:val="20"/>
          <w:szCs w:val="20"/>
        </w:rPr>
        <w:t xml:space="preserve">, and at the same time align with the </w:t>
      </w:r>
      <w:r w:rsidR="004C5F78" w:rsidRPr="00916D35">
        <w:rPr>
          <w:rFonts w:ascii="Arial" w:eastAsia="Times New Roman" w:hAnsi="Arial" w:cs="Arial"/>
          <w:color w:val="000000"/>
          <w:sz w:val="20"/>
          <w:szCs w:val="20"/>
        </w:rPr>
        <w:t>21st-century</w:t>
      </w:r>
      <w:r w:rsidRPr="00916D35">
        <w:rPr>
          <w:rFonts w:ascii="Arial" w:eastAsia="Times New Roman" w:hAnsi="Arial" w:cs="Arial"/>
          <w:color w:val="000000"/>
          <w:sz w:val="20"/>
          <w:szCs w:val="20"/>
        </w:rPr>
        <w:t xml:space="preserve"> learning goals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can be achieved with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learning environment. Though previous </w:t>
      </w:r>
      <w:r w:rsidR="004C5F78" w:rsidRPr="00916D35">
        <w:rPr>
          <w:rFonts w:ascii="Arial" w:eastAsia="Times New Roman" w:hAnsi="Arial" w:cs="Arial"/>
          <w:color w:val="000000"/>
          <w:sz w:val="20"/>
          <w:szCs w:val="20"/>
        </w:rPr>
        <w:t>researchers</w:t>
      </w:r>
      <w:r w:rsidRPr="00916D35">
        <w:rPr>
          <w:rFonts w:ascii="Arial" w:eastAsia="Times New Roman" w:hAnsi="Arial" w:cs="Arial"/>
          <w:color w:val="000000"/>
          <w:sz w:val="20"/>
          <w:szCs w:val="20"/>
        </w:rPr>
        <w:t xml:space="preserve"> have </w:t>
      </w:r>
      <w:r w:rsidR="004C5F78" w:rsidRPr="00916D35">
        <w:rPr>
          <w:rFonts w:ascii="Arial" w:eastAsia="Times New Roman" w:hAnsi="Arial" w:cs="Arial"/>
          <w:color w:val="000000"/>
          <w:sz w:val="20"/>
          <w:szCs w:val="20"/>
        </w:rPr>
        <w:t>worked</w:t>
      </w:r>
      <w:r w:rsidRPr="00916D35">
        <w:rPr>
          <w:rFonts w:ascii="Arial" w:eastAsia="Times New Roman" w:hAnsi="Arial" w:cs="Arial"/>
          <w:color w:val="000000"/>
          <w:sz w:val="20"/>
          <w:szCs w:val="20"/>
        </w:rPr>
        <w:t xml:space="preserve"> on it but this laudable method </w:t>
      </w:r>
      <w:r w:rsidR="004C5F78" w:rsidRPr="00916D35">
        <w:rPr>
          <w:rFonts w:ascii="Arial" w:eastAsia="Times New Roman" w:hAnsi="Arial" w:cs="Arial"/>
          <w:color w:val="000000"/>
          <w:sz w:val="20"/>
          <w:szCs w:val="20"/>
        </w:rPr>
        <w:t>does</w:t>
      </w:r>
      <w:r w:rsidRPr="00916D35">
        <w:rPr>
          <w:rFonts w:ascii="Arial" w:eastAsia="Times New Roman" w:hAnsi="Arial" w:cs="Arial"/>
          <w:color w:val="000000"/>
          <w:sz w:val="20"/>
          <w:szCs w:val="20"/>
        </w:rPr>
        <w:t xml:space="preserve"> not translate to use by the classroom teachers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some of </w:t>
      </w:r>
      <w:r w:rsidR="004C5F78" w:rsidRPr="00916D35">
        <w:rPr>
          <w:rFonts w:ascii="Arial" w:eastAsia="Times New Roman" w:hAnsi="Arial" w:cs="Arial"/>
          <w:color w:val="000000"/>
          <w:sz w:val="20"/>
          <w:szCs w:val="20"/>
        </w:rPr>
        <w:t>whom</w:t>
      </w:r>
      <w:r w:rsidRPr="00916D35">
        <w:rPr>
          <w:rFonts w:ascii="Arial" w:eastAsia="Times New Roman" w:hAnsi="Arial" w:cs="Arial"/>
          <w:color w:val="000000"/>
          <w:sz w:val="20"/>
          <w:szCs w:val="20"/>
        </w:rPr>
        <w:t xml:space="preserve"> are not ready to change the classroom practice </w:t>
      </w:r>
      <w:r w:rsidR="004C5F78" w:rsidRPr="00916D35">
        <w:rPr>
          <w:rFonts w:ascii="Arial" w:eastAsia="Times New Roman" w:hAnsi="Arial" w:cs="Arial"/>
          <w:color w:val="000000"/>
          <w:sz w:val="20"/>
          <w:szCs w:val="20"/>
        </w:rPr>
        <w:t>acquired</w:t>
      </w:r>
      <w:r w:rsidRPr="00916D35">
        <w:rPr>
          <w:rFonts w:ascii="Arial" w:eastAsia="Times New Roman" w:hAnsi="Arial" w:cs="Arial"/>
          <w:color w:val="000000"/>
          <w:sz w:val="20"/>
          <w:szCs w:val="20"/>
        </w:rPr>
        <w:t xml:space="preserve"> during training. So if gamification is emphasized and used in training the Pre-service teachers, they will be familiar with it and find it convenient and easy to use when practicing. The study, therefore</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t>
      </w:r>
      <w:r w:rsidR="004C5F78" w:rsidRPr="00916D35">
        <w:rPr>
          <w:rFonts w:ascii="Arial" w:eastAsia="Times New Roman" w:hAnsi="Arial" w:cs="Arial"/>
          <w:color w:val="000000"/>
          <w:sz w:val="20"/>
          <w:szCs w:val="20"/>
        </w:rPr>
        <w:t>determines</w:t>
      </w:r>
      <w:r w:rsidRPr="00916D35">
        <w:rPr>
          <w:rFonts w:ascii="Arial" w:eastAsia="Times New Roman" w:hAnsi="Arial" w:cs="Arial"/>
          <w:color w:val="000000"/>
          <w:sz w:val="20"/>
          <w:szCs w:val="20"/>
        </w:rPr>
        <w:t xml:space="preserve"> the impact of gamification as a teaching strategy on pre-service teachers’ achievement in some concepts in STEM education. The study also </w:t>
      </w:r>
      <w:r w:rsidR="004C5F78" w:rsidRPr="00916D35">
        <w:rPr>
          <w:rFonts w:ascii="Arial" w:eastAsia="Times New Roman" w:hAnsi="Arial" w:cs="Arial"/>
          <w:color w:val="000000"/>
          <w:sz w:val="20"/>
          <w:szCs w:val="20"/>
        </w:rPr>
        <w:t>investigates</w:t>
      </w:r>
      <w:r w:rsidRPr="00916D35">
        <w:rPr>
          <w:rFonts w:ascii="Arial" w:eastAsia="Times New Roman" w:hAnsi="Arial" w:cs="Arial"/>
          <w:color w:val="000000"/>
          <w:sz w:val="20"/>
          <w:szCs w:val="20"/>
        </w:rPr>
        <w:t xml:space="preserve"> the moderating effect of gender and mode of entry of pre-service teachers into the university.</w:t>
      </w:r>
    </w:p>
    <w:p w14:paraId="670CB131" w14:textId="77777777" w:rsidR="004C555B" w:rsidRPr="004C555B" w:rsidRDefault="004C555B"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LITERATURE REVIEW</w:t>
      </w:r>
    </w:p>
    <w:p w14:paraId="646CB5FC" w14:textId="14CF12B0"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Gamification in Science Education</w:t>
      </w:r>
    </w:p>
    <w:p w14:paraId="646CB5FD" w14:textId="6051E34D" w:rsidR="007E6E19" w:rsidRPr="00916D35" w:rsidRDefault="004C5F78"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color w:val="000000"/>
          <w:sz w:val="20"/>
          <w:szCs w:val="20"/>
        </w:rPr>
        <w:t>A game</w:t>
      </w:r>
      <w:r w:rsidR="00C473FF" w:rsidRPr="00916D35">
        <w:rPr>
          <w:rFonts w:ascii="Arial" w:eastAsia="Times New Roman" w:hAnsi="Arial" w:cs="Arial"/>
          <w:color w:val="000000"/>
          <w:sz w:val="20"/>
          <w:szCs w:val="20"/>
        </w:rPr>
        <w:t xml:space="preserve"> is a form of play undertaken for entertainment, education, competition, or other purposes. A game refers to a structured play with rules, goals</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and challenges for entertainment (Cheng et al., 2015). It always involved rules, principles that govern the interaction among the players</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whose participation is voluntary. Gamification is the application of strategic game mechanics to increase students’ engagement in a classroom setting. It is the use of game elements in</w:t>
      </w:r>
      <w:r w:rsidRPr="00916D35">
        <w:rPr>
          <w:rFonts w:ascii="Arial" w:eastAsia="Times New Roman" w:hAnsi="Arial" w:cs="Arial"/>
          <w:color w:val="000000"/>
          <w:sz w:val="20"/>
          <w:szCs w:val="20"/>
        </w:rPr>
        <w:t xml:space="preserve"> a</w:t>
      </w:r>
      <w:r w:rsidR="00C473FF" w:rsidRPr="00916D35">
        <w:rPr>
          <w:rFonts w:ascii="Arial" w:eastAsia="Times New Roman" w:hAnsi="Arial" w:cs="Arial"/>
          <w:color w:val="000000"/>
          <w:sz w:val="20"/>
          <w:szCs w:val="20"/>
        </w:rPr>
        <w:t xml:space="preserve"> </w:t>
      </w:r>
      <w:r w:rsidRPr="00916D35">
        <w:rPr>
          <w:rFonts w:ascii="Arial" w:eastAsia="Times New Roman" w:hAnsi="Arial" w:cs="Arial"/>
          <w:color w:val="000000"/>
          <w:sz w:val="20"/>
          <w:szCs w:val="20"/>
        </w:rPr>
        <w:t>non-game</w:t>
      </w:r>
      <w:r w:rsidR="00C473FF" w:rsidRPr="00916D35">
        <w:rPr>
          <w:rFonts w:ascii="Arial" w:eastAsia="Times New Roman" w:hAnsi="Arial" w:cs="Arial"/>
          <w:color w:val="000000"/>
          <w:sz w:val="20"/>
          <w:szCs w:val="20"/>
        </w:rPr>
        <w:t xml:space="preserve"> situation. Game elements are, for example, levels, points, badges, leader boards, avatars, quests, social graphs, or certificates (Zainuddin et al., 2020). Gamification is a concept that has been with us from time immemorial. Recently</w:t>
      </w:r>
      <w:r w:rsidRPr="00916D35">
        <w:rPr>
          <w:rFonts w:ascii="Arial" w:eastAsia="Times New Roman" w:hAnsi="Arial" w:cs="Arial"/>
          <w:color w:val="000000"/>
          <w:sz w:val="20"/>
          <w:szCs w:val="20"/>
        </w:rPr>
        <w:t>,</w:t>
      </w:r>
      <w:r w:rsidR="00C473FF" w:rsidRPr="00916D35">
        <w:rPr>
          <w:rFonts w:ascii="Arial" w:eastAsia="Times New Roman" w:hAnsi="Arial" w:cs="Arial"/>
          <w:color w:val="000000"/>
          <w:sz w:val="20"/>
          <w:szCs w:val="20"/>
        </w:rPr>
        <w:t xml:space="preserve"> its application has been </w:t>
      </w:r>
      <w:r w:rsidRPr="00916D35">
        <w:rPr>
          <w:rFonts w:ascii="Arial" w:eastAsia="Times New Roman" w:hAnsi="Arial" w:cs="Arial"/>
          <w:color w:val="000000"/>
          <w:sz w:val="20"/>
          <w:szCs w:val="20"/>
        </w:rPr>
        <w:t>introduced</w:t>
      </w:r>
      <w:r w:rsidR="00C473FF" w:rsidRPr="00916D35">
        <w:rPr>
          <w:rFonts w:ascii="Arial" w:eastAsia="Times New Roman" w:hAnsi="Arial" w:cs="Arial"/>
          <w:color w:val="000000"/>
          <w:sz w:val="20"/>
          <w:szCs w:val="20"/>
        </w:rPr>
        <w:t xml:space="preserve"> and </w:t>
      </w:r>
      <w:r w:rsidRPr="00916D35">
        <w:rPr>
          <w:rFonts w:ascii="Arial" w:eastAsia="Times New Roman" w:hAnsi="Arial" w:cs="Arial"/>
          <w:color w:val="000000"/>
          <w:sz w:val="20"/>
          <w:szCs w:val="20"/>
        </w:rPr>
        <w:t>formally adopted</w:t>
      </w:r>
      <w:r w:rsidR="00C473FF" w:rsidRPr="00916D35">
        <w:rPr>
          <w:rFonts w:ascii="Arial" w:eastAsia="Times New Roman" w:hAnsi="Arial" w:cs="Arial"/>
          <w:color w:val="000000"/>
          <w:sz w:val="20"/>
          <w:szCs w:val="20"/>
        </w:rPr>
        <w:t xml:space="preserve"> into </w:t>
      </w:r>
      <w:r w:rsidRPr="00916D35">
        <w:rPr>
          <w:rFonts w:ascii="Arial" w:eastAsia="Times New Roman" w:hAnsi="Arial" w:cs="Arial"/>
          <w:color w:val="000000"/>
          <w:sz w:val="20"/>
          <w:szCs w:val="20"/>
        </w:rPr>
        <w:t>the educational</w:t>
      </w:r>
      <w:r w:rsidR="00C473FF" w:rsidRPr="00916D35">
        <w:rPr>
          <w:rFonts w:ascii="Arial" w:eastAsia="Times New Roman" w:hAnsi="Arial" w:cs="Arial"/>
          <w:color w:val="000000"/>
          <w:sz w:val="20"/>
          <w:szCs w:val="20"/>
        </w:rPr>
        <w:t xml:space="preserve"> setting.</w:t>
      </w:r>
    </w:p>
    <w:p w14:paraId="646CB5FE" w14:textId="77777777" w:rsidR="007E6E19" w:rsidRPr="00916D35" w:rsidRDefault="00725C00" w:rsidP="0046531C">
      <w:pPr>
        <w:pBdr>
          <w:top w:val="nil"/>
          <w:left w:val="nil"/>
          <w:bottom w:val="nil"/>
          <w:right w:val="nil"/>
          <w:between w:val="nil"/>
        </w:pBdr>
        <w:spacing w:line="360" w:lineRule="auto"/>
        <w:ind w:left="720" w:hanging="720"/>
        <w:jc w:val="both"/>
        <w:rPr>
          <w:rFonts w:ascii="Arial" w:eastAsia="Times New Roman" w:hAnsi="Arial" w:cs="Arial"/>
          <w:b/>
          <w:color w:val="000000"/>
          <w:sz w:val="20"/>
          <w:szCs w:val="20"/>
        </w:rPr>
      </w:pPr>
      <w:r w:rsidRPr="00916D35">
        <w:rPr>
          <w:rFonts w:ascii="Arial" w:eastAsia="Times New Roman" w:hAnsi="Arial" w:cs="Arial"/>
          <w:b/>
          <w:color w:val="000000"/>
          <w:sz w:val="20"/>
          <w:szCs w:val="20"/>
        </w:rPr>
        <w:t xml:space="preserve">Theoretical Foundation of </w:t>
      </w:r>
      <w:r w:rsidR="00C473FF" w:rsidRPr="00916D35">
        <w:rPr>
          <w:rFonts w:ascii="Arial" w:eastAsia="Times New Roman" w:hAnsi="Arial" w:cs="Arial"/>
          <w:b/>
          <w:color w:val="000000"/>
          <w:sz w:val="20"/>
          <w:szCs w:val="20"/>
        </w:rPr>
        <w:t>Gamification in Science Education</w:t>
      </w:r>
    </w:p>
    <w:p w14:paraId="646CB5FF" w14:textId="6EAD170D"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in Science Education is rooted in the idea of integrating </w:t>
      </w:r>
      <w:r w:rsidR="004C5F78" w:rsidRPr="00916D35">
        <w:rPr>
          <w:rFonts w:ascii="Arial" w:eastAsia="Times New Roman" w:hAnsi="Arial" w:cs="Arial"/>
          <w:color w:val="000000"/>
          <w:sz w:val="20"/>
          <w:szCs w:val="20"/>
        </w:rPr>
        <w:t>principles</w:t>
      </w:r>
      <w:r w:rsidRPr="00916D35">
        <w:rPr>
          <w:rFonts w:ascii="Arial" w:eastAsia="Times New Roman" w:hAnsi="Arial" w:cs="Arial"/>
          <w:color w:val="000000"/>
          <w:sz w:val="20"/>
          <w:szCs w:val="20"/>
        </w:rPr>
        <w:t xml:space="preserve"> of game design and </w:t>
      </w:r>
      <w:r w:rsidR="004C5F78"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environment into teaching and learning of STEM concepts to create effective and impactful </w:t>
      </w:r>
      <w:r w:rsidRPr="00916D35">
        <w:rPr>
          <w:rFonts w:ascii="Arial" w:eastAsia="Times New Roman" w:hAnsi="Arial" w:cs="Arial"/>
          <w:color w:val="000000"/>
          <w:sz w:val="20"/>
          <w:szCs w:val="20"/>
        </w:rPr>
        <w:lastRenderedPageBreak/>
        <w:t xml:space="preserve">learning </w:t>
      </w:r>
      <w:r w:rsidR="004C5F78" w:rsidRPr="00916D35">
        <w:rPr>
          <w:rFonts w:ascii="Arial" w:eastAsia="Times New Roman" w:hAnsi="Arial" w:cs="Arial"/>
          <w:color w:val="000000"/>
          <w:sz w:val="20"/>
          <w:szCs w:val="20"/>
        </w:rPr>
        <w:t>experiences</w:t>
      </w:r>
      <w:r w:rsidRPr="00916D35">
        <w:rPr>
          <w:rFonts w:ascii="Arial" w:eastAsia="Times New Roman" w:hAnsi="Arial" w:cs="Arial"/>
          <w:color w:val="000000"/>
          <w:sz w:val="20"/>
          <w:szCs w:val="20"/>
        </w:rPr>
        <w:t>. It is based on the constructivist approach to teaching and learning</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where learning is viewed as an active process where students construct knowledge through experience and interaction with their environment. </w:t>
      </w:r>
      <w:r w:rsidR="004C5F78" w:rsidRPr="00916D35">
        <w:rPr>
          <w:rFonts w:ascii="Arial" w:eastAsia="Times New Roman" w:hAnsi="Arial" w:cs="Arial"/>
          <w:color w:val="000000"/>
          <w:sz w:val="20"/>
          <w:szCs w:val="20"/>
        </w:rPr>
        <w:t>A gamified</w:t>
      </w:r>
      <w:r w:rsidRPr="00916D35">
        <w:rPr>
          <w:rFonts w:ascii="Arial" w:eastAsia="Times New Roman" w:hAnsi="Arial" w:cs="Arial"/>
          <w:color w:val="000000"/>
          <w:sz w:val="20"/>
          <w:szCs w:val="20"/>
        </w:rPr>
        <w:t xml:space="preserve"> environment </w:t>
      </w:r>
      <w:r w:rsidR="004C5F78" w:rsidRPr="00916D35">
        <w:rPr>
          <w:rFonts w:ascii="Arial" w:eastAsia="Times New Roman" w:hAnsi="Arial" w:cs="Arial"/>
          <w:color w:val="000000"/>
          <w:sz w:val="20"/>
          <w:szCs w:val="20"/>
        </w:rPr>
        <w:t>provides</w:t>
      </w:r>
      <w:r w:rsidRPr="00916D35">
        <w:rPr>
          <w:rFonts w:ascii="Arial" w:eastAsia="Times New Roman" w:hAnsi="Arial" w:cs="Arial"/>
          <w:color w:val="000000"/>
          <w:sz w:val="20"/>
          <w:szCs w:val="20"/>
        </w:rPr>
        <w:t xml:space="preserve"> hands-on, innovative, problem-solving tasks where students can explore and discover science concepts. There are other theories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too</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that can be linked to gamification since it has to do with motivation, interest, enjoyment, reward, incentives</w:t>
      </w:r>
      <w:r w:rsidR="004C5F78"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etc. </w:t>
      </w:r>
      <w:r w:rsidR="00276EB3" w:rsidRPr="00916D35">
        <w:rPr>
          <w:rFonts w:ascii="Arial" w:eastAsia="Times New Roman" w:hAnsi="Arial" w:cs="Arial"/>
          <w:color w:val="000000"/>
          <w:sz w:val="20"/>
          <w:szCs w:val="20"/>
        </w:rPr>
        <w:t xml:space="preserve">Self Determination Theory (SDT) (Deci &amp; Ryan, 1985), </w:t>
      </w:r>
      <w:r w:rsidRPr="00916D35">
        <w:rPr>
          <w:rFonts w:ascii="Arial" w:eastAsia="Times New Roman" w:hAnsi="Arial" w:cs="Arial"/>
          <w:color w:val="000000"/>
          <w:sz w:val="20"/>
          <w:szCs w:val="20"/>
        </w:rPr>
        <w:t>Flow theory</w:t>
      </w:r>
      <w:r w:rsidR="00276EB3" w:rsidRPr="00916D35">
        <w:rPr>
          <w:rFonts w:ascii="Arial" w:eastAsia="Times New Roman" w:hAnsi="Arial" w:cs="Arial"/>
          <w:color w:val="000000"/>
          <w:sz w:val="20"/>
          <w:szCs w:val="20"/>
        </w:rPr>
        <w:t xml:space="preserve"> </w:t>
      </w:r>
      <w:r w:rsidR="00276EB3" w:rsidRPr="00916D35">
        <w:rPr>
          <w:rFonts w:ascii="Arial" w:eastAsia="Times New Roman" w:hAnsi="Arial" w:cs="Arial"/>
          <w:sz w:val="20"/>
          <w:szCs w:val="20"/>
        </w:rPr>
        <w:t>(Csikszentmihalyi, 1990)</w:t>
      </w:r>
      <w:r w:rsidRPr="00916D35">
        <w:rPr>
          <w:rFonts w:ascii="Arial" w:eastAsia="Times New Roman" w:hAnsi="Arial" w:cs="Arial"/>
          <w:color w:val="000000"/>
          <w:sz w:val="20"/>
          <w:szCs w:val="20"/>
        </w:rPr>
        <w:t xml:space="preserve">, Behaviorism and Reinforcement theory (Skinner, 1957), Situated Learning theory (Lave &amp; Wenger, 1991). Goal-setting theory (Locke &amp; Latham, 2002) and Social Learning theory (Bandura, 1986) </w:t>
      </w:r>
      <w:r w:rsidR="004C5F78" w:rsidRPr="00916D35">
        <w:rPr>
          <w:rFonts w:ascii="Arial" w:eastAsia="Times New Roman" w:hAnsi="Arial" w:cs="Arial"/>
          <w:color w:val="000000"/>
          <w:sz w:val="20"/>
          <w:szCs w:val="20"/>
        </w:rPr>
        <w:t xml:space="preserve">are </w:t>
      </w:r>
      <w:r w:rsidRPr="00916D35">
        <w:rPr>
          <w:rFonts w:ascii="Arial" w:eastAsia="Times New Roman" w:hAnsi="Arial" w:cs="Arial"/>
          <w:color w:val="000000"/>
          <w:sz w:val="20"/>
          <w:szCs w:val="20"/>
        </w:rPr>
        <w:t xml:space="preserve">all linked to Gamification. </w:t>
      </w:r>
    </w:p>
    <w:p w14:paraId="646CB600" w14:textId="566447E8" w:rsidR="00725C00" w:rsidRPr="004C555B" w:rsidRDefault="00725C00" w:rsidP="0046531C">
      <w:pPr>
        <w:spacing w:before="100" w:beforeAutospacing="1" w:after="100" w:afterAutospacing="1" w:line="360" w:lineRule="auto"/>
        <w:outlineLvl w:val="3"/>
        <w:rPr>
          <w:rFonts w:ascii="Arial" w:eastAsia="Times New Roman" w:hAnsi="Arial" w:cs="Arial"/>
          <w:b/>
          <w:bCs/>
        </w:rPr>
      </w:pPr>
      <w:r w:rsidRPr="004C555B">
        <w:rPr>
          <w:rFonts w:ascii="Arial" w:eastAsia="Times New Roman" w:hAnsi="Arial" w:cs="Arial"/>
          <w:b/>
          <w:bCs/>
        </w:rPr>
        <w:t>Gamification, Cognitive Development</w:t>
      </w:r>
      <w:r w:rsidR="004C5F78" w:rsidRPr="004C555B">
        <w:rPr>
          <w:rFonts w:ascii="Arial" w:eastAsia="Times New Roman" w:hAnsi="Arial" w:cs="Arial"/>
          <w:b/>
          <w:bCs/>
        </w:rPr>
        <w:t>,</w:t>
      </w:r>
      <w:r w:rsidRPr="004C555B">
        <w:rPr>
          <w:rFonts w:ascii="Arial" w:eastAsia="Times New Roman" w:hAnsi="Arial" w:cs="Arial"/>
          <w:b/>
          <w:bCs/>
        </w:rPr>
        <w:t xml:space="preserve"> and Learning Outcomes</w:t>
      </w:r>
    </w:p>
    <w:p w14:paraId="646CB601" w14:textId="1BBF5BB8" w:rsidR="00725C00" w:rsidRPr="00916D35" w:rsidRDefault="00725C00" w:rsidP="0046531C">
      <w:pPr>
        <w:spacing w:before="100" w:beforeAutospacing="1" w:after="100" w:afterAutospacing="1" w:line="360" w:lineRule="auto"/>
        <w:rPr>
          <w:rFonts w:ascii="Arial" w:eastAsia="Times New Roman" w:hAnsi="Arial" w:cs="Arial"/>
          <w:sz w:val="20"/>
          <w:szCs w:val="20"/>
        </w:rPr>
      </w:pPr>
      <w:r w:rsidRPr="00916D35">
        <w:rPr>
          <w:rFonts w:ascii="Arial" w:eastAsia="Times New Roman" w:hAnsi="Arial" w:cs="Arial"/>
          <w:sz w:val="20"/>
          <w:szCs w:val="20"/>
        </w:rPr>
        <w:t xml:space="preserve">Gamification has emerged as a promising strategy that can be used to address challenges such as declining interest, commitment, attitude, and performance in STEM subjects. There is a need for interactive and innovative teaching methodologies that can </w:t>
      </w:r>
      <w:r w:rsidR="004C5F78" w:rsidRPr="00916D35">
        <w:rPr>
          <w:rFonts w:ascii="Arial" w:eastAsia="Times New Roman" w:hAnsi="Arial" w:cs="Arial"/>
          <w:sz w:val="20"/>
          <w:szCs w:val="20"/>
        </w:rPr>
        <w:t>promote</w:t>
      </w:r>
      <w:r w:rsidRPr="00916D35">
        <w:rPr>
          <w:rFonts w:ascii="Arial" w:eastAsia="Times New Roman" w:hAnsi="Arial" w:cs="Arial"/>
          <w:sz w:val="20"/>
          <w:szCs w:val="20"/>
        </w:rPr>
        <w:t xml:space="preserve"> active learning, which enhances cognitive development and knowledge retention. Several studies </w:t>
      </w:r>
      <w:r w:rsidR="004C5F78" w:rsidRPr="00916D35">
        <w:rPr>
          <w:rFonts w:ascii="Arial" w:eastAsia="Times New Roman" w:hAnsi="Arial" w:cs="Arial"/>
          <w:sz w:val="20"/>
          <w:szCs w:val="20"/>
        </w:rPr>
        <w:t>have</w:t>
      </w:r>
      <w:r w:rsidRPr="00916D35">
        <w:rPr>
          <w:rFonts w:ascii="Arial" w:eastAsia="Times New Roman" w:hAnsi="Arial" w:cs="Arial"/>
          <w:sz w:val="20"/>
          <w:szCs w:val="20"/>
        </w:rPr>
        <w:t xml:space="preserve"> shown that gamification </w:t>
      </w:r>
      <w:r w:rsidR="004C5F78" w:rsidRPr="00916D35">
        <w:rPr>
          <w:rFonts w:ascii="Arial" w:eastAsia="Times New Roman" w:hAnsi="Arial" w:cs="Arial"/>
          <w:sz w:val="20"/>
          <w:szCs w:val="20"/>
        </w:rPr>
        <w:t>can</w:t>
      </w:r>
      <w:r w:rsidRPr="00916D35">
        <w:rPr>
          <w:rFonts w:ascii="Arial" w:eastAsia="Times New Roman" w:hAnsi="Arial" w:cs="Arial"/>
          <w:sz w:val="20"/>
          <w:szCs w:val="20"/>
        </w:rPr>
        <w:t xml:space="preserve"> increase student engagement and learning outcomes. </w:t>
      </w:r>
      <w:r w:rsidRPr="00916D35">
        <w:rPr>
          <w:rFonts w:ascii="Arial" w:hAnsi="Arial" w:cs="Arial"/>
          <w:color w:val="1C1C1C"/>
          <w:spacing w:val="1"/>
          <w:sz w:val="20"/>
          <w:szCs w:val="20"/>
          <w:shd w:val="clear" w:color="auto" w:fill="FFFFFF"/>
        </w:rPr>
        <w:t> Huang et al. (2020) found that gamification elements such as badges and leaderboards significantly increased students’ behavioral engagement in flipped learning environments. Also,</w:t>
      </w:r>
      <w:r w:rsidRPr="00916D35">
        <w:rPr>
          <w:rFonts w:ascii="Arial" w:eastAsia="Times New Roman" w:hAnsi="Arial" w:cs="Arial"/>
          <w:sz w:val="20"/>
          <w:szCs w:val="20"/>
        </w:rPr>
        <w:t xml:space="preserve"> Plass et al. (2015) found that gamified STEM lessons improved students' problem-solving and critical-thinking skills. Moreover, gamification facilitates experiential learning by allowing students to apply theoretical concepts in simulated environments, thus bridging the gap between abstract knowledge and practical application (Deterding et al., 2011). Similarly, Sánchez-Mena and Martí-Parreño (2017) reported that gamification led to higher levels of student participation and a more enjoyable learning experience in higher education settings. Gamification </w:t>
      </w:r>
      <w:r w:rsidR="009F4395" w:rsidRPr="00916D35">
        <w:rPr>
          <w:rFonts w:ascii="Arial" w:eastAsia="Times New Roman" w:hAnsi="Arial" w:cs="Arial"/>
          <w:sz w:val="20"/>
          <w:szCs w:val="20"/>
        </w:rPr>
        <w:t>provides</w:t>
      </w:r>
      <w:r w:rsidRPr="00916D35">
        <w:rPr>
          <w:rFonts w:ascii="Arial" w:eastAsia="Times New Roman" w:hAnsi="Arial" w:cs="Arial"/>
          <w:sz w:val="20"/>
          <w:szCs w:val="20"/>
        </w:rPr>
        <w:t xml:space="preserve"> instant feedback to student</w:t>
      </w:r>
      <w:r w:rsidR="009F4395" w:rsidRPr="00916D35">
        <w:rPr>
          <w:rFonts w:ascii="Arial" w:eastAsia="Times New Roman" w:hAnsi="Arial" w:cs="Arial"/>
          <w:sz w:val="20"/>
          <w:szCs w:val="20"/>
        </w:rPr>
        <w:t>s</w:t>
      </w:r>
      <w:r w:rsidRPr="00916D35">
        <w:rPr>
          <w:rFonts w:ascii="Arial" w:eastAsia="Times New Roman" w:hAnsi="Arial" w:cs="Arial"/>
          <w:sz w:val="20"/>
          <w:szCs w:val="20"/>
        </w:rPr>
        <w:t xml:space="preserve"> on their performance in a given </w:t>
      </w:r>
      <w:r w:rsidR="009F4395" w:rsidRPr="00916D35">
        <w:rPr>
          <w:rFonts w:ascii="Arial" w:eastAsia="Times New Roman" w:hAnsi="Arial" w:cs="Arial"/>
          <w:sz w:val="20"/>
          <w:szCs w:val="20"/>
        </w:rPr>
        <w:t>activity,</w:t>
      </w:r>
      <w:r w:rsidRPr="00916D35">
        <w:rPr>
          <w:rFonts w:ascii="Arial" w:eastAsia="Times New Roman" w:hAnsi="Arial" w:cs="Arial"/>
          <w:sz w:val="20"/>
          <w:szCs w:val="20"/>
        </w:rPr>
        <w:t xml:space="preserve"> thereby </w:t>
      </w:r>
      <w:r w:rsidR="009F4395" w:rsidRPr="00916D35">
        <w:rPr>
          <w:rFonts w:ascii="Arial" w:eastAsia="Times New Roman" w:hAnsi="Arial" w:cs="Arial"/>
          <w:sz w:val="20"/>
          <w:szCs w:val="20"/>
        </w:rPr>
        <w:t>allowing them</w:t>
      </w:r>
      <w:r w:rsidRPr="00916D35">
        <w:rPr>
          <w:rFonts w:ascii="Arial" w:eastAsia="Times New Roman" w:hAnsi="Arial" w:cs="Arial"/>
          <w:sz w:val="20"/>
          <w:szCs w:val="20"/>
        </w:rPr>
        <w:t xml:space="preserve"> to monitor their progress.</w:t>
      </w:r>
    </w:p>
    <w:p w14:paraId="646CB602"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Objectives</w:t>
      </w:r>
    </w:p>
    <w:p w14:paraId="646CB603"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specific objectives of the study are:</w:t>
      </w:r>
    </w:p>
    <w:p w14:paraId="646CB604"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gamification on pre-service teachers’ achievement in STEM concepts</w:t>
      </w:r>
    </w:p>
    <w:p w14:paraId="646CB605"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pre-service teachers’ mode of entry into the University on their achievement in STEM concepts</w:t>
      </w:r>
    </w:p>
    <w:p w14:paraId="646CB606" w14:textId="77777777" w:rsidR="007E6E19" w:rsidRPr="00916D35" w:rsidRDefault="00C473FF" w:rsidP="0046531C">
      <w:pPr>
        <w:numPr>
          <w:ilvl w:val="0"/>
          <w:numId w:val="1"/>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 examine the impact of pre-service teachers’ gender on their achievement in STEM concepts</w:t>
      </w:r>
    </w:p>
    <w:p w14:paraId="646CB607"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Questions</w:t>
      </w:r>
    </w:p>
    <w:p w14:paraId="646CB608"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following research questions were answered in the course of this study:</w:t>
      </w:r>
    </w:p>
    <w:p w14:paraId="646CB609" w14:textId="77777777"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lastRenderedPageBreak/>
        <w:t>What is the impact of gamification as a teaching strategy on pre-service teachers’ achievement in STEM concepts</w:t>
      </w:r>
    </w:p>
    <w:p w14:paraId="646CB60A" w14:textId="678B3DAC"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Does </w:t>
      </w:r>
      <w:r w:rsidR="009F4395"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mode of entry of pre-service teachers into the university have </w:t>
      </w:r>
      <w:r w:rsidR="009F4395"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impact on their achievement in STEM concepts</w:t>
      </w:r>
    </w:p>
    <w:p w14:paraId="646CB60B" w14:textId="42996BC5" w:rsidR="007E6E19" w:rsidRPr="00916D35" w:rsidRDefault="00C473FF" w:rsidP="0046531C">
      <w:pPr>
        <w:numPr>
          <w:ilvl w:val="0"/>
          <w:numId w:val="2"/>
        </w:num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color w:val="000000"/>
          <w:sz w:val="20"/>
          <w:szCs w:val="20"/>
        </w:rPr>
        <w:t xml:space="preserve">Does </w:t>
      </w:r>
      <w:r w:rsidR="009F4395"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gender of pre-service teachers have </w:t>
      </w:r>
      <w:r w:rsidR="009F4395"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impact on their achievement in STEM concepts</w:t>
      </w:r>
    </w:p>
    <w:p w14:paraId="646CB60C"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r w:rsidRPr="00916D35">
        <w:rPr>
          <w:rFonts w:ascii="Arial" w:eastAsia="Times New Roman" w:hAnsi="Arial" w:cs="Arial"/>
          <w:b/>
          <w:color w:val="000000"/>
          <w:sz w:val="20"/>
          <w:szCs w:val="20"/>
        </w:rPr>
        <w:t>Research Hypotheses</w:t>
      </w:r>
    </w:p>
    <w:p w14:paraId="646CB60D" w14:textId="0B3D4C01"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following null hypotheses were tested in the course of this study at </w:t>
      </w:r>
      <w:r w:rsidR="009F4395"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0.5 level of significance:</w:t>
      </w:r>
    </w:p>
    <w:p w14:paraId="646CB60E"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1:</w:t>
      </w:r>
      <w:r w:rsidRPr="00916D35">
        <w:rPr>
          <w:rFonts w:ascii="Arial" w:eastAsia="Times New Roman" w:hAnsi="Arial" w:cs="Arial"/>
          <w:color w:val="000000"/>
          <w:sz w:val="20"/>
          <w:szCs w:val="20"/>
        </w:rPr>
        <w:tab/>
        <w:t>There is no significant main impact of treatment on pre-service teachers’ achievement in   STEM concepts</w:t>
      </w:r>
    </w:p>
    <w:p w14:paraId="646CB60F" w14:textId="37D82F35"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2:</w:t>
      </w:r>
      <w:r w:rsidRPr="00916D35">
        <w:rPr>
          <w:rFonts w:ascii="Arial" w:eastAsia="Times New Roman" w:hAnsi="Arial" w:cs="Arial"/>
          <w:color w:val="000000"/>
          <w:sz w:val="20"/>
          <w:szCs w:val="20"/>
        </w:rPr>
        <w:tab/>
        <w:t xml:space="preserve">There is no significant main impact of </w:t>
      </w:r>
      <w:r w:rsidR="009F4395" w:rsidRPr="00916D35">
        <w:rPr>
          <w:rFonts w:ascii="Arial" w:eastAsia="Times New Roman" w:hAnsi="Arial" w:cs="Arial"/>
          <w:color w:val="000000"/>
          <w:sz w:val="20"/>
          <w:szCs w:val="20"/>
        </w:rPr>
        <w:t>the Mode</w:t>
      </w:r>
      <w:r w:rsidRPr="00916D35">
        <w:rPr>
          <w:rFonts w:ascii="Arial" w:eastAsia="Times New Roman" w:hAnsi="Arial" w:cs="Arial"/>
          <w:color w:val="000000"/>
          <w:sz w:val="20"/>
          <w:szCs w:val="20"/>
        </w:rPr>
        <w:t xml:space="preserve"> of entry on pre-service teachers’ achievement in   STEM concepts</w:t>
      </w:r>
    </w:p>
    <w:p w14:paraId="646CB610"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3:</w:t>
      </w:r>
      <w:r w:rsidRPr="00916D35">
        <w:rPr>
          <w:rFonts w:ascii="Arial" w:eastAsia="Times New Roman" w:hAnsi="Arial" w:cs="Arial"/>
          <w:color w:val="000000"/>
          <w:sz w:val="20"/>
          <w:szCs w:val="20"/>
        </w:rPr>
        <w:tab/>
        <w:t>There is no significant main impact of gender on pre-service teachers’ achievement in   STEM concepts</w:t>
      </w:r>
    </w:p>
    <w:p w14:paraId="670D800E" w14:textId="08CC9067" w:rsidR="009F4395" w:rsidRPr="004C555B" w:rsidRDefault="008A6C70" w:rsidP="0046531C">
      <w:pPr>
        <w:pBdr>
          <w:top w:val="nil"/>
          <w:left w:val="nil"/>
          <w:bottom w:val="nil"/>
          <w:right w:val="nil"/>
          <w:between w:val="nil"/>
        </w:pBdr>
        <w:spacing w:line="360" w:lineRule="auto"/>
        <w:ind w:left="720" w:hanging="720"/>
        <w:jc w:val="both"/>
        <w:rPr>
          <w:rFonts w:ascii="Arial" w:eastAsia="Times New Roman" w:hAnsi="Arial" w:cs="Arial"/>
          <w:b/>
          <w:color w:val="000000"/>
        </w:rPr>
      </w:pPr>
      <w:r w:rsidRPr="004C555B">
        <w:rPr>
          <w:rFonts w:ascii="Arial" w:eastAsia="Times New Roman" w:hAnsi="Arial" w:cs="Arial"/>
          <w:b/>
          <w:color w:val="000000"/>
        </w:rPr>
        <w:t>MATERIALS AND METHODS</w:t>
      </w:r>
    </w:p>
    <w:p w14:paraId="646CB612" w14:textId="6816BB6A"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pretest-posttest, control group, quasi-experimental research design was adopted for this study. The 200L pre-service teachers studying Integrated Science (Basic Science) </w:t>
      </w:r>
      <w:r w:rsidR="003819BC" w:rsidRPr="00916D35">
        <w:rPr>
          <w:rFonts w:ascii="Arial" w:eastAsia="Times New Roman" w:hAnsi="Arial" w:cs="Arial"/>
          <w:color w:val="000000"/>
          <w:sz w:val="20"/>
          <w:szCs w:val="20"/>
        </w:rPr>
        <w:t>at</w:t>
      </w:r>
      <w:r w:rsidRPr="00916D35">
        <w:rPr>
          <w:rFonts w:ascii="Arial" w:eastAsia="Times New Roman" w:hAnsi="Arial" w:cs="Arial"/>
          <w:color w:val="000000"/>
          <w:sz w:val="20"/>
          <w:szCs w:val="20"/>
        </w:rPr>
        <w:t xml:space="preserve"> Nigeria University constitute the population of this study</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out of which </w:t>
      </w:r>
      <w:r w:rsidR="003819BC"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sample </w:t>
      </w:r>
      <w:r w:rsidR="003819BC" w:rsidRPr="00916D35">
        <w:rPr>
          <w:rFonts w:ascii="Arial" w:eastAsia="Times New Roman" w:hAnsi="Arial" w:cs="Arial"/>
          <w:color w:val="000000"/>
          <w:sz w:val="20"/>
          <w:szCs w:val="20"/>
        </w:rPr>
        <w:t>was</w:t>
      </w:r>
      <w:r w:rsidRPr="00916D35">
        <w:rPr>
          <w:rFonts w:ascii="Arial" w:eastAsia="Times New Roman" w:hAnsi="Arial" w:cs="Arial"/>
          <w:color w:val="000000"/>
          <w:sz w:val="20"/>
          <w:szCs w:val="20"/>
        </w:rPr>
        <w:t xml:space="preserve"> drawn. Two state </w:t>
      </w:r>
      <w:r w:rsidR="003819BC" w:rsidRPr="00916D35">
        <w:rPr>
          <w:rFonts w:ascii="Arial" w:eastAsia="Times New Roman" w:hAnsi="Arial" w:cs="Arial"/>
          <w:color w:val="000000"/>
          <w:sz w:val="20"/>
          <w:szCs w:val="20"/>
        </w:rPr>
        <w:t>universities</w:t>
      </w:r>
      <w:r w:rsidRPr="00916D35">
        <w:rPr>
          <w:rFonts w:ascii="Arial" w:eastAsia="Times New Roman" w:hAnsi="Arial" w:cs="Arial"/>
          <w:color w:val="000000"/>
          <w:sz w:val="20"/>
          <w:szCs w:val="20"/>
        </w:rPr>
        <w:t xml:space="preserve"> were purposively selected based on their relative distance to each other. The universities were randomly assigned to </w:t>
      </w:r>
      <w:r w:rsidR="003819BC"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treatment and control </w:t>
      </w:r>
      <w:r w:rsidR="003819BC" w:rsidRPr="00916D35">
        <w:rPr>
          <w:rFonts w:ascii="Arial" w:eastAsia="Times New Roman" w:hAnsi="Arial" w:cs="Arial"/>
          <w:color w:val="000000"/>
          <w:sz w:val="20"/>
          <w:szCs w:val="20"/>
        </w:rPr>
        <w:t>groups</w:t>
      </w:r>
      <w:r w:rsidRPr="00916D35">
        <w:rPr>
          <w:rFonts w:ascii="Arial" w:eastAsia="Times New Roman" w:hAnsi="Arial" w:cs="Arial"/>
          <w:color w:val="000000"/>
          <w:sz w:val="20"/>
          <w:szCs w:val="20"/>
        </w:rPr>
        <w:t xml:space="preserve">. From the selected university, an intact class of 200L Integrated Science (Basic Science) </w:t>
      </w:r>
      <w:r w:rsidR="003819BC" w:rsidRPr="00916D35">
        <w:rPr>
          <w:rFonts w:ascii="Arial" w:eastAsia="Times New Roman" w:hAnsi="Arial" w:cs="Arial"/>
          <w:color w:val="000000"/>
          <w:sz w:val="20"/>
          <w:szCs w:val="20"/>
        </w:rPr>
        <w:t>was</w:t>
      </w:r>
      <w:r w:rsidRPr="00916D35">
        <w:rPr>
          <w:rFonts w:ascii="Arial" w:eastAsia="Times New Roman" w:hAnsi="Arial" w:cs="Arial"/>
          <w:color w:val="000000"/>
          <w:sz w:val="20"/>
          <w:szCs w:val="20"/>
        </w:rPr>
        <w:t xml:space="preserve"> used for the study. The students offer six courses in their first semester</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200L</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include Physics for Basic Science II</w:t>
      </w:r>
      <w:r w:rsidR="003819BC"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was chosen for this study because it contains some topics that </w:t>
      </w:r>
      <w:r w:rsidR="003819BC" w:rsidRPr="00916D35">
        <w:rPr>
          <w:rFonts w:ascii="Arial" w:eastAsia="Times New Roman" w:hAnsi="Arial" w:cs="Arial"/>
          <w:color w:val="000000"/>
          <w:sz w:val="20"/>
          <w:szCs w:val="20"/>
        </w:rPr>
        <w:t>are</w:t>
      </w:r>
      <w:r w:rsidRPr="00916D35">
        <w:rPr>
          <w:rFonts w:ascii="Arial" w:eastAsia="Times New Roman" w:hAnsi="Arial" w:cs="Arial"/>
          <w:color w:val="000000"/>
          <w:sz w:val="20"/>
          <w:szCs w:val="20"/>
        </w:rPr>
        <w:t xml:space="preserve"> mathematical and abstract</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the </w:t>
      </w:r>
      <w:r w:rsidR="001E2ADE" w:rsidRPr="00916D35">
        <w:rPr>
          <w:rFonts w:ascii="Arial" w:eastAsia="Times New Roman" w:hAnsi="Arial" w:cs="Arial"/>
          <w:color w:val="000000"/>
          <w:sz w:val="20"/>
          <w:szCs w:val="20"/>
        </w:rPr>
        <w:t>students</w:t>
      </w:r>
      <w:r w:rsidRPr="00916D35">
        <w:rPr>
          <w:rFonts w:ascii="Arial" w:eastAsia="Times New Roman" w:hAnsi="Arial" w:cs="Arial"/>
          <w:color w:val="000000"/>
          <w:sz w:val="20"/>
          <w:szCs w:val="20"/>
        </w:rPr>
        <w:t xml:space="preserve"> have done the </w:t>
      </w:r>
      <w:r w:rsidR="001E2ADE" w:rsidRPr="00916D35">
        <w:rPr>
          <w:rFonts w:ascii="Arial" w:eastAsia="Times New Roman" w:hAnsi="Arial" w:cs="Arial"/>
          <w:color w:val="000000"/>
          <w:sz w:val="20"/>
          <w:szCs w:val="20"/>
        </w:rPr>
        <w:t>prerequisite</w:t>
      </w:r>
      <w:r w:rsidRPr="00916D35">
        <w:rPr>
          <w:rFonts w:ascii="Arial" w:eastAsia="Times New Roman" w:hAnsi="Arial" w:cs="Arial"/>
          <w:color w:val="000000"/>
          <w:sz w:val="20"/>
          <w:szCs w:val="20"/>
        </w:rPr>
        <w:t xml:space="preserve"> </w:t>
      </w:r>
      <w:r w:rsidR="001E2ADE" w:rsidRPr="00916D35">
        <w:rPr>
          <w:rFonts w:ascii="Arial" w:eastAsia="Times New Roman" w:hAnsi="Arial" w:cs="Arial"/>
          <w:color w:val="000000"/>
          <w:sz w:val="20"/>
          <w:szCs w:val="20"/>
        </w:rPr>
        <w:t>for</w:t>
      </w:r>
      <w:r w:rsidRPr="00916D35">
        <w:rPr>
          <w:rFonts w:ascii="Arial" w:eastAsia="Times New Roman" w:hAnsi="Arial" w:cs="Arial"/>
          <w:color w:val="000000"/>
          <w:sz w:val="20"/>
          <w:szCs w:val="20"/>
        </w:rPr>
        <w:t xml:space="preserve"> it at the 100L.</w:t>
      </w:r>
    </w:p>
    <w:p w14:paraId="646CB613" w14:textId="5707FFA2"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Four instruments were used to collect </w:t>
      </w:r>
      <w:r w:rsidR="001E2ADE"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necessary data for this study. They are:</w:t>
      </w:r>
      <w:r w:rsidR="00A95346" w:rsidRPr="00916D35">
        <w:rPr>
          <w:rFonts w:ascii="Arial" w:eastAsia="Times New Roman" w:hAnsi="Arial" w:cs="Arial"/>
          <w:color w:val="000000"/>
          <w:sz w:val="20"/>
          <w:szCs w:val="20"/>
        </w:rPr>
        <w:t xml:space="preserve"> </w:t>
      </w:r>
      <w:r w:rsidRPr="00916D35">
        <w:rPr>
          <w:rFonts w:ascii="Arial" w:eastAsia="Times New Roman" w:hAnsi="Arial" w:cs="Arial"/>
          <w:color w:val="000000"/>
          <w:sz w:val="20"/>
          <w:szCs w:val="20"/>
        </w:rPr>
        <w:t xml:space="preserve">Operational Guide for PBL Gamification Technique: </w:t>
      </w:r>
      <w:r w:rsidR="001E2ADE" w:rsidRPr="00916D35">
        <w:rPr>
          <w:rFonts w:ascii="Arial" w:eastAsia="Times New Roman" w:hAnsi="Arial" w:cs="Arial"/>
          <w:color w:val="000000"/>
          <w:sz w:val="20"/>
          <w:szCs w:val="20"/>
        </w:rPr>
        <w:t>This</w:t>
      </w:r>
      <w:r w:rsidRPr="00916D35">
        <w:rPr>
          <w:rFonts w:ascii="Arial" w:eastAsia="Times New Roman" w:hAnsi="Arial" w:cs="Arial"/>
          <w:color w:val="000000"/>
          <w:sz w:val="20"/>
          <w:szCs w:val="20"/>
        </w:rPr>
        <w:t xml:space="preserve"> was used for teaching the experimental group. It was an instructional guide </w:t>
      </w:r>
      <w:r w:rsidR="001E2ADE" w:rsidRPr="00916D35">
        <w:rPr>
          <w:rFonts w:ascii="Arial" w:eastAsia="Times New Roman" w:hAnsi="Arial" w:cs="Arial"/>
          <w:color w:val="000000"/>
          <w:sz w:val="20"/>
          <w:szCs w:val="20"/>
        </w:rPr>
        <w:t>developed</w:t>
      </w:r>
      <w:r w:rsidRPr="00916D35">
        <w:rPr>
          <w:rFonts w:ascii="Arial" w:eastAsia="Times New Roman" w:hAnsi="Arial" w:cs="Arial"/>
          <w:color w:val="000000"/>
          <w:sz w:val="20"/>
          <w:szCs w:val="20"/>
        </w:rPr>
        <w:t xml:space="preserve"> by the researcher based on the principle of incorporating game </w:t>
      </w:r>
      <w:r w:rsidR="001E2ADE" w:rsidRPr="00916D35">
        <w:rPr>
          <w:rFonts w:ascii="Arial" w:eastAsia="Times New Roman" w:hAnsi="Arial" w:cs="Arial"/>
          <w:color w:val="000000"/>
          <w:sz w:val="20"/>
          <w:szCs w:val="20"/>
        </w:rPr>
        <w:t>elements</w:t>
      </w:r>
      <w:r w:rsidRPr="00916D35">
        <w:rPr>
          <w:rFonts w:ascii="Arial" w:eastAsia="Times New Roman" w:hAnsi="Arial" w:cs="Arial"/>
          <w:color w:val="000000"/>
          <w:sz w:val="20"/>
          <w:szCs w:val="20"/>
        </w:rPr>
        <w:t xml:space="preserve"> into </w:t>
      </w:r>
      <w:r w:rsidR="001E2ADE"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teaching of STEM concepts. It consists of two lessons</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which are Heat Transfer and Heat Capacity. The Instructional guide was given to experienced lecturers in the department to determine its face and content validity. Operational Guide for Conventional Teaching Strategy: </w:t>
      </w:r>
      <w:r w:rsidR="001E2ADE" w:rsidRPr="00916D35">
        <w:rPr>
          <w:rFonts w:ascii="Arial" w:eastAsia="Times New Roman" w:hAnsi="Arial" w:cs="Arial"/>
          <w:color w:val="000000"/>
          <w:sz w:val="20"/>
          <w:szCs w:val="20"/>
        </w:rPr>
        <w:t>This</w:t>
      </w:r>
      <w:r w:rsidRPr="00916D35">
        <w:rPr>
          <w:rFonts w:ascii="Arial" w:eastAsia="Times New Roman" w:hAnsi="Arial" w:cs="Arial"/>
          <w:color w:val="000000"/>
          <w:sz w:val="20"/>
          <w:szCs w:val="20"/>
        </w:rPr>
        <w:t xml:space="preserve"> guide consists of two lessons that were used to teach the control group. The guide was based on the normal </w:t>
      </w:r>
      <w:r w:rsidR="00867DF2">
        <w:rPr>
          <w:rFonts w:ascii="Arial" w:eastAsia="Times New Roman" w:hAnsi="Arial" w:cs="Arial"/>
          <w:color w:val="000000"/>
          <w:sz w:val="20"/>
          <w:szCs w:val="20"/>
        </w:rPr>
        <w:t xml:space="preserve">routine </w:t>
      </w:r>
      <w:r w:rsidRPr="00916D35">
        <w:rPr>
          <w:rFonts w:ascii="Arial" w:eastAsia="Times New Roman" w:hAnsi="Arial" w:cs="Arial"/>
          <w:color w:val="000000"/>
          <w:sz w:val="20"/>
          <w:szCs w:val="20"/>
        </w:rPr>
        <w:t xml:space="preserve">in a STEM classroom. The Instructional guide was given to experienced lecturers in the department to determine its face and content validity. Pre-service Teachers’ Achievement Test in Integrated Science (Basic Science): This instrument </w:t>
      </w:r>
      <w:r w:rsidR="001E2ADE" w:rsidRPr="00916D35">
        <w:rPr>
          <w:rFonts w:ascii="Arial" w:eastAsia="Times New Roman" w:hAnsi="Arial" w:cs="Arial"/>
          <w:color w:val="000000"/>
          <w:sz w:val="20"/>
          <w:szCs w:val="20"/>
        </w:rPr>
        <w:t>tests</w:t>
      </w:r>
      <w:r w:rsidRPr="00916D35">
        <w:rPr>
          <w:rFonts w:ascii="Arial" w:eastAsia="Times New Roman" w:hAnsi="Arial" w:cs="Arial"/>
          <w:color w:val="000000"/>
          <w:sz w:val="20"/>
          <w:szCs w:val="20"/>
        </w:rPr>
        <w:t xml:space="preserve"> the pre-service teachers’ intellectual achievement in Heat Transfer and Heat Capacity. The test contains forty </w:t>
      </w:r>
      <w:r w:rsidR="001E2ADE" w:rsidRPr="00916D35">
        <w:rPr>
          <w:rFonts w:ascii="Arial" w:eastAsia="Times New Roman" w:hAnsi="Arial" w:cs="Arial"/>
          <w:color w:val="000000"/>
          <w:sz w:val="20"/>
          <w:szCs w:val="20"/>
        </w:rPr>
        <w:t>multiple-choice</w:t>
      </w:r>
      <w:r w:rsidRPr="00916D35">
        <w:rPr>
          <w:rFonts w:ascii="Arial" w:eastAsia="Times New Roman" w:hAnsi="Arial" w:cs="Arial"/>
          <w:color w:val="000000"/>
          <w:sz w:val="20"/>
          <w:szCs w:val="20"/>
        </w:rPr>
        <w:t xml:space="preserve"> objective test items </w:t>
      </w:r>
      <w:r w:rsidR="001E2ADE" w:rsidRPr="00916D35">
        <w:rPr>
          <w:rFonts w:ascii="Arial" w:eastAsia="Times New Roman" w:hAnsi="Arial" w:cs="Arial"/>
          <w:color w:val="000000"/>
          <w:sz w:val="20"/>
          <w:szCs w:val="20"/>
        </w:rPr>
        <w:t>in</w:t>
      </w:r>
      <w:r w:rsidRPr="00916D35">
        <w:rPr>
          <w:rFonts w:ascii="Arial" w:eastAsia="Times New Roman" w:hAnsi="Arial" w:cs="Arial"/>
          <w:color w:val="000000"/>
          <w:sz w:val="20"/>
          <w:szCs w:val="20"/>
        </w:rPr>
        <w:t xml:space="preserve"> two sections. Section A </w:t>
      </w:r>
      <w:r w:rsidR="001E2ADE" w:rsidRPr="00916D35">
        <w:rPr>
          <w:rFonts w:ascii="Arial" w:eastAsia="Times New Roman" w:hAnsi="Arial" w:cs="Arial"/>
          <w:color w:val="000000"/>
          <w:sz w:val="20"/>
          <w:szCs w:val="20"/>
        </w:rPr>
        <w:t>contains</w:t>
      </w:r>
      <w:r w:rsidRPr="00916D35">
        <w:rPr>
          <w:rFonts w:ascii="Arial" w:eastAsia="Times New Roman" w:hAnsi="Arial" w:cs="Arial"/>
          <w:color w:val="000000"/>
          <w:sz w:val="20"/>
          <w:szCs w:val="20"/>
        </w:rPr>
        <w:t xml:space="preserve"> demographic </w:t>
      </w:r>
      <w:r w:rsidRPr="00916D35">
        <w:rPr>
          <w:rFonts w:ascii="Arial" w:eastAsia="Times New Roman" w:hAnsi="Arial" w:cs="Arial"/>
          <w:color w:val="000000"/>
          <w:sz w:val="20"/>
          <w:szCs w:val="20"/>
        </w:rPr>
        <w:lastRenderedPageBreak/>
        <w:t xml:space="preserve">information </w:t>
      </w:r>
      <w:r w:rsidR="001E2ADE" w:rsidRPr="00916D35">
        <w:rPr>
          <w:rFonts w:ascii="Arial" w:eastAsia="Times New Roman" w:hAnsi="Arial" w:cs="Arial"/>
          <w:color w:val="000000"/>
          <w:sz w:val="20"/>
          <w:szCs w:val="20"/>
        </w:rPr>
        <w:t>about</w:t>
      </w:r>
      <w:r w:rsidRPr="00916D35">
        <w:rPr>
          <w:rFonts w:ascii="Arial" w:eastAsia="Times New Roman" w:hAnsi="Arial" w:cs="Arial"/>
          <w:color w:val="000000"/>
          <w:sz w:val="20"/>
          <w:szCs w:val="20"/>
        </w:rPr>
        <w:t xml:space="preserve"> the student</w:t>
      </w:r>
      <w:r w:rsidR="001E2ADE"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while Section B </w:t>
      </w:r>
      <w:r w:rsidR="001E2ADE" w:rsidRPr="00916D35">
        <w:rPr>
          <w:rFonts w:ascii="Arial" w:eastAsia="Times New Roman" w:hAnsi="Arial" w:cs="Arial"/>
          <w:color w:val="000000"/>
          <w:sz w:val="20"/>
          <w:szCs w:val="20"/>
        </w:rPr>
        <w:t>contains</w:t>
      </w:r>
      <w:r w:rsidRPr="00916D35">
        <w:rPr>
          <w:rFonts w:ascii="Arial" w:eastAsia="Times New Roman" w:hAnsi="Arial" w:cs="Arial"/>
          <w:color w:val="000000"/>
          <w:sz w:val="20"/>
          <w:szCs w:val="20"/>
        </w:rPr>
        <w:t xml:space="preserve"> the multiple-choice test items. The reliability of the test item was determined using Kuder-Richardson </w:t>
      </w:r>
      <w:r w:rsidR="001E2ADE" w:rsidRPr="00916D35">
        <w:rPr>
          <w:rFonts w:ascii="Arial" w:eastAsia="Times New Roman" w:hAnsi="Arial" w:cs="Arial"/>
          <w:color w:val="000000"/>
          <w:sz w:val="20"/>
          <w:szCs w:val="20"/>
        </w:rPr>
        <w:t>formula</w:t>
      </w:r>
      <w:r w:rsidRPr="00916D35">
        <w:rPr>
          <w:rFonts w:ascii="Arial" w:eastAsia="Times New Roman" w:hAnsi="Arial" w:cs="Arial"/>
          <w:color w:val="000000"/>
          <w:sz w:val="20"/>
          <w:szCs w:val="20"/>
        </w:rPr>
        <w:t xml:space="preserve"> 20 (KR-20). The KR-20 value of 0.85 was obtained.  Pre-service Teachers’ Attitudinal Questionnaires on the Use of Gamification in STEM </w:t>
      </w:r>
      <w:r w:rsidR="001E2ADE" w:rsidRPr="00916D35">
        <w:rPr>
          <w:rFonts w:ascii="Arial" w:eastAsia="Times New Roman" w:hAnsi="Arial" w:cs="Arial"/>
          <w:color w:val="000000"/>
          <w:sz w:val="20"/>
          <w:szCs w:val="20"/>
        </w:rPr>
        <w:t>Education.</w:t>
      </w:r>
      <w:r w:rsidRPr="00916D35">
        <w:rPr>
          <w:rFonts w:ascii="Arial" w:eastAsia="Times New Roman" w:hAnsi="Arial" w:cs="Arial"/>
          <w:color w:val="000000"/>
          <w:sz w:val="20"/>
          <w:szCs w:val="20"/>
        </w:rPr>
        <w:t xml:space="preserve"> Data collected were </w:t>
      </w:r>
      <w:proofErr w:type="spellStart"/>
      <w:r w:rsidRPr="00916D35">
        <w:rPr>
          <w:rFonts w:ascii="Arial" w:eastAsia="Times New Roman" w:hAnsi="Arial" w:cs="Arial"/>
          <w:color w:val="000000"/>
          <w:sz w:val="20"/>
          <w:szCs w:val="20"/>
        </w:rPr>
        <w:t>analysed</w:t>
      </w:r>
      <w:proofErr w:type="spellEnd"/>
      <w:r w:rsidRPr="00916D35">
        <w:rPr>
          <w:rFonts w:ascii="Arial" w:eastAsia="Times New Roman" w:hAnsi="Arial" w:cs="Arial"/>
          <w:color w:val="000000"/>
          <w:sz w:val="20"/>
          <w:szCs w:val="20"/>
        </w:rPr>
        <w:t xml:space="preserve"> using descriptive statistics (Mean and Standard Deviation) and inferential statistics (ANOVA).</w:t>
      </w:r>
    </w:p>
    <w:p w14:paraId="3FDC8783"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b/>
          <w:color w:val="000000"/>
        </w:rPr>
      </w:pPr>
    </w:p>
    <w:p w14:paraId="646CB614" w14:textId="05DAE991" w:rsidR="007E6E19" w:rsidRPr="004C555B" w:rsidRDefault="00DD5288"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RESULT</w:t>
      </w:r>
      <w:r w:rsidR="00025F65">
        <w:rPr>
          <w:rFonts w:ascii="Arial" w:eastAsia="Times New Roman" w:hAnsi="Arial" w:cs="Arial"/>
          <w:b/>
          <w:color w:val="000000"/>
        </w:rPr>
        <w:t xml:space="preserve"> AND DISCUSSION</w:t>
      </w:r>
    </w:p>
    <w:p w14:paraId="646CB615" w14:textId="77777777" w:rsidR="007E6E19" w:rsidRPr="004C555B" w:rsidRDefault="00C473FF" w:rsidP="0046531C">
      <w:pPr>
        <w:spacing w:after="0" w:line="360" w:lineRule="auto"/>
        <w:rPr>
          <w:rFonts w:ascii="Arial" w:eastAsia="Times New Roman" w:hAnsi="Arial" w:cs="Arial"/>
        </w:rPr>
      </w:pPr>
      <w:r w:rsidRPr="004C555B">
        <w:rPr>
          <w:rFonts w:ascii="Arial" w:eastAsia="Times New Roman" w:hAnsi="Arial" w:cs="Arial"/>
          <w:b/>
        </w:rPr>
        <w:t>Table 1: Distribution of respondents based on Group.</w:t>
      </w:r>
      <w:r w:rsidRPr="004C555B">
        <w:rPr>
          <w:rFonts w:ascii="Arial" w:eastAsia="Times New Roman" w:hAnsi="Arial" w:cs="Arial"/>
        </w:rPr>
        <w:t xml:space="preserve"> </w:t>
      </w:r>
    </w:p>
    <w:tbl>
      <w:tblPr>
        <w:tblStyle w:val="a"/>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19" w14:textId="77777777">
        <w:trPr>
          <w:trHeight w:val="296"/>
        </w:trPr>
        <w:tc>
          <w:tcPr>
            <w:tcW w:w="3060" w:type="dxa"/>
            <w:tcBorders>
              <w:top w:val="single" w:sz="4" w:space="0" w:color="000000"/>
              <w:bottom w:val="single" w:sz="4" w:space="0" w:color="000000"/>
            </w:tcBorders>
          </w:tcPr>
          <w:p w14:paraId="646CB61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Group</w:t>
            </w:r>
          </w:p>
        </w:tc>
        <w:tc>
          <w:tcPr>
            <w:tcW w:w="3415" w:type="dxa"/>
            <w:tcBorders>
              <w:top w:val="single" w:sz="4" w:space="0" w:color="000000"/>
              <w:bottom w:val="single" w:sz="4" w:space="0" w:color="000000"/>
            </w:tcBorders>
          </w:tcPr>
          <w:p w14:paraId="646CB617"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18"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1D" w14:textId="77777777">
        <w:trPr>
          <w:trHeight w:val="280"/>
        </w:trPr>
        <w:tc>
          <w:tcPr>
            <w:tcW w:w="3060" w:type="dxa"/>
            <w:tcBorders>
              <w:top w:val="single" w:sz="4" w:space="0" w:color="000000"/>
            </w:tcBorders>
          </w:tcPr>
          <w:p w14:paraId="646CB61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Control</w:t>
            </w:r>
          </w:p>
        </w:tc>
        <w:tc>
          <w:tcPr>
            <w:tcW w:w="3415" w:type="dxa"/>
            <w:tcBorders>
              <w:top w:val="single" w:sz="4" w:space="0" w:color="000000"/>
            </w:tcBorders>
          </w:tcPr>
          <w:p w14:paraId="646CB61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20</w:t>
            </w:r>
          </w:p>
        </w:tc>
        <w:tc>
          <w:tcPr>
            <w:tcW w:w="2660" w:type="dxa"/>
            <w:tcBorders>
              <w:top w:val="single" w:sz="4" w:space="0" w:color="000000"/>
            </w:tcBorders>
          </w:tcPr>
          <w:p w14:paraId="646CB61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54.1</w:t>
            </w:r>
          </w:p>
        </w:tc>
      </w:tr>
      <w:tr w:rsidR="007E6E19" w:rsidRPr="00916D35" w14:paraId="646CB621" w14:textId="77777777">
        <w:trPr>
          <w:trHeight w:val="296"/>
        </w:trPr>
        <w:tc>
          <w:tcPr>
            <w:tcW w:w="3060" w:type="dxa"/>
          </w:tcPr>
          <w:p w14:paraId="646CB61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Experimental</w:t>
            </w:r>
          </w:p>
        </w:tc>
        <w:tc>
          <w:tcPr>
            <w:tcW w:w="3415" w:type="dxa"/>
          </w:tcPr>
          <w:p w14:paraId="646CB61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17</w:t>
            </w:r>
          </w:p>
        </w:tc>
        <w:tc>
          <w:tcPr>
            <w:tcW w:w="2660" w:type="dxa"/>
          </w:tcPr>
          <w:p w14:paraId="646CB62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45.9</w:t>
            </w:r>
          </w:p>
        </w:tc>
      </w:tr>
      <w:tr w:rsidR="007E6E19" w:rsidRPr="00916D35" w14:paraId="646CB625" w14:textId="77777777">
        <w:trPr>
          <w:trHeight w:val="296"/>
        </w:trPr>
        <w:tc>
          <w:tcPr>
            <w:tcW w:w="3060" w:type="dxa"/>
            <w:tcBorders>
              <w:bottom w:val="single" w:sz="4" w:space="0" w:color="000000"/>
            </w:tcBorders>
          </w:tcPr>
          <w:p w14:paraId="646CB62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2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24"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26"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27" w14:textId="77777777" w:rsidR="004E7234" w:rsidRPr="00916D35" w:rsidRDefault="004E7234"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21FD8FF0" w14:textId="719EA99F" w:rsidR="00282A01" w:rsidRPr="00916D35" w:rsidRDefault="00282A0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Figure 1</w:t>
      </w:r>
      <w:r w:rsidR="00B76CD0" w:rsidRPr="00B76CD0">
        <w:t xml:space="preserve"> </w:t>
      </w:r>
      <w:r w:rsidR="00B76CD0">
        <w:rPr>
          <w:rFonts w:ascii="Arial" w:eastAsia="Times New Roman" w:hAnsi="Arial" w:cs="Arial"/>
          <w:color w:val="000000"/>
          <w:sz w:val="20"/>
          <w:szCs w:val="20"/>
        </w:rPr>
        <w:t>Pie chart showing distribution</w:t>
      </w:r>
      <w:r w:rsidR="00B76CD0" w:rsidRPr="00B76CD0">
        <w:rPr>
          <w:rFonts w:ascii="Arial" w:eastAsia="Times New Roman" w:hAnsi="Arial" w:cs="Arial"/>
          <w:color w:val="000000"/>
          <w:sz w:val="20"/>
          <w:szCs w:val="20"/>
        </w:rPr>
        <w:t xml:space="preserve"> of respondents based on Group</w:t>
      </w:r>
    </w:p>
    <w:p w14:paraId="646CB628" w14:textId="77777777" w:rsidR="004E7234" w:rsidRPr="00916D35" w:rsidRDefault="004E7234"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drawing>
          <wp:inline distT="0" distB="0" distL="0" distR="0" wp14:anchorId="646CB748" wp14:editId="2A21E42D">
            <wp:extent cx="5124450" cy="29527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6CB629"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As shown in </w:t>
      </w:r>
      <w:r w:rsidRPr="00916D35">
        <w:rPr>
          <w:rFonts w:ascii="Arial" w:eastAsia="Times New Roman" w:hAnsi="Arial" w:cs="Arial"/>
          <w:b/>
          <w:color w:val="000000"/>
          <w:sz w:val="20"/>
          <w:szCs w:val="20"/>
        </w:rPr>
        <w:t>Table 1</w:t>
      </w:r>
      <w:r w:rsidRPr="00916D35">
        <w:rPr>
          <w:rFonts w:ascii="Arial" w:eastAsia="Times New Roman" w:hAnsi="Arial" w:cs="Arial"/>
          <w:color w:val="000000"/>
          <w:sz w:val="20"/>
          <w:szCs w:val="20"/>
        </w:rPr>
        <w:t>, the respondents were divided into two groups: the control group and the experimental group. The control group comprised 20 participants, accounting for 54.1% of the total sample, while the experimental group consisted of 17 participants, representing 45.9%. This distribution demonstrates a near-even allocation of participants between the groups, ensuring a balanced comparison for the study.</w:t>
      </w:r>
    </w:p>
    <w:p w14:paraId="749FE0B1" w14:textId="77777777" w:rsidR="00706777" w:rsidRPr="00916D35" w:rsidRDefault="00706777" w:rsidP="0046531C">
      <w:pPr>
        <w:spacing w:after="0" w:line="360" w:lineRule="auto"/>
        <w:rPr>
          <w:rFonts w:ascii="Arial" w:eastAsia="Times New Roman" w:hAnsi="Arial" w:cs="Arial"/>
          <w:b/>
          <w:sz w:val="20"/>
          <w:szCs w:val="20"/>
        </w:rPr>
      </w:pPr>
    </w:p>
    <w:p w14:paraId="646CB62B" w14:textId="3AAC0746"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b/>
          <w:sz w:val="20"/>
          <w:szCs w:val="20"/>
        </w:rPr>
        <w:lastRenderedPageBreak/>
        <w:t>Table 2: Distribution of respondents based on Gender.</w:t>
      </w:r>
      <w:r w:rsidRPr="00916D35">
        <w:rPr>
          <w:rFonts w:ascii="Arial" w:eastAsia="Times New Roman" w:hAnsi="Arial" w:cs="Arial"/>
          <w:sz w:val="20"/>
          <w:szCs w:val="20"/>
        </w:rPr>
        <w:t xml:space="preserve"> </w:t>
      </w:r>
    </w:p>
    <w:tbl>
      <w:tblPr>
        <w:tblStyle w:val="a0"/>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2F" w14:textId="77777777">
        <w:trPr>
          <w:trHeight w:val="296"/>
        </w:trPr>
        <w:tc>
          <w:tcPr>
            <w:tcW w:w="3060" w:type="dxa"/>
            <w:tcBorders>
              <w:top w:val="single" w:sz="4" w:space="0" w:color="000000"/>
              <w:bottom w:val="single" w:sz="4" w:space="0" w:color="000000"/>
            </w:tcBorders>
          </w:tcPr>
          <w:p w14:paraId="646CB62C"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Group</w:t>
            </w:r>
          </w:p>
        </w:tc>
        <w:tc>
          <w:tcPr>
            <w:tcW w:w="3415" w:type="dxa"/>
            <w:tcBorders>
              <w:top w:val="single" w:sz="4" w:space="0" w:color="000000"/>
              <w:bottom w:val="single" w:sz="4" w:space="0" w:color="000000"/>
            </w:tcBorders>
          </w:tcPr>
          <w:p w14:paraId="646CB62D"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2E"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33" w14:textId="77777777">
        <w:trPr>
          <w:trHeight w:val="280"/>
        </w:trPr>
        <w:tc>
          <w:tcPr>
            <w:tcW w:w="3060" w:type="dxa"/>
            <w:tcBorders>
              <w:top w:val="single" w:sz="4" w:space="0" w:color="000000"/>
            </w:tcBorders>
          </w:tcPr>
          <w:p w14:paraId="646CB63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Male</w:t>
            </w:r>
          </w:p>
        </w:tc>
        <w:tc>
          <w:tcPr>
            <w:tcW w:w="3415" w:type="dxa"/>
            <w:tcBorders>
              <w:top w:val="single" w:sz="4" w:space="0" w:color="000000"/>
            </w:tcBorders>
          </w:tcPr>
          <w:p w14:paraId="646CB631"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08</w:t>
            </w:r>
          </w:p>
        </w:tc>
        <w:tc>
          <w:tcPr>
            <w:tcW w:w="2660" w:type="dxa"/>
            <w:tcBorders>
              <w:top w:val="single" w:sz="4" w:space="0" w:color="000000"/>
            </w:tcBorders>
          </w:tcPr>
          <w:p w14:paraId="646CB63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21.6</w:t>
            </w:r>
          </w:p>
        </w:tc>
      </w:tr>
      <w:tr w:rsidR="007E6E19" w:rsidRPr="00916D35" w14:paraId="646CB637" w14:textId="77777777">
        <w:trPr>
          <w:trHeight w:val="296"/>
        </w:trPr>
        <w:tc>
          <w:tcPr>
            <w:tcW w:w="3060" w:type="dxa"/>
          </w:tcPr>
          <w:p w14:paraId="646CB63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Female</w:t>
            </w:r>
          </w:p>
        </w:tc>
        <w:tc>
          <w:tcPr>
            <w:tcW w:w="3415" w:type="dxa"/>
          </w:tcPr>
          <w:p w14:paraId="646CB63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29</w:t>
            </w:r>
          </w:p>
        </w:tc>
        <w:tc>
          <w:tcPr>
            <w:tcW w:w="2660" w:type="dxa"/>
          </w:tcPr>
          <w:p w14:paraId="646CB63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78.4</w:t>
            </w:r>
          </w:p>
        </w:tc>
      </w:tr>
      <w:tr w:rsidR="007E6E19" w:rsidRPr="00916D35" w14:paraId="646CB63B" w14:textId="77777777">
        <w:trPr>
          <w:trHeight w:val="296"/>
        </w:trPr>
        <w:tc>
          <w:tcPr>
            <w:tcW w:w="3060" w:type="dxa"/>
            <w:tcBorders>
              <w:bottom w:val="single" w:sz="4" w:space="0" w:color="000000"/>
            </w:tcBorders>
          </w:tcPr>
          <w:p w14:paraId="646CB63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3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3A"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3C"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3D" w14:textId="77777777" w:rsidR="00D8512B" w:rsidRPr="00916D35" w:rsidRDefault="00D8512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6309FC6F" w14:textId="1C3766B7" w:rsidR="00807514" w:rsidRPr="00916D35" w:rsidRDefault="004E13C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Figure 2</w:t>
      </w:r>
      <w:r w:rsidR="00B76CD0" w:rsidRPr="00B76CD0">
        <w:t xml:space="preserve"> </w:t>
      </w:r>
      <w:r w:rsidR="00B76CD0" w:rsidRPr="00B76CD0">
        <w:rPr>
          <w:rFonts w:ascii="Arial" w:eastAsia="Times New Roman" w:hAnsi="Arial" w:cs="Arial"/>
          <w:color w:val="000000"/>
          <w:sz w:val="20"/>
          <w:szCs w:val="20"/>
        </w:rPr>
        <w:t>Pie chart showing distribution</w:t>
      </w:r>
      <w:r w:rsidR="00B76CD0">
        <w:rPr>
          <w:rFonts w:ascii="Arial" w:eastAsia="Times New Roman" w:hAnsi="Arial" w:cs="Arial"/>
          <w:color w:val="000000"/>
          <w:sz w:val="20"/>
          <w:szCs w:val="20"/>
        </w:rPr>
        <w:t xml:space="preserve"> </w:t>
      </w:r>
      <w:r w:rsidR="00B76CD0" w:rsidRPr="00B76CD0">
        <w:rPr>
          <w:rFonts w:ascii="Arial" w:eastAsia="Times New Roman" w:hAnsi="Arial" w:cs="Arial"/>
          <w:color w:val="000000"/>
          <w:sz w:val="20"/>
          <w:szCs w:val="20"/>
        </w:rPr>
        <w:t>based on Gender</w:t>
      </w:r>
    </w:p>
    <w:p w14:paraId="6C471414" w14:textId="77777777" w:rsidR="001E2ADE" w:rsidRPr="00916D35" w:rsidRDefault="00D8512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drawing>
          <wp:anchor distT="0" distB="0" distL="114300" distR="114300" simplePos="0" relativeHeight="251657216" behindDoc="0" locked="0" layoutInCell="1" allowOverlap="1" wp14:anchorId="646CB74A" wp14:editId="0C53E5E9">
            <wp:simplePos x="914400" y="914400"/>
            <wp:positionH relativeFrom="column">
              <wp:align>left</wp:align>
            </wp:positionH>
            <wp:positionV relativeFrom="paragraph">
              <wp:align>top</wp:align>
            </wp:positionV>
            <wp:extent cx="5486400" cy="32004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541F39F" w14:textId="77777777" w:rsidR="001E2ADE" w:rsidRPr="00916D35" w:rsidRDefault="001E2ADE" w:rsidP="0046531C">
      <w:pPr>
        <w:spacing w:line="360" w:lineRule="auto"/>
        <w:rPr>
          <w:rFonts w:ascii="Arial" w:eastAsia="Times New Roman" w:hAnsi="Arial" w:cs="Arial"/>
          <w:sz w:val="20"/>
          <w:szCs w:val="20"/>
        </w:rPr>
      </w:pPr>
    </w:p>
    <w:p w14:paraId="34CFA696" w14:textId="77777777" w:rsidR="001E2ADE" w:rsidRPr="00916D35" w:rsidRDefault="001E2ADE" w:rsidP="0046531C">
      <w:pPr>
        <w:spacing w:line="360" w:lineRule="auto"/>
        <w:rPr>
          <w:rFonts w:ascii="Arial" w:eastAsia="Times New Roman" w:hAnsi="Arial" w:cs="Arial"/>
          <w:sz w:val="20"/>
          <w:szCs w:val="20"/>
        </w:rPr>
      </w:pPr>
    </w:p>
    <w:p w14:paraId="54492530" w14:textId="77777777" w:rsidR="001E2ADE" w:rsidRPr="00916D35" w:rsidRDefault="001E2ADE" w:rsidP="0046531C">
      <w:pPr>
        <w:spacing w:line="360" w:lineRule="auto"/>
        <w:rPr>
          <w:rFonts w:ascii="Arial" w:eastAsia="Times New Roman" w:hAnsi="Arial" w:cs="Arial"/>
          <w:sz w:val="20"/>
          <w:szCs w:val="20"/>
        </w:rPr>
      </w:pPr>
    </w:p>
    <w:p w14:paraId="34DFF489" w14:textId="77777777" w:rsidR="001E2ADE" w:rsidRPr="00916D35" w:rsidRDefault="001E2ADE" w:rsidP="0046531C">
      <w:pPr>
        <w:spacing w:line="360" w:lineRule="auto"/>
        <w:rPr>
          <w:rFonts w:ascii="Arial" w:eastAsia="Times New Roman" w:hAnsi="Arial" w:cs="Arial"/>
          <w:sz w:val="20"/>
          <w:szCs w:val="20"/>
        </w:rPr>
      </w:pPr>
    </w:p>
    <w:p w14:paraId="4D4F7543" w14:textId="77777777" w:rsidR="001E2ADE" w:rsidRPr="00916D35" w:rsidRDefault="001E2ADE" w:rsidP="0046531C">
      <w:pPr>
        <w:spacing w:line="360" w:lineRule="auto"/>
        <w:rPr>
          <w:rFonts w:ascii="Arial" w:eastAsia="Times New Roman" w:hAnsi="Arial" w:cs="Arial"/>
          <w:sz w:val="20"/>
          <w:szCs w:val="20"/>
        </w:rPr>
      </w:pPr>
    </w:p>
    <w:p w14:paraId="029B4962" w14:textId="77777777" w:rsidR="001E2ADE" w:rsidRPr="00916D35" w:rsidRDefault="001E2ADE" w:rsidP="0046531C">
      <w:pPr>
        <w:spacing w:line="360" w:lineRule="auto"/>
        <w:rPr>
          <w:rFonts w:ascii="Arial" w:eastAsia="Times New Roman" w:hAnsi="Arial" w:cs="Arial"/>
          <w:sz w:val="20"/>
          <w:szCs w:val="20"/>
        </w:rPr>
      </w:pPr>
    </w:p>
    <w:p w14:paraId="2CED9449" w14:textId="77777777" w:rsidR="001E2ADE" w:rsidRPr="00916D35" w:rsidRDefault="001E2ADE" w:rsidP="0046531C">
      <w:pPr>
        <w:spacing w:line="360" w:lineRule="auto"/>
        <w:rPr>
          <w:rFonts w:ascii="Arial" w:eastAsia="Times New Roman" w:hAnsi="Arial" w:cs="Arial"/>
          <w:sz w:val="20"/>
          <w:szCs w:val="20"/>
        </w:rPr>
      </w:pPr>
    </w:p>
    <w:p w14:paraId="11ED2397" w14:textId="77777777" w:rsidR="001E2ADE" w:rsidRPr="00916D35" w:rsidRDefault="001E2ADE"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646CB63F" w14:textId="7BB1DA8F" w:rsidR="007E6E19" w:rsidRPr="00916D35" w:rsidRDefault="001E2ADE"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br w:type="textWrapping" w:clear="all"/>
      </w:r>
      <w:r w:rsidR="00C473FF" w:rsidRPr="00916D35">
        <w:rPr>
          <w:rFonts w:ascii="Arial" w:eastAsia="Times New Roman" w:hAnsi="Arial" w:cs="Arial"/>
          <w:color w:val="000000"/>
          <w:sz w:val="20"/>
          <w:szCs w:val="20"/>
        </w:rPr>
        <w:t xml:space="preserve">As illustrated in </w:t>
      </w:r>
      <w:r w:rsidR="00C473FF" w:rsidRPr="00916D35">
        <w:rPr>
          <w:rFonts w:ascii="Arial" w:eastAsia="Times New Roman" w:hAnsi="Arial" w:cs="Arial"/>
          <w:b/>
          <w:color w:val="000000"/>
          <w:sz w:val="20"/>
          <w:szCs w:val="20"/>
        </w:rPr>
        <w:t>Table 2</w:t>
      </w:r>
      <w:r w:rsidR="00C473FF" w:rsidRPr="00916D35">
        <w:rPr>
          <w:rFonts w:ascii="Arial" w:eastAsia="Times New Roman" w:hAnsi="Arial" w:cs="Arial"/>
          <w:color w:val="000000"/>
          <w:sz w:val="20"/>
          <w:szCs w:val="20"/>
        </w:rPr>
        <w:t xml:space="preserve">, the respondents were predominantly female, with 29 participants (78.4%), compared to only 8 male participants (21.6%). This significant gender disparity highlights the predominance of females in the study sample, reflecting either a general trend in enrollment in </w:t>
      </w:r>
      <w:r w:rsidR="004F1574" w:rsidRPr="00916D35">
        <w:rPr>
          <w:rFonts w:ascii="Arial" w:eastAsia="Times New Roman" w:hAnsi="Arial" w:cs="Arial"/>
          <w:color w:val="000000"/>
          <w:sz w:val="20"/>
          <w:szCs w:val="20"/>
        </w:rPr>
        <w:t>science education courses</w:t>
      </w:r>
      <w:r w:rsidR="00C473FF" w:rsidRPr="00916D35">
        <w:rPr>
          <w:rFonts w:ascii="Arial" w:eastAsia="Times New Roman" w:hAnsi="Arial" w:cs="Arial"/>
          <w:color w:val="000000"/>
          <w:sz w:val="20"/>
          <w:szCs w:val="20"/>
        </w:rPr>
        <w:t xml:space="preserve"> or specific demographic characteristics of the institutions sampled.</w:t>
      </w:r>
    </w:p>
    <w:p w14:paraId="646CB640" w14:textId="6F11250D"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b/>
          <w:sz w:val="20"/>
          <w:szCs w:val="20"/>
        </w:rPr>
        <w:t>Table 3: Distribution of respondents based on Mode of Entry.</w:t>
      </w:r>
      <w:r w:rsidRPr="00916D35">
        <w:rPr>
          <w:rFonts w:ascii="Arial" w:eastAsia="Times New Roman" w:hAnsi="Arial" w:cs="Arial"/>
          <w:sz w:val="20"/>
          <w:szCs w:val="20"/>
        </w:rPr>
        <w:t xml:space="preserve"> </w:t>
      </w:r>
    </w:p>
    <w:tbl>
      <w:tblPr>
        <w:tblStyle w:val="a1"/>
        <w:tblpPr w:leftFromText="180" w:rightFromText="180" w:vertAnchor="text" w:tblpY="289"/>
        <w:tblW w:w="9135" w:type="dxa"/>
        <w:tblBorders>
          <w:top w:val="nil"/>
          <w:left w:val="nil"/>
          <w:bottom w:val="nil"/>
          <w:right w:val="nil"/>
          <w:insideH w:val="nil"/>
          <w:insideV w:val="nil"/>
        </w:tblBorders>
        <w:tblLayout w:type="fixed"/>
        <w:tblLook w:val="0400" w:firstRow="0" w:lastRow="0" w:firstColumn="0" w:lastColumn="0" w:noHBand="0" w:noVBand="1"/>
      </w:tblPr>
      <w:tblGrid>
        <w:gridCol w:w="3060"/>
        <w:gridCol w:w="3415"/>
        <w:gridCol w:w="2660"/>
      </w:tblGrid>
      <w:tr w:rsidR="007E6E19" w:rsidRPr="00916D35" w14:paraId="646CB644" w14:textId="77777777">
        <w:trPr>
          <w:trHeight w:val="296"/>
        </w:trPr>
        <w:tc>
          <w:tcPr>
            <w:tcW w:w="3060" w:type="dxa"/>
            <w:tcBorders>
              <w:top w:val="single" w:sz="4" w:space="0" w:color="000000"/>
              <w:bottom w:val="single" w:sz="4" w:space="0" w:color="000000"/>
            </w:tcBorders>
          </w:tcPr>
          <w:p w14:paraId="646CB641"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Group</w:t>
            </w:r>
          </w:p>
        </w:tc>
        <w:tc>
          <w:tcPr>
            <w:tcW w:w="3415" w:type="dxa"/>
            <w:tcBorders>
              <w:top w:val="single" w:sz="4" w:space="0" w:color="000000"/>
              <w:bottom w:val="single" w:sz="4" w:space="0" w:color="000000"/>
            </w:tcBorders>
          </w:tcPr>
          <w:p w14:paraId="646CB64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Frequency</w:t>
            </w:r>
          </w:p>
        </w:tc>
        <w:tc>
          <w:tcPr>
            <w:tcW w:w="2660" w:type="dxa"/>
            <w:tcBorders>
              <w:top w:val="single" w:sz="4" w:space="0" w:color="000000"/>
              <w:bottom w:val="single" w:sz="4" w:space="0" w:color="000000"/>
            </w:tcBorders>
          </w:tcPr>
          <w:p w14:paraId="646CB64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color w:val="000000"/>
                <w:sz w:val="20"/>
                <w:szCs w:val="20"/>
              </w:rPr>
              <w:t>Percentage (%)</w:t>
            </w:r>
          </w:p>
        </w:tc>
      </w:tr>
      <w:tr w:rsidR="007E6E19" w:rsidRPr="00916D35" w14:paraId="646CB648" w14:textId="77777777">
        <w:trPr>
          <w:trHeight w:val="280"/>
        </w:trPr>
        <w:tc>
          <w:tcPr>
            <w:tcW w:w="3060" w:type="dxa"/>
            <w:tcBorders>
              <w:top w:val="single" w:sz="4" w:space="0" w:color="000000"/>
            </w:tcBorders>
          </w:tcPr>
          <w:p w14:paraId="646CB64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JAMB</w:t>
            </w:r>
          </w:p>
        </w:tc>
        <w:tc>
          <w:tcPr>
            <w:tcW w:w="3415" w:type="dxa"/>
            <w:tcBorders>
              <w:top w:val="single" w:sz="4" w:space="0" w:color="000000"/>
            </w:tcBorders>
          </w:tcPr>
          <w:p w14:paraId="646CB64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31</w:t>
            </w:r>
          </w:p>
        </w:tc>
        <w:tc>
          <w:tcPr>
            <w:tcW w:w="2660" w:type="dxa"/>
            <w:tcBorders>
              <w:top w:val="single" w:sz="4" w:space="0" w:color="000000"/>
            </w:tcBorders>
          </w:tcPr>
          <w:p w14:paraId="646CB64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83.8</w:t>
            </w:r>
          </w:p>
        </w:tc>
      </w:tr>
      <w:tr w:rsidR="007E6E19" w:rsidRPr="00916D35" w14:paraId="646CB64C" w14:textId="77777777">
        <w:trPr>
          <w:trHeight w:val="296"/>
        </w:trPr>
        <w:tc>
          <w:tcPr>
            <w:tcW w:w="3060" w:type="dxa"/>
          </w:tcPr>
          <w:p w14:paraId="646CB64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Direct Entry</w:t>
            </w:r>
          </w:p>
        </w:tc>
        <w:tc>
          <w:tcPr>
            <w:tcW w:w="3415" w:type="dxa"/>
          </w:tcPr>
          <w:p w14:paraId="646CB64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06</w:t>
            </w:r>
          </w:p>
        </w:tc>
        <w:tc>
          <w:tcPr>
            <w:tcW w:w="2660" w:type="dxa"/>
          </w:tcPr>
          <w:p w14:paraId="646CB64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16.2</w:t>
            </w:r>
          </w:p>
        </w:tc>
      </w:tr>
      <w:tr w:rsidR="007E6E19" w:rsidRPr="00916D35" w14:paraId="646CB650" w14:textId="77777777">
        <w:trPr>
          <w:trHeight w:val="296"/>
        </w:trPr>
        <w:tc>
          <w:tcPr>
            <w:tcW w:w="3060" w:type="dxa"/>
            <w:tcBorders>
              <w:bottom w:val="single" w:sz="4" w:space="0" w:color="000000"/>
            </w:tcBorders>
          </w:tcPr>
          <w:p w14:paraId="646CB64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Total</w:t>
            </w:r>
          </w:p>
        </w:tc>
        <w:tc>
          <w:tcPr>
            <w:tcW w:w="3415" w:type="dxa"/>
            <w:tcBorders>
              <w:bottom w:val="single" w:sz="4" w:space="0" w:color="000000"/>
            </w:tcBorders>
          </w:tcPr>
          <w:p w14:paraId="646CB64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37</w:t>
            </w:r>
          </w:p>
        </w:tc>
        <w:tc>
          <w:tcPr>
            <w:tcW w:w="2660" w:type="dxa"/>
            <w:tcBorders>
              <w:bottom w:val="single" w:sz="4" w:space="0" w:color="000000"/>
            </w:tcBorders>
          </w:tcPr>
          <w:p w14:paraId="646CB64F" w14:textId="77777777" w:rsidR="007E6E19" w:rsidRPr="00916D35" w:rsidRDefault="00C473FF" w:rsidP="0046531C">
            <w:pPr>
              <w:spacing w:after="0" w:line="360" w:lineRule="auto"/>
              <w:rPr>
                <w:rFonts w:ascii="Arial" w:eastAsia="Times New Roman" w:hAnsi="Arial" w:cs="Arial"/>
                <w:color w:val="000000"/>
                <w:sz w:val="20"/>
                <w:szCs w:val="20"/>
              </w:rPr>
            </w:pPr>
            <w:r w:rsidRPr="00916D35">
              <w:rPr>
                <w:rFonts w:ascii="Arial" w:eastAsia="Times New Roman" w:hAnsi="Arial" w:cs="Arial"/>
                <w:color w:val="000000"/>
                <w:sz w:val="20"/>
                <w:szCs w:val="20"/>
              </w:rPr>
              <w:t>100</w:t>
            </w:r>
          </w:p>
        </w:tc>
      </w:tr>
    </w:tbl>
    <w:p w14:paraId="646CB651" w14:textId="77777777" w:rsidR="007E6E19" w:rsidRPr="00916D35" w:rsidRDefault="007E6E19"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652" w14:textId="77777777" w:rsidR="00F83258" w:rsidRPr="00916D35" w:rsidRDefault="00F83258"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D397A3A"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2C61006E"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81086FB" w14:textId="76BE15B9" w:rsidR="004E13CB" w:rsidRPr="00916D35" w:rsidRDefault="004E13CB"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lastRenderedPageBreak/>
        <w:t>Figure 3</w:t>
      </w:r>
      <w:r w:rsidR="00B8733F">
        <w:rPr>
          <w:rFonts w:ascii="Arial" w:eastAsia="Times New Roman" w:hAnsi="Arial" w:cs="Arial"/>
          <w:color w:val="000000"/>
          <w:sz w:val="20"/>
          <w:szCs w:val="20"/>
        </w:rPr>
        <w:t>:</w:t>
      </w:r>
      <w:r w:rsidR="00B76CD0" w:rsidRPr="00B76CD0">
        <w:t xml:space="preserve"> </w:t>
      </w:r>
      <w:r w:rsidR="00B76CD0" w:rsidRPr="00B76CD0">
        <w:rPr>
          <w:rFonts w:ascii="Arial" w:eastAsia="Times New Roman" w:hAnsi="Arial" w:cs="Arial"/>
          <w:color w:val="000000"/>
          <w:sz w:val="20"/>
          <w:szCs w:val="20"/>
        </w:rPr>
        <w:t>Pie chart showing distribution based on Mode of Entry</w:t>
      </w:r>
    </w:p>
    <w:p w14:paraId="646CB653" w14:textId="77777777" w:rsidR="00F83258" w:rsidRPr="00916D35" w:rsidRDefault="00F8325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noProof/>
          <w:color w:val="000000"/>
          <w:sz w:val="20"/>
          <w:szCs w:val="20"/>
        </w:rPr>
        <w:drawing>
          <wp:inline distT="0" distB="0" distL="0" distR="0" wp14:anchorId="646CB74C" wp14:editId="306F62F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6CB654"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As shown in </w:t>
      </w:r>
      <w:r w:rsidRPr="00916D35">
        <w:rPr>
          <w:rFonts w:ascii="Arial" w:eastAsia="Times New Roman" w:hAnsi="Arial" w:cs="Arial"/>
          <w:b/>
          <w:color w:val="000000"/>
          <w:sz w:val="20"/>
          <w:szCs w:val="20"/>
        </w:rPr>
        <w:t>Table 3</w:t>
      </w:r>
      <w:r w:rsidRPr="00916D35">
        <w:rPr>
          <w:rFonts w:ascii="Arial" w:eastAsia="Times New Roman" w:hAnsi="Arial" w:cs="Arial"/>
          <w:color w:val="000000"/>
          <w:sz w:val="20"/>
          <w:szCs w:val="20"/>
        </w:rPr>
        <w:t xml:space="preserve">, the majority of respondents (83.8%) gained admission through the Joint Admissions and Matriculation Board (JAMB), while a smaller proportion (16.2%) entered via direct entry. This distribution suggests that JAMB remains the predominant mode of entry into the </w:t>
      </w:r>
      <w:r w:rsidR="004F1574" w:rsidRPr="00916D35">
        <w:rPr>
          <w:rFonts w:ascii="Arial" w:eastAsia="Times New Roman" w:hAnsi="Arial" w:cs="Arial"/>
          <w:color w:val="000000"/>
          <w:sz w:val="20"/>
          <w:szCs w:val="20"/>
        </w:rPr>
        <w:t xml:space="preserve">University </w:t>
      </w:r>
      <w:r w:rsidRPr="00916D35">
        <w:rPr>
          <w:rFonts w:ascii="Arial" w:eastAsia="Times New Roman" w:hAnsi="Arial" w:cs="Arial"/>
          <w:color w:val="000000"/>
          <w:sz w:val="20"/>
          <w:szCs w:val="20"/>
        </w:rPr>
        <w:t>included in the study.</w:t>
      </w:r>
    </w:p>
    <w:p w14:paraId="646CB655" w14:textId="354A59C8"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Questions</w:t>
      </w:r>
    </w:p>
    <w:p w14:paraId="646CB656"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Research Question 1: What is the impact of gamification as a teaching strategy on pre-service teachers’ achievement in STEM concepts</w:t>
      </w:r>
    </w:p>
    <w:p w14:paraId="646CB657" w14:textId="7F2BF83B"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Table 4: </w:t>
      </w:r>
      <w:r w:rsidR="001E2ADE" w:rsidRPr="004C555B">
        <w:rPr>
          <w:rFonts w:ascii="Arial" w:eastAsia="Times New Roman" w:hAnsi="Arial" w:cs="Arial"/>
          <w:b/>
          <w:color w:val="000000"/>
        </w:rPr>
        <w:t>The</w:t>
      </w:r>
      <w:r w:rsidRPr="004C555B">
        <w:rPr>
          <w:rFonts w:ascii="Arial" w:eastAsia="Times New Roman" w:hAnsi="Arial" w:cs="Arial"/>
          <w:b/>
          <w:color w:val="000000"/>
        </w:rPr>
        <w:t xml:space="preserve"> impact of gamification as a teaching strategy on pre-service teachers’ achievement in STEM concepts</w:t>
      </w:r>
    </w:p>
    <w:tbl>
      <w:tblPr>
        <w:tblStyle w:val="a2"/>
        <w:tblW w:w="8908" w:type="dxa"/>
        <w:tblBorders>
          <w:top w:val="nil"/>
          <w:left w:val="nil"/>
          <w:bottom w:val="nil"/>
          <w:right w:val="nil"/>
          <w:insideH w:val="nil"/>
          <w:insideV w:val="nil"/>
        </w:tblBorders>
        <w:tblLayout w:type="fixed"/>
        <w:tblLook w:val="0400" w:firstRow="0" w:lastRow="0" w:firstColumn="0" w:lastColumn="0" w:noHBand="0" w:noVBand="1"/>
      </w:tblPr>
      <w:tblGrid>
        <w:gridCol w:w="1881"/>
        <w:gridCol w:w="857"/>
        <w:gridCol w:w="1372"/>
        <w:gridCol w:w="1028"/>
        <w:gridCol w:w="1256"/>
        <w:gridCol w:w="890"/>
        <w:gridCol w:w="1624"/>
      </w:tblGrid>
      <w:tr w:rsidR="007E6E19" w:rsidRPr="00916D35" w14:paraId="646CB65D" w14:textId="77777777">
        <w:trPr>
          <w:trHeight w:val="309"/>
        </w:trPr>
        <w:tc>
          <w:tcPr>
            <w:tcW w:w="1881" w:type="dxa"/>
            <w:tcBorders>
              <w:top w:val="single" w:sz="4" w:space="0" w:color="000000"/>
              <w:bottom w:val="single" w:sz="4" w:space="0" w:color="000000"/>
            </w:tcBorders>
          </w:tcPr>
          <w:p w14:paraId="646CB658" w14:textId="77777777" w:rsidR="007E6E19" w:rsidRPr="00916D35" w:rsidRDefault="007E6E19" w:rsidP="0046531C">
            <w:pPr>
              <w:spacing w:after="0" w:line="360" w:lineRule="auto"/>
              <w:rPr>
                <w:rFonts w:ascii="Arial" w:eastAsia="Times New Roman" w:hAnsi="Arial" w:cs="Arial"/>
                <w:sz w:val="20"/>
                <w:szCs w:val="20"/>
              </w:rPr>
            </w:pPr>
          </w:p>
        </w:tc>
        <w:tc>
          <w:tcPr>
            <w:tcW w:w="857" w:type="dxa"/>
            <w:tcBorders>
              <w:top w:val="single" w:sz="4" w:space="0" w:color="000000"/>
              <w:bottom w:val="single" w:sz="4" w:space="0" w:color="000000"/>
            </w:tcBorders>
          </w:tcPr>
          <w:p w14:paraId="646CB659" w14:textId="77777777" w:rsidR="007E6E19" w:rsidRPr="00916D35" w:rsidRDefault="007E6E19" w:rsidP="0046531C">
            <w:pPr>
              <w:spacing w:after="0" w:line="360" w:lineRule="auto"/>
              <w:rPr>
                <w:rFonts w:ascii="Arial" w:eastAsia="Times New Roman" w:hAnsi="Arial" w:cs="Arial"/>
                <w:sz w:val="20"/>
                <w:szCs w:val="20"/>
              </w:rPr>
            </w:pPr>
          </w:p>
        </w:tc>
        <w:tc>
          <w:tcPr>
            <w:tcW w:w="2400" w:type="dxa"/>
            <w:gridSpan w:val="2"/>
            <w:tcBorders>
              <w:top w:val="single" w:sz="4" w:space="0" w:color="000000"/>
              <w:bottom w:val="single" w:sz="4" w:space="0" w:color="000000"/>
            </w:tcBorders>
          </w:tcPr>
          <w:p w14:paraId="646CB65A"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Pre-test</w:t>
            </w:r>
          </w:p>
        </w:tc>
        <w:tc>
          <w:tcPr>
            <w:tcW w:w="2146" w:type="dxa"/>
            <w:gridSpan w:val="2"/>
            <w:tcBorders>
              <w:top w:val="single" w:sz="4" w:space="0" w:color="000000"/>
              <w:bottom w:val="single" w:sz="4" w:space="0" w:color="000000"/>
            </w:tcBorders>
          </w:tcPr>
          <w:p w14:paraId="646CB65B"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Post-test</w:t>
            </w:r>
          </w:p>
        </w:tc>
        <w:tc>
          <w:tcPr>
            <w:tcW w:w="1624" w:type="dxa"/>
            <w:tcBorders>
              <w:top w:val="single" w:sz="4" w:space="0" w:color="000000"/>
              <w:bottom w:val="single" w:sz="4" w:space="0" w:color="000000"/>
            </w:tcBorders>
          </w:tcPr>
          <w:p w14:paraId="646CB65C"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65" w14:textId="77777777">
        <w:trPr>
          <w:trHeight w:val="309"/>
        </w:trPr>
        <w:tc>
          <w:tcPr>
            <w:tcW w:w="1881" w:type="dxa"/>
            <w:tcBorders>
              <w:top w:val="single" w:sz="4" w:space="0" w:color="000000"/>
              <w:bottom w:val="single" w:sz="4" w:space="0" w:color="000000"/>
            </w:tcBorders>
          </w:tcPr>
          <w:p w14:paraId="646CB65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857" w:type="dxa"/>
            <w:tcBorders>
              <w:top w:val="single" w:sz="4" w:space="0" w:color="000000"/>
              <w:bottom w:val="single" w:sz="4" w:space="0" w:color="000000"/>
            </w:tcBorders>
          </w:tcPr>
          <w:p w14:paraId="646CB65F"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372" w:type="dxa"/>
            <w:tcBorders>
              <w:top w:val="single" w:sz="4" w:space="0" w:color="000000"/>
              <w:bottom w:val="single" w:sz="4" w:space="0" w:color="000000"/>
            </w:tcBorders>
          </w:tcPr>
          <w:p w14:paraId="646CB660"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28" w:type="dxa"/>
            <w:tcBorders>
              <w:top w:val="single" w:sz="4" w:space="0" w:color="000000"/>
              <w:bottom w:val="single" w:sz="4" w:space="0" w:color="000000"/>
            </w:tcBorders>
          </w:tcPr>
          <w:p w14:paraId="646CB661"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256" w:type="dxa"/>
            <w:tcBorders>
              <w:top w:val="single" w:sz="4" w:space="0" w:color="000000"/>
              <w:bottom w:val="single" w:sz="4" w:space="0" w:color="000000"/>
            </w:tcBorders>
          </w:tcPr>
          <w:p w14:paraId="646CB66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890" w:type="dxa"/>
            <w:tcBorders>
              <w:top w:val="single" w:sz="4" w:space="0" w:color="000000"/>
              <w:bottom w:val="single" w:sz="4" w:space="0" w:color="000000"/>
            </w:tcBorders>
          </w:tcPr>
          <w:p w14:paraId="646CB66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624" w:type="dxa"/>
            <w:tcBorders>
              <w:top w:val="single" w:sz="4" w:space="0" w:color="000000"/>
              <w:bottom w:val="single" w:sz="4" w:space="0" w:color="000000"/>
            </w:tcBorders>
          </w:tcPr>
          <w:p w14:paraId="646CB664"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6D" w14:textId="77777777">
        <w:trPr>
          <w:trHeight w:val="309"/>
        </w:trPr>
        <w:tc>
          <w:tcPr>
            <w:tcW w:w="1881" w:type="dxa"/>
            <w:tcBorders>
              <w:top w:val="single" w:sz="4" w:space="0" w:color="000000"/>
            </w:tcBorders>
          </w:tcPr>
          <w:p w14:paraId="646CB666"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Control</w:t>
            </w:r>
          </w:p>
        </w:tc>
        <w:tc>
          <w:tcPr>
            <w:tcW w:w="857" w:type="dxa"/>
            <w:tcBorders>
              <w:top w:val="single" w:sz="4" w:space="0" w:color="000000"/>
            </w:tcBorders>
          </w:tcPr>
          <w:p w14:paraId="646CB66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20</w:t>
            </w:r>
          </w:p>
        </w:tc>
        <w:tc>
          <w:tcPr>
            <w:tcW w:w="1372" w:type="dxa"/>
            <w:tcBorders>
              <w:top w:val="single" w:sz="4" w:space="0" w:color="000000"/>
            </w:tcBorders>
          </w:tcPr>
          <w:p w14:paraId="646CB66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57.65</w:t>
            </w:r>
          </w:p>
        </w:tc>
        <w:tc>
          <w:tcPr>
            <w:tcW w:w="1028" w:type="dxa"/>
            <w:tcBorders>
              <w:top w:val="single" w:sz="4" w:space="0" w:color="000000"/>
            </w:tcBorders>
          </w:tcPr>
          <w:p w14:paraId="646CB669"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4.26</w:t>
            </w:r>
          </w:p>
        </w:tc>
        <w:tc>
          <w:tcPr>
            <w:tcW w:w="1256" w:type="dxa"/>
            <w:tcBorders>
              <w:top w:val="single" w:sz="4" w:space="0" w:color="000000"/>
            </w:tcBorders>
          </w:tcPr>
          <w:p w14:paraId="646CB66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77.94</w:t>
            </w:r>
          </w:p>
        </w:tc>
        <w:tc>
          <w:tcPr>
            <w:tcW w:w="890" w:type="dxa"/>
            <w:tcBorders>
              <w:top w:val="single" w:sz="4" w:space="0" w:color="000000"/>
            </w:tcBorders>
          </w:tcPr>
          <w:p w14:paraId="646CB66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4.44</w:t>
            </w:r>
          </w:p>
        </w:tc>
        <w:tc>
          <w:tcPr>
            <w:tcW w:w="1624" w:type="dxa"/>
            <w:tcBorders>
              <w:top w:val="single" w:sz="4" w:space="0" w:color="000000"/>
            </w:tcBorders>
          </w:tcPr>
          <w:p w14:paraId="646CB66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20.29</w:t>
            </w:r>
          </w:p>
        </w:tc>
      </w:tr>
      <w:tr w:rsidR="007E6E19" w:rsidRPr="00916D35" w14:paraId="646CB675" w14:textId="77777777">
        <w:trPr>
          <w:trHeight w:val="309"/>
        </w:trPr>
        <w:tc>
          <w:tcPr>
            <w:tcW w:w="1881" w:type="dxa"/>
            <w:tcBorders>
              <w:bottom w:val="single" w:sz="4" w:space="0" w:color="000000"/>
            </w:tcBorders>
          </w:tcPr>
          <w:p w14:paraId="646CB66E"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Experimental</w:t>
            </w:r>
          </w:p>
        </w:tc>
        <w:tc>
          <w:tcPr>
            <w:tcW w:w="857" w:type="dxa"/>
            <w:tcBorders>
              <w:bottom w:val="single" w:sz="4" w:space="0" w:color="000000"/>
            </w:tcBorders>
          </w:tcPr>
          <w:p w14:paraId="646CB66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17</w:t>
            </w:r>
          </w:p>
        </w:tc>
        <w:tc>
          <w:tcPr>
            <w:tcW w:w="1372" w:type="dxa"/>
            <w:tcBorders>
              <w:bottom w:val="single" w:sz="4" w:space="0" w:color="000000"/>
            </w:tcBorders>
          </w:tcPr>
          <w:p w14:paraId="646CB67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61.47</w:t>
            </w:r>
          </w:p>
        </w:tc>
        <w:tc>
          <w:tcPr>
            <w:tcW w:w="1028" w:type="dxa"/>
            <w:tcBorders>
              <w:bottom w:val="single" w:sz="4" w:space="0" w:color="000000"/>
            </w:tcBorders>
          </w:tcPr>
          <w:p w14:paraId="646CB671"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5.83</w:t>
            </w:r>
          </w:p>
        </w:tc>
        <w:tc>
          <w:tcPr>
            <w:tcW w:w="1256" w:type="dxa"/>
            <w:tcBorders>
              <w:bottom w:val="single" w:sz="4" w:space="0" w:color="000000"/>
            </w:tcBorders>
          </w:tcPr>
          <w:p w14:paraId="646CB67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85.72</w:t>
            </w:r>
          </w:p>
        </w:tc>
        <w:tc>
          <w:tcPr>
            <w:tcW w:w="890" w:type="dxa"/>
            <w:tcBorders>
              <w:bottom w:val="single" w:sz="4" w:space="0" w:color="000000"/>
            </w:tcBorders>
          </w:tcPr>
          <w:p w14:paraId="646CB67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 xml:space="preserve">3.27                              </w:t>
            </w:r>
          </w:p>
        </w:tc>
        <w:tc>
          <w:tcPr>
            <w:tcW w:w="1624" w:type="dxa"/>
            <w:tcBorders>
              <w:bottom w:val="single" w:sz="4" w:space="0" w:color="000000"/>
            </w:tcBorders>
          </w:tcPr>
          <w:p w14:paraId="646CB67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24.25</w:t>
            </w:r>
          </w:p>
        </w:tc>
      </w:tr>
    </w:tbl>
    <w:p w14:paraId="646CB676"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experimental group outperformed the control group in terms of mean gain (24.25 vs. 20.29), suggesting that gamification had a positive impact on students' achievement in STEM concepts. The higher mean scores and lower post-test standard deviation (SD = 3.27) in the experimental group indicate a more consistent improvement compared to the control group. These findings support the effectiveness of gamification as a teaching strategy in enhancing pre-service teachers’ understanding of STEM concepts. </w:t>
      </w:r>
      <w:r w:rsidRPr="00916D35">
        <w:rPr>
          <w:rFonts w:ascii="Arial" w:eastAsia="Times New Roman" w:hAnsi="Arial" w:cs="Arial"/>
          <w:color w:val="000000"/>
          <w:sz w:val="20"/>
          <w:szCs w:val="20"/>
        </w:rPr>
        <w:lastRenderedPageBreak/>
        <w:t>The strategy not only improved their overall achievement but also led to a more uniform performance within the group.</w:t>
      </w:r>
    </w:p>
    <w:p w14:paraId="646CB679" w14:textId="63832116"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Research Question 2: Does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mode of entry of pre-service teachers into the university have </w:t>
      </w:r>
      <w:r w:rsidR="001E2ADE" w:rsidRPr="004C555B">
        <w:rPr>
          <w:rFonts w:ascii="Arial" w:eastAsia="Times New Roman" w:hAnsi="Arial" w:cs="Arial"/>
          <w:b/>
          <w:color w:val="000000"/>
        </w:rPr>
        <w:t xml:space="preserve">an </w:t>
      </w:r>
      <w:r w:rsidRPr="004C555B">
        <w:rPr>
          <w:rFonts w:ascii="Arial" w:eastAsia="Times New Roman" w:hAnsi="Arial" w:cs="Arial"/>
          <w:b/>
          <w:color w:val="000000"/>
        </w:rPr>
        <w:t>impact on their achievement in STEM concepts</w:t>
      </w:r>
    </w:p>
    <w:p w14:paraId="646CB67A" w14:textId="39C58CB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Table 5: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mode of entry of pre-service teachers into the university </w:t>
      </w:r>
      <w:r w:rsidR="00F55DE9" w:rsidRPr="004C555B">
        <w:rPr>
          <w:rFonts w:ascii="Arial" w:eastAsia="Times New Roman" w:hAnsi="Arial" w:cs="Arial"/>
          <w:b/>
          <w:color w:val="000000"/>
        </w:rPr>
        <w:t>has an impact</w:t>
      </w:r>
      <w:r w:rsidRPr="004C555B">
        <w:rPr>
          <w:rFonts w:ascii="Arial" w:eastAsia="Times New Roman" w:hAnsi="Arial" w:cs="Arial"/>
          <w:b/>
          <w:color w:val="000000"/>
        </w:rPr>
        <w:t xml:space="preserve"> </w:t>
      </w:r>
      <w:r w:rsidR="00F55DE9" w:rsidRPr="004C555B">
        <w:rPr>
          <w:rFonts w:ascii="Arial" w:eastAsia="Times New Roman" w:hAnsi="Arial" w:cs="Arial"/>
          <w:b/>
          <w:color w:val="000000"/>
        </w:rPr>
        <w:t xml:space="preserve">on </w:t>
      </w:r>
      <w:r w:rsidRPr="004C555B">
        <w:rPr>
          <w:rFonts w:ascii="Arial" w:eastAsia="Times New Roman" w:hAnsi="Arial" w:cs="Arial"/>
          <w:b/>
          <w:color w:val="000000"/>
        </w:rPr>
        <w:t>their achievement in STEM concepts</w:t>
      </w:r>
    </w:p>
    <w:tbl>
      <w:tblPr>
        <w:tblStyle w:val="a3"/>
        <w:tblW w:w="9491" w:type="dxa"/>
        <w:tblBorders>
          <w:top w:val="nil"/>
          <w:left w:val="nil"/>
          <w:bottom w:val="nil"/>
          <w:right w:val="nil"/>
          <w:insideH w:val="nil"/>
          <w:insideV w:val="nil"/>
        </w:tblBorders>
        <w:tblLayout w:type="fixed"/>
        <w:tblLook w:val="0400" w:firstRow="0" w:lastRow="0" w:firstColumn="0" w:lastColumn="0" w:noHBand="0" w:noVBand="1"/>
      </w:tblPr>
      <w:tblGrid>
        <w:gridCol w:w="2004"/>
        <w:gridCol w:w="913"/>
        <w:gridCol w:w="1463"/>
        <w:gridCol w:w="1094"/>
        <w:gridCol w:w="1339"/>
        <w:gridCol w:w="948"/>
        <w:gridCol w:w="1730"/>
      </w:tblGrid>
      <w:tr w:rsidR="007E6E19" w:rsidRPr="00916D35" w14:paraId="646CB680" w14:textId="77777777">
        <w:trPr>
          <w:trHeight w:val="286"/>
        </w:trPr>
        <w:tc>
          <w:tcPr>
            <w:tcW w:w="2004" w:type="dxa"/>
            <w:tcBorders>
              <w:top w:val="single" w:sz="4" w:space="0" w:color="000000"/>
              <w:bottom w:val="single" w:sz="4" w:space="0" w:color="000000"/>
            </w:tcBorders>
          </w:tcPr>
          <w:p w14:paraId="646CB67B" w14:textId="77777777" w:rsidR="007E6E19" w:rsidRPr="00916D35" w:rsidRDefault="007E6E19" w:rsidP="0046531C">
            <w:pPr>
              <w:spacing w:after="0" w:line="360" w:lineRule="auto"/>
              <w:rPr>
                <w:rFonts w:ascii="Arial" w:eastAsia="Times New Roman" w:hAnsi="Arial" w:cs="Arial"/>
                <w:sz w:val="20"/>
                <w:szCs w:val="20"/>
              </w:rPr>
            </w:pPr>
          </w:p>
        </w:tc>
        <w:tc>
          <w:tcPr>
            <w:tcW w:w="913" w:type="dxa"/>
            <w:tcBorders>
              <w:top w:val="single" w:sz="4" w:space="0" w:color="000000"/>
              <w:bottom w:val="single" w:sz="4" w:space="0" w:color="000000"/>
            </w:tcBorders>
          </w:tcPr>
          <w:p w14:paraId="646CB67C" w14:textId="77777777" w:rsidR="007E6E19" w:rsidRPr="00916D35" w:rsidRDefault="007E6E19" w:rsidP="0046531C">
            <w:pPr>
              <w:spacing w:after="0" w:line="360" w:lineRule="auto"/>
              <w:rPr>
                <w:rFonts w:ascii="Arial" w:eastAsia="Times New Roman" w:hAnsi="Arial" w:cs="Arial"/>
                <w:sz w:val="20"/>
                <w:szCs w:val="20"/>
              </w:rPr>
            </w:pPr>
          </w:p>
        </w:tc>
        <w:tc>
          <w:tcPr>
            <w:tcW w:w="2557" w:type="dxa"/>
            <w:gridSpan w:val="2"/>
            <w:tcBorders>
              <w:top w:val="single" w:sz="4" w:space="0" w:color="000000"/>
              <w:bottom w:val="single" w:sz="4" w:space="0" w:color="000000"/>
            </w:tcBorders>
          </w:tcPr>
          <w:p w14:paraId="646CB67D"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Pre-interest</w:t>
            </w:r>
          </w:p>
        </w:tc>
        <w:tc>
          <w:tcPr>
            <w:tcW w:w="2287" w:type="dxa"/>
            <w:gridSpan w:val="2"/>
            <w:tcBorders>
              <w:top w:val="single" w:sz="4" w:space="0" w:color="000000"/>
              <w:bottom w:val="single" w:sz="4" w:space="0" w:color="000000"/>
            </w:tcBorders>
          </w:tcPr>
          <w:p w14:paraId="646CB67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Post-interest</w:t>
            </w:r>
          </w:p>
        </w:tc>
        <w:tc>
          <w:tcPr>
            <w:tcW w:w="1730" w:type="dxa"/>
            <w:tcBorders>
              <w:top w:val="single" w:sz="4" w:space="0" w:color="000000"/>
              <w:bottom w:val="single" w:sz="4" w:space="0" w:color="000000"/>
            </w:tcBorders>
          </w:tcPr>
          <w:p w14:paraId="646CB67F"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88" w14:textId="77777777">
        <w:trPr>
          <w:trHeight w:val="286"/>
        </w:trPr>
        <w:tc>
          <w:tcPr>
            <w:tcW w:w="2004" w:type="dxa"/>
            <w:tcBorders>
              <w:top w:val="single" w:sz="4" w:space="0" w:color="000000"/>
              <w:bottom w:val="single" w:sz="4" w:space="0" w:color="000000"/>
            </w:tcBorders>
          </w:tcPr>
          <w:p w14:paraId="646CB681"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913" w:type="dxa"/>
            <w:tcBorders>
              <w:top w:val="single" w:sz="4" w:space="0" w:color="000000"/>
              <w:bottom w:val="single" w:sz="4" w:space="0" w:color="000000"/>
            </w:tcBorders>
          </w:tcPr>
          <w:p w14:paraId="646CB682"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463" w:type="dxa"/>
            <w:tcBorders>
              <w:top w:val="single" w:sz="4" w:space="0" w:color="000000"/>
              <w:bottom w:val="single" w:sz="4" w:space="0" w:color="000000"/>
            </w:tcBorders>
          </w:tcPr>
          <w:p w14:paraId="646CB68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94" w:type="dxa"/>
            <w:tcBorders>
              <w:top w:val="single" w:sz="4" w:space="0" w:color="000000"/>
              <w:bottom w:val="single" w:sz="4" w:space="0" w:color="000000"/>
            </w:tcBorders>
          </w:tcPr>
          <w:p w14:paraId="646CB684"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339" w:type="dxa"/>
            <w:tcBorders>
              <w:top w:val="single" w:sz="4" w:space="0" w:color="000000"/>
              <w:bottom w:val="single" w:sz="4" w:space="0" w:color="000000"/>
            </w:tcBorders>
          </w:tcPr>
          <w:p w14:paraId="646CB685"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948" w:type="dxa"/>
            <w:tcBorders>
              <w:top w:val="single" w:sz="4" w:space="0" w:color="000000"/>
              <w:bottom w:val="single" w:sz="4" w:space="0" w:color="000000"/>
            </w:tcBorders>
          </w:tcPr>
          <w:p w14:paraId="646CB68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730" w:type="dxa"/>
            <w:tcBorders>
              <w:top w:val="single" w:sz="4" w:space="0" w:color="000000"/>
              <w:bottom w:val="single" w:sz="4" w:space="0" w:color="000000"/>
            </w:tcBorders>
          </w:tcPr>
          <w:p w14:paraId="646CB687"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90" w14:textId="77777777">
        <w:trPr>
          <w:trHeight w:val="286"/>
        </w:trPr>
        <w:tc>
          <w:tcPr>
            <w:tcW w:w="2004" w:type="dxa"/>
            <w:tcBorders>
              <w:top w:val="single" w:sz="4" w:space="0" w:color="000000"/>
            </w:tcBorders>
          </w:tcPr>
          <w:p w14:paraId="646CB689"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Jamb</w:t>
            </w:r>
          </w:p>
        </w:tc>
        <w:tc>
          <w:tcPr>
            <w:tcW w:w="913" w:type="dxa"/>
            <w:tcBorders>
              <w:top w:val="single" w:sz="4" w:space="0" w:color="000000"/>
            </w:tcBorders>
          </w:tcPr>
          <w:p w14:paraId="646CB68A"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31</w:t>
            </w:r>
          </w:p>
        </w:tc>
        <w:tc>
          <w:tcPr>
            <w:tcW w:w="1463" w:type="dxa"/>
            <w:tcBorders>
              <w:top w:val="single" w:sz="4" w:space="0" w:color="000000"/>
            </w:tcBorders>
          </w:tcPr>
          <w:p w14:paraId="646CB68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58.22</w:t>
            </w:r>
          </w:p>
        </w:tc>
        <w:tc>
          <w:tcPr>
            <w:tcW w:w="1094" w:type="dxa"/>
            <w:tcBorders>
              <w:top w:val="single" w:sz="4" w:space="0" w:color="000000"/>
            </w:tcBorders>
          </w:tcPr>
          <w:p w14:paraId="646CB68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42</w:t>
            </w:r>
          </w:p>
        </w:tc>
        <w:tc>
          <w:tcPr>
            <w:tcW w:w="1339" w:type="dxa"/>
            <w:tcBorders>
              <w:top w:val="single" w:sz="4" w:space="0" w:color="000000"/>
            </w:tcBorders>
          </w:tcPr>
          <w:p w14:paraId="646CB68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77.00</w:t>
            </w:r>
          </w:p>
        </w:tc>
        <w:tc>
          <w:tcPr>
            <w:tcW w:w="948" w:type="dxa"/>
            <w:tcBorders>
              <w:top w:val="single" w:sz="4" w:space="0" w:color="000000"/>
            </w:tcBorders>
          </w:tcPr>
          <w:p w14:paraId="646CB68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85</w:t>
            </w:r>
          </w:p>
        </w:tc>
        <w:tc>
          <w:tcPr>
            <w:tcW w:w="1730" w:type="dxa"/>
            <w:tcBorders>
              <w:top w:val="single" w:sz="4" w:space="0" w:color="000000"/>
            </w:tcBorders>
          </w:tcPr>
          <w:p w14:paraId="646CB68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18.78</w:t>
            </w:r>
          </w:p>
        </w:tc>
      </w:tr>
      <w:tr w:rsidR="007E6E19" w:rsidRPr="00916D35" w14:paraId="646CB698" w14:textId="77777777">
        <w:trPr>
          <w:trHeight w:val="286"/>
        </w:trPr>
        <w:tc>
          <w:tcPr>
            <w:tcW w:w="2004" w:type="dxa"/>
            <w:tcBorders>
              <w:bottom w:val="single" w:sz="4" w:space="0" w:color="000000"/>
            </w:tcBorders>
          </w:tcPr>
          <w:p w14:paraId="646CB691"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Direct Entry</w:t>
            </w:r>
          </w:p>
        </w:tc>
        <w:tc>
          <w:tcPr>
            <w:tcW w:w="913" w:type="dxa"/>
            <w:tcBorders>
              <w:bottom w:val="single" w:sz="4" w:space="0" w:color="000000"/>
            </w:tcBorders>
          </w:tcPr>
          <w:p w14:paraId="646CB692"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06</w:t>
            </w:r>
          </w:p>
        </w:tc>
        <w:tc>
          <w:tcPr>
            <w:tcW w:w="1463" w:type="dxa"/>
            <w:tcBorders>
              <w:bottom w:val="single" w:sz="4" w:space="0" w:color="000000"/>
            </w:tcBorders>
          </w:tcPr>
          <w:p w14:paraId="646CB69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58.47</w:t>
            </w:r>
          </w:p>
        </w:tc>
        <w:tc>
          <w:tcPr>
            <w:tcW w:w="1094" w:type="dxa"/>
            <w:tcBorders>
              <w:bottom w:val="single" w:sz="4" w:space="0" w:color="000000"/>
            </w:tcBorders>
          </w:tcPr>
          <w:p w14:paraId="646CB69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3.51</w:t>
            </w:r>
          </w:p>
        </w:tc>
        <w:tc>
          <w:tcPr>
            <w:tcW w:w="1339" w:type="dxa"/>
            <w:tcBorders>
              <w:bottom w:val="single" w:sz="4" w:space="0" w:color="000000"/>
            </w:tcBorders>
          </w:tcPr>
          <w:p w14:paraId="646CB69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87.15</w:t>
            </w:r>
          </w:p>
        </w:tc>
        <w:tc>
          <w:tcPr>
            <w:tcW w:w="948" w:type="dxa"/>
            <w:tcBorders>
              <w:bottom w:val="single" w:sz="4" w:space="0" w:color="000000"/>
            </w:tcBorders>
          </w:tcPr>
          <w:p w14:paraId="646CB69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3.57</w:t>
            </w:r>
          </w:p>
        </w:tc>
        <w:tc>
          <w:tcPr>
            <w:tcW w:w="1730" w:type="dxa"/>
            <w:tcBorders>
              <w:bottom w:val="single" w:sz="4" w:space="0" w:color="000000"/>
            </w:tcBorders>
          </w:tcPr>
          <w:p w14:paraId="646CB69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28.68</w:t>
            </w:r>
          </w:p>
        </w:tc>
      </w:tr>
    </w:tbl>
    <w:p w14:paraId="646CB699" w14:textId="574FB24F"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findings suggest that both groups improved significantly after the intervention. However, Direct Entry students achieved a higher mean gain (28.68) compared to JAMB students (18.78). This disparity might reflect differences in prior educational experiences or readiness for the STEM concepts covered in the study. The data </w:t>
      </w:r>
      <w:r w:rsidR="001E2ADE" w:rsidRPr="00916D35">
        <w:rPr>
          <w:rFonts w:ascii="Arial" w:eastAsia="Times New Roman" w:hAnsi="Arial" w:cs="Arial"/>
          <w:color w:val="000000"/>
          <w:sz w:val="20"/>
          <w:szCs w:val="20"/>
        </w:rPr>
        <w:t>indicate</w:t>
      </w:r>
      <w:r w:rsidRPr="00916D35">
        <w:rPr>
          <w:rFonts w:ascii="Arial" w:eastAsia="Times New Roman" w:hAnsi="Arial" w:cs="Arial"/>
          <w:color w:val="000000"/>
          <w:sz w:val="20"/>
          <w:szCs w:val="20"/>
        </w:rPr>
        <w:t xml:space="preserve"> that pre-service teachers' mode of entry into the university may influence their performance in STEM concepts. Direct Entry students' higher mean gain could suggest that their advanced academic background or work experience better prepared them for the intervention.</w:t>
      </w:r>
    </w:p>
    <w:p w14:paraId="646CB69A" w14:textId="7843DFEC"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Research Question 3: Does </w:t>
      </w:r>
      <w:r w:rsidR="001E2ADE" w:rsidRPr="004C555B">
        <w:rPr>
          <w:rFonts w:ascii="Arial" w:eastAsia="Times New Roman" w:hAnsi="Arial" w:cs="Arial"/>
          <w:b/>
          <w:color w:val="000000"/>
        </w:rPr>
        <w:t xml:space="preserve">the </w:t>
      </w:r>
      <w:r w:rsidRPr="004C555B">
        <w:rPr>
          <w:rFonts w:ascii="Arial" w:eastAsia="Times New Roman" w:hAnsi="Arial" w:cs="Arial"/>
          <w:b/>
          <w:color w:val="000000"/>
        </w:rPr>
        <w:t xml:space="preserve">gender of pre-service teachers have </w:t>
      </w:r>
      <w:r w:rsidR="001E2ADE" w:rsidRPr="004C555B">
        <w:rPr>
          <w:rFonts w:ascii="Arial" w:eastAsia="Times New Roman" w:hAnsi="Arial" w:cs="Arial"/>
          <w:b/>
          <w:color w:val="000000"/>
        </w:rPr>
        <w:t xml:space="preserve">an </w:t>
      </w:r>
      <w:r w:rsidRPr="004C555B">
        <w:rPr>
          <w:rFonts w:ascii="Arial" w:eastAsia="Times New Roman" w:hAnsi="Arial" w:cs="Arial"/>
          <w:b/>
          <w:color w:val="000000"/>
        </w:rPr>
        <w:t>impact on their achievement in STEM concepts</w:t>
      </w:r>
    </w:p>
    <w:p w14:paraId="646CB69B" w14:textId="77777777" w:rsidR="007E6E19" w:rsidRPr="004C555B" w:rsidRDefault="00052523"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Table 6: G</w:t>
      </w:r>
      <w:r w:rsidR="00C473FF" w:rsidRPr="004C555B">
        <w:rPr>
          <w:rFonts w:ascii="Arial" w:eastAsia="Times New Roman" w:hAnsi="Arial" w:cs="Arial"/>
          <w:b/>
          <w:color w:val="000000"/>
        </w:rPr>
        <w:t xml:space="preserve">ender of pre-service </w:t>
      </w:r>
      <w:r w:rsidR="00F83258" w:rsidRPr="004C555B">
        <w:rPr>
          <w:rFonts w:ascii="Arial" w:eastAsia="Times New Roman" w:hAnsi="Arial" w:cs="Arial"/>
          <w:b/>
          <w:color w:val="000000"/>
        </w:rPr>
        <w:t>teachers’</w:t>
      </w:r>
      <w:r w:rsidR="00C473FF" w:rsidRPr="004C555B">
        <w:rPr>
          <w:rFonts w:ascii="Arial" w:eastAsia="Times New Roman" w:hAnsi="Arial" w:cs="Arial"/>
          <w:b/>
          <w:color w:val="000000"/>
        </w:rPr>
        <w:t xml:space="preserve"> impact on their achievement in STEM concepts</w:t>
      </w:r>
    </w:p>
    <w:tbl>
      <w:tblPr>
        <w:tblStyle w:val="a4"/>
        <w:tblW w:w="8821" w:type="dxa"/>
        <w:tblBorders>
          <w:top w:val="nil"/>
          <w:left w:val="nil"/>
          <w:bottom w:val="nil"/>
          <w:right w:val="nil"/>
          <w:insideH w:val="nil"/>
          <w:insideV w:val="nil"/>
        </w:tblBorders>
        <w:tblLayout w:type="fixed"/>
        <w:tblLook w:val="0400" w:firstRow="0" w:lastRow="0" w:firstColumn="0" w:lastColumn="0" w:noHBand="0" w:noVBand="1"/>
      </w:tblPr>
      <w:tblGrid>
        <w:gridCol w:w="1862"/>
        <w:gridCol w:w="849"/>
        <w:gridCol w:w="1358"/>
        <w:gridCol w:w="1018"/>
        <w:gridCol w:w="1244"/>
        <w:gridCol w:w="881"/>
        <w:gridCol w:w="1609"/>
      </w:tblGrid>
      <w:tr w:rsidR="007E6E19" w:rsidRPr="00916D35" w14:paraId="646CB6A1" w14:textId="77777777">
        <w:trPr>
          <w:trHeight w:val="258"/>
        </w:trPr>
        <w:tc>
          <w:tcPr>
            <w:tcW w:w="1862" w:type="dxa"/>
            <w:tcBorders>
              <w:top w:val="single" w:sz="4" w:space="0" w:color="000000"/>
              <w:bottom w:val="single" w:sz="4" w:space="0" w:color="000000"/>
            </w:tcBorders>
          </w:tcPr>
          <w:p w14:paraId="646CB69C" w14:textId="77777777" w:rsidR="007E6E19" w:rsidRPr="00916D35" w:rsidRDefault="007E6E19" w:rsidP="0046531C">
            <w:pPr>
              <w:spacing w:after="0" w:line="360" w:lineRule="auto"/>
              <w:rPr>
                <w:rFonts w:ascii="Arial" w:eastAsia="Times New Roman" w:hAnsi="Arial" w:cs="Arial"/>
                <w:sz w:val="20"/>
                <w:szCs w:val="20"/>
              </w:rPr>
            </w:pPr>
          </w:p>
        </w:tc>
        <w:tc>
          <w:tcPr>
            <w:tcW w:w="849" w:type="dxa"/>
            <w:tcBorders>
              <w:top w:val="single" w:sz="4" w:space="0" w:color="000000"/>
              <w:bottom w:val="single" w:sz="4" w:space="0" w:color="000000"/>
            </w:tcBorders>
          </w:tcPr>
          <w:p w14:paraId="646CB69D" w14:textId="77777777" w:rsidR="007E6E19" w:rsidRPr="00916D35" w:rsidRDefault="007E6E19" w:rsidP="0046531C">
            <w:pPr>
              <w:spacing w:after="0" w:line="360" w:lineRule="auto"/>
              <w:rPr>
                <w:rFonts w:ascii="Arial" w:eastAsia="Times New Roman" w:hAnsi="Arial" w:cs="Arial"/>
                <w:sz w:val="20"/>
                <w:szCs w:val="20"/>
              </w:rPr>
            </w:pPr>
          </w:p>
        </w:tc>
        <w:tc>
          <w:tcPr>
            <w:tcW w:w="2376" w:type="dxa"/>
            <w:gridSpan w:val="2"/>
            <w:tcBorders>
              <w:top w:val="single" w:sz="4" w:space="0" w:color="000000"/>
              <w:bottom w:val="single" w:sz="4" w:space="0" w:color="000000"/>
            </w:tcBorders>
          </w:tcPr>
          <w:p w14:paraId="646CB69E"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Pre-test</w:t>
            </w:r>
          </w:p>
        </w:tc>
        <w:tc>
          <w:tcPr>
            <w:tcW w:w="2125" w:type="dxa"/>
            <w:gridSpan w:val="2"/>
            <w:tcBorders>
              <w:top w:val="single" w:sz="4" w:space="0" w:color="000000"/>
              <w:bottom w:val="single" w:sz="4" w:space="0" w:color="000000"/>
            </w:tcBorders>
          </w:tcPr>
          <w:p w14:paraId="646CB69F" w14:textId="7E23325B" w:rsidR="007E6E19" w:rsidRPr="00916D35" w:rsidRDefault="001E2ADE"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Post-test</w:t>
            </w:r>
          </w:p>
        </w:tc>
        <w:tc>
          <w:tcPr>
            <w:tcW w:w="1609" w:type="dxa"/>
            <w:tcBorders>
              <w:top w:val="single" w:sz="4" w:space="0" w:color="000000"/>
              <w:bottom w:val="single" w:sz="4" w:space="0" w:color="000000"/>
            </w:tcBorders>
          </w:tcPr>
          <w:p w14:paraId="646CB6A0" w14:textId="77777777" w:rsidR="007E6E19" w:rsidRPr="00916D35" w:rsidRDefault="007E6E19" w:rsidP="0046531C">
            <w:pPr>
              <w:spacing w:after="0" w:line="360" w:lineRule="auto"/>
              <w:rPr>
                <w:rFonts w:ascii="Arial" w:eastAsia="Times New Roman" w:hAnsi="Arial" w:cs="Arial"/>
                <w:sz w:val="20"/>
                <w:szCs w:val="20"/>
              </w:rPr>
            </w:pPr>
          </w:p>
        </w:tc>
      </w:tr>
      <w:tr w:rsidR="007E6E19" w:rsidRPr="00916D35" w14:paraId="646CB6A9" w14:textId="77777777">
        <w:trPr>
          <w:trHeight w:val="258"/>
        </w:trPr>
        <w:tc>
          <w:tcPr>
            <w:tcW w:w="1862" w:type="dxa"/>
            <w:tcBorders>
              <w:top w:val="single" w:sz="4" w:space="0" w:color="000000"/>
              <w:bottom w:val="single" w:sz="4" w:space="0" w:color="000000"/>
            </w:tcBorders>
          </w:tcPr>
          <w:p w14:paraId="646CB6A2"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Treatment</w:t>
            </w:r>
          </w:p>
        </w:tc>
        <w:tc>
          <w:tcPr>
            <w:tcW w:w="849" w:type="dxa"/>
            <w:tcBorders>
              <w:top w:val="single" w:sz="4" w:space="0" w:color="000000"/>
              <w:bottom w:val="single" w:sz="4" w:space="0" w:color="000000"/>
            </w:tcBorders>
          </w:tcPr>
          <w:p w14:paraId="646CB6A3"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N</w:t>
            </w:r>
          </w:p>
        </w:tc>
        <w:tc>
          <w:tcPr>
            <w:tcW w:w="1358" w:type="dxa"/>
            <w:tcBorders>
              <w:top w:val="single" w:sz="4" w:space="0" w:color="000000"/>
              <w:bottom w:val="single" w:sz="4" w:space="0" w:color="000000"/>
            </w:tcBorders>
          </w:tcPr>
          <w:p w14:paraId="646CB6A4"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1018" w:type="dxa"/>
            <w:tcBorders>
              <w:top w:val="single" w:sz="4" w:space="0" w:color="000000"/>
              <w:bottom w:val="single" w:sz="4" w:space="0" w:color="000000"/>
            </w:tcBorders>
          </w:tcPr>
          <w:p w14:paraId="646CB6A5"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244" w:type="dxa"/>
            <w:tcBorders>
              <w:top w:val="single" w:sz="4" w:space="0" w:color="000000"/>
              <w:bottom w:val="single" w:sz="4" w:space="0" w:color="000000"/>
            </w:tcBorders>
          </w:tcPr>
          <w:p w14:paraId="646CB6A6"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Mean</w:t>
            </w:r>
          </w:p>
        </w:tc>
        <w:tc>
          <w:tcPr>
            <w:tcW w:w="881" w:type="dxa"/>
            <w:tcBorders>
              <w:top w:val="single" w:sz="4" w:space="0" w:color="000000"/>
              <w:bottom w:val="single" w:sz="4" w:space="0" w:color="000000"/>
            </w:tcBorders>
          </w:tcPr>
          <w:p w14:paraId="646CB6A7" w14:textId="77777777" w:rsidR="007E6E19" w:rsidRPr="00916D35" w:rsidRDefault="00C473FF" w:rsidP="0046531C">
            <w:pPr>
              <w:spacing w:after="0" w:line="360" w:lineRule="auto"/>
              <w:rPr>
                <w:rFonts w:ascii="Arial" w:eastAsia="Times New Roman" w:hAnsi="Arial" w:cs="Arial"/>
                <w:b/>
                <w:sz w:val="20"/>
                <w:szCs w:val="20"/>
              </w:rPr>
            </w:pPr>
            <w:r w:rsidRPr="00916D35">
              <w:rPr>
                <w:rFonts w:ascii="Arial" w:eastAsia="Times New Roman" w:hAnsi="Arial" w:cs="Arial"/>
                <w:b/>
                <w:sz w:val="20"/>
                <w:szCs w:val="20"/>
              </w:rPr>
              <w:t>SD</w:t>
            </w:r>
          </w:p>
        </w:tc>
        <w:tc>
          <w:tcPr>
            <w:tcW w:w="1609" w:type="dxa"/>
            <w:tcBorders>
              <w:top w:val="single" w:sz="4" w:space="0" w:color="000000"/>
              <w:bottom w:val="single" w:sz="4" w:space="0" w:color="000000"/>
            </w:tcBorders>
          </w:tcPr>
          <w:p w14:paraId="646CB6A8" w14:textId="77777777" w:rsidR="007E6E19" w:rsidRPr="00916D35" w:rsidRDefault="00C473FF" w:rsidP="0046531C">
            <w:pPr>
              <w:spacing w:after="0" w:line="360" w:lineRule="auto"/>
              <w:jc w:val="center"/>
              <w:rPr>
                <w:rFonts w:ascii="Arial" w:eastAsia="Times New Roman" w:hAnsi="Arial" w:cs="Arial"/>
                <w:b/>
                <w:sz w:val="20"/>
                <w:szCs w:val="20"/>
              </w:rPr>
            </w:pPr>
            <w:r w:rsidRPr="00916D35">
              <w:rPr>
                <w:rFonts w:ascii="Arial" w:eastAsia="Times New Roman" w:hAnsi="Arial" w:cs="Arial"/>
                <w:b/>
                <w:sz w:val="20"/>
                <w:szCs w:val="20"/>
              </w:rPr>
              <w:t>Mean Gain</w:t>
            </w:r>
          </w:p>
        </w:tc>
      </w:tr>
      <w:tr w:rsidR="007E6E19" w:rsidRPr="00916D35" w14:paraId="646CB6B1" w14:textId="77777777">
        <w:trPr>
          <w:trHeight w:val="258"/>
        </w:trPr>
        <w:tc>
          <w:tcPr>
            <w:tcW w:w="1862" w:type="dxa"/>
            <w:tcBorders>
              <w:top w:val="single" w:sz="4" w:space="0" w:color="000000"/>
            </w:tcBorders>
          </w:tcPr>
          <w:p w14:paraId="646CB6AA"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Male</w:t>
            </w:r>
          </w:p>
        </w:tc>
        <w:tc>
          <w:tcPr>
            <w:tcW w:w="849" w:type="dxa"/>
            <w:tcBorders>
              <w:top w:val="single" w:sz="4" w:space="0" w:color="000000"/>
            </w:tcBorders>
          </w:tcPr>
          <w:p w14:paraId="646CB6AB"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08</w:t>
            </w:r>
          </w:p>
        </w:tc>
        <w:tc>
          <w:tcPr>
            <w:tcW w:w="1358" w:type="dxa"/>
            <w:tcBorders>
              <w:top w:val="single" w:sz="4" w:space="0" w:color="000000"/>
            </w:tcBorders>
          </w:tcPr>
          <w:p w14:paraId="646CB6AC"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59.61</w:t>
            </w:r>
          </w:p>
        </w:tc>
        <w:tc>
          <w:tcPr>
            <w:tcW w:w="1018" w:type="dxa"/>
            <w:tcBorders>
              <w:top w:val="single" w:sz="4" w:space="0" w:color="000000"/>
            </w:tcBorders>
          </w:tcPr>
          <w:p w14:paraId="646CB6AD"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w:t>
            </w:r>
            <w:r w:rsidRPr="00916D35">
              <w:rPr>
                <w:rFonts w:ascii="Arial" w:eastAsia="Times New Roman" w:hAnsi="Arial" w:cs="Arial"/>
                <w:color w:val="000000"/>
                <w:sz w:val="20"/>
                <w:szCs w:val="20"/>
              </w:rPr>
              <w:t>95</w:t>
            </w:r>
          </w:p>
        </w:tc>
        <w:tc>
          <w:tcPr>
            <w:tcW w:w="1244" w:type="dxa"/>
            <w:tcBorders>
              <w:top w:val="single" w:sz="4" w:space="0" w:color="000000"/>
            </w:tcBorders>
          </w:tcPr>
          <w:p w14:paraId="646CB6AE"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76.61</w:t>
            </w:r>
          </w:p>
        </w:tc>
        <w:tc>
          <w:tcPr>
            <w:tcW w:w="881" w:type="dxa"/>
            <w:tcBorders>
              <w:top w:val="single" w:sz="4" w:space="0" w:color="000000"/>
            </w:tcBorders>
          </w:tcPr>
          <w:p w14:paraId="646CB6AF"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3.</w:t>
            </w:r>
            <w:r w:rsidRPr="00916D35">
              <w:rPr>
                <w:rFonts w:ascii="Arial" w:eastAsia="Times New Roman" w:hAnsi="Arial" w:cs="Arial"/>
                <w:color w:val="000000"/>
                <w:sz w:val="20"/>
                <w:szCs w:val="20"/>
              </w:rPr>
              <w:t>72</w:t>
            </w:r>
          </w:p>
        </w:tc>
        <w:tc>
          <w:tcPr>
            <w:tcW w:w="1609" w:type="dxa"/>
            <w:tcBorders>
              <w:top w:val="single" w:sz="4" w:space="0" w:color="000000"/>
            </w:tcBorders>
          </w:tcPr>
          <w:p w14:paraId="646CB6B0"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17.00</w:t>
            </w:r>
          </w:p>
        </w:tc>
      </w:tr>
      <w:tr w:rsidR="007E6E19" w:rsidRPr="00916D35" w14:paraId="646CB6B9" w14:textId="77777777">
        <w:trPr>
          <w:trHeight w:val="258"/>
        </w:trPr>
        <w:tc>
          <w:tcPr>
            <w:tcW w:w="1862" w:type="dxa"/>
            <w:tcBorders>
              <w:bottom w:val="single" w:sz="4" w:space="0" w:color="000000"/>
            </w:tcBorders>
          </w:tcPr>
          <w:p w14:paraId="646CB6B2" w14:textId="77777777" w:rsidR="007E6E19" w:rsidRPr="00916D35" w:rsidRDefault="00C473FF" w:rsidP="0046531C">
            <w:pPr>
              <w:spacing w:after="0" w:line="360" w:lineRule="auto"/>
              <w:jc w:val="center"/>
              <w:rPr>
                <w:rFonts w:ascii="Arial" w:eastAsia="Times New Roman" w:hAnsi="Arial" w:cs="Arial"/>
                <w:sz w:val="20"/>
                <w:szCs w:val="20"/>
              </w:rPr>
            </w:pPr>
            <w:r w:rsidRPr="00916D35">
              <w:rPr>
                <w:rFonts w:ascii="Arial" w:eastAsia="Times New Roman" w:hAnsi="Arial" w:cs="Arial"/>
                <w:sz w:val="20"/>
                <w:szCs w:val="20"/>
              </w:rPr>
              <w:t>Female</w:t>
            </w:r>
          </w:p>
        </w:tc>
        <w:tc>
          <w:tcPr>
            <w:tcW w:w="849" w:type="dxa"/>
            <w:tcBorders>
              <w:bottom w:val="single" w:sz="4" w:space="0" w:color="000000"/>
            </w:tcBorders>
          </w:tcPr>
          <w:p w14:paraId="646CB6B3"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29</w:t>
            </w:r>
          </w:p>
        </w:tc>
        <w:tc>
          <w:tcPr>
            <w:tcW w:w="1358" w:type="dxa"/>
            <w:tcBorders>
              <w:bottom w:val="single" w:sz="4" w:space="0" w:color="000000"/>
            </w:tcBorders>
          </w:tcPr>
          <w:p w14:paraId="646CB6B4"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59.78</w:t>
            </w:r>
          </w:p>
        </w:tc>
        <w:tc>
          <w:tcPr>
            <w:tcW w:w="1018" w:type="dxa"/>
            <w:tcBorders>
              <w:bottom w:val="single" w:sz="4" w:space="0" w:color="000000"/>
            </w:tcBorders>
          </w:tcPr>
          <w:p w14:paraId="646CB6B5"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4.87</w:t>
            </w:r>
          </w:p>
        </w:tc>
        <w:tc>
          <w:tcPr>
            <w:tcW w:w="1244" w:type="dxa"/>
            <w:tcBorders>
              <w:bottom w:val="single" w:sz="4" w:space="0" w:color="000000"/>
            </w:tcBorders>
          </w:tcPr>
          <w:p w14:paraId="646CB6B6"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76.93</w:t>
            </w:r>
          </w:p>
        </w:tc>
        <w:tc>
          <w:tcPr>
            <w:tcW w:w="881" w:type="dxa"/>
            <w:tcBorders>
              <w:bottom w:val="single" w:sz="4" w:space="0" w:color="000000"/>
            </w:tcBorders>
          </w:tcPr>
          <w:p w14:paraId="646CB6B7"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color w:val="000000"/>
                <w:sz w:val="20"/>
                <w:szCs w:val="20"/>
              </w:rPr>
              <w:t>4.36</w:t>
            </w:r>
          </w:p>
        </w:tc>
        <w:tc>
          <w:tcPr>
            <w:tcW w:w="1609" w:type="dxa"/>
            <w:tcBorders>
              <w:bottom w:val="single" w:sz="4" w:space="0" w:color="000000"/>
            </w:tcBorders>
          </w:tcPr>
          <w:p w14:paraId="646CB6B8" w14:textId="77777777" w:rsidR="007E6E19" w:rsidRPr="00916D35" w:rsidRDefault="00C473FF" w:rsidP="0046531C">
            <w:pPr>
              <w:spacing w:after="0" w:line="360" w:lineRule="auto"/>
              <w:rPr>
                <w:rFonts w:ascii="Arial" w:eastAsia="Times New Roman" w:hAnsi="Arial" w:cs="Arial"/>
                <w:sz w:val="20"/>
                <w:szCs w:val="20"/>
              </w:rPr>
            </w:pPr>
            <w:r w:rsidRPr="00916D35">
              <w:rPr>
                <w:rFonts w:ascii="Arial" w:eastAsia="Times New Roman" w:hAnsi="Arial" w:cs="Arial"/>
                <w:sz w:val="20"/>
                <w:szCs w:val="20"/>
              </w:rPr>
              <w:t xml:space="preserve">             17.15</w:t>
            </w:r>
          </w:p>
        </w:tc>
      </w:tr>
    </w:tbl>
    <w:p w14:paraId="646CB6BA"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Both male and female pre-service teachers showed similar levels of improvement after the intervention, with mean gains of 17.00 for males and 17.15 for females. The negligible difference in mean gains suggests that gender had minimal impact on the effectiveness of the teaching strategy. This indicates that the intervention was equally effective for both genders in improving achievement in STEM concepts. The results highlight the gender-neutral nature of the teaching strategy, suggesting its broad applicability across diverse groups. This finding supports the idea that gamification or other interactive teaching strategies can bridge potential gender gaps in STEM education.</w:t>
      </w:r>
    </w:p>
    <w:p w14:paraId="3FE51E5E" w14:textId="77777777" w:rsidR="00B8733F" w:rsidRDefault="00B8733F" w:rsidP="0046531C">
      <w:pPr>
        <w:pBdr>
          <w:top w:val="nil"/>
          <w:left w:val="nil"/>
          <w:bottom w:val="nil"/>
          <w:right w:val="nil"/>
          <w:between w:val="nil"/>
        </w:pBdr>
        <w:spacing w:line="360" w:lineRule="auto"/>
        <w:jc w:val="both"/>
        <w:rPr>
          <w:rFonts w:ascii="Arial" w:eastAsia="Times New Roman" w:hAnsi="Arial" w:cs="Arial"/>
          <w:b/>
          <w:color w:val="000000"/>
        </w:rPr>
      </w:pPr>
    </w:p>
    <w:p w14:paraId="272FA034" w14:textId="77777777" w:rsidR="00B8733F" w:rsidRDefault="00B8733F" w:rsidP="0046531C">
      <w:pPr>
        <w:pBdr>
          <w:top w:val="nil"/>
          <w:left w:val="nil"/>
          <w:bottom w:val="nil"/>
          <w:right w:val="nil"/>
          <w:between w:val="nil"/>
        </w:pBdr>
        <w:spacing w:line="360" w:lineRule="auto"/>
        <w:jc w:val="both"/>
        <w:rPr>
          <w:rFonts w:ascii="Arial" w:eastAsia="Times New Roman" w:hAnsi="Arial" w:cs="Arial"/>
          <w:b/>
          <w:color w:val="000000"/>
        </w:rPr>
      </w:pPr>
    </w:p>
    <w:p w14:paraId="646CB6BB" w14:textId="53CAD3E3"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lastRenderedPageBreak/>
        <w:t>Research Hypotheses</w:t>
      </w:r>
    </w:p>
    <w:p w14:paraId="646CB6BC"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 xml:space="preserve">The table answered research hypotheses 1 to 3 using Analysis of Covariance (ANCOVA) </w:t>
      </w:r>
    </w:p>
    <w:p w14:paraId="646CB6BD" w14:textId="77777777"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1:</w:t>
      </w:r>
      <w:r w:rsidRPr="00916D35">
        <w:rPr>
          <w:rFonts w:ascii="Arial" w:eastAsia="Times New Roman" w:hAnsi="Arial" w:cs="Arial"/>
          <w:color w:val="000000"/>
          <w:sz w:val="20"/>
          <w:szCs w:val="20"/>
        </w:rPr>
        <w:tab/>
        <w:t>There is no significant main impact of treatment on pre-service teachers’ achievement in   STEM concepts</w:t>
      </w:r>
    </w:p>
    <w:p w14:paraId="646CB6BE" w14:textId="2F8EDF4B" w:rsidR="007E6E19" w:rsidRPr="00916D35"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2:</w:t>
      </w:r>
      <w:r w:rsidRPr="00916D35">
        <w:rPr>
          <w:rFonts w:ascii="Arial" w:eastAsia="Times New Roman" w:hAnsi="Arial" w:cs="Arial"/>
          <w:color w:val="000000"/>
          <w:sz w:val="20"/>
          <w:szCs w:val="20"/>
        </w:rPr>
        <w:tab/>
        <w:t xml:space="preserve">There is no significant main impact of </w:t>
      </w:r>
      <w:r w:rsidR="00A24D6A"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mode of entry on pre-service teachers’ achievement in   STEM concepts</w:t>
      </w:r>
    </w:p>
    <w:p w14:paraId="646CB6BF" w14:textId="77777777" w:rsidR="007E6E19" w:rsidRPr="004C555B" w:rsidRDefault="00C473FF" w:rsidP="0046531C">
      <w:pPr>
        <w:pBdr>
          <w:top w:val="nil"/>
          <w:left w:val="nil"/>
          <w:bottom w:val="nil"/>
          <w:right w:val="nil"/>
          <w:between w:val="nil"/>
        </w:pBdr>
        <w:spacing w:line="360" w:lineRule="auto"/>
        <w:ind w:left="720" w:hanging="720"/>
        <w:jc w:val="both"/>
        <w:rPr>
          <w:rFonts w:ascii="Arial" w:eastAsia="Times New Roman" w:hAnsi="Arial" w:cs="Arial"/>
          <w:color w:val="000000"/>
          <w:sz w:val="20"/>
          <w:szCs w:val="20"/>
        </w:rPr>
      </w:pPr>
      <w:r w:rsidRPr="00916D35">
        <w:rPr>
          <w:rFonts w:ascii="Arial" w:eastAsia="Times New Roman" w:hAnsi="Arial" w:cs="Arial"/>
          <w:color w:val="000000"/>
          <w:sz w:val="20"/>
          <w:szCs w:val="20"/>
        </w:rPr>
        <w:t>H</w:t>
      </w:r>
      <w:r w:rsidRPr="00916D35">
        <w:rPr>
          <w:rFonts w:ascii="Arial" w:eastAsia="Times New Roman" w:hAnsi="Arial" w:cs="Arial"/>
          <w:color w:val="000000"/>
          <w:sz w:val="20"/>
          <w:szCs w:val="20"/>
          <w:vertAlign w:val="subscript"/>
        </w:rPr>
        <w:t>0</w:t>
      </w:r>
      <w:r w:rsidRPr="00916D35">
        <w:rPr>
          <w:rFonts w:ascii="Arial" w:eastAsia="Times New Roman" w:hAnsi="Arial" w:cs="Arial"/>
          <w:color w:val="000000"/>
          <w:sz w:val="20"/>
          <w:szCs w:val="20"/>
        </w:rPr>
        <w:t>3:</w:t>
      </w:r>
      <w:r w:rsidRPr="00916D35">
        <w:rPr>
          <w:rFonts w:ascii="Arial" w:eastAsia="Times New Roman" w:hAnsi="Arial" w:cs="Arial"/>
          <w:color w:val="000000"/>
          <w:sz w:val="20"/>
          <w:szCs w:val="20"/>
        </w:rPr>
        <w:tab/>
      </w:r>
      <w:r w:rsidRPr="004C555B">
        <w:rPr>
          <w:rFonts w:ascii="Arial" w:eastAsia="Times New Roman" w:hAnsi="Arial" w:cs="Arial"/>
          <w:color w:val="000000"/>
          <w:sz w:val="20"/>
          <w:szCs w:val="20"/>
        </w:rPr>
        <w:t>There is no significant main impact of gender on pre-service teachers’ achievement in   STEM concepts</w:t>
      </w:r>
    </w:p>
    <w:p w14:paraId="646CB6C0" w14:textId="6FDF9212" w:rsidR="007E6E19" w:rsidRPr="004C555B" w:rsidRDefault="00C473FF" w:rsidP="0046531C">
      <w:pPr>
        <w:spacing w:after="0" w:line="360" w:lineRule="auto"/>
        <w:jc w:val="both"/>
        <w:rPr>
          <w:rFonts w:ascii="Arial" w:eastAsia="Times New Roman" w:hAnsi="Arial" w:cs="Arial"/>
          <w:b/>
        </w:rPr>
      </w:pPr>
      <w:r w:rsidRPr="004C555B">
        <w:rPr>
          <w:rFonts w:ascii="Arial" w:eastAsia="Times New Roman" w:hAnsi="Arial" w:cs="Arial"/>
          <w:b/>
          <w:bCs/>
          <w:color w:val="000000"/>
        </w:rPr>
        <w:t>Table 7:</w:t>
      </w:r>
      <w:r w:rsidRPr="004C555B">
        <w:rPr>
          <w:rFonts w:ascii="Arial" w:eastAsia="Times New Roman" w:hAnsi="Arial" w:cs="Arial"/>
          <w:color w:val="000000"/>
        </w:rPr>
        <w:t xml:space="preserve"> </w:t>
      </w:r>
      <w:r w:rsidRPr="004C555B">
        <w:rPr>
          <w:rFonts w:ascii="Arial" w:eastAsia="Times New Roman" w:hAnsi="Arial" w:cs="Arial"/>
          <w:b/>
        </w:rPr>
        <w:t xml:space="preserve">Analysis of Covariance (ANCOVA) for the Test of Significance of Three Effects: Treatment, Gender, and </w:t>
      </w:r>
      <w:r w:rsidR="00A24D6A" w:rsidRPr="004C555B">
        <w:rPr>
          <w:rFonts w:ascii="Arial" w:eastAsia="Times New Roman" w:hAnsi="Arial" w:cs="Arial"/>
          <w:b/>
        </w:rPr>
        <w:t>Mode</w:t>
      </w:r>
      <w:r w:rsidRPr="004C555B">
        <w:rPr>
          <w:rFonts w:ascii="Arial" w:eastAsia="Times New Roman" w:hAnsi="Arial" w:cs="Arial"/>
          <w:b/>
        </w:rPr>
        <w:t xml:space="preserve"> of Entry on Pre-Service Teachers' Achievement in STEM Concept</w:t>
      </w:r>
    </w:p>
    <w:tbl>
      <w:tblPr>
        <w:tblStyle w:val="a5"/>
        <w:tblW w:w="9604" w:type="dxa"/>
        <w:tblInd w:w="-20" w:type="dxa"/>
        <w:tblLayout w:type="fixed"/>
        <w:tblLook w:val="0000" w:firstRow="0" w:lastRow="0" w:firstColumn="0" w:lastColumn="0" w:noHBand="0" w:noVBand="0"/>
      </w:tblPr>
      <w:tblGrid>
        <w:gridCol w:w="2601"/>
        <w:gridCol w:w="1746"/>
        <w:gridCol w:w="1199"/>
        <w:gridCol w:w="1656"/>
        <w:gridCol w:w="1199"/>
        <w:gridCol w:w="1203"/>
      </w:tblGrid>
      <w:tr w:rsidR="007E6E19" w:rsidRPr="00916D35" w14:paraId="646CB6C7" w14:textId="77777777">
        <w:trPr>
          <w:cantSplit/>
          <w:trHeight w:val="523"/>
        </w:trPr>
        <w:tc>
          <w:tcPr>
            <w:tcW w:w="2602" w:type="dxa"/>
            <w:tcBorders>
              <w:top w:val="single" w:sz="4" w:space="0" w:color="000000"/>
              <w:bottom w:val="single" w:sz="4" w:space="0" w:color="000000"/>
            </w:tcBorders>
            <w:shd w:val="clear" w:color="auto" w:fill="FFFFFF"/>
            <w:tcMar>
              <w:top w:w="0" w:type="dxa"/>
              <w:bottom w:w="0" w:type="dxa"/>
            </w:tcMar>
          </w:tcPr>
          <w:p w14:paraId="646CB6C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Source</w:t>
            </w:r>
          </w:p>
        </w:tc>
        <w:tc>
          <w:tcPr>
            <w:tcW w:w="1746" w:type="dxa"/>
            <w:tcBorders>
              <w:top w:val="single" w:sz="4" w:space="0" w:color="000000"/>
              <w:bottom w:val="single" w:sz="4" w:space="0" w:color="000000"/>
            </w:tcBorders>
            <w:shd w:val="clear" w:color="auto" w:fill="FFFFFF"/>
            <w:tcMar>
              <w:top w:w="0" w:type="dxa"/>
              <w:bottom w:w="0" w:type="dxa"/>
            </w:tcMar>
          </w:tcPr>
          <w:p w14:paraId="646CB6C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Type III Sum of Squares</w:t>
            </w:r>
          </w:p>
        </w:tc>
        <w:tc>
          <w:tcPr>
            <w:tcW w:w="1199" w:type="dxa"/>
            <w:tcBorders>
              <w:top w:val="single" w:sz="4" w:space="0" w:color="000000"/>
              <w:bottom w:val="single" w:sz="4" w:space="0" w:color="000000"/>
            </w:tcBorders>
            <w:shd w:val="clear" w:color="auto" w:fill="FFFFFF"/>
            <w:tcMar>
              <w:top w:w="0" w:type="dxa"/>
              <w:bottom w:w="0" w:type="dxa"/>
            </w:tcMar>
          </w:tcPr>
          <w:p w14:paraId="646CB6C3" w14:textId="6E82CBB2" w:rsidR="007E6E19" w:rsidRPr="00916D35" w:rsidRDefault="00A24D6A"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D</w:t>
            </w:r>
            <w:r w:rsidR="00C473FF" w:rsidRPr="00916D35">
              <w:rPr>
                <w:rFonts w:ascii="Arial" w:eastAsia="Times New Roman" w:hAnsi="Arial" w:cs="Arial"/>
                <w:color w:val="000000"/>
                <w:sz w:val="20"/>
                <w:szCs w:val="20"/>
              </w:rPr>
              <w:t>f</w:t>
            </w:r>
          </w:p>
        </w:tc>
        <w:tc>
          <w:tcPr>
            <w:tcW w:w="1656" w:type="dxa"/>
            <w:tcBorders>
              <w:top w:val="single" w:sz="4" w:space="0" w:color="000000"/>
              <w:bottom w:val="single" w:sz="4" w:space="0" w:color="000000"/>
            </w:tcBorders>
            <w:shd w:val="clear" w:color="auto" w:fill="FFFFFF"/>
            <w:tcMar>
              <w:top w:w="0" w:type="dxa"/>
              <w:bottom w:w="0" w:type="dxa"/>
            </w:tcMar>
          </w:tcPr>
          <w:p w14:paraId="646CB6C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Mean Square</w:t>
            </w:r>
          </w:p>
        </w:tc>
        <w:tc>
          <w:tcPr>
            <w:tcW w:w="1199" w:type="dxa"/>
            <w:tcBorders>
              <w:top w:val="single" w:sz="4" w:space="0" w:color="000000"/>
              <w:bottom w:val="single" w:sz="4" w:space="0" w:color="000000"/>
            </w:tcBorders>
            <w:shd w:val="clear" w:color="auto" w:fill="FFFFFF"/>
            <w:tcMar>
              <w:top w:w="0" w:type="dxa"/>
              <w:bottom w:w="0" w:type="dxa"/>
            </w:tcMar>
          </w:tcPr>
          <w:p w14:paraId="646CB6C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F</w:t>
            </w:r>
          </w:p>
        </w:tc>
        <w:tc>
          <w:tcPr>
            <w:tcW w:w="1203" w:type="dxa"/>
            <w:tcBorders>
              <w:top w:val="single" w:sz="4" w:space="0" w:color="000000"/>
              <w:bottom w:val="single" w:sz="4" w:space="0" w:color="000000"/>
            </w:tcBorders>
            <w:shd w:val="clear" w:color="auto" w:fill="FFFFFF"/>
            <w:tcMar>
              <w:top w:w="0" w:type="dxa"/>
              <w:bottom w:w="0" w:type="dxa"/>
            </w:tcMar>
          </w:tcPr>
          <w:p w14:paraId="646CB6C6"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Sig.</w:t>
            </w:r>
          </w:p>
        </w:tc>
      </w:tr>
      <w:tr w:rsidR="007E6E19" w:rsidRPr="00916D35" w14:paraId="646CB6CE" w14:textId="77777777">
        <w:trPr>
          <w:cantSplit/>
          <w:trHeight w:val="276"/>
        </w:trPr>
        <w:tc>
          <w:tcPr>
            <w:tcW w:w="2602" w:type="dxa"/>
            <w:tcBorders>
              <w:top w:val="single" w:sz="4" w:space="0" w:color="000000"/>
            </w:tcBorders>
            <w:shd w:val="clear" w:color="auto" w:fill="FFFFFF"/>
            <w:tcMar>
              <w:top w:w="0" w:type="dxa"/>
              <w:bottom w:w="0" w:type="dxa"/>
            </w:tcMar>
            <w:vAlign w:val="center"/>
          </w:tcPr>
          <w:p w14:paraId="646CB6C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Corrected Model</w:t>
            </w:r>
          </w:p>
        </w:tc>
        <w:tc>
          <w:tcPr>
            <w:tcW w:w="1746" w:type="dxa"/>
            <w:tcBorders>
              <w:top w:val="single" w:sz="4" w:space="0" w:color="000000"/>
            </w:tcBorders>
            <w:shd w:val="clear" w:color="auto" w:fill="FFFFFF"/>
            <w:tcMar>
              <w:top w:w="0" w:type="dxa"/>
              <w:bottom w:w="0" w:type="dxa"/>
            </w:tcMar>
            <w:vAlign w:val="center"/>
          </w:tcPr>
          <w:p w14:paraId="646CB6C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518.805</w:t>
            </w:r>
            <w:r w:rsidRPr="00916D35">
              <w:rPr>
                <w:rFonts w:ascii="Arial" w:eastAsia="Times New Roman" w:hAnsi="Arial" w:cs="Arial"/>
                <w:color w:val="000000"/>
                <w:sz w:val="20"/>
                <w:szCs w:val="20"/>
                <w:vertAlign w:val="superscript"/>
              </w:rPr>
              <w:t>a</w:t>
            </w:r>
          </w:p>
        </w:tc>
        <w:tc>
          <w:tcPr>
            <w:tcW w:w="1199" w:type="dxa"/>
            <w:tcBorders>
              <w:top w:val="single" w:sz="4" w:space="0" w:color="000000"/>
            </w:tcBorders>
            <w:shd w:val="clear" w:color="auto" w:fill="FFFFFF"/>
            <w:tcMar>
              <w:top w:w="0" w:type="dxa"/>
              <w:bottom w:w="0" w:type="dxa"/>
            </w:tcMar>
            <w:vAlign w:val="center"/>
          </w:tcPr>
          <w:p w14:paraId="646CB6C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6</w:t>
            </w:r>
          </w:p>
        </w:tc>
        <w:tc>
          <w:tcPr>
            <w:tcW w:w="1656" w:type="dxa"/>
            <w:tcBorders>
              <w:top w:val="single" w:sz="4" w:space="0" w:color="000000"/>
            </w:tcBorders>
            <w:shd w:val="clear" w:color="auto" w:fill="FFFFFF"/>
            <w:tcMar>
              <w:top w:w="0" w:type="dxa"/>
              <w:bottom w:w="0" w:type="dxa"/>
            </w:tcMar>
            <w:vAlign w:val="center"/>
          </w:tcPr>
          <w:p w14:paraId="646CB6C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86.468</w:t>
            </w:r>
          </w:p>
        </w:tc>
        <w:tc>
          <w:tcPr>
            <w:tcW w:w="1199" w:type="dxa"/>
            <w:tcBorders>
              <w:top w:val="single" w:sz="4" w:space="0" w:color="000000"/>
            </w:tcBorders>
            <w:shd w:val="clear" w:color="auto" w:fill="FFFFFF"/>
            <w:tcMar>
              <w:top w:w="0" w:type="dxa"/>
              <w:bottom w:w="0" w:type="dxa"/>
            </w:tcMar>
            <w:vAlign w:val="center"/>
          </w:tcPr>
          <w:p w14:paraId="646CB6CC"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9.607</w:t>
            </w:r>
          </w:p>
        </w:tc>
        <w:tc>
          <w:tcPr>
            <w:tcW w:w="1203" w:type="dxa"/>
            <w:tcBorders>
              <w:top w:val="single" w:sz="4" w:space="0" w:color="000000"/>
            </w:tcBorders>
            <w:shd w:val="clear" w:color="auto" w:fill="FFFFFF"/>
            <w:tcMar>
              <w:top w:w="0" w:type="dxa"/>
              <w:bottom w:w="0" w:type="dxa"/>
            </w:tcMar>
            <w:vAlign w:val="center"/>
          </w:tcPr>
          <w:p w14:paraId="646CB6CD"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D5" w14:textId="77777777">
        <w:trPr>
          <w:cantSplit/>
          <w:trHeight w:val="261"/>
        </w:trPr>
        <w:tc>
          <w:tcPr>
            <w:tcW w:w="2602" w:type="dxa"/>
            <w:shd w:val="clear" w:color="auto" w:fill="FFFFFF"/>
            <w:tcMar>
              <w:top w:w="0" w:type="dxa"/>
              <w:bottom w:w="0" w:type="dxa"/>
            </w:tcMar>
            <w:vAlign w:val="center"/>
          </w:tcPr>
          <w:p w14:paraId="646CB6C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Intercept</w:t>
            </w:r>
          </w:p>
        </w:tc>
        <w:tc>
          <w:tcPr>
            <w:tcW w:w="1746" w:type="dxa"/>
            <w:shd w:val="clear" w:color="auto" w:fill="FFFFFF"/>
            <w:tcMar>
              <w:top w:w="0" w:type="dxa"/>
              <w:bottom w:w="0" w:type="dxa"/>
            </w:tcMar>
            <w:vAlign w:val="center"/>
          </w:tcPr>
          <w:p w14:paraId="646CB6D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165.448</w:t>
            </w:r>
          </w:p>
        </w:tc>
        <w:tc>
          <w:tcPr>
            <w:tcW w:w="1199" w:type="dxa"/>
            <w:shd w:val="clear" w:color="auto" w:fill="FFFFFF"/>
            <w:tcMar>
              <w:top w:w="0" w:type="dxa"/>
              <w:bottom w:w="0" w:type="dxa"/>
            </w:tcMar>
            <w:vAlign w:val="center"/>
          </w:tcPr>
          <w:p w14:paraId="646CB6D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D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165.448</w:t>
            </w:r>
          </w:p>
        </w:tc>
        <w:tc>
          <w:tcPr>
            <w:tcW w:w="1199" w:type="dxa"/>
            <w:shd w:val="clear" w:color="auto" w:fill="FFFFFF"/>
            <w:tcMar>
              <w:top w:w="0" w:type="dxa"/>
              <w:bottom w:w="0" w:type="dxa"/>
            </w:tcMar>
            <w:vAlign w:val="center"/>
          </w:tcPr>
          <w:p w14:paraId="646CB6D3"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18.383</w:t>
            </w:r>
          </w:p>
        </w:tc>
        <w:tc>
          <w:tcPr>
            <w:tcW w:w="1203" w:type="dxa"/>
            <w:shd w:val="clear" w:color="auto" w:fill="FFFFFF"/>
            <w:tcMar>
              <w:top w:w="0" w:type="dxa"/>
              <w:bottom w:w="0" w:type="dxa"/>
            </w:tcMar>
            <w:vAlign w:val="center"/>
          </w:tcPr>
          <w:p w14:paraId="646CB6D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DC" w14:textId="77777777">
        <w:trPr>
          <w:cantSplit/>
          <w:trHeight w:val="261"/>
        </w:trPr>
        <w:tc>
          <w:tcPr>
            <w:tcW w:w="2602" w:type="dxa"/>
            <w:shd w:val="clear" w:color="auto" w:fill="FFFFFF"/>
            <w:tcMar>
              <w:top w:w="0" w:type="dxa"/>
              <w:bottom w:w="0" w:type="dxa"/>
            </w:tcMar>
            <w:vAlign w:val="center"/>
          </w:tcPr>
          <w:p w14:paraId="646CB6D6" w14:textId="77777777" w:rsidR="007E6E19" w:rsidRPr="00916D35" w:rsidRDefault="00052523"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P</w:t>
            </w:r>
            <w:r w:rsidR="00C473FF" w:rsidRPr="00916D35">
              <w:rPr>
                <w:rFonts w:ascii="Arial" w:eastAsia="Times New Roman" w:hAnsi="Arial" w:cs="Arial"/>
                <w:color w:val="000000"/>
                <w:sz w:val="20"/>
                <w:szCs w:val="20"/>
              </w:rPr>
              <w:t>re</w:t>
            </w:r>
          </w:p>
        </w:tc>
        <w:tc>
          <w:tcPr>
            <w:tcW w:w="1746" w:type="dxa"/>
            <w:shd w:val="clear" w:color="auto" w:fill="FFFFFF"/>
            <w:tcMar>
              <w:top w:w="0" w:type="dxa"/>
              <w:bottom w:w="0" w:type="dxa"/>
            </w:tcMar>
            <w:vAlign w:val="center"/>
          </w:tcPr>
          <w:p w14:paraId="646CB6D7"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174.240</w:t>
            </w:r>
          </w:p>
        </w:tc>
        <w:tc>
          <w:tcPr>
            <w:tcW w:w="1199" w:type="dxa"/>
            <w:shd w:val="clear" w:color="auto" w:fill="FFFFFF"/>
            <w:tcMar>
              <w:top w:w="0" w:type="dxa"/>
              <w:bottom w:w="0" w:type="dxa"/>
            </w:tcMar>
            <w:vAlign w:val="center"/>
          </w:tcPr>
          <w:p w14:paraId="646CB6D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D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174.240</w:t>
            </w:r>
          </w:p>
        </w:tc>
        <w:tc>
          <w:tcPr>
            <w:tcW w:w="1199" w:type="dxa"/>
            <w:shd w:val="clear" w:color="auto" w:fill="FFFFFF"/>
            <w:tcMar>
              <w:top w:w="0" w:type="dxa"/>
              <w:bottom w:w="0" w:type="dxa"/>
            </w:tcMar>
            <w:vAlign w:val="center"/>
          </w:tcPr>
          <w:p w14:paraId="646CB6D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19.360</w:t>
            </w:r>
          </w:p>
        </w:tc>
        <w:tc>
          <w:tcPr>
            <w:tcW w:w="1203" w:type="dxa"/>
            <w:shd w:val="clear" w:color="auto" w:fill="FFFFFF"/>
            <w:tcMar>
              <w:top w:w="0" w:type="dxa"/>
              <w:bottom w:w="0" w:type="dxa"/>
            </w:tcMar>
            <w:vAlign w:val="center"/>
          </w:tcPr>
          <w:p w14:paraId="646CB6D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.000</w:t>
            </w:r>
          </w:p>
        </w:tc>
      </w:tr>
      <w:tr w:rsidR="007E6E19" w:rsidRPr="00916D35" w14:paraId="646CB6E3" w14:textId="77777777">
        <w:trPr>
          <w:cantSplit/>
          <w:trHeight w:val="276"/>
        </w:trPr>
        <w:tc>
          <w:tcPr>
            <w:tcW w:w="2602" w:type="dxa"/>
            <w:shd w:val="clear" w:color="auto" w:fill="FFFFFF"/>
            <w:tcMar>
              <w:top w:w="0" w:type="dxa"/>
              <w:bottom w:w="0" w:type="dxa"/>
            </w:tcMar>
            <w:vAlign w:val="center"/>
          </w:tcPr>
          <w:p w14:paraId="646CB6DD" w14:textId="1E628FE7"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w:t>
            </w:r>
            <w:r w:rsidR="00C473FF" w:rsidRPr="00916D35">
              <w:rPr>
                <w:rFonts w:ascii="Arial" w:eastAsia="Times New Roman" w:hAnsi="Arial" w:cs="Arial"/>
                <w:color w:val="000000"/>
                <w:sz w:val="20"/>
                <w:szCs w:val="20"/>
              </w:rPr>
              <w:t>roup</w:t>
            </w:r>
          </w:p>
        </w:tc>
        <w:tc>
          <w:tcPr>
            <w:tcW w:w="1746" w:type="dxa"/>
            <w:shd w:val="clear" w:color="auto" w:fill="FFFFFF"/>
            <w:tcMar>
              <w:top w:w="0" w:type="dxa"/>
              <w:bottom w:w="0" w:type="dxa"/>
            </w:tcMar>
            <w:vAlign w:val="center"/>
          </w:tcPr>
          <w:p w14:paraId="646CB6D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38.897</w:t>
            </w:r>
          </w:p>
        </w:tc>
        <w:tc>
          <w:tcPr>
            <w:tcW w:w="1199" w:type="dxa"/>
            <w:shd w:val="clear" w:color="auto" w:fill="FFFFFF"/>
            <w:tcMar>
              <w:top w:w="0" w:type="dxa"/>
              <w:bottom w:w="0" w:type="dxa"/>
            </w:tcMar>
            <w:vAlign w:val="center"/>
          </w:tcPr>
          <w:p w14:paraId="646CB6D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38.897</w:t>
            </w:r>
          </w:p>
        </w:tc>
        <w:tc>
          <w:tcPr>
            <w:tcW w:w="1199" w:type="dxa"/>
            <w:shd w:val="clear" w:color="auto" w:fill="FFFFFF"/>
            <w:tcMar>
              <w:top w:w="0" w:type="dxa"/>
              <w:bottom w:w="0" w:type="dxa"/>
            </w:tcMar>
            <w:vAlign w:val="center"/>
          </w:tcPr>
          <w:p w14:paraId="646CB6E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4.322</w:t>
            </w:r>
          </w:p>
        </w:tc>
        <w:tc>
          <w:tcPr>
            <w:tcW w:w="1203" w:type="dxa"/>
            <w:shd w:val="clear" w:color="auto" w:fill="FFFFFF"/>
            <w:tcMar>
              <w:top w:w="0" w:type="dxa"/>
              <w:bottom w:w="0" w:type="dxa"/>
            </w:tcMar>
            <w:vAlign w:val="center"/>
          </w:tcPr>
          <w:p w14:paraId="646CB6E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.046</w:t>
            </w:r>
          </w:p>
        </w:tc>
      </w:tr>
      <w:tr w:rsidR="007E6E19" w:rsidRPr="00916D35" w14:paraId="646CB6EA" w14:textId="77777777">
        <w:trPr>
          <w:cantSplit/>
          <w:trHeight w:val="261"/>
        </w:trPr>
        <w:tc>
          <w:tcPr>
            <w:tcW w:w="2602" w:type="dxa"/>
            <w:shd w:val="clear" w:color="auto" w:fill="FFFFFF"/>
            <w:tcMar>
              <w:top w:w="0" w:type="dxa"/>
              <w:bottom w:w="0" w:type="dxa"/>
            </w:tcMar>
            <w:vAlign w:val="center"/>
          </w:tcPr>
          <w:p w14:paraId="646CB6E4" w14:textId="50C92E0E"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w:t>
            </w:r>
            <w:r w:rsidR="00C473FF" w:rsidRPr="00916D35">
              <w:rPr>
                <w:rFonts w:ascii="Arial" w:eastAsia="Times New Roman" w:hAnsi="Arial" w:cs="Arial"/>
                <w:color w:val="000000"/>
                <w:sz w:val="20"/>
                <w:szCs w:val="20"/>
              </w:rPr>
              <w:t>ender</w:t>
            </w:r>
          </w:p>
        </w:tc>
        <w:tc>
          <w:tcPr>
            <w:tcW w:w="1746" w:type="dxa"/>
            <w:shd w:val="clear" w:color="auto" w:fill="FFFFFF"/>
            <w:tcMar>
              <w:top w:w="0" w:type="dxa"/>
              <w:bottom w:w="0" w:type="dxa"/>
            </w:tcMar>
            <w:vAlign w:val="center"/>
          </w:tcPr>
          <w:p w14:paraId="646CB6E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12.926</w:t>
            </w:r>
          </w:p>
        </w:tc>
        <w:tc>
          <w:tcPr>
            <w:tcW w:w="1199" w:type="dxa"/>
            <w:shd w:val="clear" w:color="auto" w:fill="FFFFFF"/>
            <w:tcMar>
              <w:top w:w="0" w:type="dxa"/>
              <w:bottom w:w="0" w:type="dxa"/>
            </w:tcMar>
            <w:vAlign w:val="center"/>
          </w:tcPr>
          <w:p w14:paraId="646CB6E6"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7"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12.926</w:t>
            </w:r>
          </w:p>
        </w:tc>
        <w:tc>
          <w:tcPr>
            <w:tcW w:w="1199" w:type="dxa"/>
            <w:shd w:val="clear" w:color="auto" w:fill="FFFFFF"/>
            <w:tcMar>
              <w:top w:w="0" w:type="dxa"/>
              <w:bottom w:w="0" w:type="dxa"/>
            </w:tcMar>
            <w:vAlign w:val="center"/>
          </w:tcPr>
          <w:p w14:paraId="646CB6E8"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1.436</w:t>
            </w:r>
          </w:p>
        </w:tc>
        <w:tc>
          <w:tcPr>
            <w:tcW w:w="1203" w:type="dxa"/>
            <w:shd w:val="clear" w:color="auto" w:fill="FFFFFF"/>
            <w:tcMar>
              <w:top w:w="0" w:type="dxa"/>
              <w:bottom w:w="0" w:type="dxa"/>
            </w:tcMar>
            <w:vAlign w:val="center"/>
          </w:tcPr>
          <w:p w14:paraId="646CB6E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.240</w:t>
            </w:r>
          </w:p>
        </w:tc>
      </w:tr>
      <w:tr w:rsidR="007E6E19" w:rsidRPr="00916D35" w14:paraId="646CB6F1" w14:textId="77777777">
        <w:trPr>
          <w:cantSplit/>
          <w:trHeight w:val="276"/>
        </w:trPr>
        <w:tc>
          <w:tcPr>
            <w:tcW w:w="2602" w:type="dxa"/>
            <w:shd w:val="clear" w:color="auto" w:fill="FFFFFF"/>
            <w:tcMar>
              <w:top w:w="0" w:type="dxa"/>
              <w:bottom w:w="0" w:type="dxa"/>
            </w:tcMar>
            <w:vAlign w:val="center"/>
          </w:tcPr>
          <w:p w14:paraId="646CB6EB" w14:textId="6CD1B0A6" w:rsidR="007E6E19" w:rsidRPr="00916D35" w:rsidRDefault="00F55DE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M</w:t>
            </w:r>
            <w:r w:rsidR="00C473FF" w:rsidRPr="00916D35">
              <w:rPr>
                <w:rFonts w:ascii="Arial" w:eastAsia="Times New Roman" w:hAnsi="Arial" w:cs="Arial"/>
                <w:color w:val="000000"/>
                <w:sz w:val="20"/>
                <w:szCs w:val="20"/>
              </w:rPr>
              <w:t>ode</w:t>
            </w:r>
          </w:p>
        </w:tc>
        <w:tc>
          <w:tcPr>
            <w:tcW w:w="1746" w:type="dxa"/>
            <w:shd w:val="clear" w:color="auto" w:fill="FFFFFF"/>
            <w:tcMar>
              <w:top w:w="0" w:type="dxa"/>
              <w:bottom w:w="0" w:type="dxa"/>
            </w:tcMar>
            <w:vAlign w:val="center"/>
          </w:tcPr>
          <w:p w14:paraId="646CB6EC"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43.413</w:t>
            </w:r>
          </w:p>
        </w:tc>
        <w:tc>
          <w:tcPr>
            <w:tcW w:w="1199" w:type="dxa"/>
            <w:shd w:val="clear" w:color="auto" w:fill="FFFFFF"/>
            <w:tcMar>
              <w:top w:w="0" w:type="dxa"/>
              <w:bottom w:w="0" w:type="dxa"/>
            </w:tcMar>
            <w:vAlign w:val="center"/>
          </w:tcPr>
          <w:p w14:paraId="646CB6ED"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w:t>
            </w:r>
          </w:p>
        </w:tc>
        <w:tc>
          <w:tcPr>
            <w:tcW w:w="1656" w:type="dxa"/>
            <w:shd w:val="clear" w:color="auto" w:fill="FFFFFF"/>
            <w:tcMar>
              <w:top w:w="0" w:type="dxa"/>
              <w:bottom w:w="0" w:type="dxa"/>
            </w:tcMar>
            <w:vAlign w:val="center"/>
          </w:tcPr>
          <w:p w14:paraId="646CB6E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43.413</w:t>
            </w:r>
          </w:p>
        </w:tc>
        <w:tc>
          <w:tcPr>
            <w:tcW w:w="1199" w:type="dxa"/>
            <w:shd w:val="clear" w:color="auto" w:fill="FFFFFF"/>
            <w:tcMar>
              <w:top w:w="0" w:type="dxa"/>
              <w:bottom w:w="0" w:type="dxa"/>
            </w:tcMar>
            <w:vAlign w:val="center"/>
          </w:tcPr>
          <w:p w14:paraId="646CB6EF"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4.824</w:t>
            </w:r>
          </w:p>
        </w:tc>
        <w:tc>
          <w:tcPr>
            <w:tcW w:w="1203" w:type="dxa"/>
            <w:shd w:val="clear" w:color="auto" w:fill="FFFFFF"/>
            <w:tcMar>
              <w:top w:w="0" w:type="dxa"/>
              <w:bottom w:w="0" w:type="dxa"/>
            </w:tcMar>
            <w:vAlign w:val="center"/>
          </w:tcPr>
          <w:p w14:paraId="646CB6F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.036</w:t>
            </w:r>
          </w:p>
        </w:tc>
      </w:tr>
      <w:tr w:rsidR="007E6E19" w:rsidRPr="00916D35" w14:paraId="646CB6F8" w14:textId="77777777">
        <w:trPr>
          <w:cantSplit/>
          <w:trHeight w:val="261"/>
        </w:trPr>
        <w:tc>
          <w:tcPr>
            <w:tcW w:w="2602" w:type="dxa"/>
            <w:shd w:val="clear" w:color="auto" w:fill="FFFFFF"/>
            <w:tcMar>
              <w:top w:w="0" w:type="dxa"/>
              <w:bottom w:w="0" w:type="dxa"/>
            </w:tcMar>
            <w:vAlign w:val="center"/>
          </w:tcPr>
          <w:p w14:paraId="646CB6F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Error</w:t>
            </w:r>
          </w:p>
        </w:tc>
        <w:tc>
          <w:tcPr>
            <w:tcW w:w="1746" w:type="dxa"/>
            <w:shd w:val="clear" w:color="auto" w:fill="FFFFFF"/>
            <w:tcMar>
              <w:top w:w="0" w:type="dxa"/>
              <w:bottom w:w="0" w:type="dxa"/>
            </w:tcMar>
            <w:vAlign w:val="center"/>
          </w:tcPr>
          <w:p w14:paraId="646CB6F3"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270.006</w:t>
            </w:r>
          </w:p>
        </w:tc>
        <w:tc>
          <w:tcPr>
            <w:tcW w:w="1199" w:type="dxa"/>
            <w:shd w:val="clear" w:color="auto" w:fill="FFFFFF"/>
            <w:tcMar>
              <w:top w:w="0" w:type="dxa"/>
              <w:bottom w:w="0" w:type="dxa"/>
            </w:tcMar>
            <w:vAlign w:val="center"/>
          </w:tcPr>
          <w:p w14:paraId="646CB6F4"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30</w:t>
            </w:r>
          </w:p>
        </w:tc>
        <w:tc>
          <w:tcPr>
            <w:tcW w:w="1656" w:type="dxa"/>
            <w:shd w:val="clear" w:color="auto" w:fill="FFFFFF"/>
            <w:tcMar>
              <w:top w:w="0" w:type="dxa"/>
              <w:bottom w:w="0" w:type="dxa"/>
            </w:tcMar>
            <w:vAlign w:val="center"/>
          </w:tcPr>
          <w:p w14:paraId="646CB6F5"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9.000</w:t>
            </w:r>
          </w:p>
        </w:tc>
        <w:tc>
          <w:tcPr>
            <w:tcW w:w="1199" w:type="dxa"/>
            <w:shd w:val="clear" w:color="auto" w:fill="FFFFFF"/>
            <w:tcMar>
              <w:top w:w="0" w:type="dxa"/>
              <w:bottom w:w="0" w:type="dxa"/>
            </w:tcMar>
          </w:tcPr>
          <w:p w14:paraId="646CB6F6"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shd w:val="clear" w:color="auto" w:fill="FFFFFF"/>
            <w:tcMar>
              <w:top w:w="0" w:type="dxa"/>
              <w:bottom w:w="0" w:type="dxa"/>
            </w:tcMar>
          </w:tcPr>
          <w:p w14:paraId="646CB6F7"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6FF" w14:textId="77777777">
        <w:trPr>
          <w:cantSplit/>
          <w:trHeight w:val="261"/>
        </w:trPr>
        <w:tc>
          <w:tcPr>
            <w:tcW w:w="2602" w:type="dxa"/>
            <w:tcBorders>
              <w:bottom w:val="single" w:sz="4" w:space="0" w:color="000000"/>
            </w:tcBorders>
            <w:shd w:val="clear" w:color="auto" w:fill="FFFFFF"/>
            <w:tcMar>
              <w:top w:w="0" w:type="dxa"/>
              <w:bottom w:w="0" w:type="dxa"/>
            </w:tcMar>
            <w:vAlign w:val="center"/>
          </w:tcPr>
          <w:p w14:paraId="646CB6F9"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Total</w:t>
            </w:r>
          </w:p>
        </w:tc>
        <w:tc>
          <w:tcPr>
            <w:tcW w:w="1746" w:type="dxa"/>
            <w:tcBorders>
              <w:bottom w:val="single" w:sz="4" w:space="0" w:color="000000"/>
            </w:tcBorders>
            <w:shd w:val="clear" w:color="auto" w:fill="FFFFFF"/>
            <w:tcMar>
              <w:top w:w="0" w:type="dxa"/>
              <w:bottom w:w="0" w:type="dxa"/>
            </w:tcMar>
            <w:vAlign w:val="center"/>
          </w:tcPr>
          <w:p w14:paraId="646CB6FA"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12455.000</w:t>
            </w:r>
          </w:p>
        </w:tc>
        <w:tc>
          <w:tcPr>
            <w:tcW w:w="1199" w:type="dxa"/>
            <w:tcBorders>
              <w:bottom w:val="single" w:sz="4" w:space="0" w:color="000000"/>
            </w:tcBorders>
            <w:shd w:val="clear" w:color="auto" w:fill="FFFFFF"/>
            <w:tcMar>
              <w:top w:w="0" w:type="dxa"/>
              <w:bottom w:w="0" w:type="dxa"/>
            </w:tcMar>
            <w:vAlign w:val="center"/>
          </w:tcPr>
          <w:p w14:paraId="646CB6FB"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37</w:t>
            </w:r>
          </w:p>
        </w:tc>
        <w:tc>
          <w:tcPr>
            <w:tcW w:w="1656" w:type="dxa"/>
            <w:tcBorders>
              <w:bottom w:val="single" w:sz="4" w:space="0" w:color="000000"/>
            </w:tcBorders>
            <w:shd w:val="clear" w:color="auto" w:fill="FFFFFF"/>
            <w:tcMar>
              <w:top w:w="0" w:type="dxa"/>
              <w:bottom w:w="0" w:type="dxa"/>
            </w:tcMar>
          </w:tcPr>
          <w:p w14:paraId="646CB6FC"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bottom w:val="single" w:sz="4" w:space="0" w:color="000000"/>
            </w:tcBorders>
            <w:shd w:val="clear" w:color="auto" w:fill="FFFFFF"/>
            <w:tcMar>
              <w:top w:w="0" w:type="dxa"/>
              <w:bottom w:w="0" w:type="dxa"/>
            </w:tcMar>
          </w:tcPr>
          <w:p w14:paraId="646CB6FD"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bottom w:val="single" w:sz="4" w:space="0" w:color="000000"/>
            </w:tcBorders>
            <w:shd w:val="clear" w:color="auto" w:fill="FFFFFF"/>
            <w:tcMar>
              <w:top w:w="0" w:type="dxa"/>
              <w:bottom w:w="0" w:type="dxa"/>
            </w:tcMar>
          </w:tcPr>
          <w:p w14:paraId="646CB6FE"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6" w14:textId="77777777">
        <w:trPr>
          <w:cantSplit/>
          <w:trHeight w:val="285"/>
        </w:trPr>
        <w:tc>
          <w:tcPr>
            <w:tcW w:w="2602" w:type="dxa"/>
            <w:tcBorders>
              <w:top w:val="single" w:sz="4" w:space="0" w:color="000000"/>
              <w:bottom w:val="single" w:sz="4" w:space="0" w:color="000000"/>
            </w:tcBorders>
            <w:shd w:val="clear" w:color="auto" w:fill="FFFFFF"/>
            <w:tcMar>
              <w:top w:w="0" w:type="dxa"/>
              <w:bottom w:w="0" w:type="dxa"/>
            </w:tcMar>
            <w:vAlign w:val="center"/>
          </w:tcPr>
          <w:p w14:paraId="646CB700"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Corrected Total</w:t>
            </w:r>
          </w:p>
        </w:tc>
        <w:tc>
          <w:tcPr>
            <w:tcW w:w="1746" w:type="dxa"/>
            <w:tcBorders>
              <w:top w:val="single" w:sz="4" w:space="0" w:color="000000"/>
              <w:bottom w:val="single" w:sz="4" w:space="0" w:color="000000"/>
            </w:tcBorders>
            <w:shd w:val="clear" w:color="auto" w:fill="FFFFFF"/>
            <w:tcMar>
              <w:top w:w="0" w:type="dxa"/>
              <w:bottom w:w="0" w:type="dxa"/>
            </w:tcMar>
            <w:vAlign w:val="center"/>
          </w:tcPr>
          <w:p w14:paraId="646CB701"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788.811</w:t>
            </w:r>
          </w:p>
        </w:tc>
        <w:tc>
          <w:tcPr>
            <w:tcW w:w="1199" w:type="dxa"/>
            <w:tcBorders>
              <w:top w:val="single" w:sz="4" w:space="0" w:color="000000"/>
              <w:bottom w:val="single" w:sz="4" w:space="0" w:color="000000"/>
            </w:tcBorders>
            <w:shd w:val="clear" w:color="auto" w:fill="FFFFFF"/>
            <w:tcMar>
              <w:top w:w="0" w:type="dxa"/>
              <w:bottom w:w="0" w:type="dxa"/>
            </w:tcMar>
            <w:vAlign w:val="center"/>
          </w:tcPr>
          <w:p w14:paraId="646CB702"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36</w:t>
            </w:r>
          </w:p>
        </w:tc>
        <w:tc>
          <w:tcPr>
            <w:tcW w:w="1656" w:type="dxa"/>
            <w:tcBorders>
              <w:top w:val="single" w:sz="4" w:space="0" w:color="000000"/>
              <w:bottom w:val="single" w:sz="4" w:space="0" w:color="000000"/>
            </w:tcBorders>
            <w:shd w:val="clear" w:color="auto" w:fill="FFFFFF"/>
            <w:tcMar>
              <w:top w:w="0" w:type="dxa"/>
              <w:bottom w:w="0" w:type="dxa"/>
            </w:tcMar>
          </w:tcPr>
          <w:p w14:paraId="646CB703"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bottom w:val="single" w:sz="4" w:space="0" w:color="000000"/>
            </w:tcBorders>
            <w:shd w:val="clear" w:color="auto" w:fill="FFFFFF"/>
            <w:tcMar>
              <w:top w:w="0" w:type="dxa"/>
              <w:bottom w:w="0" w:type="dxa"/>
            </w:tcMar>
          </w:tcPr>
          <w:p w14:paraId="646CB704"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top w:val="single" w:sz="4" w:space="0" w:color="000000"/>
              <w:bottom w:val="single" w:sz="4" w:space="0" w:color="000000"/>
            </w:tcBorders>
            <w:shd w:val="clear" w:color="auto" w:fill="FFFFFF"/>
            <w:tcMar>
              <w:top w:w="0" w:type="dxa"/>
              <w:bottom w:w="0" w:type="dxa"/>
            </w:tcMar>
          </w:tcPr>
          <w:p w14:paraId="646CB705"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D" w14:textId="77777777">
        <w:trPr>
          <w:cantSplit/>
        </w:trPr>
        <w:tc>
          <w:tcPr>
            <w:tcW w:w="2602" w:type="dxa"/>
            <w:tcBorders>
              <w:top w:val="single" w:sz="4" w:space="0" w:color="000000"/>
            </w:tcBorders>
            <w:shd w:val="clear" w:color="auto" w:fill="FFFFFF"/>
            <w:tcMar>
              <w:top w:w="0" w:type="dxa"/>
              <w:bottom w:w="0" w:type="dxa"/>
            </w:tcMar>
            <w:vAlign w:val="center"/>
          </w:tcPr>
          <w:p w14:paraId="646CB707"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746" w:type="dxa"/>
            <w:tcBorders>
              <w:top w:val="single" w:sz="4" w:space="0" w:color="000000"/>
            </w:tcBorders>
            <w:shd w:val="clear" w:color="auto" w:fill="FFFFFF"/>
            <w:tcMar>
              <w:top w:w="0" w:type="dxa"/>
              <w:bottom w:w="0" w:type="dxa"/>
            </w:tcMar>
            <w:vAlign w:val="center"/>
          </w:tcPr>
          <w:p w14:paraId="646CB708"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tcBorders>
            <w:shd w:val="clear" w:color="auto" w:fill="FFFFFF"/>
            <w:tcMar>
              <w:top w:w="0" w:type="dxa"/>
              <w:bottom w:w="0" w:type="dxa"/>
            </w:tcMar>
            <w:vAlign w:val="center"/>
          </w:tcPr>
          <w:p w14:paraId="646CB709"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656" w:type="dxa"/>
            <w:tcBorders>
              <w:top w:val="single" w:sz="4" w:space="0" w:color="000000"/>
            </w:tcBorders>
            <w:shd w:val="clear" w:color="auto" w:fill="FFFFFF"/>
            <w:tcMar>
              <w:top w:w="0" w:type="dxa"/>
              <w:bottom w:w="0" w:type="dxa"/>
            </w:tcMar>
          </w:tcPr>
          <w:p w14:paraId="646CB70A"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199" w:type="dxa"/>
            <w:tcBorders>
              <w:top w:val="single" w:sz="4" w:space="0" w:color="000000"/>
            </w:tcBorders>
            <w:shd w:val="clear" w:color="auto" w:fill="FFFFFF"/>
            <w:tcMar>
              <w:top w:w="0" w:type="dxa"/>
              <w:bottom w:w="0" w:type="dxa"/>
            </w:tcMar>
          </w:tcPr>
          <w:p w14:paraId="646CB70B"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c>
          <w:tcPr>
            <w:tcW w:w="1203" w:type="dxa"/>
            <w:tcBorders>
              <w:top w:val="single" w:sz="4" w:space="0" w:color="000000"/>
            </w:tcBorders>
            <w:shd w:val="clear" w:color="auto" w:fill="FFFFFF"/>
            <w:tcMar>
              <w:top w:w="0" w:type="dxa"/>
              <w:bottom w:w="0" w:type="dxa"/>
            </w:tcMar>
          </w:tcPr>
          <w:p w14:paraId="646CB70C" w14:textId="77777777" w:rsidR="007E6E19" w:rsidRPr="00916D35" w:rsidRDefault="007E6E19"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p>
        </w:tc>
      </w:tr>
      <w:tr w:rsidR="007E6E19" w:rsidRPr="00916D35" w14:paraId="646CB70F" w14:textId="77777777">
        <w:trPr>
          <w:cantSplit/>
          <w:trHeight w:val="261"/>
        </w:trPr>
        <w:tc>
          <w:tcPr>
            <w:tcW w:w="9605" w:type="dxa"/>
            <w:gridSpan w:val="6"/>
            <w:shd w:val="clear" w:color="auto" w:fill="FFFFFF"/>
            <w:tcMar>
              <w:top w:w="0" w:type="dxa"/>
              <w:bottom w:w="0" w:type="dxa"/>
            </w:tcMar>
          </w:tcPr>
          <w:p w14:paraId="646CB70E" w14:textId="77777777" w:rsidR="007E6E19" w:rsidRPr="00916D35" w:rsidRDefault="00C473FF" w:rsidP="0046531C">
            <w:pPr>
              <w:pBdr>
                <w:top w:val="nil"/>
                <w:left w:val="nil"/>
                <w:bottom w:val="nil"/>
                <w:right w:val="nil"/>
                <w:between w:val="nil"/>
              </w:pBdr>
              <w:spacing w:after="0"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a. R Squared = .658 (Adjusted R Squared = .589)</w:t>
            </w:r>
          </w:p>
        </w:tc>
      </w:tr>
    </w:tbl>
    <w:p w14:paraId="646CB711"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Pre-test scores had a significant effect on post-test achievement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19.360,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&lt; .001). This indicates that students' prior knowledge significantly influenced their post-test performance. The effect of treatment (group) was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4.322,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.046), suggesting that the intervention (gamification) had a measurable impact on post-test achievement. This finding supports the hypothesis that gamification is an effective teaching strategy for improving STEM concept achievement.</w:t>
      </w:r>
    </w:p>
    <w:p w14:paraId="646CB712"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effect of gender was not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1.436,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.240). This suggests that gender did not significantly influence post-test achievement, aligning with earlier findings (Table 6) that both male and female students benefited similarly from the intervention.</w:t>
      </w:r>
    </w:p>
    <w:p w14:paraId="646CB713"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effect of mode of entry was statistically significant (</w:t>
      </w:r>
      <w:proofErr w:type="gramStart"/>
      <w:r w:rsidRPr="00916D35">
        <w:rPr>
          <w:rFonts w:ascii="Arial" w:eastAsia="Times New Roman" w:hAnsi="Arial" w:cs="Arial"/>
          <w:i/>
          <w:color w:val="000000"/>
          <w:sz w:val="20"/>
          <w:szCs w:val="20"/>
        </w:rPr>
        <w:t>F</w:t>
      </w:r>
      <w:r w:rsidRPr="00916D35">
        <w:rPr>
          <w:rFonts w:ascii="Arial" w:eastAsia="Times New Roman" w:hAnsi="Arial" w:cs="Arial"/>
          <w:color w:val="000000"/>
          <w:sz w:val="20"/>
          <w:szCs w:val="20"/>
        </w:rPr>
        <w:t>(</w:t>
      </w:r>
      <w:proofErr w:type="gramEnd"/>
      <w:r w:rsidRPr="00916D35">
        <w:rPr>
          <w:rFonts w:ascii="Arial" w:eastAsia="Times New Roman" w:hAnsi="Arial" w:cs="Arial"/>
          <w:color w:val="000000"/>
          <w:sz w:val="20"/>
          <w:szCs w:val="20"/>
        </w:rPr>
        <w:t xml:space="preserve">1, 30) = 4.824,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.036). This indicates that students’ mode of entry into the university (JAMB or direct entry) had a significant influence on their post-</w:t>
      </w:r>
      <w:r w:rsidRPr="00916D35">
        <w:rPr>
          <w:rFonts w:ascii="Arial" w:eastAsia="Times New Roman" w:hAnsi="Arial" w:cs="Arial"/>
          <w:color w:val="000000"/>
          <w:sz w:val="20"/>
          <w:szCs w:val="20"/>
        </w:rPr>
        <w:lastRenderedPageBreak/>
        <w:t>test achievement. Direct entry students, who had higher mean gains in earlier analyses (Table 5), may have contributed to this result.</w:t>
      </w:r>
    </w:p>
    <w:p w14:paraId="646CB714" w14:textId="77777777" w:rsidR="007E6E19" w:rsidRPr="004C555B" w:rsidRDefault="00C473FF" w:rsidP="0046531C">
      <w:pPr>
        <w:pBdr>
          <w:top w:val="nil"/>
          <w:left w:val="nil"/>
          <w:bottom w:val="nil"/>
          <w:right w:val="nil"/>
          <w:between w:val="nil"/>
        </w:pBdr>
        <w:spacing w:line="360" w:lineRule="auto"/>
        <w:jc w:val="both"/>
        <w:rPr>
          <w:rFonts w:ascii="Arial" w:eastAsia="Times New Roman" w:hAnsi="Arial" w:cs="Arial"/>
          <w:color w:val="000000"/>
        </w:rPr>
      </w:pPr>
      <w:r w:rsidRPr="00916D35">
        <w:rPr>
          <w:rFonts w:ascii="Arial" w:eastAsia="Times New Roman" w:hAnsi="Arial" w:cs="Arial"/>
          <w:color w:val="000000"/>
          <w:sz w:val="20"/>
          <w:szCs w:val="20"/>
        </w:rPr>
        <w:t>The findings highlight the significant impact of the teaching strategy (gamification) and mode of entry on students' achievement, while gender did not play a significant role. The strong contribution of pre-test scores underscores the imp</w:t>
      </w:r>
      <w:r w:rsidRPr="004C555B">
        <w:rPr>
          <w:rFonts w:ascii="Arial" w:eastAsia="Times New Roman" w:hAnsi="Arial" w:cs="Arial"/>
          <w:color w:val="000000"/>
        </w:rPr>
        <w:t>ortance of prior knowledge in predicting academic success.</w:t>
      </w:r>
    </w:p>
    <w:p w14:paraId="646CB716" w14:textId="31FA8F09" w:rsidR="008C0C27"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The demographic distribution of respondents, as presented in Tables 1–3, provides a foundational understanding of the study sample. Most of the participants (54.1%) were in the control group, and 45.9% </w:t>
      </w:r>
      <w:r w:rsidR="00A24D6A" w:rsidRPr="00916D35">
        <w:rPr>
          <w:rFonts w:ascii="Arial" w:eastAsia="Times New Roman" w:hAnsi="Arial" w:cs="Arial"/>
          <w:color w:val="000000"/>
          <w:sz w:val="20"/>
          <w:szCs w:val="20"/>
        </w:rPr>
        <w:t xml:space="preserve">were </w:t>
      </w:r>
      <w:r w:rsidRPr="00916D35">
        <w:rPr>
          <w:rFonts w:ascii="Arial" w:eastAsia="Times New Roman" w:hAnsi="Arial" w:cs="Arial"/>
          <w:color w:val="000000"/>
          <w:sz w:val="20"/>
          <w:szCs w:val="20"/>
        </w:rPr>
        <w:t xml:space="preserve">in the experimental group (Table 1). Regarding gender, the sample was predominantly female (78.4%) (Table 2), which aligns with studies such as </w:t>
      </w:r>
      <w:proofErr w:type="spellStart"/>
      <w:r w:rsidR="00107EF2" w:rsidRPr="00916D35">
        <w:rPr>
          <w:rFonts w:ascii="Arial" w:eastAsia="Times New Roman" w:hAnsi="Arial" w:cs="Arial"/>
          <w:color w:val="707070"/>
          <w:sz w:val="20"/>
          <w:szCs w:val="20"/>
        </w:rPr>
        <w:t>Mouna</w:t>
      </w:r>
      <w:proofErr w:type="spellEnd"/>
      <w:r w:rsidR="00107EF2" w:rsidRPr="00916D35">
        <w:rPr>
          <w:rFonts w:ascii="Arial" w:eastAsia="Times New Roman" w:hAnsi="Arial" w:cs="Arial"/>
          <w:i/>
          <w:color w:val="000000"/>
          <w:sz w:val="20"/>
          <w:szCs w:val="20"/>
        </w:rPr>
        <w:t xml:space="preserve"> </w:t>
      </w:r>
      <w:r w:rsidR="00107EF2" w:rsidRPr="00916D35">
        <w:rPr>
          <w:rFonts w:ascii="Arial" w:eastAsia="Times New Roman" w:hAnsi="Arial" w:cs="Arial"/>
          <w:color w:val="000000"/>
          <w:sz w:val="20"/>
          <w:szCs w:val="20"/>
        </w:rPr>
        <w:t>(2021</w:t>
      </w:r>
      <w:r w:rsidRPr="00916D35">
        <w:rPr>
          <w:rFonts w:ascii="Arial" w:eastAsia="Times New Roman" w:hAnsi="Arial" w:cs="Arial"/>
          <w:color w:val="000000"/>
          <w:sz w:val="20"/>
          <w:szCs w:val="20"/>
        </w:rPr>
        <w:t>),</w:t>
      </w:r>
      <w:r w:rsidR="001E589F" w:rsidRPr="00916D35">
        <w:rPr>
          <w:rFonts w:ascii="Arial" w:eastAsia="Times New Roman" w:hAnsi="Arial" w:cs="Arial"/>
          <w:color w:val="000000"/>
          <w:sz w:val="20"/>
          <w:szCs w:val="20"/>
        </w:rPr>
        <w:t xml:space="preserve"> </w:t>
      </w:r>
      <w:r w:rsidRPr="00916D35">
        <w:rPr>
          <w:rFonts w:ascii="Arial" w:eastAsia="Times New Roman" w:hAnsi="Arial" w:cs="Arial"/>
          <w:color w:val="000000"/>
          <w:sz w:val="20"/>
          <w:szCs w:val="20"/>
        </w:rPr>
        <w:t xml:space="preserve">who observed that </w:t>
      </w:r>
      <w:r w:rsidR="00107EF2" w:rsidRPr="00916D35">
        <w:rPr>
          <w:rFonts w:ascii="Arial" w:eastAsia="Times New Roman" w:hAnsi="Arial" w:cs="Arial"/>
          <w:color w:val="000000"/>
          <w:sz w:val="20"/>
          <w:szCs w:val="20"/>
        </w:rPr>
        <w:t xml:space="preserve">game </w:t>
      </w:r>
      <w:r w:rsidR="00A24D6A" w:rsidRPr="00916D35">
        <w:rPr>
          <w:rFonts w:ascii="Arial" w:eastAsia="Times New Roman" w:hAnsi="Arial" w:cs="Arial"/>
          <w:color w:val="000000"/>
          <w:sz w:val="20"/>
          <w:szCs w:val="20"/>
        </w:rPr>
        <w:t>elements</w:t>
      </w:r>
      <w:r w:rsidR="00107EF2" w:rsidRPr="00916D35">
        <w:rPr>
          <w:rFonts w:ascii="Arial" w:eastAsia="Times New Roman" w:hAnsi="Arial" w:cs="Arial"/>
          <w:color w:val="000000"/>
          <w:sz w:val="20"/>
          <w:szCs w:val="20"/>
        </w:rPr>
        <w:t xml:space="preserve"> and feedback</w:t>
      </w:r>
      <w:r w:rsidRPr="00916D35">
        <w:rPr>
          <w:rFonts w:ascii="Arial" w:eastAsia="Times New Roman" w:hAnsi="Arial" w:cs="Arial"/>
          <w:color w:val="000000"/>
          <w:sz w:val="20"/>
          <w:szCs w:val="20"/>
        </w:rPr>
        <w:t xml:space="preserve"> often attract more female students. Additionally, the mode of entry was dominated by JAMB entrants (83.8%) compared to direct entry students (16.2%) (Table 3). This reflects </w:t>
      </w:r>
      <w:r w:rsidR="001E589F" w:rsidRPr="00916D35">
        <w:rPr>
          <w:rFonts w:ascii="Arial" w:eastAsia="Times New Roman" w:hAnsi="Arial" w:cs="Arial"/>
          <w:color w:val="000000"/>
          <w:sz w:val="20"/>
          <w:szCs w:val="20"/>
        </w:rPr>
        <w:t xml:space="preserve">broader trends in tertiary education access, as highlighted by </w:t>
      </w:r>
      <w:proofErr w:type="spellStart"/>
      <w:r w:rsidR="001E589F" w:rsidRPr="00916D35">
        <w:rPr>
          <w:rFonts w:ascii="Arial" w:eastAsia="Times New Roman" w:hAnsi="Arial" w:cs="Arial"/>
          <w:color w:val="000000"/>
          <w:sz w:val="20"/>
          <w:szCs w:val="20"/>
        </w:rPr>
        <w:t>Okebukola</w:t>
      </w:r>
      <w:proofErr w:type="spellEnd"/>
      <w:r w:rsidR="001E589F" w:rsidRPr="00916D35">
        <w:rPr>
          <w:rFonts w:ascii="Arial" w:eastAsia="Times New Roman" w:hAnsi="Arial" w:cs="Arial"/>
          <w:color w:val="000000"/>
          <w:sz w:val="20"/>
          <w:szCs w:val="20"/>
        </w:rPr>
        <w:t xml:space="preserve"> (2021), who noted that JAMB remains the most common pathway for students entering university</w:t>
      </w:r>
      <w:r w:rsidR="00CB0872" w:rsidRPr="00916D35">
        <w:rPr>
          <w:rFonts w:ascii="Arial" w:eastAsia="Times New Roman" w:hAnsi="Arial" w:cs="Arial"/>
          <w:color w:val="000000"/>
          <w:sz w:val="20"/>
          <w:szCs w:val="20"/>
        </w:rPr>
        <w:t xml:space="preserve">. </w:t>
      </w:r>
    </w:p>
    <w:p w14:paraId="646CB717" w14:textId="196F6D5D"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significantly improved pre-service teachers’ achievement in STEM concepts, as evidenced by the greater mean gain in the experimental group (24.25) compared to the control group (20.29). This finding corroborates the results of </w:t>
      </w:r>
      <w:r w:rsidR="00A56455" w:rsidRPr="00916D35">
        <w:rPr>
          <w:rFonts w:ascii="Arial" w:eastAsia="Times New Roman" w:hAnsi="Arial" w:cs="Arial"/>
          <w:color w:val="000000"/>
          <w:sz w:val="20"/>
          <w:szCs w:val="20"/>
        </w:rPr>
        <w:t>Rahimi et al</w:t>
      </w:r>
      <w:r w:rsidRPr="00916D35">
        <w:rPr>
          <w:rFonts w:ascii="Arial" w:eastAsia="Times New Roman" w:hAnsi="Arial" w:cs="Arial"/>
          <w:color w:val="000000"/>
          <w:sz w:val="20"/>
          <w:szCs w:val="20"/>
        </w:rPr>
        <w:t xml:space="preserve"> (2021), who emphasized that gamification enhances engagement and learning outcomes by fostering intrinsic motivation. Furthermore, </w:t>
      </w:r>
      <w:r w:rsidR="00ED2618" w:rsidRPr="00916D35">
        <w:rPr>
          <w:rFonts w:ascii="Arial" w:eastAsia="Times New Roman" w:hAnsi="Arial" w:cs="Arial"/>
          <w:color w:val="000000"/>
          <w:sz w:val="20"/>
          <w:szCs w:val="20"/>
        </w:rPr>
        <w:t xml:space="preserve">Ryan </w:t>
      </w:r>
      <w:r w:rsidR="00DF0CEA" w:rsidRPr="00916D35">
        <w:rPr>
          <w:rFonts w:ascii="Arial" w:eastAsia="Times New Roman" w:hAnsi="Arial" w:cs="Arial"/>
          <w:color w:val="000000"/>
          <w:sz w:val="20"/>
          <w:szCs w:val="20"/>
        </w:rPr>
        <w:t xml:space="preserve">and </w:t>
      </w:r>
      <w:r w:rsidR="00ED2618" w:rsidRPr="00916D35">
        <w:rPr>
          <w:rFonts w:ascii="Arial" w:eastAsia="Times New Roman" w:hAnsi="Arial" w:cs="Arial"/>
          <w:color w:val="000000"/>
          <w:sz w:val="20"/>
          <w:szCs w:val="20"/>
        </w:rPr>
        <w:t>Deci</w:t>
      </w:r>
      <w:r w:rsidRPr="00916D35">
        <w:rPr>
          <w:rFonts w:ascii="Arial" w:eastAsia="Times New Roman" w:hAnsi="Arial" w:cs="Arial"/>
          <w:color w:val="000000"/>
          <w:sz w:val="20"/>
          <w:szCs w:val="20"/>
        </w:rPr>
        <w:t xml:space="preserve"> (2020) self-determination theory </w:t>
      </w:r>
      <w:r w:rsidR="00A24D6A" w:rsidRPr="00916D35">
        <w:rPr>
          <w:rFonts w:ascii="Arial" w:eastAsia="Times New Roman" w:hAnsi="Arial" w:cs="Arial"/>
          <w:color w:val="000000"/>
          <w:sz w:val="20"/>
          <w:szCs w:val="20"/>
        </w:rPr>
        <w:t>explains</w:t>
      </w:r>
      <w:r w:rsidRPr="00916D35">
        <w:rPr>
          <w:rFonts w:ascii="Arial" w:eastAsia="Times New Roman" w:hAnsi="Arial" w:cs="Arial"/>
          <w:color w:val="000000"/>
          <w:sz w:val="20"/>
          <w:szCs w:val="20"/>
        </w:rPr>
        <w:t xml:space="preserve"> these results by suggesting that gamified environments fulfill learners' psychological needs for competence and autonomy, thereby boosting performance. This finding aligns with </w:t>
      </w:r>
      <w:r w:rsidR="00107EF2" w:rsidRPr="00916D35">
        <w:rPr>
          <w:rFonts w:ascii="Arial" w:eastAsia="Times New Roman" w:hAnsi="Arial" w:cs="Arial"/>
          <w:color w:val="000000"/>
          <w:sz w:val="20"/>
          <w:szCs w:val="20"/>
        </w:rPr>
        <w:t>Salami (2021),</w:t>
      </w:r>
      <w:r w:rsidRPr="00916D35">
        <w:rPr>
          <w:rFonts w:ascii="Arial" w:eastAsia="Times New Roman" w:hAnsi="Arial" w:cs="Arial"/>
          <w:color w:val="000000"/>
          <w:sz w:val="20"/>
          <w:szCs w:val="20"/>
        </w:rPr>
        <w:t xml:space="preserve"> who argued that direct entry students often bring prior academic or professional experiences that enhance their learning outcomes. Additionally, </w:t>
      </w:r>
      <w:proofErr w:type="spellStart"/>
      <w:r w:rsidRPr="00916D35">
        <w:rPr>
          <w:rFonts w:ascii="Arial" w:eastAsia="Times New Roman" w:hAnsi="Arial" w:cs="Arial"/>
          <w:color w:val="000000"/>
          <w:sz w:val="20"/>
          <w:szCs w:val="20"/>
        </w:rPr>
        <w:t>Obielodan</w:t>
      </w:r>
      <w:proofErr w:type="spellEnd"/>
      <w:r w:rsidRPr="00916D35">
        <w:rPr>
          <w:rFonts w:ascii="Arial" w:eastAsia="Times New Roman" w:hAnsi="Arial" w:cs="Arial"/>
          <w:color w:val="000000"/>
          <w:sz w:val="20"/>
          <w:szCs w:val="20"/>
        </w:rPr>
        <w:t xml:space="preserve"> et al. (2022) posited that diverse educational backgrounds provide direct entry students with broader perspectives, enabling them to excel in complex STEM concepts.</w:t>
      </w:r>
      <w:r w:rsidR="00D7161D">
        <w:rPr>
          <w:rFonts w:ascii="Arial" w:eastAsia="Times New Roman" w:hAnsi="Arial" w:cs="Arial"/>
          <w:color w:val="000000"/>
          <w:sz w:val="20"/>
          <w:szCs w:val="20"/>
        </w:rPr>
        <w:t xml:space="preserve"> These findings also align with the submission of </w:t>
      </w:r>
      <w:r w:rsidR="00D7161D" w:rsidRPr="00D7161D">
        <w:rPr>
          <w:rFonts w:ascii="Arial" w:eastAsia="Times New Roman" w:hAnsi="Arial" w:cs="Arial"/>
          <w:color w:val="000000"/>
          <w:sz w:val="20"/>
          <w:szCs w:val="20"/>
        </w:rPr>
        <w:t xml:space="preserve">Giray Jr. </w:t>
      </w:r>
      <w:r w:rsidR="00D7161D">
        <w:rPr>
          <w:rFonts w:ascii="Arial" w:eastAsia="Times New Roman" w:hAnsi="Arial" w:cs="Arial"/>
          <w:color w:val="000000"/>
          <w:sz w:val="20"/>
          <w:szCs w:val="20"/>
        </w:rPr>
        <w:t>and</w:t>
      </w:r>
      <w:r w:rsidR="00D7161D" w:rsidRPr="00D7161D">
        <w:rPr>
          <w:rFonts w:ascii="Arial" w:eastAsia="Times New Roman" w:hAnsi="Arial" w:cs="Arial"/>
          <w:color w:val="000000"/>
          <w:sz w:val="20"/>
          <w:szCs w:val="20"/>
        </w:rPr>
        <w:t xml:space="preserve"> </w:t>
      </w:r>
      <w:proofErr w:type="spellStart"/>
      <w:r w:rsidR="00D7161D" w:rsidRPr="00D7161D">
        <w:rPr>
          <w:rFonts w:ascii="Arial" w:eastAsia="Times New Roman" w:hAnsi="Arial" w:cs="Arial"/>
          <w:color w:val="000000"/>
          <w:sz w:val="20"/>
          <w:szCs w:val="20"/>
        </w:rPr>
        <w:t>Ballado</w:t>
      </w:r>
      <w:proofErr w:type="spellEnd"/>
      <w:r w:rsidR="00D7161D">
        <w:rPr>
          <w:rFonts w:ascii="Arial" w:eastAsia="Times New Roman" w:hAnsi="Arial" w:cs="Arial"/>
          <w:color w:val="000000"/>
          <w:sz w:val="20"/>
          <w:szCs w:val="20"/>
        </w:rPr>
        <w:t xml:space="preserve"> (</w:t>
      </w:r>
      <w:r w:rsidR="00D7161D" w:rsidRPr="00D7161D">
        <w:rPr>
          <w:rFonts w:ascii="Arial" w:eastAsia="Times New Roman" w:hAnsi="Arial" w:cs="Arial"/>
          <w:color w:val="000000"/>
          <w:sz w:val="20"/>
          <w:szCs w:val="20"/>
        </w:rPr>
        <w:t>2025</w:t>
      </w:r>
      <w:r w:rsidR="00D7161D">
        <w:rPr>
          <w:rFonts w:ascii="Arial" w:eastAsia="Times New Roman" w:hAnsi="Arial" w:cs="Arial"/>
          <w:color w:val="000000"/>
          <w:sz w:val="20"/>
          <w:szCs w:val="20"/>
        </w:rPr>
        <w:t xml:space="preserve">), who submitted that </w:t>
      </w:r>
      <w:r w:rsidR="00D7161D" w:rsidRPr="00D7161D">
        <w:rPr>
          <w:rFonts w:ascii="Arial" w:eastAsia="Times New Roman" w:hAnsi="Arial" w:cs="Arial"/>
          <w:color w:val="000000"/>
          <w:sz w:val="20"/>
          <w:szCs w:val="20"/>
        </w:rPr>
        <w:t>Gamification is not only focused on making the students participative, but it is also used to enhance their competencies</w:t>
      </w:r>
      <w:r w:rsidR="00D7161D">
        <w:rPr>
          <w:rFonts w:ascii="Arial" w:eastAsia="Times New Roman" w:hAnsi="Arial" w:cs="Arial"/>
          <w:color w:val="000000"/>
          <w:sz w:val="20"/>
          <w:szCs w:val="20"/>
        </w:rPr>
        <w:t xml:space="preserve">. </w:t>
      </w:r>
    </w:p>
    <w:p w14:paraId="646CB718" w14:textId="0955ABCD"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Minimal differences in mean gains between male (17.00) and female (17.15) respondents, indicating that gender had little impact on achievement. This result aligns with </w:t>
      </w:r>
      <w:r w:rsidR="00B13B09" w:rsidRPr="00916D35">
        <w:rPr>
          <w:rFonts w:ascii="Arial" w:eastAsia="Times New Roman" w:hAnsi="Arial" w:cs="Arial"/>
          <w:color w:val="000000"/>
          <w:sz w:val="20"/>
          <w:szCs w:val="20"/>
        </w:rPr>
        <w:t>UNESCO (202</w:t>
      </w:r>
      <w:r w:rsidR="00C865BF">
        <w:rPr>
          <w:rFonts w:ascii="Arial" w:eastAsia="Times New Roman" w:hAnsi="Arial" w:cs="Arial"/>
          <w:color w:val="000000"/>
          <w:sz w:val="20"/>
          <w:szCs w:val="20"/>
        </w:rPr>
        <w:t>2</w:t>
      </w:r>
      <w:r w:rsidRPr="00916D35">
        <w:rPr>
          <w:rFonts w:ascii="Arial" w:eastAsia="Times New Roman" w:hAnsi="Arial" w:cs="Arial"/>
          <w:color w:val="000000"/>
          <w:sz w:val="20"/>
          <w:szCs w:val="20"/>
        </w:rPr>
        <w:t xml:space="preserve">), which highlights those well-designed instructional strategies, such as gamification, tend to neutralize gender disparities in STEM education. Similarly, </w:t>
      </w:r>
      <w:proofErr w:type="spellStart"/>
      <w:r w:rsidR="000E6580">
        <w:rPr>
          <w:rFonts w:ascii="Arial" w:eastAsia="Times New Roman" w:hAnsi="Arial" w:cs="Arial"/>
          <w:color w:val="000000"/>
          <w:sz w:val="20"/>
          <w:szCs w:val="20"/>
        </w:rPr>
        <w:t>Mouna</w:t>
      </w:r>
      <w:proofErr w:type="spellEnd"/>
      <w:r w:rsidR="000E6580">
        <w:rPr>
          <w:rFonts w:ascii="Arial" w:eastAsia="Times New Roman" w:hAnsi="Arial" w:cs="Arial"/>
          <w:color w:val="000000"/>
          <w:sz w:val="20"/>
          <w:szCs w:val="20"/>
        </w:rPr>
        <w:t xml:space="preserve"> et al (2021), and </w:t>
      </w:r>
      <w:proofErr w:type="spellStart"/>
      <w:r w:rsidR="003B28A6" w:rsidRPr="00916D35">
        <w:rPr>
          <w:rFonts w:ascii="Arial" w:hAnsi="Arial" w:cs="Arial"/>
          <w:sz w:val="20"/>
          <w:szCs w:val="20"/>
        </w:rPr>
        <w:t>Oguru</w:t>
      </w:r>
      <w:proofErr w:type="spellEnd"/>
      <w:r w:rsidR="003B28A6" w:rsidRPr="00916D35">
        <w:rPr>
          <w:rFonts w:ascii="Arial" w:hAnsi="Arial" w:cs="Arial"/>
          <w:sz w:val="20"/>
          <w:szCs w:val="20"/>
        </w:rPr>
        <w:t xml:space="preserve"> and Amie-</w:t>
      </w:r>
      <w:proofErr w:type="spellStart"/>
      <w:r w:rsidR="003B28A6" w:rsidRPr="00916D35">
        <w:rPr>
          <w:rFonts w:ascii="Arial" w:hAnsi="Arial" w:cs="Arial"/>
          <w:sz w:val="20"/>
          <w:szCs w:val="20"/>
        </w:rPr>
        <w:t>Ogan</w:t>
      </w:r>
      <w:proofErr w:type="spellEnd"/>
      <w:r w:rsidR="003B28A6" w:rsidRPr="00916D35">
        <w:rPr>
          <w:rFonts w:ascii="Arial" w:hAnsi="Arial" w:cs="Arial"/>
          <w:sz w:val="20"/>
          <w:szCs w:val="20"/>
        </w:rPr>
        <w:t xml:space="preserve"> (2024) </w:t>
      </w:r>
      <w:r w:rsidRPr="00916D35">
        <w:rPr>
          <w:rFonts w:ascii="Arial" w:eastAsia="Times New Roman" w:hAnsi="Arial" w:cs="Arial"/>
          <w:color w:val="000000"/>
          <w:sz w:val="20"/>
          <w:szCs w:val="20"/>
        </w:rPr>
        <w:t>argued that interactive and inclusive teaching approaches can eliminate traditional gender biases in STEM performance.</w:t>
      </w:r>
    </w:p>
    <w:p w14:paraId="646CB719" w14:textId="335BEED0"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ANCOVA results in Table 7 provide a detailed understanding of the significance of various factors on pre-service teachers’ achievement in STEM concepts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The significant effect of treatment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.046) supports the effectiveness of gamification as a teaching strategy. This aligns with Cheng et al. (20</w:t>
      </w:r>
      <w:r w:rsidR="00C865BF">
        <w:rPr>
          <w:rFonts w:ascii="Arial" w:eastAsia="Times New Roman" w:hAnsi="Arial" w:cs="Arial"/>
          <w:color w:val="000000"/>
          <w:sz w:val="20"/>
          <w:szCs w:val="20"/>
        </w:rPr>
        <w:t>15</w:t>
      </w:r>
      <w:r w:rsidRPr="00916D35">
        <w:rPr>
          <w:rFonts w:ascii="Arial" w:eastAsia="Times New Roman" w:hAnsi="Arial" w:cs="Arial"/>
          <w:color w:val="000000"/>
          <w:sz w:val="20"/>
          <w:szCs w:val="20"/>
        </w:rPr>
        <w:t>), who found that gamification positively influences cognitive a</w:t>
      </w:r>
      <w:r w:rsidR="000E19C1" w:rsidRPr="00916D35">
        <w:rPr>
          <w:rFonts w:ascii="Arial" w:eastAsia="Times New Roman" w:hAnsi="Arial" w:cs="Arial"/>
          <w:color w:val="000000"/>
          <w:sz w:val="20"/>
          <w:szCs w:val="20"/>
        </w:rPr>
        <w:t>nd affective learning outcomes.</w:t>
      </w:r>
      <w:r w:rsidRPr="00916D35">
        <w:rPr>
          <w:rFonts w:ascii="Arial" w:eastAsia="Times New Roman" w:hAnsi="Arial" w:cs="Arial"/>
          <w:color w:val="000000"/>
          <w:sz w:val="20"/>
          <w:szCs w:val="20"/>
        </w:rPr>
        <w:t xml:space="preserve"> The non-significant effect of gender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.240) further reinforces the inclusivity of gamification</w:t>
      </w:r>
      <w:r w:rsidR="008C0C27" w:rsidRPr="00916D35">
        <w:rPr>
          <w:rFonts w:ascii="Arial" w:eastAsia="Times New Roman" w:hAnsi="Arial" w:cs="Arial"/>
          <w:color w:val="000000"/>
          <w:sz w:val="20"/>
          <w:szCs w:val="20"/>
        </w:rPr>
        <w:t xml:space="preserve">, consistent with findings from Zhao et </w:t>
      </w:r>
      <w:r w:rsidR="008C0C27" w:rsidRPr="00916D35">
        <w:rPr>
          <w:rFonts w:ascii="Arial" w:eastAsia="Times New Roman" w:hAnsi="Arial" w:cs="Arial"/>
          <w:color w:val="000000"/>
          <w:sz w:val="20"/>
          <w:szCs w:val="20"/>
        </w:rPr>
        <w:lastRenderedPageBreak/>
        <w:t>al (2021)</w:t>
      </w:r>
      <w:r w:rsidRPr="00916D35">
        <w:rPr>
          <w:rFonts w:ascii="Arial" w:eastAsia="Times New Roman" w:hAnsi="Arial" w:cs="Arial"/>
          <w:color w:val="000000"/>
          <w:sz w:val="20"/>
          <w:szCs w:val="20"/>
        </w:rPr>
        <w:t>, and the significant effect of mode of entry (</w:t>
      </w:r>
      <w:r w:rsidRPr="00916D35">
        <w:rPr>
          <w:rFonts w:ascii="Arial" w:eastAsia="Times New Roman" w:hAnsi="Arial" w:cs="Arial"/>
          <w:i/>
          <w:color w:val="000000"/>
          <w:sz w:val="20"/>
          <w:szCs w:val="20"/>
        </w:rPr>
        <w:t>p</w:t>
      </w:r>
      <w:r w:rsidRPr="00916D35">
        <w:rPr>
          <w:rFonts w:ascii="Arial" w:eastAsia="Times New Roman" w:hAnsi="Arial" w:cs="Arial"/>
          <w:color w:val="000000"/>
          <w:sz w:val="20"/>
          <w:szCs w:val="20"/>
        </w:rPr>
        <w:t xml:space="preserve"> = .036) echoes earlier discussions, underscoring the role of prior academic preparation, as suggested by </w:t>
      </w:r>
      <w:r w:rsidR="00AD37C3" w:rsidRPr="00916D35">
        <w:rPr>
          <w:rFonts w:ascii="Arial" w:eastAsia="Times New Roman" w:hAnsi="Arial" w:cs="Arial"/>
          <w:color w:val="000000"/>
          <w:sz w:val="20"/>
          <w:szCs w:val="20"/>
        </w:rPr>
        <w:t>Cheng et al. (20</w:t>
      </w:r>
      <w:r w:rsidR="00C865BF">
        <w:rPr>
          <w:rFonts w:ascii="Arial" w:eastAsia="Times New Roman" w:hAnsi="Arial" w:cs="Arial"/>
          <w:color w:val="000000"/>
          <w:sz w:val="20"/>
          <w:szCs w:val="20"/>
        </w:rPr>
        <w:t>15</w:t>
      </w:r>
      <w:r w:rsidR="00AD37C3" w:rsidRPr="00916D35">
        <w:rPr>
          <w:rFonts w:ascii="Arial" w:eastAsia="Times New Roman" w:hAnsi="Arial" w:cs="Arial"/>
          <w:color w:val="000000"/>
          <w:sz w:val="20"/>
          <w:szCs w:val="20"/>
        </w:rPr>
        <w:t>),</w:t>
      </w:r>
      <w:r w:rsidR="00A7708B" w:rsidRPr="00916D35">
        <w:rPr>
          <w:rFonts w:ascii="Arial" w:eastAsia="Times New Roman" w:hAnsi="Arial" w:cs="Arial"/>
          <w:color w:val="000000"/>
          <w:sz w:val="20"/>
          <w:szCs w:val="20"/>
        </w:rPr>
        <w:t xml:space="preserve"> Afolabi and Ajayi (2023).</w:t>
      </w:r>
      <w:r w:rsidRPr="00916D35">
        <w:rPr>
          <w:rFonts w:ascii="Arial" w:eastAsia="Times New Roman" w:hAnsi="Arial" w:cs="Arial"/>
          <w:color w:val="000000"/>
          <w:sz w:val="20"/>
          <w:szCs w:val="20"/>
        </w:rPr>
        <w:t xml:space="preserve"> The overall model explained 65.8% of the variance in achievement, demonstrating the robustness of the predictors. This aligns with </w:t>
      </w:r>
      <w:proofErr w:type="spellStart"/>
      <w:r w:rsidR="00AD37C3" w:rsidRPr="00916D35">
        <w:rPr>
          <w:rFonts w:ascii="Arial" w:hAnsi="Arial" w:cs="Arial"/>
          <w:color w:val="333333"/>
          <w:sz w:val="20"/>
          <w:szCs w:val="20"/>
          <w:shd w:val="clear" w:color="auto" w:fill="FCFCFC"/>
        </w:rPr>
        <w:t>Alyahyan</w:t>
      </w:r>
      <w:proofErr w:type="spellEnd"/>
      <w:r w:rsidR="00AD37C3" w:rsidRPr="00916D35">
        <w:rPr>
          <w:rFonts w:ascii="Arial" w:hAnsi="Arial" w:cs="Arial"/>
          <w:color w:val="333333"/>
          <w:sz w:val="20"/>
          <w:szCs w:val="20"/>
          <w:shd w:val="clear" w:color="auto" w:fill="FCFCFC"/>
        </w:rPr>
        <w:t xml:space="preserve"> and </w:t>
      </w:r>
      <w:proofErr w:type="spellStart"/>
      <w:r w:rsidR="00AD37C3" w:rsidRPr="00916D35">
        <w:rPr>
          <w:rFonts w:ascii="Arial" w:hAnsi="Arial" w:cs="Arial"/>
          <w:color w:val="333333"/>
          <w:sz w:val="20"/>
          <w:szCs w:val="20"/>
          <w:shd w:val="clear" w:color="auto" w:fill="FCFCFC"/>
        </w:rPr>
        <w:t>Düştegör</w:t>
      </w:r>
      <w:proofErr w:type="spellEnd"/>
      <w:r w:rsidR="00AD37C3" w:rsidRPr="00916D35">
        <w:rPr>
          <w:rFonts w:ascii="Arial" w:hAnsi="Arial" w:cs="Arial"/>
          <w:color w:val="333333"/>
          <w:sz w:val="20"/>
          <w:szCs w:val="20"/>
          <w:shd w:val="clear" w:color="auto" w:fill="FCFCFC"/>
        </w:rPr>
        <w:t xml:space="preserve"> (2020)</w:t>
      </w:r>
      <w:r w:rsidR="00A7708B" w:rsidRPr="00916D35">
        <w:rPr>
          <w:rFonts w:ascii="Arial" w:hAnsi="Arial" w:cs="Arial"/>
          <w:color w:val="333333"/>
          <w:sz w:val="20"/>
          <w:szCs w:val="20"/>
          <w:shd w:val="clear" w:color="auto" w:fill="FCFCFC"/>
        </w:rPr>
        <w:t xml:space="preserve">, Bada and </w:t>
      </w:r>
      <w:r w:rsidR="002A48AD" w:rsidRPr="00916D35">
        <w:rPr>
          <w:rFonts w:ascii="Arial" w:hAnsi="Arial" w:cs="Arial"/>
          <w:color w:val="333333"/>
          <w:sz w:val="20"/>
          <w:szCs w:val="20"/>
          <w:shd w:val="clear" w:color="auto" w:fill="FCFCFC"/>
        </w:rPr>
        <w:t>Oladipo</w:t>
      </w:r>
      <w:r w:rsidR="00A7708B" w:rsidRPr="00916D35">
        <w:rPr>
          <w:rFonts w:ascii="Arial" w:hAnsi="Arial" w:cs="Arial"/>
          <w:color w:val="333333"/>
          <w:sz w:val="20"/>
          <w:szCs w:val="20"/>
          <w:shd w:val="clear" w:color="auto" w:fill="FCFCFC"/>
        </w:rPr>
        <w:t xml:space="preserve"> (2022)</w:t>
      </w:r>
      <w:r w:rsidRPr="00916D35">
        <w:rPr>
          <w:rFonts w:ascii="Arial" w:eastAsia="Times New Roman" w:hAnsi="Arial" w:cs="Arial"/>
          <w:color w:val="000000"/>
          <w:sz w:val="20"/>
          <w:szCs w:val="20"/>
        </w:rPr>
        <w:t>, who emphasized the importance of instructional methods and student background in predicting academic success</w:t>
      </w:r>
    </w:p>
    <w:p w14:paraId="646CB71A" w14:textId="019A5BF9" w:rsidR="007E6E19" w:rsidRPr="004C555B" w:rsidRDefault="00D70677"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CONCLUSION</w:t>
      </w:r>
      <w:r w:rsidR="004C555B">
        <w:rPr>
          <w:rFonts w:ascii="Arial" w:eastAsia="Times New Roman" w:hAnsi="Arial" w:cs="Arial"/>
          <w:b/>
          <w:color w:val="000000"/>
        </w:rPr>
        <w:t xml:space="preserve"> </w:t>
      </w:r>
    </w:p>
    <w:p w14:paraId="646CB71B" w14:textId="1C1ECA61"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The findings revealed that gamification significantly improved learning outcomes, with the experimental group achieving higher mean gains compared to the control group. Gender had no significant effect, demonstrating the inclusivity of gamification, while mode of entry significantly influenced achievement, favoring direct entry students. These results underscore the effectiveness of gamified learning environments in enhancing engagement and performance across diverse student groups. The study highlights the potential of gamification to bridge educational gaps and foster equitable learning outcomes in STEM education.</w:t>
      </w:r>
      <w:r w:rsidR="001B15BC" w:rsidRPr="00916D35">
        <w:rPr>
          <w:rFonts w:ascii="Arial" w:eastAsia="Times New Roman" w:hAnsi="Arial" w:cs="Arial"/>
          <w:color w:val="000000"/>
          <w:sz w:val="20"/>
          <w:szCs w:val="20"/>
        </w:rPr>
        <w:t xml:space="preserve"> By leveraging this technologically inclined innovative teaching strategy, STEM Teachers can create a dynamic, </w:t>
      </w:r>
      <w:r w:rsidR="00A24D6A" w:rsidRPr="00916D35">
        <w:rPr>
          <w:rFonts w:ascii="Arial" w:eastAsia="Times New Roman" w:hAnsi="Arial" w:cs="Arial"/>
          <w:color w:val="000000"/>
          <w:sz w:val="20"/>
          <w:szCs w:val="20"/>
        </w:rPr>
        <w:t>student-friendly</w:t>
      </w:r>
      <w:r w:rsidR="001B15BC" w:rsidRPr="00916D35">
        <w:rPr>
          <w:rFonts w:ascii="Arial" w:eastAsia="Times New Roman" w:hAnsi="Arial" w:cs="Arial"/>
          <w:color w:val="000000"/>
          <w:sz w:val="20"/>
          <w:szCs w:val="20"/>
        </w:rPr>
        <w:t xml:space="preserve"> learning environment that </w:t>
      </w:r>
      <w:r w:rsidR="00A24D6A" w:rsidRPr="00916D35">
        <w:rPr>
          <w:rFonts w:ascii="Arial" w:eastAsia="Times New Roman" w:hAnsi="Arial" w:cs="Arial"/>
          <w:color w:val="000000"/>
          <w:sz w:val="20"/>
          <w:szCs w:val="20"/>
        </w:rPr>
        <w:t>caters</w:t>
      </w:r>
      <w:r w:rsidR="001B15BC" w:rsidRPr="00916D35">
        <w:rPr>
          <w:rFonts w:ascii="Arial" w:eastAsia="Times New Roman" w:hAnsi="Arial" w:cs="Arial"/>
          <w:color w:val="000000"/>
          <w:sz w:val="20"/>
          <w:szCs w:val="20"/>
        </w:rPr>
        <w:t xml:space="preserve"> for </w:t>
      </w:r>
      <w:r w:rsidR="00A24D6A" w:rsidRPr="00916D35">
        <w:rPr>
          <w:rFonts w:ascii="Arial" w:eastAsia="Times New Roman" w:hAnsi="Arial" w:cs="Arial"/>
          <w:color w:val="000000"/>
          <w:sz w:val="20"/>
          <w:szCs w:val="20"/>
        </w:rPr>
        <w:t xml:space="preserve">the </w:t>
      </w:r>
      <w:r w:rsidR="001B15BC" w:rsidRPr="00916D35">
        <w:rPr>
          <w:rFonts w:ascii="Arial" w:eastAsia="Times New Roman" w:hAnsi="Arial" w:cs="Arial"/>
          <w:color w:val="000000"/>
          <w:sz w:val="20"/>
          <w:szCs w:val="20"/>
        </w:rPr>
        <w:t xml:space="preserve">needs of all students and create a </w:t>
      </w:r>
      <w:r w:rsidR="00A24D6A" w:rsidRPr="00916D35">
        <w:rPr>
          <w:rFonts w:ascii="Arial" w:eastAsia="Times New Roman" w:hAnsi="Arial" w:cs="Arial"/>
          <w:color w:val="000000"/>
          <w:sz w:val="20"/>
          <w:szCs w:val="20"/>
        </w:rPr>
        <w:t>long-lasting</w:t>
      </w:r>
      <w:r w:rsidR="001B15BC" w:rsidRPr="00916D35">
        <w:rPr>
          <w:rFonts w:ascii="Arial" w:eastAsia="Times New Roman" w:hAnsi="Arial" w:cs="Arial"/>
          <w:color w:val="000000"/>
          <w:sz w:val="20"/>
          <w:szCs w:val="20"/>
        </w:rPr>
        <w:t xml:space="preserve"> interest in </w:t>
      </w:r>
      <w:r w:rsidR="00A24D6A" w:rsidRPr="00916D35">
        <w:rPr>
          <w:rFonts w:ascii="Arial" w:eastAsia="Times New Roman" w:hAnsi="Arial" w:cs="Arial"/>
          <w:color w:val="000000"/>
          <w:sz w:val="20"/>
          <w:szCs w:val="20"/>
        </w:rPr>
        <w:t xml:space="preserve">the </w:t>
      </w:r>
      <w:r w:rsidR="001B15BC" w:rsidRPr="00916D35">
        <w:rPr>
          <w:rFonts w:ascii="Arial" w:eastAsia="Times New Roman" w:hAnsi="Arial" w:cs="Arial"/>
          <w:color w:val="000000"/>
          <w:sz w:val="20"/>
          <w:szCs w:val="20"/>
        </w:rPr>
        <w:t>STEM discipline in them.</w:t>
      </w:r>
    </w:p>
    <w:p w14:paraId="646CB71F" w14:textId="5AAEA643" w:rsidR="007E6E19" w:rsidRPr="00916D35" w:rsidRDefault="001B15BC"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Based on </w:t>
      </w:r>
      <w:r w:rsidR="00A24D6A" w:rsidRPr="00916D35">
        <w:rPr>
          <w:rFonts w:ascii="Arial" w:eastAsia="Times New Roman" w:hAnsi="Arial" w:cs="Arial"/>
          <w:color w:val="000000"/>
          <w:sz w:val="20"/>
          <w:szCs w:val="20"/>
        </w:rPr>
        <w:t xml:space="preserve">the </w:t>
      </w:r>
      <w:r w:rsidRPr="00916D35">
        <w:rPr>
          <w:rFonts w:ascii="Arial" w:eastAsia="Times New Roman" w:hAnsi="Arial" w:cs="Arial"/>
          <w:color w:val="000000"/>
          <w:sz w:val="20"/>
          <w:szCs w:val="20"/>
        </w:rPr>
        <w:t xml:space="preserve">above findings, the following recommendations were made to the </w:t>
      </w:r>
      <w:r w:rsidR="00FA2BB1" w:rsidRPr="00916D35">
        <w:rPr>
          <w:rFonts w:ascii="Arial" w:eastAsia="Times New Roman" w:hAnsi="Arial" w:cs="Arial"/>
          <w:color w:val="000000"/>
          <w:sz w:val="20"/>
          <w:szCs w:val="20"/>
        </w:rPr>
        <w:t>students, STEM teachers, Schools, Policy makers</w:t>
      </w:r>
      <w:r w:rsidR="00A24D6A" w:rsidRPr="00916D35">
        <w:rPr>
          <w:rFonts w:ascii="Arial" w:eastAsia="Times New Roman" w:hAnsi="Arial" w:cs="Arial"/>
          <w:color w:val="000000"/>
          <w:sz w:val="20"/>
          <w:szCs w:val="20"/>
        </w:rPr>
        <w:t>,</w:t>
      </w:r>
      <w:r w:rsidR="00FA2BB1" w:rsidRPr="00916D35">
        <w:rPr>
          <w:rFonts w:ascii="Arial" w:eastAsia="Times New Roman" w:hAnsi="Arial" w:cs="Arial"/>
          <w:color w:val="000000"/>
          <w:sz w:val="20"/>
          <w:szCs w:val="20"/>
        </w:rPr>
        <w:t xml:space="preserve"> and all </w:t>
      </w:r>
      <w:r w:rsidR="00A24D6A" w:rsidRPr="00916D35">
        <w:rPr>
          <w:rFonts w:ascii="Arial" w:eastAsia="Times New Roman" w:hAnsi="Arial" w:cs="Arial"/>
          <w:color w:val="000000"/>
          <w:sz w:val="20"/>
          <w:szCs w:val="20"/>
        </w:rPr>
        <w:t>stakeholders</w:t>
      </w:r>
      <w:r w:rsidR="00FA2BB1" w:rsidRPr="00916D35">
        <w:rPr>
          <w:rFonts w:ascii="Arial" w:eastAsia="Times New Roman" w:hAnsi="Arial" w:cs="Arial"/>
          <w:color w:val="000000"/>
          <w:sz w:val="20"/>
          <w:szCs w:val="20"/>
        </w:rPr>
        <w:t xml:space="preserve"> in the teaching and learning process:</w:t>
      </w:r>
    </w:p>
    <w:p w14:paraId="646CB720" w14:textId="787D3A76"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and </w:t>
      </w:r>
      <w:r w:rsidR="00A24D6A" w:rsidRPr="00916D35">
        <w:rPr>
          <w:rFonts w:ascii="Arial" w:eastAsia="Times New Roman" w:hAnsi="Arial" w:cs="Arial"/>
          <w:color w:val="000000"/>
          <w:sz w:val="20"/>
          <w:szCs w:val="20"/>
        </w:rPr>
        <w:t xml:space="preserve">a </w:t>
      </w:r>
      <w:r w:rsidRPr="00916D35">
        <w:rPr>
          <w:rFonts w:ascii="Arial" w:eastAsia="Times New Roman" w:hAnsi="Arial" w:cs="Arial"/>
          <w:color w:val="000000"/>
          <w:sz w:val="20"/>
          <w:szCs w:val="20"/>
        </w:rPr>
        <w:t xml:space="preserve">Gamified learning environment should be incorporated into STEM teaching to foster </w:t>
      </w:r>
      <w:r w:rsidR="00A24D6A" w:rsidRPr="00916D35">
        <w:rPr>
          <w:rFonts w:ascii="Arial" w:eastAsia="Times New Roman" w:hAnsi="Arial" w:cs="Arial"/>
          <w:color w:val="000000"/>
          <w:sz w:val="20"/>
          <w:szCs w:val="20"/>
        </w:rPr>
        <w:t xml:space="preserve">an </w:t>
      </w:r>
      <w:r w:rsidRPr="00916D35">
        <w:rPr>
          <w:rFonts w:ascii="Arial" w:eastAsia="Times New Roman" w:hAnsi="Arial" w:cs="Arial"/>
          <w:color w:val="000000"/>
          <w:sz w:val="20"/>
          <w:szCs w:val="20"/>
        </w:rPr>
        <w:t>active and innovative teaching and learning process.</w:t>
      </w:r>
    </w:p>
    <w:p w14:paraId="646CB721" w14:textId="7898961F"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STEM teachers should design their lessons in such a way that the lesson objectives are </w:t>
      </w:r>
      <w:r w:rsidR="00A24D6A" w:rsidRPr="00916D35">
        <w:rPr>
          <w:rFonts w:ascii="Arial" w:eastAsia="Times New Roman" w:hAnsi="Arial" w:cs="Arial"/>
          <w:color w:val="000000"/>
          <w:sz w:val="20"/>
          <w:szCs w:val="20"/>
        </w:rPr>
        <w:t>spelled</w:t>
      </w:r>
      <w:r w:rsidRPr="00916D35">
        <w:rPr>
          <w:rFonts w:ascii="Arial" w:eastAsia="Times New Roman" w:hAnsi="Arial" w:cs="Arial"/>
          <w:color w:val="000000"/>
          <w:sz w:val="20"/>
          <w:szCs w:val="20"/>
        </w:rPr>
        <w:t xml:space="preserve"> out to link gamified elements directly to the desired learning outcomes.</w:t>
      </w:r>
    </w:p>
    <w:p w14:paraId="646CB722" w14:textId="75251042" w:rsidR="00FA2BB1" w:rsidRPr="00916D35" w:rsidRDefault="00FA2BB1"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Gamification as a teaching and learning strategy should be included in the pre-service teachers’ curriculum so that they can be familiar with the strategy and </w:t>
      </w:r>
      <w:r w:rsidR="00A24D6A" w:rsidRPr="00916D35">
        <w:rPr>
          <w:rFonts w:ascii="Arial" w:eastAsia="Times New Roman" w:hAnsi="Arial" w:cs="Arial"/>
          <w:color w:val="000000"/>
          <w:sz w:val="20"/>
          <w:szCs w:val="20"/>
        </w:rPr>
        <w:t>find</w:t>
      </w:r>
      <w:r w:rsidRPr="00916D35">
        <w:rPr>
          <w:rFonts w:ascii="Arial" w:eastAsia="Times New Roman" w:hAnsi="Arial" w:cs="Arial"/>
          <w:color w:val="000000"/>
          <w:sz w:val="20"/>
          <w:szCs w:val="20"/>
        </w:rPr>
        <w:t xml:space="preserve"> it convenient and comfortable to use when practicing as a teacher.</w:t>
      </w:r>
    </w:p>
    <w:p w14:paraId="646CB723" w14:textId="77777777" w:rsidR="00FA2BB1"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Gamification and gamified activities should be included in the in-service program activities for the In-service STEM teachers. Such activities should also include the use of digital tools to enhance STEM teaching.</w:t>
      </w:r>
    </w:p>
    <w:p w14:paraId="646CB724" w14:textId="345CECA0" w:rsidR="00F93188"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STEM students should be encouraged to use gamification in the learning of STEM concepts to promote </w:t>
      </w:r>
      <w:r w:rsidR="00A24D6A" w:rsidRPr="00916D35">
        <w:rPr>
          <w:rFonts w:ascii="Arial" w:eastAsia="Times New Roman" w:hAnsi="Arial" w:cs="Arial"/>
          <w:color w:val="000000"/>
          <w:sz w:val="20"/>
          <w:szCs w:val="20"/>
        </w:rPr>
        <w:t>teamwork</w:t>
      </w:r>
      <w:r w:rsidRPr="00916D35">
        <w:rPr>
          <w:rFonts w:ascii="Arial" w:eastAsia="Times New Roman" w:hAnsi="Arial" w:cs="Arial"/>
          <w:color w:val="000000"/>
          <w:sz w:val="20"/>
          <w:szCs w:val="20"/>
        </w:rPr>
        <w:t xml:space="preserve"> as well as </w:t>
      </w:r>
      <w:r w:rsidR="00A24D6A" w:rsidRPr="00916D35">
        <w:rPr>
          <w:rFonts w:ascii="Arial" w:eastAsia="Times New Roman" w:hAnsi="Arial" w:cs="Arial"/>
          <w:color w:val="000000"/>
          <w:sz w:val="20"/>
          <w:szCs w:val="20"/>
        </w:rPr>
        <w:t>improve</w:t>
      </w:r>
      <w:r w:rsidRPr="00916D35">
        <w:rPr>
          <w:rFonts w:ascii="Arial" w:eastAsia="Times New Roman" w:hAnsi="Arial" w:cs="Arial"/>
          <w:color w:val="000000"/>
          <w:sz w:val="20"/>
          <w:szCs w:val="20"/>
        </w:rPr>
        <w:t xml:space="preserve"> their social and communication skills.</w:t>
      </w:r>
    </w:p>
    <w:p w14:paraId="646CB725" w14:textId="3CE29427" w:rsidR="00F93188" w:rsidRPr="00916D35" w:rsidRDefault="00F93188"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Government, School owners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administrators should provide </w:t>
      </w:r>
      <w:r w:rsidR="00442940" w:rsidRPr="00916D35">
        <w:rPr>
          <w:rFonts w:ascii="Arial" w:eastAsia="Times New Roman" w:hAnsi="Arial" w:cs="Arial"/>
          <w:color w:val="000000"/>
          <w:sz w:val="20"/>
          <w:szCs w:val="20"/>
        </w:rPr>
        <w:t xml:space="preserve">students’ </w:t>
      </w:r>
      <w:r w:rsidR="00A24D6A" w:rsidRPr="00916D35">
        <w:rPr>
          <w:rFonts w:ascii="Arial" w:eastAsia="Times New Roman" w:hAnsi="Arial" w:cs="Arial"/>
          <w:color w:val="000000"/>
          <w:sz w:val="20"/>
          <w:szCs w:val="20"/>
        </w:rPr>
        <w:t>student-friendly</w:t>
      </w:r>
      <w:r w:rsidRPr="00916D35">
        <w:rPr>
          <w:rFonts w:ascii="Arial" w:eastAsia="Times New Roman" w:hAnsi="Arial" w:cs="Arial"/>
          <w:color w:val="000000"/>
          <w:sz w:val="20"/>
          <w:szCs w:val="20"/>
        </w:rPr>
        <w:t xml:space="preserve"> gamified environment for STEM teaching with adequate technological resources, tools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devices</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teaching and learning to cater for students from </w:t>
      </w:r>
      <w:r w:rsidR="00442940" w:rsidRPr="00916D35">
        <w:rPr>
          <w:rFonts w:ascii="Arial" w:eastAsia="Times New Roman" w:hAnsi="Arial" w:cs="Arial"/>
          <w:color w:val="000000"/>
          <w:sz w:val="20"/>
          <w:szCs w:val="20"/>
        </w:rPr>
        <w:t xml:space="preserve">diverse </w:t>
      </w:r>
      <w:r w:rsidR="00A24D6A" w:rsidRPr="00916D35">
        <w:rPr>
          <w:rFonts w:ascii="Arial" w:eastAsia="Times New Roman" w:hAnsi="Arial" w:cs="Arial"/>
          <w:color w:val="000000"/>
          <w:sz w:val="20"/>
          <w:szCs w:val="20"/>
        </w:rPr>
        <w:t>backgrounds</w:t>
      </w:r>
      <w:r w:rsidR="00442940" w:rsidRPr="00916D35">
        <w:rPr>
          <w:rFonts w:ascii="Arial" w:eastAsia="Times New Roman" w:hAnsi="Arial" w:cs="Arial"/>
          <w:color w:val="000000"/>
          <w:sz w:val="20"/>
          <w:szCs w:val="20"/>
        </w:rPr>
        <w:t xml:space="preserve"> and </w:t>
      </w:r>
      <w:r w:rsidR="00A24D6A" w:rsidRPr="00916D35">
        <w:rPr>
          <w:rFonts w:ascii="Arial" w:eastAsia="Times New Roman" w:hAnsi="Arial" w:cs="Arial"/>
          <w:color w:val="000000"/>
          <w:sz w:val="20"/>
          <w:szCs w:val="20"/>
        </w:rPr>
        <w:t>skill levels</w:t>
      </w:r>
      <w:r w:rsidR="00442940" w:rsidRPr="00916D35">
        <w:rPr>
          <w:rFonts w:ascii="Arial" w:eastAsia="Times New Roman" w:hAnsi="Arial" w:cs="Arial"/>
          <w:color w:val="000000"/>
          <w:sz w:val="20"/>
          <w:szCs w:val="20"/>
        </w:rPr>
        <w:t>.</w:t>
      </w:r>
    </w:p>
    <w:p w14:paraId="646CB726" w14:textId="45F0F62D" w:rsidR="00442940" w:rsidRDefault="00442940"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With all these, the power of gamification can be used to turn around and </w:t>
      </w:r>
      <w:r w:rsidR="00A24D6A" w:rsidRPr="00916D35">
        <w:rPr>
          <w:rFonts w:ascii="Arial" w:eastAsia="Times New Roman" w:hAnsi="Arial" w:cs="Arial"/>
          <w:color w:val="000000"/>
          <w:sz w:val="20"/>
          <w:szCs w:val="20"/>
        </w:rPr>
        <w:t>revolutionize</w:t>
      </w:r>
      <w:r w:rsidRPr="00916D35">
        <w:rPr>
          <w:rFonts w:ascii="Arial" w:eastAsia="Times New Roman" w:hAnsi="Arial" w:cs="Arial"/>
          <w:color w:val="000000"/>
          <w:sz w:val="20"/>
          <w:szCs w:val="20"/>
        </w:rPr>
        <w:t xml:space="preserve"> STEM education by producing a new generation of critical </w:t>
      </w:r>
      <w:r w:rsidR="00A24D6A" w:rsidRPr="00916D35">
        <w:rPr>
          <w:rFonts w:ascii="Arial" w:eastAsia="Times New Roman" w:hAnsi="Arial" w:cs="Arial"/>
          <w:color w:val="000000"/>
          <w:sz w:val="20"/>
          <w:szCs w:val="20"/>
        </w:rPr>
        <w:t>thinkers</w:t>
      </w:r>
      <w:r w:rsidRPr="00916D35">
        <w:rPr>
          <w:rFonts w:ascii="Arial" w:eastAsia="Times New Roman" w:hAnsi="Arial" w:cs="Arial"/>
          <w:color w:val="000000"/>
          <w:sz w:val="20"/>
          <w:szCs w:val="20"/>
        </w:rPr>
        <w:t xml:space="preserve">, problem </w:t>
      </w:r>
      <w:r w:rsidR="00A24D6A" w:rsidRPr="00916D35">
        <w:rPr>
          <w:rFonts w:ascii="Arial" w:eastAsia="Times New Roman" w:hAnsi="Arial" w:cs="Arial"/>
          <w:color w:val="000000"/>
          <w:sz w:val="20"/>
          <w:szCs w:val="20"/>
        </w:rPr>
        <w:t>solvers,</w:t>
      </w:r>
      <w:r w:rsidRPr="00916D35">
        <w:rPr>
          <w:rFonts w:ascii="Arial" w:eastAsia="Times New Roman" w:hAnsi="Arial" w:cs="Arial"/>
          <w:color w:val="000000"/>
          <w:sz w:val="20"/>
          <w:szCs w:val="20"/>
        </w:rPr>
        <w:t xml:space="preserve"> and </w:t>
      </w:r>
      <w:r w:rsidR="00A24D6A" w:rsidRPr="00916D35">
        <w:rPr>
          <w:rFonts w:ascii="Arial" w:eastAsia="Times New Roman" w:hAnsi="Arial" w:cs="Arial"/>
          <w:color w:val="000000"/>
          <w:sz w:val="20"/>
          <w:szCs w:val="20"/>
        </w:rPr>
        <w:t>creators</w:t>
      </w:r>
      <w:r w:rsidRPr="00916D35">
        <w:rPr>
          <w:rFonts w:ascii="Arial" w:eastAsia="Times New Roman" w:hAnsi="Arial" w:cs="Arial"/>
          <w:color w:val="000000"/>
          <w:sz w:val="20"/>
          <w:szCs w:val="20"/>
        </w:rPr>
        <w:t xml:space="preserve"> of innovative </w:t>
      </w:r>
      <w:r w:rsidR="00A24D6A" w:rsidRPr="00916D35">
        <w:rPr>
          <w:rFonts w:ascii="Arial" w:eastAsia="Times New Roman" w:hAnsi="Arial" w:cs="Arial"/>
          <w:color w:val="000000"/>
          <w:sz w:val="20"/>
          <w:szCs w:val="20"/>
        </w:rPr>
        <w:t>ideas</w:t>
      </w:r>
      <w:r w:rsidRPr="00916D35">
        <w:rPr>
          <w:rFonts w:ascii="Arial" w:eastAsia="Times New Roman" w:hAnsi="Arial" w:cs="Arial"/>
          <w:color w:val="000000"/>
          <w:sz w:val="20"/>
          <w:szCs w:val="20"/>
        </w:rPr>
        <w:t>.</w:t>
      </w:r>
    </w:p>
    <w:p w14:paraId="4820F403" w14:textId="333E04DC" w:rsidR="00A2781B" w:rsidRDefault="00A2781B"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F671DAA" w14:textId="77777777" w:rsidR="00B8733F" w:rsidRDefault="00B8733F"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0950807A" w14:textId="77777777" w:rsidR="00B8733F" w:rsidRPr="00916D35" w:rsidRDefault="00B8733F" w:rsidP="00B8733F">
      <w:pPr>
        <w:pBdr>
          <w:top w:val="nil"/>
          <w:left w:val="nil"/>
          <w:bottom w:val="nil"/>
          <w:right w:val="nil"/>
          <w:between w:val="nil"/>
        </w:pBdr>
        <w:spacing w:line="360" w:lineRule="auto"/>
        <w:rPr>
          <w:rFonts w:ascii="Arial" w:eastAsia="Times New Roman" w:hAnsi="Arial" w:cs="Arial"/>
          <w:b/>
          <w:color w:val="000000"/>
        </w:rPr>
      </w:pPr>
      <w:r w:rsidRPr="00916D35">
        <w:rPr>
          <w:rFonts w:ascii="Arial" w:eastAsia="Times New Roman" w:hAnsi="Arial" w:cs="Arial"/>
          <w:b/>
          <w:color w:val="000000"/>
        </w:rPr>
        <w:t>ACKNOWLEDGEMENT</w:t>
      </w:r>
    </w:p>
    <w:p w14:paraId="705D756D" w14:textId="77777777" w:rsidR="00B8733F" w:rsidRPr="00916D35" w:rsidRDefault="00B8733F" w:rsidP="00B8733F">
      <w:pPr>
        <w:pBdr>
          <w:top w:val="nil"/>
          <w:left w:val="nil"/>
          <w:bottom w:val="nil"/>
          <w:right w:val="nil"/>
          <w:between w:val="nil"/>
        </w:pBdr>
        <w:spacing w:line="360" w:lineRule="auto"/>
        <w:rPr>
          <w:rFonts w:ascii="Arial" w:eastAsia="Times New Roman" w:hAnsi="Arial" w:cs="Arial"/>
          <w:bCs/>
          <w:color w:val="000000"/>
        </w:rPr>
      </w:pPr>
      <w:r w:rsidRPr="00916D35">
        <w:rPr>
          <w:rFonts w:ascii="Arial" w:eastAsia="Times New Roman" w:hAnsi="Arial" w:cs="Arial"/>
          <w:bCs/>
          <w:color w:val="000000"/>
        </w:rPr>
        <w:t>The author gratefully acknowledges the support of the Tertiary Education Trust Fund (TETFUND), Nigeria, for sponsoring participation at the Joint Mathematical Meeting, held on January 8</w:t>
      </w:r>
      <w:r w:rsidRPr="00916D35">
        <w:rPr>
          <w:rFonts w:ascii="Arial" w:eastAsia="Times New Roman" w:hAnsi="Arial" w:cs="Arial"/>
          <w:bCs/>
          <w:color w:val="000000"/>
          <w:vertAlign w:val="superscript"/>
        </w:rPr>
        <w:t>th</w:t>
      </w:r>
      <w:r w:rsidRPr="00916D35">
        <w:rPr>
          <w:rFonts w:ascii="Arial" w:eastAsia="Times New Roman" w:hAnsi="Arial" w:cs="Arial"/>
          <w:bCs/>
          <w:color w:val="000000"/>
        </w:rPr>
        <w:t xml:space="preserve"> – 11</w:t>
      </w:r>
      <w:r w:rsidRPr="00916D35">
        <w:rPr>
          <w:rFonts w:ascii="Arial" w:eastAsia="Times New Roman" w:hAnsi="Arial" w:cs="Arial"/>
          <w:bCs/>
          <w:color w:val="000000"/>
          <w:vertAlign w:val="superscript"/>
        </w:rPr>
        <w:t>th</w:t>
      </w:r>
      <w:r w:rsidRPr="00916D35">
        <w:rPr>
          <w:rFonts w:ascii="Arial" w:eastAsia="Times New Roman" w:hAnsi="Arial" w:cs="Arial"/>
          <w:bCs/>
          <w:color w:val="000000"/>
        </w:rPr>
        <w:t xml:space="preserve"> 2025, at Seattle, Washington, USA, where an earlier version of this paper was first presented. This support significantly contributed to the development and refinement of the ideas presented in this article.</w:t>
      </w:r>
    </w:p>
    <w:p w14:paraId="33E8E972" w14:textId="77777777" w:rsidR="00B8733F" w:rsidRDefault="00B8733F" w:rsidP="0046531C">
      <w:pPr>
        <w:pBdr>
          <w:top w:val="nil"/>
          <w:left w:val="nil"/>
          <w:bottom w:val="nil"/>
          <w:right w:val="nil"/>
          <w:between w:val="nil"/>
        </w:pBdr>
        <w:spacing w:line="360" w:lineRule="auto"/>
        <w:jc w:val="both"/>
        <w:rPr>
          <w:rFonts w:ascii="Arial" w:eastAsia="Times New Roman" w:hAnsi="Arial" w:cs="Arial"/>
          <w:color w:val="000000"/>
          <w:sz w:val="20"/>
          <w:szCs w:val="20"/>
        </w:rPr>
      </w:pPr>
    </w:p>
    <w:p w14:paraId="3D80052A" w14:textId="77777777" w:rsidR="00A2781B" w:rsidRPr="006F4A87" w:rsidRDefault="00A2781B" w:rsidP="00A2781B">
      <w:pPr>
        <w:spacing w:after="200" w:line="276" w:lineRule="auto"/>
        <w:rPr>
          <w:rFonts w:cs="Times New Roman"/>
          <w:b/>
          <w:kern w:val="2"/>
          <w:highlight w:val="yellow"/>
          <w14:ligatures w14:val="standardContextual"/>
        </w:rPr>
      </w:pPr>
      <w:r w:rsidRPr="006F4A87">
        <w:rPr>
          <w:rFonts w:cs="Times New Roman"/>
          <w:b/>
          <w:kern w:val="2"/>
          <w:highlight w:val="yellow"/>
          <w14:ligatures w14:val="standardContextual"/>
        </w:rPr>
        <w:t>Disclaimer (Artificial intelligence)</w:t>
      </w:r>
    </w:p>
    <w:p w14:paraId="7352E54F" w14:textId="77777777" w:rsidR="00A2781B" w:rsidRPr="00A2781B" w:rsidRDefault="00A2781B" w:rsidP="00A2781B">
      <w:pPr>
        <w:spacing w:after="200" w:line="276" w:lineRule="auto"/>
        <w:rPr>
          <w:rFonts w:cs="Times New Roman"/>
          <w:kern w:val="2"/>
          <w:highlight w:val="yellow"/>
          <w14:ligatures w14:val="standardContextual"/>
        </w:rPr>
      </w:pPr>
      <w:r w:rsidRPr="00A2781B">
        <w:rPr>
          <w:rFonts w:cs="Times New Roman"/>
          <w:kern w:val="2"/>
          <w:highlight w:val="yellow"/>
          <w14:ligatures w14:val="standardContextual"/>
        </w:rPr>
        <w:t xml:space="preserve">Option 1: </w:t>
      </w:r>
    </w:p>
    <w:p w14:paraId="4E340BB9" w14:textId="77777777" w:rsidR="00A2781B" w:rsidRPr="00A2781B" w:rsidRDefault="00A2781B" w:rsidP="00A2781B">
      <w:pPr>
        <w:spacing w:after="200" w:line="276" w:lineRule="auto"/>
        <w:rPr>
          <w:rFonts w:cs="Times New Roman"/>
          <w:kern w:val="2"/>
          <w:highlight w:val="yellow"/>
          <w14:ligatures w14:val="standardContextual"/>
        </w:rPr>
      </w:pPr>
      <w:r w:rsidRPr="00A2781B">
        <w:rPr>
          <w:rFonts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30DA6B0" w14:textId="77777777" w:rsidR="004C555B" w:rsidRDefault="004C555B" w:rsidP="0046531C">
      <w:pPr>
        <w:pBdr>
          <w:top w:val="nil"/>
          <w:left w:val="nil"/>
          <w:bottom w:val="nil"/>
          <w:right w:val="nil"/>
          <w:between w:val="nil"/>
        </w:pBdr>
        <w:spacing w:line="360" w:lineRule="auto"/>
        <w:jc w:val="both"/>
        <w:rPr>
          <w:rFonts w:ascii="Arial" w:eastAsia="Times New Roman" w:hAnsi="Arial" w:cs="Arial"/>
          <w:b/>
          <w:color w:val="000000"/>
          <w:sz w:val="20"/>
          <w:szCs w:val="20"/>
        </w:rPr>
      </w:pPr>
    </w:p>
    <w:p w14:paraId="646CB729" w14:textId="2BFB4EE0" w:rsidR="007E6E19" w:rsidRPr="004C555B" w:rsidRDefault="002A5E2D" w:rsidP="0046531C">
      <w:pPr>
        <w:pBdr>
          <w:top w:val="nil"/>
          <w:left w:val="nil"/>
          <w:bottom w:val="nil"/>
          <w:right w:val="nil"/>
          <w:between w:val="nil"/>
        </w:pBdr>
        <w:spacing w:line="360" w:lineRule="auto"/>
        <w:jc w:val="both"/>
        <w:rPr>
          <w:rFonts w:ascii="Arial" w:eastAsia="Times New Roman" w:hAnsi="Arial" w:cs="Arial"/>
          <w:b/>
          <w:color w:val="000000"/>
        </w:rPr>
      </w:pPr>
      <w:r w:rsidRPr="004C555B">
        <w:rPr>
          <w:rFonts w:ascii="Arial" w:eastAsia="Times New Roman" w:hAnsi="Arial" w:cs="Arial"/>
          <w:b/>
          <w:color w:val="000000"/>
        </w:rPr>
        <w:t>REFERENCES</w:t>
      </w:r>
    </w:p>
    <w:p w14:paraId="646CB72B" w14:textId="77777777" w:rsidR="00AD37C3" w:rsidRPr="005B5745" w:rsidRDefault="00AD37C3" w:rsidP="0046531C">
      <w:pPr>
        <w:pBdr>
          <w:top w:val="nil"/>
          <w:left w:val="nil"/>
          <w:bottom w:val="nil"/>
          <w:right w:val="nil"/>
          <w:between w:val="nil"/>
        </w:pBdr>
        <w:spacing w:line="360" w:lineRule="auto"/>
        <w:jc w:val="both"/>
        <w:rPr>
          <w:rFonts w:ascii="Arial" w:hAnsi="Arial" w:cs="Arial"/>
          <w:color w:val="333333"/>
          <w:sz w:val="20"/>
          <w:szCs w:val="20"/>
          <w:highlight w:val="yellow"/>
          <w:shd w:val="clear" w:color="auto" w:fill="FCFCFC"/>
        </w:rPr>
      </w:pPr>
      <w:proofErr w:type="spellStart"/>
      <w:r w:rsidRPr="00916D35">
        <w:rPr>
          <w:rFonts w:ascii="Arial" w:hAnsi="Arial" w:cs="Arial"/>
          <w:color w:val="333333"/>
          <w:sz w:val="20"/>
          <w:szCs w:val="20"/>
          <w:shd w:val="clear" w:color="auto" w:fill="FCFCFC"/>
        </w:rPr>
        <w:t>Alyahyan</w:t>
      </w:r>
      <w:proofErr w:type="spellEnd"/>
      <w:r w:rsidRPr="00916D35">
        <w:rPr>
          <w:rFonts w:ascii="Arial" w:hAnsi="Arial" w:cs="Arial"/>
          <w:color w:val="333333"/>
          <w:sz w:val="20"/>
          <w:szCs w:val="20"/>
          <w:shd w:val="clear" w:color="auto" w:fill="FCFCFC"/>
        </w:rPr>
        <w:t>, E.,</w:t>
      </w:r>
      <w:r w:rsidR="008E68C8" w:rsidRPr="00916D35">
        <w:rPr>
          <w:rFonts w:ascii="Arial" w:hAnsi="Arial" w:cs="Arial"/>
          <w:color w:val="333333"/>
          <w:sz w:val="20"/>
          <w:szCs w:val="20"/>
          <w:shd w:val="clear" w:color="auto" w:fill="FCFCFC"/>
        </w:rPr>
        <w:t xml:space="preserve"> &amp;</w:t>
      </w:r>
      <w:r w:rsidRPr="00916D35">
        <w:rPr>
          <w:rFonts w:ascii="Arial" w:hAnsi="Arial" w:cs="Arial"/>
          <w:color w:val="333333"/>
          <w:sz w:val="20"/>
          <w:szCs w:val="20"/>
          <w:shd w:val="clear" w:color="auto" w:fill="FCFCFC"/>
        </w:rPr>
        <w:t xml:space="preserve"> </w:t>
      </w:r>
      <w:proofErr w:type="spellStart"/>
      <w:r w:rsidRPr="00916D35">
        <w:rPr>
          <w:rFonts w:ascii="Arial" w:hAnsi="Arial" w:cs="Arial"/>
          <w:color w:val="333333"/>
          <w:sz w:val="20"/>
          <w:szCs w:val="20"/>
          <w:shd w:val="clear" w:color="auto" w:fill="FCFCFC"/>
        </w:rPr>
        <w:t>Düştegör</w:t>
      </w:r>
      <w:proofErr w:type="spellEnd"/>
      <w:r w:rsidRPr="00916D35">
        <w:rPr>
          <w:rFonts w:ascii="Arial" w:hAnsi="Arial" w:cs="Arial"/>
          <w:color w:val="333333"/>
          <w:sz w:val="20"/>
          <w:szCs w:val="20"/>
          <w:shd w:val="clear" w:color="auto" w:fill="FCFCFC"/>
        </w:rPr>
        <w:t xml:space="preserve">, D. (2020). Predicting academic success in higher education: literature review and </w:t>
      </w:r>
      <w:r w:rsidRPr="005B5745">
        <w:rPr>
          <w:rFonts w:ascii="Arial" w:hAnsi="Arial" w:cs="Arial"/>
          <w:color w:val="333333"/>
          <w:sz w:val="20"/>
          <w:szCs w:val="20"/>
          <w:highlight w:val="yellow"/>
          <w:shd w:val="clear" w:color="auto" w:fill="FCFCFC"/>
        </w:rPr>
        <w:t>best practices. </w:t>
      </w:r>
      <w:r w:rsidRPr="005B5745">
        <w:rPr>
          <w:rFonts w:ascii="Arial" w:hAnsi="Arial" w:cs="Arial"/>
          <w:i/>
          <w:iCs/>
          <w:color w:val="333333"/>
          <w:sz w:val="20"/>
          <w:szCs w:val="20"/>
          <w:highlight w:val="yellow"/>
          <w:shd w:val="clear" w:color="auto" w:fill="FCFCFC"/>
        </w:rPr>
        <w:t>Int J Educ Technol High Educ</w:t>
      </w:r>
      <w:r w:rsidRPr="005B5745">
        <w:rPr>
          <w:rFonts w:ascii="Arial" w:hAnsi="Arial" w:cs="Arial"/>
          <w:color w:val="333333"/>
          <w:sz w:val="20"/>
          <w:szCs w:val="20"/>
          <w:highlight w:val="yellow"/>
          <w:shd w:val="clear" w:color="auto" w:fill="FCFCFC"/>
        </w:rPr>
        <w:t> </w:t>
      </w:r>
      <w:r w:rsidRPr="005B5745">
        <w:rPr>
          <w:rFonts w:ascii="Arial" w:hAnsi="Arial" w:cs="Arial"/>
          <w:b/>
          <w:bCs/>
          <w:color w:val="333333"/>
          <w:sz w:val="20"/>
          <w:szCs w:val="20"/>
          <w:highlight w:val="yellow"/>
          <w:shd w:val="clear" w:color="auto" w:fill="FCFCFC"/>
        </w:rPr>
        <w:t>17</w:t>
      </w:r>
      <w:r w:rsidRPr="005B5745">
        <w:rPr>
          <w:rFonts w:ascii="Arial" w:hAnsi="Arial" w:cs="Arial"/>
          <w:color w:val="333333"/>
          <w:sz w:val="20"/>
          <w:szCs w:val="20"/>
          <w:highlight w:val="yellow"/>
          <w:shd w:val="clear" w:color="auto" w:fill="FCFCFC"/>
        </w:rPr>
        <w:t xml:space="preserve">, 3. </w:t>
      </w:r>
      <w:hyperlink r:id="rId19" w:history="1">
        <w:r w:rsidR="00A7708B" w:rsidRPr="005B5745">
          <w:rPr>
            <w:rStyle w:val="Hyperlink"/>
            <w:rFonts w:ascii="Arial" w:hAnsi="Arial" w:cs="Arial"/>
            <w:sz w:val="20"/>
            <w:szCs w:val="20"/>
            <w:highlight w:val="yellow"/>
            <w:shd w:val="clear" w:color="auto" w:fill="FCFCFC"/>
          </w:rPr>
          <w:t>https://doi.org/10.1186/s41239-020-0177-7</w:t>
        </w:r>
      </w:hyperlink>
    </w:p>
    <w:p w14:paraId="646CB72D" w14:textId="77777777" w:rsidR="00A7708B" w:rsidRPr="005B5745" w:rsidRDefault="00A7708B" w:rsidP="0046531C">
      <w:pPr>
        <w:spacing w:line="360" w:lineRule="auto"/>
        <w:rPr>
          <w:rFonts w:ascii="Arial" w:hAnsi="Arial" w:cs="Arial"/>
          <w:sz w:val="20"/>
          <w:szCs w:val="20"/>
          <w:highlight w:val="yellow"/>
        </w:rPr>
      </w:pPr>
      <w:r w:rsidRPr="005B5745">
        <w:rPr>
          <w:rFonts w:ascii="Arial" w:hAnsi="Arial" w:cs="Arial"/>
          <w:bCs/>
          <w:sz w:val="20"/>
          <w:szCs w:val="20"/>
          <w:highlight w:val="yellow"/>
        </w:rPr>
        <w:t>Bada, O., &amp; Oladipo, S. (2022).</w:t>
      </w:r>
      <w:r w:rsidRPr="005B5745">
        <w:rPr>
          <w:rFonts w:ascii="Arial" w:hAnsi="Arial" w:cs="Arial"/>
          <w:sz w:val="20"/>
          <w:szCs w:val="20"/>
          <w:highlight w:val="yellow"/>
        </w:rPr>
        <w:t xml:space="preserve"> Socioeconomic Factors Influencing Agricultural Productivity in Southwestern Nigeria. </w:t>
      </w:r>
      <w:r w:rsidRPr="005B5745">
        <w:rPr>
          <w:rFonts w:ascii="Arial" w:hAnsi="Arial" w:cs="Arial"/>
          <w:i/>
          <w:iCs/>
          <w:sz w:val="20"/>
          <w:szCs w:val="20"/>
          <w:highlight w:val="yellow"/>
        </w:rPr>
        <w:t>African Journal of Agricultural Economics</w:t>
      </w:r>
      <w:r w:rsidRPr="005B5745">
        <w:rPr>
          <w:rFonts w:ascii="Arial" w:hAnsi="Arial" w:cs="Arial"/>
          <w:sz w:val="20"/>
          <w:szCs w:val="20"/>
          <w:highlight w:val="yellow"/>
        </w:rPr>
        <w:t xml:space="preserve">, 17(4), 345-360. </w:t>
      </w:r>
      <w:hyperlink r:id="rId20" w:history="1">
        <w:r w:rsidRPr="005B5745">
          <w:rPr>
            <w:rStyle w:val="Hyperlink"/>
            <w:rFonts w:ascii="Arial" w:hAnsi="Arial" w:cs="Arial"/>
            <w:sz w:val="20"/>
            <w:szCs w:val="20"/>
            <w:highlight w:val="yellow"/>
          </w:rPr>
          <w:t>https://doi.org/10.1080/03031853.2022.1778901</w:t>
        </w:r>
      </w:hyperlink>
    </w:p>
    <w:p w14:paraId="646CB72E" w14:textId="7AADCE73"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5B5745">
        <w:rPr>
          <w:rFonts w:ascii="Arial" w:eastAsia="Times New Roman" w:hAnsi="Arial" w:cs="Arial"/>
          <w:color w:val="000000"/>
          <w:sz w:val="20"/>
          <w:szCs w:val="20"/>
          <w:highlight w:val="yellow"/>
        </w:rPr>
        <w:t xml:space="preserve">Bandura, A. (1986). </w:t>
      </w:r>
      <w:r w:rsidRPr="005B5745">
        <w:rPr>
          <w:rFonts w:ascii="Arial" w:eastAsia="Times New Roman" w:hAnsi="Arial" w:cs="Arial"/>
          <w:i/>
          <w:iCs/>
          <w:color w:val="000000"/>
          <w:sz w:val="20"/>
          <w:szCs w:val="20"/>
          <w:highlight w:val="yellow"/>
        </w:rPr>
        <w:t>Social foundations of thought</w:t>
      </w:r>
      <w:r w:rsidRPr="00916D35">
        <w:rPr>
          <w:rFonts w:ascii="Arial" w:eastAsia="Times New Roman" w:hAnsi="Arial" w:cs="Arial"/>
          <w:i/>
          <w:iCs/>
          <w:color w:val="000000"/>
          <w:sz w:val="20"/>
          <w:szCs w:val="20"/>
        </w:rPr>
        <w:t xml:space="preserve"> and action: A social cognitive theory</w:t>
      </w:r>
      <w:r w:rsidRPr="00916D35">
        <w:rPr>
          <w:rFonts w:ascii="Arial" w:eastAsia="Times New Roman" w:hAnsi="Arial" w:cs="Arial"/>
          <w:color w:val="000000"/>
          <w:sz w:val="20"/>
          <w:szCs w:val="20"/>
        </w:rPr>
        <w:t>. Prentice-Hall.</w:t>
      </w:r>
    </w:p>
    <w:p w14:paraId="646CB72F" w14:textId="77777777"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563C1"/>
          <w:sz w:val="20"/>
          <w:szCs w:val="20"/>
          <w:u w:val="single"/>
        </w:rPr>
      </w:pPr>
      <w:r w:rsidRPr="00916D35">
        <w:rPr>
          <w:rFonts w:ascii="Arial" w:eastAsia="Times New Roman" w:hAnsi="Arial" w:cs="Arial"/>
          <w:color w:val="000000"/>
          <w:sz w:val="20"/>
          <w:szCs w:val="20"/>
        </w:rPr>
        <w:t xml:space="preserve">Cheng, M. T., Chen, T. H., Chu, S. J., &amp; Chen, S. Y. (2015). The use of serious games in science education: A review of selected empirical research from 2002 to 2013. </w:t>
      </w:r>
      <w:r w:rsidRPr="00916D35">
        <w:rPr>
          <w:rFonts w:ascii="Arial" w:eastAsia="Times New Roman" w:hAnsi="Arial" w:cs="Arial"/>
          <w:i/>
          <w:iCs/>
          <w:color w:val="000000"/>
          <w:sz w:val="20"/>
          <w:szCs w:val="20"/>
        </w:rPr>
        <w:t>Journal of Computers in Education,</w:t>
      </w:r>
      <w:r w:rsidRPr="00916D35">
        <w:rPr>
          <w:rFonts w:ascii="Arial" w:eastAsia="Times New Roman" w:hAnsi="Arial" w:cs="Arial"/>
          <w:color w:val="000000"/>
          <w:sz w:val="20"/>
          <w:szCs w:val="20"/>
        </w:rPr>
        <w:t> 2 (3), pp. 353-375, </w:t>
      </w:r>
      <w:hyperlink r:id="rId21">
        <w:r w:rsidRPr="00916D35">
          <w:rPr>
            <w:rFonts w:ascii="Arial" w:eastAsia="Times New Roman" w:hAnsi="Arial" w:cs="Arial"/>
            <w:color w:val="0563C1"/>
            <w:sz w:val="20"/>
            <w:szCs w:val="20"/>
            <w:u w:val="single"/>
          </w:rPr>
          <w:t>10.1007/s40692-015-0039-9</w:t>
        </w:r>
      </w:hyperlink>
    </w:p>
    <w:p w14:paraId="646CB730" w14:textId="6C235897" w:rsidR="00276EB3" w:rsidRDefault="00276EB3"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Csikszentmihalyi, M. (1990). </w:t>
      </w:r>
      <w:r w:rsidRPr="00916D35">
        <w:rPr>
          <w:rFonts w:ascii="Arial" w:eastAsia="Times New Roman" w:hAnsi="Arial" w:cs="Arial"/>
          <w:i/>
          <w:iCs/>
          <w:color w:val="000000"/>
          <w:sz w:val="20"/>
          <w:szCs w:val="20"/>
        </w:rPr>
        <w:t>Flow: The Psychology of Optimal Experience.</w:t>
      </w:r>
      <w:r w:rsidRPr="00916D35">
        <w:rPr>
          <w:rFonts w:ascii="Arial" w:eastAsia="Times New Roman" w:hAnsi="Arial" w:cs="Arial"/>
          <w:color w:val="000000"/>
          <w:sz w:val="20"/>
          <w:szCs w:val="20"/>
        </w:rPr>
        <w:t> New York: Harper and Row</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1990.</w:t>
      </w:r>
    </w:p>
    <w:p w14:paraId="1BCBF649" w14:textId="77777777" w:rsidR="00ED2618" w:rsidRPr="00ED2618" w:rsidRDefault="00ED2618" w:rsidP="00ED2618">
      <w:pPr>
        <w:pBdr>
          <w:top w:val="nil"/>
          <w:left w:val="nil"/>
          <w:bottom w:val="nil"/>
          <w:right w:val="nil"/>
          <w:between w:val="nil"/>
        </w:pBdr>
        <w:spacing w:line="360" w:lineRule="auto"/>
        <w:jc w:val="both"/>
        <w:rPr>
          <w:rFonts w:ascii="Arial" w:eastAsia="Times New Roman" w:hAnsi="Arial" w:cs="Arial"/>
          <w:color w:val="000000"/>
          <w:sz w:val="20"/>
          <w:szCs w:val="20"/>
        </w:rPr>
      </w:pPr>
      <w:r w:rsidRPr="00ED2618">
        <w:rPr>
          <w:rFonts w:ascii="Arial" w:eastAsia="Times New Roman" w:hAnsi="Arial" w:cs="Arial"/>
          <w:color w:val="000000"/>
          <w:sz w:val="20"/>
          <w:szCs w:val="20"/>
        </w:rPr>
        <w:t>Deci, E. L., &amp; Ryan, R. M. (1985). Intrinsic Motivation and Self-Determination in Human Behavior. New York, NY: Plenum.</w:t>
      </w:r>
    </w:p>
    <w:p w14:paraId="2E280BE0" w14:textId="7AB4024B" w:rsidR="00ED2618" w:rsidRPr="00916D35" w:rsidRDefault="00ED2618" w:rsidP="00ED2618">
      <w:pPr>
        <w:pBdr>
          <w:top w:val="nil"/>
          <w:left w:val="nil"/>
          <w:bottom w:val="nil"/>
          <w:right w:val="nil"/>
          <w:between w:val="nil"/>
        </w:pBdr>
        <w:spacing w:line="360" w:lineRule="auto"/>
        <w:jc w:val="both"/>
        <w:rPr>
          <w:rFonts w:ascii="Arial" w:eastAsia="Times New Roman" w:hAnsi="Arial" w:cs="Arial"/>
          <w:color w:val="000000"/>
          <w:sz w:val="20"/>
          <w:szCs w:val="20"/>
        </w:rPr>
      </w:pPr>
      <w:r w:rsidRPr="00ED2618">
        <w:rPr>
          <w:rFonts w:ascii="Arial" w:eastAsia="Times New Roman" w:hAnsi="Arial" w:cs="Arial"/>
          <w:color w:val="000000"/>
          <w:sz w:val="20"/>
          <w:szCs w:val="20"/>
        </w:rPr>
        <w:lastRenderedPageBreak/>
        <w:t>https://doi.org/10.1007/978-1-4899-2271-7</w:t>
      </w:r>
    </w:p>
    <w:p w14:paraId="5887BA23" w14:textId="77777777" w:rsidR="00ED2618" w:rsidRPr="00916D35" w:rsidRDefault="00276EB3" w:rsidP="00ED2618">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Deci, E. L., &amp; Ryan, R. M. (1985). </w:t>
      </w:r>
      <w:r w:rsidRPr="00916D35">
        <w:rPr>
          <w:rFonts w:ascii="Arial" w:eastAsia="Times New Roman" w:hAnsi="Arial" w:cs="Arial"/>
          <w:i/>
          <w:iCs/>
          <w:color w:val="000000"/>
          <w:sz w:val="20"/>
          <w:szCs w:val="20"/>
        </w:rPr>
        <w:t>Intrinsic motivation and self-determination in human behavior.</w:t>
      </w:r>
      <w:r w:rsidRPr="00916D35">
        <w:rPr>
          <w:rFonts w:ascii="Arial" w:eastAsia="Times New Roman" w:hAnsi="Arial" w:cs="Arial"/>
          <w:color w:val="000000"/>
          <w:sz w:val="20"/>
          <w:szCs w:val="20"/>
        </w:rPr>
        <w:t> New York: Plenum.</w:t>
      </w:r>
      <w:r w:rsidR="00ED2618">
        <w:rPr>
          <w:rFonts w:ascii="Arial" w:eastAsia="Times New Roman" w:hAnsi="Arial" w:cs="Arial"/>
          <w:color w:val="000000"/>
          <w:sz w:val="20"/>
          <w:szCs w:val="20"/>
        </w:rPr>
        <w:t xml:space="preserve"> </w:t>
      </w:r>
      <w:r w:rsidR="00ED2618" w:rsidRPr="00ED2618">
        <w:rPr>
          <w:rFonts w:ascii="Arial" w:eastAsia="Times New Roman" w:hAnsi="Arial" w:cs="Arial"/>
          <w:color w:val="000000"/>
          <w:sz w:val="20"/>
          <w:szCs w:val="20"/>
        </w:rPr>
        <w:t>https://doi.org/10.1007/978-1-4899-2271-7</w:t>
      </w:r>
    </w:p>
    <w:p w14:paraId="646CB732" w14:textId="6CF7AEC1" w:rsidR="00B9304D" w:rsidRPr="00916D35" w:rsidRDefault="00B9304D"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hAnsi="Arial" w:cs="Arial"/>
          <w:color w:val="232323"/>
          <w:sz w:val="20"/>
          <w:szCs w:val="20"/>
          <w:shd w:val="clear" w:color="auto" w:fill="FFFFFF"/>
        </w:rPr>
        <w:t xml:space="preserve">Deterding, S., Dixon, D., Khaled, R., &amp; Nacke, </w:t>
      </w:r>
      <w:r w:rsidR="00A24D6A" w:rsidRPr="00916D35">
        <w:rPr>
          <w:rFonts w:ascii="Arial" w:hAnsi="Arial" w:cs="Arial"/>
          <w:color w:val="232323"/>
          <w:sz w:val="20"/>
          <w:szCs w:val="20"/>
          <w:shd w:val="clear" w:color="auto" w:fill="FFFFFF"/>
        </w:rPr>
        <w:t>L.</w:t>
      </w:r>
      <w:r w:rsidRPr="00916D35">
        <w:rPr>
          <w:rFonts w:ascii="Arial" w:hAnsi="Arial" w:cs="Arial"/>
          <w:color w:val="232323"/>
          <w:sz w:val="20"/>
          <w:szCs w:val="20"/>
          <w:shd w:val="clear" w:color="auto" w:fill="FFFFFF"/>
        </w:rPr>
        <w:t xml:space="preserve"> (2011). From Game Design Elements to </w:t>
      </w:r>
      <w:proofErr w:type="spellStart"/>
      <w:r w:rsidRPr="00916D35">
        <w:rPr>
          <w:rFonts w:ascii="Arial" w:hAnsi="Arial" w:cs="Arial"/>
          <w:color w:val="232323"/>
          <w:sz w:val="20"/>
          <w:szCs w:val="20"/>
          <w:shd w:val="clear" w:color="auto" w:fill="FFFFFF"/>
        </w:rPr>
        <w:t>Gamefulness</w:t>
      </w:r>
      <w:proofErr w:type="spellEnd"/>
      <w:r w:rsidRPr="00916D35">
        <w:rPr>
          <w:rFonts w:ascii="Arial" w:hAnsi="Arial" w:cs="Arial"/>
          <w:color w:val="232323"/>
          <w:sz w:val="20"/>
          <w:szCs w:val="20"/>
          <w:shd w:val="clear" w:color="auto" w:fill="FFFFFF"/>
        </w:rPr>
        <w:t xml:space="preserve">: Defining Gamification. </w:t>
      </w:r>
      <w:r w:rsidRPr="00916D35">
        <w:rPr>
          <w:rFonts w:ascii="Arial" w:hAnsi="Arial" w:cs="Arial"/>
          <w:i/>
          <w:iCs/>
          <w:color w:val="232323"/>
          <w:sz w:val="20"/>
          <w:szCs w:val="20"/>
          <w:shd w:val="clear" w:color="auto" w:fill="FFFFFF"/>
        </w:rPr>
        <w:t xml:space="preserve">In Proceedings of the 15th International Academic </w:t>
      </w:r>
      <w:proofErr w:type="spellStart"/>
      <w:r w:rsidRPr="00916D35">
        <w:rPr>
          <w:rFonts w:ascii="Arial" w:hAnsi="Arial" w:cs="Arial"/>
          <w:i/>
          <w:iCs/>
          <w:color w:val="232323"/>
          <w:sz w:val="20"/>
          <w:szCs w:val="20"/>
          <w:shd w:val="clear" w:color="auto" w:fill="FFFFFF"/>
        </w:rPr>
        <w:t>MindTrek</w:t>
      </w:r>
      <w:proofErr w:type="spellEnd"/>
      <w:r w:rsidRPr="00916D35">
        <w:rPr>
          <w:rFonts w:ascii="Arial" w:hAnsi="Arial" w:cs="Arial"/>
          <w:i/>
          <w:iCs/>
          <w:color w:val="232323"/>
          <w:sz w:val="20"/>
          <w:szCs w:val="20"/>
          <w:shd w:val="clear" w:color="auto" w:fill="FFFFFF"/>
        </w:rPr>
        <w:t xml:space="preserve"> Conference</w:t>
      </w:r>
      <w:r w:rsidRPr="00916D35">
        <w:rPr>
          <w:rFonts w:ascii="Arial" w:hAnsi="Arial" w:cs="Arial"/>
          <w:color w:val="232323"/>
          <w:sz w:val="20"/>
          <w:szCs w:val="20"/>
          <w:shd w:val="clear" w:color="auto" w:fill="FFFFFF"/>
        </w:rPr>
        <w:t>: Envisioning Future Media Environments (pp. 9-15). </w:t>
      </w:r>
    </w:p>
    <w:p w14:paraId="646CB733" w14:textId="19CA1E28" w:rsidR="007E6E19" w:rsidRPr="00916D35"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Dichev, C., &amp; </w:t>
      </w:r>
      <w:proofErr w:type="spellStart"/>
      <w:r w:rsidRPr="00916D35">
        <w:rPr>
          <w:rFonts w:ascii="Arial" w:eastAsia="Times New Roman" w:hAnsi="Arial" w:cs="Arial"/>
          <w:color w:val="000000"/>
          <w:sz w:val="20"/>
          <w:szCs w:val="20"/>
        </w:rPr>
        <w:t>Dicheva</w:t>
      </w:r>
      <w:proofErr w:type="spellEnd"/>
      <w:r w:rsidRPr="00916D35">
        <w:rPr>
          <w:rFonts w:ascii="Arial" w:eastAsia="Times New Roman" w:hAnsi="Arial" w:cs="Arial"/>
          <w:color w:val="000000"/>
          <w:sz w:val="20"/>
          <w:szCs w:val="20"/>
        </w:rPr>
        <w:t>, D. (2017). Gamifying education: what is known, what is believed</w:t>
      </w:r>
      <w:r w:rsidR="00A24D6A" w:rsidRPr="00916D35">
        <w:rPr>
          <w:rFonts w:ascii="Arial" w:eastAsia="Times New Roman" w:hAnsi="Arial" w:cs="Arial"/>
          <w:color w:val="000000"/>
          <w:sz w:val="20"/>
          <w:szCs w:val="20"/>
        </w:rPr>
        <w:t>,</w:t>
      </w:r>
      <w:r w:rsidRPr="00916D35">
        <w:rPr>
          <w:rFonts w:ascii="Arial" w:eastAsia="Times New Roman" w:hAnsi="Arial" w:cs="Arial"/>
          <w:color w:val="000000"/>
          <w:sz w:val="20"/>
          <w:szCs w:val="20"/>
        </w:rPr>
        <w:t xml:space="preserve"> and what remains uncertain: a critical review. </w:t>
      </w:r>
      <w:r w:rsidRPr="00916D35">
        <w:rPr>
          <w:rFonts w:ascii="Arial" w:eastAsia="Times New Roman" w:hAnsi="Arial" w:cs="Arial"/>
          <w:i/>
          <w:color w:val="000000"/>
          <w:sz w:val="20"/>
          <w:szCs w:val="20"/>
        </w:rPr>
        <w:t>International Journal of Educational Technology in Higher Education</w:t>
      </w:r>
      <w:r w:rsidRPr="00916D35">
        <w:rPr>
          <w:rFonts w:ascii="Arial" w:eastAsia="Times New Roman" w:hAnsi="Arial" w:cs="Arial"/>
          <w:color w:val="000000"/>
          <w:sz w:val="20"/>
          <w:szCs w:val="20"/>
        </w:rPr>
        <w:t>, </w:t>
      </w:r>
      <w:r w:rsidRPr="00916D35">
        <w:rPr>
          <w:rFonts w:ascii="Arial" w:eastAsia="Times New Roman" w:hAnsi="Arial" w:cs="Arial"/>
          <w:i/>
          <w:color w:val="000000"/>
          <w:sz w:val="20"/>
          <w:szCs w:val="20"/>
        </w:rPr>
        <w:t>14</w:t>
      </w:r>
      <w:r w:rsidRPr="00916D35">
        <w:rPr>
          <w:rFonts w:ascii="Arial" w:eastAsia="Times New Roman" w:hAnsi="Arial" w:cs="Arial"/>
          <w:color w:val="000000"/>
          <w:sz w:val="20"/>
          <w:szCs w:val="20"/>
        </w:rPr>
        <w:t>(1), 9.</w:t>
      </w:r>
    </w:p>
    <w:p w14:paraId="646CB734" w14:textId="5AF0DE22" w:rsidR="007E6E19" w:rsidRDefault="00C473FF"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916D35">
        <w:rPr>
          <w:rFonts w:ascii="Arial" w:eastAsia="Times New Roman" w:hAnsi="Arial" w:cs="Arial"/>
          <w:color w:val="000000"/>
          <w:sz w:val="20"/>
          <w:szCs w:val="20"/>
        </w:rPr>
        <w:t xml:space="preserve">Garland, C. M. (2015). </w:t>
      </w:r>
      <w:r w:rsidRPr="00916D35">
        <w:rPr>
          <w:rFonts w:ascii="Arial" w:eastAsia="Times New Roman" w:hAnsi="Arial" w:cs="Arial"/>
          <w:i/>
          <w:iCs/>
          <w:color w:val="000000"/>
          <w:sz w:val="20"/>
          <w:szCs w:val="20"/>
        </w:rPr>
        <w:t xml:space="preserve">Gamification and implications for second language education: a </w:t>
      </w:r>
      <w:r w:rsidR="00A24D6A" w:rsidRPr="00916D35">
        <w:rPr>
          <w:rFonts w:ascii="Arial" w:eastAsia="Times New Roman" w:hAnsi="Arial" w:cs="Arial"/>
          <w:i/>
          <w:iCs/>
          <w:color w:val="000000"/>
          <w:sz w:val="20"/>
          <w:szCs w:val="20"/>
        </w:rPr>
        <w:t>meta-analysis</w:t>
      </w:r>
      <w:r w:rsidRPr="00916D35">
        <w:rPr>
          <w:rFonts w:ascii="Arial" w:eastAsia="Times New Roman" w:hAnsi="Arial" w:cs="Arial"/>
          <w:i/>
          <w:iCs/>
          <w:color w:val="000000"/>
          <w:sz w:val="20"/>
          <w:szCs w:val="20"/>
        </w:rPr>
        <w:t xml:space="preserve">. </w:t>
      </w:r>
      <w:r w:rsidRPr="00916D35">
        <w:rPr>
          <w:rFonts w:ascii="Arial" w:eastAsia="Times New Roman" w:hAnsi="Arial" w:cs="Arial"/>
          <w:color w:val="000000"/>
          <w:sz w:val="20"/>
          <w:szCs w:val="20"/>
        </w:rPr>
        <w:t>(Doctoral dissertation). St. Cloud State University, St. Cloud.</w:t>
      </w:r>
    </w:p>
    <w:p w14:paraId="1DCBC8FC" w14:textId="6A4BCE0D" w:rsidR="00D7161D" w:rsidRPr="00916D35" w:rsidRDefault="00D7161D" w:rsidP="0046531C">
      <w:pPr>
        <w:pBdr>
          <w:top w:val="nil"/>
          <w:left w:val="nil"/>
          <w:bottom w:val="nil"/>
          <w:right w:val="nil"/>
          <w:between w:val="nil"/>
        </w:pBdr>
        <w:spacing w:line="360" w:lineRule="auto"/>
        <w:jc w:val="both"/>
        <w:rPr>
          <w:rFonts w:ascii="Arial" w:eastAsia="Times New Roman" w:hAnsi="Arial" w:cs="Arial"/>
          <w:color w:val="000000"/>
          <w:sz w:val="20"/>
          <w:szCs w:val="20"/>
        </w:rPr>
      </w:pPr>
      <w:r w:rsidRPr="00D7161D">
        <w:rPr>
          <w:rFonts w:ascii="Arial" w:eastAsia="Times New Roman" w:hAnsi="Arial" w:cs="Arial"/>
          <w:color w:val="000000"/>
          <w:sz w:val="20"/>
          <w:szCs w:val="20"/>
        </w:rPr>
        <w:t>Giray Jr., A</w:t>
      </w:r>
      <w:r>
        <w:rPr>
          <w:rFonts w:ascii="Arial" w:eastAsia="Times New Roman" w:hAnsi="Arial" w:cs="Arial"/>
          <w:color w:val="000000"/>
          <w:sz w:val="20"/>
          <w:szCs w:val="20"/>
        </w:rPr>
        <w:t xml:space="preserve">. </w:t>
      </w:r>
      <w:r w:rsidRPr="00D7161D">
        <w:rPr>
          <w:rFonts w:ascii="Arial" w:eastAsia="Times New Roman" w:hAnsi="Arial" w:cs="Arial"/>
          <w:color w:val="000000"/>
          <w:sz w:val="20"/>
          <w:szCs w:val="20"/>
        </w:rPr>
        <w:t xml:space="preserve">L., </w:t>
      </w:r>
      <w:r>
        <w:rPr>
          <w:rFonts w:ascii="Arial" w:eastAsia="Times New Roman" w:hAnsi="Arial" w:cs="Arial"/>
          <w:color w:val="000000"/>
          <w:sz w:val="20"/>
          <w:szCs w:val="20"/>
        </w:rPr>
        <w:t>&amp;</w:t>
      </w:r>
      <w:r w:rsidRPr="00D7161D">
        <w:rPr>
          <w:rFonts w:ascii="Arial" w:eastAsia="Times New Roman" w:hAnsi="Arial" w:cs="Arial"/>
          <w:color w:val="000000"/>
          <w:sz w:val="20"/>
          <w:szCs w:val="20"/>
        </w:rPr>
        <w:t xml:space="preserve"> </w:t>
      </w:r>
      <w:proofErr w:type="spellStart"/>
      <w:r w:rsidRPr="00D7161D">
        <w:rPr>
          <w:rFonts w:ascii="Arial" w:eastAsia="Times New Roman" w:hAnsi="Arial" w:cs="Arial"/>
          <w:color w:val="000000"/>
          <w:sz w:val="20"/>
          <w:szCs w:val="20"/>
        </w:rPr>
        <w:t>Ballado</w:t>
      </w:r>
      <w:proofErr w:type="spellEnd"/>
      <w:r>
        <w:rPr>
          <w:rFonts w:ascii="Arial" w:eastAsia="Times New Roman" w:hAnsi="Arial" w:cs="Arial"/>
          <w:color w:val="000000"/>
          <w:sz w:val="20"/>
          <w:szCs w:val="20"/>
        </w:rPr>
        <w:t>, R. S.,</w:t>
      </w:r>
      <w:r w:rsidRPr="00D7161D">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Pr="00D7161D">
        <w:rPr>
          <w:rFonts w:ascii="Arial" w:eastAsia="Times New Roman" w:hAnsi="Arial" w:cs="Arial"/>
          <w:color w:val="000000"/>
          <w:sz w:val="20"/>
          <w:szCs w:val="20"/>
        </w:rPr>
        <w:t>2025</w:t>
      </w:r>
      <w:r>
        <w:rPr>
          <w:rFonts w:ascii="Arial" w:eastAsia="Times New Roman" w:hAnsi="Arial" w:cs="Arial"/>
          <w:color w:val="000000"/>
          <w:sz w:val="20"/>
          <w:szCs w:val="20"/>
        </w:rPr>
        <w:t>)</w:t>
      </w:r>
      <w:r w:rsidRPr="00D7161D">
        <w:rPr>
          <w:rFonts w:ascii="Arial" w:eastAsia="Times New Roman" w:hAnsi="Arial" w:cs="Arial"/>
          <w:color w:val="000000"/>
          <w:sz w:val="20"/>
          <w:szCs w:val="20"/>
        </w:rPr>
        <w:t>. “Gamification Techniques in Enhancing English for Elementary Level Students”. </w:t>
      </w:r>
      <w:r w:rsidRPr="00D7161D">
        <w:rPr>
          <w:rFonts w:ascii="Arial" w:eastAsia="Times New Roman" w:hAnsi="Arial" w:cs="Arial"/>
          <w:i/>
          <w:iCs/>
          <w:color w:val="000000"/>
          <w:sz w:val="20"/>
          <w:szCs w:val="20"/>
        </w:rPr>
        <w:t>Asian Journal of Advanced Research and Reports</w:t>
      </w:r>
      <w:r w:rsidRPr="00D7161D">
        <w:rPr>
          <w:rFonts w:ascii="Arial" w:eastAsia="Times New Roman" w:hAnsi="Arial" w:cs="Arial"/>
          <w:color w:val="000000"/>
          <w:sz w:val="20"/>
          <w:szCs w:val="20"/>
        </w:rPr>
        <w:t> 19 (4):176-84. https://doi.org/10.9734/ajarr/2025/v19i4972.</w:t>
      </w:r>
    </w:p>
    <w:p w14:paraId="646CB735" w14:textId="77777777" w:rsidR="00725C00" w:rsidRPr="00916D35" w:rsidRDefault="00725C00" w:rsidP="0046531C">
      <w:pPr>
        <w:pStyle w:val="NoSpacing"/>
        <w:spacing w:line="360" w:lineRule="auto"/>
        <w:rPr>
          <w:rFonts w:ascii="Arial" w:hAnsi="Arial" w:cs="Arial"/>
          <w:sz w:val="20"/>
          <w:szCs w:val="20"/>
        </w:rPr>
      </w:pPr>
      <w:r w:rsidRPr="00916D35">
        <w:rPr>
          <w:rFonts w:ascii="Arial" w:hAnsi="Arial" w:cs="Arial"/>
          <w:sz w:val="20"/>
          <w:szCs w:val="20"/>
        </w:rPr>
        <w:t>Huang, B., Hew, K. F., &amp; Lo, C. K. (2020). Investigating the effects of gamification-enhanced flipped learning on undergraduate students’ behavioral and cognitive engagement. </w:t>
      </w:r>
      <w:r w:rsidRPr="00916D35">
        <w:rPr>
          <w:rFonts w:ascii="Arial" w:hAnsi="Arial" w:cs="Arial"/>
          <w:i/>
          <w:iCs/>
          <w:sz w:val="20"/>
          <w:szCs w:val="20"/>
        </w:rPr>
        <w:t>Interactive Learning Environments, 28</w:t>
      </w:r>
      <w:r w:rsidRPr="00916D35">
        <w:rPr>
          <w:rFonts w:ascii="Arial" w:hAnsi="Arial" w:cs="Arial"/>
          <w:sz w:val="20"/>
          <w:szCs w:val="20"/>
        </w:rPr>
        <w:t xml:space="preserve">(8), 1061–1077. </w:t>
      </w:r>
      <w:hyperlink r:id="rId22" w:history="1">
        <w:r w:rsidR="00A7708B" w:rsidRPr="00916D35">
          <w:rPr>
            <w:rStyle w:val="Hyperlink"/>
            <w:rFonts w:ascii="Arial" w:eastAsia="Times New Roman" w:hAnsi="Arial" w:cs="Arial"/>
            <w:spacing w:val="1"/>
            <w:sz w:val="20"/>
            <w:szCs w:val="20"/>
          </w:rPr>
          <w:t>https://doi.org/10.1080/10494820.2018.1495653</w:t>
        </w:r>
      </w:hyperlink>
    </w:p>
    <w:p w14:paraId="646CB738" w14:textId="7E08531D" w:rsidR="007E6E19" w:rsidRPr="00916D35" w:rsidRDefault="00C473FF" w:rsidP="0046531C">
      <w:pPr>
        <w:shd w:val="clear" w:color="auto" w:fill="FFFFFF"/>
        <w:spacing w:after="0" w:line="360" w:lineRule="auto"/>
        <w:jc w:val="both"/>
        <w:rPr>
          <w:rFonts w:ascii="Arial" w:eastAsia="Times New Roman" w:hAnsi="Arial" w:cs="Arial"/>
          <w:sz w:val="20"/>
          <w:szCs w:val="20"/>
        </w:rPr>
      </w:pPr>
      <w:r w:rsidRPr="00916D35">
        <w:rPr>
          <w:rFonts w:ascii="Arial" w:eastAsia="Georgia" w:hAnsi="Arial" w:cs="Arial"/>
          <w:color w:val="1F1F1F"/>
          <w:sz w:val="20"/>
          <w:szCs w:val="20"/>
        </w:rPr>
        <w:t>Lave, J. &amp; Wenger, E. (1991).</w:t>
      </w:r>
      <w:r w:rsidR="00125C52" w:rsidRPr="00916D35">
        <w:rPr>
          <w:rFonts w:ascii="Arial" w:eastAsia="Georgia" w:hAnsi="Arial" w:cs="Arial"/>
          <w:color w:val="1F1F1F"/>
          <w:sz w:val="20"/>
          <w:szCs w:val="20"/>
        </w:rPr>
        <w:t xml:space="preserve"> </w:t>
      </w:r>
      <w:r w:rsidRPr="00916D35">
        <w:rPr>
          <w:rFonts w:ascii="Arial" w:eastAsia="Georgia" w:hAnsi="Arial" w:cs="Arial"/>
          <w:i/>
          <w:iCs/>
          <w:color w:val="1F1F1F"/>
          <w:sz w:val="20"/>
          <w:szCs w:val="20"/>
        </w:rPr>
        <w:t>Situated learning: Legitimate peripheral participation</w:t>
      </w:r>
      <w:r w:rsidRPr="00916D35">
        <w:rPr>
          <w:rFonts w:ascii="Arial" w:eastAsia="Georgia" w:hAnsi="Arial" w:cs="Arial"/>
          <w:color w:val="1F1F1F"/>
          <w:sz w:val="20"/>
          <w:szCs w:val="20"/>
        </w:rPr>
        <w:t xml:space="preserve">. </w:t>
      </w:r>
      <w:r w:rsidRPr="00916D35">
        <w:rPr>
          <w:rFonts w:ascii="Arial" w:eastAsia="Times New Roman" w:hAnsi="Arial" w:cs="Arial"/>
          <w:sz w:val="20"/>
          <w:szCs w:val="20"/>
        </w:rPr>
        <w:t>Cambridge University Press (1991)</w:t>
      </w:r>
    </w:p>
    <w:p w14:paraId="646CB739" w14:textId="77777777" w:rsidR="007E6E19" w:rsidRPr="00916D35" w:rsidRDefault="005B5745" w:rsidP="0046531C">
      <w:pPr>
        <w:shd w:val="clear" w:color="auto" w:fill="FFFFFF"/>
        <w:spacing w:after="0" w:line="360" w:lineRule="auto"/>
        <w:jc w:val="both"/>
        <w:rPr>
          <w:rFonts w:ascii="Arial" w:eastAsia="Times New Roman" w:hAnsi="Arial" w:cs="Arial"/>
          <w:color w:val="707070"/>
          <w:sz w:val="20"/>
          <w:szCs w:val="20"/>
        </w:rPr>
      </w:pPr>
      <w:hyperlink r:id="rId23">
        <w:r w:rsidR="00C473FF" w:rsidRPr="00916D35">
          <w:rPr>
            <w:rFonts w:ascii="Arial" w:eastAsia="Times New Roman" w:hAnsi="Arial" w:cs="Arial"/>
            <w:color w:val="0000FF"/>
            <w:sz w:val="20"/>
            <w:szCs w:val="20"/>
          </w:rPr>
          <w:t>https://books.google.de/books?id=ZVogAwAAQBAJ&amp;hl=de</w:t>
        </w:r>
      </w:hyperlink>
    </w:p>
    <w:p w14:paraId="646CB73A" w14:textId="77777777" w:rsidR="007E6E19" w:rsidRPr="00916D35" w:rsidRDefault="00C473FF" w:rsidP="0046531C">
      <w:pPr>
        <w:shd w:val="clear" w:color="auto" w:fill="FFFFFF"/>
        <w:spacing w:before="240" w:line="360" w:lineRule="auto"/>
        <w:jc w:val="both"/>
        <w:rPr>
          <w:rFonts w:ascii="Arial" w:eastAsia="Times New Roman" w:hAnsi="Arial" w:cs="Arial"/>
          <w:color w:val="000000" w:themeColor="text1"/>
          <w:sz w:val="20"/>
          <w:szCs w:val="20"/>
        </w:rPr>
      </w:pPr>
      <w:r w:rsidRPr="00916D35">
        <w:rPr>
          <w:rFonts w:ascii="Arial" w:eastAsia="Times New Roman" w:hAnsi="Arial" w:cs="Arial"/>
          <w:color w:val="000000" w:themeColor="text1"/>
          <w:sz w:val="20"/>
          <w:szCs w:val="20"/>
        </w:rPr>
        <w:t xml:space="preserve">Locke, E.A. &amp; Latham, G.P. (2002). Building a practically useful theory of goal setting and task motivation. </w:t>
      </w:r>
      <w:r w:rsidRPr="00916D35">
        <w:rPr>
          <w:rFonts w:ascii="Arial" w:eastAsia="Times New Roman" w:hAnsi="Arial" w:cs="Arial"/>
          <w:i/>
          <w:iCs/>
          <w:color w:val="000000" w:themeColor="text1"/>
          <w:sz w:val="20"/>
          <w:szCs w:val="20"/>
        </w:rPr>
        <w:t>American Psychologist</w:t>
      </w:r>
      <w:r w:rsidRPr="00916D35">
        <w:rPr>
          <w:rFonts w:ascii="Arial" w:eastAsia="Times New Roman" w:hAnsi="Arial" w:cs="Arial"/>
          <w:color w:val="000000" w:themeColor="text1"/>
          <w:sz w:val="20"/>
          <w:szCs w:val="20"/>
        </w:rPr>
        <w:t>, 57 (9) (2002), pp. 705-717, 10.1037/0003-066X.57.9.705</w:t>
      </w:r>
    </w:p>
    <w:p w14:paraId="646CB73B" w14:textId="24D2F2B4" w:rsidR="00A56455" w:rsidRPr="00916D35" w:rsidRDefault="00A56455" w:rsidP="0046531C">
      <w:pPr>
        <w:pStyle w:val="NoSpacing"/>
        <w:spacing w:line="360" w:lineRule="auto"/>
        <w:rPr>
          <w:rFonts w:ascii="Arial" w:hAnsi="Arial" w:cs="Arial"/>
          <w:color w:val="0563C1"/>
          <w:sz w:val="20"/>
          <w:szCs w:val="20"/>
          <w:u w:val="single"/>
        </w:rPr>
      </w:pPr>
      <w:proofErr w:type="spellStart"/>
      <w:r w:rsidRPr="00916D35">
        <w:rPr>
          <w:rFonts w:ascii="Arial" w:hAnsi="Arial" w:cs="Arial"/>
          <w:sz w:val="20"/>
          <w:szCs w:val="20"/>
        </w:rPr>
        <w:t>Minzi</w:t>
      </w:r>
      <w:proofErr w:type="spellEnd"/>
      <w:r w:rsidRPr="00916D35">
        <w:rPr>
          <w:rFonts w:ascii="Arial" w:hAnsi="Arial" w:cs="Arial"/>
          <w:sz w:val="20"/>
          <w:szCs w:val="20"/>
        </w:rPr>
        <w:t>, Li., Siyu, Ma., &amp; Yuyang, Shi. (2023). Examining the effectiveness of gamification as a tool promoting teaching and learning in educational settings: a meta-analysis</w:t>
      </w:r>
      <w:r w:rsidRPr="00916D35">
        <w:rPr>
          <w:rFonts w:ascii="Arial" w:hAnsi="Arial" w:cs="Arial"/>
          <w:i/>
          <w:iCs/>
          <w:sz w:val="20"/>
          <w:szCs w:val="20"/>
        </w:rPr>
        <w:t>. Frontiers in Psychology</w:t>
      </w:r>
      <w:r w:rsidRPr="00916D35">
        <w:rPr>
          <w:rFonts w:ascii="Arial" w:hAnsi="Arial" w:cs="Arial"/>
          <w:sz w:val="20"/>
          <w:szCs w:val="20"/>
        </w:rPr>
        <w:t xml:space="preserve">, 14, </w:t>
      </w:r>
      <w:hyperlink r:id="rId24">
        <w:r w:rsidRPr="00916D35">
          <w:rPr>
            <w:rFonts w:ascii="Arial" w:hAnsi="Arial" w:cs="Arial"/>
            <w:color w:val="0563C1"/>
            <w:sz w:val="20"/>
            <w:szCs w:val="20"/>
            <w:u w:val="single"/>
          </w:rPr>
          <w:t>https://www.frontiersin.org/journals/psychology/articles/10.3389/fpsyg.2023.1253549</w:t>
        </w:r>
      </w:hyperlink>
    </w:p>
    <w:p w14:paraId="646CB73C" w14:textId="77777777" w:rsidR="005127E2" w:rsidRPr="00916D35" w:rsidRDefault="00107EF2" w:rsidP="0046531C">
      <w:pPr>
        <w:shd w:val="clear" w:color="auto" w:fill="FFFFFF"/>
        <w:spacing w:before="240" w:line="360" w:lineRule="auto"/>
        <w:jc w:val="both"/>
        <w:rPr>
          <w:rFonts w:ascii="Arial" w:eastAsia="Times New Roman" w:hAnsi="Arial" w:cs="Arial"/>
          <w:color w:val="707070"/>
          <w:sz w:val="20"/>
          <w:szCs w:val="20"/>
        </w:rPr>
      </w:pPr>
      <w:r w:rsidRPr="00916D35">
        <w:rPr>
          <w:rFonts w:ascii="Arial" w:eastAsia="Times New Roman" w:hAnsi="Arial" w:cs="Arial"/>
          <w:sz w:val="20"/>
          <w:szCs w:val="20"/>
        </w:rPr>
        <w:t>Mouna D., Ahmed T., Fathi E., Mohamed J.</w:t>
      </w:r>
      <w:r w:rsidR="005127E2" w:rsidRPr="00916D35">
        <w:rPr>
          <w:rFonts w:ascii="Arial" w:eastAsia="Times New Roman" w:hAnsi="Arial" w:cs="Arial"/>
          <w:sz w:val="20"/>
          <w:szCs w:val="20"/>
        </w:rPr>
        <w:t>,</w:t>
      </w:r>
      <w:r w:rsidRPr="00916D35">
        <w:rPr>
          <w:rFonts w:ascii="Arial" w:eastAsia="Times New Roman" w:hAnsi="Arial" w:cs="Arial"/>
          <w:sz w:val="20"/>
          <w:szCs w:val="20"/>
        </w:rPr>
        <w:t xml:space="preserve"> Nian-Shing C., &amp; Daniel B. (2021)</w:t>
      </w:r>
      <w:r w:rsidR="008E68C8" w:rsidRPr="00916D35">
        <w:rPr>
          <w:rFonts w:ascii="Arial" w:eastAsia="Times New Roman" w:hAnsi="Arial" w:cs="Arial"/>
          <w:sz w:val="20"/>
          <w:szCs w:val="20"/>
        </w:rPr>
        <w:t xml:space="preserve">. </w:t>
      </w:r>
      <w:r w:rsidR="005127E2" w:rsidRPr="00916D35">
        <w:rPr>
          <w:rFonts w:ascii="Arial" w:eastAsia="Times New Roman" w:hAnsi="Arial" w:cs="Arial"/>
          <w:sz w:val="20"/>
          <w:szCs w:val="20"/>
        </w:rPr>
        <w:t>Effects of gender and personality differences on students’ perception of game design eleme</w:t>
      </w:r>
      <w:r w:rsidRPr="00916D35">
        <w:rPr>
          <w:rFonts w:ascii="Arial" w:eastAsia="Times New Roman" w:hAnsi="Arial" w:cs="Arial"/>
          <w:sz w:val="20"/>
          <w:szCs w:val="20"/>
        </w:rPr>
        <w:t xml:space="preserve">nts in educational gamification. </w:t>
      </w:r>
      <w:r w:rsidR="005127E2" w:rsidRPr="00916D35">
        <w:rPr>
          <w:rFonts w:ascii="Arial" w:eastAsia="Times New Roman" w:hAnsi="Arial" w:cs="Arial"/>
          <w:i/>
          <w:iCs/>
          <w:sz w:val="20"/>
          <w:szCs w:val="20"/>
        </w:rPr>
        <w:t>International Journal of Human-Computer Studies,</w:t>
      </w:r>
      <w:r w:rsidR="005127E2" w:rsidRPr="00916D35">
        <w:rPr>
          <w:rFonts w:ascii="Arial" w:eastAsia="Times New Roman" w:hAnsi="Arial" w:cs="Arial"/>
          <w:sz w:val="20"/>
          <w:szCs w:val="20"/>
        </w:rPr>
        <w:t xml:space="preserve"> </w:t>
      </w:r>
      <w:r w:rsidRPr="00916D35">
        <w:rPr>
          <w:rFonts w:ascii="Arial" w:eastAsia="Times New Roman" w:hAnsi="Arial" w:cs="Arial"/>
          <w:sz w:val="20"/>
          <w:szCs w:val="20"/>
        </w:rPr>
        <w:t xml:space="preserve">Volume 154. </w:t>
      </w:r>
      <w:hyperlink r:id="rId25" w:history="1">
        <w:r w:rsidR="008E68C8" w:rsidRPr="00916D35">
          <w:rPr>
            <w:rStyle w:val="Hyperlink"/>
            <w:rFonts w:ascii="Arial" w:eastAsia="Times New Roman" w:hAnsi="Arial" w:cs="Arial"/>
            <w:sz w:val="20"/>
            <w:szCs w:val="20"/>
          </w:rPr>
          <w:t>https://doi.org/10.1016/j.ijhcs.2021.102674</w:t>
        </w:r>
      </w:hyperlink>
      <w:r w:rsidRPr="00916D35">
        <w:rPr>
          <w:rFonts w:ascii="Arial" w:eastAsia="Times New Roman" w:hAnsi="Arial" w:cs="Arial"/>
          <w:color w:val="707070"/>
          <w:sz w:val="20"/>
          <w:szCs w:val="20"/>
        </w:rPr>
        <w:t>.</w:t>
      </w:r>
      <w:r w:rsidR="008E68C8" w:rsidRPr="00916D35">
        <w:rPr>
          <w:rFonts w:ascii="Arial" w:eastAsia="Times New Roman" w:hAnsi="Arial" w:cs="Arial"/>
          <w:color w:val="707070"/>
          <w:sz w:val="20"/>
          <w:szCs w:val="20"/>
        </w:rPr>
        <w:t xml:space="preserve"> </w:t>
      </w:r>
      <w:r w:rsidRPr="00916D35">
        <w:rPr>
          <w:rFonts w:ascii="Arial" w:eastAsia="Times New Roman" w:hAnsi="Arial" w:cs="Arial"/>
          <w:color w:val="707070"/>
          <w:sz w:val="20"/>
          <w:szCs w:val="20"/>
        </w:rPr>
        <w:t>(</w:t>
      </w:r>
      <w:hyperlink r:id="rId26" w:history="1">
        <w:r w:rsidR="003B28A6" w:rsidRPr="00916D35">
          <w:rPr>
            <w:rStyle w:val="Hyperlink"/>
            <w:rFonts w:ascii="Arial" w:eastAsia="Times New Roman" w:hAnsi="Arial" w:cs="Arial"/>
            <w:sz w:val="20"/>
            <w:szCs w:val="20"/>
          </w:rPr>
          <w:t>https://www.sciencedirect.com/science/article/pii/S1071581921000926</w:t>
        </w:r>
      </w:hyperlink>
      <w:r w:rsidRPr="00916D35">
        <w:rPr>
          <w:rFonts w:ascii="Arial" w:eastAsia="Times New Roman" w:hAnsi="Arial" w:cs="Arial"/>
          <w:color w:val="707070"/>
          <w:sz w:val="20"/>
          <w:szCs w:val="20"/>
        </w:rPr>
        <w:t>)</w:t>
      </w:r>
    </w:p>
    <w:p w14:paraId="646CB73D" w14:textId="3F880300" w:rsidR="003B28A6" w:rsidRPr="00916D35" w:rsidRDefault="00730CCD" w:rsidP="0046531C">
      <w:pPr>
        <w:shd w:val="clear" w:color="auto" w:fill="FFFFFF"/>
        <w:spacing w:line="360" w:lineRule="auto"/>
        <w:jc w:val="both"/>
        <w:rPr>
          <w:rFonts w:ascii="Arial" w:hAnsi="Arial" w:cs="Arial"/>
          <w:sz w:val="20"/>
          <w:szCs w:val="20"/>
        </w:rPr>
      </w:pPr>
      <w:proofErr w:type="spellStart"/>
      <w:r w:rsidRPr="00916D35">
        <w:rPr>
          <w:rFonts w:ascii="Arial" w:hAnsi="Arial" w:cs="Arial"/>
          <w:sz w:val="20"/>
          <w:szCs w:val="20"/>
        </w:rPr>
        <w:t>Obielodan</w:t>
      </w:r>
      <w:proofErr w:type="spellEnd"/>
      <w:r w:rsidRPr="00916D35">
        <w:rPr>
          <w:rFonts w:ascii="Arial" w:hAnsi="Arial" w:cs="Arial"/>
          <w:sz w:val="20"/>
          <w:szCs w:val="20"/>
        </w:rPr>
        <w:t xml:space="preserve"> O. O., Akomolafe P. O., </w:t>
      </w:r>
      <w:proofErr w:type="spellStart"/>
      <w:r w:rsidRPr="00916D35">
        <w:rPr>
          <w:rFonts w:ascii="Arial" w:hAnsi="Arial" w:cs="Arial"/>
          <w:sz w:val="20"/>
          <w:szCs w:val="20"/>
        </w:rPr>
        <w:t>Onojah</w:t>
      </w:r>
      <w:proofErr w:type="spellEnd"/>
      <w:r w:rsidRPr="00916D35">
        <w:rPr>
          <w:rFonts w:ascii="Arial" w:hAnsi="Arial" w:cs="Arial"/>
          <w:sz w:val="20"/>
          <w:szCs w:val="20"/>
        </w:rPr>
        <w:t xml:space="preserve"> A. O., Nuhu K. M.</w:t>
      </w:r>
      <w:r w:rsidR="001565DA" w:rsidRPr="00916D35">
        <w:rPr>
          <w:rFonts w:ascii="Arial" w:hAnsi="Arial" w:cs="Arial"/>
          <w:sz w:val="20"/>
          <w:szCs w:val="20"/>
        </w:rPr>
        <w:t xml:space="preserve">, </w:t>
      </w:r>
      <w:r w:rsidRPr="00916D35">
        <w:rPr>
          <w:rFonts w:ascii="Arial" w:hAnsi="Arial" w:cs="Arial"/>
          <w:sz w:val="20"/>
          <w:szCs w:val="20"/>
        </w:rPr>
        <w:t xml:space="preserve">&amp; </w:t>
      </w:r>
      <w:proofErr w:type="spellStart"/>
      <w:r w:rsidRPr="00916D35">
        <w:rPr>
          <w:rFonts w:ascii="Arial" w:hAnsi="Arial" w:cs="Arial"/>
          <w:sz w:val="20"/>
          <w:szCs w:val="20"/>
        </w:rPr>
        <w:t>Onojah</w:t>
      </w:r>
      <w:proofErr w:type="spellEnd"/>
      <w:r w:rsidRPr="00916D35">
        <w:rPr>
          <w:rFonts w:ascii="Arial" w:hAnsi="Arial" w:cs="Arial"/>
          <w:sz w:val="20"/>
          <w:szCs w:val="20"/>
        </w:rPr>
        <w:t xml:space="preserve"> A. A</w:t>
      </w:r>
      <w:r w:rsidR="001565DA" w:rsidRPr="00916D35">
        <w:rPr>
          <w:rFonts w:ascii="Arial" w:hAnsi="Arial" w:cs="Arial"/>
          <w:sz w:val="20"/>
          <w:szCs w:val="20"/>
        </w:rPr>
        <w:t xml:space="preserve">. (2022). Acquirable of Low-Technological Devices for Learning in Special Schools. </w:t>
      </w:r>
      <w:r w:rsidRPr="00916D35">
        <w:rPr>
          <w:rFonts w:ascii="Arial" w:hAnsi="Arial" w:cs="Arial"/>
          <w:i/>
          <w:iCs/>
          <w:sz w:val="20"/>
          <w:szCs w:val="20"/>
        </w:rPr>
        <w:t>Indonesian Journal of Community and Special Needs Education</w:t>
      </w:r>
      <w:r w:rsidR="00775074" w:rsidRPr="00916D35">
        <w:rPr>
          <w:rFonts w:ascii="Arial" w:hAnsi="Arial" w:cs="Arial"/>
          <w:sz w:val="20"/>
          <w:szCs w:val="20"/>
        </w:rPr>
        <w:t>,</w:t>
      </w:r>
      <w:r w:rsidRPr="00916D35">
        <w:rPr>
          <w:rFonts w:ascii="Arial" w:hAnsi="Arial" w:cs="Arial"/>
          <w:sz w:val="20"/>
          <w:szCs w:val="20"/>
        </w:rPr>
        <w:t xml:space="preserve"> 2 (1), 11-16</w:t>
      </w:r>
    </w:p>
    <w:p w14:paraId="646CB73E" w14:textId="77777777" w:rsidR="007E6E19" w:rsidRPr="00916D35" w:rsidRDefault="003B28A6" w:rsidP="0046531C">
      <w:pPr>
        <w:spacing w:line="360" w:lineRule="auto"/>
        <w:jc w:val="both"/>
        <w:rPr>
          <w:rFonts w:ascii="Arial" w:hAnsi="Arial" w:cs="Arial"/>
          <w:sz w:val="20"/>
          <w:szCs w:val="20"/>
        </w:rPr>
      </w:pPr>
      <w:proofErr w:type="spellStart"/>
      <w:r w:rsidRPr="00916D35">
        <w:rPr>
          <w:rFonts w:ascii="Arial" w:hAnsi="Arial" w:cs="Arial"/>
          <w:sz w:val="20"/>
          <w:szCs w:val="20"/>
        </w:rPr>
        <w:lastRenderedPageBreak/>
        <w:t>Oguru</w:t>
      </w:r>
      <w:proofErr w:type="spellEnd"/>
      <w:r w:rsidRPr="00916D35">
        <w:rPr>
          <w:rFonts w:ascii="Arial" w:hAnsi="Arial" w:cs="Arial"/>
          <w:sz w:val="20"/>
          <w:szCs w:val="20"/>
        </w:rPr>
        <w:t xml:space="preserve">, C. O., &amp; Amie-Ogan, O. T. (2024). Inclusiveness of the girl-child in STEM education in public senior secondary schools in Rivers State. </w:t>
      </w:r>
      <w:r w:rsidRPr="00916D35">
        <w:rPr>
          <w:rFonts w:ascii="Arial" w:hAnsi="Arial" w:cs="Arial"/>
          <w:i/>
          <w:iCs/>
          <w:sz w:val="20"/>
          <w:szCs w:val="20"/>
        </w:rPr>
        <w:t xml:space="preserve">International Journal of Scientific Research in Education, </w:t>
      </w:r>
      <w:r w:rsidRPr="00916D35">
        <w:rPr>
          <w:rFonts w:ascii="Arial" w:hAnsi="Arial" w:cs="Arial"/>
          <w:sz w:val="20"/>
          <w:szCs w:val="20"/>
        </w:rPr>
        <w:t>17(1), 1-14.</w:t>
      </w:r>
    </w:p>
    <w:p w14:paraId="646CB73F" w14:textId="77777777" w:rsidR="00A7708B" w:rsidRPr="00916D35" w:rsidRDefault="00A7708B" w:rsidP="0046531C">
      <w:pPr>
        <w:spacing w:line="360" w:lineRule="auto"/>
        <w:rPr>
          <w:rStyle w:val="Hyperlink"/>
          <w:rFonts w:ascii="Arial" w:hAnsi="Arial" w:cs="Arial"/>
          <w:sz w:val="20"/>
          <w:szCs w:val="20"/>
        </w:rPr>
      </w:pPr>
      <w:proofErr w:type="spellStart"/>
      <w:r w:rsidRPr="005B5745">
        <w:rPr>
          <w:rFonts w:ascii="Arial" w:hAnsi="Arial" w:cs="Arial"/>
          <w:bCs/>
          <w:sz w:val="20"/>
          <w:szCs w:val="20"/>
          <w:highlight w:val="yellow"/>
        </w:rPr>
        <w:t>Okebukola</w:t>
      </w:r>
      <w:proofErr w:type="spellEnd"/>
      <w:r w:rsidRPr="005B5745">
        <w:rPr>
          <w:rFonts w:ascii="Arial" w:hAnsi="Arial" w:cs="Arial"/>
          <w:bCs/>
          <w:sz w:val="20"/>
          <w:szCs w:val="20"/>
          <w:highlight w:val="yellow"/>
        </w:rPr>
        <w:t>, P. (2021).</w:t>
      </w:r>
      <w:r w:rsidRPr="005B5745">
        <w:rPr>
          <w:rFonts w:ascii="Arial" w:hAnsi="Arial" w:cs="Arial"/>
          <w:sz w:val="20"/>
          <w:szCs w:val="20"/>
          <w:highlight w:val="yellow"/>
        </w:rPr>
        <w:t xml:space="preserve"> Revitalizing Education in Africa: The Nigerian Experience. </w:t>
      </w:r>
      <w:r w:rsidRPr="005B5745">
        <w:rPr>
          <w:rFonts w:ascii="Arial" w:hAnsi="Arial" w:cs="Arial"/>
          <w:i/>
          <w:iCs/>
          <w:sz w:val="20"/>
          <w:szCs w:val="20"/>
          <w:highlight w:val="yellow"/>
        </w:rPr>
        <w:t>International Review of Education,</w:t>
      </w:r>
      <w:r w:rsidRPr="005B5745">
        <w:rPr>
          <w:rFonts w:ascii="Arial" w:hAnsi="Arial" w:cs="Arial"/>
          <w:sz w:val="20"/>
          <w:szCs w:val="20"/>
          <w:highlight w:val="yellow"/>
        </w:rPr>
        <w:t xml:space="preserve"> 67(2), 215-233. </w:t>
      </w:r>
      <w:hyperlink r:id="rId27" w:history="1">
        <w:r w:rsidRPr="005B5745">
          <w:rPr>
            <w:rStyle w:val="Hyperlink"/>
            <w:rFonts w:ascii="Arial" w:hAnsi="Arial" w:cs="Arial"/>
            <w:sz w:val="20"/>
            <w:szCs w:val="20"/>
            <w:highlight w:val="yellow"/>
          </w:rPr>
          <w:t>https://doi.org/10.1007/s11159-021-09876-5</w:t>
        </w:r>
      </w:hyperlink>
      <w:bookmarkStart w:id="0" w:name="_GoBack"/>
      <w:bookmarkEnd w:id="0"/>
    </w:p>
    <w:p w14:paraId="646CB740" w14:textId="77777777" w:rsidR="00A56455" w:rsidRPr="00916D35" w:rsidRDefault="00A56455" w:rsidP="0046531C">
      <w:pPr>
        <w:pStyle w:val="NoSpacing"/>
        <w:spacing w:before="240" w:line="360" w:lineRule="auto"/>
        <w:rPr>
          <w:rStyle w:val="Hyperlink"/>
          <w:rFonts w:ascii="Arial" w:hAnsi="Arial" w:cs="Arial"/>
          <w:sz w:val="20"/>
          <w:szCs w:val="20"/>
        </w:rPr>
      </w:pPr>
      <w:r w:rsidRPr="00916D35">
        <w:rPr>
          <w:rFonts w:ascii="Arial" w:hAnsi="Arial" w:cs="Arial"/>
          <w:sz w:val="20"/>
          <w:szCs w:val="20"/>
        </w:rPr>
        <w:t xml:space="preserve">Plass, J. L., Homer, B. D., &amp; Kinzer, C. K. (2015). Foundations of Game-Based Learning. </w:t>
      </w:r>
      <w:r w:rsidRPr="00916D35">
        <w:rPr>
          <w:rFonts w:ascii="Arial" w:hAnsi="Arial" w:cs="Arial"/>
          <w:i/>
          <w:iCs/>
          <w:sz w:val="20"/>
          <w:szCs w:val="20"/>
        </w:rPr>
        <w:t>Educational Psychologist</w:t>
      </w:r>
      <w:r w:rsidRPr="00916D35">
        <w:rPr>
          <w:rFonts w:ascii="Arial" w:hAnsi="Arial" w:cs="Arial"/>
          <w:sz w:val="20"/>
          <w:szCs w:val="20"/>
        </w:rPr>
        <w:t xml:space="preserve">, 50, 258-283. </w:t>
      </w:r>
      <w:hyperlink r:id="rId28" w:history="1">
        <w:r w:rsidRPr="00916D35">
          <w:rPr>
            <w:rStyle w:val="Hyperlink"/>
            <w:rFonts w:ascii="Arial" w:hAnsi="Arial" w:cs="Arial"/>
            <w:sz w:val="20"/>
            <w:szCs w:val="20"/>
          </w:rPr>
          <w:t>https://doi.org/10.1080/00461520.2015.1122533</w:t>
        </w:r>
      </w:hyperlink>
    </w:p>
    <w:p w14:paraId="646CB741" w14:textId="5DFE8313" w:rsidR="00A56455" w:rsidRDefault="00C473FF" w:rsidP="0046531C">
      <w:pPr>
        <w:spacing w:before="240" w:line="360" w:lineRule="auto"/>
        <w:jc w:val="both"/>
        <w:rPr>
          <w:rFonts w:ascii="Arial" w:hAnsi="Arial" w:cs="Arial"/>
          <w:sz w:val="20"/>
          <w:szCs w:val="20"/>
        </w:rPr>
      </w:pPr>
      <w:r w:rsidRPr="00916D35">
        <w:rPr>
          <w:rFonts w:ascii="Arial" w:hAnsi="Arial" w:cs="Arial"/>
          <w:sz w:val="20"/>
          <w:szCs w:val="20"/>
        </w:rPr>
        <w:t xml:space="preserve"> </w:t>
      </w:r>
      <w:r w:rsidR="00A56455" w:rsidRPr="00916D35">
        <w:rPr>
          <w:rFonts w:ascii="Arial" w:hAnsi="Arial" w:cs="Arial"/>
          <w:sz w:val="20"/>
          <w:szCs w:val="20"/>
        </w:rPr>
        <w:t xml:space="preserve">Rahimi, S., Shute, V. J., Kuba, R., Dai, C-P., Yang, X., Smith, G., &amp; Alonso Fenandez, C. (2021). The effects of incentive systems on learning and performance in educational games. </w:t>
      </w:r>
      <w:r w:rsidR="00A56455" w:rsidRPr="00916D35">
        <w:rPr>
          <w:rFonts w:ascii="Arial" w:hAnsi="Arial" w:cs="Arial"/>
          <w:i/>
          <w:iCs/>
          <w:sz w:val="20"/>
          <w:szCs w:val="20"/>
        </w:rPr>
        <w:t>Computers &amp; Education,</w:t>
      </w:r>
      <w:r w:rsidR="00A56455" w:rsidRPr="00916D35">
        <w:rPr>
          <w:rFonts w:ascii="Arial" w:hAnsi="Arial" w:cs="Arial"/>
          <w:sz w:val="20"/>
          <w:szCs w:val="20"/>
        </w:rPr>
        <w:t xml:space="preserve"> 165, 1-17. </w:t>
      </w:r>
      <w:hyperlink r:id="rId29" w:history="1">
        <w:r w:rsidR="00ED2618" w:rsidRPr="00195DD7">
          <w:rPr>
            <w:rStyle w:val="Hyperlink"/>
            <w:rFonts w:ascii="Arial" w:hAnsi="Arial" w:cs="Arial"/>
            <w:sz w:val="20"/>
            <w:szCs w:val="20"/>
          </w:rPr>
          <w:t>https://doi.org/10.1016/j.compedu.2021.104135</w:t>
        </w:r>
      </w:hyperlink>
    </w:p>
    <w:p w14:paraId="7C9FBEBE" w14:textId="77777777" w:rsidR="00ED2618" w:rsidRPr="00ED2618" w:rsidRDefault="00ED2618" w:rsidP="00ED2618">
      <w:pPr>
        <w:pStyle w:val="NoSpacing"/>
        <w:spacing w:line="360" w:lineRule="auto"/>
        <w:jc w:val="both"/>
        <w:rPr>
          <w:rFonts w:ascii="Arial" w:hAnsi="Arial" w:cs="Arial"/>
          <w:sz w:val="20"/>
          <w:szCs w:val="20"/>
        </w:rPr>
      </w:pPr>
      <w:r w:rsidRPr="00ED2618">
        <w:rPr>
          <w:rFonts w:ascii="Arial" w:hAnsi="Arial" w:cs="Arial"/>
          <w:sz w:val="20"/>
          <w:szCs w:val="20"/>
        </w:rPr>
        <w:t>Ryan, R. M., &amp; Deci, E. L. (2020). Intrinsic and Extrinsic Motivation from a Self-Determination Theory Perspective: Definitions, Theory, Practices, and Future Directions. Contemporary Educational Psychology, 61, Article ID: 101860.</w:t>
      </w:r>
    </w:p>
    <w:p w14:paraId="5E98FAD0" w14:textId="4BBB45A8" w:rsidR="00ED2618" w:rsidRPr="00ED2618" w:rsidRDefault="005B5745" w:rsidP="00ED2618">
      <w:pPr>
        <w:pStyle w:val="NoSpacing"/>
        <w:spacing w:line="360" w:lineRule="auto"/>
        <w:jc w:val="both"/>
        <w:rPr>
          <w:sz w:val="20"/>
          <w:szCs w:val="20"/>
        </w:rPr>
      </w:pPr>
      <w:hyperlink r:id="rId30" w:history="1">
        <w:r w:rsidR="00ED2618" w:rsidRPr="00ED2618">
          <w:rPr>
            <w:rStyle w:val="Hyperlink"/>
            <w:rFonts w:ascii="Arial" w:hAnsi="Arial" w:cs="Arial"/>
            <w:sz w:val="20"/>
            <w:szCs w:val="20"/>
          </w:rPr>
          <w:t>https://doi.org/10.1016/j.cedpsych.2020.101860</w:t>
        </w:r>
      </w:hyperlink>
    </w:p>
    <w:p w14:paraId="1F7FF5C8" w14:textId="77777777" w:rsidR="00ED2618" w:rsidRPr="00916D35" w:rsidRDefault="00ED2618" w:rsidP="00ED2618">
      <w:pPr>
        <w:pStyle w:val="NoSpacing"/>
      </w:pPr>
    </w:p>
    <w:p w14:paraId="646CB742" w14:textId="77777777" w:rsidR="00637931" w:rsidRPr="00916D35" w:rsidRDefault="00637931" w:rsidP="0046531C">
      <w:pPr>
        <w:pStyle w:val="NoSpacing"/>
        <w:spacing w:line="360" w:lineRule="auto"/>
        <w:rPr>
          <w:rFonts w:ascii="Arial" w:hAnsi="Arial" w:cs="Arial"/>
          <w:sz w:val="20"/>
          <w:szCs w:val="20"/>
        </w:rPr>
      </w:pPr>
      <w:r w:rsidRPr="00916D35">
        <w:rPr>
          <w:rFonts w:ascii="Arial" w:hAnsi="Arial" w:cs="Arial"/>
          <w:sz w:val="20"/>
          <w:szCs w:val="20"/>
        </w:rPr>
        <w:t xml:space="preserve">Salami, D. (2021). Effects of Entry Mode on Mathematics Education Students’ Academic Performance and Retention. </w:t>
      </w:r>
      <w:r w:rsidRPr="00916D35">
        <w:rPr>
          <w:rFonts w:ascii="Arial" w:hAnsi="Arial" w:cs="Arial"/>
          <w:i/>
          <w:iCs/>
          <w:color w:val="141413"/>
          <w:sz w:val="20"/>
          <w:szCs w:val="20"/>
          <w:shd w:val="clear" w:color="auto" w:fill="FFFFFF"/>
        </w:rPr>
        <w:t>ATBU Journal of Science, Technology and Education</w:t>
      </w:r>
      <w:r w:rsidRPr="00916D35">
        <w:rPr>
          <w:rFonts w:ascii="Arial" w:hAnsi="Arial" w:cs="Arial"/>
          <w:color w:val="141413"/>
          <w:sz w:val="20"/>
          <w:szCs w:val="20"/>
          <w:shd w:val="clear" w:color="auto" w:fill="FFFFFF"/>
        </w:rPr>
        <w:t>, 9 (</w:t>
      </w:r>
      <w:r w:rsidR="009E2955" w:rsidRPr="00916D35">
        <w:rPr>
          <w:rFonts w:ascii="Arial" w:hAnsi="Arial" w:cs="Arial"/>
          <w:color w:val="141413"/>
          <w:sz w:val="20"/>
          <w:szCs w:val="20"/>
          <w:shd w:val="clear" w:color="auto" w:fill="FFFFFF"/>
        </w:rPr>
        <w:t>3</w:t>
      </w:r>
      <w:r w:rsidRPr="00916D35">
        <w:rPr>
          <w:rFonts w:ascii="Arial" w:hAnsi="Arial" w:cs="Arial"/>
          <w:color w:val="141413"/>
          <w:sz w:val="20"/>
          <w:szCs w:val="20"/>
          <w:shd w:val="clear" w:color="auto" w:fill="FFFFFF"/>
        </w:rPr>
        <w:t>)</w:t>
      </w:r>
      <w:r w:rsidR="009E2955" w:rsidRPr="00916D35">
        <w:rPr>
          <w:rFonts w:ascii="Arial" w:hAnsi="Arial" w:cs="Arial"/>
          <w:color w:val="141413"/>
          <w:sz w:val="20"/>
          <w:szCs w:val="20"/>
          <w:shd w:val="clear" w:color="auto" w:fill="FFFFFF"/>
        </w:rPr>
        <w:t>, pp. 278-287</w:t>
      </w:r>
    </w:p>
    <w:p w14:paraId="646CB743" w14:textId="77777777" w:rsidR="00725C00" w:rsidRPr="00916D35" w:rsidRDefault="00725C00" w:rsidP="0046531C">
      <w:pPr>
        <w:pStyle w:val="NoSpacing"/>
        <w:spacing w:before="240" w:after="240" w:line="360" w:lineRule="auto"/>
        <w:rPr>
          <w:rFonts w:ascii="Arial" w:hAnsi="Arial" w:cs="Arial"/>
          <w:sz w:val="20"/>
          <w:szCs w:val="20"/>
        </w:rPr>
      </w:pPr>
      <w:r w:rsidRPr="00916D35">
        <w:rPr>
          <w:rFonts w:ascii="Arial" w:hAnsi="Arial" w:cs="Arial"/>
          <w:sz w:val="20"/>
          <w:szCs w:val="20"/>
        </w:rPr>
        <w:t>Sánchez-Mena, A., &amp; Martí-Parreño, J. (2017). Drivers and barriers to adopting gamification: Teachers’ perspectives. </w:t>
      </w:r>
      <w:r w:rsidRPr="00916D35">
        <w:rPr>
          <w:rFonts w:ascii="Arial" w:hAnsi="Arial" w:cs="Arial"/>
          <w:i/>
          <w:iCs/>
          <w:sz w:val="20"/>
          <w:szCs w:val="20"/>
        </w:rPr>
        <w:t>Electronic Journal of e-Learning, 15</w:t>
      </w:r>
      <w:r w:rsidRPr="00916D35">
        <w:rPr>
          <w:rFonts w:ascii="Arial" w:hAnsi="Arial" w:cs="Arial"/>
          <w:sz w:val="20"/>
          <w:szCs w:val="20"/>
        </w:rPr>
        <w:t>(5), 434-443.</w:t>
      </w:r>
    </w:p>
    <w:p w14:paraId="646CB744" w14:textId="77777777" w:rsidR="007E6E19" w:rsidRPr="00916D35" w:rsidRDefault="00AE7D70" w:rsidP="0046531C">
      <w:pPr>
        <w:pStyle w:val="NoSpacing"/>
        <w:spacing w:after="240" w:line="360" w:lineRule="auto"/>
        <w:rPr>
          <w:rFonts w:ascii="Arial" w:hAnsi="Arial" w:cs="Arial"/>
          <w:sz w:val="20"/>
          <w:szCs w:val="20"/>
        </w:rPr>
      </w:pPr>
      <w:bookmarkStart w:id="1" w:name="_gjdgxs" w:colFirst="0" w:colLast="0"/>
      <w:bookmarkEnd w:id="1"/>
      <w:r w:rsidRPr="00916D35">
        <w:rPr>
          <w:rFonts w:ascii="Arial" w:hAnsi="Arial" w:cs="Arial"/>
          <w:sz w:val="20"/>
          <w:szCs w:val="20"/>
        </w:rPr>
        <w:t xml:space="preserve">Skinner, </w:t>
      </w:r>
      <w:r w:rsidR="00C473FF" w:rsidRPr="00916D35">
        <w:rPr>
          <w:rFonts w:ascii="Arial" w:hAnsi="Arial" w:cs="Arial"/>
          <w:sz w:val="20"/>
          <w:szCs w:val="20"/>
        </w:rPr>
        <w:t>B.F.</w:t>
      </w:r>
      <w:r w:rsidRPr="00916D35">
        <w:rPr>
          <w:rFonts w:ascii="Arial" w:hAnsi="Arial" w:cs="Arial"/>
          <w:sz w:val="20"/>
          <w:szCs w:val="20"/>
        </w:rPr>
        <w:t xml:space="preserve"> </w:t>
      </w:r>
      <w:r w:rsidR="00C473FF" w:rsidRPr="00916D35">
        <w:rPr>
          <w:rFonts w:ascii="Arial" w:hAnsi="Arial" w:cs="Arial"/>
          <w:sz w:val="20"/>
          <w:szCs w:val="20"/>
        </w:rPr>
        <w:t xml:space="preserve">(1957). </w:t>
      </w:r>
      <w:r w:rsidR="00C473FF" w:rsidRPr="00916D35">
        <w:rPr>
          <w:rFonts w:ascii="Arial" w:hAnsi="Arial" w:cs="Arial"/>
          <w:i/>
          <w:iCs/>
          <w:sz w:val="20"/>
          <w:szCs w:val="20"/>
        </w:rPr>
        <w:t>Verbal behavior.</w:t>
      </w:r>
      <w:r w:rsidR="00C473FF" w:rsidRPr="00916D35">
        <w:rPr>
          <w:rFonts w:ascii="Arial" w:hAnsi="Arial" w:cs="Arial"/>
          <w:sz w:val="20"/>
          <w:szCs w:val="20"/>
        </w:rPr>
        <w:t xml:space="preserve"> Prentice-Hall Inc (1957), 10.1017/CBO9781107415324.004</w:t>
      </w:r>
    </w:p>
    <w:p w14:paraId="646CB745" w14:textId="77777777" w:rsidR="00F911C9" w:rsidRPr="00916D35" w:rsidRDefault="00F911C9" w:rsidP="0046531C">
      <w:pPr>
        <w:spacing w:line="360" w:lineRule="auto"/>
        <w:rPr>
          <w:rFonts w:ascii="Arial" w:hAnsi="Arial" w:cs="Arial"/>
          <w:sz w:val="20"/>
          <w:szCs w:val="20"/>
        </w:rPr>
      </w:pPr>
      <w:r w:rsidRPr="00916D35">
        <w:rPr>
          <w:rFonts w:ascii="Arial" w:hAnsi="Arial" w:cs="Arial"/>
          <w:bCs/>
          <w:sz w:val="20"/>
          <w:szCs w:val="20"/>
        </w:rPr>
        <w:t>UNESCO. (2022).</w:t>
      </w:r>
      <w:r w:rsidRPr="00916D35">
        <w:rPr>
          <w:rFonts w:ascii="Arial" w:hAnsi="Arial" w:cs="Arial"/>
          <w:sz w:val="20"/>
          <w:szCs w:val="20"/>
        </w:rPr>
        <w:t xml:space="preserve"> </w:t>
      </w:r>
      <w:r w:rsidRPr="00916D35">
        <w:rPr>
          <w:rFonts w:ascii="Arial" w:hAnsi="Arial" w:cs="Arial"/>
          <w:i/>
          <w:iCs/>
          <w:sz w:val="20"/>
          <w:szCs w:val="20"/>
        </w:rPr>
        <w:t>Global Education Monitoring Report 2022: Gender and Education – Achievements and Challenges</w:t>
      </w:r>
      <w:r w:rsidRPr="00916D35">
        <w:rPr>
          <w:rFonts w:ascii="Arial" w:hAnsi="Arial" w:cs="Arial"/>
          <w:sz w:val="20"/>
          <w:szCs w:val="20"/>
        </w:rPr>
        <w:t xml:space="preserve">. Paris: UNESCO Publishing. </w:t>
      </w:r>
      <w:hyperlink r:id="rId31" w:history="1">
        <w:r w:rsidRPr="00916D35">
          <w:rPr>
            <w:rStyle w:val="Hyperlink"/>
            <w:rFonts w:ascii="Arial" w:hAnsi="Arial" w:cs="Arial"/>
            <w:sz w:val="20"/>
            <w:szCs w:val="20"/>
          </w:rPr>
          <w:t>https://unesdoc.unesco.org/ark:/48223/pf0000380398</w:t>
        </w:r>
      </w:hyperlink>
    </w:p>
    <w:p w14:paraId="646CB746" w14:textId="77777777" w:rsidR="007E6E19" w:rsidRPr="00916D35" w:rsidRDefault="00C473FF" w:rsidP="0046531C">
      <w:pPr>
        <w:shd w:val="clear" w:color="auto" w:fill="FFFFFF"/>
        <w:spacing w:before="240" w:after="0" w:line="360" w:lineRule="auto"/>
        <w:jc w:val="both"/>
        <w:rPr>
          <w:rFonts w:ascii="Arial" w:eastAsia="Times New Roman" w:hAnsi="Arial" w:cs="Arial"/>
          <w:color w:val="707070"/>
          <w:sz w:val="20"/>
          <w:szCs w:val="20"/>
        </w:rPr>
      </w:pPr>
      <w:r w:rsidRPr="00916D35">
        <w:rPr>
          <w:rFonts w:ascii="Arial" w:eastAsia="Georgia" w:hAnsi="Arial" w:cs="Arial"/>
          <w:color w:val="1F1F1F"/>
          <w:sz w:val="20"/>
          <w:szCs w:val="20"/>
        </w:rPr>
        <w:t xml:space="preserve">Zainuddin, Z., Chu, S.K.W., </w:t>
      </w:r>
      <w:proofErr w:type="spellStart"/>
      <w:r w:rsidRPr="00916D35">
        <w:rPr>
          <w:rFonts w:ascii="Arial" w:eastAsia="Georgia" w:hAnsi="Arial" w:cs="Arial"/>
          <w:color w:val="1F1F1F"/>
          <w:sz w:val="20"/>
          <w:szCs w:val="20"/>
        </w:rPr>
        <w:t>Shujahat</w:t>
      </w:r>
      <w:proofErr w:type="spellEnd"/>
      <w:r w:rsidRPr="00916D35">
        <w:rPr>
          <w:rFonts w:ascii="Arial" w:eastAsia="Georgia" w:hAnsi="Arial" w:cs="Arial"/>
          <w:color w:val="1F1F1F"/>
          <w:sz w:val="20"/>
          <w:szCs w:val="20"/>
        </w:rPr>
        <w:t xml:space="preserve">, M., &amp; C.J. Perera C.J. (2020). The impact of gamification on learning and instruction: A systematic review of empirical evidence. </w:t>
      </w:r>
      <w:r w:rsidRPr="00916D35">
        <w:rPr>
          <w:rFonts w:ascii="Arial" w:eastAsia="Times New Roman" w:hAnsi="Arial" w:cs="Arial"/>
          <w:i/>
          <w:iCs/>
          <w:sz w:val="20"/>
          <w:szCs w:val="20"/>
        </w:rPr>
        <w:t>Educational Research Review, </w:t>
      </w:r>
      <w:r w:rsidRPr="00916D35">
        <w:rPr>
          <w:rFonts w:ascii="Arial" w:eastAsia="Times New Roman" w:hAnsi="Arial" w:cs="Arial"/>
          <w:sz w:val="20"/>
          <w:szCs w:val="20"/>
        </w:rPr>
        <w:t>30</w:t>
      </w:r>
      <w:r w:rsidRPr="00916D35">
        <w:rPr>
          <w:rFonts w:ascii="Arial" w:eastAsia="Times New Roman" w:hAnsi="Arial" w:cs="Arial"/>
          <w:color w:val="707070"/>
          <w:sz w:val="20"/>
          <w:szCs w:val="20"/>
        </w:rPr>
        <w:t>, </w:t>
      </w:r>
      <w:hyperlink r:id="rId32">
        <w:r w:rsidRPr="00916D35">
          <w:rPr>
            <w:rFonts w:ascii="Arial" w:eastAsia="Times New Roman" w:hAnsi="Arial" w:cs="Arial"/>
            <w:color w:val="0000FF"/>
            <w:sz w:val="20"/>
            <w:szCs w:val="20"/>
          </w:rPr>
          <w:t>10.1016/j.edurev.2020.100326</w:t>
        </w:r>
      </w:hyperlink>
    </w:p>
    <w:p w14:paraId="646CB747" w14:textId="77777777" w:rsidR="007E6E19" w:rsidRPr="00916D35" w:rsidRDefault="00AE7D70" w:rsidP="0046531C">
      <w:pPr>
        <w:spacing w:before="240" w:line="360" w:lineRule="auto"/>
        <w:rPr>
          <w:rFonts w:ascii="Arial" w:eastAsia="Times New Roman" w:hAnsi="Arial" w:cs="Arial"/>
          <w:sz w:val="20"/>
          <w:szCs w:val="20"/>
        </w:rPr>
      </w:pPr>
      <w:r w:rsidRPr="00916D35">
        <w:rPr>
          <w:rFonts w:ascii="Arial" w:eastAsia="Times New Roman" w:hAnsi="Arial" w:cs="Arial"/>
          <w:sz w:val="20"/>
          <w:szCs w:val="20"/>
        </w:rPr>
        <w:t xml:space="preserve">Zhao, </w:t>
      </w:r>
      <w:proofErr w:type="spellStart"/>
      <w:r w:rsidRPr="00916D35">
        <w:rPr>
          <w:rFonts w:ascii="Arial" w:eastAsia="Times New Roman" w:hAnsi="Arial" w:cs="Arial"/>
          <w:sz w:val="20"/>
          <w:szCs w:val="20"/>
        </w:rPr>
        <w:t>Jiahua</w:t>
      </w:r>
      <w:proofErr w:type="spellEnd"/>
      <w:r w:rsidRPr="00916D35">
        <w:rPr>
          <w:rFonts w:ascii="Arial" w:eastAsia="Times New Roman" w:hAnsi="Arial" w:cs="Arial"/>
          <w:sz w:val="20"/>
          <w:szCs w:val="20"/>
        </w:rPr>
        <w:t xml:space="preserve"> &amp; Hwang, </w:t>
      </w:r>
      <w:proofErr w:type="spellStart"/>
      <w:r w:rsidRPr="00916D35">
        <w:rPr>
          <w:rFonts w:ascii="Arial" w:eastAsia="Times New Roman" w:hAnsi="Arial" w:cs="Arial"/>
          <w:sz w:val="20"/>
          <w:szCs w:val="20"/>
        </w:rPr>
        <w:t>Gwo</w:t>
      </w:r>
      <w:proofErr w:type="spellEnd"/>
      <w:r w:rsidRPr="00916D35">
        <w:rPr>
          <w:rFonts w:ascii="Arial" w:eastAsia="Times New Roman" w:hAnsi="Arial" w:cs="Arial"/>
          <w:sz w:val="20"/>
          <w:szCs w:val="20"/>
        </w:rPr>
        <w:t xml:space="preserve">-Jen &amp; Chang, Shao-Chen &amp; Yang, Qi-fan &amp; </w:t>
      </w:r>
      <w:proofErr w:type="spellStart"/>
      <w:r w:rsidRPr="00916D35">
        <w:rPr>
          <w:rFonts w:ascii="Arial" w:eastAsia="Times New Roman" w:hAnsi="Arial" w:cs="Arial"/>
          <w:sz w:val="20"/>
          <w:szCs w:val="20"/>
        </w:rPr>
        <w:t>Nokkaew</w:t>
      </w:r>
      <w:proofErr w:type="spellEnd"/>
      <w:r w:rsidRPr="00916D35">
        <w:rPr>
          <w:rFonts w:ascii="Arial" w:eastAsia="Times New Roman" w:hAnsi="Arial" w:cs="Arial"/>
          <w:sz w:val="20"/>
          <w:szCs w:val="20"/>
        </w:rPr>
        <w:t xml:space="preserve">, </w:t>
      </w:r>
      <w:proofErr w:type="spellStart"/>
      <w:r w:rsidRPr="00916D35">
        <w:rPr>
          <w:rFonts w:ascii="Arial" w:eastAsia="Times New Roman" w:hAnsi="Arial" w:cs="Arial"/>
          <w:sz w:val="20"/>
          <w:szCs w:val="20"/>
        </w:rPr>
        <w:t>Artorn</w:t>
      </w:r>
      <w:proofErr w:type="spellEnd"/>
      <w:r w:rsidRPr="00916D35">
        <w:rPr>
          <w:rFonts w:ascii="Arial" w:eastAsia="Times New Roman" w:hAnsi="Arial" w:cs="Arial"/>
          <w:sz w:val="20"/>
          <w:szCs w:val="20"/>
        </w:rPr>
        <w:t xml:space="preserve">. (2021). Effects of gamified interactive e-books on students’ flipped learning performance, motivation, and meta-cognition tendency in a mathematics course. </w:t>
      </w:r>
      <w:r w:rsidRPr="00916D35">
        <w:rPr>
          <w:rFonts w:ascii="Arial" w:eastAsia="Times New Roman" w:hAnsi="Arial" w:cs="Arial"/>
          <w:i/>
          <w:iCs/>
          <w:sz w:val="20"/>
          <w:szCs w:val="20"/>
        </w:rPr>
        <w:t>Educational Technology Research and Development.</w:t>
      </w:r>
      <w:r w:rsidRPr="00916D35">
        <w:rPr>
          <w:rFonts w:ascii="Arial" w:eastAsia="Times New Roman" w:hAnsi="Arial" w:cs="Arial"/>
          <w:sz w:val="20"/>
          <w:szCs w:val="20"/>
        </w:rPr>
        <w:t xml:space="preserve"> 69. 10.1007/s11423-021-10053-0.</w:t>
      </w:r>
    </w:p>
    <w:sectPr w:rsidR="007E6E19" w:rsidRPr="00916D3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8B40" w14:textId="77777777" w:rsidR="006F2B71" w:rsidRDefault="006F2B71" w:rsidP="001E2ADE">
      <w:pPr>
        <w:spacing w:after="0" w:line="240" w:lineRule="auto"/>
      </w:pPr>
      <w:r>
        <w:separator/>
      </w:r>
    </w:p>
  </w:endnote>
  <w:endnote w:type="continuationSeparator" w:id="0">
    <w:p w14:paraId="114A2D82" w14:textId="77777777" w:rsidR="006F2B71" w:rsidRDefault="006F2B71" w:rsidP="001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7C17" w14:textId="77777777" w:rsidR="006527F9" w:rsidRDefault="0065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E56F" w14:textId="77777777" w:rsidR="006527F9" w:rsidRDefault="00652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D869" w14:textId="77777777" w:rsidR="006527F9" w:rsidRDefault="0065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2015" w14:textId="77777777" w:rsidR="006F2B71" w:rsidRDefault="006F2B71" w:rsidP="001E2ADE">
      <w:pPr>
        <w:spacing w:after="0" w:line="240" w:lineRule="auto"/>
      </w:pPr>
      <w:r>
        <w:separator/>
      </w:r>
    </w:p>
  </w:footnote>
  <w:footnote w:type="continuationSeparator" w:id="0">
    <w:p w14:paraId="607D85F9" w14:textId="77777777" w:rsidR="006F2B71" w:rsidRDefault="006F2B71" w:rsidP="001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C028" w14:textId="6050B83B" w:rsidR="006527F9" w:rsidRDefault="005B5745">
    <w:pPr>
      <w:pStyle w:val="Header"/>
    </w:pPr>
    <w:r>
      <w:rPr>
        <w:noProof/>
      </w:rPr>
      <w:pict w14:anchorId="1F4CC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6870" w14:textId="6551CC9C" w:rsidR="006527F9" w:rsidRDefault="005B5745">
    <w:pPr>
      <w:pStyle w:val="Header"/>
    </w:pPr>
    <w:r>
      <w:rPr>
        <w:noProof/>
      </w:rPr>
      <w:pict w14:anchorId="686E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5A84" w14:textId="2F9BD063" w:rsidR="006527F9" w:rsidRDefault="005B5745">
    <w:pPr>
      <w:pStyle w:val="Header"/>
    </w:pPr>
    <w:r>
      <w:rPr>
        <w:noProof/>
      </w:rPr>
      <w:pict w14:anchorId="4365B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4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56B"/>
    <w:multiLevelType w:val="multilevel"/>
    <w:tmpl w:val="D7F8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55DA3"/>
    <w:multiLevelType w:val="multilevel"/>
    <w:tmpl w:val="191CD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01F2D"/>
    <w:multiLevelType w:val="multilevel"/>
    <w:tmpl w:val="50BC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B36F12"/>
    <w:multiLevelType w:val="multilevel"/>
    <w:tmpl w:val="A4A2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9"/>
    <w:rsid w:val="00025F65"/>
    <w:rsid w:val="00052523"/>
    <w:rsid w:val="00085105"/>
    <w:rsid w:val="00086E95"/>
    <w:rsid w:val="000954C9"/>
    <w:rsid w:val="000C7916"/>
    <w:rsid w:val="000E19C1"/>
    <w:rsid w:val="000E6057"/>
    <w:rsid w:val="000E6580"/>
    <w:rsid w:val="00102E41"/>
    <w:rsid w:val="00107EF2"/>
    <w:rsid w:val="00125C52"/>
    <w:rsid w:val="0013318C"/>
    <w:rsid w:val="001565DA"/>
    <w:rsid w:val="00171CB4"/>
    <w:rsid w:val="001B15BC"/>
    <w:rsid w:val="001E2ADE"/>
    <w:rsid w:val="001E4BC9"/>
    <w:rsid w:val="001E589F"/>
    <w:rsid w:val="0020277D"/>
    <w:rsid w:val="00204724"/>
    <w:rsid w:val="00206CDD"/>
    <w:rsid w:val="0022444E"/>
    <w:rsid w:val="00232855"/>
    <w:rsid w:val="0023728C"/>
    <w:rsid w:val="00250697"/>
    <w:rsid w:val="00276EB3"/>
    <w:rsid w:val="00282A01"/>
    <w:rsid w:val="002A48AD"/>
    <w:rsid w:val="002A5E2D"/>
    <w:rsid w:val="002B269D"/>
    <w:rsid w:val="002E1337"/>
    <w:rsid w:val="002E5ED2"/>
    <w:rsid w:val="00306529"/>
    <w:rsid w:val="003138A1"/>
    <w:rsid w:val="00315F8D"/>
    <w:rsid w:val="00351F18"/>
    <w:rsid w:val="003747D5"/>
    <w:rsid w:val="003819BC"/>
    <w:rsid w:val="00383120"/>
    <w:rsid w:val="003B28A6"/>
    <w:rsid w:val="003B3747"/>
    <w:rsid w:val="00442940"/>
    <w:rsid w:val="00447819"/>
    <w:rsid w:val="0046531C"/>
    <w:rsid w:val="004C555B"/>
    <w:rsid w:val="004C5F78"/>
    <w:rsid w:val="004E13CB"/>
    <w:rsid w:val="004E7234"/>
    <w:rsid w:val="004F1574"/>
    <w:rsid w:val="005127E2"/>
    <w:rsid w:val="00543671"/>
    <w:rsid w:val="00555A33"/>
    <w:rsid w:val="0057322B"/>
    <w:rsid w:val="005A30F4"/>
    <w:rsid w:val="005A3879"/>
    <w:rsid w:val="005B5745"/>
    <w:rsid w:val="005C2BEB"/>
    <w:rsid w:val="005E436C"/>
    <w:rsid w:val="005E4A28"/>
    <w:rsid w:val="00637931"/>
    <w:rsid w:val="006527F9"/>
    <w:rsid w:val="00675982"/>
    <w:rsid w:val="0068723C"/>
    <w:rsid w:val="00691A5B"/>
    <w:rsid w:val="006E1BB2"/>
    <w:rsid w:val="006F2B71"/>
    <w:rsid w:val="006F4A87"/>
    <w:rsid w:val="00706777"/>
    <w:rsid w:val="00725C00"/>
    <w:rsid w:val="00730CCD"/>
    <w:rsid w:val="00755294"/>
    <w:rsid w:val="00765BE3"/>
    <w:rsid w:val="00775074"/>
    <w:rsid w:val="007B5AAF"/>
    <w:rsid w:val="007C2AAE"/>
    <w:rsid w:val="007C4619"/>
    <w:rsid w:val="007D1D19"/>
    <w:rsid w:val="007E4398"/>
    <w:rsid w:val="007E6E19"/>
    <w:rsid w:val="007F18A5"/>
    <w:rsid w:val="00807514"/>
    <w:rsid w:val="00810600"/>
    <w:rsid w:val="0082408A"/>
    <w:rsid w:val="00827830"/>
    <w:rsid w:val="00837F16"/>
    <w:rsid w:val="00855930"/>
    <w:rsid w:val="008641C3"/>
    <w:rsid w:val="00867DF2"/>
    <w:rsid w:val="008946E4"/>
    <w:rsid w:val="008A6C70"/>
    <w:rsid w:val="008B6D8C"/>
    <w:rsid w:val="008C0C27"/>
    <w:rsid w:val="008E68C8"/>
    <w:rsid w:val="00915E78"/>
    <w:rsid w:val="00916D35"/>
    <w:rsid w:val="009534DF"/>
    <w:rsid w:val="0097542C"/>
    <w:rsid w:val="009812AA"/>
    <w:rsid w:val="009D0561"/>
    <w:rsid w:val="009E2955"/>
    <w:rsid w:val="009F4395"/>
    <w:rsid w:val="00A152CE"/>
    <w:rsid w:val="00A24D6A"/>
    <w:rsid w:val="00A25C73"/>
    <w:rsid w:val="00A2781B"/>
    <w:rsid w:val="00A56455"/>
    <w:rsid w:val="00A7574D"/>
    <w:rsid w:val="00A75872"/>
    <w:rsid w:val="00A7708B"/>
    <w:rsid w:val="00A95346"/>
    <w:rsid w:val="00A962F1"/>
    <w:rsid w:val="00AD37C3"/>
    <w:rsid w:val="00AE7D70"/>
    <w:rsid w:val="00AF1086"/>
    <w:rsid w:val="00B13B09"/>
    <w:rsid w:val="00B45A2E"/>
    <w:rsid w:val="00B76CD0"/>
    <w:rsid w:val="00B8733F"/>
    <w:rsid w:val="00B9304D"/>
    <w:rsid w:val="00BA7569"/>
    <w:rsid w:val="00BA7863"/>
    <w:rsid w:val="00BB739B"/>
    <w:rsid w:val="00BF797D"/>
    <w:rsid w:val="00C0169D"/>
    <w:rsid w:val="00C139D1"/>
    <w:rsid w:val="00C41C7E"/>
    <w:rsid w:val="00C473FF"/>
    <w:rsid w:val="00C51472"/>
    <w:rsid w:val="00C865BF"/>
    <w:rsid w:val="00C8661A"/>
    <w:rsid w:val="00CB0872"/>
    <w:rsid w:val="00D0718B"/>
    <w:rsid w:val="00D13681"/>
    <w:rsid w:val="00D67D6B"/>
    <w:rsid w:val="00D70677"/>
    <w:rsid w:val="00D7161D"/>
    <w:rsid w:val="00D8512B"/>
    <w:rsid w:val="00DC4D96"/>
    <w:rsid w:val="00DD5288"/>
    <w:rsid w:val="00DE1E14"/>
    <w:rsid w:val="00DF0CEA"/>
    <w:rsid w:val="00E118C1"/>
    <w:rsid w:val="00E17EE8"/>
    <w:rsid w:val="00E2551D"/>
    <w:rsid w:val="00E266EA"/>
    <w:rsid w:val="00E379DE"/>
    <w:rsid w:val="00EA46AA"/>
    <w:rsid w:val="00ED2618"/>
    <w:rsid w:val="00F30909"/>
    <w:rsid w:val="00F40F7B"/>
    <w:rsid w:val="00F55DE9"/>
    <w:rsid w:val="00F7208B"/>
    <w:rsid w:val="00F80BFA"/>
    <w:rsid w:val="00F83258"/>
    <w:rsid w:val="00F911C9"/>
    <w:rsid w:val="00F93188"/>
    <w:rsid w:val="00FA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6CB5E7"/>
  <w15:docId w15:val="{17AB8A51-9A97-496A-8CFE-E6F2835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E2551D"/>
    <w:rPr>
      <w:color w:val="0000FF" w:themeColor="hyperlink"/>
      <w:u w:val="single"/>
    </w:rPr>
  </w:style>
  <w:style w:type="paragraph" w:styleId="NoSpacing">
    <w:name w:val="No Spacing"/>
    <w:uiPriority w:val="1"/>
    <w:qFormat/>
    <w:rsid w:val="00B9304D"/>
    <w:pPr>
      <w:spacing w:after="0" w:line="240" w:lineRule="auto"/>
    </w:pPr>
  </w:style>
  <w:style w:type="character" w:styleId="Emphasis">
    <w:name w:val="Emphasis"/>
    <w:basedOn w:val="DefaultParagraphFont"/>
    <w:uiPriority w:val="20"/>
    <w:qFormat/>
    <w:rsid w:val="00725C00"/>
    <w:rPr>
      <w:i/>
      <w:iCs/>
    </w:rPr>
  </w:style>
  <w:style w:type="paragraph" w:styleId="Header">
    <w:name w:val="header"/>
    <w:basedOn w:val="Normal"/>
    <w:link w:val="HeaderChar"/>
    <w:uiPriority w:val="99"/>
    <w:unhideWhenUsed/>
    <w:rsid w:val="001E2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ADE"/>
  </w:style>
  <w:style w:type="paragraph" w:styleId="Footer">
    <w:name w:val="footer"/>
    <w:basedOn w:val="Normal"/>
    <w:link w:val="FooterChar"/>
    <w:uiPriority w:val="99"/>
    <w:unhideWhenUsed/>
    <w:rsid w:val="001E2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ADE"/>
  </w:style>
  <w:style w:type="character" w:customStyle="1" w:styleId="UnresolvedMention1">
    <w:name w:val="Unresolved Mention1"/>
    <w:basedOn w:val="DefaultParagraphFont"/>
    <w:uiPriority w:val="99"/>
    <w:semiHidden/>
    <w:unhideWhenUsed/>
    <w:rsid w:val="00F40F7B"/>
    <w:rPr>
      <w:color w:val="605E5C"/>
      <w:shd w:val="clear" w:color="auto" w:fill="E1DFDD"/>
    </w:rPr>
  </w:style>
  <w:style w:type="paragraph" w:styleId="ListParagraph">
    <w:name w:val="List Paragraph"/>
    <w:basedOn w:val="Normal"/>
    <w:uiPriority w:val="34"/>
    <w:qFormat/>
    <w:rsid w:val="0023728C"/>
    <w:pPr>
      <w:ind w:left="720"/>
      <w:contextualSpacing/>
    </w:pPr>
  </w:style>
  <w:style w:type="character" w:styleId="UnresolvedMention">
    <w:name w:val="Unresolved Mention"/>
    <w:basedOn w:val="DefaultParagraphFont"/>
    <w:uiPriority w:val="99"/>
    <w:semiHidden/>
    <w:unhideWhenUsed/>
    <w:rsid w:val="00ED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282">
      <w:bodyDiv w:val="1"/>
      <w:marLeft w:val="0"/>
      <w:marRight w:val="0"/>
      <w:marTop w:val="0"/>
      <w:marBottom w:val="0"/>
      <w:divBdr>
        <w:top w:val="none" w:sz="0" w:space="0" w:color="auto"/>
        <w:left w:val="none" w:sz="0" w:space="0" w:color="auto"/>
        <w:bottom w:val="none" w:sz="0" w:space="0" w:color="auto"/>
        <w:right w:val="none" w:sz="0" w:space="0" w:color="auto"/>
      </w:divBdr>
    </w:div>
    <w:div w:id="156380576">
      <w:bodyDiv w:val="1"/>
      <w:marLeft w:val="0"/>
      <w:marRight w:val="0"/>
      <w:marTop w:val="0"/>
      <w:marBottom w:val="0"/>
      <w:divBdr>
        <w:top w:val="none" w:sz="0" w:space="0" w:color="auto"/>
        <w:left w:val="none" w:sz="0" w:space="0" w:color="auto"/>
        <w:bottom w:val="none" w:sz="0" w:space="0" w:color="auto"/>
        <w:right w:val="none" w:sz="0" w:space="0" w:color="auto"/>
      </w:divBdr>
    </w:div>
    <w:div w:id="1769427406">
      <w:bodyDiv w:val="1"/>
      <w:marLeft w:val="0"/>
      <w:marRight w:val="0"/>
      <w:marTop w:val="0"/>
      <w:marBottom w:val="0"/>
      <w:divBdr>
        <w:top w:val="none" w:sz="0" w:space="0" w:color="auto"/>
        <w:left w:val="none" w:sz="0" w:space="0" w:color="auto"/>
        <w:bottom w:val="none" w:sz="0" w:space="0" w:color="auto"/>
        <w:right w:val="none" w:sz="0" w:space="0" w:color="auto"/>
      </w:divBdr>
    </w:div>
    <w:div w:id="1882403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ejournal.springeropen.com/articles/10.1186/s40561-019-0098-x" TargetMode="External"/><Relationship Id="rId18" Type="http://schemas.openxmlformats.org/officeDocument/2006/relationships/chart" Target="charts/chart3.xml"/><Relationship Id="rId26" Type="http://schemas.openxmlformats.org/officeDocument/2006/relationships/hyperlink" Target="https://www.sciencedirect.com/science/article/pii/S1071581921000926" TargetMode="External"/><Relationship Id="rId39" Type="http://schemas.openxmlformats.org/officeDocument/2006/relationships/fontTable" Target="fontTable.xml"/><Relationship Id="rId21" Type="http://schemas.openxmlformats.org/officeDocument/2006/relationships/hyperlink" Target="https://doi.org/10.1007/s40692-015-0039-9" TargetMode="External"/><Relationship Id="rId34" Type="http://schemas.openxmlformats.org/officeDocument/2006/relationships/header" Target="header2.xml"/><Relationship Id="rId7" Type="http://schemas.openxmlformats.org/officeDocument/2006/relationships/hyperlink" Target="https://www.frontiersin.org/journals/psychology/articles/10.3389/fpsyg.2023.1253549/full" TargetMode="External"/><Relationship Id="rId12" Type="http://schemas.openxmlformats.org/officeDocument/2006/relationships/hyperlink" Target="https://slejournal.springeropen.com/articles/10.1186/s40561-019-0098-x" TargetMode="External"/><Relationship Id="rId17" Type="http://schemas.openxmlformats.org/officeDocument/2006/relationships/chart" Target="charts/chart2.xml"/><Relationship Id="rId25" Type="http://schemas.openxmlformats.org/officeDocument/2006/relationships/hyperlink" Target="https://doi.org/10.1016/j.ijhcs.2021.10267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doi.org/10.1080/03031853.2022.1778901" TargetMode="External"/><Relationship Id="rId29" Type="http://schemas.openxmlformats.org/officeDocument/2006/relationships/hyperlink" Target="https://doi.org/10.1016/j.compedu.2021.104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ejournal.springeropen.com/articles/10.1186/s40561-019-0098-x" TargetMode="External"/><Relationship Id="rId24" Type="http://schemas.openxmlformats.org/officeDocument/2006/relationships/hyperlink" Target="https://www.frontiersin.org/journals/psychology/articles/10.3389/fpsyg.2023.1253549" TargetMode="External"/><Relationship Id="rId32" Type="http://schemas.openxmlformats.org/officeDocument/2006/relationships/hyperlink" Target="https://doi.org/10.1016/j.edurev.2020.100326"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lejournal.springeropen.com/articles/10.1186/s40561-019-0098-x" TargetMode="External"/><Relationship Id="rId23" Type="http://schemas.openxmlformats.org/officeDocument/2006/relationships/hyperlink" Target="https://books.google.de/books?id=ZVogAwAAQBAJ&amp;hl=de" TargetMode="External"/><Relationship Id="rId28" Type="http://schemas.openxmlformats.org/officeDocument/2006/relationships/hyperlink" Target="https://doi.org/10.1080/00461520.2015.1122533" TargetMode="External"/><Relationship Id="rId36" Type="http://schemas.openxmlformats.org/officeDocument/2006/relationships/footer" Target="footer2.xml"/><Relationship Id="rId10" Type="http://schemas.openxmlformats.org/officeDocument/2006/relationships/hyperlink" Target="https://slejournal.springeropen.com/articles/10.1186/s40561-019-0098-x" TargetMode="External"/><Relationship Id="rId19" Type="http://schemas.openxmlformats.org/officeDocument/2006/relationships/hyperlink" Target="https://doi.org/10.1186/s41239-020-0177-7" TargetMode="External"/><Relationship Id="rId31" Type="http://schemas.openxmlformats.org/officeDocument/2006/relationships/hyperlink" Target="https://unesdoc.unesco.org/ark:/48223/pf0000380398" TargetMode="External"/><Relationship Id="rId4" Type="http://schemas.openxmlformats.org/officeDocument/2006/relationships/webSettings" Target="webSettings.xml"/><Relationship Id="rId9" Type="http://schemas.openxmlformats.org/officeDocument/2006/relationships/hyperlink" Target="https://www.frontiersin.org/journals/psychology/articles/10.3389/fpsyg.2023.1253549/full" TargetMode="External"/><Relationship Id="rId14" Type="http://schemas.openxmlformats.org/officeDocument/2006/relationships/hyperlink" Target="https://slejournal.springeropen.com/articles/10.1186/s40561-019-0098-x" TargetMode="External"/><Relationship Id="rId22" Type="http://schemas.openxmlformats.org/officeDocument/2006/relationships/hyperlink" Target="https://doi.org/10.1080/10494820.2018.1495653" TargetMode="External"/><Relationship Id="rId27" Type="http://schemas.openxmlformats.org/officeDocument/2006/relationships/hyperlink" Target="https://doi.org/10.1007/s11159-021-09876-5" TargetMode="External"/><Relationship Id="rId30" Type="http://schemas.openxmlformats.org/officeDocument/2006/relationships/hyperlink" Target="https://doi.org/10.1016/j.cedpsych.2020.101860" TargetMode="External"/><Relationship Id="rId35" Type="http://schemas.openxmlformats.org/officeDocument/2006/relationships/footer" Target="footer1.xml"/><Relationship Id="rId8" Type="http://schemas.openxmlformats.org/officeDocument/2006/relationships/hyperlink" Target="https://www.frontiersin.org/journals/psychology/articles/10.3389/fpsyg.2023.1253549/full"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Group</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388-4999-B508-83240705AB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388-4999-B508-83240705ABA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388-4999-B508-83240705ABA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388-4999-B508-83240705AB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Control</c:v>
                </c:pt>
                <c:pt idx="1">
                  <c:v>Experimental</c:v>
                </c:pt>
              </c:strCache>
            </c:strRef>
          </c:cat>
          <c:val>
            <c:numRef>
              <c:f>Sheet1!$B$2:$B$5</c:f>
              <c:numCache>
                <c:formatCode>General</c:formatCode>
                <c:ptCount val="4"/>
                <c:pt idx="0">
                  <c:v>20</c:v>
                </c:pt>
                <c:pt idx="1">
                  <c:v>17</c:v>
                </c:pt>
              </c:numCache>
            </c:numRef>
          </c:val>
          <c:extLst>
            <c:ext xmlns:c16="http://schemas.microsoft.com/office/drawing/2014/chart" uri="{C3380CC4-5D6E-409C-BE32-E72D297353CC}">
              <c16:uniqueId val="{00000008-6388-4999-B508-83240705ABAE}"/>
            </c:ext>
          </c:extLst>
        </c:ser>
        <c:ser>
          <c:idx val="1"/>
          <c:order val="1"/>
          <c:tx>
            <c:strRef>
              <c:f>Sheet1!$C$1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6388-4999-B508-83240705ABA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6388-4999-B508-83240705ABA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6388-4999-B508-83240705ABA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6388-4999-B508-83240705AB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Control</c:v>
                </c:pt>
                <c:pt idx="1">
                  <c:v>Experimental</c:v>
                </c:pt>
              </c:strCache>
            </c:strRef>
          </c:cat>
          <c:val>
            <c:numRef>
              <c:f>Sheet1!$C$2:$C$5</c:f>
              <c:numCache>
                <c:formatCode>0.00%</c:formatCode>
                <c:ptCount val="4"/>
                <c:pt idx="0">
                  <c:v>0.54100000000000004</c:v>
                </c:pt>
                <c:pt idx="1">
                  <c:v>0.45900000000000002</c:v>
                </c:pt>
              </c:numCache>
            </c:numRef>
          </c:val>
          <c:extLst>
            <c:ext xmlns:c16="http://schemas.microsoft.com/office/drawing/2014/chart" uri="{C3380CC4-5D6E-409C-BE32-E72D297353CC}">
              <c16:uniqueId val="{00000011-6388-4999-B508-83240705ABA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tx>
            <c:strRef>
              <c:f>Sheet1!$B$1</c:f>
              <c:strCache>
                <c:ptCount val="1"/>
                <c:pt idx="0">
                  <c:v>Gender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10-4A7A-BF14-92952EDA07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10-4A7A-BF14-92952EDA072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10-4A7A-BF14-92952EDA072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10-4A7A-BF14-92952EDA0725}"/>
              </c:ext>
            </c:extLst>
          </c:dPt>
          <c:dLbls>
            <c:dLbl>
              <c:idx val="2"/>
              <c:delete val="1"/>
              <c:extLst>
                <c:ext xmlns:c15="http://schemas.microsoft.com/office/drawing/2012/chart" uri="{CE6537A1-D6FC-4f65-9D91-7224C49458BB}"/>
                <c:ext xmlns:c16="http://schemas.microsoft.com/office/drawing/2014/chart" uri="{C3380CC4-5D6E-409C-BE32-E72D297353CC}">
                  <c16:uniqueId val="{00000005-2010-4A7A-BF14-92952EDA072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Male</c:v>
                </c:pt>
                <c:pt idx="1">
                  <c:v>Female</c:v>
                </c:pt>
                <c:pt idx="2">
                  <c:v>Others</c:v>
                </c:pt>
              </c:strCache>
            </c:strRef>
          </c:cat>
          <c:val>
            <c:numRef>
              <c:f>Sheet1!$B$2:$B$5</c:f>
              <c:numCache>
                <c:formatCode>General</c:formatCode>
                <c:ptCount val="4"/>
                <c:pt idx="0">
                  <c:v>8</c:v>
                </c:pt>
                <c:pt idx="1">
                  <c:v>29</c:v>
                </c:pt>
                <c:pt idx="2">
                  <c:v>0</c:v>
                </c:pt>
              </c:numCache>
            </c:numRef>
          </c:val>
          <c:extLst>
            <c:ext xmlns:c16="http://schemas.microsoft.com/office/drawing/2014/chart" uri="{C3380CC4-5D6E-409C-BE32-E72D297353CC}">
              <c16:uniqueId val="{00000008-2010-4A7A-BF14-92952EDA0725}"/>
            </c:ext>
          </c:extLst>
        </c:ser>
        <c:ser>
          <c:idx val="1"/>
          <c:order val="1"/>
          <c:tx>
            <c:strRef>
              <c:f>Sheet1!$C$1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2010-4A7A-BF14-92952EDA07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2010-4A7A-BF14-92952EDA072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2010-4A7A-BF14-92952EDA072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2010-4A7A-BF14-92952EDA0725}"/>
              </c:ext>
            </c:extLst>
          </c:dPt>
          <c:dLbls>
            <c:dLbl>
              <c:idx val="2"/>
              <c:delete val="1"/>
              <c:extLst>
                <c:ext xmlns:c15="http://schemas.microsoft.com/office/drawing/2012/chart" uri="{CE6537A1-D6FC-4f65-9D91-7224C49458BB}"/>
                <c:ext xmlns:c16="http://schemas.microsoft.com/office/drawing/2014/chart" uri="{C3380CC4-5D6E-409C-BE32-E72D297353CC}">
                  <c16:uniqueId val="{0000000E-2010-4A7A-BF14-92952EDA072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Male</c:v>
                </c:pt>
                <c:pt idx="1">
                  <c:v>Female</c:v>
                </c:pt>
                <c:pt idx="2">
                  <c:v>Others</c:v>
                </c:pt>
              </c:strCache>
            </c:strRef>
          </c:cat>
          <c:val>
            <c:numRef>
              <c:f>Sheet1!$C$2:$C$5</c:f>
              <c:numCache>
                <c:formatCode>0.00%</c:formatCode>
                <c:ptCount val="4"/>
                <c:pt idx="0">
                  <c:v>0.216</c:v>
                </c:pt>
                <c:pt idx="1">
                  <c:v>0.78400000000000003</c:v>
                </c:pt>
                <c:pt idx="2" formatCode="0%">
                  <c:v>0</c:v>
                </c:pt>
              </c:numCache>
            </c:numRef>
          </c:val>
          <c:extLst>
            <c:ext xmlns:c16="http://schemas.microsoft.com/office/drawing/2014/chart" uri="{C3380CC4-5D6E-409C-BE32-E72D297353CC}">
              <c16:uniqueId val="{00000011-2010-4A7A-BF14-92952EDA072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Mode of Entry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942-4EEC-9849-644E18A07BC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942-4EEC-9849-644E18A07BC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942-4EEC-9849-644E18A07BC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942-4EEC-9849-644E18A07BC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JAMB</c:v>
                </c:pt>
                <c:pt idx="1">
                  <c:v>Direct Entry</c:v>
                </c:pt>
              </c:strCache>
            </c:strRef>
          </c:cat>
          <c:val>
            <c:numRef>
              <c:f>Sheet1!$B$2:$B$5</c:f>
              <c:numCache>
                <c:formatCode>General</c:formatCode>
                <c:ptCount val="4"/>
                <c:pt idx="0">
                  <c:v>31</c:v>
                </c:pt>
                <c:pt idx="1">
                  <c:v>6</c:v>
                </c:pt>
              </c:numCache>
            </c:numRef>
          </c:val>
          <c:extLst>
            <c:ext xmlns:c16="http://schemas.microsoft.com/office/drawing/2014/chart" uri="{C3380CC4-5D6E-409C-BE32-E72D297353CC}">
              <c16:uniqueId val="{00000008-D942-4EEC-9849-644E18A07BC1}"/>
            </c:ext>
          </c:extLst>
        </c:ser>
        <c:ser>
          <c:idx val="1"/>
          <c:order val="1"/>
          <c:tx>
            <c:strRef>
              <c:f>Sheet1!$C$1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D942-4EEC-9849-644E18A07BC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D942-4EEC-9849-644E18A07BC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D942-4EEC-9849-644E18A07BC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D942-4EEC-9849-644E18A07BC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JAMB</c:v>
                </c:pt>
                <c:pt idx="1">
                  <c:v>Direct Entry</c:v>
                </c:pt>
              </c:strCache>
            </c:strRef>
          </c:cat>
          <c:val>
            <c:numRef>
              <c:f>Sheet1!$C$2:$C$5</c:f>
              <c:numCache>
                <c:formatCode>0.00%</c:formatCode>
                <c:ptCount val="4"/>
                <c:pt idx="0">
                  <c:v>0.83799999999999997</c:v>
                </c:pt>
                <c:pt idx="1">
                  <c:v>0.16200000000000001</c:v>
                </c:pt>
              </c:numCache>
            </c:numRef>
          </c:val>
          <c:extLst>
            <c:ext xmlns:c16="http://schemas.microsoft.com/office/drawing/2014/chart" uri="{C3380CC4-5D6E-409C-BE32-E72D297353CC}">
              <c16:uniqueId val="{00000011-D942-4EEC-9849-644E18A07BC1}"/>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5014</Words>
  <Characters>32220</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AGORO</dc:creator>
  <cp:lastModifiedBy>SDI PC New 16</cp:lastModifiedBy>
  <cp:revision>14</cp:revision>
  <dcterms:created xsi:type="dcterms:W3CDTF">2025-06-29T16:38:00Z</dcterms:created>
  <dcterms:modified xsi:type="dcterms:W3CDTF">2025-07-08T12:05:00Z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a23f2def-1385-4f88-84a0-d26ca557a9b8</vt:lpwstr>
  </property>
</Properties>
</file>