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0EE53" w14:textId="77777777" w:rsidR="00F63438" w:rsidRDefault="00F63438" w:rsidP="00F63438">
      <w:pPr>
        <w:spacing w:before="100" w:beforeAutospacing="1" w:after="100" w:afterAutospacing="1" w:line="240" w:lineRule="auto"/>
        <w:jc w:val="center"/>
        <w:rPr>
          <w:rFonts w:ascii="Arial" w:eastAsia="Times New Roman" w:hAnsi="Arial" w:cs="Arial"/>
          <w:b/>
          <w:bCs/>
          <w:sz w:val="36"/>
          <w:szCs w:val="24"/>
          <w:lang w:eastAsia="en-PH"/>
        </w:rPr>
      </w:pPr>
      <w:r w:rsidRPr="003964A0">
        <w:rPr>
          <w:rFonts w:ascii="Arial" w:eastAsia="Times New Roman" w:hAnsi="Arial" w:cs="Arial"/>
          <w:b/>
          <w:bCs/>
          <w:sz w:val="36"/>
          <w:szCs w:val="24"/>
          <w:lang w:eastAsia="en-PH"/>
        </w:rPr>
        <w:t>The Influence of Environmental Context on Cybersecurity Adoption and Research Performance in a Higher Education Institution in Western Mindanao: A Quantitative Regression Analysis</w:t>
      </w:r>
    </w:p>
    <w:p w14:paraId="712F3166" w14:textId="2A74DB30" w:rsidR="00F63438" w:rsidRDefault="00F63438" w:rsidP="00F63438">
      <w:pPr>
        <w:spacing w:after="0" w:line="240" w:lineRule="auto"/>
        <w:jc w:val="right"/>
        <w:rPr>
          <w:rFonts w:ascii="Arial" w:hAnsi="Arial" w:cs="Arial"/>
        </w:rPr>
      </w:pPr>
      <w:r>
        <w:rPr>
          <w:rFonts w:ascii="Arial" w:hAnsi="Arial" w:cs="Arial"/>
        </w:rPr>
        <w:t xml:space="preserve"> </w:t>
      </w:r>
    </w:p>
    <w:p w14:paraId="3A871429" w14:textId="77777777" w:rsidR="00F63438" w:rsidRDefault="00F63438" w:rsidP="00F63438">
      <w:pPr>
        <w:spacing w:after="0" w:line="240" w:lineRule="auto"/>
        <w:jc w:val="right"/>
        <w:rPr>
          <w:rFonts w:ascii="Arial" w:hAnsi="Arial" w:cs="Arial"/>
        </w:rPr>
      </w:pPr>
    </w:p>
    <w:p w14:paraId="6B1D3758" w14:textId="77777777" w:rsidR="00F63438" w:rsidRPr="003964A0" w:rsidRDefault="00C1294C" w:rsidP="00F63438">
      <w:pPr>
        <w:spacing w:after="0" w:line="240" w:lineRule="auto"/>
        <w:jc w:val="right"/>
        <w:rPr>
          <w:rFonts w:ascii="Arial" w:hAnsi="Arial" w:cs="Arial"/>
        </w:rPr>
      </w:pPr>
      <w:r>
        <w:rPr>
          <w:rFonts w:ascii="Arial" w:eastAsia="Times New Roman" w:hAnsi="Arial" w:cs="Arial"/>
          <w:szCs w:val="24"/>
          <w:lang w:eastAsia="en-PH"/>
        </w:rPr>
        <w:pict w14:anchorId="6143A15E">
          <v:rect id="_x0000_i1025" style="width:0;height:1.5pt" o:hralign="center" o:hrstd="t" o:hr="t" fillcolor="#a0a0a0" stroked="f"/>
        </w:pict>
      </w:r>
    </w:p>
    <w:p w14:paraId="5AE10BA0" w14:textId="77777777" w:rsidR="00F63438" w:rsidRPr="004112E8" w:rsidRDefault="00F63438" w:rsidP="00F63438">
      <w:pPr>
        <w:spacing w:before="100" w:beforeAutospacing="1" w:after="100" w:afterAutospacing="1" w:line="240" w:lineRule="auto"/>
        <w:rPr>
          <w:rFonts w:ascii="Arial" w:eastAsia="Times New Roman" w:hAnsi="Arial" w:cs="Arial"/>
          <w:b/>
          <w:bCs/>
          <w:szCs w:val="24"/>
          <w:lang w:eastAsia="en-PH"/>
        </w:rPr>
      </w:pPr>
      <w:r w:rsidRPr="003964A0">
        <w:rPr>
          <w:rFonts w:ascii="Arial" w:eastAsia="Times New Roman" w:hAnsi="Arial" w:cs="Arial"/>
          <w:b/>
          <w:bCs/>
          <w:szCs w:val="24"/>
          <w:lang w:eastAsia="en-PH"/>
        </w:rPr>
        <w:t xml:space="preserve">ABSTRACT </w:t>
      </w:r>
    </w:p>
    <w:p w14:paraId="0687DF42" w14:textId="77777777" w:rsidR="00F63438" w:rsidRPr="003964A0" w:rsidRDefault="00F63438" w:rsidP="00F6343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szCs w:val="24"/>
          <w:lang w:eastAsia="en-PH"/>
        </w:rPr>
      </w:pPr>
      <w:r w:rsidRPr="003964A0">
        <w:rPr>
          <w:rFonts w:ascii="Arial" w:eastAsia="Times New Roman" w:hAnsi="Arial" w:cs="Arial"/>
          <w:b/>
          <w:bCs/>
          <w:szCs w:val="24"/>
          <w:lang w:eastAsia="en-PH"/>
        </w:rPr>
        <w:t>Aims:</w:t>
      </w:r>
      <w:r w:rsidRPr="003964A0">
        <w:rPr>
          <w:rFonts w:ascii="Arial" w:eastAsia="Times New Roman" w:hAnsi="Arial" w:cs="Arial"/>
          <w:szCs w:val="24"/>
          <w:lang w:eastAsia="en-PH"/>
        </w:rPr>
        <w:t xml:space="preserve"> This study investigates how environmental factors influence cybersecurity adoption and research performance in a higher education institution in Western Mindanao.</w:t>
      </w:r>
    </w:p>
    <w:p w14:paraId="258C8A32" w14:textId="77777777" w:rsidR="00F63438" w:rsidRPr="003964A0" w:rsidRDefault="00F63438" w:rsidP="00F6343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szCs w:val="24"/>
          <w:lang w:eastAsia="en-PH"/>
        </w:rPr>
      </w:pPr>
      <w:r w:rsidRPr="003964A0">
        <w:rPr>
          <w:rFonts w:ascii="Arial" w:eastAsia="Times New Roman" w:hAnsi="Arial" w:cs="Arial"/>
          <w:b/>
          <w:bCs/>
          <w:szCs w:val="24"/>
          <w:lang w:eastAsia="en-PH"/>
        </w:rPr>
        <w:t>Study design:</w:t>
      </w:r>
      <w:r w:rsidRPr="003964A0">
        <w:rPr>
          <w:rFonts w:ascii="Arial" w:eastAsia="Times New Roman" w:hAnsi="Arial" w:cs="Arial"/>
          <w:szCs w:val="24"/>
          <w:lang w:eastAsia="en-PH"/>
        </w:rPr>
        <w:t xml:space="preserve"> Descriptive, cross-sectional, quantitative research design.</w:t>
      </w:r>
    </w:p>
    <w:p w14:paraId="1B9E61E1" w14:textId="77777777" w:rsidR="00F63438" w:rsidRPr="003964A0" w:rsidRDefault="00F63438" w:rsidP="00F6343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szCs w:val="24"/>
          <w:lang w:eastAsia="en-PH"/>
        </w:rPr>
      </w:pPr>
      <w:r w:rsidRPr="003964A0">
        <w:rPr>
          <w:rFonts w:ascii="Arial" w:eastAsia="Times New Roman" w:hAnsi="Arial" w:cs="Arial"/>
          <w:b/>
          <w:bCs/>
          <w:szCs w:val="24"/>
          <w:lang w:eastAsia="en-PH"/>
        </w:rPr>
        <w:t>Place and Duration of Study:</w:t>
      </w:r>
      <w:r w:rsidRPr="003964A0">
        <w:rPr>
          <w:rFonts w:ascii="Arial" w:eastAsia="Times New Roman" w:hAnsi="Arial" w:cs="Arial"/>
          <w:szCs w:val="24"/>
          <w:lang w:eastAsia="en-PH"/>
        </w:rPr>
        <w:t xml:space="preserve"> J.H. </w:t>
      </w:r>
      <w:proofErr w:type="spellStart"/>
      <w:r w:rsidRPr="003964A0">
        <w:rPr>
          <w:rFonts w:ascii="Arial" w:eastAsia="Times New Roman" w:hAnsi="Arial" w:cs="Arial"/>
          <w:szCs w:val="24"/>
          <w:lang w:eastAsia="en-PH"/>
        </w:rPr>
        <w:t>Cerilles</w:t>
      </w:r>
      <w:proofErr w:type="spellEnd"/>
      <w:r w:rsidRPr="003964A0">
        <w:rPr>
          <w:rFonts w:ascii="Arial" w:eastAsia="Times New Roman" w:hAnsi="Arial" w:cs="Arial"/>
          <w:szCs w:val="24"/>
          <w:lang w:eastAsia="en-PH"/>
        </w:rPr>
        <w:t xml:space="preserve"> State College, Western Mindanao, Philippines, conducted between January and March 2025.</w:t>
      </w:r>
    </w:p>
    <w:p w14:paraId="261DB3AE" w14:textId="77777777" w:rsidR="00F63438" w:rsidRPr="003964A0" w:rsidRDefault="00F63438" w:rsidP="00F6343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szCs w:val="24"/>
          <w:lang w:eastAsia="en-PH"/>
        </w:rPr>
      </w:pPr>
      <w:r w:rsidRPr="003964A0">
        <w:rPr>
          <w:rFonts w:ascii="Arial" w:eastAsia="Times New Roman" w:hAnsi="Arial" w:cs="Arial"/>
          <w:b/>
          <w:bCs/>
          <w:szCs w:val="24"/>
          <w:lang w:eastAsia="en-PH"/>
        </w:rPr>
        <w:t>Methodology:</w:t>
      </w:r>
      <w:r w:rsidRPr="003964A0">
        <w:rPr>
          <w:rFonts w:ascii="Arial" w:eastAsia="Times New Roman" w:hAnsi="Arial" w:cs="Arial"/>
          <w:szCs w:val="24"/>
          <w:lang w:eastAsia="en-PH"/>
        </w:rPr>
        <w:t xml:space="preserve"> Grounded in the TOE and UTAUT frameworks, the study used a validated survey administered to 252 faculty and staff. Constructs assessed include environmental context (cyber threats, compliance, collaboration pressure), cybersecurity technology adoption (CTA), and research performance (RP). Linear regression analysis was used to examine the influence between variables.</w:t>
      </w:r>
    </w:p>
    <w:p w14:paraId="5C82E3DD" w14:textId="77777777" w:rsidR="00F63438" w:rsidRPr="003964A0" w:rsidRDefault="00F63438" w:rsidP="00F6343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szCs w:val="24"/>
          <w:lang w:eastAsia="en-PH"/>
        </w:rPr>
      </w:pPr>
      <w:r w:rsidRPr="003964A0">
        <w:rPr>
          <w:rFonts w:ascii="Arial" w:eastAsia="Times New Roman" w:hAnsi="Arial" w:cs="Arial"/>
          <w:b/>
          <w:bCs/>
          <w:szCs w:val="24"/>
          <w:lang w:eastAsia="en-PH"/>
        </w:rPr>
        <w:t>Results:</w:t>
      </w:r>
      <w:r w:rsidRPr="003964A0">
        <w:rPr>
          <w:rFonts w:ascii="Arial" w:eastAsia="Times New Roman" w:hAnsi="Arial" w:cs="Arial"/>
          <w:szCs w:val="24"/>
          <w:lang w:eastAsia="en-PH"/>
        </w:rPr>
        <w:t xml:space="preserve"> The results indicate that environmental context significantly predicts cybersecurity technology adoption (β = 0.51, p &lt; .001, R² = 0.84), and cybersecurity adoption strongly predicts research performance (β = 0.98, p &lt; .001, R² = 0.88).</w:t>
      </w:r>
    </w:p>
    <w:p w14:paraId="246C8455" w14:textId="77777777" w:rsidR="00F63438" w:rsidRPr="003964A0" w:rsidRDefault="00F63438" w:rsidP="00F6343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szCs w:val="24"/>
          <w:lang w:eastAsia="en-PH"/>
        </w:rPr>
      </w:pPr>
      <w:r w:rsidRPr="003964A0">
        <w:rPr>
          <w:rFonts w:ascii="Arial" w:eastAsia="Times New Roman" w:hAnsi="Arial" w:cs="Arial"/>
          <w:b/>
          <w:bCs/>
          <w:szCs w:val="24"/>
          <w:lang w:eastAsia="en-PH"/>
        </w:rPr>
        <w:t>Conclusion:</w:t>
      </w:r>
      <w:r w:rsidRPr="003964A0">
        <w:rPr>
          <w:rFonts w:ascii="Arial" w:eastAsia="Times New Roman" w:hAnsi="Arial" w:cs="Arial"/>
          <w:szCs w:val="24"/>
          <w:lang w:eastAsia="en-PH"/>
        </w:rPr>
        <w:t xml:space="preserve"> The findings highlight the importance of aligning external compliance, threat awareness, and collaboration drivers with institutional cybersecurity strategies to improve research productivity and integrity.</w:t>
      </w:r>
    </w:p>
    <w:p w14:paraId="721D6BB2" w14:textId="77777777" w:rsidR="00F63438" w:rsidRPr="003964A0" w:rsidRDefault="00F63438" w:rsidP="00F6343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szCs w:val="24"/>
          <w:lang w:eastAsia="en-PH"/>
        </w:rPr>
      </w:pPr>
      <w:r w:rsidRPr="003964A0">
        <w:rPr>
          <w:rFonts w:ascii="Arial" w:eastAsia="Times New Roman" w:hAnsi="Arial" w:cs="Arial"/>
          <w:b/>
          <w:bCs/>
          <w:szCs w:val="24"/>
          <w:lang w:eastAsia="en-PH"/>
        </w:rPr>
        <w:t>Keywords:</w:t>
      </w:r>
      <w:r w:rsidRPr="003964A0">
        <w:rPr>
          <w:rFonts w:ascii="Arial" w:eastAsia="Times New Roman" w:hAnsi="Arial" w:cs="Arial"/>
          <w:szCs w:val="24"/>
          <w:lang w:eastAsia="en-PH"/>
        </w:rPr>
        <w:t xml:space="preserve"> Environmental context, cybersecurity adoption, research performance, TOE framework, UTAUT, linear regression, higher education</w:t>
      </w:r>
    </w:p>
    <w:p w14:paraId="6DB97C0E" w14:textId="77777777" w:rsidR="00F63438" w:rsidRPr="003964A0" w:rsidRDefault="00C1294C" w:rsidP="00F63438">
      <w:pPr>
        <w:spacing w:after="0" w:line="240" w:lineRule="auto"/>
        <w:rPr>
          <w:rFonts w:ascii="Arial" w:eastAsia="Times New Roman" w:hAnsi="Arial" w:cs="Arial"/>
          <w:szCs w:val="24"/>
          <w:lang w:eastAsia="en-PH"/>
        </w:rPr>
      </w:pPr>
      <w:r>
        <w:rPr>
          <w:rFonts w:ascii="Arial" w:eastAsia="Times New Roman" w:hAnsi="Arial" w:cs="Arial"/>
          <w:szCs w:val="24"/>
          <w:lang w:eastAsia="en-PH"/>
        </w:rPr>
        <w:pict w14:anchorId="7A9284E3">
          <v:rect id="_x0000_i1026" style="width:0;height:1.5pt" o:hralign="center" o:hrstd="t" o:hr="t" fillcolor="#a0a0a0" stroked="f"/>
        </w:pict>
      </w:r>
    </w:p>
    <w:p w14:paraId="7FD9109B" w14:textId="77777777" w:rsidR="00F63438" w:rsidRDefault="00F63438" w:rsidP="00F63438">
      <w:pPr>
        <w:spacing w:before="100" w:beforeAutospacing="1" w:after="100" w:afterAutospacing="1" w:line="240" w:lineRule="auto"/>
        <w:jc w:val="both"/>
        <w:rPr>
          <w:rFonts w:ascii="Arial" w:eastAsia="Times New Roman" w:hAnsi="Arial" w:cs="Arial"/>
          <w:b/>
          <w:bCs/>
          <w:lang w:eastAsia="en-PH"/>
        </w:rPr>
      </w:pPr>
    </w:p>
    <w:p w14:paraId="455EFD53" w14:textId="77777777" w:rsidR="00F63438" w:rsidRDefault="00F63438" w:rsidP="00F63438">
      <w:pPr>
        <w:spacing w:before="100" w:beforeAutospacing="1" w:after="100" w:afterAutospacing="1" w:line="240" w:lineRule="auto"/>
        <w:jc w:val="both"/>
        <w:rPr>
          <w:rFonts w:ascii="Arial" w:eastAsia="Times New Roman" w:hAnsi="Arial" w:cs="Arial"/>
          <w:b/>
          <w:bCs/>
          <w:lang w:eastAsia="en-PH"/>
        </w:rPr>
      </w:pPr>
    </w:p>
    <w:p w14:paraId="68292C19" w14:textId="77777777" w:rsidR="00F63438" w:rsidRPr="003964A0" w:rsidRDefault="00F63438" w:rsidP="00F63438">
      <w:pPr>
        <w:spacing w:before="100" w:beforeAutospacing="1" w:after="100" w:afterAutospacing="1" w:line="240" w:lineRule="auto"/>
        <w:jc w:val="both"/>
        <w:rPr>
          <w:rFonts w:ascii="Arial" w:eastAsia="Times New Roman" w:hAnsi="Arial" w:cs="Arial"/>
          <w:lang w:eastAsia="en-PH"/>
        </w:rPr>
      </w:pPr>
      <w:r w:rsidRPr="003964A0">
        <w:rPr>
          <w:rFonts w:ascii="Arial" w:eastAsia="Times New Roman" w:hAnsi="Arial" w:cs="Arial"/>
          <w:b/>
          <w:bCs/>
          <w:lang w:eastAsia="en-PH"/>
        </w:rPr>
        <w:t>1. INTRODUCTION</w:t>
      </w:r>
    </w:p>
    <w:p w14:paraId="0B27766F" w14:textId="77777777" w:rsidR="007E135A" w:rsidRPr="007E135A" w:rsidRDefault="007E135A" w:rsidP="007E135A">
      <w:pPr>
        <w:spacing w:before="100" w:beforeAutospacing="1" w:after="100" w:afterAutospacing="1" w:line="240" w:lineRule="auto"/>
        <w:jc w:val="both"/>
        <w:rPr>
          <w:rFonts w:ascii="Arial" w:eastAsia="Times New Roman" w:hAnsi="Arial" w:cs="Arial"/>
          <w:lang w:eastAsia="en-PH"/>
        </w:rPr>
      </w:pPr>
      <w:r w:rsidRPr="007E135A">
        <w:rPr>
          <w:rFonts w:ascii="Arial" w:eastAsia="Times New Roman" w:hAnsi="Arial" w:cs="Arial"/>
          <w:lang w:eastAsia="en-PH"/>
        </w:rPr>
        <w:t xml:space="preserve">Higher education institutions (HEIs) worldwide are evolving into increasingly complex ecosystems where digitization plays a pivotal role. From handling confidential research datasets securely to </w:t>
      </w:r>
      <w:r w:rsidRPr="007E135A">
        <w:rPr>
          <w:rFonts w:ascii="Arial" w:eastAsia="Times New Roman" w:hAnsi="Arial" w:cs="Arial"/>
          <w:lang w:eastAsia="en-PH"/>
        </w:rPr>
        <w:lastRenderedPageBreak/>
        <w:t>engaging in multi-institutional collaborations, academic institutions are becoming high-stakes digital arenas vulnerable to cyber threats. In Western Mindanao—an emerging academic region in the Philippines—these trends mirror international patterns, with institutions facing a growing wave of malware intrusions, ransomware attacks, phishing campaigns, and data exfiltration attempts.</w:t>
      </w:r>
    </w:p>
    <w:p w14:paraId="03F746D6" w14:textId="77777777" w:rsidR="007E135A" w:rsidRPr="007E135A" w:rsidRDefault="007E135A" w:rsidP="007E135A">
      <w:pPr>
        <w:spacing w:before="100" w:beforeAutospacing="1" w:after="100" w:afterAutospacing="1" w:line="240" w:lineRule="auto"/>
        <w:jc w:val="both"/>
        <w:rPr>
          <w:rFonts w:ascii="Arial" w:eastAsia="Times New Roman" w:hAnsi="Arial" w:cs="Arial"/>
          <w:lang w:eastAsia="en-PH"/>
        </w:rPr>
      </w:pPr>
      <w:r w:rsidRPr="007E135A">
        <w:rPr>
          <w:rFonts w:ascii="Arial" w:eastAsia="Times New Roman" w:hAnsi="Arial" w:cs="Arial"/>
          <w:lang w:eastAsia="en-PH"/>
        </w:rPr>
        <w:t>Although the Technology-Organization-Environment (TOE) framework has been widely applied in technology adoption studies, its use in examining cybersecurity adoption within HEIs, especially in dynamic contexts like Western Mindanao, remains underexplored. Similarly, the Unified Theory of Acceptance and Use of Technology (UTAUT) highlights that external contextual pressures—such as performance expectancy and social influence—can significantly shape institutional behavioral intentions. Yet, research directly connecting these pressures to measurable outcomes like research productivity is still limited.</w:t>
      </w:r>
    </w:p>
    <w:p w14:paraId="4065304C" w14:textId="77777777" w:rsidR="007E135A" w:rsidRPr="007E135A" w:rsidRDefault="007E135A" w:rsidP="007E135A">
      <w:pPr>
        <w:spacing w:before="100" w:beforeAutospacing="1" w:after="100" w:afterAutospacing="1" w:line="240" w:lineRule="auto"/>
        <w:jc w:val="both"/>
        <w:rPr>
          <w:rFonts w:ascii="Arial" w:eastAsia="Times New Roman" w:hAnsi="Arial" w:cs="Arial"/>
          <w:lang w:eastAsia="en-PH"/>
        </w:rPr>
      </w:pPr>
      <w:r w:rsidRPr="007E135A">
        <w:rPr>
          <w:rFonts w:ascii="Arial" w:eastAsia="Times New Roman" w:hAnsi="Arial" w:cs="Arial"/>
          <w:lang w:eastAsia="en-PH"/>
        </w:rPr>
        <w:t>The environmental context—including external compliance mandates (e.g., data privacy laws), security expectations driven by collaboration (e.g., secure platforms for international partners), and heightened threat awareness (e.g., incident-driven consciousness among stakeholders)—may serve as a catalyst for cybersecurity adoption. This study seeks to answer: How does the environmental context influence cybersecurity technology adoption (CTA) in higher education, and how does CTA, in turn, affect research performance (RP)?</w:t>
      </w:r>
    </w:p>
    <w:p w14:paraId="0A6DBC1F" w14:textId="2B4142B1" w:rsidR="00F63438" w:rsidRPr="007D78A6" w:rsidRDefault="007E135A" w:rsidP="00F63438">
      <w:pPr>
        <w:spacing w:before="100" w:beforeAutospacing="1" w:after="100" w:afterAutospacing="1" w:line="240" w:lineRule="auto"/>
        <w:jc w:val="both"/>
        <w:rPr>
          <w:rFonts w:ascii="Arial" w:eastAsia="Times New Roman" w:hAnsi="Arial" w:cs="Arial"/>
          <w:lang w:eastAsia="en-PH"/>
        </w:rPr>
      </w:pPr>
      <w:r w:rsidRPr="007E135A">
        <w:rPr>
          <w:rFonts w:ascii="Arial" w:eastAsia="Times New Roman" w:hAnsi="Arial" w:cs="Arial"/>
          <w:lang w:eastAsia="en-PH"/>
        </w:rPr>
        <w:t xml:space="preserve">Focusing on J.H. </w:t>
      </w:r>
      <w:proofErr w:type="spellStart"/>
      <w:r w:rsidRPr="007E135A">
        <w:rPr>
          <w:rFonts w:ascii="Arial" w:eastAsia="Times New Roman" w:hAnsi="Arial" w:cs="Arial"/>
          <w:lang w:eastAsia="en-PH"/>
        </w:rPr>
        <w:t>Cerilles</w:t>
      </w:r>
      <w:proofErr w:type="spellEnd"/>
      <w:r w:rsidRPr="007E135A">
        <w:rPr>
          <w:rFonts w:ascii="Arial" w:eastAsia="Times New Roman" w:hAnsi="Arial" w:cs="Arial"/>
          <w:lang w:eastAsia="en-PH"/>
        </w:rPr>
        <w:t xml:space="preserve"> State College in Western Mindanao, this study contributes localized empirical evidence to the academic discourse in the Philippines. It also extends both the TOE and UTAUT frameworks by linking cybersecurity adoption to research outcomes, specifically data integrity, publication frequency, and research innovation.</w:t>
      </w:r>
    </w:p>
    <w:p w14:paraId="2ED6A6C3" w14:textId="77777777" w:rsidR="00F63438" w:rsidRPr="007D78A6" w:rsidRDefault="00F63438" w:rsidP="00F63438">
      <w:pPr>
        <w:spacing w:before="100" w:beforeAutospacing="1" w:after="100" w:afterAutospacing="1" w:line="240" w:lineRule="auto"/>
        <w:jc w:val="both"/>
        <w:outlineLvl w:val="2"/>
        <w:rPr>
          <w:rFonts w:ascii="Arial" w:eastAsia="Times New Roman" w:hAnsi="Arial" w:cs="Arial"/>
          <w:b/>
          <w:bCs/>
          <w:lang w:eastAsia="en-PH"/>
        </w:rPr>
      </w:pPr>
      <w:r w:rsidRPr="007D78A6">
        <w:rPr>
          <w:rFonts w:ascii="Arial" w:eastAsia="Times New Roman" w:hAnsi="Arial" w:cs="Arial"/>
          <w:b/>
          <w:bCs/>
          <w:lang w:eastAsia="en-PH"/>
        </w:rPr>
        <w:t>2. Methodology</w:t>
      </w:r>
    </w:p>
    <w:p w14:paraId="7BC854D6" w14:textId="77777777" w:rsidR="00F63438" w:rsidRPr="007D78A6" w:rsidRDefault="00F63438" w:rsidP="00F63438">
      <w:pPr>
        <w:spacing w:before="100" w:beforeAutospacing="1" w:after="100" w:afterAutospacing="1" w:line="240" w:lineRule="auto"/>
        <w:jc w:val="both"/>
        <w:outlineLvl w:val="2"/>
        <w:rPr>
          <w:rFonts w:ascii="Arial" w:eastAsia="Times New Roman" w:hAnsi="Arial" w:cs="Arial"/>
          <w:b/>
          <w:bCs/>
          <w:lang w:eastAsia="en-PH"/>
        </w:rPr>
      </w:pPr>
      <w:r w:rsidRPr="007D78A6">
        <w:rPr>
          <w:rFonts w:ascii="Arial" w:eastAsia="Times New Roman" w:hAnsi="Arial" w:cs="Arial"/>
          <w:b/>
          <w:bCs/>
          <w:lang w:eastAsia="en-PH"/>
        </w:rPr>
        <w:t>2.1 Research Design</w:t>
      </w:r>
    </w:p>
    <w:p w14:paraId="4F6B9951" w14:textId="77777777" w:rsidR="00F63438" w:rsidRPr="007D78A6" w:rsidRDefault="00F63438" w:rsidP="00F63438">
      <w:p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lang w:eastAsia="en-PH"/>
        </w:rPr>
        <w:t xml:space="preserve">A </w:t>
      </w:r>
      <w:r w:rsidRPr="007D78A6">
        <w:rPr>
          <w:rFonts w:ascii="Arial" w:eastAsia="Times New Roman" w:hAnsi="Arial" w:cs="Arial"/>
          <w:b/>
          <w:bCs/>
          <w:lang w:eastAsia="en-PH"/>
        </w:rPr>
        <w:t>cross-sectional quantitative design</w:t>
      </w:r>
      <w:r w:rsidRPr="007D78A6">
        <w:rPr>
          <w:rFonts w:ascii="Arial" w:eastAsia="Times New Roman" w:hAnsi="Arial" w:cs="Arial"/>
          <w:lang w:eastAsia="en-PH"/>
        </w:rPr>
        <w:t xml:space="preserve"> was employed to capture current stakeholder perceptions at a singular point in time (January–March 2025). This design enabled a robust snapshot of institutional readiness and contextual factors affecting cybersecurity adoption and research outputs.</w:t>
      </w:r>
    </w:p>
    <w:p w14:paraId="6DE590C4" w14:textId="77777777" w:rsidR="00F63438" w:rsidRPr="007D78A6" w:rsidRDefault="00F63438" w:rsidP="00F63438">
      <w:pPr>
        <w:spacing w:before="100" w:beforeAutospacing="1" w:after="100" w:afterAutospacing="1" w:line="240" w:lineRule="auto"/>
        <w:jc w:val="both"/>
        <w:outlineLvl w:val="2"/>
        <w:rPr>
          <w:rFonts w:ascii="Arial" w:eastAsia="Times New Roman" w:hAnsi="Arial" w:cs="Arial"/>
          <w:b/>
          <w:bCs/>
          <w:lang w:eastAsia="en-PH"/>
        </w:rPr>
      </w:pPr>
      <w:r w:rsidRPr="007D78A6">
        <w:rPr>
          <w:rFonts w:ascii="Arial" w:eastAsia="Times New Roman" w:hAnsi="Arial" w:cs="Arial"/>
          <w:b/>
          <w:bCs/>
          <w:lang w:eastAsia="en-PH"/>
        </w:rPr>
        <w:t>2.2 Sampling and Participants</w:t>
      </w:r>
    </w:p>
    <w:p w14:paraId="1AEF8EF7" w14:textId="77777777" w:rsidR="00F63438" w:rsidRPr="007D78A6" w:rsidRDefault="00F63438" w:rsidP="00F63438">
      <w:p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lang w:eastAsia="en-PH"/>
        </w:rPr>
        <w:t>Using stratified random sampling, a diverse pool of 252 participants—including faculty, administrative staff, and IT personnel—was recruited. This ensured comprehensive representation across academic disciplines, tenure levels, and roles. Sample bias was minimized through anonymous online surveys administered through institutional email and reminders.</w:t>
      </w:r>
    </w:p>
    <w:p w14:paraId="734C5299" w14:textId="77777777" w:rsidR="00F63438" w:rsidRPr="007D78A6" w:rsidRDefault="00F63438" w:rsidP="00F63438">
      <w:pPr>
        <w:spacing w:before="100" w:beforeAutospacing="1" w:after="100" w:afterAutospacing="1" w:line="240" w:lineRule="auto"/>
        <w:jc w:val="both"/>
        <w:outlineLvl w:val="2"/>
        <w:rPr>
          <w:rFonts w:ascii="Arial" w:eastAsia="Times New Roman" w:hAnsi="Arial" w:cs="Arial"/>
          <w:b/>
          <w:bCs/>
          <w:lang w:eastAsia="en-PH"/>
        </w:rPr>
      </w:pPr>
      <w:r w:rsidRPr="007D78A6">
        <w:rPr>
          <w:rFonts w:ascii="Arial" w:eastAsia="Times New Roman" w:hAnsi="Arial" w:cs="Arial"/>
          <w:b/>
          <w:bCs/>
          <w:lang w:eastAsia="en-PH"/>
        </w:rPr>
        <w:t>2.3 Instrument Development</w:t>
      </w:r>
    </w:p>
    <w:p w14:paraId="5209B29D" w14:textId="77777777" w:rsidR="00F63438" w:rsidRPr="007D78A6" w:rsidRDefault="00F63438" w:rsidP="00F63438">
      <w:p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lang w:eastAsia="en-PH"/>
        </w:rPr>
        <w:t>Based on validated instruments drawn from TOE and UTAUT literature, the survey included:</w:t>
      </w:r>
    </w:p>
    <w:p w14:paraId="591614C3" w14:textId="77777777" w:rsidR="00F63438" w:rsidRPr="007D78A6" w:rsidRDefault="00F63438" w:rsidP="00F63438">
      <w:pPr>
        <w:numPr>
          <w:ilvl w:val="0"/>
          <w:numId w:val="1"/>
        </w:num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b/>
          <w:bCs/>
          <w:lang w:eastAsia="en-PH"/>
        </w:rPr>
        <w:t>Environmental Context (EC)</w:t>
      </w:r>
      <w:r w:rsidRPr="007D78A6">
        <w:rPr>
          <w:rFonts w:ascii="Arial" w:eastAsia="Times New Roman" w:hAnsi="Arial" w:cs="Arial"/>
          <w:lang w:eastAsia="en-PH"/>
        </w:rPr>
        <w:t>: Measured via composite items on cyber threats, regulatory pressures (e.g., data protection compliance), and collaboration demands.</w:t>
      </w:r>
    </w:p>
    <w:p w14:paraId="3F2773FA" w14:textId="77777777" w:rsidR="00F63438" w:rsidRPr="007D78A6" w:rsidRDefault="00F63438" w:rsidP="00F63438">
      <w:pPr>
        <w:numPr>
          <w:ilvl w:val="0"/>
          <w:numId w:val="1"/>
        </w:num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b/>
          <w:bCs/>
          <w:lang w:eastAsia="en-PH"/>
        </w:rPr>
        <w:lastRenderedPageBreak/>
        <w:t>Cybersecurity Technology Adoption (CTA)</w:t>
      </w:r>
      <w:r w:rsidRPr="007D78A6">
        <w:rPr>
          <w:rFonts w:ascii="Arial" w:eastAsia="Times New Roman" w:hAnsi="Arial" w:cs="Arial"/>
          <w:lang w:eastAsia="en-PH"/>
        </w:rPr>
        <w:t>: Assessed by indicators such as frequency and sophistication of tool use—firewalls, antivirus, two-factor authentication, secure repositories.</w:t>
      </w:r>
    </w:p>
    <w:p w14:paraId="67991050" w14:textId="77777777" w:rsidR="00F63438" w:rsidRPr="007D78A6" w:rsidRDefault="00F63438" w:rsidP="00F63438">
      <w:pPr>
        <w:numPr>
          <w:ilvl w:val="0"/>
          <w:numId w:val="1"/>
        </w:num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b/>
          <w:bCs/>
          <w:lang w:eastAsia="en-PH"/>
        </w:rPr>
        <w:t>Research Performance (RP)</w:t>
      </w:r>
      <w:r w:rsidRPr="007D78A6">
        <w:rPr>
          <w:rFonts w:ascii="Arial" w:eastAsia="Times New Roman" w:hAnsi="Arial" w:cs="Arial"/>
          <w:lang w:eastAsia="en-PH"/>
        </w:rPr>
        <w:t>: Evaluated through self-reported metrics including data integrity confidence, publications, collaborative grants, and output quality.</w:t>
      </w:r>
    </w:p>
    <w:p w14:paraId="7613CCBD" w14:textId="77777777" w:rsidR="00F63438" w:rsidRPr="007D78A6" w:rsidRDefault="00F63438" w:rsidP="00F63438">
      <w:p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lang w:eastAsia="en-PH"/>
        </w:rPr>
        <w:t>Items used a 7-point Likert scale (1 = Strongly Disagree to 7 = Strongly Agree). Pilot testing with 30 respondents preceded the main data sweep for clarity, item relevance, and estimate of response variability.</w:t>
      </w:r>
    </w:p>
    <w:p w14:paraId="70A25C47" w14:textId="77777777" w:rsidR="00F63438" w:rsidRPr="007D78A6" w:rsidRDefault="00F63438" w:rsidP="00F63438">
      <w:pPr>
        <w:spacing w:before="100" w:beforeAutospacing="1" w:after="100" w:afterAutospacing="1" w:line="240" w:lineRule="auto"/>
        <w:jc w:val="both"/>
        <w:outlineLvl w:val="2"/>
        <w:rPr>
          <w:rFonts w:ascii="Arial" w:eastAsia="Times New Roman" w:hAnsi="Arial" w:cs="Arial"/>
          <w:b/>
          <w:bCs/>
          <w:lang w:eastAsia="en-PH"/>
        </w:rPr>
      </w:pPr>
      <w:r w:rsidRPr="007D78A6">
        <w:rPr>
          <w:rFonts w:ascii="Arial" w:eastAsia="Times New Roman" w:hAnsi="Arial" w:cs="Arial"/>
          <w:b/>
          <w:bCs/>
          <w:lang w:eastAsia="en-PH"/>
        </w:rPr>
        <w:t>2.4 Data Quality and Validity</w:t>
      </w:r>
    </w:p>
    <w:p w14:paraId="1FBB061B" w14:textId="77777777" w:rsidR="00F63438" w:rsidRPr="007D78A6" w:rsidRDefault="00F63438" w:rsidP="00F63438">
      <w:pPr>
        <w:numPr>
          <w:ilvl w:val="0"/>
          <w:numId w:val="2"/>
        </w:num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b/>
          <w:bCs/>
          <w:lang w:eastAsia="en-PH"/>
        </w:rPr>
        <w:t>Reliability Analysis</w:t>
      </w:r>
      <w:r w:rsidRPr="007D78A6">
        <w:rPr>
          <w:rFonts w:ascii="Arial" w:eastAsia="Times New Roman" w:hAnsi="Arial" w:cs="Arial"/>
          <w:lang w:eastAsia="en-PH"/>
        </w:rPr>
        <w:t>: Cronbach’s alpha exceeded 0.90 for each construct, indicating exceptional internal consistency.</w:t>
      </w:r>
    </w:p>
    <w:p w14:paraId="64E60C74" w14:textId="77777777" w:rsidR="00F63438" w:rsidRPr="007D78A6" w:rsidRDefault="00F63438" w:rsidP="00F63438">
      <w:pPr>
        <w:numPr>
          <w:ilvl w:val="0"/>
          <w:numId w:val="2"/>
        </w:num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b/>
          <w:bCs/>
          <w:lang w:eastAsia="en-PH"/>
        </w:rPr>
        <w:t>Confirmatory Factor Analysis (CFA)</w:t>
      </w:r>
      <w:r w:rsidRPr="007D78A6">
        <w:rPr>
          <w:rFonts w:ascii="Arial" w:eastAsia="Times New Roman" w:hAnsi="Arial" w:cs="Arial"/>
          <w:lang w:eastAsia="en-PH"/>
        </w:rPr>
        <w:t>: Conducted to verify construct validity; composite reliabilities exceeded 0.70, and average variance extracted (AVE) surpassed 0.50.</w:t>
      </w:r>
    </w:p>
    <w:p w14:paraId="6878A564" w14:textId="77777777" w:rsidR="00F63438" w:rsidRPr="007D78A6" w:rsidRDefault="00F63438" w:rsidP="00F63438">
      <w:pPr>
        <w:numPr>
          <w:ilvl w:val="0"/>
          <w:numId w:val="2"/>
        </w:num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b/>
          <w:bCs/>
          <w:lang w:eastAsia="en-PH"/>
        </w:rPr>
        <w:t>Assumptions for Regression</w:t>
      </w:r>
      <w:r w:rsidRPr="007D78A6">
        <w:rPr>
          <w:rFonts w:ascii="Arial" w:eastAsia="Times New Roman" w:hAnsi="Arial" w:cs="Arial"/>
          <w:lang w:eastAsia="en-PH"/>
        </w:rPr>
        <w:t>:</w:t>
      </w:r>
    </w:p>
    <w:p w14:paraId="776DD2B4" w14:textId="77777777" w:rsidR="00F63438" w:rsidRPr="007D78A6" w:rsidRDefault="00F63438" w:rsidP="00F63438">
      <w:pPr>
        <w:numPr>
          <w:ilvl w:val="1"/>
          <w:numId w:val="2"/>
        </w:num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b/>
          <w:bCs/>
          <w:lang w:eastAsia="en-PH"/>
        </w:rPr>
        <w:t>Normality</w:t>
      </w:r>
      <w:r w:rsidRPr="007D78A6">
        <w:rPr>
          <w:rFonts w:ascii="Arial" w:eastAsia="Times New Roman" w:hAnsi="Arial" w:cs="Arial"/>
          <w:lang w:eastAsia="en-PH"/>
        </w:rPr>
        <w:t>: Q–Q plots and Shapiro-Wilk test showed acceptable distribution.</w:t>
      </w:r>
    </w:p>
    <w:p w14:paraId="4B393A60" w14:textId="77777777" w:rsidR="00F63438" w:rsidRPr="007D78A6" w:rsidRDefault="00F63438" w:rsidP="00F63438">
      <w:pPr>
        <w:numPr>
          <w:ilvl w:val="1"/>
          <w:numId w:val="2"/>
        </w:num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b/>
          <w:bCs/>
          <w:lang w:eastAsia="en-PH"/>
        </w:rPr>
        <w:t>Linearity</w:t>
      </w:r>
      <w:r w:rsidRPr="007D78A6">
        <w:rPr>
          <w:rFonts w:ascii="Arial" w:eastAsia="Times New Roman" w:hAnsi="Arial" w:cs="Arial"/>
          <w:lang w:eastAsia="en-PH"/>
        </w:rPr>
        <w:t>: Scatterplots for each predictor–criterion pair displayed linear trends.</w:t>
      </w:r>
    </w:p>
    <w:p w14:paraId="6D815FCC" w14:textId="77777777" w:rsidR="00F63438" w:rsidRPr="007D78A6" w:rsidRDefault="00F63438" w:rsidP="00F63438">
      <w:pPr>
        <w:numPr>
          <w:ilvl w:val="1"/>
          <w:numId w:val="2"/>
        </w:num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b/>
          <w:bCs/>
          <w:lang w:eastAsia="en-PH"/>
        </w:rPr>
        <w:t>Multicollinearity</w:t>
      </w:r>
      <w:r w:rsidRPr="007D78A6">
        <w:rPr>
          <w:rFonts w:ascii="Arial" w:eastAsia="Times New Roman" w:hAnsi="Arial" w:cs="Arial"/>
          <w:lang w:eastAsia="en-PH"/>
        </w:rPr>
        <w:t>: Variance inflation factors (VIFs) were all below 2.5, indicating no multicollinearity issues.</w:t>
      </w:r>
    </w:p>
    <w:p w14:paraId="1744F6AB" w14:textId="77777777" w:rsidR="00F63438" w:rsidRPr="007D78A6" w:rsidRDefault="00F63438" w:rsidP="00F63438">
      <w:pPr>
        <w:spacing w:before="100" w:beforeAutospacing="1" w:after="100" w:afterAutospacing="1" w:line="240" w:lineRule="auto"/>
        <w:jc w:val="both"/>
        <w:outlineLvl w:val="2"/>
        <w:rPr>
          <w:rFonts w:ascii="Arial" w:eastAsia="Times New Roman" w:hAnsi="Arial" w:cs="Arial"/>
          <w:b/>
          <w:bCs/>
          <w:lang w:eastAsia="en-PH"/>
        </w:rPr>
      </w:pPr>
      <w:r w:rsidRPr="007D78A6">
        <w:rPr>
          <w:rFonts w:ascii="Arial" w:eastAsia="Times New Roman" w:hAnsi="Arial" w:cs="Arial"/>
          <w:b/>
          <w:bCs/>
          <w:lang w:eastAsia="en-PH"/>
        </w:rPr>
        <w:t>2.5 Statistical Techniques</w:t>
      </w:r>
    </w:p>
    <w:p w14:paraId="4BB7C4C7" w14:textId="77777777" w:rsidR="00F63438" w:rsidRPr="007D78A6" w:rsidRDefault="00F63438" w:rsidP="00F63438">
      <w:p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lang w:eastAsia="en-PH"/>
        </w:rPr>
        <w:t>Simple linear regression was used to assess:</w:t>
      </w:r>
    </w:p>
    <w:p w14:paraId="6404EB25" w14:textId="77777777" w:rsidR="00F63438" w:rsidRPr="007D78A6" w:rsidRDefault="00F63438" w:rsidP="00F63438">
      <w:pPr>
        <w:numPr>
          <w:ilvl w:val="0"/>
          <w:numId w:val="3"/>
        </w:num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lang w:eastAsia="en-PH"/>
        </w:rPr>
        <w:t>EC → CTA</w:t>
      </w:r>
    </w:p>
    <w:p w14:paraId="2BBDD704" w14:textId="77777777" w:rsidR="00F63438" w:rsidRPr="007D78A6" w:rsidRDefault="00F63438" w:rsidP="00F63438">
      <w:pPr>
        <w:numPr>
          <w:ilvl w:val="0"/>
          <w:numId w:val="3"/>
        </w:num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lang w:eastAsia="en-PH"/>
        </w:rPr>
        <w:t>CTA → RP</w:t>
      </w:r>
    </w:p>
    <w:p w14:paraId="2CEE6F80" w14:textId="77777777" w:rsidR="00F63438" w:rsidRPr="007D78A6" w:rsidRDefault="00F63438" w:rsidP="00F63438">
      <w:p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lang w:eastAsia="en-PH"/>
        </w:rPr>
        <w:t xml:space="preserve">Statistical software </w:t>
      </w:r>
      <w:r>
        <w:rPr>
          <w:rFonts w:ascii="Arial" w:eastAsia="Times New Roman" w:hAnsi="Arial" w:cs="Arial"/>
          <w:b/>
          <w:bCs/>
          <w:lang w:eastAsia="en-PH"/>
        </w:rPr>
        <w:t>JAMOVI</w:t>
      </w:r>
      <w:r w:rsidRPr="007D78A6">
        <w:rPr>
          <w:rFonts w:ascii="Arial" w:eastAsia="Times New Roman" w:hAnsi="Arial" w:cs="Arial"/>
          <w:lang w:eastAsia="en-PH"/>
        </w:rPr>
        <w:t xml:space="preserve"> facilitated data cleaning, descriptive statistics, and inferential modeling. Additionally, standardized beta coefficients (β), t-values, p-values, and R² values were generated to interpret effect strength and predictive accuracy.</w:t>
      </w:r>
    </w:p>
    <w:p w14:paraId="52383A12" w14:textId="77777777" w:rsidR="00F63438" w:rsidRPr="003964A0" w:rsidRDefault="00F63438" w:rsidP="00F63438">
      <w:pPr>
        <w:spacing w:before="100" w:beforeAutospacing="1" w:after="100" w:afterAutospacing="1" w:line="240" w:lineRule="auto"/>
        <w:jc w:val="both"/>
        <w:rPr>
          <w:rFonts w:ascii="Arial" w:eastAsia="Times New Roman" w:hAnsi="Arial" w:cs="Arial"/>
          <w:lang w:eastAsia="en-PH"/>
        </w:rPr>
      </w:pPr>
      <w:r w:rsidRPr="003964A0">
        <w:rPr>
          <w:rFonts w:ascii="Arial" w:eastAsia="Times New Roman" w:hAnsi="Arial" w:cs="Arial"/>
          <w:b/>
          <w:bCs/>
          <w:lang w:eastAsia="en-PH"/>
        </w:rPr>
        <w:t>3. RESULTS AND DISCUSSION</w:t>
      </w:r>
      <w:bookmarkStart w:id="0" w:name="_GoBack"/>
      <w:bookmarkEnd w:id="0"/>
    </w:p>
    <w:p w14:paraId="5218A3B2" w14:textId="77777777" w:rsidR="00F63438" w:rsidRPr="003964A0" w:rsidRDefault="00F63438" w:rsidP="00F63438">
      <w:pPr>
        <w:spacing w:before="100" w:beforeAutospacing="1" w:after="100" w:afterAutospacing="1" w:line="240" w:lineRule="auto"/>
        <w:jc w:val="both"/>
        <w:rPr>
          <w:rFonts w:ascii="Arial" w:eastAsia="Times New Roman" w:hAnsi="Arial" w:cs="Arial"/>
          <w:lang w:eastAsia="en-PH"/>
        </w:rPr>
      </w:pPr>
      <w:r w:rsidRPr="003964A0">
        <w:rPr>
          <w:rFonts w:ascii="Arial" w:eastAsia="Times New Roman" w:hAnsi="Arial" w:cs="Arial"/>
          <w:b/>
          <w:bCs/>
          <w:lang w:eastAsia="en-PH"/>
        </w:rPr>
        <w:t>Table 1: Regression Results</w:t>
      </w:r>
    </w:p>
    <w:tbl>
      <w:tblPr>
        <w:tblStyle w:val="TableGridLight"/>
        <w:tblW w:w="0" w:type="auto"/>
        <w:tblLook w:val="04A0" w:firstRow="1" w:lastRow="0" w:firstColumn="1" w:lastColumn="0" w:noHBand="0" w:noVBand="1"/>
      </w:tblPr>
      <w:tblGrid>
        <w:gridCol w:w="3261"/>
        <w:gridCol w:w="645"/>
        <w:gridCol w:w="645"/>
        <w:gridCol w:w="834"/>
        <w:gridCol w:w="645"/>
      </w:tblGrid>
      <w:tr w:rsidR="00F63438" w:rsidRPr="003964A0" w14:paraId="680F9AC2" w14:textId="77777777" w:rsidTr="00F051FF">
        <w:tc>
          <w:tcPr>
            <w:tcW w:w="0" w:type="auto"/>
            <w:hideMark/>
          </w:tcPr>
          <w:p w14:paraId="164CD7BB" w14:textId="77777777" w:rsidR="00F63438" w:rsidRPr="003964A0" w:rsidRDefault="00F63438" w:rsidP="00F051FF">
            <w:pPr>
              <w:jc w:val="both"/>
              <w:rPr>
                <w:rFonts w:ascii="Arial" w:eastAsia="Times New Roman" w:hAnsi="Arial" w:cs="Arial"/>
                <w:b/>
                <w:bCs/>
                <w:lang w:eastAsia="en-PH"/>
              </w:rPr>
            </w:pPr>
            <w:r w:rsidRPr="003964A0">
              <w:rPr>
                <w:rFonts w:ascii="Arial" w:eastAsia="Times New Roman" w:hAnsi="Arial" w:cs="Arial"/>
                <w:b/>
                <w:bCs/>
                <w:lang w:eastAsia="en-PH"/>
              </w:rPr>
              <w:t>Predictor</w:t>
            </w:r>
          </w:p>
        </w:tc>
        <w:tc>
          <w:tcPr>
            <w:tcW w:w="0" w:type="auto"/>
            <w:hideMark/>
          </w:tcPr>
          <w:p w14:paraId="1CFCE246" w14:textId="77777777" w:rsidR="00F63438" w:rsidRPr="003964A0" w:rsidRDefault="00F63438" w:rsidP="00F051FF">
            <w:pPr>
              <w:jc w:val="both"/>
              <w:rPr>
                <w:rFonts w:ascii="Arial" w:eastAsia="Times New Roman" w:hAnsi="Arial" w:cs="Arial"/>
                <w:b/>
                <w:bCs/>
                <w:lang w:eastAsia="en-PH"/>
              </w:rPr>
            </w:pPr>
            <w:r w:rsidRPr="003964A0">
              <w:rPr>
                <w:rFonts w:ascii="Arial" w:eastAsia="Times New Roman" w:hAnsi="Arial" w:cs="Arial"/>
                <w:b/>
                <w:bCs/>
                <w:lang w:eastAsia="en-PH"/>
              </w:rPr>
              <w:t>β</w:t>
            </w:r>
          </w:p>
        </w:tc>
        <w:tc>
          <w:tcPr>
            <w:tcW w:w="0" w:type="auto"/>
            <w:hideMark/>
          </w:tcPr>
          <w:p w14:paraId="2C8159E5" w14:textId="77777777" w:rsidR="00F63438" w:rsidRPr="003964A0" w:rsidRDefault="00F63438" w:rsidP="00F051FF">
            <w:pPr>
              <w:jc w:val="both"/>
              <w:rPr>
                <w:rFonts w:ascii="Arial" w:eastAsia="Times New Roman" w:hAnsi="Arial" w:cs="Arial"/>
                <w:b/>
                <w:bCs/>
                <w:lang w:eastAsia="en-PH"/>
              </w:rPr>
            </w:pPr>
            <w:r w:rsidRPr="003964A0">
              <w:rPr>
                <w:rFonts w:ascii="Arial" w:eastAsia="Times New Roman" w:hAnsi="Arial" w:cs="Arial"/>
                <w:b/>
                <w:bCs/>
                <w:lang w:eastAsia="en-PH"/>
              </w:rPr>
              <w:t>t</w:t>
            </w:r>
          </w:p>
        </w:tc>
        <w:tc>
          <w:tcPr>
            <w:tcW w:w="0" w:type="auto"/>
            <w:hideMark/>
          </w:tcPr>
          <w:p w14:paraId="79625E16" w14:textId="77777777" w:rsidR="00F63438" w:rsidRPr="003964A0" w:rsidRDefault="00F63438" w:rsidP="00F051FF">
            <w:pPr>
              <w:jc w:val="both"/>
              <w:rPr>
                <w:rFonts w:ascii="Arial" w:eastAsia="Times New Roman" w:hAnsi="Arial" w:cs="Arial"/>
                <w:b/>
                <w:bCs/>
                <w:lang w:eastAsia="en-PH"/>
              </w:rPr>
            </w:pPr>
            <w:r w:rsidRPr="003964A0">
              <w:rPr>
                <w:rFonts w:ascii="Arial" w:eastAsia="Times New Roman" w:hAnsi="Arial" w:cs="Arial"/>
                <w:b/>
                <w:bCs/>
                <w:lang w:eastAsia="en-PH"/>
              </w:rPr>
              <w:t>p</w:t>
            </w:r>
          </w:p>
        </w:tc>
        <w:tc>
          <w:tcPr>
            <w:tcW w:w="0" w:type="auto"/>
            <w:hideMark/>
          </w:tcPr>
          <w:p w14:paraId="4DC05F2A" w14:textId="77777777" w:rsidR="00F63438" w:rsidRPr="003964A0" w:rsidRDefault="00F63438" w:rsidP="00F051FF">
            <w:pPr>
              <w:jc w:val="both"/>
              <w:rPr>
                <w:rFonts w:ascii="Arial" w:eastAsia="Times New Roman" w:hAnsi="Arial" w:cs="Arial"/>
                <w:b/>
                <w:bCs/>
                <w:lang w:eastAsia="en-PH"/>
              </w:rPr>
            </w:pPr>
            <w:r w:rsidRPr="003964A0">
              <w:rPr>
                <w:rFonts w:ascii="Arial" w:eastAsia="Times New Roman" w:hAnsi="Arial" w:cs="Arial"/>
                <w:b/>
                <w:bCs/>
                <w:lang w:eastAsia="en-PH"/>
              </w:rPr>
              <w:t>R²</w:t>
            </w:r>
          </w:p>
        </w:tc>
      </w:tr>
      <w:tr w:rsidR="00F63438" w:rsidRPr="003964A0" w14:paraId="3A7E2732" w14:textId="77777777" w:rsidTr="00F051FF">
        <w:tc>
          <w:tcPr>
            <w:tcW w:w="0" w:type="auto"/>
            <w:hideMark/>
          </w:tcPr>
          <w:p w14:paraId="39B0EFC6" w14:textId="77777777" w:rsidR="00F63438" w:rsidRPr="003964A0" w:rsidRDefault="00F63438" w:rsidP="00F051FF">
            <w:pPr>
              <w:jc w:val="both"/>
              <w:rPr>
                <w:rFonts w:ascii="Arial" w:eastAsia="Times New Roman" w:hAnsi="Arial" w:cs="Arial"/>
                <w:lang w:eastAsia="en-PH"/>
              </w:rPr>
            </w:pPr>
            <w:r w:rsidRPr="003964A0">
              <w:rPr>
                <w:rFonts w:ascii="Arial" w:eastAsia="Times New Roman" w:hAnsi="Arial" w:cs="Arial"/>
                <w:lang w:eastAsia="en-PH"/>
              </w:rPr>
              <w:t>Environmental Context → CTA</w:t>
            </w:r>
          </w:p>
        </w:tc>
        <w:tc>
          <w:tcPr>
            <w:tcW w:w="0" w:type="auto"/>
            <w:hideMark/>
          </w:tcPr>
          <w:p w14:paraId="53EB5CF7" w14:textId="77777777" w:rsidR="00F63438" w:rsidRPr="003964A0" w:rsidRDefault="00F63438" w:rsidP="00F051FF">
            <w:pPr>
              <w:jc w:val="both"/>
              <w:rPr>
                <w:rFonts w:ascii="Arial" w:eastAsia="Times New Roman" w:hAnsi="Arial" w:cs="Arial"/>
                <w:lang w:eastAsia="en-PH"/>
              </w:rPr>
            </w:pPr>
            <w:r w:rsidRPr="003964A0">
              <w:rPr>
                <w:rFonts w:ascii="Arial" w:eastAsia="Times New Roman" w:hAnsi="Arial" w:cs="Arial"/>
                <w:lang w:eastAsia="en-PH"/>
              </w:rPr>
              <w:t>0.51</w:t>
            </w:r>
          </w:p>
        </w:tc>
        <w:tc>
          <w:tcPr>
            <w:tcW w:w="0" w:type="auto"/>
            <w:hideMark/>
          </w:tcPr>
          <w:p w14:paraId="075A4800" w14:textId="77777777" w:rsidR="00F63438" w:rsidRPr="003964A0" w:rsidRDefault="00F63438" w:rsidP="00F051FF">
            <w:pPr>
              <w:jc w:val="both"/>
              <w:rPr>
                <w:rFonts w:ascii="Arial" w:eastAsia="Times New Roman" w:hAnsi="Arial" w:cs="Arial"/>
                <w:lang w:eastAsia="en-PH"/>
              </w:rPr>
            </w:pPr>
            <w:r w:rsidRPr="003964A0">
              <w:rPr>
                <w:rFonts w:ascii="Arial" w:eastAsia="Times New Roman" w:hAnsi="Arial" w:cs="Arial"/>
                <w:lang w:eastAsia="en-PH"/>
              </w:rPr>
              <w:t>7.56</w:t>
            </w:r>
          </w:p>
        </w:tc>
        <w:tc>
          <w:tcPr>
            <w:tcW w:w="0" w:type="auto"/>
            <w:hideMark/>
          </w:tcPr>
          <w:p w14:paraId="2D88DA6E" w14:textId="77777777" w:rsidR="00F63438" w:rsidRPr="003964A0" w:rsidRDefault="00F63438" w:rsidP="00F051FF">
            <w:pPr>
              <w:jc w:val="both"/>
              <w:rPr>
                <w:rFonts w:ascii="Arial" w:eastAsia="Times New Roman" w:hAnsi="Arial" w:cs="Arial"/>
                <w:lang w:eastAsia="en-PH"/>
              </w:rPr>
            </w:pPr>
            <w:r w:rsidRPr="003964A0">
              <w:rPr>
                <w:rFonts w:ascii="Arial" w:eastAsia="Times New Roman" w:hAnsi="Arial" w:cs="Arial"/>
                <w:lang w:eastAsia="en-PH"/>
              </w:rPr>
              <w:t>&lt; .001</w:t>
            </w:r>
          </w:p>
        </w:tc>
        <w:tc>
          <w:tcPr>
            <w:tcW w:w="0" w:type="auto"/>
            <w:hideMark/>
          </w:tcPr>
          <w:p w14:paraId="76306ACD" w14:textId="77777777" w:rsidR="00F63438" w:rsidRPr="003964A0" w:rsidRDefault="00F63438" w:rsidP="00F051FF">
            <w:pPr>
              <w:jc w:val="both"/>
              <w:rPr>
                <w:rFonts w:ascii="Arial" w:eastAsia="Times New Roman" w:hAnsi="Arial" w:cs="Arial"/>
                <w:lang w:eastAsia="en-PH"/>
              </w:rPr>
            </w:pPr>
            <w:r w:rsidRPr="003964A0">
              <w:rPr>
                <w:rFonts w:ascii="Arial" w:eastAsia="Times New Roman" w:hAnsi="Arial" w:cs="Arial"/>
                <w:lang w:eastAsia="en-PH"/>
              </w:rPr>
              <w:t>0.84</w:t>
            </w:r>
          </w:p>
        </w:tc>
      </w:tr>
      <w:tr w:rsidR="00F63438" w:rsidRPr="003964A0" w14:paraId="11076DE4" w14:textId="77777777" w:rsidTr="00F051FF">
        <w:tc>
          <w:tcPr>
            <w:tcW w:w="0" w:type="auto"/>
            <w:hideMark/>
          </w:tcPr>
          <w:p w14:paraId="14B27239" w14:textId="77777777" w:rsidR="00F63438" w:rsidRPr="003964A0" w:rsidRDefault="00F63438" w:rsidP="00F051FF">
            <w:pPr>
              <w:jc w:val="both"/>
              <w:rPr>
                <w:rFonts w:ascii="Arial" w:eastAsia="Times New Roman" w:hAnsi="Arial" w:cs="Arial"/>
                <w:lang w:eastAsia="en-PH"/>
              </w:rPr>
            </w:pPr>
            <w:r w:rsidRPr="003964A0">
              <w:rPr>
                <w:rFonts w:ascii="Arial" w:eastAsia="Times New Roman" w:hAnsi="Arial" w:cs="Arial"/>
                <w:lang w:eastAsia="en-PH"/>
              </w:rPr>
              <w:t>CTA → Research Performance</w:t>
            </w:r>
          </w:p>
        </w:tc>
        <w:tc>
          <w:tcPr>
            <w:tcW w:w="0" w:type="auto"/>
            <w:hideMark/>
          </w:tcPr>
          <w:p w14:paraId="1CD4AC02" w14:textId="77777777" w:rsidR="00F63438" w:rsidRPr="003964A0" w:rsidRDefault="00F63438" w:rsidP="00F051FF">
            <w:pPr>
              <w:jc w:val="both"/>
              <w:rPr>
                <w:rFonts w:ascii="Arial" w:eastAsia="Times New Roman" w:hAnsi="Arial" w:cs="Arial"/>
                <w:lang w:eastAsia="en-PH"/>
              </w:rPr>
            </w:pPr>
            <w:r w:rsidRPr="003964A0">
              <w:rPr>
                <w:rFonts w:ascii="Arial" w:eastAsia="Times New Roman" w:hAnsi="Arial" w:cs="Arial"/>
                <w:lang w:eastAsia="en-PH"/>
              </w:rPr>
              <w:t>0.98</w:t>
            </w:r>
          </w:p>
        </w:tc>
        <w:tc>
          <w:tcPr>
            <w:tcW w:w="0" w:type="auto"/>
            <w:hideMark/>
          </w:tcPr>
          <w:p w14:paraId="25D77E27" w14:textId="77777777" w:rsidR="00F63438" w:rsidRPr="003964A0" w:rsidRDefault="00F63438" w:rsidP="00F051FF">
            <w:pPr>
              <w:jc w:val="both"/>
              <w:rPr>
                <w:rFonts w:ascii="Arial" w:eastAsia="Times New Roman" w:hAnsi="Arial" w:cs="Arial"/>
                <w:lang w:eastAsia="en-PH"/>
              </w:rPr>
            </w:pPr>
            <w:r w:rsidRPr="003964A0">
              <w:rPr>
                <w:rFonts w:ascii="Arial" w:eastAsia="Times New Roman" w:hAnsi="Arial" w:cs="Arial"/>
                <w:lang w:eastAsia="en-PH"/>
              </w:rPr>
              <w:t>9.22</w:t>
            </w:r>
          </w:p>
        </w:tc>
        <w:tc>
          <w:tcPr>
            <w:tcW w:w="0" w:type="auto"/>
            <w:hideMark/>
          </w:tcPr>
          <w:p w14:paraId="570F6533" w14:textId="77777777" w:rsidR="00F63438" w:rsidRPr="003964A0" w:rsidRDefault="00F63438" w:rsidP="00F051FF">
            <w:pPr>
              <w:jc w:val="both"/>
              <w:rPr>
                <w:rFonts w:ascii="Arial" w:eastAsia="Times New Roman" w:hAnsi="Arial" w:cs="Arial"/>
                <w:lang w:eastAsia="en-PH"/>
              </w:rPr>
            </w:pPr>
            <w:r w:rsidRPr="003964A0">
              <w:rPr>
                <w:rFonts w:ascii="Arial" w:eastAsia="Times New Roman" w:hAnsi="Arial" w:cs="Arial"/>
                <w:lang w:eastAsia="en-PH"/>
              </w:rPr>
              <w:t>&lt; .001</w:t>
            </w:r>
          </w:p>
        </w:tc>
        <w:tc>
          <w:tcPr>
            <w:tcW w:w="0" w:type="auto"/>
            <w:hideMark/>
          </w:tcPr>
          <w:p w14:paraId="04AA36DD" w14:textId="77777777" w:rsidR="00F63438" w:rsidRPr="003964A0" w:rsidRDefault="00F63438" w:rsidP="00F051FF">
            <w:pPr>
              <w:jc w:val="both"/>
              <w:rPr>
                <w:rFonts w:ascii="Arial" w:eastAsia="Times New Roman" w:hAnsi="Arial" w:cs="Arial"/>
                <w:lang w:eastAsia="en-PH"/>
              </w:rPr>
            </w:pPr>
            <w:r w:rsidRPr="003964A0">
              <w:rPr>
                <w:rFonts w:ascii="Arial" w:eastAsia="Times New Roman" w:hAnsi="Arial" w:cs="Arial"/>
                <w:lang w:eastAsia="en-PH"/>
              </w:rPr>
              <w:t>0.88</w:t>
            </w:r>
          </w:p>
        </w:tc>
      </w:tr>
    </w:tbl>
    <w:p w14:paraId="650F80BE" w14:textId="77777777" w:rsidR="00F63438" w:rsidRPr="003964A0" w:rsidRDefault="00F63438" w:rsidP="00F63438">
      <w:pPr>
        <w:spacing w:before="100" w:beforeAutospacing="1" w:after="100" w:afterAutospacing="1" w:line="240" w:lineRule="auto"/>
        <w:jc w:val="both"/>
        <w:rPr>
          <w:rFonts w:ascii="Arial" w:eastAsia="Times New Roman" w:hAnsi="Arial" w:cs="Arial"/>
          <w:lang w:eastAsia="en-PH"/>
        </w:rPr>
      </w:pPr>
      <w:r w:rsidRPr="003964A0">
        <w:rPr>
          <w:rFonts w:ascii="Arial" w:eastAsia="Times New Roman" w:hAnsi="Arial" w:cs="Arial"/>
          <w:lang w:eastAsia="en-PH"/>
        </w:rPr>
        <w:t>The regression analysis confirmed that environmental context significantly influences the adoption of cybersecurity technology (β = 0.51, p &lt; .001), accounting for 84% of the variance in CTA. Furthermore, CTA significantly enhances research performance (β = 0.98, p &lt; .001), explaining 88% of the variance.</w:t>
      </w:r>
    </w:p>
    <w:p w14:paraId="1ECAECB7" w14:textId="77777777" w:rsidR="00F63438" w:rsidRPr="003964A0" w:rsidRDefault="00F63438" w:rsidP="00F63438">
      <w:pPr>
        <w:spacing w:before="100" w:beforeAutospacing="1" w:after="100" w:afterAutospacing="1" w:line="240" w:lineRule="auto"/>
        <w:jc w:val="both"/>
        <w:rPr>
          <w:rFonts w:ascii="Arial" w:eastAsia="Times New Roman" w:hAnsi="Arial" w:cs="Arial"/>
          <w:lang w:eastAsia="en-PH"/>
        </w:rPr>
      </w:pPr>
      <w:r w:rsidRPr="003964A0">
        <w:rPr>
          <w:rFonts w:ascii="Arial" w:eastAsia="Times New Roman" w:hAnsi="Arial" w:cs="Arial"/>
          <w:lang w:eastAsia="en-PH"/>
        </w:rPr>
        <w:t xml:space="preserve">These findings support the TOE framework’s proposition that environmental factors such as legal compliance and industry expectations are key motivators for technology adoption. Additionally, UTAUT’s emphasis on contextual influence is validated, as the pressure from external entities </w:t>
      </w:r>
      <w:r w:rsidRPr="003964A0">
        <w:rPr>
          <w:rFonts w:ascii="Arial" w:eastAsia="Times New Roman" w:hAnsi="Arial" w:cs="Arial"/>
          <w:lang w:eastAsia="en-PH"/>
        </w:rPr>
        <w:lastRenderedPageBreak/>
        <w:t>appears to influence institutional behavior. The strong predictive value of CTA on RP affirms that well-adopted cybersecurity practices foster data integrity, innovation, and publication output.</w:t>
      </w:r>
    </w:p>
    <w:p w14:paraId="69E7ED56" w14:textId="77777777" w:rsidR="00F63438" w:rsidRPr="003964A0" w:rsidRDefault="00F63438" w:rsidP="00F63438">
      <w:pPr>
        <w:spacing w:before="100" w:beforeAutospacing="1" w:after="100" w:afterAutospacing="1" w:line="240" w:lineRule="auto"/>
        <w:jc w:val="both"/>
        <w:rPr>
          <w:rFonts w:ascii="Arial" w:eastAsia="Times New Roman" w:hAnsi="Arial" w:cs="Arial"/>
          <w:lang w:eastAsia="en-PH"/>
        </w:rPr>
      </w:pPr>
      <w:r w:rsidRPr="003964A0">
        <w:rPr>
          <w:rFonts w:ascii="Arial" w:eastAsia="Times New Roman" w:hAnsi="Arial" w:cs="Arial"/>
          <w:lang w:eastAsia="en-PH"/>
        </w:rPr>
        <w:t>Environmental context may exert a stronger influence than technological or organizational contexts due to the immediacy and severity of external pressures. Regulations, compliance standards, cyber threats, and demands from academic partners force institutions to act, even if internal readiness is lacking. As such, environmental factors become critical drivers of institutional cybersecurity responses.</w:t>
      </w:r>
    </w:p>
    <w:p w14:paraId="0188F9AD" w14:textId="77777777" w:rsidR="00F63438" w:rsidRPr="003964A0" w:rsidRDefault="00F63438" w:rsidP="00F63438">
      <w:pPr>
        <w:spacing w:before="100" w:beforeAutospacing="1" w:after="100" w:afterAutospacing="1" w:line="240" w:lineRule="auto"/>
        <w:jc w:val="both"/>
        <w:rPr>
          <w:rFonts w:ascii="Arial" w:eastAsia="Times New Roman" w:hAnsi="Arial" w:cs="Arial"/>
          <w:lang w:eastAsia="en-PH"/>
        </w:rPr>
      </w:pPr>
      <w:r w:rsidRPr="003964A0">
        <w:rPr>
          <w:rFonts w:ascii="Arial" w:eastAsia="Times New Roman" w:hAnsi="Arial" w:cs="Arial"/>
          <w:b/>
          <w:bCs/>
          <w:lang w:eastAsia="en-PH"/>
        </w:rPr>
        <w:t>4. CONCLUSION</w:t>
      </w:r>
    </w:p>
    <w:p w14:paraId="7EDF17DE" w14:textId="77777777" w:rsidR="00F63438" w:rsidRPr="003964A0" w:rsidRDefault="00F63438" w:rsidP="00F63438">
      <w:pPr>
        <w:spacing w:before="100" w:beforeAutospacing="1" w:after="100" w:afterAutospacing="1" w:line="240" w:lineRule="auto"/>
        <w:jc w:val="both"/>
        <w:rPr>
          <w:rFonts w:ascii="Arial" w:eastAsia="Times New Roman" w:hAnsi="Arial" w:cs="Arial"/>
          <w:lang w:eastAsia="en-PH"/>
        </w:rPr>
      </w:pPr>
      <w:r w:rsidRPr="003964A0">
        <w:rPr>
          <w:rFonts w:ascii="Arial" w:eastAsia="Times New Roman" w:hAnsi="Arial" w:cs="Arial"/>
          <w:lang w:eastAsia="en-PH"/>
        </w:rPr>
        <w:t>This quantitative study demonstrates that environmental context plays a crucial role in promoting cybersecurity technology adoption, which, in turn, enhances research performance in higher education. Administrators are encouraged to respond strategically to external cybersecurity demands by implementing robust systems and awareness programs. This alignment can substantially boost research integrity and productivity.</w:t>
      </w:r>
    </w:p>
    <w:p w14:paraId="175D397E" w14:textId="18817506" w:rsidR="00F63438" w:rsidRPr="003964A0" w:rsidRDefault="00F63438" w:rsidP="00F63438">
      <w:pPr>
        <w:spacing w:before="100" w:beforeAutospacing="1" w:after="100" w:afterAutospacing="1" w:line="240" w:lineRule="auto"/>
        <w:jc w:val="both"/>
        <w:rPr>
          <w:rFonts w:ascii="Arial" w:eastAsia="Times New Roman" w:hAnsi="Arial" w:cs="Arial"/>
          <w:lang w:eastAsia="en-PH"/>
        </w:rPr>
      </w:pPr>
      <w:r w:rsidRPr="003964A0">
        <w:rPr>
          <w:rFonts w:ascii="Arial" w:eastAsia="Times New Roman" w:hAnsi="Arial" w:cs="Arial"/>
          <w:b/>
          <w:bCs/>
          <w:lang w:eastAsia="en-PH"/>
        </w:rPr>
        <w:t>E</w:t>
      </w:r>
      <w:r w:rsidR="00614607">
        <w:rPr>
          <w:rFonts w:ascii="Arial" w:eastAsia="Times New Roman" w:hAnsi="Arial" w:cs="Arial"/>
          <w:b/>
          <w:bCs/>
          <w:lang w:eastAsia="en-PH"/>
        </w:rPr>
        <w:t>thical</w:t>
      </w:r>
      <w:r w:rsidRPr="003964A0">
        <w:rPr>
          <w:rFonts w:ascii="Arial" w:eastAsia="Times New Roman" w:hAnsi="Arial" w:cs="Arial"/>
          <w:b/>
          <w:bCs/>
          <w:lang w:eastAsia="en-PH"/>
        </w:rPr>
        <w:t xml:space="preserve"> A</w:t>
      </w:r>
      <w:r w:rsidR="00614607">
        <w:rPr>
          <w:rFonts w:ascii="Arial" w:eastAsia="Times New Roman" w:hAnsi="Arial" w:cs="Arial"/>
          <w:b/>
          <w:bCs/>
          <w:lang w:eastAsia="en-PH"/>
        </w:rPr>
        <w:t>pproval and Consent:</w:t>
      </w:r>
    </w:p>
    <w:p w14:paraId="3F9B3255" w14:textId="710FCCA6" w:rsidR="00F1135D" w:rsidRDefault="00F63438" w:rsidP="00F1135D">
      <w:pPr>
        <w:spacing w:before="100" w:beforeAutospacing="1" w:after="100" w:afterAutospacing="1" w:line="240" w:lineRule="auto"/>
        <w:jc w:val="both"/>
        <w:rPr>
          <w:rFonts w:ascii="Arial" w:eastAsia="Times New Roman" w:hAnsi="Arial" w:cs="Arial"/>
          <w:lang w:eastAsia="en-PH"/>
        </w:rPr>
      </w:pPr>
      <w:r w:rsidRPr="003964A0">
        <w:rPr>
          <w:rFonts w:ascii="Arial" w:eastAsia="Times New Roman" w:hAnsi="Arial" w:cs="Arial"/>
          <w:lang w:eastAsia="en-PH"/>
        </w:rPr>
        <w:t xml:space="preserve">This study was approved by the institutional ethics committee of J.H. </w:t>
      </w:r>
      <w:proofErr w:type="spellStart"/>
      <w:r w:rsidRPr="003964A0">
        <w:rPr>
          <w:rFonts w:ascii="Arial" w:eastAsia="Times New Roman" w:hAnsi="Arial" w:cs="Arial"/>
          <w:lang w:eastAsia="en-PH"/>
        </w:rPr>
        <w:t>Cerilles</w:t>
      </w:r>
      <w:proofErr w:type="spellEnd"/>
      <w:r w:rsidRPr="003964A0">
        <w:rPr>
          <w:rFonts w:ascii="Arial" w:eastAsia="Times New Roman" w:hAnsi="Arial" w:cs="Arial"/>
          <w:lang w:eastAsia="en-PH"/>
        </w:rPr>
        <w:t xml:space="preserve"> State College. P</w:t>
      </w:r>
      <w:r w:rsidR="00F1135D" w:rsidRPr="003964A0">
        <w:rPr>
          <w:rFonts w:ascii="Arial" w:eastAsia="Times New Roman" w:hAnsi="Arial" w:cs="Arial"/>
          <w:lang w:eastAsia="en-PH"/>
        </w:rPr>
        <w:t>articipants provided informed consent.</w:t>
      </w:r>
    </w:p>
    <w:p w14:paraId="3A26AE96" w14:textId="3F8641AE" w:rsidR="00F1135D" w:rsidRPr="00F1135D" w:rsidRDefault="00F1135D" w:rsidP="00F1135D">
      <w:pPr>
        <w:spacing w:before="100" w:beforeAutospacing="1" w:after="100" w:afterAutospacing="1" w:line="240" w:lineRule="auto"/>
        <w:jc w:val="both"/>
        <w:rPr>
          <w:rFonts w:ascii="Arial" w:eastAsia="Times New Roman" w:hAnsi="Arial" w:cs="Arial"/>
          <w:lang w:eastAsia="en-PH"/>
        </w:rPr>
      </w:pPr>
      <w:r w:rsidRPr="00F1135D">
        <w:rPr>
          <w:rFonts w:ascii="Times New Roman" w:eastAsia="Times New Roman" w:hAnsi="Times New Roman" w:cs="Times New Roman"/>
          <w:b/>
          <w:bCs/>
          <w:sz w:val="24"/>
          <w:szCs w:val="24"/>
          <w:lang w:eastAsia="en-PH"/>
        </w:rPr>
        <w:t xml:space="preserve"> </w:t>
      </w:r>
      <w:r w:rsidRPr="00F1135D">
        <w:rPr>
          <w:rFonts w:ascii="Arial" w:eastAsia="Times New Roman" w:hAnsi="Arial" w:cs="Arial"/>
          <w:b/>
          <w:bCs/>
          <w:lang w:eastAsia="en-PH"/>
        </w:rPr>
        <w:t>Disclaimer (Artificial intelligence)</w:t>
      </w:r>
    </w:p>
    <w:p w14:paraId="15F2FE51" w14:textId="3A5B6CE4" w:rsidR="00F1135D" w:rsidRPr="003964A0" w:rsidRDefault="00F1135D" w:rsidP="00F63438">
      <w:pPr>
        <w:spacing w:before="100" w:beforeAutospacing="1" w:after="100" w:afterAutospacing="1" w:line="240" w:lineRule="auto"/>
        <w:jc w:val="both"/>
        <w:rPr>
          <w:rFonts w:ascii="Arial" w:eastAsia="Times New Roman" w:hAnsi="Arial" w:cs="Arial"/>
          <w:lang w:eastAsia="en-PH"/>
        </w:rPr>
      </w:pPr>
      <w:r w:rsidRPr="00F1135D">
        <w:rPr>
          <w:rFonts w:ascii="Arial" w:eastAsia="Times New Roman" w:hAnsi="Arial" w:cs="Arial"/>
          <w:lang w:eastAsia="en-PH"/>
        </w:rPr>
        <w:t xml:space="preserve">Author(s) hereby declare that generative AI technologies, specifically </w:t>
      </w:r>
      <w:proofErr w:type="spellStart"/>
      <w:r w:rsidRPr="00F1135D">
        <w:rPr>
          <w:rFonts w:ascii="Arial" w:eastAsia="Times New Roman" w:hAnsi="Arial" w:cs="Arial"/>
          <w:lang w:eastAsia="en-PH"/>
        </w:rPr>
        <w:t>ChatGPT</w:t>
      </w:r>
      <w:proofErr w:type="spellEnd"/>
      <w:r w:rsidRPr="00F1135D">
        <w:rPr>
          <w:rFonts w:ascii="Arial" w:eastAsia="Times New Roman" w:hAnsi="Arial" w:cs="Arial"/>
          <w:lang w:eastAsia="en-PH"/>
        </w:rPr>
        <w:t xml:space="preserve"> (</w:t>
      </w:r>
      <w:proofErr w:type="spellStart"/>
      <w:r w:rsidRPr="00F1135D">
        <w:rPr>
          <w:rFonts w:ascii="Arial" w:eastAsia="Times New Roman" w:hAnsi="Arial" w:cs="Arial"/>
          <w:lang w:eastAsia="en-PH"/>
        </w:rPr>
        <w:t>OpenAI</w:t>
      </w:r>
      <w:proofErr w:type="spellEnd"/>
      <w:r w:rsidRPr="00F1135D">
        <w:rPr>
          <w:rFonts w:ascii="Arial" w:eastAsia="Times New Roman" w:hAnsi="Arial" w:cs="Arial"/>
          <w:lang w:eastAsia="en-PH"/>
        </w:rPr>
        <w:t xml:space="preserve"> GPT-4), were used during the writing and editing of this manuscript. The AI assistance was limited to language polishing and improving clarity in se</w:t>
      </w:r>
      <w:r>
        <w:rPr>
          <w:rFonts w:ascii="Arial" w:eastAsia="Times New Roman" w:hAnsi="Arial" w:cs="Arial"/>
          <w:lang w:eastAsia="en-PH"/>
        </w:rPr>
        <w:t xml:space="preserve">ctions such as the introduction and interpretation of results. </w:t>
      </w:r>
      <w:r w:rsidRPr="00F1135D">
        <w:rPr>
          <w:rFonts w:ascii="Arial" w:eastAsia="Times New Roman" w:hAnsi="Arial" w:cs="Arial"/>
          <w:lang w:eastAsia="en-PH"/>
        </w:rPr>
        <w:t>The authors have reviewed all AI-generated text and take full responsibility for the final content of the manuscript.</w:t>
      </w:r>
    </w:p>
    <w:p w14:paraId="58A962C6" w14:textId="77777777" w:rsidR="00F63438" w:rsidRPr="003964A0" w:rsidRDefault="00F63438" w:rsidP="00F63438">
      <w:pPr>
        <w:spacing w:before="100" w:beforeAutospacing="1" w:after="100" w:afterAutospacing="1" w:line="240" w:lineRule="auto"/>
        <w:jc w:val="both"/>
        <w:rPr>
          <w:rFonts w:ascii="Arial" w:eastAsia="Times New Roman" w:hAnsi="Arial" w:cs="Arial"/>
          <w:lang w:eastAsia="en-PH"/>
        </w:rPr>
      </w:pPr>
      <w:r w:rsidRPr="003964A0">
        <w:rPr>
          <w:rFonts w:ascii="Arial" w:eastAsia="Times New Roman" w:hAnsi="Arial" w:cs="Arial"/>
          <w:b/>
          <w:bCs/>
          <w:lang w:eastAsia="en-PH"/>
        </w:rPr>
        <w:t>REFERENCES</w:t>
      </w:r>
    </w:p>
    <w:p w14:paraId="753F284F" w14:textId="77777777" w:rsidR="00F63438" w:rsidRPr="004112E8" w:rsidRDefault="00F63438" w:rsidP="00F63438">
      <w:pPr>
        <w:spacing w:after="240" w:line="240" w:lineRule="auto"/>
        <w:rPr>
          <w:rFonts w:ascii="Arial" w:hAnsi="Arial" w:cs="Arial"/>
          <w:szCs w:val="24"/>
        </w:rPr>
      </w:pPr>
      <w:r w:rsidRPr="004112E8">
        <w:rPr>
          <w:rFonts w:ascii="Arial" w:hAnsi="Arial" w:cs="Arial"/>
          <w:szCs w:val="24"/>
        </w:rPr>
        <w:t xml:space="preserve">Abrahams, T., </w:t>
      </w:r>
      <w:proofErr w:type="spellStart"/>
      <w:r w:rsidRPr="004112E8">
        <w:rPr>
          <w:rFonts w:ascii="Arial" w:hAnsi="Arial" w:cs="Arial"/>
          <w:szCs w:val="24"/>
        </w:rPr>
        <w:t>Ewuga</w:t>
      </w:r>
      <w:proofErr w:type="spellEnd"/>
      <w:r w:rsidRPr="004112E8">
        <w:rPr>
          <w:rFonts w:ascii="Arial" w:hAnsi="Arial" w:cs="Arial"/>
          <w:szCs w:val="24"/>
        </w:rPr>
        <w:t xml:space="preserve">, S., </w:t>
      </w:r>
      <w:proofErr w:type="spellStart"/>
      <w:r w:rsidRPr="004112E8">
        <w:rPr>
          <w:rFonts w:ascii="Arial" w:hAnsi="Arial" w:cs="Arial"/>
          <w:szCs w:val="24"/>
        </w:rPr>
        <w:t>Dawodu</w:t>
      </w:r>
      <w:proofErr w:type="spellEnd"/>
      <w:r w:rsidRPr="004112E8">
        <w:rPr>
          <w:rFonts w:ascii="Arial" w:hAnsi="Arial" w:cs="Arial"/>
          <w:szCs w:val="24"/>
        </w:rPr>
        <w:t xml:space="preserve">, S., </w:t>
      </w:r>
      <w:proofErr w:type="spellStart"/>
      <w:r w:rsidRPr="004112E8">
        <w:rPr>
          <w:rFonts w:ascii="Arial" w:hAnsi="Arial" w:cs="Arial"/>
          <w:szCs w:val="24"/>
        </w:rPr>
        <w:t>Adegbite</w:t>
      </w:r>
      <w:proofErr w:type="spellEnd"/>
      <w:r w:rsidRPr="004112E8">
        <w:rPr>
          <w:rFonts w:ascii="Arial" w:hAnsi="Arial" w:cs="Arial"/>
          <w:szCs w:val="24"/>
        </w:rPr>
        <w:t>, A., &amp; Hassan, A. (2024). A review of cybersecurity strategies in modern organizations: examining the evolution and effectiveness of cybersecurity measures for data protection. Computer Science &amp; It Research Journal, 5(1), 1-25. https://doi.org/10.51594/csitrj.v5i1.699</w:t>
      </w:r>
    </w:p>
    <w:p w14:paraId="12FA4B80" w14:textId="77777777" w:rsidR="00F63438" w:rsidRPr="004112E8" w:rsidRDefault="00F63438" w:rsidP="00F63438">
      <w:pPr>
        <w:spacing w:after="240" w:line="240" w:lineRule="auto"/>
        <w:rPr>
          <w:rFonts w:ascii="Arial" w:hAnsi="Arial" w:cs="Arial"/>
          <w:szCs w:val="24"/>
        </w:rPr>
      </w:pPr>
      <w:proofErr w:type="spellStart"/>
      <w:r w:rsidRPr="004112E8">
        <w:rPr>
          <w:rFonts w:ascii="Arial" w:hAnsi="Arial" w:cs="Arial"/>
          <w:szCs w:val="24"/>
        </w:rPr>
        <w:t>Akor</w:t>
      </w:r>
      <w:proofErr w:type="spellEnd"/>
      <w:r w:rsidRPr="004112E8">
        <w:rPr>
          <w:rFonts w:ascii="Arial" w:hAnsi="Arial" w:cs="Arial"/>
          <w:szCs w:val="24"/>
        </w:rPr>
        <w:t xml:space="preserve">, S., </w:t>
      </w:r>
      <w:proofErr w:type="spellStart"/>
      <w:r w:rsidRPr="004112E8">
        <w:rPr>
          <w:rFonts w:ascii="Arial" w:hAnsi="Arial" w:cs="Arial"/>
          <w:szCs w:val="24"/>
        </w:rPr>
        <w:t>Nongo</w:t>
      </w:r>
      <w:proofErr w:type="spellEnd"/>
      <w:r w:rsidRPr="004112E8">
        <w:rPr>
          <w:rFonts w:ascii="Arial" w:hAnsi="Arial" w:cs="Arial"/>
          <w:szCs w:val="24"/>
        </w:rPr>
        <w:t xml:space="preserve">, C., </w:t>
      </w:r>
      <w:proofErr w:type="spellStart"/>
      <w:r w:rsidRPr="004112E8">
        <w:rPr>
          <w:rFonts w:ascii="Arial" w:hAnsi="Arial" w:cs="Arial"/>
          <w:szCs w:val="24"/>
        </w:rPr>
        <w:t>Udofot</w:t>
      </w:r>
      <w:proofErr w:type="spellEnd"/>
      <w:r w:rsidRPr="004112E8">
        <w:rPr>
          <w:rFonts w:ascii="Arial" w:hAnsi="Arial" w:cs="Arial"/>
          <w:szCs w:val="24"/>
        </w:rPr>
        <w:t xml:space="preserve">, C., &amp; </w:t>
      </w:r>
      <w:proofErr w:type="spellStart"/>
      <w:r w:rsidRPr="004112E8">
        <w:rPr>
          <w:rFonts w:ascii="Arial" w:hAnsi="Arial" w:cs="Arial"/>
          <w:szCs w:val="24"/>
        </w:rPr>
        <w:t>Oladokun</w:t>
      </w:r>
      <w:proofErr w:type="spellEnd"/>
      <w:r w:rsidRPr="004112E8">
        <w:rPr>
          <w:rFonts w:ascii="Arial" w:hAnsi="Arial" w:cs="Arial"/>
          <w:szCs w:val="24"/>
        </w:rPr>
        <w:t>, B. (2024). Cybersecurity awareness: leveraging emerging technologies in the security and management of libraries in higher education institutions. SAJS. https://doi.org/10.25159/3005-4222/16671</w:t>
      </w:r>
    </w:p>
    <w:p w14:paraId="272F1716" w14:textId="77777777" w:rsidR="00F63438" w:rsidRPr="004112E8" w:rsidRDefault="00F63438" w:rsidP="00F63438">
      <w:pPr>
        <w:spacing w:after="240" w:line="240" w:lineRule="auto"/>
        <w:rPr>
          <w:rFonts w:ascii="Arial" w:hAnsi="Arial" w:cs="Arial"/>
          <w:szCs w:val="24"/>
        </w:rPr>
      </w:pPr>
      <w:proofErr w:type="spellStart"/>
      <w:r w:rsidRPr="004112E8">
        <w:rPr>
          <w:rFonts w:ascii="Arial" w:hAnsi="Arial" w:cs="Arial"/>
          <w:szCs w:val="24"/>
        </w:rPr>
        <w:t>Alshammarı</w:t>
      </w:r>
      <w:proofErr w:type="spellEnd"/>
      <w:r w:rsidRPr="004112E8">
        <w:rPr>
          <w:rFonts w:ascii="Arial" w:hAnsi="Arial" w:cs="Arial"/>
          <w:szCs w:val="24"/>
        </w:rPr>
        <w:t xml:space="preserve">, S. and </w:t>
      </w:r>
      <w:proofErr w:type="spellStart"/>
      <w:r w:rsidRPr="004112E8">
        <w:rPr>
          <w:rFonts w:ascii="Arial" w:hAnsi="Arial" w:cs="Arial"/>
          <w:szCs w:val="24"/>
        </w:rPr>
        <w:t>Alrashidi</w:t>
      </w:r>
      <w:proofErr w:type="spellEnd"/>
      <w:r w:rsidRPr="004112E8">
        <w:rPr>
          <w:rFonts w:ascii="Arial" w:hAnsi="Arial" w:cs="Arial"/>
          <w:szCs w:val="24"/>
        </w:rPr>
        <w:t xml:space="preserve">, O. (2024). The effect of students' engagement on their learning achievement in </w:t>
      </w:r>
      <w:proofErr w:type="spellStart"/>
      <w:r w:rsidRPr="004112E8">
        <w:rPr>
          <w:rFonts w:ascii="Arial" w:hAnsi="Arial" w:cs="Arial"/>
          <w:szCs w:val="24"/>
        </w:rPr>
        <w:t>efl</w:t>
      </w:r>
      <w:proofErr w:type="spellEnd"/>
      <w:r w:rsidRPr="004112E8">
        <w:rPr>
          <w:rFonts w:ascii="Arial" w:hAnsi="Arial" w:cs="Arial"/>
          <w:szCs w:val="24"/>
        </w:rPr>
        <w:t xml:space="preserve"> online courses. International Journal of Online Pedagogy and Course Design, 14(1), 1-18. https://doi.org/10.4018/ijopcd.357875</w:t>
      </w:r>
    </w:p>
    <w:p w14:paraId="54957990" w14:textId="77777777" w:rsidR="00F63438" w:rsidRPr="004112E8" w:rsidRDefault="00F63438" w:rsidP="00F63438">
      <w:pPr>
        <w:spacing w:after="240" w:line="240" w:lineRule="auto"/>
        <w:rPr>
          <w:rFonts w:ascii="Arial" w:hAnsi="Arial" w:cs="Arial"/>
          <w:szCs w:val="24"/>
        </w:rPr>
      </w:pPr>
      <w:r w:rsidRPr="004112E8">
        <w:rPr>
          <w:rFonts w:ascii="Arial" w:hAnsi="Arial" w:cs="Arial"/>
          <w:szCs w:val="24"/>
        </w:rPr>
        <w:t xml:space="preserve">Amine, A., </w:t>
      </w:r>
      <w:proofErr w:type="spellStart"/>
      <w:r w:rsidRPr="004112E8">
        <w:rPr>
          <w:rFonts w:ascii="Arial" w:hAnsi="Arial" w:cs="Arial"/>
          <w:szCs w:val="24"/>
        </w:rPr>
        <w:t>Chakir</w:t>
      </w:r>
      <w:proofErr w:type="spellEnd"/>
      <w:r w:rsidRPr="004112E8">
        <w:rPr>
          <w:rFonts w:ascii="Arial" w:hAnsi="Arial" w:cs="Arial"/>
          <w:szCs w:val="24"/>
        </w:rPr>
        <w:t xml:space="preserve">, E., </w:t>
      </w:r>
      <w:proofErr w:type="spellStart"/>
      <w:r w:rsidRPr="004112E8">
        <w:rPr>
          <w:rFonts w:ascii="Arial" w:hAnsi="Arial" w:cs="Arial"/>
          <w:szCs w:val="24"/>
        </w:rPr>
        <w:t>Issam</w:t>
      </w:r>
      <w:proofErr w:type="spellEnd"/>
      <w:r w:rsidRPr="004112E8">
        <w:rPr>
          <w:rFonts w:ascii="Arial" w:hAnsi="Arial" w:cs="Arial"/>
          <w:szCs w:val="24"/>
        </w:rPr>
        <w:t xml:space="preserve">, T., &amp; </w:t>
      </w:r>
      <w:proofErr w:type="spellStart"/>
      <w:r w:rsidRPr="004112E8">
        <w:rPr>
          <w:rFonts w:ascii="Arial" w:hAnsi="Arial" w:cs="Arial"/>
          <w:szCs w:val="24"/>
        </w:rPr>
        <w:t>Khamlichi</w:t>
      </w:r>
      <w:proofErr w:type="spellEnd"/>
      <w:r w:rsidRPr="004112E8">
        <w:rPr>
          <w:rFonts w:ascii="Arial" w:hAnsi="Arial" w:cs="Arial"/>
          <w:szCs w:val="24"/>
        </w:rPr>
        <w:t>, Y. (2023). A review of cybersecurity management standards applied in higher education institutions. International Journal of Safety and Security Engineering, 13(6), 1109-1116. https://doi.org/10.18280/ijsse.130614</w:t>
      </w:r>
    </w:p>
    <w:p w14:paraId="05656999" w14:textId="77777777" w:rsidR="00F63438" w:rsidRPr="004112E8" w:rsidRDefault="00F63438" w:rsidP="00F63438">
      <w:pPr>
        <w:spacing w:after="240" w:line="240" w:lineRule="auto"/>
        <w:jc w:val="both"/>
        <w:rPr>
          <w:rFonts w:ascii="Arial" w:hAnsi="Arial" w:cs="Arial"/>
          <w:szCs w:val="24"/>
        </w:rPr>
      </w:pPr>
      <w:proofErr w:type="spellStart"/>
      <w:r w:rsidRPr="004112E8">
        <w:rPr>
          <w:rFonts w:ascii="Arial" w:hAnsi="Arial" w:cs="Arial"/>
          <w:szCs w:val="24"/>
        </w:rPr>
        <w:lastRenderedPageBreak/>
        <w:t>Blažič</w:t>
      </w:r>
      <w:proofErr w:type="spellEnd"/>
      <w:r w:rsidRPr="004112E8">
        <w:rPr>
          <w:rFonts w:ascii="Arial" w:hAnsi="Arial" w:cs="Arial"/>
          <w:szCs w:val="24"/>
        </w:rPr>
        <w:t xml:space="preserve">, B. (2021). Changing the landscape of cybersecurity education in the </w:t>
      </w:r>
      <w:proofErr w:type="spellStart"/>
      <w:r w:rsidRPr="004112E8">
        <w:rPr>
          <w:rFonts w:ascii="Arial" w:hAnsi="Arial" w:cs="Arial"/>
          <w:szCs w:val="24"/>
        </w:rPr>
        <w:t>eu</w:t>
      </w:r>
      <w:proofErr w:type="spellEnd"/>
      <w:r w:rsidRPr="004112E8">
        <w:rPr>
          <w:rFonts w:ascii="Arial" w:hAnsi="Arial" w:cs="Arial"/>
          <w:szCs w:val="24"/>
        </w:rPr>
        <w:t xml:space="preserve">: will the new approach produce the required cybersecurity </w:t>
      </w:r>
      <w:proofErr w:type="gramStart"/>
      <w:r w:rsidRPr="004112E8">
        <w:rPr>
          <w:rFonts w:ascii="Arial" w:hAnsi="Arial" w:cs="Arial"/>
          <w:szCs w:val="24"/>
        </w:rPr>
        <w:t>skills?.</w:t>
      </w:r>
      <w:proofErr w:type="gramEnd"/>
      <w:r w:rsidRPr="004112E8">
        <w:rPr>
          <w:rFonts w:ascii="Arial" w:hAnsi="Arial" w:cs="Arial"/>
          <w:szCs w:val="24"/>
        </w:rPr>
        <w:t xml:space="preserve"> Education and Information Technologies, 27(3), 3011-3036. https://doi.org/10.1007/s10639-021-10704-y</w:t>
      </w:r>
    </w:p>
    <w:p w14:paraId="1E90D5B8" w14:textId="77777777" w:rsidR="00F63438" w:rsidRPr="004112E8" w:rsidRDefault="00F63438" w:rsidP="00F63438">
      <w:pPr>
        <w:spacing w:after="240" w:line="240" w:lineRule="auto"/>
        <w:jc w:val="both"/>
        <w:rPr>
          <w:rFonts w:ascii="Arial" w:hAnsi="Arial" w:cs="Arial"/>
          <w:szCs w:val="24"/>
        </w:rPr>
      </w:pPr>
      <w:proofErr w:type="spellStart"/>
      <w:r w:rsidRPr="004112E8">
        <w:rPr>
          <w:rFonts w:ascii="Arial" w:hAnsi="Arial" w:cs="Arial"/>
          <w:szCs w:val="24"/>
        </w:rPr>
        <w:t>Blažič</w:t>
      </w:r>
      <w:proofErr w:type="spellEnd"/>
      <w:r w:rsidRPr="004112E8">
        <w:rPr>
          <w:rFonts w:ascii="Arial" w:hAnsi="Arial" w:cs="Arial"/>
          <w:szCs w:val="24"/>
        </w:rPr>
        <w:t xml:space="preserve">, B. (2021). Cybersecurity skills in </w:t>
      </w:r>
      <w:proofErr w:type="spellStart"/>
      <w:r w:rsidRPr="004112E8">
        <w:rPr>
          <w:rFonts w:ascii="Arial" w:hAnsi="Arial" w:cs="Arial"/>
          <w:szCs w:val="24"/>
        </w:rPr>
        <w:t>eu</w:t>
      </w:r>
      <w:proofErr w:type="spellEnd"/>
      <w:r w:rsidRPr="004112E8">
        <w:rPr>
          <w:rFonts w:ascii="Arial" w:hAnsi="Arial" w:cs="Arial"/>
          <w:szCs w:val="24"/>
        </w:rPr>
        <w:t xml:space="preserve">: new educational concept for closing the missing workforce </w:t>
      </w:r>
      <w:proofErr w:type="gramStart"/>
      <w:r w:rsidRPr="004112E8">
        <w:rPr>
          <w:rFonts w:ascii="Arial" w:hAnsi="Arial" w:cs="Arial"/>
          <w:szCs w:val="24"/>
        </w:rPr>
        <w:t>gap..</w:t>
      </w:r>
      <w:proofErr w:type="gramEnd"/>
      <w:r w:rsidRPr="004112E8">
        <w:rPr>
          <w:rFonts w:ascii="Arial" w:hAnsi="Arial" w:cs="Arial"/>
          <w:szCs w:val="24"/>
        </w:rPr>
        <w:t xml:space="preserve"> https://doi.org/10.5772/intechopen.97094</w:t>
      </w:r>
    </w:p>
    <w:p w14:paraId="3563C418" w14:textId="77777777" w:rsidR="00F63438" w:rsidRPr="004112E8" w:rsidRDefault="00F63438" w:rsidP="00F63438">
      <w:pPr>
        <w:spacing w:after="240" w:line="240" w:lineRule="auto"/>
        <w:jc w:val="both"/>
        <w:rPr>
          <w:rFonts w:ascii="Arial" w:hAnsi="Arial" w:cs="Arial"/>
          <w:szCs w:val="24"/>
        </w:rPr>
      </w:pPr>
      <w:r w:rsidRPr="004112E8">
        <w:rPr>
          <w:rFonts w:ascii="Arial" w:hAnsi="Arial" w:cs="Arial"/>
          <w:szCs w:val="24"/>
        </w:rPr>
        <w:t>Bongiovanni, I. (2019). The least secure places in the universe? a systematic literature review on information security management in higher education. Computers &amp; Security, 86, 350-357. https://doi.org/10.1016/j.cose.2019.07.003</w:t>
      </w:r>
    </w:p>
    <w:p w14:paraId="4F6694CD" w14:textId="77777777" w:rsidR="00F63438" w:rsidRPr="004112E8" w:rsidRDefault="00F63438" w:rsidP="00F63438">
      <w:pPr>
        <w:spacing w:after="240" w:line="240" w:lineRule="auto"/>
        <w:jc w:val="both"/>
        <w:rPr>
          <w:rFonts w:ascii="Arial" w:hAnsi="Arial" w:cs="Arial"/>
          <w:szCs w:val="24"/>
        </w:rPr>
      </w:pPr>
      <w:r w:rsidRPr="004112E8">
        <w:rPr>
          <w:rFonts w:ascii="Arial" w:hAnsi="Arial" w:cs="Arial"/>
          <w:szCs w:val="24"/>
        </w:rPr>
        <w:t>Cruz-</w:t>
      </w:r>
      <w:proofErr w:type="spellStart"/>
      <w:r w:rsidRPr="004112E8">
        <w:rPr>
          <w:rFonts w:ascii="Arial" w:hAnsi="Arial" w:cs="Arial"/>
          <w:szCs w:val="24"/>
        </w:rPr>
        <w:t>Piris</w:t>
      </w:r>
      <w:proofErr w:type="spellEnd"/>
      <w:r w:rsidRPr="004112E8">
        <w:rPr>
          <w:rFonts w:ascii="Arial" w:hAnsi="Arial" w:cs="Arial"/>
          <w:szCs w:val="24"/>
        </w:rPr>
        <w:t xml:space="preserve">, L., Rivera, D., </w:t>
      </w:r>
      <w:proofErr w:type="spellStart"/>
      <w:r w:rsidRPr="004112E8">
        <w:rPr>
          <w:rFonts w:ascii="Arial" w:hAnsi="Arial" w:cs="Arial"/>
          <w:szCs w:val="24"/>
        </w:rPr>
        <w:t>Marsa-Maestre</w:t>
      </w:r>
      <w:proofErr w:type="spellEnd"/>
      <w:r w:rsidRPr="004112E8">
        <w:rPr>
          <w:rFonts w:ascii="Arial" w:hAnsi="Arial" w:cs="Arial"/>
          <w:szCs w:val="24"/>
        </w:rPr>
        <w:t xml:space="preserve">, I., De La </w:t>
      </w:r>
      <w:proofErr w:type="spellStart"/>
      <w:r w:rsidRPr="004112E8">
        <w:rPr>
          <w:rFonts w:ascii="Arial" w:hAnsi="Arial" w:cs="Arial"/>
          <w:szCs w:val="24"/>
        </w:rPr>
        <w:t>Hoz</w:t>
      </w:r>
      <w:proofErr w:type="spellEnd"/>
      <w:r w:rsidRPr="004112E8">
        <w:rPr>
          <w:rFonts w:ascii="Arial" w:hAnsi="Arial" w:cs="Arial"/>
          <w:szCs w:val="24"/>
        </w:rPr>
        <w:t>, E., &amp; Velasco, J. R. (2018). Access control mechanism for IoT environments based on modelling communication procedures as resources. Sensors, 18(3), 917.</w:t>
      </w:r>
    </w:p>
    <w:p w14:paraId="2D674C46" w14:textId="77777777" w:rsidR="00F63438" w:rsidRPr="004112E8" w:rsidRDefault="00F63438" w:rsidP="00F63438">
      <w:pPr>
        <w:spacing w:after="240" w:line="240" w:lineRule="auto"/>
        <w:jc w:val="both"/>
        <w:rPr>
          <w:rFonts w:ascii="Arial" w:hAnsi="Arial" w:cs="Arial"/>
          <w:szCs w:val="24"/>
        </w:rPr>
      </w:pPr>
      <w:proofErr w:type="spellStart"/>
      <w:r w:rsidRPr="004112E8">
        <w:rPr>
          <w:rFonts w:ascii="Arial" w:hAnsi="Arial" w:cs="Arial"/>
          <w:szCs w:val="24"/>
        </w:rPr>
        <w:t>Folorunsho</w:t>
      </w:r>
      <w:proofErr w:type="spellEnd"/>
      <w:r w:rsidRPr="004112E8">
        <w:rPr>
          <w:rFonts w:ascii="Arial" w:hAnsi="Arial" w:cs="Arial"/>
          <w:szCs w:val="24"/>
        </w:rPr>
        <w:t xml:space="preserve">, O., </w:t>
      </w:r>
      <w:proofErr w:type="spellStart"/>
      <w:r w:rsidRPr="004112E8">
        <w:rPr>
          <w:rFonts w:ascii="Arial" w:hAnsi="Arial" w:cs="Arial"/>
          <w:szCs w:val="24"/>
        </w:rPr>
        <w:t>Ayinde</w:t>
      </w:r>
      <w:proofErr w:type="spellEnd"/>
      <w:r w:rsidRPr="004112E8">
        <w:rPr>
          <w:rFonts w:ascii="Arial" w:hAnsi="Arial" w:cs="Arial"/>
          <w:szCs w:val="24"/>
        </w:rPr>
        <w:t xml:space="preserve">, A., </w:t>
      </w:r>
      <w:proofErr w:type="spellStart"/>
      <w:r w:rsidRPr="004112E8">
        <w:rPr>
          <w:rFonts w:ascii="Arial" w:hAnsi="Arial" w:cs="Arial"/>
          <w:szCs w:val="24"/>
        </w:rPr>
        <w:t>Olagoke</w:t>
      </w:r>
      <w:proofErr w:type="spellEnd"/>
      <w:r w:rsidRPr="004112E8">
        <w:rPr>
          <w:rFonts w:ascii="Arial" w:hAnsi="Arial" w:cs="Arial"/>
          <w:szCs w:val="24"/>
        </w:rPr>
        <w:t xml:space="preserve">, M., &amp; </w:t>
      </w:r>
      <w:proofErr w:type="spellStart"/>
      <w:r w:rsidRPr="004112E8">
        <w:rPr>
          <w:rFonts w:ascii="Arial" w:hAnsi="Arial" w:cs="Arial"/>
          <w:szCs w:val="24"/>
        </w:rPr>
        <w:t>Fatoye</w:t>
      </w:r>
      <w:proofErr w:type="spellEnd"/>
      <w:r w:rsidRPr="004112E8">
        <w:rPr>
          <w:rFonts w:ascii="Arial" w:hAnsi="Arial" w:cs="Arial"/>
          <w:szCs w:val="24"/>
        </w:rPr>
        <w:t>, O. (2022). Implementation of cybersecurity risk theory and model in healthcare. Advances in Multidisciplinary &amp; Scientific Research Journal Publication, 13(4), 65-72. https://doi.org/10.22624/aims/cisdi/v13n4p4</w:t>
      </w:r>
    </w:p>
    <w:p w14:paraId="0384F457" w14:textId="77777777" w:rsidR="00F63438" w:rsidRPr="004112E8" w:rsidRDefault="00F63438" w:rsidP="00F63438">
      <w:pPr>
        <w:spacing w:after="240" w:line="240" w:lineRule="auto"/>
        <w:jc w:val="both"/>
        <w:rPr>
          <w:rFonts w:ascii="Arial" w:hAnsi="Arial" w:cs="Arial"/>
          <w:szCs w:val="24"/>
        </w:rPr>
      </w:pPr>
      <w:proofErr w:type="spellStart"/>
      <w:r w:rsidRPr="004112E8">
        <w:rPr>
          <w:rFonts w:ascii="Arial" w:hAnsi="Arial" w:cs="Arial"/>
          <w:szCs w:val="24"/>
        </w:rPr>
        <w:t>Hasani</w:t>
      </w:r>
      <w:proofErr w:type="spellEnd"/>
      <w:r w:rsidRPr="004112E8">
        <w:rPr>
          <w:rFonts w:ascii="Arial" w:hAnsi="Arial" w:cs="Arial"/>
          <w:szCs w:val="24"/>
        </w:rPr>
        <w:t xml:space="preserve">, T., O’Reilly, N., </w:t>
      </w:r>
      <w:proofErr w:type="spellStart"/>
      <w:r w:rsidRPr="004112E8">
        <w:rPr>
          <w:rFonts w:ascii="Arial" w:hAnsi="Arial" w:cs="Arial"/>
          <w:szCs w:val="24"/>
        </w:rPr>
        <w:t>Dehghantanha</w:t>
      </w:r>
      <w:proofErr w:type="spellEnd"/>
      <w:r w:rsidRPr="004112E8">
        <w:rPr>
          <w:rFonts w:ascii="Arial" w:hAnsi="Arial" w:cs="Arial"/>
          <w:szCs w:val="24"/>
        </w:rPr>
        <w:t xml:space="preserve">, A., </w:t>
      </w:r>
      <w:proofErr w:type="spellStart"/>
      <w:r w:rsidRPr="004112E8">
        <w:rPr>
          <w:rFonts w:ascii="Arial" w:hAnsi="Arial" w:cs="Arial"/>
          <w:szCs w:val="24"/>
        </w:rPr>
        <w:t>Rezania</w:t>
      </w:r>
      <w:proofErr w:type="spellEnd"/>
      <w:r w:rsidRPr="004112E8">
        <w:rPr>
          <w:rFonts w:ascii="Arial" w:hAnsi="Arial" w:cs="Arial"/>
          <w:szCs w:val="24"/>
        </w:rPr>
        <w:t xml:space="preserve">, D., &amp; </w:t>
      </w:r>
      <w:proofErr w:type="spellStart"/>
      <w:r w:rsidRPr="004112E8">
        <w:rPr>
          <w:rFonts w:ascii="Arial" w:hAnsi="Arial" w:cs="Arial"/>
          <w:szCs w:val="24"/>
        </w:rPr>
        <w:t>Levallet</w:t>
      </w:r>
      <w:proofErr w:type="spellEnd"/>
      <w:r w:rsidRPr="004112E8">
        <w:rPr>
          <w:rFonts w:ascii="Arial" w:hAnsi="Arial" w:cs="Arial"/>
          <w:szCs w:val="24"/>
        </w:rPr>
        <w:t>, N. (2023). Evaluating the adoption of cybersecurity and its influence on organizational performance. SN Business &amp; Economics, 3(5), 97.</w:t>
      </w:r>
    </w:p>
    <w:p w14:paraId="1E9E7012" w14:textId="77777777" w:rsidR="00F63438" w:rsidRPr="004112E8" w:rsidRDefault="00F63438" w:rsidP="00F63438">
      <w:pPr>
        <w:spacing w:after="240" w:line="240" w:lineRule="auto"/>
        <w:jc w:val="both"/>
        <w:rPr>
          <w:rFonts w:ascii="Arial" w:hAnsi="Arial" w:cs="Arial"/>
          <w:szCs w:val="24"/>
        </w:rPr>
      </w:pPr>
      <w:proofErr w:type="spellStart"/>
      <w:r w:rsidRPr="004112E8">
        <w:rPr>
          <w:rFonts w:ascii="Arial" w:hAnsi="Arial" w:cs="Arial"/>
          <w:szCs w:val="24"/>
        </w:rPr>
        <w:t>Hasani</w:t>
      </w:r>
      <w:proofErr w:type="spellEnd"/>
      <w:r w:rsidRPr="004112E8">
        <w:rPr>
          <w:rFonts w:ascii="Arial" w:hAnsi="Arial" w:cs="Arial"/>
          <w:szCs w:val="24"/>
        </w:rPr>
        <w:t xml:space="preserve">, T., O’Reilly, N., </w:t>
      </w:r>
      <w:proofErr w:type="spellStart"/>
      <w:r w:rsidRPr="004112E8">
        <w:rPr>
          <w:rFonts w:ascii="Arial" w:hAnsi="Arial" w:cs="Arial"/>
          <w:szCs w:val="24"/>
        </w:rPr>
        <w:t>Dehghantanha</w:t>
      </w:r>
      <w:proofErr w:type="spellEnd"/>
      <w:r w:rsidRPr="004112E8">
        <w:rPr>
          <w:rFonts w:ascii="Arial" w:hAnsi="Arial" w:cs="Arial"/>
          <w:szCs w:val="24"/>
        </w:rPr>
        <w:t xml:space="preserve">, A., </w:t>
      </w:r>
      <w:proofErr w:type="spellStart"/>
      <w:r w:rsidRPr="004112E8">
        <w:rPr>
          <w:rFonts w:ascii="Arial" w:hAnsi="Arial" w:cs="Arial"/>
          <w:szCs w:val="24"/>
        </w:rPr>
        <w:t>Rezania</w:t>
      </w:r>
      <w:proofErr w:type="spellEnd"/>
      <w:r w:rsidRPr="004112E8">
        <w:rPr>
          <w:rFonts w:ascii="Arial" w:hAnsi="Arial" w:cs="Arial"/>
          <w:szCs w:val="24"/>
        </w:rPr>
        <w:t xml:space="preserve">, D., &amp; </w:t>
      </w:r>
      <w:proofErr w:type="spellStart"/>
      <w:r w:rsidRPr="004112E8">
        <w:rPr>
          <w:rFonts w:ascii="Arial" w:hAnsi="Arial" w:cs="Arial"/>
          <w:szCs w:val="24"/>
        </w:rPr>
        <w:t>Levallet</w:t>
      </w:r>
      <w:proofErr w:type="spellEnd"/>
      <w:r w:rsidRPr="004112E8">
        <w:rPr>
          <w:rFonts w:ascii="Arial" w:hAnsi="Arial" w:cs="Arial"/>
          <w:szCs w:val="24"/>
        </w:rPr>
        <w:t>, N. (2023). Evaluating the adoption of cybersecurity and its influence on organizational performance. Sn Business &amp; Economics, 3(5). https://doi.org/10.1007/s43546-023-00477-6</w:t>
      </w:r>
    </w:p>
    <w:p w14:paraId="3F3E1A70" w14:textId="77777777" w:rsidR="00F63438" w:rsidRPr="004112E8" w:rsidRDefault="00F63438" w:rsidP="00F63438">
      <w:pPr>
        <w:spacing w:after="240" w:line="240" w:lineRule="auto"/>
        <w:jc w:val="both"/>
        <w:rPr>
          <w:rFonts w:ascii="Arial" w:hAnsi="Arial" w:cs="Arial"/>
          <w:szCs w:val="24"/>
        </w:rPr>
      </w:pPr>
      <w:r w:rsidRPr="004112E8">
        <w:rPr>
          <w:rFonts w:ascii="Arial" w:hAnsi="Arial" w:cs="Arial"/>
          <w:szCs w:val="24"/>
        </w:rPr>
        <w:t>He, Z., Liu, X., &amp; Zhang, Y. (</w:t>
      </w:r>
      <w:proofErr w:type="gramStart"/>
      <w:r w:rsidRPr="004112E8">
        <w:rPr>
          <w:rFonts w:ascii="Arial" w:hAnsi="Arial" w:cs="Arial"/>
          <w:szCs w:val="24"/>
        </w:rPr>
        <w:t>2021)*</w:t>
      </w:r>
      <w:proofErr w:type="gramEnd"/>
      <w:r w:rsidRPr="004112E8">
        <w:rPr>
          <w:rFonts w:ascii="Arial" w:hAnsi="Arial" w:cs="Arial"/>
          <w:szCs w:val="24"/>
        </w:rPr>
        <w:t>*. A Survey of Intrusion Detection Systems in Cloud Computing: Challenges and Solutions. Computers &amp; Security, 107, 102309.</w:t>
      </w:r>
    </w:p>
    <w:p w14:paraId="4C89017F" w14:textId="77777777" w:rsidR="00F63438" w:rsidRPr="004112E8" w:rsidRDefault="00F63438" w:rsidP="00F63438">
      <w:pPr>
        <w:spacing w:after="240" w:line="240" w:lineRule="auto"/>
        <w:jc w:val="both"/>
        <w:rPr>
          <w:rFonts w:ascii="Arial" w:hAnsi="Arial" w:cs="Arial"/>
          <w:szCs w:val="24"/>
        </w:rPr>
      </w:pPr>
      <w:proofErr w:type="spellStart"/>
      <w:r w:rsidRPr="004112E8">
        <w:rPr>
          <w:rFonts w:ascii="Arial" w:hAnsi="Arial" w:cs="Arial"/>
          <w:szCs w:val="24"/>
        </w:rPr>
        <w:t>Hendri</w:t>
      </w:r>
      <w:proofErr w:type="spellEnd"/>
      <w:r w:rsidRPr="004112E8">
        <w:rPr>
          <w:rFonts w:ascii="Arial" w:hAnsi="Arial" w:cs="Arial"/>
          <w:szCs w:val="24"/>
        </w:rPr>
        <w:t xml:space="preserve">, A. and </w:t>
      </w:r>
      <w:proofErr w:type="spellStart"/>
      <w:r w:rsidRPr="004112E8">
        <w:rPr>
          <w:rFonts w:ascii="Arial" w:hAnsi="Arial" w:cs="Arial"/>
          <w:szCs w:val="24"/>
        </w:rPr>
        <w:t>Sudarmilah</w:t>
      </w:r>
      <w:proofErr w:type="spellEnd"/>
      <w:r w:rsidRPr="004112E8">
        <w:rPr>
          <w:rFonts w:ascii="Arial" w:hAnsi="Arial" w:cs="Arial"/>
          <w:szCs w:val="24"/>
        </w:rPr>
        <w:t xml:space="preserve">, E. (2024). Enhancing information technology adoption potential in </w:t>
      </w:r>
      <w:proofErr w:type="spellStart"/>
      <w:r w:rsidRPr="004112E8">
        <w:rPr>
          <w:rFonts w:ascii="Arial" w:hAnsi="Arial" w:cs="Arial"/>
          <w:szCs w:val="24"/>
        </w:rPr>
        <w:t>msmes</w:t>
      </w:r>
      <w:proofErr w:type="spellEnd"/>
      <w:r w:rsidRPr="004112E8">
        <w:rPr>
          <w:rFonts w:ascii="Arial" w:hAnsi="Arial" w:cs="Arial"/>
          <w:szCs w:val="24"/>
        </w:rPr>
        <w:t xml:space="preserve">: a conceptual model based on toe framework. </w:t>
      </w:r>
      <w:proofErr w:type="spellStart"/>
      <w:r w:rsidRPr="004112E8">
        <w:rPr>
          <w:rFonts w:ascii="Arial" w:hAnsi="Arial" w:cs="Arial"/>
          <w:szCs w:val="24"/>
        </w:rPr>
        <w:t>Juita</w:t>
      </w:r>
      <w:proofErr w:type="spellEnd"/>
      <w:r w:rsidRPr="004112E8">
        <w:rPr>
          <w:rFonts w:ascii="Arial" w:hAnsi="Arial" w:cs="Arial"/>
          <w:szCs w:val="24"/>
        </w:rPr>
        <w:t xml:space="preserve"> </w:t>
      </w:r>
      <w:proofErr w:type="spellStart"/>
      <w:r w:rsidRPr="004112E8">
        <w:rPr>
          <w:rFonts w:ascii="Arial" w:hAnsi="Arial" w:cs="Arial"/>
          <w:szCs w:val="24"/>
        </w:rPr>
        <w:t>Jurnal</w:t>
      </w:r>
      <w:proofErr w:type="spellEnd"/>
      <w:r w:rsidRPr="004112E8">
        <w:rPr>
          <w:rFonts w:ascii="Arial" w:hAnsi="Arial" w:cs="Arial"/>
          <w:szCs w:val="24"/>
        </w:rPr>
        <w:t xml:space="preserve"> </w:t>
      </w:r>
      <w:proofErr w:type="spellStart"/>
      <w:r w:rsidRPr="004112E8">
        <w:rPr>
          <w:rFonts w:ascii="Arial" w:hAnsi="Arial" w:cs="Arial"/>
          <w:szCs w:val="24"/>
        </w:rPr>
        <w:t>Informatika</w:t>
      </w:r>
      <w:proofErr w:type="spellEnd"/>
      <w:r w:rsidRPr="004112E8">
        <w:rPr>
          <w:rFonts w:ascii="Arial" w:hAnsi="Arial" w:cs="Arial"/>
          <w:szCs w:val="24"/>
        </w:rPr>
        <w:t>, 12(1), 91. https://doi.org/10.30595/juita.v12i1.21051</w:t>
      </w:r>
    </w:p>
    <w:p w14:paraId="3F0B3190" w14:textId="77777777" w:rsidR="00F63438" w:rsidRDefault="00F63438" w:rsidP="00F63438">
      <w:pPr>
        <w:spacing w:after="240" w:line="240" w:lineRule="auto"/>
        <w:jc w:val="both"/>
        <w:rPr>
          <w:rFonts w:ascii="Arial" w:hAnsi="Arial" w:cs="Arial"/>
          <w:szCs w:val="24"/>
        </w:rPr>
      </w:pPr>
      <w:proofErr w:type="spellStart"/>
      <w:r w:rsidRPr="004112E8">
        <w:rPr>
          <w:rFonts w:ascii="Arial" w:hAnsi="Arial" w:cs="Arial"/>
          <w:szCs w:val="24"/>
        </w:rPr>
        <w:t>Karimah</w:t>
      </w:r>
      <w:proofErr w:type="spellEnd"/>
      <w:r w:rsidRPr="004112E8">
        <w:rPr>
          <w:rFonts w:ascii="Arial" w:hAnsi="Arial" w:cs="Arial"/>
          <w:szCs w:val="24"/>
        </w:rPr>
        <w:t xml:space="preserve">, U., </w:t>
      </w:r>
      <w:proofErr w:type="spellStart"/>
      <w:r w:rsidRPr="004112E8">
        <w:rPr>
          <w:rFonts w:ascii="Arial" w:hAnsi="Arial" w:cs="Arial"/>
          <w:szCs w:val="24"/>
        </w:rPr>
        <w:t>Sunarti</w:t>
      </w:r>
      <w:proofErr w:type="spellEnd"/>
      <w:r w:rsidRPr="004112E8">
        <w:rPr>
          <w:rFonts w:ascii="Arial" w:hAnsi="Arial" w:cs="Arial"/>
          <w:szCs w:val="24"/>
        </w:rPr>
        <w:t xml:space="preserve">, T., &amp; </w:t>
      </w:r>
      <w:proofErr w:type="spellStart"/>
      <w:r w:rsidRPr="004112E8">
        <w:rPr>
          <w:rFonts w:ascii="Arial" w:hAnsi="Arial" w:cs="Arial"/>
          <w:szCs w:val="24"/>
        </w:rPr>
        <w:t>Munasir</w:t>
      </w:r>
      <w:proofErr w:type="spellEnd"/>
      <w:r w:rsidRPr="004112E8">
        <w:rPr>
          <w:rFonts w:ascii="Arial" w:hAnsi="Arial" w:cs="Arial"/>
          <w:szCs w:val="24"/>
        </w:rPr>
        <w:t>, M. (2023). Digital era for quality education: effectiveness of discovery learning with android to increase scientific literacy. IJORER: International Journal of Recent Educational Research, 4(6), 862-876.</w:t>
      </w:r>
    </w:p>
    <w:p w14:paraId="15CF7B1F" w14:textId="4471385C" w:rsidR="00F63438" w:rsidRPr="004112E8" w:rsidRDefault="00F63438" w:rsidP="00F63438">
      <w:pPr>
        <w:spacing w:after="240" w:line="240" w:lineRule="auto"/>
        <w:jc w:val="both"/>
        <w:rPr>
          <w:rFonts w:ascii="Arial" w:hAnsi="Arial" w:cs="Arial"/>
          <w:szCs w:val="24"/>
        </w:rPr>
      </w:pPr>
      <w:r w:rsidRPr="00F63438">
        <w:rPr>
          <w:rFonts w:ascii="Arial" w:hAnsi="Arial" w:cs="Arial"/>
          <w:szCs w:val="24"/>
        </w:rPr>
        <w:t xml:space="preserve">Loan, F. A., </w:t>
      </w:r>
      <w:proofErr w:type="spellStart"/>
      <w:r w:rsidRPr="00F63438">
        <w:rPr>
          <w:rFonts w:ascii="Arial" w:hAnsi="Arial" w:cs="Arial"/>
          <w:szCs w:val="24"/>
        </w:rPr>
        <w:t>Bisma</w:t>
      </w:r>
      <w:proofErr w:type="spellEnd"/>
      <w:r w:rsidRPr="00F63438">
        <w:rPr>
          <w:rFonts w:ascii="Arial" w:hAnsi="Arial" w:cs="Arial"/>
          <w:szCs w:val="24"/>
        </w:rPr>
        <w:t xml:space="preserve">, B., &amp;amp; </w:t>
      </w:r>
      <w:proofErr w:type="spellStart"/>
      <w:r w:rsidRPr="00F63438">
        <w:rPr>
          <w:rFonts w:ascii="Arial" w:hAnsi="Arial" w:cs="Arial"/>
          <w:szCs w:val="24"/>
        </w:rPr>
        <w:t>Nahida</w:t>
      </w:r>
      <w:proofErr w:type="spellEnd"/>
      <w:r w:rsidRPr="00F63438">
        <w:rPr>
          <w:rFonts w:ascii="Arial" w:hAnsi="Arial" w:cs="Arial"/>
          <w:szCs w:val="24"/>
        </w:rPr>
        <w:t xml:space="preserve">, N. (2022). Global research productivity in cybersecurity: a </w:t>
      </w:r>
      <w:proofErr w:type="spellStart"/>
      <w:r w:rsidRPr="00F63438">
        <w:rPr>
          <w:rFonts w:ascii="Arial" w:hAnsi="Arial" w:cs="Arial"/>
          <w:szCs w:val="24"/>
        </w:rPr>
        <w:t>scientometric</w:t>
      </w:r>
      <w:proofErr w:type="spellEnd"/>
      <w:r w:rsidRPr="00F63438">
        <w:rPr>
          <w:rFonts w:ascii="Arial" w:hAnsi="Arial" w:cs="Arial"/>
          <w:szCs w:val="24"/>
        </w:rPr>
        <w:t xml:space="preserve"> study. Global Knowledge, Memory and Communication, 71(4/5), 342-354.</w:t>
      </w:r>
    </w:p>
    <w:p w14:paraId="2B7945A5" w14:textId="77777777" w:rsidR="00F63438" w:rsidRPr="004112E8" w:rsidRDefault="00F63438" w:rsidP="00F63438">
      <w:pPr>
        <w:spacing w:after="240" w:line="240" w:lineRule="auto"/>
        <w:jc w:val="both"/>
        <w:rPr>
          <w:rFonts w:ascii="Arial" w:hAnsi="Arial" w:cs="Arial"/>
          <w:szCs w:val="24"/>
        </w:rPr>
      </w:pPr>
      <w:r w:rsidRPr="004112E8">
        <w:rPr>
          <w:rFonts w:ascii="Arial" w:hAnsi="Arial" w:cs="Arial"/>
          <w:szCs w:val="24"/>
        </w:rPr>
        <w:t xml:space="preserve">Lemma, T., </w:t>
      </w:r>
      <w:proofErr w:type="spellStart"/>
      <w:r w:rsidRPr="004112E8">
        <w:rPr>
          <w:rFonts w:ascii="Arial" w:hAnsi="Arial" w:cs="Arial"/>
          <w:szCs w:val="24"/>
        </w:rPr>
        <w:t>Gutema</w:t>
      </w:r>
      <w:proofErr w:type="spellEnd"/>
      <w:r w:rsidRPr="004112E8">
        <w:rPr>
          <w:rFonts w:ascii="Arial" w:hAnsi="Arial" w:cs="Arial"/>
          <w:szCs w:val="24"/>
        </w:rPr>
        <w:t xml:space="preserve">, E., &amp; </w:t>
      </w:r>
      <w:proofErr w:type="spellStart"/>
      <w:r w:rsidRPr="004112E8">
        <w:rPr>
          <w:rFonts w:ascii="Arial" w:hAnsi="Arial" w:cs="Arial"/>
          <w:szCs w:val="24"/>
        </w:rPr>
        <w:t>Lemu</w:t>
      </w:r>
      <w:proofErr w:type="spellEnd"/>
      <w:r w:rsidRPr="004112E8">
        <w:rPr>
          <w:rFonts w:ascii="Arial" w:hAnsi="Arial" w:cs="Arial"/>
          <w:szCs w:val="24"/>
        </w:rPr>
        <w:t xml:space="preserve">, H. (2023). Additive manufacturing best practices and its impact on supply chain performance through structural equation modelling: a case study in </w:t>
      </w:r>
      <w:proofErr w:type="spellStart"/>
      <w:r w:rsidRPr="004112E8">
        <w:rPr>
          <w:rFonts w:ascii="Arial" w:hAnsi="Arial" w:cs="Arial"/>
          <w:szCs w:val="24"/>
        </w:rPr>
        <w:t>ethiopian</w:t>
      </w:r>
      <w:proofErr w:type="spellEnd"/>
      <w:r w:rsidRPr="004112E8">
        <w:rPr>
          <w:rFonts w:ascii="Arial" w:hAnsi="Arial" w:cs="Arial"/>
          <w:szCs w:val="24"/>
        </w:rPr>
        <w:t xml:space="preserve"> footwear industry. </w:t>
      </w:r>
      <w:proofErr w:type="spellStart"/>
      <w:r w:rsidRPr="004112E8">
        <w:rPr>
          <w:rFonts w:ascii="Arial" w:hAnsi="Arial" w:cs="Arial"/>
          <w:szCs w:val="24"/>
        </w:rPr>
        <w:t>Iop</w:t>
      </w:r>
      <w:proofErr w:type="spellEnd"/>
      <w:r w:rsidRPr="004112E8">
        <w:rPr>
          <w:rFonts w:ascii="Arial" w:hAnsi="Arial" w:cs="Arial"/>
          <w:szCs w:val="24"/>
        </w:rPr>
        <w:t xml:space="preserve"> Conference Series Materials Science and Engineering, 1294(1), 012052. https://doi.org/10.1088/1757-899x/1294/1/012052</w:t>
      </w:r>
    </w:p>
    <w:p w14:paraId="667186BB" w14:textId="77777777" w:rsidR="00F63438" w:rsidRPr="004112E8" w:rsidRDefault="00F63438" w:rsidP="00F63438">
      <w:pPr>
        <w:spacing w:after="240" w:line="240" w:lineRule="auto"/>
        <w:jc w:val="both"/>
        <w:rPr>
          <w:rFonts w:ascii="Arial" w:hAnsi="Arial" w:cs="Arial"/>
          <w:szCs w:val="24"/>
        </w:rPr>
      </w:pPr>
      <w:r w:rsidRPr="004112E8">
        <w:rPr>
          <w:rFonts w:ascii="Arial" w:hAnsi="Arial" w:cs="Arial"/>
          <w:szCs w:val="24"/>
        </w:rPr>
        <w:t xml:space="preserve">Mishra, B., &amp; </w:t>
      </w:r>
      <w:proofErr w:type="spellStart"/>
      <w:r w:rsidRPr="004112E8">
        <w:rPr>
          <w:rFonts w:ascii="Arial" w:hAnsi="Arial" w:cs="Arial"/>
          <w:szCs w:val="24"/>
        </w:rPr>
        <w:t>Kertesz</w:t>
      </w:r>
      <w:proofErr w:type="spellEnd"/>
      <w:r w:rsidRPr="004112E8">
        <w:rPr>
          <w:rFonts w:ascii="Arial" w:hAnsi="Arial" w:cs="Arial"/>
          <w:szCs w:val="24"/>
        </w:rPr>
        <w:t xml:space="preserve">, A. (2020). The use of MQTT in M2M and IoT systems: A survey. </w:t>
      </w:r>
      <w:proofErr w:type="spellStart"/>
      <w:r w:rsidRPr="004112E8">
        <w:rPr>
          <w:rFonts w:ascii="Arial" w:hAnsi="Arial" w:cs="Arial"/>
          <w:szCs w:val="24"/>
        </w:rPr>
        <w:t>Ieee</w:t>
      </w:r>
      <w:proofErr w:type="spellEnd"/>
      <w:r w:rsidRPr="004112E8">
        <w:rPr>
          <w:rFonts w:ascii="Arial" w:hAnsi="Arial" w:cs="Arial"/>
          <w:szCs w:val="24"/>
        </w:rPr>
        <w:t xml:space="preserve"> Access, 8, 201071-201086.</w:t>
      </w:r>
    </w:p>
    <w:p w14:paraId="2C4AB230" w14:textId="77777777" w:rsidR="00F63438" w:rsidRPr="004112E8" w:rsidRDefault="00F63438" w:rsidP="00F63438">
      <w:pPr>
        <w:spacing w:after="240" w:line="240" w:lineRule="auto"/>
        <w:jc w:val="both"/>
        <w:rPr>
          <w:rFonts w:ascii="Arial" w:hAnsi="Arial" w:cs="Arial"/>
          <w:szCs w:val="24"/>
        </w:rPr>
      </w:pPr>
      <w:proofErr w:type="spellStart"/>
      <w:r w:rsidRPr="004112E8">
        <w:rPr>
          <w:rFonts w:ascii="Arial" w:hAnsi="Arial" w:cs="Arial"/>
          <w:szCs w:val="24"/>
        </w:rPr>
        <w:lastRenderedPageBreak/>
        <w:t>Nifakos</w:t>
      </w:r>
      <w:proofErr w:type="spellEnd"/>
      <w:r w:rsidRPr="004112E8">
        <w:rPr>
          <w:rFonts w:ascii="Arial" w:hAnsi="Arial" w:cs="Arial"/>
          <w:szCs w:val="24"/>
        </w:rPr>
        <w:t xml:space="preserve">, S., </w:t>
      </w:r>
      <w:proofErr w:type="spellStart"/>
      <w:r w:rsidRPr="004112E8">
        <w:rPr>
          <w:rFonts w:ascii="Arial" w:hAnsi="Arial" w:cs="Arial"/>
          <w:szCs w:val="24"/>
        </w:rPr>
        <w:t>Chandramouli</w:t>
      </w:r>
      <w:proofErr w:type="spellEnd"/>
      <w:r w:rsidRPr="004112E8">
        <w:rPr>
          <w:rFonts w:ascii="Arial" w:hAnsi="Arial" w:cs="Arial"/>
          <w:szCs w:val="24"/>
        </w:rPr>
        <w:t xml:space="preserve">, K., Nikolaou, C., </w:t>
      </w:r>
      <w:proofErr w:type="spellStart"/>
      <w:r w:rsidRPr="004112E8">
        <w:rPr>
          <w:rFonts w:ascii="Arial" w:hAnsi="Arial" w:cs="Arial"/>
          <w:szCs w:val="24"/>
        </w:rPr>
        <w:t>Papachristou</w:t>
      </w:r>
      <w:proofErr w:type="spellEnd"/>
      <w:r w:rsidRPr="004112E8">
        <w:rPr>
          <w:rFonts w:ascii="Arial" w:hAnsi="Arial" w:cs="Arial"/>
          <w:szCs w:val="24"/>
        </w:rPr>
        <w:t xml:space="preserve">, P., Koch, S., </w:t>
      </w:r>
      <w:proofErr w:type="spellStart"/>
      <w:r w:rsidRPr="004112E8">
        <w:rPr>
          <w:rFonts w:ascii="Arial" w:hAnsi="Arial" w:cs="Arial"/>
          <w:szCs w:val="24"/>
        </w:rPr>
        <w:t>Panaousis</w:t>
      </w:r>
      <w:proofErr w:type="spellEnd"/>
      <w:r w:rsidRPr="004112E8">
        <w:rPr>
          <w:rFonts w:ascii="Arial" w:hAnsi="Arial" w:cs="Arial"/>
          <w:szCs w:val="24"/>
        </w:rPr>
        <w:t xml:space="preserve">, E., … &amp; </w:t>
      </w:r>
      <w:proofErr w:type="spellStart"/>
      <w:r w:rsidRPr="004112E8">
        <w:rPr>
          <w:rFonts w:ascii="Arial" w:hAnsi="Arial" w:cs="Arial"/>
          <w:szCs w:val="24"/>
        </w:rPr>
        <w:t>Bonacina</w:t>
      </w:r>
      <w:proofErr w:type="spellEnd"/>
      <w:r w:rsidRPr="004112E8">
        <w:rPr>
          <w:rFonts w:ascii="Arial" w:hAnsi="Arial" w:cs="Arial"/>
          <w:szCs w:val="24"/>
        </w:rPr>
        <w:t>, S. (2021). Influence of human factors on cyber security within healthcare organisations: a systematic review. Sensors, 21(15), 5119. https://doi.org/10.3390/s21155119</w:t>
      </w:r>
    </w:p>
    <w:p w14:paraId="48A2B7C0" w14:textId="77777777" w:rsidR="00F63438" w:rsidRPr="004112E8" w:rsidRDefault="00F63438" w:rsidP="00F63438">
      <w:pPr>
        <w:spacing w:after="240" w:line="240" w:lineRule="auto"/>
        <w:jc w:val="both"/>
        <w:rPr>
          <w:rFonts w:ascii="Arial" w:hAnsi="Arial" w:cs="Arial"/>
          <w:szCs w:val="24"/>
        </w:rPr>
      </w:pPr>
      <w:proofErr w:type="spellStart"/>
      <w:r w:rsidRPr="004112E8">
        <w:rPr>
          <w:rFonts w:ascii="Arial" w:hAnsi="Arial" w:cs="Arial"/>
          <w:szCs w:val="24"/>
        </w:rPr>
        <w:t>Perälä</w:t>
      </w:r>
      <w:proofErr w:type="spellEnd"/>
      <w:r w:rsidRPr="004112E8">
        <w:rPr>
          <w:rFonts w:ascii="Arial" w:hAnsi="Arial" w:cs="Arial"/>
          <w:szCs w:val="24"/>
        </w:rPr>
        <w:t xml:space="preserve">, P. and </w:t>
      </w:r>
      <w:proofErr w:type="spellStart"/>
      <w:r w:rsidRPr="004112E8">
        <w:rPr>
          <w:rFonts w:ascii="Arial" w:hAnsi="Arial" w:cs="Arial"/>
          <w:szCs w:val="24"/>
        </w:rPr>
        <w:t>Lehto</w:t>
      </w:r>
      <w:proofErr w:type="spellEnd"/>
      <w:r w:rsidRPr="004112E8">
        <w:rPr>
          <w:rFonts w:ascii="Arial" w:hAnsi="Arial" w:cs="Arial"/>
          <w:szCs w:val="24"/>
        </w:rPr>
        <w:t xml:space="preserve">, M. (2024). Educating cybersecurity experts: analysis of cybersecurity education in </w:t>
      </w:r>
      <w:proofErr w:type="spellStart"/>
      <w:r w:rsidRPr="004112E8">
        <w:rPr>
          <w:rFonts w:ascii="Arial" w:hAnsi="Arial" w:cs="Arial"/>
          <w:szCs w:val="24"/>
        </w:rPr>
        <w:t>finnish</w:t>
      </w:r>
      <w:proofErr w:type="spellEnd"/>
      <w:r w:rsidRPr="004112E8">
        <w:rPr>
          <w:rFonts w:ascii="Arial" w:hAnsi="Arial" w:cs="Arial"/>
          <w:szCs w:val="24"/>
        </w:rPr>
        <w:t xml:space="preserve"> universities. European Conference on Cyber Warfare and Security, 23(1), 371-378. https://doi.org/10.34190/eccws.23.1.2256</w:t>
      </w:r>
    </w:p>
    <w:p w14:paraId="25701233" w14:textId="77777777" w:rsidR="00F63438" w:rsidRPr="004112E8" w:rsidRDefault="00F63438" w:rsidP="00F63438">
      <w:pPr>
        <w:spacing w:after="240" w:line="240" w:lineRule="auto"/>
        <w:jc w:val="both"/>
        <w:rPr>
          <w:rFonts w:ascii="Arial" w:hAnsi="Arial" w:cs="Arial"/>
          <w:szCs w:val="24"/>
        </w:rPr>
      </w:pPr>
      <w:proofErr w:type="spellStart"/>
      <w:r w:rsidRPr="004112E8">
        <w:rPr>
          <w:rFonts w:ascii="Arial" w:hAnsi="Arial" w:cs="Arial"/>
          <w:szCs w:val="24"/>
        </w:rPr>
        <w:t>Pirta-Dreimane</w:t>
      </w:r>
      <w:proofErr w:type="spellEnd"/>
      <w:r w:rsidRPr="004112E8">
        <w:rPr>
          <w:rFonts w:ascii="Arial" w:hAnsi="Arial" w:cs="Arial"/>
          <w:szCs w:val="24"/>
        </w:rPr>
        <w:t xml:space="preserve">, R., </w:t>
      </w:r>
      <w:proofErr w:type="spellStart"/>
      <w:r w:rsidRPr="004112E8">
        <w:rPr>
          <w:rFonts w:ascii="Arial" w:hAnsi="Arial" w:cs="Arial"/>
          <w:szCs w:val="24"/>
        </w:rPr>
        <w:t>Brilingaitė</w:t>
      </w:r>
      <w:proofErr w:type="spellEnd"/>
      <w:r w:rsidRPr="004112E8">
        <w:rPr>
          <w:rFonts w:ascii="Arial" w:hAnsi="Arial" w:cs="Arial"/>
          <w:szCs w:val="24"/>
        </w:rPr>
        <w:t xml:space="preserve">, A., </w:t>
      </w:r>
      <w:proofErr w:type="spellStart"/>
      <w:r w:rsidRPr="004112E8">
        <w:rPr>
          <w:rFonts w:ascii="Arial" w:hAnsi="Arial" w:cs="Arial"/>
          <w:szCs w:val="24"/>
        </w:rPr>
        <w:t>Majore</w:t>
      </w:r>
      <w:proofErr w:type="spellEnd"/>
      <w:r w:rsidRPr="004112E8">
        <w:rPr>
          <w:rFonts w:ascii="Arial" w:hAnsi="Arial" w:cs="Arial"/>
          <w:szCs w:val="24"/>
        </w:rPr>
        <w:t>, G., Knox, B. J., Lapin, K., Parish, K., … &amp; Lugo, R. G. (2022). Application of intervention mapping in cybersecurity education design. Frontiers in Education, 7. https://doi.org/10.3389/feduc.2022.998335</w:t>
      </w:r>
    </w:p>
    <w:p w14:paraId="5776F303" w14:textId="77777777" w:rsidR="00F63438" w:rsidRPr="004112E8" w:rsidRDefault="00F63438" w:rsidP="00F63438">
      <w:pPr>
        <w:spacing w:after="240" w:line="240" w:lineRule="auto"/>
        <w:jc w:val="both"/>
        <w:rPr>
          <w:rFonts w:ascii="Arial" w:hAnsi="Arial" w:cs="Arial"/>
          <w:szCs w:val="24"/>
        </w:rPr>
      </w:pPr>
      <w:proofErr w:type="spellStart"/>
      <w:r w:rsidRPr="004112E8">
        <w:rPr>
          <w:rFonts w:ascii="Arial" w:hAnsi="Arial" w:cs="Arial"/>
          <w:szCs w:val="24"/>
        </w:rPr>
        <w:t>Saraswati</w:t>
      </w:r>
      <w:proofErr w:type="spellEnd"/>
      <w:r w:rsidRPr="004112E8">
        <w:rPr>
          <w:rFonts w:ascii="Arial" w:hAnsi="Arial" w:cs="Arial"/>
          <w:szCs w:val="24"/>
        </w:rPr>
        <w:t xml:space="preserve">, E., </w:t>
      </w:r>
      <w:proofErr w:type="spellStart"/>
      <w:r w:rsidRPr="004112E8">
        <w:rPr>
          <w:rFonts w:ascii="Arial" w:hAnsi="Arial" w:cs="Arial"/>
          <w:szCs w:val="24"/>
        </w:rPr>
        <w:t>Ghofar</w:t>
      </w:r>
      <w:proofErr w:type="spellEnd"/>
      <w:r w:rsidRPr="004112E8">
        <w:rPr>
          <w:rFonts w:ascii="Arial" w:hAnsi="Arial" w:cs="Arial"/>
          <w:szCs w:val="24"/>
        </w:rPr>
        <w:t xml:space="preserve">, A., </w:t>
      </w:r>
      <w:proofErr w:type="spellStart"/>
      <w:r w:rsidRPr="004112E8">
        <w:rPr>
          <w:rFonts w:ascii="Arial" w:hAnsi="Arial" w:cs="Arial"/>
          <w:szCs w:val="24"/>
        </w:rPr>
        <w:t>Atmini</w:t>
      </w:r>
      <w:proofErr w:type="spellEnd"/>
      <w:r w:rsidRPr="004112E8">
        <w:rPr>
          <w:rFonts w:ascii="Arial" w:hAnsi="Arial" w:cs="Arial"/>
          <w:szCs w:val="24"/>
        </w:rPr>
        <w:t xml:space="preserve">, S., &amp; </w:t>
      </w:r>
      <w:proofErr w:type="spellStart"/>
      <w:r w:rsidRPr="004112E8">
        <w:rPr>
          <w:rFonts w:ascii="Arial" w:hAnsi="Arial" w:cs="Arial"/>
          <w:szCs w:val="24"/>
        </w:rPr>
        <w:t>Dahlan</w:t>
      </w:r>
      <w:proofErr w:type="spellEnd"/>
      <w:r w:rsidRPr="004112E8">
        <w:rPr>
          <w:rFonts w:ascii="Arial" w:hAnsi="Arial" w:cs="Arial"/>
          <w:szCs w:val="24"/>
        </w:rPr>
        <w:t xml:space="preserve">, M. (2023). University social responsibility reporting in alignment with sustainability development goals: a conceptual framework. </w:t>
      </w:r>
      <w:proofErr w:type="spellStart"/>
      <w:r w:rsidRPr="004112E8">
        <w:rPr>
          <w:rFonts w:ascii="Arial" w:hAnsi="Arial" w:cs="Arial"/>
          <w:szCs w:val="24"/>
        </w:rPr>
        <w:t>Jurnal</w:t>
      </w:r>
      <w:proofErr w:type="spellEnd"/>
      <w:r w:rsidRPr="004112E8">
        <w:rPr>
          <w:rFonts w:ascii="Arial" w:hAnsi="Arial" w:cs="Arial"/>
          <w:szCs w:val="24"/>
        </w:rPr>
        <w:t xml:space="preserve"> </w:t>
      </w:r>
      <w:proofErr w:type="spellStart"/>
      <w:r w:rsidRPr="004112E8">
        <w:rPr>
          <w:rFonts w:ascii="Arial" w:hAnsi="Arial" w:cs="Arial"/>
          <w:szCs w:val="24"/>
        </w:rPr>
        <w:t>Ilmiah</w:t>
      </w:r>
      <w:proofErr w:type="spellEnd"/>
      <w:r w:rsidRPr="004112E8">
        <w:rPr>
          <w:rFonts w:ascii="Arial" w:hAnsi="Arial" w:cs="Arial"/>
          <w:szCs w:val="24"/>
        </w:rPr>
        <w:t xml:space="preserve"> </w:t>
      </w:r>
      <w:proofErr w:type="spellStart"/>
      <w:r w:rsidRPr="004112E8">
        <w:rPr>
          <w:rFonts w:ascii="Arial" w:hAnsi="Arial" w:cs="Arial"/>
          <w:szCs w:val="24"/>
        </w:rPr>
        <w:t>Akuntansi</w:t>
      </w:r>
      <w:proofErr w:type="spellEnd"/>
      <w:r w:rsidRPr="004112E8">
        <w:rPr>
          <w:rFonts w:ascii="Arial" w:hAnsi="Arial" w:cs="Arial"/>
          <w:szCs w:val="24"/>
        </w:rPr>
        <w:t xml:space="preserve"> Dan </w:t>
      </w:r>
      <w:proofErr w:type="spellStart"/>
      <w:r w:rsidRPr="004112E8">
        <w:rPr>
          <w:rFonts w:ascii="Arial" w:hAnsi="Arial" w:cs="Arial"/>
          <w:szCs w:val="24"/>
        </w:rPr>
        <w:t>Bisnis</w:t>
      </w:r>
      <w:proofErr w:type="spellEnd"/>
      <w:r w:rsidRPr="004112E8">
        <w:rPr>
          <w:rFonts w:ascii="Arial" w:hAnsi="Arial" w:cs="Arial"/>
          <w:szCs w:val="24"/>
        </w:rPr>
        <w:t>, 18(2), 226. https://doi.org/10.24843/jiab.2023.v18.i02.p03</w:t>
      </w:r>
    </w:p>
    <w:p w14:paraId="095594AF" w14:textId="77777777" w:rsidR="00F63438" w:rsidRPr="004112E8" w:rsidRDefault="00F63438" w:rsidP="00F63438">
      <w:pPr>
        <w:spacing w:after="240" w:line="240" w:lineRule="auto"/>
        <w:jc w:val="both"/>
        <w:rPr>
          <w:rFonts w:ascii="Arial" w:hAnsi="Arial" w:cs="Arial"/>
          <w:szCs w:val="24"/>
        </w:rPr>
      </w:pPr>
      <w:proofErr w:type="spellStart"/>
      <w:r w:rsidRPr="004112E8">
        <w:rPr>
          <w:rFonts w:ascii="Arial" w:hAnsi="Arial" w:cs="Arial"/>
          <w:szCs w:val="24"/>
        </w:rPr>
        <w:t>Suryatni</w:t>
      </w:r>
      <w:proofErr w:type="spellEnd"/>
      <w:r w:rsidRPr="004112E8">
        <w:rPr>
          <w:rFonts w:ascii="Arial" w:hAnsi="Arial" w:cs="Arial"/>
          <w:szCs w:val="24"/>
        </w:rPr>
        <w:t xml:space="preserve">, M., &amp; </w:t>
      </w:r>
      <w:proofErr w:type="spellStart"/>
      <w:r w:rsidRPr="004112E8">
        <w:rPr>
          <w:rFonts w:ascii="Arial" w:hAnsi="Arial" w:cs="Arial"/>
          <w:szCs w:val="24"/>
        </w:rPr>
        <w:t>Nurmayanti</w:t>
      </w:r>
      <w:proofErr w:type="spellEnd"/>
      <w:r w:rsidRPr="004112E8">
        <w:rPr>
          <w:rFonts w:ascii="Arial" w:hAnsi="Arial" w:cs="Arial"/>
          <w:szCs w:val="24"/>
        </w:rPr>
        <w:t>, S. The Role of Intrapersonal Factors, Interpersonal Factors and Organisational Support on the Effectiveness of Women's Leadership in the Public Sector.</w:t>
      </w:r>
    </w:p>
    <w:p w14:paraId="3335A1D7" w14:textId="77777777" w:rsidR="00F63438" w:rsidRPr="004112E8" w:rsidRDefault="00F63438" w:rsidP="00F63438">
      <w:pPr>
        <w:spacing w:after="240" w:line="240" w:lineRule="auto"/>
        <w:jc w:val="both"/>
        <w:rPr>
          <w:rFonts w:ascii="Arial" w:hAnsi="Arial" w:cs="Arial"/>
          <w:szCs w:val="24"/>
        </w:rPr>
      </w:pPr>
      <w:proofErr w:type="spellStart"/>
      <w:r w:rsidRPr="004112E8">
        <w:rPr>
          <w:rFonts w:ascii="Arial" w:hAnsi="Arial" w:cs="Arial"/>
          <w:szCs w:val="24"/>
        </w:rPr>
        <w:t>Talesh</w:t>
      </w:r>
      <w:proofErr w:type="spellEnd"/>
      <w:r w:rsidRPr="004112E8">
        <w:rPr>
          <w:rFonts w:ascii="Arial" w:hAnsi="Arial" w:cs="Arial"/>
          <w:szCs w:val="24"/>
        </w:rPr>
        <w:t xml:space="preserve">, S. (2018). Data breach, privacy, and cyber insurance: how insurance companies act as “compliance managers” for businesses. Law &amp; Social Inquiry, 43(02), 417-440. </w:t>
      </w:r>
    </w:p>
    <w:p w14:paraId="2B8E8BA6" w14:textId="77777777" w:rsidR="00F63438" w:rsidRPr="004112E8" w:rsidRDefault="00F63438" w:rsidP="00F63438">
      <w:pPr>
        <w:spacing w:after="240" w:line="240" w:lineRule="auto"/>
        <w:jc w:val="both"/>
        <w:rPr>
          <w:rFonts w:ascii="Arial" w:hAnsi="Arial" w:cs="Arial"/>
          <w:szCs w:val="24"/>
        </w:rPr>
      </w:pPr>
      <w:proofErr w:type="spellStart"/>
      <w:r w:rsidRPr="004112E8">
        <w:rPr>
          <w:rFonts w:ascii="Arial" w:hAnsi="Arial" w:cs="Arial"/>
          <w:szCs w:val="24"/>
        </w:rPr>
        <w:t>Tornatzky</w:t>
      </w:r>
      <w:proofErr w:type="spellEnd"/>
      <w:r w:rsidRPr="004112E8">
        <w:rPr>
          <w:rFonts w:ascii="Arial" w:hAnsi="Arial" w:cs="Arial"/>
          <w:szCs w:val="24"/>
        </w:rPr>
        <w:t>, L. G., &amp; Fleischer, M. (Eds.). The Process of Technological Innovation. (pp. 151-175). Lexington, MA: Lexington Books.</w:t>
      </w:r>
    </w:p>
    <w:p w14:paraId="16903147" w14:textId="77777777" w:rsidR="00F63438" w:rsidRPr="004112E8" w:rsidRDefault="00F63438" w:rsidP="00F63438">
      <w:pPr>
        <w:spacing w:after="240" w:line="240" w:lineRule="auto"/>
        <w:jc w:val="both"/>
        <w:rPr>
          <w:rFonts w:ascii="Arial" w:hAnsi="Arial" w:cs="Arial"/>
          <w:szCs w:val="24"/>
        </w:rPr>
      </w:pPr>
      <w:r w:rsidRPr="004112E8">
        <w:rPr>
          <w:rFonts w:ascii="Arial" w:hAnsi="Arial" w:cs="Arial"/>
          <w:szCs w:val="24"/>
        </w:rPr>
        <w:t xml:space="preserve">Tran, D., Nguyen, P., </w:t>
      </w:r>
      <w:proofErr w:type="spellStart"/>
      <w:r w:rsidRPr="004112E8">
        <w:rPr>
          <w:rFonts w:ascii="Arial" w:hAnsi="Arial" w:cs="Arial"/>
          <w:szCs w:val="24"/>
        </w:rPr>
        <w:t>Vrontis</w:t>
      </w:r>
      <w:proofErr w:type="spellEnd"/>
      <w:r w:rsidRPr="004112E8">
        <w:rPr>
          <w:rFonts w:ascii="Arial" w:hAnsi="Arial" w:cs="Arial"/>
          <w:szCs w:val="24"/>
        </w:rPr>
        <w:t xml:space="preserve">, D., Nguyen, S., &amp; </w:t>
      </w:r>
      <w:proofErr w:type="spellStart"/>
      <w:r w:rsidRPr="004112E8">
        <w:rPr>
          <w:rFonts w:ascii="Arial" w:hAnsi="Arial" w:cs="Arial"/>
          <w:szCs w:val="24"/>
        </w:rPr>
        <w:t>Dinh</w:t>
      </w:r>
      <w:proofErr w:type="spellEnd"/>
      <w:r w:rsidRPr="004112E8">
        <w:rPr>
          <w:rFonts w:ascii="Arial" w:hAnsi="Arial" w:cs="Arial"/>
          <w:szCs w:val="24"/>
        </w:rPr>
        <w:t xml:space="preserve">, P. (2024). Unraveling influential factors shaping employee cybersecurity behaviors: an empirical investigation of public servants in </w:t>
      </w:r>
      <w:proofErr w:type="spellStart"/>
      <w:r w:rsidRPr="004112E8">
        <w:rPr>
          <w:rFonts w:ascii="Arial" w:hAnsi="Arial" w:cs="Arial"/>
          <w:szCs w:val="24"/>
        </w:rPr>
        <w:t>vietnam</w:t>
      </w:r>
      <w:proofErr w:type="spellEnd"/>
      <w:r w:rsidRPr="004112E8">
        <w:rPr>
          <w:rFonts w:ascii="Arial" w:hAnsi="Arial" w:cs="Arial"/>
          <w:szCs w:val="24"/>
        </w:rPr>
        <w:t>. Journal of Asia Business Studies, 18(6), 1445-1464. https://doi.org/10.1108/jabs-01-2024-0058</w:t>
      </w:r>
    </w:p>
    <w:p w14:paraId="34BF3FB2" w14:textId="77777777" w:rsidR="00F63438" w:rsidRPr="004112E8" w:rsidRDefault="00F63438" w:rsidP="00F63438">
      <w:pPr>
        <w:spacing w:after="240" w:line="240" w:lineRule="auto"/>
        <w:jc w:val="both"/>
        <w:rPr>
          <w:rFonts w:ascii="Arial" w:hAnsi="Arial" w:cs="Arial"/>
          <w:szCs w:val="24"/>
        </w:rPr>
      </w:pPr>
      <w:r w:rsidRPr="004112E8">
        <w:rPr>
          <w:rFonts w:ascii="Arial" w:hAnsi="Arial" w:cs="Arial"/>
          <w:szCs w:val="24"/>
        </w:rPr>
        <w:t xml:space="preserve">ÜZÜM, B. and </w:t>
      </w:r>
      <w:proofErr w:type="spellStart"/>
      <w:r w:rsidRPr="004112E8">
        <w:rPr>
          <w:rFonts w:ascii="Arial" w:hAnsi="Arial" w:cs="Arial"/>
          <w:szCs w:val="24"/>
        </w:rPr>
        <w:t>Özkan</w:t>
      </w:r>
      <w:proofErr w:type="spellEnd"/>
      <w:r w:rsidRPr="004112E8">
        <w:rPr>
          <w:rFonts w:ascii="Arial" w:hAnsi="Arial" w:cs="Arial"/>
          <w:szCs w:val="24"/>
        </w:rPr>
        <w:t xml:space="preserve">, O. (2024). An empirical research on the antecedents of psychological ownership: wise leadership and the crab syndrome. </w:t>
      </w:r>
      <w:proofErr w:type="spellStart"/>
      <w:r w:rsidRPr="004112E8">
        <w:rPr>
          <w:rFonts w:ascii="Arial" w:hAnsi="Arial" w:cs="Arial"/>
          <w:szCs w:val="24"/>
        </w:rPr>
        <w:t>Afyon</w:t>
      </w:r>
      <w:proofErr w:type="spellEnd"/>
      <w:r w:rsidRPr="004112E8">
        <w:rPr>
          <w:rFonts w:ascii="Arial" w:hAnsi="Arial" w:cs="Arial"/>
          <w:szCs w:val="24"/>
        </w:rPr>
        <w:t xml:space="preserve"> </w:t>
      </w:r>
      <w:proofErr w:type="spellStart"/>
      <w:r w:rsidRPr="004112E8">
        <w:rPr>
          <w:rFonts w:ascii="Arial" w:hAnsi="Arial" w:cs="Arial"/>
          <w:szCs w:val="24"/>
        </w:rPr>
        <w:t>Kocatepe</w:t>
      </w:r>
      <w:proofErr w:type="spellEnd"/>
      <w:r w:rsidRPr="004112E8">
        <w:rPr>
          <w:rFonts w:ascii="Arial" w:hAnsi="Arial" w:cs="Arial"/>
          <w:szCs w:val="24"/>
        </w:rPr>
        <w:t xml:space="preserve"> </w:t>
      </w:r>
      <w:proofErr w:type="spellStart"/>
      <w:r w:rsidRPr="004112E8">
        <w:rPr>
          <w:rFonts w:ascii="Arial" w:hAnsi="Arial" w:cs="Arial"/>
          <w:szCs w:val="24"/>
        </w:rPr>
        <w:t>Üniversitesi</w:t>
      </w:r>
      <w:proofErr w:type="spellEnd"/>
      <w:r w:rsidRPr="004112E8">
        <w:rPr>
          <w:rFonts w:ascii="Arial" w:hAnsi="Arial" w:cs="Arial"/>
          <w:szCs w:val="24"/>
        </w:rPr>
        <w:t xml:space="preserve"> </w:t>
      </w:r>
      <w:proofErr w:type="spellStart"/>
      <w:r w:rsidRPr="004112E8">
        <w:rPr>
          <w:rFonts w:ascii="Arial" w:hAnsi="Arial" w:cs="Arial"/>
          <w:szCs w:val="24"/>
        </w:rPr>
        <w:t>Sosyal</w:t>
      </w:r>
      <w:proofErr w:type="spellEnd"/>
      <w:r w:rsidRPr="004112E8">
        <w:rPr>
          <w:rFonts w:ascii="Arial" w:hAnsi="Arial" w:cs="Arial"/>
          <w:szCs w:val="24"/>
        </w:rPr>
        <w:t xml:space="preserve"> </w:t>
      </w:r>
      <w:proofErr w:type="spellStart"/>
      <w:r w:rsidRPr="004112E8">
        <w:rPr>
          <w:rFonts w:ascii="Arial" w:hAnsi="Arial" w:cs="Arial"/>
          <w:szCs w:val="24"/>
        </w:rPr>
        <w:t>Bilimler</w:t>
      </w:r>
      <w:proofErr w:type="spellEnd"/>
      <w:r w:rsidRPr="004112E8">
        <w:rPr>
          <w:rFonts w:ascii="Arial" w:hAnsi="Arial" w:cs="Arial"/>
          <w:szCs w:val="24"/>
        </w:rPr>
        <w:t xml:space="preserve"> </w:t>
      </w:r>
      <w:proofErr w:type="spellStart"/>
      <w:r w:rsidRPr="004112E8">
        <w:rPr>
          <w:rFonts w:ascii="Arial" w:hAnsi="Arial" w:cs="Arial"/>
          <w:szCs w:val="24"/>
        </w:rPr>
        <w:t>Dergisi</w:t>
      </w:r>
      <w:proofErr w:type="spellEnd"/>
      <w:r w:rsidRPr="004112E8">
        <w:rPr>
          <w:rFonts w:ascii="Arial" w:hAnsi="Arial" w:cs="Arial"/>
          <w:szCs w:val="24"/>
        </w:rPr>
        <w:t>, 26(1), 127-139. https://doi.org/10.32709/akusosbil.1094944</w:t>
      </w:r>
    </w:p>
    <w:p w14:paraId="27FB4D68" w14:textId="77777777" w:rsidR="00F63438" w:rsidRPr="004112E8" w:rsidRDefault="00F63438" w:rsidP="00F63438">
      <w:pPr>
        <w:spacing w:after="240" w:line="240" w:lineRule="auto"/>
        <w:jc w:val="both"/>
        <w:rPr>
          <w:rFonts w:ascii="Arial" w:hAnsi="Arial" w:cs="Arial"/>
          <w:szCs w:val="24"/>
        </w:rPr>
      </w:pPr>
      <w:r w:rsidRPr="004112E8">
        <w:rPr>
          <w:rFonts w:ascii="Arial" w:hAnsi="Arial" w:cs="Arial"/>
          <w:szCs w:val="24"/>
        </w:rPr>
        <w:t>Wallace, S., Green, K., Johnson, C., Cooper, J., &amp; Gilstrap, C. (2020). An extended toe framework for cybersecurity adoption decisions. Communications of the Association for Information Systems, 47, 338-363. https://doi.org/10.17705/1cais.04716</w:t>
      </w:r>
    </w:p>
    <w:p w14:paraId="6ED55C08" w14:textId="77777777" w:rsidR="00F63438" w:rsidRPr="004112E8" w:rsidRDefault="00F63438" w:rsidP="00F63438">
      <w:pPr>
        <w:spacing w:after="240" w:line="240" w:lineRule="auto"/>
        <w:jc w:val="both"/>
        <w:rPr>
          <w:rFonts w:ascii="Arial" w:hAnsi="Arial" w:cs="Arial"/>
          <w:szCs w:val="24"/>
        </w:rPr>
      </w:pPr>
      <w:r w:rsidRPr="004112E8">
        <w:rPr>
          <w:rFonts w:ascii="Arial" w:hAnsi="Arial" w:cs="Arial"/>
          <w:szCs w:val="24"/>
        </w:rPr>
        <w:t xml:space="preserve">Yang, </w:t>
      </w:r>
      <w:proofErr w:type="spellStart"/>
      <w:r w:rsidRPr="004112E8">
        <w:rPr>
          <w:rFonts w:ascii="Arial" w:hAnsi="Arial" w:cs="Arial"/>
          <w:szCs w:val="24"/>
        </w:rPr>
        <w:t>Caixia</w:t>
      </w:r>
      <w:proofErr w:type="spellEnd"/>
      <w:r w:rsidRPr="004112E8">
        <w:rPr>
          <w:rFonts w:ascii="Arial" w:hAnsi="Arial" w:cs="Arial"/>
          <w:szCs w:val="24"/>
        </w:rPr>
        <w:t>, et al. "</w:t>
      </w:r>
      <w:proofErr w:type="spellStart"/>
      <w:r w:rsidRPr="004112E8">
        <w:rPr>
          <w:rFonts w:ascii="Arial" w:hAnsi="Arial" w:cs="Arial"/>
          <w:szCs w:val="24"/>
        </w:rPr>
        <w:t>AuthPrivacyChain</w:t>
      </w:r>
      <w:proofErr w:type="spellEnd"/>
      <w:r w:rsidRPr="004112E8">
        <w:rPr>
          <w:rFonts w:ascii="Arial" w:hAnsi="Arial" w:cs="Arial"/>
          <w:szCs w:val="24"/>
        </w:rPr>
        <w:t xml:space="preserve">: A blockchain-based access control framework with privacy protection in cloud." </w:t>
      </w:r>
      <w:proofErr w:type="spellStart"/>
      <w:r w:rsidRPr="004112E8">
        <w:rPr>
          <w:rFonts w:ascii="Arial" w:hAnsi="Arial" w:cs="Arial"/>
          <w:szCs w:val="24"/>
        </w:rPr>
        <w:t>Ieee</w:t>
      </w:r>
      <w:proofErr w:type="spellEnd"/>
      <w:r w:rsidRPr="004112E8">
        <w:rPr>
          <w:rFonts w:ascii="Arial" w:hAnsi="Arial" w:cs="Arial"/>
          <w:szCs w:val="24"/>
        </w:rPr>
        <w:t xml:space="preserve"> Access 8 (2020): 70604-70615.</w:t>
      </w:r>
    </w:p>
    <w:p w14:paraId="0A38832A" w14:textId="77777777" w:rsidR="00F63438" w:rsidRPr="004112E8" w:rsidRDefault="00F63438" w:rsidP="00F63438">
      <w:pPr>
        <w:jc w:val="both"/>
        <w:rPr>
          <w:rFonts w:ascii="Arial" w:hAnsi="Arial" w:cs="Arial"/>
          <w:sz w:val="20"/>
        </w:rPr>
      </w:pPr>
    </w:p>
    <w:p w14:paraId="1FC56284" w14:textId="77777777" w:rsidR="00683DB5" w:rsidRPr="00F63438" w:rsidRDefault="00683DB5" w:rsidP="00F63438"/>
    <w:sectPr w:rsidR="00683DB5" w:rsidRPr="00F6343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FB42F" w14:textId="77777777" w:rsidR="00C1294C" w:rsidRDefault="00C1294C" w:rsidP="004112E8">
      <w:pPr>
        <w:spacing w:after="0" w:line="240" w:lineRule="auto"/>
      </w:pPr>
      <w:r>
        <w:separator/>
      </w:r>
    </w:p>
  </w:endnote>
  <w:endnote w:type="continuationSeparator" w:id="0">
    <w:p w14:paraId="4AF94DFC" w14:textId="77777777" w:rsidR="00C1294C" w:rsidRDefault="00C1294C" w:rsidP="0041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902EE" w14:textId="77777777" w:rsidR="00AF3DA5" w:rsidRDefault="00AF3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D74BA" w14:textId="77777777" w:rsidR="00AF3DA5" w:rsidRDefault="00AF3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A5F9" w14:textId="77777777" w:rsidR="00AF3DA5" w:rsidRDefault="00AF3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216C8" w14:textId="77777777" w:rsidR="00C1294C" w:rsidRDefault="00C1294C" w:rsidP="004112E8">
      <w:pPr>
        <w:spacing w:after="0" w:line="240" w:lineRule="auto"/>
      </w:pPr>
      <w:r>
        <w:separator/>
      </w:r>
    </w:p>
  </w:footnote>
  <w:footnote w:type="continuationSeparator" w:id="0">
    <w:p w14:paraId="4AE533D7" w14:textId="77777777" w:rsidR="00C1294C" w:rsidRDefault="00C1294C" w:rsidP="00411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3CDFE" w14:textId="54509A95" w:rsidR="00AF3DA5" w:rsidRDefault="00C1294C">
    <w:pPr>
      <w:pStyle w:val="Header"/>
    </w:pPr>
    <w:r>
      <w:rPr>
        <w:noProof/>
      </w:rPr>
      <w:pict w14:anchorId="13E85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030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815C5" w14:textId="01A7BA97" w:rsidR="00AF3DA5" w:rsidRDefault="00C1294C">
    <w:pPr>
      <w:pStyle w:val="Header"/>
    </w:pPr>
    <w:r>
      <w:rPr>
        <w:noProof/>
      </w:rPr>
      <w:pict w14:anchorId="4A358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030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BDB28" w14:textId="39D14BD0" w:rsidR="00AF3DA5" w:rsidRDefault="00C1294C">
    <w:pPr>
      <w:pStyle w:val="Header"/>
    </w:pPr>
    <w:r>
      <w:rPr>
        <w:noProof/>
      </w:rPr>
      <w:pict w14:anchorId="5E6DE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030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C45A4"/>
    <w:multiLevelType w:val="multilevel"/>
    <w:tmpl w:val="C332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3C204B"/>
    <w:multiLevelType w:val="multilevel"/>
    <w:tmpl w:val="26B43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B10717"/>
    <w:multiLevelType w:val="multilevel"/>
    <w:tmpl w:val="3C620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4A0"/>
    <w:rsid w:val="00060DF6"/>
    <w:rsid w:val="001569AF"/>
    <w:rsid w:val="001C280C"/>
    <w:rsid w:val="002F200E"/>
    <w:rsid w:val="003964A0"/>
    <w:rsid w:val="004112E8"/>
    <w:rsid w:val="004430B9"/>
    <w:rsid w:val="004E220A"/>
    <w:rsid w:val="004F5A21"/>
    <w:rsid w:val="005F3841"/>
    <w:rsid w:val="00614607"/>
    <w:rsid w:val="006656F9"/>
    <w:rsid w:val="00683DB5"/>
    <w:rsid w:val="007D78A6"/>
    <w:rsid w:val="007E135A"/>
    <w:rsid w:val="00830E01"/>
    <w:rsid w:val="00856E42"/>
    <w:rsid w:val="00870724"/>
    <w:rsid w:val="00881484"/>
    <w:rsid w:val="0097649C"/>
    <w:rsid w:val="00AF3DA5"/>
    <w:rsid w:val="00B01ECB"/>
    <w:rsid w:val="00B61A8F"/>
    <w:rsid w:val="00BC505C"/>
    <w:rsid w:val="00BD4204"/>
    <w:rsid w:val="00C1294C"/>
    <w:rsid w:val="00C55BAF"/>
    <w:rsid w:val="00E26E2A"/>
    <w:rsid w:val="00E81833"/>
    <w:rsid w:val="00F1135D"/>
    <w:rsid w:val="00F20818"/>
    <w:rsid w:val="00F6343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D8D5C0"/>
  <w15:chartTrackingRefBased/>
  <w15:docId w15:val="{95D49F9A-2B0B-49AC-92A9-3A9A3E6C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3964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4F5A21"/>
    <w:rPr>
      <w:color w:val="0563C1" w:themeColor="hyperlink"/>
      <w:u w:val="single"/>
    </w:rPr>
  </w:style>
  <w:style w:type="paragraph" w:styleId="Header">
    <w:name w:val="header"/>
    <w:basedOn w:val="Normal"/>
    <w:link w:val="HeaderChar"/>
    <w:uiPriority w:val="99"/>
    <w:unhideWhenUsed/>
    <w:rsid w:val="00411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2E8"/>
  </w:style>
  <w:style w:type="paragraph" w:styleId="Footer">
    <w:name w:val="footer"/>
    <w:basedOn w:val="Normal"/>
    <w:link w:val="FooterChar"/>
    <w:uiPriority w:val="99"/>
    <w:unhideWhenUsed/>
    <w:rsid w:val="00411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2E8"/>
  </w:style>
  <w:style w:type="character" w:customStyle="1" w:styleId="UnresolvedMention1">
    <w:name w:val="Unresolved Mention1"/>
    <w:basedOn w:val="DefaultParagraphFont"/>
    <w:uiPriority w:val="99"/>
    <w:semiHidden/>
    <w:unhideWhenUsed/>
    <w:rsid w:val="00830E01"/>
    <w:rPr>
      <w:color w:val="605E5C"/>
      <w:shd w:val="clear" w:color="auto" w:fill="E1DFDD"/>
    </w:rPr>
  </w:style>
  <w:style w:type="paragraph" w:styleId="NormalWeb">
    <w:name w:val="Normal (Web)"/>
    <w:basedOn w:val="Normal"/>
    <w:uiPriority w:val="99"/>
    <w:semiHidden/>
    <w:unhideWhenUsed/>
    <w:rsid w:val="00F1135D"/>
    <w:rPr>
      <w:rFonts w:ascii="Times New Roman" w:hAnsi="Times New Roman" w:cs="Times New Roman"/>
      <w:sz w:val="24"/>
      <w:szCs w:val="24"/>
    </w:rPr>
  </w:style>
  <w:style w:type="paragraph" w:styleId="ListParagraph">
    <w:name w:val="List Paragraph"/>
    <w:basedOn w:val="Normal"/>
    <w:uiPriority w:val="34"/>
    <w:qFormat/>
    <w:rsid w:val="00F11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5519">
      <w:bodyDiv w:val="1"/>
      <w:marLeft w:val="0"/>
      <w:marRight w:val="0"/>
      <w:marTop w:val="0"/>
      <w:marBottom w:val="0"/>
      <w:divBdr>
        <w:top w:val="none" w:sz="0" w:space="0" w:color="auto"/>
        <w:left w:val="none" w:sz="0" w:space="0" w:color="auto"/>
        <w:bottom w:val="none" w:sz="0" w:space="0" w:color="auto"/>
        <w:right w:val="none" w:sz="0" w:space="0" w:color="auto"/>
      </w:divBdr>
      <w:divsChild>
        <w:div w:id="934762">
          <w:marLeft w:val="0"/>
          <w:marRight w:val="0"/>
          <w:marTop w:val="0"/>
          <w:marBottom w:val="0"/>
          <w:divBdr>
            <w:top w:val="none" w:sz="0" w:space="0" w:color="auto"/>
            <w:left w:val="none" w:sz="0" w:space="0" w:color="auto"/>
            <w:bottom w:val="none" w:sz="0" w:space="0" w:color="auto"/>
            <w:right w:val="none" w:sz="0" w:space="0" w:color="auto"/>
          </w:divBdr>
        </w:div>
      </w:divsChild>
    </w:div>
    <w:div w:id="677118425">
      <w:bodyDiv w:val="1"/>
      <w:marLeft w:val="0"/>
      <w:marRight w:val="0"/>
      <w:marTop w:val="0"/>
      <w:marBottom w:val="0"/>
      <w:divBdr>
        <w:top w:val="none" w:sz="0" w:space="0" w:color="auto"/>
        <w:left w:val="none" w:sz="0" w:space="0" w:color="auto"/>
        <w:bottom w:val="none" w:sz="0" w:space="0" w:color="auto"/>
        <w:right w:val="none" w:sz="0" w:space="0" w:color="auto"/>
      </w:divBdr>
    </w:div>
    <w:div w:id="1086414995">
      <w:bodyDiv w:val="1"/>
      <w:marLeft w:val="0"/>
      <w:marRight w:val="0"/>
      <w:marTop w:val="0"/>
      <w:marBottom w:val="0"/>
      <w:divBdr>
        <w:top w:val="none" w:sz="0" w:space="0" w:color="auto"/>
        <w:left w:val="none" w:sz="0" w:space="0" w:color="auto"/>
        <w:bottom w:val="none" w:sz="0" w:space="0" w:color="auto"/>
        <w:right w:val="none" w:sz="0" w:space="0" w:color="auto"/>
      </w:divBdr>
      <w:divsChild>
        <w:div w:id="354891086">
          <w:marLeft w:val="0"/>
          <w:marRight w:val="0"/>
          <w:marTop w:val="0"/>
          <w:marBottom w:val="0"/>
          <w:divBdr>
            <w:top w:val="none" w:sz="0" w:space="0" w:color="auto"/>
            <w:left w:val="none" w:sz="0" w:space="0" w:color="auto"/>
            <w:bottom w:val="none" w:sz="0" w:space="0" w:color="auto"/>
            <w:right w:val="none" w:sz="0" w:space="0" w:color="auto"/>
          </w:divBdr>
        </w:div>
      </w:divsChild>
    </w:div>
    <w:div w:id="1286347146">
      <w:bodyDiv w:val="1"/>
      <w:marLeft w:val="0"/>
      <w:marRight w:val="0"/>
      <w:marTop w:val="0"/>
      <w:marBottom w:val="0"/>
      <w:divBdr>
        <w:top w:val="none" w:sz="0" w:space="0" w:color="auto"/>
        <w:left w:val="none" w:sz="0" w:space="0" w:color="auto"/>
        <w:bottom w:val="none" w:sz="0" w:space="0" w:color="auto"/>
        <w:right w:val="none" w:sz="0" w:space="0" w:color="auto"/>
      </w:divBdr>
    </w:div>
    <w:div w:id="1525827740">
      <w:bodyDiv w:val="1"/>
      <w:marLeft w:val="0"/>
      <w:marRight w:val="0"/>
      <w:marTop w:val="0"/>
      <w:marBottom w:val="0"/>
      <w:divBdr>
        <w:top w:val="none" w:sz="0" w:space="0" w:color="auto"/>
        <w:left w:val="none" w:sz="0" w:space="0" w:color="auto"/>
        <w:bottom w:val="none" w:sz="0" w:space="0" w:color="auto"/>
        <w:right w:val="none" w:sz="0" w:space="0" w:color="auto"/>
      </w:divBdr>
    </w:div>
    <w:div w:id="17553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1183</cp:lastModifiedBy>
  <cp:revision>7</cp:revision>
  <dcterms:created xsi:type="dcterms:W3CDTF">2025-06-30T19:39:00Z</dcterms:created>
  <dcterms:modified xsi:type="dcterms:W3CDTF">2025-07-01T08:36:00Z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b9bbf182-49fa-4e1c-bbc2-dbe561d6eda7</vt:lpwstr>
  </property>
</Properties>
</file>