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6C033" w14:textId="77777777" w:rsidR="001F6836" w:rsidRPr="00FC05F8" w:rsidRDefault="005D6994" w:rsidP="0024230F">
      <w:pPr>
        <w:spacing w:after="200" w:line="240" w:lineRule="auto"/>
        <w:jc w:val="center"/>
        <w:rPr>
          <w:rFonts w:ascii="Garamond" w:eastAsia="Garamond" w:hAnsi="Garamond" w:cs="Garamond"/>
          <w:b/>
        </w:rPr>
      </w:pPr>
      <w:r w:rsidRPr="00FC05F8">
        <w:rPr>
          <w:rFonts w:ascii="Garamond" w:eastAsia="Garamond" w:hAnsi="Garamond" w:cs="Garamond"/>
          <w:b/>
        </w:rPr>
        <w:t xml:space="preserve">READING COMPREHENSION AS A PREDICTOR OF </w:t>
      </w:r>
      <w:bookmarkStart w:id="0" w:name="_Hlk200632134"/>
      <w:r w:rsidRPr="00FC05F8">
        <w:rPr>
          <w:rFonts w:ascii="Garamond" w:eastAsia="Garamond" w:hAnsi="Garamond" w:cs="Garamond"/>
          <w:b/>
        </w:rPr>
        <w:t xml:space="preserve">MATHEMATICAL WORD PROBLEM-SOLVING ABILITY </w:t>
      </w:r>
      <w:bookmarkEnd w:id="0"/>
      <w:r w:rsidRPr="00FC05F8">
        <w:rPr>
          <w:rFonts w:ascii="Garamond" w:eastAsia="Garamond" w:hAnsi="Garamond" w:cs="Garamond"/>
          <w:b/>
        </w:rPr>
        <w:t>AMONG GRADE 7 STUDENTS</w:t>
      </w:r>
    </w:p>
    <w:p w14:paraId="1796EDEF" w14:textId="77777777" w:rsidR="00E55F17" w:rsidRPr="00E55F17" w:rsidRDefault="00E55F17" w:rsidP="00E55F17">
      <w:pPr>
        <w:spacing w:after="200" w:line="240" w:lineRule="auto"/>
        <w:rPr>
          <w:rFonts w:ascii="Garamond" w:eastAsia="Garamond" w:hAnsi="Garamond" w:cs="Garamond"/>
          <w:b/>
        </w:rPr>
      </w:pPr>
    </w:p>
    <w:p w14:paraId="02BCD0A4" w14:textId="77777777" w:rsidR="00E55F17" w:rsidRDefault="00E55F17">
      <w:pPr>
        <w:spacing w:after="200" w:line="240" w:lineRule="auto"/>
        <w:rPr>
          <w:rFonts w:ascii="Garamond" w:eastAsia="Garamond" w:hAnsi="Garamond" w:cs="Garamond"/>
          <w:b/>
        </w:rPr>
      </w:pPr>
    </w:p>
    <w:p w14:paraId="39526406" w14:textId="77777777" w:rsidR="00E55F17" w:rsidRDefault="00E55F17">
      <w:pPr>
        <w:spacing w:after="200" w:line="240" w:lineRule="auto"/>
        <w:rPr>
          <w:rFonts w:ascii="Garamond" w:eastAsia="Garamond" w:hAnsi="Garamond" w:cs="Garamond"/>
          <w:b/>
        </w:rPr>
      </w:pPr>
    </w:p>
    <w:p w14:paraId="66F352EB" w14:textId="209CC586" w:rsidR="001F6836" w:rsidRDefault="005D6994">
      <w:pPr>
        <w:spacing w:after="200" w:line="240" w:lineRule="auto"/>
        <w:rPr>
          <w:rFonts w:ascii="Garamond" w:eastAsia="Garamond" w:hAnsi="Garamond" w:cs="Garamond"/>
          <w:b/>
        </w:rPr>
      </w:pPr>
      <w:r w:rsidRPr="00FC05F8">
        <w:rPr>
          <w:rFonts w:ascii="Garamond" w:eastAsia="Garamond" w:hAnsi="Garamond" w:cs="Garamond"/>
          <w:b/>
        </w:rPr>
        <w:t>Abstract</w:t>
      </w:r>
    </w:p>
    <w:p w14:paraId="49E9B28E" w14:textId="44EB9DB3" w:rsidR="005063EE" w:rsidRPr="001E146F" w:rsidRDefault="001E146F" w:rsidP="00E42046">
      <w:pPr>
        <w:spacing w:line="240" w:lineRule="auto"/>
        <w:ind w:firstLine="720"/>
        <w:jc w:val="both"/>
        <w:rPr>
          <w:rFonts w:ascii="Garamond" w:eastAsia="Garamond" w:hAnsi="Garamond" w:cs="Garamond"/>
          <w:lang w:val="en-PH"/>
        </w:rPr>
      </w:pPr>
      <w:r w:rsidRPr="001E146F">
        <w:rPr>
          <w:rFonts w:ascii="Garamond" w:eastAsia="Garamond" w:hAnsi="Garamond" w:cs="Garamond"/>
        </w:rPr>
        <w:t>Reading comprehension is a foundational skill that significantly influences students' ability to solve mathematical word problems. This study investigated the predictive relationship between reading comprehension and mathematical word problem-solving ability among 100 selected Grade 7 students at Matiao National High School in Mati City, Davao Oriental, Philippines, using a predictive-correlational design. Using Pearson’s correlation analysis on data from 100 Grade 7 students, the study assessed performance across three reading comprehension levels—literal, inferential, and critical—and four basic mathematical operations. Results showed strong performance in literal comprehension (83.6%) and addition (86%), but substantial difficulty in critical comprehension (37.2%) and division (26.6%), indicating challenges in higher-order thinking and complex operations. A statistically significant positive relationship was found between reading comprehension and math problem-solving ability. Guided by Cognitive Load Theory, the study underscores how reading skills support cognitive processing in mathematics. Findings suggest that integrating reading strategies into math instruction may improve students’ understanding of word problems. Educational stakeholders are encouraged to implement interdisciplinary approaches that enhance both literacy and numeracy. Future research may focus on intervention programs aimed at improving reading comprehension to support mathematical achievement.</w:t>
      </w:r>
    </w:p>
    <w:p w14:paraId="485B0D9C" w14:textId="553E1648" w:rsidR="001F6836" w:rsidRPr="00FC05F8" w:rsidRDefault="000C61BE" w:rsidP="000C61BE">
      <w:pPr>
        <w:pBdr>
          <w:bottom w:val="single" w:sz="6" w:space="1" w:color="000000"/>
        </w:pBdr>
        <w:spacing w:after="200" w:line="240" w:lineRule="auto"/>
        <w:ind w:firstLine="720"/>
        <w:jc w:val="both"/>
        <w:rPr>
          <w:rFonts w:ascii="Garamond" w:eastAsia="Garamond" w:hAnsi="Garamond" w:cs="Garamond"/>
          <w:i/>
        </w:rPr>
      </w:pPr>
      <w:r w:rsidRPr="00FC05F8">
        <w:rPr>
          <w:rFonts w:ascii="Garamond" w:eastAsia="Garamond" w:hAnsi="Garamond" w:cs="Garamond"/>
          <w:lang w:val="en-PH"/>
        </w:rPr>
        <w:br/>
      </w:r>
      <w:r w:rsidRPr="00FC05F8">
        <w:rPr>
          <w:rFonts w:ascii="Garamond" w:eastAsia="Garamond" w:hAnsi="Garamond" w:cs="Garamond"/>
          <w:i/>
        </w:rPr>
        <w:t>Keywords: reading comprehension; mathematical word problems; secondary education; predictive research; Philippines</w:t>
      </w:r>
    </w:p>
    <w:p w14:paraId="68260830" w14:textId="3BFB5F36"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br/>
        <w:t>Introduction</w:t>
      </w:r>
    </w:p>
    <w:p w14:paraId="16151692" w14:textId="77777777" w:rsidR="001F6836" w:rsidRPr="00FC05F8" w:rsidRDefault="005D6994">
      <w:pPr>
        <w:spacing w:before="240" w:line="240" w:lineRule="auto"/>
        <w:ind w:firstLine="720"/>
        <w:jc w:val="both"/>
        <w:rPr>
          <w:rFonts w:ascii="Garamond" w:eastAsia="Garamond" w:hAnsi="Garamond" w:cs="Garamond"/>
        </w:rPr>
      </w:pPr>
      <w:r w:rsidRPr="00FC05F8">
        <w:rPr>
          <w:rFonts w:ascii="Garamond" w:eastAsia="Garamond" w:hAnsi="Garamond" w:cs="Garamond"/>
        </w:rPr>
        <w:t>Reading comprehension is an important skill that influences learning across different subjects worldwide. Studies show that students who are good at reading are more likely to succeed in other areas, including mathematics (Oakhill, Cain, &amp; Bryant, 2003). In particular, solving mathematical word problems requires students not only to perform calculations but also to understand the situation described in the problem (</w:t>
      </w:r>
      <w:proofErr w:type="spellStart"/>
      <w:r w:rsidRPr="00FC05F8">
        <w:rPr>
          <w:rFonts w:ascii="Garamond" w:eastAsia="Garamond" w:hAnsi="Garamond" w:cs="Garamond"/>
        </w:rPr>
        <w:t>Vilenius-Tuohimaa</w:t>
      </w:r>
      <w:proofErr w:type="spellEnd"/>
      <w:r w:rsidRPr="00FC05F8">
        <w:rPr>
          <w:rFonts w:ascii="Garamond" w:eastAsia="Garamond" w:hAnsi="Garamond" w:cs="Garamond"/>
        </w:rPr>
        <w:t xml:space="preserve">, </w:t>
      </w:r>
      <w:proofErr w:type="spellStart"/>
      <w:r w:rsidRPr="00FC05F8">
        <w:rPr>
          <w:rFonts w:ascii="Garamond" w:eastAsia="Garamond" w:hAnsi="Garamond" w:cs="Garamond"/>
        </w:rPr>
        <w:t>Aunola</w:t>
      </w:r>
      <w:proofErr w:type="spellEnd"/>
      <w:r w:rsidRPr="00FC05F8">
        <w:rPr>
          <w:rFonts w:ascii="Garamond" w:eastAsia="Garamond" w:hAnsi="Garamond" w:cs="Garamond"/>
        </w:rPr>
        <w:t>, &amp; Nurmi, 2008). When students have difficulty understanding what they read, they also tend to struggle in figuring out what the math problem is asking them to do. This connection between reading and math problem-solving has been the focus of many researchers internationally (Fuchs et al., 2015).</w:t>
      </w:r>
    </w:p>
    <w:p w14:paraId="420F9F8D" w14:textId="1166CA06" w:rsidR="001F6836" w:rsidRPr="00FC05F8" w:rsidRDefault="005D6994" w:rsidP="007A1026">
      <w:pPr>
        <w:spacing w:before="240" w:after="240" w:line="240" w:lineRule="auto"/>
        <w:ind w:firstLine="720"/>
        <w:jc w:val="both"/>
        <w:rPr>
          <w:rFonts w:ascii="Garamond" w:eastAsia="Garamond" w:hAnsi="Garamond" w:cs="Garamond"/>
        </w:rPr>
      </w:pPr>
      <w:r w:rsidRPr="00FC05F8">
        <w:rPr>
          <w:rFonts w:ascii="Garamond" w:eastAsia="Garamond" w:hAnsi="Garamond" w:cs="Garamond"/>
        </w:rPr>
        <w:t>In the Philippines, reading comprehension continues to be a major challenge among students. The results of international assessments like PISA (</w:t>
      </w:r>
      <w:proofErr w:type="spellStart"/>
      <w:r w:rsidRPr="00FC05F8">
        <w:rPr>
          <w:rFonts w:ascii="Garamond" w:eastAsia="Garamond" w:hAnsi="Garamond" w:cs="Garamond"/>
        </w:rPr>
        <w:t>Programme</w:t>
      </w:r>
      <w:proofErr w:type="spellEnd"/>
      <w:r w:rsidRPr="00FC05F8">
        <w:rPr>
          <w:rFonts w:ascii="Garamond" w:eastAsia="Garamond" w:hAnsi="Garamond" w:cs="Garamond"/>
        </w:rPr>
        <w:t xml:space="preserve"> for International Student Assessment) have shown that Filipino students perform below average in reading literacy compared to other countries (</w:t>
      </w:r>
      <w:proofErr w:type="spellStart"/>
      <w:r w:rsidRPr="00FC05F8">
        <w:rPr>
          <w:rFonts w:ascii="Garamond" w:eastAsia="Garamond" w:hAnsi="Garamond" w:cs="Garamond"/>
        </w:rPr>
        <w:t>Organisation</w:t>
      </w:r>
      <w:proofErr w:type="spellEnd"/>
      <w:r w:rsidRPr="00FC05F8">
        <w:rPr>
          <w:rFonts w:ascii="Garamond" w:eastAsia="Garamond" w:hAnsi="Garamond" w:cs="Garamond"/>
        </w:rPr>
        <w:t xml:space="preserve"> for Economic Co-operation and Development [OECD], 2019). </w:t>
      </w:r>
      <w:r w:rsidR="00C13566">
        <w:rPr>
          <w:rFonts w:ascii="Garamond" w:eastAsia="Garamond" w:hAnsi="Garamond" w:cs="Garamond"/>
        </w:rPr>
        <w:t>Other studies reveals that</w:t>
      </w:r>
      <w:r w:rsidR="00C13566" w:rsidRPr="00C13566">
        <w:rPr>
          <w:rFonts w:ascii="Garamond" w:eastAsia="Garamond" w:hAnsi="Garamond" w:cs="Garamond"/>
        </w:rPr>
        <w:t xml:space="preserve"> </w:t>
      </w:r>
      <w:r w:rsidR="00C13566">
        <w:rPr>
          <w:rFonts w:ascii="Garamond" w:eastAsia="Garamond" w:hAnsi="Garamond" w:cs="Garamond"/>
        </w:rPr>
        <w:t>there is a</w:t>
      </w:r>
      <w:r w:rsidR="00C13566" w:rsidRPr="00C13566">
        <w:rPr>
          <w:rFonts w:ascii="Garamond" w:eastAsia="Garamond" w:hAnsi="Garamond" w:cs="Garamond"/>
        </w:rPr>
        <w:t xml:space="preserve"> significant and moderate correlation between reading comprehension and problem-solving skills, indicating that as reading comprehension improves, so does problem-solving ability. There was also a strong correlation between reading comprehension skills, problem-solving skills towards the academic achievement, suggesting that better reading comprehension and problem</w:t>
      </w:r>
      <w:r w:rsidR="00C13566">
        <w:rPr>
          <w:rFonts w:ascii="Garamond" w:eastAsia="Garamond" w:hAnsi="Garamond" w:cs="Garamond"/>
        </w:rPr>
        <w:t>-</w:t>
      </w:r>
      <w:r w:rsidR="00C13566" w:rsidRPr="00C13566">
        <w:rPr>
          <w:rFonts w:ascii="Garamond" w:eastAsia="Garamond" w:hAnsi="Garamond" w:cs="Garamond"/>
        </w:rPr>
        <w:t>solving is linked to higher academic achievement.</w:t>
      </w:r>
      <w:r w:rsidR="00C13566">
        <w:rPr>
          <w:rFonts w:ascii="Garamond" w:eastAsia="Garamond" w:hAnsi="Garamond" w:cs="Garamond"/>
        </w:rPr>
        <w:t xml:space="preserve"> </w:t>
      </w:r>
      <w:r w:rsidRPr="00FC05F8">
        <w:rPr>
          <w:rFonts w:ascii="Garamond" w:eastAsia="Garamond" w:hAnsi="Garamond" w:cs="Garamond"/>
        </w:rPr>
        <w:t>(</w:t>
      </w:r>
      <w:proofErr w:type="spellStart"/>
      <w:r w:rsidR="00C13566">
        <w:rPr>
          <w:rFonts w:ascii="Garamond" w:eastAsia="Garamond" w:hAnsi="Garamond" w:cs="Garamond"/>
        </w:rPr>
        <w:t>Augis</w:t>
      </w:r>
      <w:proofErr w:type="spellEnd"/>
      <w:r w:rsidR="00C13566">
        <w:rPr>
          <w:rFonts w:ascii="Garamond" w:eastAsia="Garamond" w:hAnsi="Garamond" w:cs="Garamond"/>
        </w:rPr>
        <w:t xml:space="preserve"> et al., 2024</w:t>
      </w:r>
      <w:r w:rsidRPr="00FC05F8">
        <w:rPr>
          <w:rFonts w:ascii="Garamond" w:eastAsia="Garamond" w:hAnsi="Garamond" w:cs="Garamond"/>
        </w:rPr>
        <w:t xml:space="preserve">). </w:t>
      </w:r>
      <w:r w:rsidR="004A4B38" w:rsidRPr="004A4B38">
        <w:rPr>
          <w:rFonts w:ascii="Garamond" w:eastAsia="Garamond" w:hAnsi="Garamond" w:cs="Garamond"/>
        </w:rPr>
        <w:t>These issues highlight the need for more studies focusing on how reading comprehension affects students' performance in solving mathematical problems, especially in developing-country contexts where students face compounded academic challenges (Wangmo, 2021).</w:t>
      </w:r>
      <w:r w:rsidR="004A4B38">
        <w:rPr>
          <w:rFonts w:ascii="Garamond" w:eastAsia="Garamond" w:hAnsi="Garamond" w:cs="Garamond"/>
        </w:rPr>
        <w:t xml:space="preserve"> </w:t>
      </w:r>
      <w:r w:rsidRPr="00FC05F8">
        <w:rPr>
          <w:rFonts w:ascii="Garamond" w:eastAsia="Garamond" w:hAnsi="Garamond" w:cs="Garamond"/>
        </w:rPr>
        <w:t xml:space="preserve">In Davao City, </w:t>
      </w:r>
      <w:r w:rsidR="007A1026" w:rsidRPr="007A1026">
        <w:rPr>
          <w:rFonts w:ascii="Garamond" w:eastAsia="Garamond" w:hAnsi="Garamond" w:cs="Garamond"/>
        </w:rPr>
        <w:t>Students</w:t>
      </w:r>
      <w:r w:rsidR="007A1026">
        <w:rPr>
          <w:rFonts w:ascii="Times New Roman" w:eastAsia="Garamond" w:hAnsi="Times New Roman" w:cs="Times New Roman"/>
        </w:rPr>
        <w:t>’</w:t>
      </w:r>
      <w:r w:rsidR="007A1026" w:rsidRPr="007A1026">
        <w:rPr>
          <w:rFonts w:ascii="Garamond" w:eastAsia="Garamond" w:hAnsi="Garamond" w:cs="Garamond"/>
        </w:rPr>
        <w:t xml:space="preserve"> reading comprehension skill was a factor </w:t>
      </w:r>
      <w:r w:rsidR="007A1026">
        <w:rPr>
          <w:rFonts w:ascii="Garamond" w:eastAsia="Garamond" w:hAnsi="Garamond" w:cs="Garamond"/>
        </w:rPr>
        <w:t>in</w:t>
      </w:r>
      <w:r w:rsidR="007A1026" w:rsidRPr="007A1026">
        <w:rPr>
          <w:rFonts w:ascii="Garamond" w:eastAsia="Garamond" w:hAnsi="Garamond" w:cs="Garamond"/>
        </w:rPr>
        <w:t xml:space="preserve"> </w:t>
      </w:r>
      <w:r w:rsidR="007A1026">
        <w:rPr>
          <w:rFonts w:ascii="Garamond" w:eastAsia="Garamond" w:hAnsi="Garamond" w:cs="Garamond"/>
        </w:rPr>
        <w:t>problem-solving</w:t>
      </w:r>
      <w:r w:rsidR="007A1026" w:rsidRPr="007A1026">
        <w:rPr>
          <w:rFonts w:ascii="Garamond" w:eastAsia="Garamond" w:hAnsi="Garamond" w:cs="Garamond"/>
        </w:rPr>
        <w:t xml:space="preserve"> skill</w:t>
      </w:r>
      <w:r w:rsidR="007A1026">
        <w:rPr>
          <w:rFonts w:ascii="Garamond" w:eastAsia="Garamond" w:hAnsi="Garamond" w:cs="Garamond"/>
        </w:rPr>
        <w:t>s</w:t>
      </w:r>
      <w:r w:rsidR="007A1026" w:rsidRPr="007A1026">
        <w:rPr>
          <w:rFonts w:ascii="Garamond" w:eastAsia="Garamond" w:hAnsi="Garamond" w:cs="Garamond"/>
        </w:rPr>
        <w:t xml:space="preserve"> and it may affect the result of</w:t>
      </w:r>
      <w:r w:rsidR="007A1026">
        <w:rPr>
          <w:rFonts w:ascii="Garamond" w:eastAsia="Garamond" w:hAnsi="Garamond" w:cs="Garamond"/>
        </w:rPr>
        <w:t xml:space="preserve"> </w:t>
      </w:r>
      <w:r w:rsidR="007A1026" w:rsidRPr="007A1026">
        <w:rPr>
          <w:rFonts w:ascii="Garamond" w:eastAsia="Garamond" w:hAnsi="Garamond" w:cs="Garamond"/>
        </w:rPr>
        <w:t>problem</w:t>
      </w:r>
      <w:r w:rsidR="007A1026">
        <w:rPr>
          <w:rFonts w:ascii="Garamond" w:eastAsia="Garamond" w:hAnsi="Garamond" w:cs="Garamond"/>
        </w:rPr>
        <w:t>-</w:t>
      </w:r>
      <w:r w:rsidR="007A1026" w:rsidRPr="007A1026">
        <w:rPr>
          <w:rFonts w:ascii="Garamond" w:eastAsia="Garamond" w:hAnsi="Garamond" w:cs="Garamond"/>
        </w:rPr>
        <w:t>solving skills. A student with good background on reading comprehension can easily solve</w:t>
      </w:r>
      <w:r w:rsidR="007A1026">
        <w:rPr>
          <w:rFonts w:ascii="Garamond" w:eastAsia="Garamond" w:hAnsi="Garamond" w:cs="Garamond"/>
        </w:rPr>
        <w:t xml:space="preserve"> </w:t>
      </w:r>
      <w:r w:rsidR="007A1026" w:rsidRPr="007A1026">
        <w:rPr>
          <w:rFonts w:ascii="Garamond" w:eastAsia="Garamond" w:hAnsi="Garamond" w:cs="Garamond"/>
        </w:rPr>
        <w:t xml:space="preserve">problems. </w:t>
      </w:r>
      <w:r w:rsidRPr="00FC05F8">
        <w:rPr>
          <w:rFonts w:ascii="Garamond" w:eastAsia="Garamond" w:hAnsi="Garamond" w:cs="Garamond"/>
        </w:rPr>
        <w:t>(</w:t>
      </w:r>
      <w:proofErr w:type="spellStart"/>
      <w:r w:rsidR="007A1026" w:rsidRPr="007A1026">
        <w:rPr>
          <w:rFonts w:ascii="Garamond" w:eastAsia="Garamond" w:hAnsi="Garamond" w:cs="Garamond"/>
        </w:rPr>
        <w:t>Timario</w:t>
      </w:r>
      <w:proofErr w:type="spellEnd"/>
      <w:r w:rsidR="007A1026" w:rsidRPr="007A1026">
        <w:rPr>
          <w:rFonts w:ascii="Garamond" w:eastAsia="Garamond" w:hAnsi="Garamond" w:cs="Garamond"/>
        </w:rPr>
        <w:t>, R. R. (2020)</w:t>
      </w:r>
      <w:r w:rsidRPr="00FC05F8">
        <w:rPr>
          <w:rFonts w:ascii="Garamond" w:eastAsia="Garamond" w:hAnsi="Garamond" w:cs="Garamond"/>
        </w:rPr>
        <w:t>. This difficulty in reading and understanding math problems affects not only their academic grades but also their confidence in mathematics.</w:t>
      </w:r>
    </w:p>
    <w:p w14:paraId="6C68CD1F" w14:textId="68AE6B1B" w:rsidR="001F6836" w:rsidRPr="00FC05F8" w:rsidRDefault="005D6994">
      <w:pPr>
        <w:spacing w:before="240" w:after="240" w:line="240" w:lineRule="auto"/>
        <w:ind w:firstLine="720"/>
        <w:jc w:val="both"/>
        <w:rPr>
          <w:rFonts w:ascii="Garamond" w:eastAsia="Garamond" w:hAnsi="Garamond" w:cs="Garamond"/>
        </w:rPr>
      </w:pPr>
      <w:r w:rsidRPr="00FC05F8">
        <w:rPr>
          <w:rFonts w:ascii="Garamond" w:eastAsia="Garamond" w:hAnsi="Garamond" w:cs="Garamond"/>
        </w:rPr>
        <w:lastRenderedPageBreak/>
        <w:t xml:space="preserve">Given the strong connection between reading and problem-solving skills, it is important to investigate how reading comprehension </w:t>
      </w:r>
      <w:r w:rsidR="008F3ECE">
        <w:rPr>
          <w:rFonts w:ascii="Garamond" w:eastAsia="Garamond" w:hAnsi="Garamond" w:cs="Garamond"/>
        </w:rPr>
        <w:t>predicts</w:t>
      </w:r>
      <w:r w:rsidRPr="00FC05F8">
        <w:rPr>
          <w:rFonts w:ascii="Garamond" w:eastAsia="Garamond" w:hAnsi="Garamond" w:cs="Garamond"/>
        </w:rPr>
        <w:t xml:space="preserve"> students' ability to solve mathematical word problems. This study aims to explore this relationship among high school students in Davao City. The findings may help teachers and school administrators design strategies that strengthen both reading and math instruction, leading to better learning outcomes for students.</w:t>
      </w:r>
    </w:p>
    <w:p w14:paraId="0B92037E" w14:textId="77777777"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t>Statement of the Problem</w:t>
      </w:r>
    </w:p>
    <w:p w14:paraId="7B9CBB88" w14:textId="2D4E59E7" w:rsidR="001F6836" w:rsidRPr="00FC05F8" w:rsidRDefault="005D6994">
      <w:pPr>
        <w:spacing w:before="240" w:after="240" w:line="240" w:lineRule="auto"/>
        <w:jc w:val="both"/>
        <w:rPr>
          <w:rFonts w:ascii="Garamond" w:eastAsia="Garamond" w:hAnsi="Garamond" w:cs="Garamond"/>
        </w:rPr>
      </w:pPr>
      <w:r w:rsidRPr="00FC05F8">
        <w:rPr>
          <w:rFonts w:ascii="Garamond" w:eastAsia="Garamond" w:hAnsi="Garamond" w:cs="Garamond"/>
        </w:rPr>
        <w:t>This study aim</w:t>
      </w:r>
      <w:r w:rsidR="008F3ECE">
        <w:rPr>
          <w:rFonts w:ascii="Garamond" w:eastAsia="Garamond" w:hAnsi="Garamond" w:cs="Garamond"/>
        </w:rPr>
        <w:t>ed</w:t>
      </w:r>
      <w:r w:rsidRPr="00FC05F8">
        <w:rPr>
          <w:rFonts w:ascii="Garamond" w:eastAsia="Garamond" w:hAnsi="Garamond" w:cs="Garamond"/>
        </w:rPr>
        <w:t xml:space="preserve"> to determine the relationship between reading comprehension and mathematical word problem-solving ability among Grade 7 students at Matiao National High School. </w:t>
      </w:r>
    </w:p>
    <w:p w14:paraId="73C97362" w14:textId="69EB4EE5" w:rsidR="00827A4B" w:rsidRPr="008F3ECE" w:rsidRDefault="005D6994" w:rsidP="008F3ECE">
      <w:pPr>
        <w:numPr>
          <w:ilvl w:val="0"/>
          <w:numId w:val="2"/>
        </w:numPr>
        <w:spacing w:line="240" w:lineRule="auto"/>
        <w:rPr>
          <w:rFonts w:ascii="Garamond" w:eastAsia="Garamond" w:hAnsi="Garamond" w:cs="Garamond"/>
          <w:b/>
          <w:bCs/>
          <w:color w:val="EE0000"/>
        </w:rPr>
      </w:pPr>
      <w:r w:rsidRPr="00FC05F8">
        <w:rPr>
          <w:rFonts w:ascii="Garamond" w:eastAsia="Garamond" w:hAnsi="Garamond" w:cs="Garamond"/>
        </w:rPr>
        <w:t xml:space="preserve">What </w:t>
      </w:r>
      <w:r w:rsidR="008F3ECE">
        <w:rPr>
          <w:rFonts w:ascii="Garamond" w:eastAsia="Garamond" w:hAnsi="Garamond" w:cs="Garamond"/>
        </w:rPr>
        <w:t>are</w:t>
      </w:r>
      <w:r w:rsidRPr="00FC05F8">
        <w:rPr>
          <w:rFonts w:ascii="Garamond" w:eastAsia="Garamond" w:hAnsi="Garamond" w:cs="Garamond"/>
        </w:rPr>
        <w:t xml:space="preserve"> the </w:t>
      </w:r>
      <w:r w:rsidR="008F3ECE">
        <w:rPr>
          <w:rFonts w:ascii="Garamond" w:eastAsia="Garamond" w:hAnsi="Garamond" w:cs="Garamond"/>
        </w:rPr>
        <w:t>levels</w:t>
      </w:r>
      <w:r w:rsidRPr="00FC05F8">
        <w:rPr>
          <w:rFonts w:ascii="Garamond" w:eastAsia="Garamond" w:hAnsi="Garamond" w:cs="Garamond"/>
        </w:rPr>
        <w:t xml:space="preserve"> of problem-solving skills and reading comprehension of Grade 7 students in terms of the following components</w:t>
      </w:r>
      <w:r w:rsidR="008F3ECE">
        <w:rPr>
          <w:rFonts w:ascii="Garamond" w:eastAsia="Garamond" w:hAnsi="Garamond" w:cs="Garamond"/>
        </w:rPr>
        <w:t xml:space="preserve">: </w:t>
      </w:r>
      <w:r w:rsidR="00A135FB" w:rsidRPr="008F3ECE">
        <w:rPr>
          <w:rFonts w:ascii="Garamond" w:eastAsia="Garamond" w:hAnsi="Garamond" w:cs="Garamond"/>
        </w:rPr>
        <w:t>Literal, Inferential, Critical</w:t>
      </w:r>
      <w:r w:rsidR="008F3ECE">
        <w:rPr>
          <w:rFonts w:ascii="Garamond" w:eastAsia="Garamond" w:hAnsi="Garamond" w:cs="Garamond"/>
        </w:rPr>
        <w:t xml:space="preserve"> and mathematical word-problem in terms of:</w:t>
      </w:r>
      <w:r w:rsidR="008F3ECE">
        <w:rPr>
          <w:rFonts w:ascii="Garamond" w:eastAsia="Garamond" w:hAnsi="Garamond" w:cs="Garamond"/>
          <w:b/>
          <w:bCs/>
          <w:color w:val="EE0000"/>
        </w:rPr>
        <w:t xml:space="preserve"> </w:t>
      </w:r>
      <w:r w:rsidR="00827A4B" w:rsidRPr="008F3ECE">
        <w:rPr>
          <w:rFonts w:ascii="Garamond" w:eastAsia="Garamond" w:hAnsi="Garamond" w:cs="Garamond"/>
        </w:rPr>
        <w:t>Addition, Subtraction, Multiplication, Division</w:t>
      </w:r>
      <w:r w:rsidR="008F3ECE">
        <w:rPr>
          <w:rFonts w:ascii="Garamond" w:eastAsia="Garamond" w:hAnsi="Garamond" w:cs="Garamond"/>
        </w:rPr>
        <w:t>?</w:t>
      </w:r>
    </w:p>
    <w:p w14:paraId="36CAE61F" w14:textId="77777777" w:rsidR="00F111A9" w:rsidRPr="0024230F" w:rsidRDefault="00F111A9" w:rsidP="00F111A9">
      <w:pPr>
        <w:pStyle w:val="ListParagraph"/>
        <w:spacing w:line="240" w:lineRule="auto"/>
        <w:ind w:left="1800"/>
        <w:rPr>
          <w:rFonts w:ascii="Garamond" w:eastAsia="Garamond" w:hAnsi="Garamond" w:cs="Garamond"/>
        </w:rPr>
      </w:pPr>
    </w:p>
    <w:p w14:paraId="0FEABAC2" w14:textId="77777777" w:rsidR="001F6836" w:rsidRPr="00FC05F8" w:rsidRDefault="005D6994">
      <w:pPr>
        <w:numPr>
          <w:ilvl w:val="0"/>
          <w:numId w:val="2"/>
        </w:numPr>
        <w:spacing w:after="240" w:line="240" w:lineRule="auto"/>
        <w:rPr>
          <w:rFonts w:ascii="Garamond" w:eastAsia="Garamond" w:hAnsi="Garamond" w:cs="Garamond"/>
        </w:rPr>
      </w:pPr>
      <w:r w:rsidRPr="00FC05F8">
        <w:rPr>
          <w:rFonts w:ascii="Garamond" w:eastAsia="Garamond" w:hAnsi="Garamond" w:cs="Garamond"/>
        </w:rPr>
        <w:t>Is there a significant relationship between reading comprehension and mathematical word problem-solving ability?</w:t>
      </w:r>
    </w:p>
    <w:p w14:paraId="3B0B69F0" w14:textId="77777777"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t>Hypothesis</w:t>
      </w:r>
    </w:p>
    <w:p w14:paraId="3FEBDE46" w14:textId="77777777" w:rsidR="001F6836" w:rsidRPr="00FC05F8" w:rsidRDefault="005D6994">
      <w:pPr>
        <w:spacing w:after="200" w:line="240" w:lineRule="auto"/>
        <w:jc w:val="both"/>
        <w:rPr>
          <w:rFonts w:ascii="Garamond" w:eastAsia="Garamond" w:hAnsi="Garamond" w:cs="Garamond"/>
        </w:rPr>
      </w:pPr>
      <w:r w:rsidRPr="00FC05F8">
        <w:rPr>
          <w:rFonts w:ascii="Garamond" w:eastAsia="Garamond" w:hAnsi="Garamond" w:cs="Garamond"/>
        </w:rPr>
        <w:t>H</w:t>
      </w:r>
      <w:r w:rsidRPr="00FC05F8">
        <w:rPr>
          <w:rFonts w:ascii="Cambria Math" w:eastAsia="Cambria Math" w:hAnsi="Cambria Math" w:cs="Cambria Math"/>
        </w:rPr>
        <w:t>₀</w:t>
      </w:r>
      <w:r w:rsidRPr="00FC05F8">
        <w:rPr>
          <w:rFonts w:ascii="Garamond" w:eastAsia="Garamond" w:hAnsi="Garamond" w:cs="Garamond"/>
        </w:rPr>
        <w:t>: There is no significant relationship between reading comprehension and mathematical word problem-solving ability among Grade 7 students.</w:t>
      </w:r>
    </w:p>
    <w:p w14:paraId="56BB0536" w14:textId="77777777"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t>Theoretical/Conceptual Framework</w:t>
      </w:r>
    </w:p>
    <w:p w14:paraId="1FB1C098" w14:textId="77777777" w:rsidR="00B96E0F" w:rsidRDefault="005D6994" w:rsidP="009F5240">
      <w:pPr>
        <w:spacing w:before="240" w:after="240" w:line="240" w:lineRule="auto"/>
        <w:ind w:firstLine="720"/>
        <w:jc w:val="both"/>
        <w:rPr>
          <w:rFonts w:ascii="Garamond" w:eastAsia="Garamond" w:hAnsi="Garamond" w:cs="Garamond"/>
        </w:rPr>
      </w:pPr>
      <w:r w:rsidRPr="00FC05F8">
        <w:rPr>
          <w:rFonts w:ascii="Garamond" w:eastAsia="Garamond" w:hAnsi="Garamond" w:cs="Garamond"/>
        </w:rPr>
        <w:t xml:space="preserve">This study is anchored on Cognitive Load Theory, which explains the relationship between reading comprehension and mathematical word problem-solving. </w:t>
      </w:r>
      <w:r w:rsidR="002628B0" w:rsidRPr="00FC05F8">
        <w:rPr>
          <w:rFonts w:ascii="Garamond" w:eastAsia="Garamond" w:hAnsi="Garamond" w:cs="Garamond"/>
        </w:rPr>
        <w:t xml:space="preserve">The concept of cognitive load was first presented by </w:t>
      </w:r>
      <w:proofErr w:type="spellStart"/>
      <w:r w:rsidR="002628B0" w:rsidRPr="00FC05F8">
        <w:rPr>
          <w:rFonts w:ascii="Garamond" w:eastAsia="Garamond" w:hAnsi="Garamond" w:cs="Garamond"/>
        </w:rPr>
        <w:t>Sweller</w:t>
      </w:r>
      <w:proofErr w:type="spellEnd"/>
      <w:r w:rsidR="002628B0" w:rsidRPr="00FC05F8">
        <w:rPr>
          <w:rFonts w:ascii="Garamond" w:eastAsia="Garamond" w:hAnsi="Garamond" w:cs="Garamond"/>
        </w:rPr>
        <w:t xml:space="preserve"> (1988) </w:t>
      </w:r>
      <w:r w:rsidR="00B96E0F">
        <w:rPr>
          <w:rFonts w:ascii="Garamond" w:eastAsia="Garamond" w:hAnsi="Garamond" w:cs="Garamond"/>
        </w:rPr>
        <w:t>about</w:t>
      </w:r>
      <w:r w:rsidR="002628B0" w:rsidRPr="00FC05F8">
        <w:rPr>
          <w:rFonts w:ascii="Garamond" w:eastAsia="Garamond" w:hAnsi="Garamond" w:cs="Garamond"/>
        </w:rPr>
        <w:t xml:space="preserve"> the effectiveness of conventional problem-solving methods for acquiring domain-specific knowledge and skills. </w:t>
      </w:r>
      <w:r w:rsidR="00B96E0F">
        <w:rPr>
          <w:rFonts w:ascii="Garamond" w:eastAsia="Garamond" w:hAnsi="Garamond" w:cs="Garamond"/>
        </w:rPr>
        <w:t>I</w:t>
      </w:r>
      <w:r w:rsidR="002628B0" w:rsidRPr="00FC05F8">
        <w:rPr>
          <w:rFonts w:ascii="Garamond" w:eastAsia="Garamond" w:hAnsi="Garamond" w:cs="Garamond"/>
        </w:rPr>
        <w:t xml:space="preserve">ndicated that working memory has a limited capacity and stressed the importance of minimizing extraneous cognitive load to maximize learning. Specifically, </w:t>
      </w:r>
      <w:r w:rsidR="00B96E0F">
        <w:rPr>
          <w:rFonts w:ascii="Garamond" w:eastAsia="Garamond" w:hAnsi="Garamond" w:cs="Garamond"/>
        </w:rPr>
        <w:t xml:space="preserve">he </w:t>
      </w:r>
      <w:r w:rsidR="002628B0" w:rsidRPr="00FC05F8">
        <w:rPr>
          <w:rFonts w:ascii="Garamond" w:eastAsia="Garamond" w:hAnsi="Garamond" w:cs="Garamond"/>
        </w:rPr>
        <w:t>noted</w:t>
      </w:r>
      <w:r w:rsidR="00B96E0F">
        <w:rPr>
          <w:rFonts w:ascii="Garamond" w:eastAsia="Garamond" w:hAnsi="Garamond" w:cs="Garamond"/>
        </w:rPr>
        <w:t>,</w:t>
      </w:r>
      <w:r w:rsidR="002628B0" w:rsidRPr="00FC05F8">
        <w:rPr>
          <w:rFonts w:ascii="Garamond" w:eastAsia="Garamond" w:hAnsi="Garamond" w:cs="Garamond"/>
        </w:rPr>
        <w:t xml:space="preserve"> “human short-term memory is severely limited</w:t>
      </w:r>
      <w:r w:rsidR="00B96E0F">
        <w:rPr>
          <w:rFonts w:ascii="Garamond" w:eastAsia="Garamond" w:hAnsi="Garamond" w:cs="Garamond"/>
        </w:rPr>
        <w:t>,</w:t>
      </w:r>
      <w:r w:rsidR="002628B0" w:rsidRPr="00FC05F8">
        <w:rPr>
          <w:rFonts w:ascii="Garamond" w:eastAsia="Garamond" w:hAnsi="Garamond" w:cs="Garamond"/>
        </w:rPr>
        <w:t xml:space="preserve"> and any problem that requires a large number of items to be stored in short-term memory may contribute to an excessive cognitive load.  </w:t>
      </w:r>
    </w:p>
    <w:p w14:paraId="74443175" w14:textId="0028E159" w:rsidR="001F6836" w:rsidRPr="00FC05F8" w:rsidRDefault="005D6994" w:rsidP="009F5240">
      <w:pPr>
        <w:spacing w:before="240" w:after="240" w:line="240" w:lineRule="auto"/>
        <w:ind w:firstLine="720"/>
        <w:jc w:val="both"/>
        <w:rPr>
          <w:rFonts w:ascii="Garamond" w:eastAsia="Garamond" w:hAnsi="Garamond" w:cs="Garamond"/>
          <w:b/>
          <w:bCs/>
        </w:rPr>
      </w:pPr>
      <w:r w:rsidRPr="00FC05F8">
        <w:rPr>
          <w:rFonts w:ascii="Garamond" w:eastAsia="Garamond" w:hAnsi="Garamond" w:cs="Garamond"/>
        </w:rPr>
        <w:t>This study adopts a conceptual framework in which reading comprehension</w:t>
      </w:r>
      <w:r w:rsidR="00B96E0F">
        <w:rPr>
          <w:rFonts w:ascii="Garamond" w:eastAsia="Garamond" w:hAnsi="Garamond" w:cs="Garamond"/>
        </w:rPr>
        <w:t xml:space="preserve">, </w:t>
      </w:r>
      <w:r w:rsidRPr="00FC05F8">
        <w:rPr>
          <w:rFonts w:ascii="Garamond" w:eastAsia="Garamond" w:hAnsi="Garamond" w:cs="Garamond"/>
        </w:rPr>
        <w:t>divided into literal, inferential, and critical comprehension</w:t>
      </w:r>
      <w:r w:rsidR="00B96E0F">
        <w:rPr>
          <w:rFonts w:ascii="Garamond" w:eastAsia="Garamond" w:hAnsi="Garamond" w:cs="Garamond"/>
        </w:rPr>
        <w:t xml:space="preserve">, </w:t>
      </w:r>
      <w:r w:rsidRPr="00FC05F8">
        <w:rPr>
          <w:rFonts w:ascii="Garamond" w:eastAsia="Garamond" w:hAnsi="Garamond" w:cs="Garamond"/>
        </w:rPr>
        <w:t xml:space="preserve">is the </w:t>
      </w:r>
      <w:r w:rsidR="008A28FA" w:rsidRPr="00FC05F8">
        <w:rPr>
          <w:rFonts w:ascii="Garamond" w:eastAsia="Garamond" w:hAnsi="Garamond" w:cs="Garamond"/>
        </w:rPr>
        <w:t>in</w:t>
      </w:r>
      <w:r w:rsidRPr="00FC05F8">
        <w:rPr>
          <w:rFonts w:ascii="Garamond" w:eastAsia="Garamond" w:hAnsi="Garamond" w:cs="Garamond"/>
        </w:rPr>
        <w:t>dependent variable, while mathematical word problem-solving ability</w:t>
      </w:r>
      <w:r w:rsidR="00B96E0F">
        <w:rPr>
          <w:rFonts w:ascii="Garamond" w:eastAsia="Garamond" w:hAnsi="Garamond" w:cs="Garamond"/>
        </w:rPr>
        <w:t xml:space="preserve">, </w:t>
      </w:r>
      <w:r w:rsidRPr="00FC05F8">
        <w:rPr>
          <w:rFonts w:ascii="Garamond" w:eastAsia="Garamond" w:hAnsi="Garamond" w:cs="Garamond"/>
        </w:rPr>
        <w:t>including operations such as addition, subtraction, multiplication, and division</w:t>
      </w:r>
      <w:r w:rsidR="00B96E0F">
        <w:rPr>
          <w:rFonts w:ascii="Garamond" w:eastAsia="Garamond" w:hAnsi="Garamond" w:cs="Garamond"/>
        </w:rPr>
        <w:t xml:space="preserve">, </w:t>
      </w:r>
      <w:r w:rsidRPr="00FC05F8">
        <w:rPr>
          <w:rFonts w:ascii="Garamond" w:eastAsia="Garamond" w:hAnsi="Garamond" w:cs="Garamond"/>
        </w:rPr>
        <w:t>is the dependent variable. The framework proposes that the various levels of reading comprehension influence how well students understand and solve word problems, thereby affecting their performance in mathematics.</w:t>
      </w:r>
      <w:r w:rsidR="00E35EDB" w:rsidRPr="00FC05F8">
        <w:rPr>
          <w:rFonts w:ascii="Garamond" w:eastAsia="Garamond" w:hAnsi="Garamond" w:cs="Garamond"/>
        </w:rPr>
        <w:t xml:space="preserve"> </w:t>
      </w:r>
    </w:p>
    <w:p w14:paraId="772A4B70" w14:textId="77777777" w:rsidR="001F6836" w:rsidRPr="00FC05F8" w:rsidRDefault="005D6994">
      <w:pPr>
        <w:spacing w:before="240" w:after="240" w:line="240" w:lineRule="auto"/>
        <w:jc w:val="center"/>
        <w:rPr>
          <w:rFonts w:ascii="Garamond" w:eastAsia="Garamond" w:hAnsi="Garamond" w:cs="Garamond"/>
        </w:rPr>
      </w:pPr>
      <w:r w:rsidRPr="00FC05F8">
        <w:rPr>
          <w:rFonts w:ascii="Garamond" w:eastAsia="Garamond" w:hAnsi="Garamond" w:cs="Garamond"/>
          <w:noProof/>
        </w:rPr>
        <mc:AlternateContent>
          <mc:Choice Requires="wpg">
            <w:drawing>
              <wp:inline distT="114300" distB="114300" distL="114300" distR="114300" wp14:anchorId="09CC31D4" wp14:editId="1C687C5A">
                <wp:extent cx="5763367" cy="1211259"/>
                <wp:effectExtent l="0" t="0" r="27940" b="0"/>
                <wp:docPr id="2" name="Group 2"/>
                <wp:cNvGraphicFramePr/>
                <a:graphic xmlns:a="http://schemas.openxmlformats.org/drawingml/2006/main">
                  <a:graphicData uri="http://schemas.microsoft.com/office/word/2010/wordprocessingGroup">
                    <wpg:wgp>
                      <wpg:cNvGrpSpPr/>
                      <wpg:grpSpPr>
                        <a:xfrm>
                          <a:off x="0" y="0"/>
                          <a:ext cx="5763367" cy="1211259"/>
                          <a:chOff x="2913270" y="2945137"/>
                          <a:chExt cx="5071806" cy="1480549"/>
                        </a:xfrm>
                      </wpg:grpSpPr>
                      <wpg:grpSp>
                        <wpg:cNvPr id="676806973" name="Group 676806973"/>
                        <wpg:cNvGrpSpPr/>
                        <wpg:grpSpPr>
                          <a:xfrm>
                            <a:off x="2913270" y="2945137"/>
                            <a:ext cx="5071806" cy="1480549"/>
                            <a:chOff x="260527" y="399009"/>
                            <a:chExt cx="6083276" cy="1573266"/>
                          </a:xfrm>
                        </wpg:grpSpPr>
                        <wps:wsp>
                          <wps:cNvPr id="1012227288" name="Rectangle 1012227288"/>
                          <wps:cNvSpPr/>
                          <wps:spPr>
                            <a:xfrm>
                              <a:off x="508676" y="600025"/>
                              <a:ext cx="5339475" cy="1372250"/>
                            </a:xfrm>
                            <a:prstGeom prst="rect">
                              <a:avLst/>
                            </a:prstGeom>
                            <a:noFill/>
                            <a:ln>
                              <a:noFill/>
                            </a:ln>
                          </wps:spPr>
                          <wps:txbx>
                            <w:txbxContent>
                              <w:p w14:paraId="2B6FD16C" w14:textId="77777777" w:rsidR="001F6836" w:rsidRDefault="001F6836">
                                <w:pPr>
                                  <w:spacing w:line="240" w:lineRule="auto"/>
                                  <w:textDirection w:val="btLr"/>
                                </w:pPr>
                              </w:p>
                            </w:txbxContent>
                          </wps:txbx>
                          <wps:bodyPr spcFirstLastPara="1" wrap="square" lIns="91425" tIns="91425" rIns="91425" bIns="91425" anchor="ctr" anchorCtr="0">
                            <a:noAutofit/>
                          </wps:bodyPr>
                        </wps:wsp>
                        <wps:wsp>
                          <wps:cNvPr id="2052906087" name="Rectangle 2052906087"/>
                          <wps:cNvSpPr/>
                          <wps:spPr>
                            <a:xfrm>
                              <a:off x="260527" y="427789"/>
                              <a:ext cx="2683410" cy="1374824"/>
                            </a:xfrm>
                            <a:prstGeom prst="rect">
                              <a:avLst/>
                            </a:prstGeom>
                            <a:noFill/>
                            <a:ln w="9525" cap="flat" cmpd="sng">
                              <a:solidFill>
                                <a:srgbClr val="000000"/>
                              </a:solidFill>
                              <a:prstDash val="solid"/>
                              <a:round/>
                              <a:headEnd type="none" w="sm" len="sm"/>
                              <a:tailEnd type="none" w="sm" len="sm"/>
                            </a:ln>
                          </wps:spPr>
                          <wps:txbx>
                            <w:txbxContent>
                              <w:p w14:paraId="5A49713D" w14:textId="0E4BA234" w:rsidR="001F6836" w:rsidRPr="002628B0" w:rsidRDefault="00B96E0F">
                                <w:pPr>
                                  <w:spacing w:line="240" w:lineRule="auto"/>
                                  <w:textDirection w:val="btLr"/>
                                  <w:rPr>
                                    <w:sz w:val="20"/>
                                    <w:szCs w:val="20"/>
                                  </w:rPr>
                                </w:pPr>
                                <w:r w:rsidRPr="002628B0">
                                  <w:rPr>
                                    <w:rFonts w:ascii="Garamond" w:eastAsia="Garamond" w:hAnsi="Garamond" w:cs="Garamond"/>
                                    <w:szCs w:val="20"/>
                                  </w:rPr>
                                  <w:t>Reading Comprehension</w:t>
                                </w:r>
                              </w:p>
                              <w:p w14:paraId="4E8A1231" w14:textId="18E233AB"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Critical Comprehension</w:t>
                                </w:r>
                              </w:p>
                              <w:p w14:paraId="21E8C442" w14:textId="5FD5C3DB"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Inferential Comprehension</w:t>
                                </w:r>
                              </w:p>
                              <w:p w14:paraId="79BDE560" w14:textId="41B8D7E0"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Literal Comprehension</w:t>
                                </w:r>
                              </w:p>
                              <w:p w14:paraId="05158612" w14:textId="77777777" w:rsidR="001F6836" w:rsidRPr="00214152" w:rsidRDefault="001F6836">
                                <w:pPr>
                                  <w:spacing w:line="240" w:lineRule="auto"/>
                                  <w:ind w:left="720"/>
                                  <w:textDirection w:val="btLr"/>
                                  <w:rPr>
                                    <w:sz w:val="20"/>
                                    <w:szCs w:val="20"/>
                                  </w:rPr>
                                </w:pPr>
                              </w:p>
                            </w:txbxContent>
                          </wps:txbx>
                          <wps:bodyPr spcFirstLastPara="1" wrap="square" lIns="91425" tIns="91425" rIns="91425" bIns="91425" anchor="ctr" anchorCtr="0">
                            <a:noAutofit/>
                          </wps:bodyPr>
                        </wps:wsp>
                        <wps:wsp>
                          <wps:cNvPr id="863690531" name="Straight Arrow Connector 863690531"/>
                          <wps:cNvCnPr/>
                          <wps:spPr>
                            <a:xfrm>
                              <a:off x="2944975" y="1178575"/>
                              <a:ext cx="629400" cy="10200"/>
                            </a:xfrm>
                            <a:prstGeom prst="straightConnector1">
                              <a:avLst/>
                            </a:prstGeom>
                            <a:noFill/>
                            <a:ln w="9525" cap="flat" cmpd="sng">
                              <a:solidFill>
                                <a:srgbClr val="000000"/>
                              </a:solidFill>
                              <a:prstDash val="solid"/>
                              <a:round/>
                              <a:headEnd type="none" w="sm" len="sm"/>
                              <a:tailEnd type="triangle" w="med" len="med"/>
                            </a:ln>
                          </wps:spPr>
                          <wps:bodyPr/>
                        </wps:wsp>
                        <wps:wsp>
                          <wps:cNvPr id="936834950" name="Rectangle 936834950"/>
                          <wps:cNvSpPr/>
                          <wps:spPr>
                            <a:xfrm>
                              <a:off x="3536921" y="399009"/>
                              <a:ext cx="2806882" cy="1403240"/>
                            </a:xfrm>
                            <a:prstGeom prst="rect">
                              <a:avLst/>
                            </a:prstGeom>
                            <a:noFill/>
                            <a:ln w="9525" cap="flat" cmpd="sng">
                              <a:solidFill>
                                <a:srgbClr val="000000"/>
                              </a:solidFill>
                              <a:prstDash val="solid"/>
                              <a:round/>
                              <a:headEnd type="none" w="sm" len="sm"/>
                              <a:tailEnd type="none" w="sm" len="sm"/>
                            </a:ln>
                          </wps:spPr>
                          <wps:txbx>
                            <w:txbxContent>
                              <w:p w14:paraId="13953B07" w14:textId="77777777" w:rsidR="001F6836" w:rsidRPr="00214152" w:rsidRDefault="005D6994">
                                <w:pPr>
                                  <w:spacing w:line="240" w:lineRule="auto"/>
                                  <w:jc w:val="center"/>
                                  <w:textDirection w:val="btLr"/>
                                  <w:rPr>
                                    <w:sz w:val="20"/>
                                    <w:szCs w:val="20"/>
                                  </w:rPr>
                                </w:pPr>
                                <w:r w:rsidRPr="00214152">
                                  <w:rPr>
                                    <w:rFonts w:ascii="Garamond" w:eastAsia="Garamond" w:hAnsi="Garamond" w:cs="Garamond"/>
                                    <w:color w:val="000000"/>
                                    <w:szCs w:val="20"/>
                                  </w:rPr>
                                  <w:t>Mathematical Word Problem-Solving Ability</w:t>
                                </w:r>
                              </w:p>
                              <w:p w14:paraId="5F062A12" w14:textId="03CFA5E0"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Addition</w:t>
                                </w:r>
                              </w:p>
                              <w:p w14:paraId="0A88ED07" w14:textId="4272B353" w:rsidR="001F6836" w:rsidRPr="00214152" w:rsidRDefault="005D6994" w:rsidP="00E35EDB">
                                <w:pPr>
                                  <w:pStyle w:val="ListParagraph"/>
                                  <w:numPr>
                                    <w:ilvl w:val="0"/>
                                    <w:numId w:val="9"/>
                                  </w:numPr>
                                  <w:spacing w:line="240" w:lineRule="auto"/>
                                  <w:textDirection w:val="btLr"/>
                                  <w:rPr>
                                    <w:sz w:val="20"/>
                                    <w:szCs w:val="20"/>
                                  </w:rPr>
                                </w:pPr>
                                <w:r w:rsidRPr="00214152">
                                  <w:rPr>
                                    <w:rFonts w:ascii="Garamond" w:eastAsia="Garamond" w:hAnsi="Garamond" w:cs="Garamond"/>
                                    <w:color w:val="000000"/>
                                    <w:szCs w:val="20"/>
                                  </w:rPr>
                                  <w:t>Division</w:t>
                                </w:r>
                              </w:p>
                              <w:p w14:paraId="41F9DC04" w14:textId="5CDDA31E"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Multiplication</w:t>
                                </w:r>
                              </w:p>
                              <w:p w14:paraId="297A6151" w14:textId="39CEDD8E"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Subtraction</w:t>
                                </w:r>
                              </w:p>
                              <w:p w14:paraId="56F42E6D" w14:textId="77777777" w:rsidR="001F6836" w:rsidRPr="00214152" w:rsidRDefault="001F6836">
                                <w:pPr>
                                  <w:spacing w:line="275" w:lineRule="auto"/>
                                  <w:textDirection w:val="btLr"/>
                                  <w:rPr>
                                    <w:sz w:val="20"/>
                                    <w:szCs w:val="20"/>
                                  </w:rPr>
                                </w:pPr>
                              </w:p>
                            </w:txbxContent>
                          </wps:txbx>
                          <wps:bodyPr spcFirstLastPara="1" wrap="square" lIns="91425" tIns="91425" rIns="91425" bIns="91425" anchor="ctr" anchorCtr="0">
                            <a:noAutofit/>
                          </wps:bodyPr>
                        </wps:wsp>
                      </wpg:grpSp>
                    </wpg:wgp>
                  </a:graphicData>
                </a:graphic>
              </wp:inline>
            </w:drawing>
          </mc:Choice>
          <mc:Fallback>
            <w:pict>
              <v:group w14:anchorId="09CC31D4" id="Group 2" o:spid="_x0000_s1026" style="width:453.8pt;height:95.35pt;mso-position-horizontal-relative:char;mso-position-vertical-relative:line" coordorigin="29132,29451" coordsize="50718,1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">
                <v:group id="Group 676806973" o:spid="_x0000_s1027" style="position:absolute;left:29132;top:29451;width:50718;height:14805" coordorigin="2605,3990" coordsize="60832,1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">
                  <v:rect id="Rectangle 1012227288" o:spid="_x0000_s1028" style="position:absolute;left:5086;top:6000;width:53395;height:13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" filled="f" stroked="f">
                    <v:textbox inset="2.53958mm,2.53958mm,2.53958mm,2.53958mm">
                      <w:txbxContent>
                        <w:p w14:paraId="2B6FD16C" w14:textId="77777777" w:rsidR="001F6836" w:rsidRDefault="001F6836">
                          <w:pPr>
                            <w:spacing w:line="240" w:lineRule="auto"/>
                            <w:textDirection w:val="btLr"/>
                          </w:pPr>
                        </w:p>
                      </w:txbxContent>
                    </v:textbox>
                  </v:rect>
                  <v:rect id="Rectangle 2052906087" o:spid="_x0000_s1029" style="position:absolute;left:2605;top:4277;width:26834;height:13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" filled="f">
                    <v:stroke startarrowwidth="narrow" startarrowlength="short" endarrowwidth="narrow" endarrowlength="short" joinstyle="round"/>
                    <v:textbox inset="2.53958mm,2.53958mm,2.53958mm,2.53958mm">
                      <w:txbxContent>
                        <w:p w14:paraId="5A49713D" w14:textId="0E4BA234" w:rsidR="001F6836" w:rsidRPr="002628B0" w:rsidRDefault="00B96E0F">
                          <w:pPr>
                            <w:spacing w:line="240" w:lineRule="auto"/>
                            <w:textDirection w:val="btLr"/>
                            <w:rPr>
                              <w:sz w:val="20"/>
                              <w:szCs w:val="20"/>
                            </w:rPr>
                          </w:pPr>
                          <w:r w:rsidRPr="002628B0">
                            <w:rPr>
                              <w:rFonts w:ascii="Garamond" w:eastAsia="Garamond" w:hAnsi="Garamond" w:cs="Garamond"/>
                              <w:szCs w:val="20"/>
                            </w:rPr>
                            <w:t>Reading Comprehension</w:t>
                          </w:r>
                        </w:p>
                        <w:p w14:paraId="4E8A1231" w14:textId="18E233AB"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Critical Comprehension</w:t>
                          </w:r>
                        </w:p>
                        <w:p w14:paraId="21E8C442" w14:textId="5FD5C3DB"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Inferential Comprehension</w:t>
                          </w:r>
                        </w:p>
                        <w:p w14:paraId="79BDE560" w14:textId="41B8D7E0" w:rsidR="001F6836" w:rsidRPr="002628B0" w:rsidRDefault="005D6994" w:rsidP="00E35EDB">
                          <w:pPr>
                            <w:pStyle w:val="ListParagraph"/>
                            <w:numPr>
                              <w:ilvl w:val="0"/>
                              <w:numId w:val="8"/>
                            </w:numPr>
                            <w:spacing w:line="240" w:lineRule="auto"/>
                            <w:textDirection w:val="btLr"/>
                            <w:rPr>
                              <w:sz w:val="20"/>
                              <w:szCs w:val="20"/>
                            </w:rPr>
                          </w:pPr>
                          <w:r w:rsidRPr="002628B0">
                            <w:rPr>
                              <w:rFonts w:ascii="Garamond" w:eastAsia="Garamond" w:hAnsi="Garamond" w:cs="Garamond"/>
                              <w:szCs w:val="20"/>
                            </w:rPr>
                            <w:t>Literal Comprehension</w:t>
                          </w:r>
                        </w:p>
                        <w:p w14:paraId="05158612" w14:textId="77777777" w:rsidR="001F6836" w:rsidRPr="00214152" w:rsidRDefault="001F6836">
                          <w:pPr>
                            <w:spacing w:line="240" w:lineRule="auto"/>
                            <w:ind w:left="720"/>
                            <w:textDirection w:val="btLr"/>
                            <w:rPr>
                              <w:sz w:val="20"/>
                              <w:szCs w:val="20"/>
                            </w:rPr>
                          </w:pPr>
                        </w:p>
                      </w:txbxContent>
                    </v:textbox>
                  </v:rect>
                  <v:shapetype id="_x0000_t32" coordsize="21600,21600" o:spt="32" o:oned="t" path="m,l21600,21600e" filled="f">
                    <v:path arrowok="t" fillok="f" o:connecttype="none"/>
                    <o:lock v:ext="edit" shapetype="t"/>
                  </v:shapetype>
                  <v:shape id="Straight Arrow Connector 863690531" o:spid="_x0000_s1030" type="#_x0000_t32" style="position:absolute;left:29449;top:11785;width:6294;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">
                    <v:stroke startarrowwidth="narrow" startarrowlength="short" endarrow="block"/>
                  </v:shape>
                  <v:rect id="Rectangle 936834950" o:spid="_x0000_s1031" style="position:absolute;left:35369;top:3990;width:28069;height:14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" filled="f">
                    <v:stroke startarrowwidth="narrow" startarrowlength="short" endarrowwidth="narrow" endarrowlength="short" joinstyle="round"/>
                    <v:textbox inset="2.53958mm,2.53958mm,2.53958mm,2.53958mm">
                      <w:txbxContent>
                        <w:p w14:paraId="13953B07" w14:textId="77777777" w:rsidR="001F6836" w:rsidRPr="00214152" w:rsidRDefault="005D6994">
                          <w:pPr>
                            <w:spacing w:line="240" w:lineRule="auto"/>
                            <w:jc w:val="center"/>
                            <w:textDirection w:val="btLr"/>
                            <w:rPr>
                              <w:sz w:val="20"/>
                              <w:szCs w:val="20"/>
                            </w:rPr>
                          </w:pPr>
                          <w:r w:rsidRPr="00214152">
                            <w:rPr>
                              <w:rFonts w:ascii="Garamond" w:eastAsia="Garamond" w:hAnsi="Garamond" w:cs="Garamond"/>
                              <w:color w:val="000000"/>
                              <w:szCs w:val="20"/>
                            </w:rPr>
                            <w:t>Mathematical Word Problem-Solving Ability</w:t>
                          </w:r>
                        </w:p>
                        <w:p w14:paraId="5F062A12" w14:textId="03CFA5E0"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Addition</w:t>
                          </w:r>
                        </w:p>
                        <w:p w14:paraId="0A88ED07" w14:textId="4272B353" w:rsidR="001F6836" w:rsidRPr="00214152" w:rsidRDefault="005D6994" w:rsidP="00E35EDB">
                          <w:pPr>
                            <w:pStyle w:val="ListParagraph"/>
                            <w:numPr>
                              <w:ilvl w:val="0"/>
                              <w:numId w:val="9"/>
                            </w:numPr>
                            <w:spacing w:line="240" w:lineRule="auto"/>
                            <w:textDirection w:val="btLr"/>
                            <w:rPr>
                              <w:sz w:val="20"/>
                              <w:szCs w:val="20"/>
                            </w:rPr>
                          </w:pPr>
                          <w:r w:rsidRPr="00214152">
                            <w:rPr>
                              <w:rFonts w:ascii="Garamond" w:eastAsia="Garamond" w:hAnsi="Garamond" w:cs="Garamond"/>
                              <w:color w:val="000000"/>
                              <w:szCs w:val="20"/>
                            </w:rPr>
                            <w:t>Division</w:t>
                          </w:r>
                        </w:p>
                        <w:p w14:paraId="41F9DC04" w14:textId="5CDDA31E"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Multiplication</w:t>
                          </w:r>
                        </w:p>
                        <w:p w14:paraId="297A6151" w14:textId="39CEDD8E" w:rsidR="001F6836" w:rsidRPr="00E35EDB" w:rsidRDefault="005D6994" w:rsidP="00E35EDB">
                          <w:pPr>
                            <w:pStyle w:val="ListParagraph"/>
                            <w:numPr>
                              <w:ilvl w:val="0"/>
                              <w:numId w:val="9"/>
                            </w:numPr>
                            <w:spacing w:line="240" w:lineRule="auto"/>
                            <w:textDirection w:val="btLr"/>
                            <w:rPr>
                              <w:sz w:val="20"/>
                              <w:szCs w:val="20"/>
                            </w:rPr>
                          </w:pPr>
                          <w:r w:rsidRPr="00E35EDB">
                            <w:rPr>
                              <w:rFonts w:ascii="Garamond" w:eastAsia="Garamond" w:hAnsi="Garamond" w:cs="Garamond"/>
                              <w:color w:val="000000"/>
                              <w:szCs w:val="20"/>
                            </w:rPr>
                            <w:t>Subtraction</w:t>
                          </w:r>
                        </w:p>
                        <w:p w14:paraId="56F42E6D" w14:textId="77777777" w:rsidR="001F6836" w:rsidRPr="00214152" w:rsidRDefault="001F6836">
                          <w:pPr>
                            <w:spacing w:line="275" w:lineRule="auto"/>
                            <w:textDirection w:val="btLr"/>
                            <w:rPr>
                              <w:sz w:val="20"/>
                              <w:szCs w:val="20"/>
                            </w:rPr>
                          </w:pPr>
                        </w:p>
                      </w:txbxContent>
                    </v:textbox>
                  </v:rect>
                </v:group>
                <w10:anchorlock/>
              </v:group>
            </w:pict>
          </mc:Fallback>
        </mc:AlternateContent>
      </w:r>
    </w:p>
    <w:p w14:paraId="2C9D044B" w14:textId="690AE9F9" w:rsidR="001F6836" w:rsidRPr="00FC05F8" w:rsidRDefault="005D6994">
      <w:pPr>
        <w:spacing w:before="240" w:after="240" w:line="240" w:lineRule="auto"/>
        <w:jc w:val="both"/>
        <w:rPr>
          <w:rFonts w:ascii="Garamond" w:eastAsia="Garamond" w:hAnsi="Garamond" w:cs="Garamond"/>
          <w:i/>
        </w:rPr>
      </w:pPr>
      <w:r w:rsidRPr="00FC05F8">
        <w:rPr>
          <w:rFonts w:ascii="Garamond" w:eastAsia="Garamond" w:hAnsi="Garamond" w:cs="Garamond"/>
          <w:i/>
        </w:rPr>
        <w:t>Figure 1</w:t>
      </w:r>
      <w:r w:rsidR="00D47078">
        <w:rPr>
          <w:rFonts w:ascii="Garamond" w:eastAsia="Garamond" w:hAnsi="Garamond" w:cs="Garamond"/>
          <w:i/>
        </w:rPr>
        <w:t>:</w:t>
      </w:r>
      <w:r w:rsidRPr="00FC05F8">
        <w:rPr>
          <w:rFonts w:ascii="Garamond" w:eastAsia="Garamond" w:hAnsi="Garamond" w:cs="Garamond"/>
          <w:i/>
        </w:rPr>
        <w:t xml:space="preserve"> Conceptual Framework of the Reading Comprehension as a Predictor of Mathematical Word Problem Solving Ability Among Grade 7 Students</w:t>
      </w:r>
    </w:p>
    <w:p w14:paraId="234D48BE" w14:textId="77777777" w:rsidR="00D47078" w:rsidRDefault="00D47078">
      <w:pPr>
        <w:spacing w:after="200" w:line="240" w:lineRule="auto"/>
        <w:rPr>
          <w:rFonts w:ascii="Garamond" w:eastAsia="Garamond" w:hAnsi="Garamond" w:cs="Garamond"/>
          <w:b/>
        </w:rPr>
      </w:pPr>
    </w:p>
    <w:p w14:paraId="46A0E75E" w14:textId="77777777" w:rsidR="005816A6" w:rsidRDefault="005816A6">
      <w:pPr>
        <w:spacing w:after="200" w:line="240" w:lineRule="auto"/>
        <w:rPr>
          <w:rFonts w:ascii="Garamond" w:eastAsia="Garamond" w:hAnsi="Garamond" w:cs="Garamond"/>
          <w:b/>
        </w:rPr>
      </w:pPr>
    </w:p>
    <w:p w14:paraId="0919E752" w14:textId="77777777" w:rsidR="005816A6" w:rsidRDefault="005816A6">
      <w:pPr>
        <w:spacing w:after="200" w:line="240" w:lineRule="auto"/>
        <w:rPr>
          <w:rFonts w:ascii="Garamond" w:eastAsia="Garamond" w:hAnsi="Garamond" w:cs="Garamond"/>
          <w:b/>
        </w:rPr>
      </w:pPr>
    </w:p>
    <w:p w14:paraId="1EBA8DC9" w14:textId="25D8CC14" w:rsidR="001F6836" w:rsidRPr="00FC05F8" w:rsidRDefault="005D6994">
      <w:pPr>
        <w:spacing w:after="200" w:line="240" w:lineRule="auto"/>
        <w:rPr>
          <w:rFonts w:ascii="Garamond" w:eastAsia="Garamond" w:hAnsi="Garamond" w:cs="Garamond"/>
          <w:b/>
        </w:rPr>
      </w:pPr>
      <w:r w:rsidRPr="00FC05F8">
        <w:rPr>
          <w:rFonts w:ascii="Garamond" w:eastAsia="Garamond" w:hAnsi="Garamond" w:cs="Garamond"/>
          <w:b/>
        </w:rPr>
        <w:lastRenderedPageBreak/>
        <w:t>Method</w:t>
      </w:r>
    </w:p>
    <w:p w14:paraId="75DE1801" w14:textId="77777777" w:rsidR="001F6836" w:rsidRPr="00FC05F8" w:rsidRDefault="005D6994">
      <w:pPr>
        <w:spacing w:after="200" w:line="240" w:lineRule="auto"/>
        <w:ind w:firstLine="720"/>
        <w:jc w:val="both"/>
        <w:rPr>
          <w:rFonts w:ascii="Garamond" w:eastAsia="Garamond" w:hAnsi="Garamond" w:cs="Garamond"/>
        </w:rPr>
      </w:pPr>
      <w:r w:rsidRPr="00FC05F8">
        <w:rPr>
          <w:rFonts w:ascii="Garamond" w:eastAsia="Garamond" w:hAnsi="Garamond" w:cs="Garamond"/>
        </w:rPr>
        <w:t xml:space="preserve">This study employed a non-experimental, quantitative research design using a predictive-correlational approach. This design was chosen to examine whether reading comprehension can predict mathematical word problem-solving ability among Grade 7 students. The predictive-correlational method is appropriate for exploring the relationship between two naturally occurring variables without manipulating them (Creswell, 2014). </w:t>
      </w:r>
    </w:p>
    <w:p w14:paraId="644BE336" w14:textId="1C311FA6" w:rsidR="001F6836" w:rsidRPr="00FC05F8" w:rsidRDefault="005D6994">
      <w:pPr>
        <w:spacing w:after="200" w:line="240" w:lineRule="auto"/>
        <w:jc w:val="both"/>
        <w:rPr>
          <w:rFonts w:ascii="Garamond" w:eastAsia="Garamond" w:hAnsi="Garamond" w:cs="Garamond"/>
        </w:rPr>
      </w:pPr>
      <w:r w:rsidRPr="00FC05F8">
        <w:rPr>
          <w:rFonts w:ascii="Garamond" w:eastAsia="Garamond" w:hAnsi="Garamond" w:cs="Garamond"/>
        </w:rPr>
        <w:tab/>
        <w:t>The study was conducted at Matiao National High School, located in Mati City, Davao Oriental, Philippines. This government-funded institution offers both junior and senior high school education and serves a diverse student population across various academic strands. Mati City was selected as the research site due to its ongoing initiatives to enhance students’ academic literacy and numeracy, in response to the results of recent national assessments (Department of Education</w:t>
      </w:r>
      <w:r w:rsidR="0024230F">
        <w:rPr>
          <w:rFonts w:ascii="Garamond" w:eastAsia="Garamond" w:hAnsi="Garamond" w:cs="Garamond"/>
        </w:rPr>
        <w:t xml:space="preserve">, </w:t>
      </w:r>
      <w:r w:rsidRPr="00FC05F8">
        <w:rPr>
          <w:rFonts w:ascii="Garamond" w:eastAsia="Garamond" w:hAnsi="Garamond" w:cs="Garamond"/>
        </w:rPr>
        <w:t>2020). The accessibility of the location and the cooperation of the school administration also contributed to its selection as an ideal setting for the study.</w:t>
      </w:r>
    </w:p>
    <w:p w14:paraId="4E586A67" w14:textId="77777777" w:rsidR="001F6836" w:rsidRPr="00FC05F8" w:rsidRDefault="005D6994">
      <w:pPr>
        <w:spacing w:after="200" w:line="240" w:lineRule="auto"/>
        <w:ind w:firstLine="720"/>
        <w:jc w:val="both"/>
        <w:rPr>
          <w:rFonts w:ascii="Garamond" w:eastAsia="Garamond" w:hAnsi="Garamond" w:cs="Garamond"/>
          <w:b/>
        </w:rPr>
      </w:pPr>
      <w:r w:rsidRPr="00FC05F8">
        <w:rPr>
          <w:rFonts w:ascii="Garamond" w:eastAsia="Garamond" w:hAnsi="Garamond" w:cs="Garamond"/>
        </w:rPr>
        <w:t>The respondents consisted of 100 Grade 7 students from Matiao National High School, selected through simple random sampling to ensure fairness and equal opportunity for selection (Fraenkel, Wallen, &amp; Hyun, 2019). Grade 7 students were specifically chosen because they are at a pivotal stage in developing foundational reading comprehension and mathematical problem-solving skills. The sample size was deemed sufficient for statistical analysis and feasible for data collection, contributing to the study's reliability and validity (Fetters,2023).</w:t>
      </w:r>
    </w:p>
    <w:p w14:paraId="59B1D328" w14:textId="69DE9516" w:rsidR="001F6836" w:rsidRPr="00FC05F8" w:rsidRDefault="005D6994" w:rsidP="005816A6">
      <w:pPr>
        <w:spacing w:after="200" w:line="240" w:lineRule="auto"/>
        <w:jc w:val="both"/>
        <w:rPr>
          <w:rFonts w:ascii="Garamond" w:eastAsia="Garamond" w:hAnsi="Garamond" w:cs="Garamond"/>
        </w:rPr>
      </w:pPr>
      <w:r w:rsidRPr="00FC05F8">
        <w:rPr>
          <w:rFonts w:ascii="Garamond" w:eastAsia="Garamond" w:hAnsi="Garamond" w:cs="Garamond"/>
        </w:rPr>
        <w:tab/>
      </w:r>
      <w:r w:rsidR="005816A6" w:rsidRPr="005816A6">
        <w:rPr>
          <w:rFonts w:ascii="Garamond" w:eastAsia="Garamond" w:hAnsi="Garamond" w:cs="Garamond"/>
        </w:rPr>
        <w:t xml:space="preserve">The main research instrument used in this study consisted of two parts: the Reading Comprehension Test and the Mathematical Word Problem-Solving Test. The Reading Comprehension Test was adapted from Tri </w:t>
      </w:r>
      <w:proofErr w:type="spellStart"/>
      <w:r w:rsidR="005816A6" w:rsidRPr="005816A6">
        <w:rPr>
          <w:rFonts w:ascii="Garamond" w:eastAsia="Garamond" w:hAnsi="Garamond" w:cs="Garamond"/>
        </w:rPr>
        <w:t>Daryanti’s</w:t>
      </w:r>
      <w:proofErr w:type="spellEnd"/>
      <w:r w:rsidR="005816A6" w:rsidRPr="005816A6">
        <w:rPr>
          <w:rFonts w:ascii="Garamond" w:eastAsia="Garamond" w:hAnsi="Garamond" w:cs="Garamond"/>
        </w:rPr>
        <w:t xml:space="preserve"> (n.d.) study titled </w:t>
      </w:r>
      <w:r w:rsidR="005816A6" w:rsidRPr="005816A6">
        <w:rPr>
          <w:rFonts w:ascii="Garamond" w:eastAsia="Garamond" w:hAnsi="Garamond" w:cs="Garamond"/>
          <w:i/>
          <w:iCs/>
        </w:rPr>
        <w:t>"The Contribution of Vocabulary Toward Reading Comprehension."</w:t>
      </w:r>
      <w:r w:rsidR="005816A6" w:rsidRPr="005816A6">
        <w:rPr>
          <w:rFonts w:ascii="Garamond" w:eastAsia="Garamond" w:hAnsi="Garamond" w:cs="Garamond"/>
        </w:rPr>
        <w:t xml:space="preserve"> It included 15 multiple-choice items designed to assess students’ ability to understand written texts at the literal, inferential, and critical levels. The content and format were adjusted to suit the comprehension level of Grade 7 students. The Mathematical Word Problem-Solving Test was adopted and modified from the instrument used by </w:t>
      </w:r>
      <w:proofErr w:type="spellStart"/>
      <w:r w:rsidR="005816A6" w:rsidRPr="005816A6">
        <w:rPr>
          <w:rFonts w:ascii="Garamond" w:eastAsia="Garamond" w:hAnsi="Garamond" w:cs="Garamond"/>
        </w:rPr>
        <w:t>Melalyn</w:t>
      </w:r>
      <w:proofErr w:type="spellEnd"/>
      <w:r w:rsidR="005816A6" w:rsidRPr="005816A6">
        <w:rPr>
          <w:rFonts w:ascii="Garamond" w:eastAsia="Garamond" w:hAnsi="Garamond" w:cs="Garamond"/>
        </w:rPr>
        <w:t xml:space="preserve"> M. Parales (2019) in her study </w:t>
      </w:r>
      <w:r w:rsidR="005816A6" w:rsidRPr="005816A6">
        <w:rPr>
          <w:rFonts w:ascii="Garamond" w:eastAsia="Garamond" w:hAnsi="Garamond" w:cs="Garamond"/>
          <w:i/>
          <w:iCs/>
        </w:rPr>
        <w:t xml:space="preserve">"Assessment of Reading Comprehension and </w:t>
      </w:r>
      <w:proofErr w:type="gramStart"/>
      <w:r w:rsidR="005816A6" w:rsidRPr="005816A6">
        <w:rPr>
          <w:rFonts w:ascii="Garamond" w:eastAsia="Garamond" w:hAnsi="Garamond" w:cs="Garamond"/>
          <w:i/>
          <w:iCs/>
        </w:rPr>
        <w:t>Problem Solving</w:t>
      </w:r>
      <w:proofErr w:type="gramEnd"/>
      <w:r w:rsidR="005816A6" w:rsidRPr="005816A6">
        <w:rPr>
          <w:rFonts w:ascii="Garamond" w:eastAsia="Garamond" w:hAnsi="Garamond" w:cs="Garamond"/>
          <w:i/>
          <w:iCs/>
        </w:rPr>
        <w:t xml:space="preserve"> Skills of Grade VI Pupils."</w:t>
      </w:r>
      <w:r w:rsidR="005816A6" w:rsidRPr="005816A6">
        <w:rPr>
          <w:rFonts w:ascii="Garamond" w:eastAsia="Garamond" w:hAnsi="Garamond" w:cs="Garamond"/>
        </w:rPr>
        <w:t xml:space="preserve"> It comprised 20 items based on Grade 7 mathematics topics such as integers, ratios, percentages, and linear equations. This section assessed students' ability to analyze and solve mathematical word problems using logical reasoning and accurate computations. The research instruments were administered via Google Forms, with clear instructions provided to guide participants through the assessment. The link was distributed through official school communication channels, and students were given one day to complete the test independently. Upon completion, raw scores were systematically converted into percentage scores and interpreted using a Likert-type verbal scale adapted from Pellegrino, </w:t>
      </w:r>
      <w:proofErr w:type="spellStart"/>
      <w:r w:rsidR="005816A6" w:rsidRPr="005816A6">
        <w:rPr>
          <w:rFonts w:ascii="Garamond" w:eastAsia="Garamond" w:hAnsi="Garamond" w:cs="Garamond"/>
        </w:rPr>
        <w:t>Chudowsky</w:t>
      </w:r>
      <w:proofErr w:type="spellEnd"/>
      <w:r w:rsidR="005816A6" w:rsidRPr="005816A6">
        <w:rPr>
          <w:rFonts w:ascii="Garamond" w:eastAsia="Garamond" w:hAnsi="Garamond" w:cs="Garamond"/>
        </w:rPr>
        <w:t>, and Glaser (2001), which classified performance levels as Very High, High, Moderate, Low, or Very Low based on percent accuracy.</w:t>
      </w:r>
      <w:r w:rsidR="005816A6">
        <w:rPr>
          <w:rFonts w:ascii="Garamond" w:eastAsia="Garamond" w:hAnsi="Garamond" w:cs="Garamond"/>
        </w:rPr>
        <w:t xml:space="preserve"> </w:t>
      </w:r>
      <w:r w:rsidRPr="00FC05F8">
        <w:rPr>
          <w:rFonts w:ascii="Garamond" w:eastAsia="Garamond" w:hAnsi="Garamond" w:cs="Garamond"/>
        </w:rPr>
        <w:t>Before data collection, the researchers secured approval from the school principal and the Division Office and coordinated with class advisers to facilitate the process. Informed consent forms were distributed online via Google Forms, ensuring that participation was voluntary and responses would remain confidential.</w:t>
      </w:r>
    </w:p>
    <w:p w14:paraId="2B32733D" w14:textId="2E545991" w:rsidR="00572713" w:rsidRDefault="00572713" w:rsidP="008C51F2">
      <w:pPr>
        <w:spacing w:before="240" w:after="240" w:line="240" w:lineRule="auto"/>
        <w:ind w:firstLine="720"/>
        <w:jc w:val="both"/>
        <w:rPr>
          <w:rFonts w:ascii="Garamond" w:eastAsia="Garamond" w:hAnsi="Garamond" w:cs="Garamond"/>
        </w:rPr>
      </w:pPr>
      <w:r w:rsidRPr="00572713">
        <w:rPr>
          <w:rFonts w:ascii="Garamond" w:eastAsia="Garamond" w:hAnsi="Garamond" w:cs="Garamond"/>
        </w:rPr>
        <w:t xml:space="preserve">The best statistical tools for analyzing the data in this study were descriptive statistics and </w:t>
      </w:r>
      <w:r w:rsidR="00D47078">
        <w:rPr>
          <w:rFonts w:ascii="Garamond" w:eastAsia="Garamond" w:hAnsi="Garamond" w:cs="Garamond"/>
        </w:rPr>
        <w:t xml:space="preserve">inferential statistics. </w:t>
      </w:r>
      <w:r w:rsidRPr="00572713">
        <w:rPr>
          <w:rFonts w:ascii="Garamond" w:eastAsia="Garamond" w:hAnsi="Garamond" w:cs="Garamond"/>
        </w:rPr>
        <w:t xml:space="preserve">Descriptive statistics helped summarize basic details of the data, such as the average, standard deviation, and the spread of students' reading comprehension and math problem-solving scores. Pearson’s correlation coefficient was used to </w:t>
      </w:r>
      <w:r w:rsidR="00D47078">
        <w:rPr>
          <w:rFonts w:ascii="Garamond" w:eastAsia="Garamond" w:hAnsi="Garamond" w:cs="Garamond"/>
        </w:rPr>
        <w:t>investigate</w:t>
      </w:r>
      <w:r w:rsidRPr="00572713">
        <w:rPr>
          <w:rFonts w:ascii="Garamond" w:eastAsia="Garamond" w:hAnsi="Garamond" w:cs="Garamond"/>
        </w:rPr>
        <w:t xml:space="preserve"> the relationship between reading comprehension and math problem-solving ability, to see if there was a significant connection between them.</w:t>
      </w:r>
    </w:p>
    <w:p w14:paraId="086EC8FF" w14:textId="74FCCACB" w:rsidR="007E71FB" w:rsidRPr="00D47078" w:rsidRDefault="005D6994" w:rsidP="00D47078">
      <w:pPr>
        <w:spacing w:before="240" w:after="240" w:line="240" w:lineRule="auto"/>
        <w:ind w:firstLine="720"/>
        <w:jc w:val="both"/>
        <w:rPr>
          <w:rFonts w:ascii="Garamond" w:eastAsia="Garamond" w:hAnsi="Garamond" w:cs="Garamond"/>
        </w:rPr>
      </w:pPr>
      <w:r w:rsidRPr="00FC05F8">
        <w:rPr>
          <w:rFonts w:ascii="Garamond" w:eastAsia="Garamond" w:hAnsi="Garamond" w:cs="Garamond"/>
        </w:rPr>
        <w:t>In conducting this research, the researchers carefully observed the key ethical considerations. Respondents were fully informed about the study’s objectives, procedures, potential risks, and anticipated benefits before voluntarily providing their consent.</w:t>
      </w:r>
      <w:r w:rsidRPr="00FC05F8">
        <w:t xml:space="preserve"> </w:t>
      </w:r>
      <w:r w:rsidRPr="00FC05F8">
        <w:rPr>
          <w:rFonts w:ascii="Garamond" w:eastAsia="Garamond" w:hAnsi="Garamond" w:cs="Garamond"/>
        </w:rPr>
        <w:t xml:space="preserve">Informed consent was obtained through a Google Form, and the study posed minimal risk while offering potential educational benefits. All data were anonymized and securely stored in compliance with the Data Privacy Act of 2012. The research upheld principles of justice, transparency, and respect for cultural values, with equal treatment of all participants. The study respects the cultural and traditional beliefs of the respondents and ensures that all questions are </w:t>
      </w:r>
      <w:r w:rsidRPr="00FC05F8">
        <w:rPr>
          <w:rFonts w:ascii="Garamond" w:eastAsia="Garamond" w:hAnsi="Garamond" w:cs="Garamond"/>
        </w:rPr>
        <w:lastRenderedPageBreak/>
        <w:t>fair and unbiased. The researcher fosters trust through respectful communication and encourages honest participation.</w:t>
      </w:r>
      <w:bookmarkStart w:id="1" w:name="_Hlk200656230"/>
    </w:p>
    <w:p w14:paraId="71453F30" w14:textId="77777777" w:rsidR="001323DC" w:rsidRDefault="001323DC" w:rsidP="007E71FB">
      <w:pPr>
        <w:pBdr>
          <w:top w:val="nil"/>
          <w:left w:val="nil"/>
          <w:bottom w:val="nil"/>
          <w:right w:val="nil"/>
          <w:between w:val="nil"/>
        </w:pBdr>
        <w:spacing w:after="200" w:line="240" w:lineRule="auto"/>
        <w:rPr>
          <w:rFonts w:ascii="Garamond" w:eastAsia="Garamond" w:hAnsi="Garamond" w:cs="Garamond"/>
          <w:b/>
        </w:rPr>
      </w:pPr>
    </w:p>
    <w:p w14:paraId="2A3CE6C9" w14:textId="7627D5E2" w:rsidR="007E71FB" w:rsidRPr="00FC05F8" w:rsidRDefault="007E71FB" w:rsidP="007E71FB">
      <w:pPr>
        <w:pBdr>
          <w:top w:val="nil"/>
          <w:left w:val="nil"/>
          <w:bottom w:val="nil"/>
          <w:right w:val="nil"/>
          <w:between w:val="nil"/>
        </w:pBdr>
        <w:spacing w:after="200" w:line="240" w:lineRule="auto"/>
        <w:rPr>
          <w:rFonts w:ascii="Garamond" w:eastAsia="Garamond" w:hAnsi="Garamond" w:cs="Garamond"/>
          <w:b/>
        </w:rPr>
      </w:pPr>
      <w:r w:rsidRPr="00FC05F8">
        <w:rPr>
          <w:rFonts w:ascii="Garamond" w:eastAsia="Garamond" w:hAnsi="Garamond" w:cs="Garamond"/>
          <w:b/>
        </w:rPr>
        <w:t>Results</w:t>
      </w:r>
    </w:p>
    <w:p w14:paraId="4BB69AFB" w14:textId="641096D7" w:rsidR="00DE7BAC" w:rsidRDefault="007E71FB" w:rsidP="00183364">
      <w:pPr>
        <w:spacing w:after="200" w:line="240" w:lineRule="auto"/>
        <w:ind w:left="284"/>
        <w:rPr>
          <w:rFonts w:ascii="Garamond" w:eastAsia="Garamond" w:hAnsi="Garamond" w:cs="Garamond"/>
        </w:rPr>
      </w:pPr>
      <w:r w:rsidRPr="00FC05F8">
        <w:rPr>
          <w:rFonts w:ascii="Garamond" w:eastAsia="Garamond" w:hAnsi="Garamond" w:cs="Garamond"/>
        </w:rPr>
        <w:t xml:space="preserve">Table 1: </w:t>
      </w:r>
      <w:r w:rsidRPr="00C7773F">
        <w:rPr>
          <w:rFonts w:ascii="Garamond" w:eastAsia="Garamond" w:hAnsi="Garamond" w:cs="Garamond"/>
          <w:i/>
          <w:iCs/>
        </w:rPr>
        <w:t>Descriptive Table</w:t>
      </w:r>
    </w:p>
    <w:tbl>
      <w:tblPr>
        <w:tblStyle w:val="TableGrid"/>
        <w:tblW w:w="8930" w:type="dxa"/>
        <w:tblInd w:w="284" w:type="dxa"/>
        <w:tblLook w:val="04A0" w:firstRow="1" w:lastRow="0" w:firstColumn="1" w:lastColumn="0" w:noHBand="0" w:noVBand="1"/>
      </w:tblPr>
      <w:tblGrid>
        <w:gridCol w:w="4394"/>
        <w:gridCol w:w="1134"/>
        <w:gridCol w:w="993"/>
        <w:gridCol w:w="2409"/>
      </w:tblGrid>
      <w:tr w:rsidR="00DE7BAC" w14:paraId="69D28471" w14:textId="77777777" w:rsidTr="00382EB7">
        <w:tc>
          <w:tcPr>
            <w:tcW w:w="4394" w:type="dxa"/>
            <w:tcBorders>
              <w:top w:val="double" w:sz="4" w:space="0" w:color="auto"/>
              <w:left w:val="nil"/>
              <w:bottom w:val="single" w:sz="4" w:space="0" w:color="auto"/>
              <w:right w:val="nil"/>
            </w:tcBorders>
          </w:tcPr>
          <w:p w14:paraId="648B2FF9" w14:textId="0D59D73E" w:rsidR="00DE7BAC" w:rsidRDefault="00DE7BAC" w:rsidP="00B33532">
            <w:pPr>
              <w:jc w:val="center"/>
              <w:rPr>
                <w:rFonts w:ascii="Garamond" w:eastAsia="Garamond" w:hAnsi="Garamond" w:cs="Garamond"/>
                <w:i/>
              </w:rPr>
            </w:pPr>
            <w:r w:rsidRPr="00FC05F8">
              <w:rPr>
                <w:rFonts w:ascii="Garamond" w:eastAsia="Garamond" w:hAnsi="Garamond" w:cs="Garamond"/>
                <w:b/>
                <w:bCs/>
              </w:rPr>
              <w:t>Variables with their Indicators</w:t>
            </w:r>
          </w:p>
        </w:tc>
        <w:tc>
          <w:tcPr>
            <w:tcW w:w="1134" w:type="dxa"/>
            <w:tcBorders>
              <w:top w:val="double" w:sz="4" w:space="0" w:color="auto"/>
              <w:left w:val="nil"/>
              <w:bottom w:val="single" w:sz="4" w:space="0" w:color="auto"/>
              <w:right w:val="nil"/>
            </w:tcBorders>
          </w:tcPr>
          <w:p w14:paraId="4ABC574C" w14:textId="0FF72636" w:rsidR="00DE7BAC" w:rsidRDefault="00DE7BAC" w:rsidP="00B33532">
            <w:pPr>
              <w:jc w:val="center"/>
              <w:rPr>
                <w:rFonts w:ascii="Garamond" w:eastAsia="Garamond" w:hAnsi="Garamond" w:cs="Garamond"/>
                <w:i/>
              </w:rPr>
            </w:pPr>
            <w:r w:rsidRPr="00FC05F8">
              <w:rPr>
                <w:rFonts w:ascii="Garamond" w:eastAsia="Garamond" w:hAnsi="Garamond" w:cs="Garamond"/>
                <w:b/>
                <w:bCs/>
              </w:rPr>
              <w:t>SD</w:t>
            </w:r>
          </w:p>
        </w:tc>
        <w:tc>
          <w:tcPr>
            <w:tcW w:w="993" w:type="dxa"/>
            <w:tcBorders>
              <w:top w:val="double" w:sz="4" w:space="0" w:color="auto"/>
              <w:left w:val="nil"/>
              <w:bottom w:val="single" w:sz="4" w:space="0" w:color="auto"/>
              <w:right w:val="nil"/>
            </w:tcBorders>
          </w:tcPr>
          <w:p w14:paraId="366DD168" w14:textId="178192A7" w:rsidR="00DE7BAC" w:rsidRDefault="00DE7BAC" w:rsidP="00B33532">
            <w:pPr>
              <w:jc w:val="center"/>
              <w:rPr>
                <w:rFonts w:ascii="Garamond" w:eastAsia="Garamond" w:hAnsi="Garamond" w:cs="Garamond"/>
                <w:i/>
              </w:rPr>
            </w:pPr>
            <w:r w:rsidRPr="00FC05F8">
              <w:rPr>
                <w:rFonts w:ascii="Garamond" w:eastAsia="Garamond" w:hAnsi="Garamond" w:cs="Garamond"/>
                <w:b/>
                <w:bCs/>
              </w:rPr>
              <w:t>Mean</w:t>
            </w:r>
          </w:p>
        </w:tc>
        <w:tc>
          <w:tcPr>
            <w:tcW w:w="2409" w:type="dxa"/>
            <w:tcBorders>
              <w:top w:val="double" w:sz="4" w:space="0" w:color="auto"/>
              <w:left w:val="nil"/>
              <w:bottom w:val="single" w:sz="4" w:space="0" w:color="auto"/>
              <w:right w:val="nil"/>
            </w:tcBorders>
          </w:tcPr>
          <w:p w14:paraId="2E07519B" w14:textId="60E3CA83" w:rsidR="00DE7BAC" w:rsidRDefault="00DE7BAC" w:rsidP="00B33532">
            <w:pPr>
              <w:jc w:val="center"/>
              <w:rPr>
                <w:rFonts w:ascii="Garamond" w:eastAsia="Garamond" w:hAnsi="Garamond" w:cs="Garamond"/>
                <w:i/>
              </w:rPr>
            </w:pPr>
            <w:r w:rsidRPr="00FC05F8">
              <w:rPr>
                <w:rFonts w:ascii="Garamond" w:eastAsia="Garamond" w:hAnsi="Garamond" w:cs="Garamond"/>
                <w:b/>
                <w:bCs/>
              </w:rPr>
              <w:t>Verbal Description</w:t>
            </w:r>
          </w:p>
        </w:tc>
      </w:tr>
      <w:tr w:rsidR="00DE7BAC" w14:paraId="4B7CED11" w14:textId="77777777" w:rsidTr="00382EB7">
        <w:tc>
          <w:tcPr>
            <w:tcW w:w="4394" w:type="dxa"/>
            <w:tcBorders>
              <w:left w:val="nil"/>
              <w:bottom w:val="nil"/>
              <w:right w:val="nil"/>
            </w:tcBorders>
          </w:tcPr>
          <w:p w14:paraId="4C2FDAC9" w14:textId="4AA320CB" w:rsidR="00DE7BAC" w:rsidRPr="00DE7BAC" w:rsidRDefault="00DE7BAC" w:rsidP="00B33532">
            <w:pPr>
              <w:rPr>
                <w:rFonts w:ascii="Garamond" w:eastAsia="Garamond" w:hAnsi="Garamond" w:cs="Garamond"/>
                <w:b/>
                <w:bCs/>
                <w:iCs/>
              </w:rPr>
            </w:pPr>
            <w:r w:rsidRPr="00FC05F8">
              <w:rPr>
                <w:rFonts w:ascii="Garamond" w:eastAsia="Garamond" w:hAnsi="Garamond" w:cs="Garamond"/>
                <w:b/>
                <w:bCs/>
                <w:iCs/>
              </w:rPr>
              <w:t>Reading Comprehension</w:t>
            </w:r>
          </w:p>
        </w:tc>
        <w:tc>
          <w:tcPr>
            <w:tcW w:w="1134" w:type="dxa"/>
            <w:tcBorders>
              <w:top w:val="single" w:sz="4" w:space="0" w:color="auto"/>
              <w:left w:val="nil"/>
              <w:bottom w:val="nil"/>
              <w:right w:val="nil"/>
            </w:tcBorders>
          </w:tcPr>
          <w:p w14:paraId="62E934E6" w14:textId="7602FE01" w:rsidR="00DE7BAC" w:rsidRPr="00032DE2" w:rsidRDefault="00032DE2" w:rsidP="00B33532">
            <w:pPr>
              <w:jc w:val="center"/>
              <w:rPr>
                <w:rFonts w:ascii="Garamond" w:eastAsia="Garamond" w:hAnsi="Garamond" w:cs="Garamond"/>
                <w:b/>
                <w:bCs/>
                <w:iCs/>
              </w:rPr>
            </w:pPr>
            <w:r w:rsidRPr="00032DE2">
              <w:rPr>
                <w:rFonts w:ascii="Garamond" w:eastAsia="Garamond" w:hAnsi="Garamond" w:cs="Garamond"/>
                <w:b/>
                <w:bCs/>
                <w:iCs/>
              </w:rPr>
              <w:t>12.34</w:t>
            </w:r>
          </w:p>
        </w:tc>
        <w:tc>
          <w:tcPr>
            <w:tcW w:w="993" w:type="dxa"/>
            <w:tcBorders>
              <w:top w:val="single" w:sz="4" w:space="0" w:color="auto"/>
              <w:left w:val="nil"/>
              <w:bottom w:val="nil"/>
              <w:right w:val="nil"/>
            </w:tcBorders>
          </w:tcPr>
          <w:p w14:paraId="279F3A44" w14:textId="4199D532" w:rsidR="00DE7BAC" w:rsidRDefault="00DE7BAC" w:rsidP="00B33532">
            <w:pPr>
              <w:jc w:val="center"/>
              <w:rPr>
                <w:rFonts w:ascii="Garamond" w:eastAsia="Garamond" w:hAnsi="Garamond" w:cs="Garamond"/>
                <w:i/>
              </w:rPr>
            </w:pPr>
            <w:r>
              <w:rPr>
                <w:rFonts w:ascii="Garamond" w:eastAsia="Garamond" w:hAnsi="Garamond" w:cs="Garamond"/>
                <w:b/>
                <w:bCs/>
              </w:rPr>
              <w:t>57.93</w:t>
            </w:r>
            <w:r w:rsidRPr="00DE7BAC">
              <w:rPr>
                <w:rFonts w:ascii="Garamond" w:eastAsia="Garamond" w:hAnsi="Garamond" w:cs="Garamond"/>
                <w:b/>
                <w:bCs/>
              </w:rPr>
              <w:t>%</w:t>
            </w:r>
          </w:p>
        </w:tc>
        <w:tc>
          <w:tcPr>
            <w:tcW w:w="2409" w:type="dxa"/>
            <w:tcBorders>
              <w:top w:val="single" w:sz="4" w:space="0" w:color="auto"/>
              <w:left w:val="nil"/>
              <w:bottom w:val="nil"/>
              <w:right w:val="nil"/>
            </w:tcBorders>
          </w:tcPr>
          <w:p w14:paraId="228B0CF6" w14:textId="6C297DBB" w:rsidR="00DE7BAC" w:rsidRPr="004E6598" w:rsidRDefault="002670BB" w:rsidP="00B33532">
            <w:pPr>
              <w:jc w:val="center"/>
              <w:rPr>
                <w:rFonts w:ascii="Garamond" w:eastAsia="Garamond" w:hAnsi="Garamond" w:cs="Garamond"/>
                <w:b/>
                <w:bCs/>
                <w:iCs/>
              </w:rPr>
            </w:pPr>
            <w:r w:rsidRPr="004E6598">
              <w:rPr>
                <w:rFonts w:ascii="Garamond" w:eastAsia="Garamond" w:hAnsi="Garamond" w:cs="Garamond"/>
                <w:b/>
                <w:bCs/>
              </w:rPr>
              <w:t>Low</w:t>
            </w:r>
          </w:p>
        </w:tc>
      </w:tr>
      <w:tr w:rsidR="00DE7BAC" w14:paraId="29F4A1B2" w14:textId="77777777" w:rsidTr="00382EB7">
        <w:tc>
          <w:tcPr>
            <w:tcW w:w="4394" w:type="dxa"/>
            <w:tcBorders>
              <w:top w:val="nil"/>
              <w:left w:val="nil"/>
              <w:bottom w:val="nil"/>
              <w:right w:val="nil"/>
            </w:tcBorders>
          </w:tcPr>
          <w:p w14:paraId="129F8BC1" w14:textId="242D7582" w:rsidR="00DE7BAC" w:rsidRDefault="00DE7BAC" w:rsidP="00B33532">
            <w:pPr>
              <w:jc w:val="center"/>
              <w:rPr>
                <w:rFonts w:ascii="Garamond" w:eastAsia="Garamond" w:hAnsi="Garamond" w:cs="Garamond"/>
                <w:i/>
              </w:rPr>
            </w:pPr>
            <w:r w:rsidRPr="001E594A">
              <w:rPr>
                <w:rFonts w:ascii="Garamond" w:eastAsia="Garamond" w:hAnsi="Garamond" w:cs="Garamond"/>
              </w:rPr>
              <w:t>Critical Comprehension</w:t>
            </w:r>
          </w:p>
        </w:tc>
        <w:tc>
          <w:tcPr>
            <w:tcW w:w="1134" w:type="dxa"/>
            <w:tcBorders>
              <w:top w:val="nil"/>
              <w:left w:val="nil"/>
              <w:bottom w:val="nil"/>
              <w:right w:val="nil"/>
            </w:tcBorders>
          </w:tcPr>
          <w:p w14:paraId="0DC13825" w14:textId="6A558D9C" w:rsidR="00DE7BAC" w:rsidRPr="00032DE2" w:rsidRDefault="00032DE2" w:rsidP="00B33532">
            <w:pPr>
              <w:jc w:val="center"/>
              <w:rPr>
                <w:rFonts w:ascii="Garamond" w:eastAsia="Garamond" w:hAnsi="Garamond" w:cs="Garamond"/>
                <w:iCs/>
              </w:rPr>
            </w:pPr>
            <w:r>
              <w:rPr>
                <w:rFonts w:ascii="Garamond" w:eastAsia="Garamond" w:hAnsi="Garamond" w:cs="Garamond"/>
                <w:iCs/>
              </w:rPr>
              <w:t>17.52</w:t>
            </w:r>
          </w:p>
        </w:tc>
        <w:tc>
          <w:tcPr>
            <w:tcW w:w="993" w:type="dxa"/>
            <w:tcBorders>
              <w:top w:val="nil"/>
              <w:left w:val="nil"/>
              <w:bottom w:val="nil"/>
              <w:right w:val="nil"/>
            </w:tcBorders>
          </w:tcPr>
          <w:p w14:paraId="48938C6D" w14:textId="778F95C1" w:rsidR="00DE7BAC" w:rsidRDefault="00DE7BAC" w:rsidP="00B33532">
            <w:pPr>
              <w:jc w:val="center"/>
              <w:rPr>
                <w:rFonts w:ascii="Garamond" w:eastAsia="Garamond" w:hAnsi="Garamond" w:cs="Garamond"/>
                <w:i/>
              </w:rPr>
            </w:pPr>
            <w:r w:rsidRPr="00E36F0A">
              <w:rPr>
                <w:rFonts w:ascii="Garamond" w:eastAsia="Garamond" w:hAnsi="Garamond" w:cs="Garamond"/>
              </w:rPr>
              <w:t>37.20%</w:t>
            </w:r>
          </w:p>
        </w:tc>
        <w:tc>
          <w:tcPr>
            <w:tcW w:w="2409" w:type="dxa"/>
            <w:tcBorders>
              <w:top w:val="nil"/>
              <w:left w:val="nil"/>
              <w:bottom w:val="nil"/>
              <w:right w:val="nil"/>
            </w:tcBorders>
          </w:tcPr>
          <w:p w14:paraId="5F7F1926" w14:textId="17420808" w:rsidR="00DE7BAC" w:rsidRDefault="00DE7BAC" w:rsidP="00B33532">
            <w:pPr>
              <w:jc w:val="center"/>
              <w:rPr>
                <w:rFonts w:ascii="Garamond" w:eastAsia="Garamond" w:hAnsi="Garamond" w:cs="Garamond"/>
                <w:i/>
              </w:rPr>
            </w:pPr>
            <w:r w:rsidRPr="00761CE1">
              <w:rPr>
                <w:rFonts w:ascii="Garamond" w:eastAsia="Garamond" w:hAnsi="Garamond" w:cs="Garamond"/>
              </w:rPr>
              <w:t>Very Low</w:t>
            </w:r>
          </w:p>
        </w:tc>
      </w:tr>
      <w:tr w:rsidR="00DE7BAC" w14:paraId="65914230" w14:textId="77777777" w:rsidTr="00382EB7">
        <w:tc>
          <w:tcPr>
            <w:tcW w:w="4394" w:type="dxa"/>
            <w:tcBorders>
              <w:top w:val="nil"/>
              <w:left w:val="nil"/>
              <w:bottom w:val="nil"/>
              <w:right w:val="nil"/>
            </w:tcBorders>
          </w:tcPr>
          <w:p w14:paraId="28EBE9CE" w14:textId="5FD8614C" w:rsidR="00DE7BAC" w:rsidRDefault="00EB4363" w:rsidP="00EB4363">
            <w:pPr>
              <w:ind w:firstLine="1022"/>
              <w:rPr>
                <w:rFonts w:ascii="Garamond" w:eastAsia="Garamond" w:hAnsi="Garamond" w:cs="Garamond"/>
                <w:i/>
              </w:rPr>
            </w:pPr>
            <w:r>
              <w:rPr>
                <w:rFonts w:ascii="Garamond" w:eastAsia="Garamond" w:hAnsi="Garamond" w:cs="Garamond"/>
              </w:rPr>
              <w:t xml:space="preserve"> </w:t>
            </w:r>
            <w:r w:rsidR="00DE7BAC" w:rsidRPr="001E594A">
              <w:rPr>
                <w:rFonts w:ascii="Garamond" w:eastAsia="Garamond" w:hAnsi="Garamond" w:cs="Garamond"/>
              </w:rPr>
              <w:t>Inferential Comprehension</w:t>
            </w:r>
          </w:p>
        </w:tc>
        <w:tc>
          <w:tcPr>
            <w:tcW w:w="1134" w:type="dxa"/>
            <w:tcBorders>
              <w:top w:val="nil"/>
              <w:left w:val="nil"/>
              <w:bottom w:val="nil"/>
              <w:right w:val="nil"/>
            </w:tcBorders>
          </w:tcPr>
          <w:p w14:paraId="7D7549E4" w14:textId="6A0226AD" w:rsidR="00DE7BAC" w:rsidRPr="00032DE2" w:rsidRDefault="00032DE2" w:rsidP="00B33532">
            <w:pPr>
              <w:jc w:val="center"/>
              <w:rPr>
                <w:rFonts w:ascii="Garamond" w:eastAsia="Garamond" w:hAnsi="Garamond" w:cs="Garamond"/>
                <w:iCs/>
              </w:rPr>
            </w:pPr>
            <w:r>
              <w:rPr>
                <w:rFonts w:ascii="Garamond" w:eastAsia="Garamond" w:hAnsi="Garamond" w:cs="Garamond"/>
                <w:iCs/>
              </w:rPr>
              <w:t>18.29</w:t>
            </w:r>
          </w:p>
        </w:tc>
        <w:tc>
          <w:tcPr>
            <w:tcW w:w="993" w:type="dxa"/>
            <w:tcBorders>
              <w:top w:val="nil"/>
              <w:left w:val="nil"/>
              <w:bottom w:val="nil"/>
              <w:right w:val="nil"/>
            </w:tcBorders>
          </w:tcPr>
          <w:p w14:paraId="17A0A9AA" w14:textId="3C190531" w:rsidR="00DE7BAC" w:rsidRDefault="00DE7BAC" w:rsidP="00B33532">
            <w:pPr>
              <w:jc w:val="center"/>
              <w:rPr>
                <w:rFonts w:ascii="Garamond" w:eastAsia="Garamond" w:hAnsi="Garamond" w:cs="Garamond"/>
                <w:i/>
              </w:rPr>
            </w:pPr>
            <w:r w:rsidRPr="00E36F0A">
              <w:rPr>
                <w:rFonts w:ascii="Garamond" w:eastAsia="Garamond" w:hAnsi="Garamond" w:cs="Garamond"/>
              </w:rPr>
              <w:t>53.00%</w:t>
            </w:r>
          </w:p>
        </w:tc>
        <w:tc>
          <w:tcPr>
            <w:tcW w:w="2409" w:type="dxa"/>
            <w:tcBorders>
              <w:top w:val="nil"/>
              <w:left w:val="nil"/>
              <w:bottom w:val="nil"/>
              <w:right w:val="nil"/>
            </w:tcBorders>
          </w:tcPr>
          <w:p w14:paraId="09999FB9" w14:textId="7F777C45" w:rsidR="00DE7BAC" w:rsidRDefault="00DE7BAC" w:rsidP="00B33532">
            <w:pPr>
              <w:jc w:val="center"/>
              <w:rPr>
                <w:rFonts w:ascii="Garamond" w:eastAsia="Garamond" w:hAnsi="Garamond" w:cs="Garamond"/>
                <w:i/>
              </w:rPr>
            </w:pPr>
            <w:r w:rsidRPr="00761CE1">
              <w:rPr>
                <w:rFonts w:ascii="Garamond" w:eastAsia="Garamond" w:hAnsi="Garamond" w:cs="Garamond"/>
              </w:rPr>
              <w:t>Low</w:t>
            </w:r>
          </w:p>
        </w:tc>
      </w:tr>
      <w:tr w:rsidR="00DE7BAC" w14:paraId="36662C0F" w14:textId="77777777" w:rsidTr="00382EB7">
        <w:tc>
          <w:tcPr>
            <w:tcW w:w="4394" w:type="dxa"/>
            <w:tcBorders>
              <w:top w:val="nil"/>
              <w:left w:val="nil"/>
              <w:bottom w:val="nil"/>
              <w:right w:val="nil"/>
            </w:tcBorders>
          </w:tcPr>
          <w:p w14:paraId="10A51E4E" w14:textId="06F6FDA0" w:rsidR="00DE7BAC" w:rsidRDefault="00DE7BAC" w:rsidP="00B33532">
            <w:pPr>
              <w:jc w:val="center"/>
              <w:rPr>
                <w:rFonts w:ascii="Garamond" w:eastAsia="Garamond" w:hAnsi="Garamond" w:cs="Garamond"/>
                <w:i/>
              </w:rPr>
            </w:pPr>
            <w:r w:rsidRPr="001E594A">
              <w:rPr>
                <w:rFonts w:ascii="Garamond" w:eastAsia="Garamond" w:hAnsi="Garamond" w:cs="Garamond"/>
              </w:rPr>
              <w:t>Literal Comprehension</w:t>
            </w:r>
          </w:p>
        </w:tc>
        <w:tc>
          <w:tcPr>
            <w:tcW w:w="1134" w:type="dxa"/>
            <w:tcBorders>
              <w:top w:val="nil"/>
              <w:left w:val="nil"/>
              <w:bottom w:val="nil"/>
              <w:right w:val="nil"/>
            </w:tcBorders>
          </w:tcPr>
          <w:p w14:paraId="29885B46" w14:textId="0BC35CC8" w:rsidR="00DE7BAC" w:rsidRPr="00032DE2" w:rsidRDefault="00032DE2" w:rsidP="00B33532">
            <w:pPr>
              <w:jc w:val="center"/>
              <w:rPr>
                <w:rFonts w:ascii="Garamond" w:eastAsia="Garamond" w:hAnsi="Garamond" w:cs="Garamond"/>
                <w:iCs/>
              </w:rPr>
            </w:pPr>
            <w:r>
              <w:rPr>
                <w:rFonts w:ascii="Garamond" w:eastAsia="Garamond" w:hAnsi="Garamond" w:cs="Garamond"/>
                <w:iCs/>
              </w:rPr>
              <w:t>16.42</w:t>
            </w:r>
          </w:p>
        </w:tc>
        <w:tc>
          <w:tcPr>
            <w:tcW w:w="993" w:type="dxa"/>
            <w:tcBorders>
              <w:top w:val="nil"/>
              <w:left w:val="nil"/>
              <w:bottom w:val="nil"/>
              <w:right w:val="nil"/>
            </w:tcBorders>
          </w:tcPr>
          <w:p w14:paraId="6F224419" w14:textId="4355BB8A" w:rsidR="00DE7BAC" w:rsidRDefault="00DE7BAC" w:rsidP="00B33532">
            <w:pPr>
              <w:jc w:val="center"/>
              <w:rPr>
                <w:rFonts w:ascii="Garamond" w:eastAsia="Garamond" w:hAnsi="Garamond" w:cs="Garamond"/>
                <w:i/>
              </w:rPr>
            </w:pPr>
            <w:r w:rsidRPr="00E36F0A">
              <w:rPr>
                <w:rFonts w:ascii="Garamond" w:eastAsia="Garamond" w:hAnsi="Garamond" w:cs="Garamond"/>
              </w:rPr>
              <w:t>83.60%</w:t>
            </w:r>
          </w:p>
        </w:tc>
        <w:tc>
          <w:tcPr>
            <w:tcW w:w="2409" w:type="dxa"/>
            <w:tcBorders>
              <w:top w:val="nil"/>
              <w:left w:val="nil"/>
              <w:bottom w:val="nil"/>
              <w:right w:val="nil"/>
            </w:tcBorders>
          </w:tcPr>
          <w:p w14:paraId="109B71B7" w14:textId="25E771A8" w:rsidR="00DE7BAC" w:rsidRDefault="00DE7BAC" w:rsidP="00B33532">
            <w:pPr>
              <w:jc w:val="center"/>
              <w:rPr>
                <w:rFonts w:ascii="Garamond" w:eastAsia="Garamond" w:hAnsi="Garamond" w:cs="Garamond"/>
                <w:i/>
              </w:rPr>
            </w:pPr>
            <w:r w:rsidRPr="00761CE1">
              <w:rPr>
                <w:rFonts w:ascii="Garamond" w:eastAsia="Garamond" w:hAnsi="Garamond" w:cs="Garamond"/>
              </w:rPr>
              <w:t>High</w:t>
            </w:r>
          </w:p>
        </w:tc>
      </w:tr>
      <w:tr w:rsidR="00DE7BAC" w14:paraId="21B25CF2" w14:textId="77777777" w:rsidTr="00382EB7">
        <w:tc>
          <w:tcPr>
            <w:tcW w:w="4394" w:type="dxa"/>
            <w:tcBorders>
              <w:top w:val="nil"/>
              <w:left w:val="nil"/>
              <w:bottom w:val="nil"/>
              <w:right w:val="nil"/>
            </w:tcBorders>
          </w:tcPr>
          <w:p w14:paraId="08B5063B" w14:textId="06BCCC93" w:rsidR="00DE7BAC" w:rsidRPr="00DE7BAC" w:rsidRDefault="00DE7BAC" w:rsidP="00B33532">
            <w:pPr>
              <w:rPr>
                <w:rFonts w:ascii="Garamond" w:eastAsia="Garamond" w:hAnsi="Garamond" w:cs="Garamond"/>
                <w:b/>
                <w:bCs/>
                <w:iCs/>
              </w:rPr>
            </w:pPr>
            <w:r w:rsidRPr="00FC05F8">
              <w:rPr>
                <w:rFonts w:ascii="Garamond" w:eastAsia="Garamond" w:hAnsi="Garamond" w:cs="Garamond"/>
                <w:b/>
                <w:bCs/>
                <w:iCs/>
              </w:rPr>
              <w:t>Mathematical Word Problem-Solving Ability</w:t>
            </w:r>
          </w:p>
        </w:tc>
        <w:tc>
          <w:tcPr>
            <w:tcW w:w="1134" w:type="dxa"/>
            <w:tcBorders>
              <w:top w:val="nil"/>
              <w:left w:val="nil"/>
              <w:bottom w:val="nil"/>
              <w:right w:val="nil"/>
            </w:tcBorders>
          </w:tcPr>
          <w:p w14:paraId="23BCC38D" w14:textId="1C1799E1" w:rsidR="00DE7BAC" w:rsidRPr="002670BB" w:rsidRDefault="002670BB" w:rsidP="00B33532">
            <w:pPr>
              <w:jc w:val="center"/>
              <w:rPr>
                <w:rFonts w:ascii="Garamond" w:eastAsia="Garamond" w:hAnsi="Garamond" w:cs="Garamond"/>
                <w:b/>
                <w:bCs/>
                <w:iCs/>
              </w:rPr>
            </w:pPr>
            <w:r w:rsidRPr="002670BB">
              <w:rPr>
                <w:rFonts w:ascii="Garamond" w:eastAsia="Garamond" w:hAnsi="Garamond" w:cs="Garamond"/>
                <w:b/>
                <w:bCs/>
                <w:iCs/>
              </w:rPr>
              <w:t>9.36</w:t>
            </w:r>
          </w:p>
        </w:tc>
        <w:tc>
          <w:tcPr>
            <w:tcW w:w="993" w:type="dxa"/>
            <w:tcBorders>
              <w:top w:val="nil"/>
              <w:left w:val="nil"/>
              <w:bottom w:val="nil"/>
              <w:right w:val="nil"/>
            </w:tcBorders>
          </w:tcPr>
          <w:p w14:paraId="1BA6C1F4" w14:textId="4DD356A1" w:rsidR="00DE7BAC" w:rsidRDefault="00DE7BAC" w:rsidP="00B33532">
            <w:pPr>
              <w:jc w:val="center"/>
              <w:rPr>
                <w:rFonts w:ascii="Garamond" w:eastAsia="Garamond" w:hAnsi="Garamond" w:cs="Garamond"/>
                <w:i/>
              </w:rPr>
            </w:pPr>
            <w:r>
              <w:rPr>
                <w:rFonts w:ascii="Garamond" w:eastAsia="Garamond" w:hAnsi="Garamond" w:cs="Garamond"/>
                <w:b/>
                <w:bCs/>
              </w:rPr>
              <w:t>53.9</w:t>
            </w:r>
            <w:r w:rsidRPr="00DE7BAC">
              <w:rPr>
                <w:rFonts w:ascii="Garamond" w:eastAsia="Garamond" w:hAnsi="Garamond" w:cs="Garamond"/>
                <w:b/>
                <w:bCs/>
              </w:rPr>
              <w:t>%</w:t>
            </w:r>
          </w:p>
        </w:tc>
        <w:tc>
          <w:tcPr>
            <w:tcW w:w="2409" w:type="dxa"/>
            <w:tcBorders>
              <w:top w:val="nil"/>
              <w:left w:val="nil"/>
              <w:bottom w:val="nil"/>
              <w:right w:val="nil"/>
            </w:tcBorders>
          </w:tcPr>
          <w:p w14:paraId="676B7D4A" w14:textId="3B4FBBC2" w:rsidR="00DE7BAC" w:rsidRPr="004E6598" w:rsidRDefault="002670BB" w:rsidP="00B33532">
            <w:pPr>
              <w:jc w:val="center"/>
              <w:rPr>
                <w:rFonts w:ascii="Garamond" w:eastAsia="Garamond" w:hAnsi="Garamond" w:cs="Garamond"/>
                <w:b/>
                <w:bCs/>
                <w:iCs/>
              </w:rPr>
            </w:pPr>
            <w:r w:rsidRPr="004E6598">
              <w:rPr>
                <w:rFonts w:ascii="Garamond" w:eastAsia="Garamond" w:hAnsi="Garamond" w:cs="Garamond"/>
                <w:b/>
                <w:bCs/>
                <w:iCs/>
              </w:rPr>
              <w:t>Low</w:t>
            </w:r>
          </w:p>
        </w:tc>
      </w:tr>
      <w:tr w:rsidR="00DE7BAC" w14:paraId="6F7CB53C" w14:textId="77777777" w:rsidTr="00382EB7">
        <w:tc>
          <w:tcPr>
            <w:tcW w:w="4394" w:type="dxa"/>
            <w:tcBorders>
              <w:top w:val="nil"/>
              <w:left w:val="nil"/>
              <w:bottom w:val="nil"/>
              <w:right w:val="nil"/>
            </w:tcBorders>
          </w:tcPr>
          <w:p w14:paraId="71C9DE2A" w14:textId="3E8F3773" w:rsidR="00DE7BAC" w:rsidRDefault="00DE7BAC" w:rsidP="00EB4363">
            <w:pPr>
              <w:ind w:left="30" w:firstLine="992"/>
              <w:rPr>
                <w:rFonts w:ascii="Garamond" w:eastAsia="Garamond" w:hAnsi="Garamond" w:cs="Garamond"/>
                <w:i/>
              </w:rPr>
            </w:pPr>
            <w:r w:rsidRPr="005C178D">
              <w:rPr>
                <w:rFonts w:ascii="Garamond" w:eastAsia="Garamond" w:hAnsi="Garamond" w:cs="Garamond"/>
              </w:rPr>
              <w:t>Addition</w:t>
            </w:r>
          </w:p>
        </w:tc>
        <w:tc>
          <w:tcPr>
            <w:tcW w:w="1134" w:type="dxa"/>
            <w:tcBorders>
              <w:top w:val="nil"/>
              <w:left w:val="nil"/>
              <w:bottom w:val="nil"/>
              <w:right w:val="nil"/>
            </w:tcBorders>
          </w:tcPr>
          <w:p w14:paraId="685CDCED" w14:textId="7DF7286B" w:rsidR="00DE7BAC" w:rsidRPr="002670BB" w:rsidRDefault="002670BB" w:rsidP="00B33532">
            <w:pPr>
              <w:jc w:val="center"/>
              <w:rPr>
                <w:rFonts w:ascii="Garamond" w:eastAsia="Garamond" w:hAnsi="Garamond" w:cs="Garamond"/>
                <w:iCs/>
              </w:rPr>
            </w:pPr>
            <w:r>
              <w:rPr>
                <w:rFonts w:ascii="Garamond" w:eastAsia="Garamond" w:hAnsi="Garamond" w:cs="Garamond"/>
                <w:iCs/>
              </w:rPr>
              <w:t>16.21</w:t>
            </w:r>
          </w:p>
        </w:tc>
        <w:tc>
          <w:tcPr>
            <w:tcW w:w="993" w:type="dxa"/>
            <w:tcBorders>
              <w:top w:val="nil"/>
              <w:left w:val="nil"/>
              <w:bottom w:val="nil"/>
              <w:right w:val="nil"/>
            </w:tcBorders>
          </w:tcPr>
          <w:p w14:paraId="4D94710C" w14:textId="6F5F9A20" w:rsidR="00DE7BAC" w:rsidRDefault="00DE7BAC" w:rsidP="00B33532">
            <w:pPr>
              <w:jc w:val="center"/>
              <w:rPr>
                <w:rFonts w:ascii="Garamond" w:eastAsia="Garamond" w:hAnsi="Garamond" w:cs="Garamond"/>
                <w:i/>
              </w:rPr>
            </w:pPr>
            <w:r w:rsidRPr="00195675">
              <w:rPr>
                <w:rFonts w:ascii="Garamond" w:eastAsia="Garamond" w:hAnsi="Garamond" w:cs="Garamond"/>
              </w:rPr>
              <w:t>86.00%</w:t>
            </w:r>
          </w:p>
        </w:tc>
        <w:tc>
          <w:tcPr>
            <w:tcW w:w="2409" w:type="dxa"/>
            <w:tcBorders>
              <w:top w:val="nil"/>
              <w:left w:val="nil"/>
              <w:bottom w:val="nil"/>
              <w:right w:val="nil"/>
            </w:tcBorders>
          </w:tcPr>
          <w:p w14:paraId="52C1CA5A" w14:textId="5259EE49" w:rsidR="00DE7BAC" w:rsidRDefault="00DE7BAC" w:rsidP="00B33532">
            <w:pPr>
              <w:jc w:val="center"/>
              <w:rPr>
                <w:rFonts w:ascii="Garamond" w:eastAsia="Garamond" w:hAnsi="Garamond" w:cs="Garamond"/>
                <w:i/>
              </w:rPr>
            </w:pPr>
            <w:r w:rsidRPr="002017EA">
              <w:rPr>
                <w:rFonts w:ascii="Garamond" w:eastAsia="Garamond" w:hAnsi="Garamond" w:cs="Garamond"/>
              </w:rPr>
              <w:t>High</w:t>
            </w:r>
          </w:p>
        </w:tc>
      </w:tr>
      <w:tr w:rsidR="00DE7BAC" w14:paraId="5BD76663" w14:textId="77777777" w:rsidTr="00382EB7">
        <w:tc>
          <w:tcPr>
            <w:tcW w:w="4394" w:type="dxa"/>
            <w:tcBorders>
              <w:top w:val="nil"/>
              <w:left w:val="nil"/>
              <w:bottom w:val="nil"/>
              <w:right w:val="nil"/>
            </w:tcBorders>
          </w:tcPr>
          <w:p w14:paraId="767A885B" w14:textId="1ED6425E" w:rsidR="00DE7BAC" w:rsidRDefault="00DE7BAC" w:rsidP="00EB4363">
            <w:pPr>
              <w:ind w:firstLine="1022"/>
              <w:rPr>
                <w:rFonts w:ascii="Garamond" w:eastAsia="Garamond" w:hAnsi="Garamond" w:cs="Garamond"/>
                <w:i/>
              </w:rPr>
            </w:pPr>
            <w:r w:rsidRPr="005C178D">
              <w:rPr>
                <w:rFonts w:ascii="Garamond" w:eastAsia="Garamond" w:hAnsi="Garamond" w:cs="Garamond"/>
              </w:rPr>
              <w:t>Division</w:t>
            </w:r>
          </w:p>
        </w:tc>
        <w:tc>
          <w:tcPr>
            <w:tcW w:w="1134" w:type="dxa"/>
            <w:tcBorders>
              <w:top w:val="nil"/>
              <w:left w:val="nil"/>
              <w:bottom w:val="nil"/>
              <w:right w:val="nil"/>
            </w:tcBorders>
          </w:tcPr>
          <w:p w14:paraId="55CE0591" w14:textId="162F9D87" w:rsidR="00DE7BAC" w:rsidRPr="002670BB" w:rsidRDefault="002670BB" w:rsidP="00B33532">
            <w:pPr>
              <w:jc w:val="center"/>
              <w:rPr>
                <w:rFonts w:ascii="Garamond" w:eastAsia="Garamond" w:hAnsi="Garamond" w:cs="Garamond"/>
                <w:iCs/>
              </w:rPr>
            </w:pPr>
            <w:r>
              <w:rPr>
                <w:rFonts w:ascii="Garamond" w:eastAsia="Garamond" w:hAnsi="Garamond" w:cs="Garamond"/>
                <w:iCs/>
              </w:rPr>
              <w:t>17.77</w:t>
            </w:r>
          </w:p>
        </w:tc>
        <w:tc>
          <w:tcPr>
            <w:tcW w:w="993" w:type="dxa"/>
            <w:tcBorders>
              <w:top w:val="nil"/>
              <w:left w:val="nil"/>
              <w:bottom w:val="nil"/>
              <w:right w:val="nil"/>
            </w:tcBorders>
          </w:tcPr>
          <w:p w14:paraId="5BB864EA" w14:textId="41A8A507" w:rsidR="00DE7BAC" w:rsidRDefault="00DE7BAC" w:rsidP="00B33532">
            <w:pPr>
              <w:jc w:val="center"/>
              <w:rPr>
                <w:rFonts w:ascii="Garamond" w:eastAsia="Garamond" w:hAnsi="Garamond" w:cs="Garamond"/>
                <w:i/>
              </w:rPr>
            </w:pPr>
            <w:r w:rsidRPr="00195675">
              <w:rPr>
                <w:rFonts w:ascii="Garamond" w:eastAsia="Garamond" w:hAnsi="Garamond" w:cs="Garamond"/>
              </w:rPr>
              <w:t>26.60%</w:t>
            </w:r>
          </w:p>
        </w:tc>
        <w:tc>
          <w:tcPr>
            <w:tcW w:w="2409" w:type="dxa"/>
            <w:tcBorders>
              <w:top w:val="nil"/>
              <w:left w:val="nil"/>
              <w:bottom w:val="nil"/>
              <w:right w:val="nil"/>
            </w:tcBorders>
          </w:tcPr>
          <w:p w14:paraId="4C044BA9" w14:textId="2F441545" w:rsidR="00DE7BAC" w:rsidRDefault="00DE7BAC" w:rsidP="00B33532">
            <w:pPr>
              <w:jc w:val="center"/>
              <w:rPr>
                <w:rFonts w:ascii="Garamond" w:eastAsia="Garamond" w:hAnsi="Garamond" w:cs="Garamond"/>
                <w:i/>
              </w:rPr>
            </w:pPr>
            <w:r w:rsidRPr="002017EA">
              <w:rPr>
                <w:rFonts w:ascii="Garamond" w:eastAsia="Garamond" w:hAnsi="Garamond" w:cs="Garamond"/>
              </w:rPr>
              <w:t>Very Low</w:t>
            </w:r>
          </w:p>
        </w:tc>
      </w:tr>
      <w:tr w:rsidR="00DE7BAC" w14:paraId="3983EFC9" w14:textId="77777777" w:rsidTr="00382EB7">
        <w:tc>
          <w:tcPr>
            <w:tcW w:w="4394" w:type="dxa"/>
            <w:tcBorders>
              <w:top w:val="nil"/>
              <w:left w:val="nil"/>
              <w:bottom w:val="nil"/>
              <w:right w:val="nil"/>
            </w:tcBorders>
          </w:tcPr>
          <w:p w14:paraId="432D3FE4" w14:textId="1CBCDDB4" w:rsidR="00DE7BAC" w:rsidRDefault="00DE7BAC" w:rsidP="00EB4363">
            <w:pPr>
              <w:ind w:firstLine="1022"/>
              <w:rPr>
                <w:rFonts w:ascii="Garamond" w:eastAsia="Garamond" w:hAnsi="Garamond" w:cs="Garamond"/>
                <w:i/>
              </w:rPr>
            </w:pPr>
            <w:r w:rsidRPr="005C178D">
              <w:rPr>
                <w:rFonts w:ascii="Garamond" w:eastAsia="Garamond" w:hAnsi="Garamond" w:cs="Garamond"/>
              </w:rPr>
              <w:t>Multiplication</w:t>
            </w:r>
          </w:p>
        </w:tc>
        <w:tc>
          <w:tcPr>
            <w:tcW w:w="1134" w:type="dxa"/>
            <w:tcBorders>
              <w:top w:val="nil"/>
              <w:left w:val="nil"/>
              <w:bottom w:val="nil"/>
              <w:right w:val="nil"/>
            </w:tcBorders>
          </w:tcPr>
          <w:p w14:paraId="39F8DE01" w14:textId="7F080295" w:rsidR="00DE7BAC" w:rsidRPr="002670BB" w:rsidRDefault="002670BB" w:rsidP="00B33532">
            <w:pPr>
              <w:jc w:val="center"/>
              <w:rPr>
                <w:rFonts w:ascii="Garamond" w:eastAsia="Garamond" w:hAnsi="Garamond" w:cs="Garamond"/>
                <w:iCs/>
              </w:rPr>
            </w:pPr>
            <w:r>
              <w:rPr>
                <w:rFonts w:ascii="Garamond" w:eastAsia="Garamond" w:hAnsi="Garamond" w:cs="Garamond"/>
                <w:iCs/>
              </w:rPr>
              <w:t>15.17</w:t>
            </w:r>
          </w:p>
        </w:tc>
        <w:tc>
          <w:tcPr>
            <w:tcW w:w="993" w:type="dxa"/>
            <w:tcBorders>
              <w:top w:val="nil"/>
              <w:left w:val="nil"/>
              <w:bottom w:val="nil"/>
              <w:right w:val="nil"/>
            </w:tcBorders>
          </w:tcPr>
          <w:p w14:paraId="1B698D7B" w14:textId="1206DD62" w:rsidR="00DE7BAC" w:rsidRDefault="00DE7BAC" w:rsidP="00B33532">
            <w:pPr>
              <w:jc w:val="center"/>
              <w:rPr>
                <w:rFonts w:ascii="Garamond" w:eastAsia="Garamond" w:hAnsi="Garamond" w:cs="Garamond"/>
                <w:i/>
              </w:rPr>
            </w:pPr>
            <w:r w:rsidRPr="00195675">
              <w:rPr>
                <w:rFonts w:ascii="Garamond" w:eastAsia="Garamond" w:hAnsi="Garamond" w:cs="Garamond"/>
              </w:rPr>
              <w:t xml:space="preserve">40.20%                                       </w:t>
            </w:r>
          </w:p>
        </w:tc>
        <w:tc>
          <w:tcPr>
            <w:tcW w:w="2409" w:type="dxa"/>
            <w:tcBorders>
              <w:top w:val="nil"/>
              <w:left w:val="nil"/>
              <w:bottom w:val="nil"/>
              <w:right w:val="nil"/>
            </w:tcBorders>
          </w:tcPr>
          <w:p w14:paraId="3B65553E" w14:textId="61F0C0E5" w:rsidR="00DE7BAC" w:rsidRDefault="00DE7BAC" w:rsidP="00B33532">
            <w:pPr>
              <w:jc w:val="center"/>
              <w:rPr>
                <w:rFonts w:ascii="Garamond" w:eastAsia="Garamond" w:hAnsi="Garamond" w:cs="Garamond"/>
                <w:i/>
              </w:rPr>
            </w:pPr>
            <w:r w:rsidRPr="002017EA">
              <w:rPr>
                <w:rFonts w:ascii="Garamond" w:eastAsia="Garamond" w:hAnsi="Garamond" w:cs="Garamond"/>
              </w:rPr>
              <w:t>Low</w:t>
            </w:r>
          </w:p>
        </w:tc>
      </w:tr>
      <w:tr w:rsidR="00DE7BAC" w14:paraId="453D223E" w14:textId="77777777" w:rsidTr="00382EB7">
        <w:tc>
          <w:tcPr>
            <w:tcW w:w="4394" w:type="dxa"/>
            <w:tcBorders>
              <w:top w:val="nil"/>
              <w:left w:val="nil"/>
              <w:bottom w:val="single" w:sz="4" w:space="0" w:color="auto"/>
              <w:right w:val="nil"/>
            </w:tcBorders>
          </w:tcPr>
          <w:p w14:paraId="5FAFF30C" w14:textId="1491F5CB" w:rsidR="00DE7BAC" w:rsidRDefault="00DE7BAC" w:rsidP="00EB4363">
            <w:pPr>
              <w:ind w:firstLine="1022"/>
              <w:rPr>
                <w:rFonts w:ascii="Garamond" w:eastAsia="Garamond" w:hAnsi="Garamond" w:cs="Garamond"/>
                <w:i/>
              </w:rPr>
            </w:pPr>
            <w:r w:rsidRPr="005C178D">
              <w:rPr>
                <w:rFonts w:ascii="Garamond" w:eastAsia="Garamond" w:hAnsi="Garamond" w:cs="Garamond"/>
              </w:rPr>
              <w:t>Subtraction</w:t>
            </w:r>
          </w:p>
        </w:tc>
        <w:tc>
          <w:tcPr>
            <w:tcW w:w="1134" w:type="dxa"/>
            <w:tcBorders>
              <w:top w:val="nil"/>
              <w:left w:val="nil"/>
              <w:bottom w:val="single" w:sz="4" w:space="0" w:color="auto"/>
              <w:right w:val="nil"/>
            </w:tcBorders>
          </w:tcPr>
          <w:p w14:paraId="7C0BF1D7" w14:textId="42C61740" w:rsidR="00DE7BAC" w:rsidRPr="00DE7BAC" w:rsidRDefault="002670BB" w:rsidP="00B33532">
            <w:pPr>
              <w:jc w:val="center"/>
              <w:rPr>
                <w:rFonts w:ascii="Garamond" w:eastAsia="Garamond" w:hAnsi="Garamond" w:cs="Garamond"/>
                <w:iCs/>
              </w:rPr>
            </w:pPr>
            <w:r>
              <w:rPr>
                <w:rFonts w:ascii="Garamond" w:eastAsia="Garamond" w:hAnsi="Garamond" w:cs="Garamond"/>
                <w:iCs/>
              </w:rPr>
              <w:t>16.82</w:t>
            </w:r>
          </w:p>
        </w:tc>
        <w:tc>
          <w:tcPr>
            <w:tcW w:w="993" w:type="dxa"/>
            <w:tcBorders>
              <w:top w:val="nil"/>
              <w:left w:val="nil"/>
              <w:bottom w:val="single" w:sz="4" w:space="0" w:color="auto"/>
              <w:right w:val="nil"/>
            </w:tcBorders>
          </w:tcPr>
          <w:p w14:paraId="7149C72E" w14:textId="2171FF3B" w:rsidR="00DE7BAC" w:rsidRDefault="00DE7BAC" w:rsidP="00B33532">
            <w:pPr>
              <w:jc w:val="center"/>
              <w:rPr>
                <w:rFonts w:ascii="Garamond" w:eastAsia="Garamond" w:hAnsi="Garamond" w:cs="Garamond"/>
                <w:i/>
              </w:rPr>
            </w:pPr>
            <w:r w:rsidRPr="00195675">
              <w:rPr>
                <w:rFonts w:ascii="Garamond" w:eastAsia="Garamond" w:hAnsi="Garamond" w:cs="Garamond"/>
              </w:rPr>
              <w:t>62.80%</w:t>
            </w:r>
          </w:p>
        </w:tc>
        <w:tc>
          <w:tcPr>
            <w:tcW w:w="2409" w:type="dxa"/>
            <w:tcBorders>
              <w:top w:val="nil"/>
              <w:left w:val="nil"/>
              <w:bottom w:val="single" w:sz="4" w:space="0" w:color="auto"/>
              <w:right w:val="nil"/>
            </w:tcBorders>
          </w:tcPr>
          <w:p w14:paraId="366B1624" w14:textId="6C25004F" w:rsidR="00DE7BAC" w:rsidRDefault="00DE7BAC" w:rsidP="00B33532">
            <w:pPr>
              <w:jc w:val="center"/>
              <w:rPr>
                <w:rFonts w:ascii="Garamond" w:eastAsia="Garamond" w:hAnsi="Garamond" w:cs="Garamond"/>
                <w:i/>
              </w:rPr>
            </w:pPr>
            <w:r w:rsidRPr="002017EA">
              <w:rPr>
                <w:rFonts w:ascii="Garamond" w:eastAsia="Garamond" w:hAnsi="Garamond" w:cs="Garamond"/>
              </w:rPr>
              <w:t>Moderate</w:t>
            </w:r>
          </w:p>
        </w:tc>
      </w:tr>
    </w:tbl>
    <w:p w14:paraId="5F4EDF21" w14:textId="77777777" w:rsidR="007E71FB" w:rsidRDefault="007E71FB" w:rsidP="000C61BE">
      <w:pPr>
        <w:spacing w:line="240" w:lineRule="auto"/>
        <w:ind w:firstLine="720"/>
        <w:jc w:val="both"/>
        <w:rPr>
          <w:rFonts w:ascii="Garamond" w:eastAsia="Garamond" w:hAnsi="Garamond" w:cs="Garamond"/>
        </w:rPr>
      </w:pPr>
    </w:p>
    <w:p w14:paraId="42D1049B" w14:textId="77777777" w:rsidR="00527D6C" w:rsidRDefault="00E35314" w:rsidP="000C61BE">
      <w:pPr>
        <w:spacing w:line="240" w:lineRule="auto"/>
        <w:ind w:firstLine="720"/>
        <w:jc w:val="both"/>
        <w:rPr>
          <w:rFonts w:ascii="Garamond" w:eastAsia="Garamond" w:hAnsi="Garamond" w:cs="Garamond"/>
        </w:rPr>
      </w:pPr>
      <w:r w:rsidRPr="00E35314">
        <w:rPr>
          <w:rFonts w:ascii="Garamond" w:eastAsia="Garamond" w:hAnsi="Garamond" w:cs="Garamond"/>
        </w:rPr>
        <w:t xml:space="preserve">Table 1 presents the results of the students' performance in Reading Comprehension and Mathematical Word Problem-Solving Ability. For Reading Comprehension, the highest performance was observed in Literal Comprehension, with a percent correct of </w:t>
      </w:r>
      <w:r w:rsidR="009A298D">
        <w:rPr>
          <w:rFonts w:ascii="Garamond" w:eastAsia="Garamond" w:hAnsi="Garamond" w:cs="Garamond"/>
        </w:rPr>
        <w:t>8</w:t>
      </w:r>
      <w:r w:rsidRPr="00E35314">
        <w:rPr>
          <w:rFonts w:ascii="Garamond" w:eastAsia="Garamond" w:hAnsi="Garamond" w:cs="Garamond"/>
        </w:rPr>
        <w:t xml:space="preserve">3.60%, interpreted as </w:t>
      </w:r>
      <w:r w:rsidR="009A298D">
        <w:rPr>
          <w:rFonts w:ascii="Garamond" w:eastAsia="Garamond" w:hAnsi="Garamond" w:cs="Garamond"/>
        </w:rPr>
        <w:t>High</w:t>
      </w:r>
      <w:r w:rsidRPr="00E35314">
        <w:rPr>
          <w:rFonts w:ascii="Garamond" w:eastAsia="Garamond" w:hAnsi="Garamond" w:cs="Garamond"/>
        </w:rPr>
        <w:t xml:space="preserve">. This suggests that students are fairly capable of understanding directly stated information in texts. However, scores in Critical Comprehension (37.20%) and Inferential Comprehension (53.00%) were interpreted as Very Low and Low, respectively. These results reveal that students struggle with analyzing, evaluating, and drawing conclusions from reading material. </w:t>
      </w:r>
    </w:p>
    <w:p w14:paraId="3D15C64B" w14:textId="0422B6F2" w:rsidR="00E35314" w:rsidRPr="00FC05F8" w:rsidRDefault="00E35314" w:rsidP="000C61BE">
      <w:pPr>
        <w:spacing w:line="240" w:lineRule="auto"/>
        <w:ind w:firstLine="720"/>
        <w:jc w:val="both"/>
        <w:rPr>
          <w:rFonts w:ascii="Garamond" w:eastAsia="Garamond" w:hAnsi="Garamond" w:cs="Garamond"/>
        </w:rPr>
      </w:pPr>
      <w:r w:rsidRPr="00E35314">
        <w:rPr>
          <w:rFonts w:ascii="Garamond" w:eastAsia="Garamond" w:hAnsi="Garamond" w:cs="Garamond"/>
        </w:rPr>
        <w:t xml:space="preserve">In Mathematical Word Problem-Solving Ability, students performed best in Addition, with a percent correct of 86.00%, interpreted as High. This indicates that most students were able to solve addition word problems </w:t>
      </w:r>
      <w:r w:rsidR="00202AE7">
        <w:rPr>
          <w:rFonts w:ascii="Garamond" w:eastAsia="Garamond" w:hAnsi="Garamond" w:cs="Garamond"/>
        </w:rPr>
        <w:t>confidently</w:t>
      </w:r>
      <w:r w:rsidRPr="00E35314">
        <w:rPr>
          <w:rFonts w:ascii="Garamond" w:eastAsia="Garamond" w:hAnsi="Garamond" w:cs="Garamond"/>
        </w:rPr>
        <w:t>. In contrast, their performance in Division (26.60%) was Very Low, showing significant difficulty in this area. Multiplication (40.20%) was rated as Low, and Subtraction (62.80%) as Moderate, indicating that students had varying levels of difficulty depending on the operation, with division being the most challenging.</w:t>
      </w:r>
    </w:p>
    <w:p w14:paraId="382631DB" w14:textId="77777777" w:rsidR="000C61BE" w:rsidRPr="00FC05F8" w:rsidRDefault="000C61BE" w:rsidP="000C61BE">
      <w:pPr>
        <w:spacing w:line="240" w:lineRule="auto"/>
        <w:ind w:firstLine="720"/>
        <w:jc w:val="both"/>
        <w:rPr>
          <w:rFonts w:ascii="Garamond" w:eastAsia="Garamond" w:hAnsi="Garamond" w:cs="Garamond"/>
        </w:rPr>
      </w:pPr>
    </w:p>
    <w:p w14:paraId="50EB98EA" w14:textId="20FCB3A7" w:rsidR="00B71C7C" w:rsidRDefault="000C61BE" w:rsidP="00D47078">
      <w:pPr>
        <w:spacing w:line="240" w:lineRule="auto"/>
        <w:ind w:firstLine="720"/>
        <w:jc w:val="both"/>
        <w:rPr>
          <w:rFonts w:ascii="Garamond" w:eastAsia="Garamond" w:hAnsi="Garamond" w:cs="Garamond"/>
        </w:rPr>
      </w:pPr>
      <w:r w:rsidRPr="00FC05F8">
        <w:rPr>
          <w:rFonts w:ascii="Garamond" w:eastAsia="Garamond" w:hAnsi="Garamond" w:cs="Garamond"/>
        </w:rPr>
        <w:t>Overall, the findings indicate that while students demonstrate satisfactory skills in basic addition and literal reading comprehension, they require further support and instruction in more complex mathematical operations (especially division and multiplication) and in developing higher-order reading skills such as critical and inferential thinking.</w:t>
      </w:r>
    </w:p>
    <w:p w14:paraId="1520780C" w14:textId="77777777" w:rsidR="00D47078" w:rsidRPr="00FC05F8" w:rsidRDefault="00D47078" w:rsidP="00D47078">
      <w:pPr>
        <w:spacing w:line="240" w:lineRule="auto"/>
        <w:ind w:firstLine="720"/>
        <w:jc w:val="both"/>
        <w:rPr>
          <w:rFonts w:ascii="Garamond" w:eastAsia="Garamond" w:hAnsi="Garamond" w:cs="Garamond"/>
        </w:rPr>
      </w:pPr>
    </w:p>
    <w:p w14:paraId="1E04114B" w14:textId="5EC80038" w:rsidR="001F6836" w:rsidRPr="00FC05F8" w:rsidRDefault="005D6994" w:rsidP="00E35EDB">
      <w:pPr>
        <w:spacing w:after="200" w:line="240" w:lineRule="auto"/>
        <w:rPr>
          <w:rFonts w:ascii="Garamond" w:eastAsia="Garamond" w:hAnsi="Garamond" w:cs="Garamond"/>
          <w:i/>
        </w:rPr>
      </w:pPr>
      <w:r w:rsidRPr="00FC05F8">
        <w:rPr>
          <w:rFonts w:ascii="Garamond" w:eastAsia="Garamond" w:hAnsi="Garamond" w:cs="Garamond"/>
        </w:rPr>
        <w:t xml:space="preserve">Table 2: </w:t>
      </w:r>
      <w:r w:rsidR="00E35EDB" w:rsidRPr="00FC05F8">
        <w:rPr>
          <w:rFonts w:ascii="Garamond" w:eastAsia="Garamond" w:hAnsi="Garamond" w:cs="Garamond"/>
        </w:rPr>
        <w:t xml:space="preserve">Test of </w:t>
      </w:r>
      <w:r w:rsidRPr="00FC05F8">
        <w:rPr>
          <w:rFonts w:ascii="Garamond" w:eastAsia="Garamond" w:hAnsi="Garamond" w:cs="Garamond"/>
          <w:i/>
        </w:rPr>
        <w:t>Relationship</w:t>
      </w:r>
    </w:p>
    <w:tbl>
      <w:tblPr>
        <w:tblStyle w:val="TableGrid"/>
        <w:tblW w:w="9351" w:type="dxa"/>
        <w:tblLook w:val="04A0" w:firstRow="1" w:lastRow="0" w:firstColumn="1" w:lastColumn="0" w:noHBand="0" w:noVBand="1"/>
      </w:tblPr>
      <w:tblGrid>
        <w:gridCol w:w="3114"/>
        <w:gridCol w:w="1559"/>
        <w:gridCol w:w="1281"/>
        <w:gridCol w:w="1559"/>
        <w:gridCol w:w="1838"/>
      </w:tblGrid>
      <w:tr w:rsidR="00FC05F8" w:rsidRPr="00FC05F8" w14:paraId="5D38E06B" w14:textId="77777777" w:rsidTr="003D57C5">
        <w:tc>
          <w:tcPr>
            <w:tcW w:w="3114" w:type="dxa"/>
            <w:vMerge w:val="restart"/>
            <w:tcBorders>
              <w:top w:val="double" w:sz="4" w:space="0" w:color="auto"/>
              <w:left w:val="nil"/>
              <w:bottom w:val="nil"/>
              <w:right w:val="nil"/>
            </w:tcBorders>
          </w:tcPr>
          <w:p w14:paraId="4E3107A1" w14:textId="77777777" w:rsidR="0028780D" w:rsidRPr="003410F0" w:rsidRDefault="0028780D" w:rsidP="003410F0">
            <w:pPr>
              <w:pStyle w:val="NoSpacing"/>
              <w:jc w:val="center"/>
              <w:rPr>
                <w:rFonts w:ascii="Garamond" w:hAnsi="Garamond"/>
                <w:b/>
                <w:bCs/>
                <w:highlight w:val="white"/>
              </w:rPr>
            </w:pPr>
          </w:p>
          <w:p w14:paraId="49FE822E" w14:textId="1F9CC0D5" w:rsidR="0028780D" w:rsidRPr="003410F0" w:rsidRDefault="00527D6C" w:rsidP="003410F0">
            <w:pPr>
              <w:pStyle w:val="NoSpacing"/>
              <w:jc w:val="center"/>
              <w:rPr>
                <w:rFonts w:ascii="Garamond" w:hAnsi="Garamond"/>
                <w:b/>
                <w:bCs/>
                <w:highlight w:val="white"/>
              </w:rPr>
            </w:pPr>
            <w:r>
              <w:rPr>
                <w:rFonts w:ascii="Garamond" w:hAnsi="Garamond"/>
                <w:b/>
                <w:bCs/>
                <w:highlight w:val="white"/>
              </w:rPr>
              <w:t>Predictor</w:t>
            </w:r>
            <w:r w:rsidR="0028780D" w:rsidRPr="003410F0">
              <w:rPr>
                <w:rFonts w:ascii="Garamond" w:hAnsi="Garamond"/>
                <w:b/>
                <w:bCs/>
                <w:highlight w:val="white"/>
              </w:rPr>
              <w:t xml:space="preserve"> Variable</w:t>
            </w:r>
          </w:p>
        </w:tc>
        <w:tc>
          <w:tcPr>
            <w:tcW w:w="6237" w:type="dxa"/>
            <w:gridSpan w:val="4"/>
            <w:tcBorders>
              <w:top w:val="double" w:sz="4" w:space="0" w:color="auto"/>
              <w:left w:val="nil"/>
              <w:bottom w:val="single" w:sz="4" w:space="0" w:color="auto"/>
              <w:right w:val="nil"/>
            </w:tcBorders>
          </w:tcPr>
          <w:p w14:paraId="43D4FE9F" w14:textId="506801A4" w:rsidR="0028780D" w:rsidRPr="003410F0" w:rsidRDefault="008F311A" w:rsidP="003410F0">
            <w:pPr>
              <w:pStyle w:val="NoSpacing"/>
              <w:jc w:val="center"/>
              <w:rPr>
                <w:rFonts w:ascii="Garamond" w:hAnsi="Garamond"/>
                <w:b/>
                <w:bCs/>
                <w:highlight w:val="white"/>
              </w:rPr>
            </w:pPr>
            <w:r w:rsidRPr="008F311A">
              <w:rPr>
                <w:rFonts w:ascii="Garamond" w:hAnsi="Garamond"/>
                <w:b/>
                <w:bCs/>
              </w:rPr>
              <w:t>Mathematical Word Problem-Solving Ability</w:t>
            </w:r>
          </w:p>
        </w:tc>
      </w:tr>
      <w:tr w:rsidR="00FC05F8" w:rsidRPr="00FC05F8" w14:paraId="3E91CABE" w14:textId="77777777" w:rsidTr="00D47078">
        <w:trPr>
          <w:trHeight w:val="443"/>
        </w:trPr>
        <w:tc>
          <w:tcPr>
            <w:tcW w:w="3114" w:type="dxa"/>
            <w:vMerge/>
            <w:tcBorders>
              <w:top w:val="nil"/>
              <w:left w:val="nil"/>
              <w:bottom w:val="nil"/>
              <w:right w:val="nil"/>
            </w:tcBorders>
          </w:tcPr>
          <w:p w14:paraId="6A064DB9" w14:textId="77777777" w:rsidR="0028780D" w:rsidRPr="003410F0" w:rsidRDefault="0028780D" w:rsidP="003410F0">
            <w:pPr>
              <w:pStyle w:val="NoSpacing"/>
              <w:jc w:val="center"/>
              <w:rPr>
                <w:rFonts w:ascii="Garamond" w:hAnsi="Garamond"/>
                <w:b/>
                <w:bCs/>
                <w:highlight w:val="white"/>
              </w:rPr>
            </w:pPr>
          </w:p>
        </w:tc>
        <w:tc>
          <w:tcPr>
            <w:tcW w:w="1559" w:type="dxa"/>
            <w:tcBorders>
              <w:top w:val="single" w:sz="4" w:space="0" w:color="auto"/>
              <w:left w:val="nil"/>
              <w:bottom w:val="nil"/>
              <w:right w:val="nil"/>
            </w:tcBorders>
          </w:tcPr>
          <w:p w14:paraId="0EE09EC8" w14:textId="77777777" w:rsidR="0028780D" w:rsidRPr="003410F0" w:rsidRDefault="0028780D" w:rsidP="003410F0">
            <w:pPr>
              <w:pStyle w:val="NoSpacing"/>
              <w:jc w:val="center"/>
              <w:rPr>
                <w:rFonts w:ascii="Garamond" w:hAnsi="Garamond"/>
                <w:b/>
                <w:bCs/>
                <w:highlight w:val="white"/>
              </w:rPr>
            </w:pPr>
            <w:proofErr w:type="spellStart"/>
            <w:r w:rsidRPr="003410F0">
              <w:rPr>
                <w:rFonts w:ascii="Garamond" w:hAnsi="Garamond"/>
                <w:b/>
                <w:bCs/>
                <w:highlight w:val="white"/>
              </w:rPr>
              <w:t>r-value</w:t>
            </w:r>
            <w:proofErr w:type="spellEnd"/>
          </w:p>
        </w:tc>
        <w:tc>
          <w:tcPr>
            <w:tcW w:w="1281" w:type="dxa"/>
            <w:tcBorders>
              <w:top w:val="single" w:sz="4" w:space="0" w:color="auto"/>
              <w:left w:val="nil"/>
              <w:bottom w:val="nil"/>
              <w:right w:val="nil"/>
            </w:tcBorders>
          </w:tcPr>
          <w:p w14:paraId="5A3819B3" w14:textId="77777777" w:rsidR="0028780D" w:rsidRPr="003410F0" w:rsidRDefault="0028780D" w:rsidP="003410F0">
            <w:pPr>
              <w:pStyle w:val="NoSpacing"/>
              <w:jc w:val="center"/>
              <w:rPr>
                <w:rFonts w:ascii="Garamond" w:hAnsi="Garamond"/>
                <w:b/>
                <w:bCs/>
                <w:highlight w:val="white"/>
              </w:rPr>
            </w:pPr>
            <w:r w:rsidRPr="003410F0">
              <w:rPr>
                <w:rFonts w:ascii="Garamond" w:hAnsi="Garamond"/>
                <w:b/>
                <w:bCs/>
                <w:highlight w:val="white"/>
              </w:rPr>
              <w:t>p-value</w:t>
            </w:r>
          </w:p>
        </w:tc>
        <w:tc>
          <w:tcPr>
            <w:tcW w:w="1559" w:type="dxa"/>
            <w:tcBorders>
              <w:top w:val="single" w:sz="4" w:space="0" w:color="auto"/>
              <w:left w:val="nil"/>
              <w:bottom w:val="nil"/>
              <w:right w:val="nil"/>
            </w:tcBorders>
          </w:tcPr>
          <w:p w14:paraId="353EC6F6" w14:textId="77777777" w:rsidR="0028780D" w:rsidRPr="003410F0" w:rsidRDefault="0028780D" w:rsidP="003410F0">
            <w:pPr>
              <w:pStyle w:val="NoSpacing"/>
              <w:jc w:val="center"/>
              <w:rPr>
                <w:rFonts w:ascii="Garamond" w:hAnsi="Garamond"/>
                <w:b/>
                <w:bCs/>
                <w:highlight w:val="white"/>
              </w:rPr>
            </w:pPr>
            <w:r w:rsidRPr="003410F0">
              <w:rPr>
                <w:rFonts w:ascii="Garamond" w:hAnsi="Garamond"/>
                <w:b/>
                <w:bCs/>
                <w:highlight w:val="white"/>
              </w:rPr>
              <w:t>Decision on Ho</w:t>
            </w:r>
          </w:p>
        </w:tc>
        <w:tc>
          <w:tcPr>
            <w:tcW w:w="1838" w:type="dxa"/>
            <w:tcBorders>
              <w:top w:val="single" w:sz="4" w:space="0" w:color="auto"/>
              <w:left w:val="nil"/>
              <w:bottom w:val="nil"/>
              <w:right w:val="nil"/>
            </w:tcBorders>
          </w:tcPr>
          <w:p w14:paraId="4463AA87" w14:textId="77777777" w:rsidR="0028780D" w:rsidRPr="003410F0" w:rsidRDefault="0028780D" w:rsidP="003410F0">
            <w:pPr>
              <w:pStyle w:val="NoSpacing"/>
              <w:jc w:val="center"/>
              <w:rPr>
                <w:rFonts w:ascii="Garamond" w:hAnsi="Garamond"/>
                <w:b/>
                <w:bCs/>
                <w:highlight w:val="white"/>
              </w:rPr>
            </w:pPr>
            <w:r w:rsidRPr="003410F0">
              <w:rPr>
                <w:rFonts w:ascii="Garamond" w:hAnsi="Garamond"/>
                <w:b/>
                <w:bCs/>
                <w:highlight w:val="white"/>
              </w:rPr>
              <w:t>Interpretation</w:t>
            </w:r>
          </w:p>
        </w:tc>
      </w:tr>
      <w:tr w:rsidR="0028780D" w:rsidRPr="00FC05F8" w14:paraId="26EBF5C6" w14:textId="77777777" w:rsidTr="00D47078">
        <w:trPr>
          <w:trHeight w:val="275"/>
        </w:trPr>
        <w:tc>
          <w:tcPr>
            <w:tcW w:w="3114" w:type="dxa"/>
            <w:tcBorders>
              <w:top w:val="nil"/>
              <w:left w:val="nil"/>
              <w:bottom w:val="single" w:sz="4" w:space="0" w:color="auto"/>
              <w:right w:val="nil"/>
            </w:tcBorders>
          </w:tcPr>
          <w:p w14:paraId="7A1BC2B9" w14:textId="2CD7A608" w:rsidR="0028780D" w:rsidRPr="003410F0" w:rsidRDefault="00492385" w:rsidP="003410F0">
            <w:pPr>
              <w:pStyle w:val="NoSpacing"/>
              <w:rPr>
                <w:rFonts w:ascii="Garamond" w:hAnsi="Garamond"/>
                <w:highlight w:val="white"/>
              </w:rPr>
            </w:pPr>
            <w:r w:rsidRPr="003410F0">
              <w:rPr>
                <w:rFonts w:ascii="Garamond" w:hAnsi="Garamond"/>
              </w:rPr>
              <w:t>Reading Comprehension</w:t>
            </w:r>
          </w:p>
        </w:tc>
        <w:tc>
          <w:tcPr>
            <w:tcW w:w="1559" w:type="dxa"/>
            <w:tcBorders>
              <w:top w:val="nil"/>
              <w:left w:val="nil"/>
              <w:bottom w:val="single" w:sz="4" w:space="0" w:color="auto"/>
              <w:right w:val="nil"/>
            </w:tcBorders>
          </w:tcPr>
          <w:p w14:paraId="1CE23D3E" w14:textId="09D34F9A" w:rsidR="0028780D" w:rsidRPr="003410F0" w:rsidRDefault="00492385" w:rsidP="003410F0">
            <w:pPr>
              <w:pStyle w:val="NoSpacing"/>
              <w:jc w:val="center"/>
              <w:rPr>
                <w:rFonts w:ascii="Garamond" w:hAnsi="Garamond"/>
                <w:highlight w:val="white"/>
              </w:rPr>
            </w:pPr>
            <w:r w:rsidRPr="003410F0">
              <w:rPr>
                <w:rFonts w:ascii="Garamond" w:hAnsi="Garamond"/>
                <w:highlight w:val="white"/>
              </w:rPr>
              <w:t>.432</w:t>
            </w:r>
          </w:p>
        </w:tc>
        <w:tc>
          <w:tcPr>
            <w:tcW w:w="1281" w:type="dxa"/>
            <w:tcBorders>
              <w:top w:val="nil"/>
              <w:left w:val="nil"/>
              <w:bottom w:val="single" w:sz="4" w:space="0" w:color="auto"/>
              <w:right w:val="nil"/>
            </w:tcBorders>
          </w:tcPr>
          <w:p w14:paraId="2E54414D" w14:textId="0ACD8EA5" w:rsidR="0028780D" w:rsidRPr="003410F0" w:rsidRDefault="00492385" w:rsidP="003410F0">
            <w:pPr>
              <w:pStyle w:val="NoSpacing"/>
              <w:jc w:val="center"/>
              <w:rPr>
                <w:rFonts w:ascii="Garamond" w:hAnsi="Garamond"/>
                <w:highlight w:val="white"/>
              </w:rPr>
            </w:pPr>
            <w:r w:rsidRPr="003410F0">
              <w:rPr>
                <w:rFonts w:ascii="Garamond" w:hAnsi="Garamond"/>
                <w:highlight w:val="white"/>
              </w:rPr>
              <w:t>.00</w:t>
            </w:r>
            <w:r w:rsidR="001C3DDD" w:rsidRPr="003410F0">
              <w:rPr>
                <w:rFonts w:ascii="Garamond" w:hAnsi="Garamond"/>
                <w:highlight w:val="white"/>
              </w:rPr>
              <w:t>0</w:t>
            </w:r>
          </w:p>
        </w:tc>
        <w:tc>
          <w:tcPr>
            <w:tcW w:w="1559" w:type="dxa"/>
            <w:tcBorders>
              <w:top w:val="nil"/>
              <w:left w:val="nil"/>
              <w:bottom w:val="single" w:sz="4" w:space="0" w:color="auto"/>
              <w:right w:val="nil"/>
            </w:tcBorders>
          </w:tcPr>
          <w:p w14:paraId="7159EF47" w14:textId="63D0A732" w:rsidR="0028780D" w:rsidRPr="003410F0" w:rsidRDefault="001C6B83" w:rsidP="003410F0">
            <w:pPr>
              <w:pStyle w:val="NoSpacing"/>
              <w:jc w:val="center"/>
              <w:rPr>
                <w:rFonts w:ascii="Garamond" w:hAnsi="Garamond"/>
                <w:highlight w:val="white"/>
              </w:rPr>
            </w:pPr>
            <w:r w:rsidRPr="003410F0">
              <w:rPr>
                <w:rFonts w:ascii="Garamond" w:hAnsi="Garamond"/>
                <w:highlight w:val="white"/>
              </w:rPr>
              <w:t>Rejected</w:t>
            </w:r>
          </w:p>
        </w:tc>
        <w:tc>
          <w:tcPr>
            <w:tcW w:w="1838" w:type="dxa"/>
            <w:tcBorders>
              <w:top w:val="nil"/>
              <w:left w:val="nil"/>
              <w:bottom w:val="single" w:sz="4" w:space="0" w:color="auto"/>
              <w:right w:val="nil"/>
            </w:tcBorders>
          </w:tcPr>
          <w:p w14:paraId="223D5B80" w14:textId="4D357D36" w:rsidR="0028780D" w:rsidRPr="003410F0" w:rsidRDefault="00492385" w:rsidP="003410F0">
            <w:pPr>
              <w:pStyle w:val="NoSpacing"/>
              <w:jc w:val="center"/>
              <w:rPr>
                <w:rFonts w:ascii="Garamond" w:hAnsi="Garamond"/>
                <w:highlight w:val="white"/>
              </w:rPr>
            </w:pPr>
            <w:r w:rsidRPr="003410F0">
              <w:rPr>
                <w:rFonts w:ascii="Garamond" w:hAnsi="Garamond"/>
                <w:highlight w:val="white"/>
              </w:rPr>
              <w:t>Significant</w:t>
            </w:r>
          </w:p>
        </w:tc>
      </w:tr>
    </w:tbl>
    <w:p w14:paraId="67CED087" w14:textId="77777777" w:rsidR="00527D6C" w:rsidRDefault="00527D6C" w:rsidP="00527D6C">
      <w:pPr>
        <w:spacing w:line="240" w:lineRule="auto"/>
        <w:jc w:val="both"/>
        <w:rPr>
          <w:rFonts w:ascii="Garamond" w:eastAsia="Garamond" w:hAnsi="Garamond" w:cs="Garamond"/>
        </w:rPr>
      </w:pPr>
    </w:p>
    <w:p w14:paraId="4415C766" w14:textId="5B9E6D2A" w:rsidR="00122AD7" w:rsidRDefault="0076190A" w:rsidP="00527D6C">
      <w:pPr>
        <w:spacing w:line="240" w:lineRule="auto"/>
        <w:ind w:firstLine="720"/>
        <w:jc w:val="both"/>
        <w:rPr>
          <w:rFonts w:ascii="Garamond" w:eastAsia="Garamond" w:hAnsi="Garamond" w:cs="Garamond"/>
        </w:rPr>
      </w:pPr>
      <w:r w:rsidRPr="00FC05F8">
        <w:rPr>
          <w:rFonts w:ascii="Garamond" w:eastAsia="Garamond" w:hAnsi="Garamond" w:cs="Garamond"/>
        </w:rPr>
        <w:t xml:space="preserve">The table presents the </w:t>
      </w:r>
      <w:r w:rsidR="003410F0">
        <w:rPr>
          <w:rFonts w:ascii="Garamond" w:eastAsia="Garamond" w:hAnsi="Garamond" w:cs="Garamond"/>
        </w:rPr>
        <w:t>results</w:t>
      </w:r>
      <w:r w:rsidRPr="00FC05F8">
        <w:rPr>
          <w:rFonts w:ascii="Garamond" w:eastAsia="Garamond" w:hAnsi="Garamond" w:cs="Garamond"/>
        </w:rPr>
        <w:t xml:space="preserve"> of the test of </w:t>
      </w:r>
      <w:r w:rsidR="003410F0">
        <w:rPr>
          <w:rFonts w:ascii="Garamond" w:eastAsia="Garamond" w:hAnsi="Garamond" w:cs="Garamond"/>
        </w:rPr>
        <w:t xml:space="preserve">the </w:t>
      </w:r>
      <w:r w:rsidRPr="00FC05F8">
        <w:rPr>
          <w:rFonts w:ascii="Garamond" w:eastAsia="Garamond" w:hAnsi="Garamond" w:cs="Garamond"/>
        </w:rPr>
        <w:t xml:space="preserve">relationship between reading comprehension and mathematical word problem-solving ability among Grade 7 students. Using Pearson’s correlation coefficient, the analysis revealed an </w:t>
      </w:r>
      <w:proofErr w:type="spellStart"/>
      <w:r w:rsidRPr="00FC05F8">
        <w:rPr>
          <w:rFonts w:ascii="Garamond" w:eastAsia="Garamond" w:hAnsi="Garamond" w:cs="Garamond"/>
        </w:rPr>
        <w:t>r-value</w:t>
      </w:r>
      <w:proofErr w:type="spellEnd"/>
      <w:r w:rsidRPr="00FC05F8">
        <w:rPr>
          <w:rFonts w:ascii="Garamond" w:eastAsia="Garamond" w:hAnsi="Garamond" w:cs="Garamond"/>
        </w:rPr>
        <w:t xml:space="preserve"> of .432 and a p-value of .000. Since the p-value is less than the significance level of 0.05, the null hypothesis stating that there is no significant relationship between reading comprehension and mathematical word problem-solving </w:t>
      </w:r>
      <w:r w:rsidR="003410F0">
        <w:rPr>
          <w:rFonts w:ascii="Garamond" w:eastAsia="Garamond" w:hAnsi="Garamond" w:cs="Garamond"/>
        </w:rPr>
        <w:t>is</w:t>
      </w:r>
      <w:r w:rsidRPr="00FC05F8">
        <w:rPr>
          <w:rFonts w:ascii="Garamond" w:eastAsia="Garamond" w:hAnsi="Garamond" w:cs="Garamond"/>
        </w:rPr>
        <w:t xml:space="preserve"> rejected. This indicates </w:t>
      </w:r>
      <w:r w:rsidR="003410F0">
        <w:rPr>
          <w:rFonts w:ascii="Garamond" w:eastAsia="Garamond" w:hAnsi="Garamond" w:cs="Garamond"/>
        </w:rPr>
        <w:t>that as reading comprehension increases, m</w:t>
      </w:r>
      <w:r w:rsidR="003410F0" w:rsidRPr="003410F0">
        <w:rPr>
          <w:rFonts w:ascii="Garamond" w:eastAsia="Garamond" w:hAnsi="Garamond" w:cs="Garamond"/>
        </w:rPr>
        <w:t xml:space="preserve">athematical </w:t>
      </w:r>
      <w:r w:rsidR="003410F0">
        <w:rPr>
          <w:rFonts w:ascii="Garamond" w:eastAsia="Garamond" w:hAnsi="Garamond" w:cs="Garamond"/>
        </w:rPr>
        <w:t>w</w:t>
      </w:r>
      <w:r w:rsidR="003410F0" w:rsidRPr="003410F0">
        <w:rPr>
          <w:rFonts w:ascii="Garamond" w:eastAsia="Garamond" w:hAnsi="Garamond" w:cs="Garamond"/>
        </w:rPr>
        <w:t xml:space="preserve">ord </w:t>
      </w:r>
      <w:r w:rsidR="003410F0">
        <w:rPr>
          <w:rFonts w:ascii="Garamond" w:eastAsia="Garamond" w:hAnsi="Garamond" w:cs="Garamond"/>
        </w:rPr>
        <w:t>p</w:t>
      </w:r>
      <w:r w:rsidR="003410F0" w:rsidRPr="003410F0">
        <w:rPr>
          <w:rFonts w:ascii="Garamond" w:eastAsia="Garamond" w:hAnsi="Garamond" w:cs="Garamond"/>
        </w:rPr>
        <w:t>roblem-</w:t>
      </w:r>
      <w:r w:rsidR="003410F0">
        <w:rPr>
          <w:rFonts w:ascii="Garamond" w:eastAsia="Garamond" w:hAnsi="Garamond" w:cs="Garamond"/>
        </w:rPr>
        <w:t>s</w:t>
      </w:r>
      <w:r w:rsidR="003410F0" w:rsidRPr="003410F0">
        <w:rPr>
          <w:rFonts w:ascii="Garamond" w:eastAsia="Garamond" w:hAnsi="Garamond" w:cs="Garamond"/>
        </w:rPr>
        <w:t xml:space="preserve">olving </w:t>
      </w:r>
      <w:r w:rsidR="003410F0">
        <w:rPr>
          <w:rFonts w:ascii="Garamond" w:eastAsia="Garamond" w:hAnsi="Garamond" w:cs="Garamond"/>
        </w:rPr>
        <w:t>a</w:t>
      </w:r>
      <w:r w:rsidR="003410F0" w:rsidRPr="003410F0">
        <w:rPr>
          <w:rFonts w:ascii="Garamond" w:eastAsia="Garamond" w:hAnsi="Garamond" w:cs="Garamond"/>
        </w:rPr>
        <w:t xml:space="preserve">bility </w:t>
      </w:r>
      <w:r w:rsidR="003410F0">
        <w:rPr>
          <w:rFonts w:ascii="Garamond" w:eastAsia="Garamond" w:hAnsi="Garamond" w:cs="Garamond"/>
        </w:rPr>
        <w:t>tends to increase.</w:t>
      </w:r>
    </w:p>
    <w:p w14:paraId="28104B5E" w14:textId="77777777" w:rsidR="00527D6C" w:rsidRDefault="00527D6C" w:rsidP="0068061D">
      <w:pPr>
        <w:spacing w:line="240" w:lineRule="auto"/>
        <w:rPr>
          <w:rFonts w:ascii="Garamond" w:eastAsia="Garamond" w:hAnsi="Garamond" w:cs="Garamond"/>
          <w:b/>
          <w:bCs/>
        </w:rPr>
      </w:pPr>
    </w:p>
    <w:p w14:paraId="20CE7A84" w14:textId="5F8FBB46" w:rsidR="00122AD7" w:rsidRDefault="00122AD7" w:rsidP="0068061D">
      <w:pPr>
        <w:spacing w:line="240" w:lineRule="auto"/>
        <w:rPr>
          <w:rFonts w:ascii="Garamond" w:eastAsia="Garamond" w:hAnsi="Garamond" w:cs="Garamond"/>
          <w:b/>
          <w:bCs/>
        </w:rPr>
      </w:pPr>
      <w:r w:rsidRPr="00FC05F8">
        <w:rPr>
          <w:rFonts w:ascii="Garamond" w:eastAsia="Garamond" w:hAnsi="Garamond" w:cs="Garamond"/>
          <w:b/>
          <w:bCs/>
        </w:rPr>
        <w:t>Discussion</w:t>
      </w:r>
    </w:p>
    <w:p w14:paraId="14C884E2" w14:textId="77777777" w:rsidR="00527D6C" w:rsidRDefault="005D6449" w:rsidP="005D6449">
      <w:pPr>
        <w:spacing w:line="240" w:lineRule="auto"/>
        <w:ind w:firstLine="720"/>
        <w:jc w:val="both"/>
        <w:rPr>
          <w:rFonts w:ascii="Garamond" w:eastAsia="Garamond" w:hAnsi="Garamond" w:cs="Garamond"/>
          <w:lang w:val="en-PH"/>
        </w:rPr>
      </w:pPr>
      <w:r>
        <w:rPr>
          <w:rFonts w:ascii="Garamond" w:eastAsia="Garamond" w:hAnsi="Garamond" w:cs="Garamond"/>
          <w:lang w:val="en-PH"/>
        </w:rPr>
        <w:t>T</w:t>
      </w:r>
      <w:r w:rsidRPr="005D6449">
        <w:rPr>
          <w:rFonts w:ascii="Garamond" w:eastAsia="Garamond" w:hAnsi="Garamond" w:cs="Garamond"/>
          <w:lang w:val="en-PH"/>
        </w:rPr>
        <w:t xml:space="preserve">he descriptive statistics provide deeper insight into students’ performance in reading comprehension and mathematical word problem-solving. In reading comprehension, students </w:t>
      </w:r>
      <w:r w:rsidRPr="005D6449">
        <w:rPr>
          <w:rFonts w:ascii="Garamond" w:eastAsia="Garamond" w:hAnsi="Garamond" w:cs="Garamond"/>
          <w:lang w:val="en-PH"/>
        </w:rPr>
        <w:lastRenderedPageBreak/>
        <w:t xml:space="preserve">demonstrated </w:t>
      </w:r>
      <w:r w:rsidR="00B71B02">
        <w:rPr>
          <w:rFonts w:ascii="Garamond" w:eastAsia="Garamond" w:hAnsi="Garamond" w:cs="Garamond"/>
          <w:lang w:val="en-PH"/>
        </w:rPr>
        <w:t>high</w:t>
      </w:r>
      <w:r w:rsidRPr="005D6449">
        <w:rPr>
          <w:rFonts w:ascii="Garamond" w:eastAsia="Garamond" w:hAnsi="Garamond" w:cs="Garamond"/>
          <w:lang w:val="en-PH"/>
        </w:rPr>
        <w:t xml:space="preserve"> performance in Literal Comprehension (</w:t>
      </w:r>
      <w:r w:rsidR="00B71B02">
        <w:rPr>
          <w:rFonts w:ascii="Garamond" w:eastAsia="Garamond" w:hAnsi="Garamond" w:cs="Garamond"/>
          <w:lang w:val="en-PH"/>
        </w:rPr>
        <w:t>8</w:t>
      </w:r>
      <w:r w:rsidRPr="005D6449">
        <w:rPr>
          <w:rFonts w:ascii="Garamond" w:eastAsia="Garamond" w:hAnsi="Garamond" w:cs="Garamond"/>
          <w:lang w:val="en-PH"/>
        </w:rPr>
        <w:t>3.6%), but their scores declined to Low (53.0%) in Inferential Comprehension and Very Low (37.2%) in Critical Comprehension. This trend highlights a particular struggle with higher-order comprehension skills, which are essential for interpreting and analyzing complex texts. Studies have shown that inferential and evaluative reading skills play a crucial role in solving mathematical word problems (</w:t>
      </w:r>
      <w:proofErr w:type="spellStart"/>
      <w:r w:rsidRPr="005D6449">
        <w:rPr>
          <w:rFonts w:ascii="Garamond" w:eastAsia="Garamond" w:hAnsi="Garamond" w:cs="Garamond"/>
          <w:lang w:val="en-PH"/>
        </w:rPr>
        <w:t>Vilenius-Tuohimaa</w:t>
      </w:r>
      <w:proofErr w:type="spellEnd"/>
      <w:r w:rsidRPr="005D6449">
        <w:rPr>
          <w:rFonts w:ascii="Garamond" w:eastAsia="Garamond" w:hAnsi="Garamond" w:cs="Garamond"/>
          <w:lang w:val="en-PH"/>
        </w:rPr>
        <w:t xml:space="preserve"> et al., 2015; O'Reilly &amp; Sabatini, 2019; Bayazit &amp; Öztürk, 2021).</w:t>
      </w:r>
      <w:r>
        <w:rPr>
          <w:rFonts w:ascii="Garamond" w:eastAsia="Garamond" w:hAnsi="Garamond" w:cs="Garamond"/>
          <w:lang w:val="en-PH"/>
        </w:rPr>
        <w:t xml:space="preserve"> </w:t>
      </w:r>
    </w:p>
    <w:p w14:paraId="484960D9" w14:textId="00A01300" w:rsidR="0068061D" w:rsidRDefault="00B71B02" w:rsidP="005D6449">
      <w:pPr>
        <w:spacing w:line="240" w:lineRule="auto"/>
        <w:ind w:firstLine="720"/>
        <w:jc w:val="both"/>
        <w:rPr>
          <w:rFonts w:ascii="Garamond" w:eastAsia="Garamond" w:hAnsi="Garamond" w:cs="Garamond"/>
        </w:rPr>
      </w:pPr>
      <w:r w:rsidRPr="00B71B02">
        <w:rPr>
          <w:rFonts w:ascii="Garamond" w:eastAsia="Garamond" w:hAnsi="Garamond" w:cs="Garamond"/>
          <w:lang w:val="en-PH"/>
        </w:rPr>
        <w:t>In mathematical word problem-solving, students demonstrated the highest performance in Addition (86%), followed by Subtraction (62.8%), which was classified as Moderate. In contrast, they exhibited significant difficulty with more complex operations, obtaining Low performance in Multiplication (40.2%) and Very Low performance in Division (26.6%).</w:t>
      </w:r>
      <w:r w:rsidR="00C049F7">
        <w:rPr>
          <w:rFonts w:ascii="Garamond" w:eastAsia="Garamond" w:hAnsi="Garamond" w:cs="Garamond"/>
          <w:lang w:val="en-PH"/>
        </w:rPr>
        <w:t xml:space="preserve"> </w:t>
      </w:r>
      <w:r w:rsidR="005D6449" w:rsidRPr="005D6449">
        <w:rPr>
          <w:rFonts w:ascii="Garamond" w:eastAsia="Garamond" w:hAnsi="Garamond" w:cs="Garamond"/>
          <w:lang w:val="en-PH"/>
        </w:rPr>
        <w:t>This suggests that as the operations become more abstract, students face greater challenges. The pattern across both domains reinforces the idea that limited comprehension</w:t>
      </w:r>
      <w:r w:rsidR="00527D6C">
        <w:rPr>
          <w:rFonts w:ascii="Garamond" w:eastAsia="Garamond" w:hAnsi="Garamond" w:cs="Garamond"/>
          <w:lang w:val="en-PH"/>
        </w:rPr>
        <w:t xml:space="preserve">, </w:t>
      </w:r>
      <w:r w:rsidR="005D6449" w:rsidRPr="005D6449">
        <w:rPr>
          <w:rFonts w:ascii="Garamond" w:eastAsia="Garamond" w:hAnsi="Garamond" w:cs="Garamond"/>
          <w:lang w:val="en-PH"/>
        </w:rPr>
        <w:t>particularly at inferential and critical levels</w:t>
      </w:r>
      <w:r w:rsidR="00527D6C">
        <w:rPr>
          <w:rFonts w:ascii="Garamond" w:eastAsia="Garamond" w:hAnsi="Garamond" w:cs="Garamond"/>
          <w:lang w:val="en-PH"/>
        </w:rPr>
        <w:t xml:space="preserve">, </w:t>
      </w:r>
      <w:r w:rsidR="005D6449" w:rsidRPr="005D6449">
        <w:rPr>
          <w:rFonts w:ascii="Garamond" w:eastAsia="Garamond" w:hAnsi="Garamond" w:cs="Garamond"/>
          <w:lang w:val="en-PH"/>
        </w:rPr>
        <w:t>may hinder students’ ability to process and solve complex mathematical problems. Therefore, interventions should focus not only on improving computational skills but also on strengthening students’ inferential and critical reading abilities to support better problem-solving outcomes.</w:t>
      </w:r>
    </w:p>
    <w:p w14:paraId="2B123FD7" w14:textId="77777777" w:rsidR="001323DC" w:rsidRPr="005D6449" w:rsidRDefault="001323DC" w:rsidP="005D6449">
      <w:pPr>
        <w:spacing w:line="240" w:lineRule="auto"/>
        <w:ind w:firstLine="720"/>
        <w:jc w:val="both"/>
        <w:rPr>
          <w:rFonts w:ascii="Garamond" w:eastAsia="Garamond" w:hAnsi="Garamond" w:cs="Garamond"/>
          <w:lang w:val="en-PH"/>
        </w:rPr>
      </w:pPr>
    </w:p>
    <w:p w14:paraId="5D6BA911" w14:textId="0AAE0D78" w:rsidR="00122AD7" w:rsidRPr="00FC05F8" w:rsidRDefault="00A5735E" w:rsidP="00122AD7">
      <w:pPr>
        <w:spacing w:line="240" w:lineRule="auto"/>
        <w:ind w:firstLine="720"/>
        <w:jc w:val="both"/>
        <w:rPr>
          <w:rFonts w:ascii="Garamond" w:eastAsia="Garamond" w:hAnsi="Garamond" w:cs="Garamond"/>
        </w:rPr>
      </w:pPr>
      <w:r w:rsidRPr="00A5735E">
        <w:rPr>
          <w:rFonts w:ascii="Garamond" w:eastAsia="Garamond" w:hAnsi="Garamond" w:cs="Garamond"/>
        </w:rPr>
        <w:t xml:space="preserve">The Pearson correlation coefficient (r = 0.432, p = .001) reveals a moderate positive and statistically significant relationship between students’ reading comprehension skills and their mathematical word problem-solving ability. This suggests that students who excel in reading comprehension, particularly in making inferences and understanding context, are more likely to perform well in solving math word problems. The result supports the idea that word problems require more than just computational ability; they demand strong language processing and comprehension skills (Fuchs et al., 2016). This finding is consistent with recent studies emphasizing the interdependence of literacy and numeracy. For example, Van </w:t>
      </w:r>
      <w:proofErr w:type="spellStart"/>
      <w:r w:rsidRPr="00A5735E">
        <w:rPr>
          <w:rFonts w:ascii="Garamond" w:eastAsia="Garamond" w:hAnsi="Garamond" w:cs="Garamond"/>
        </w:rPr>
        <w:t>Rinsveld</w:t>
      </w:r>
      <w:proofErr w:type="spellEnd"/>
      <w:r w:rsidRPr="00A5735E">
        <w:rPr>
          <w:rFonts w:ascii="Garamond" w:eastAsia="Garamond" w:hAnsi="Garamond" w:cs="Garamond"/>
        </w:rPr>
        <w:t xml:space="preserve"> et al. (2016) reported that linguistic skills significantly influence mathematical performance, especially in tasks that involve verbal reasoning. From a cognitive perspective, students with higher reading proficiency may experience reduced cognitive load when interpreting mathematical texts, enabling more efficient problem-solving (</w:t>
      </w:r>
      <w:proofErr w:type="spellStart"/>
      <w:r w:rsidRPr="00A5735E">
        <w:rPr>
          <w:rFonts w:ascii="Garamond" w:eastAsia="Garamond" w:hAnsi="Garamond" w:cs="Garamond"/>
        </w:rPr>
        <w:t>Sweller</w:t>
      </w:r>
      <w:proofErr w:type="spellEnd"/>
      <w:r w:rsidRPr="00A5735E">
        <w:rPr>
          <w:rFonts w:ascii="Garamond" w:eastAsia="Garamond" w:hAnsi="Garamond" w:cs="Garamond"/>
        </w:rPr>
        <w:t xml:space="preserve"> et al., 2019). These results suggest that strengthening reading comprehension could be a practical and strategic approach to improving performance in </w:t>
      </w:r>
      <w:proofErr w:type="gramStart"/>
      <w:r w:rsidRPr="00A5735E">
        <w:rPr>
          <w:rFonts w:ascii="Garamond" w:eastAsia="Garamond" w:hAnsi="Garamond" w:cs="Garamond"/>
        </w:rPr>
        <w:t>mathematics.</w:t>
      </w:r>
      <w:r w:rsidR="00122AD7" w:rsidRPr="00FC05F8">
        <w:rPr>
          <w:rFonts w:ascii="Garamond" w:eastAsia="Garamond" w:hAnsi="Garamond" w:cs="Garamond"/>
        </w:rPr>
        <w:t>.</w:t>
      </w:r>
      <w:proofErr w:type="gramEnd"/>
    </w:p>
    <w:bookmarkEnd w:id="1"/>
    <w:p w14:paraId="5AB30237" w14:textId="77777777" w:rsidR="001F6836" w:rsidRPr="00FC05F8" w:rsidRDefault="001F6836">
      <w:pPr>
        <w:spacing w:line="240" w:lineRule="auto"/>
        <w:ind w:firstLine="720"/>
        <w:jc w:val="both"/>
        <w:rPr>
          <w:rFonts w:ascii="Garamond" w:eastAsia="Garamond" w:hAnsi="Garamond" w:cs="Garamond"/>
        </w:rPr>
      </w:pPr>
    </w:p>
    <w:p w14:paraId="2068D292" w14:textId="0920AE23" w:rsidR="001F6836" w:rsidRPr="00FC05F8" w:rsidRDefault="005D6994" w:rsidP="0068061D">
      <w:pPr>
        <w:pBdr>
          <w:top w:val="nil"/>
          <w:left w:val="nil"/>
          <w:bottom w:val="nil"/>
          <w:right w:val="nil"/>
          <w:between w:val="nil"/>
        </w:pBdr>
        <w:spacing w:line="240" w:lineRule="auto"/>
        <w:jc w:val="both"/>
        <w:rPr>
          <w:rFonts w:ascii="Garamond" w:eastAsia="Garamond" w:hAnsi="Garamond" w:cs="Garamond"/>
        </w:rPr>
      </w:pPr>
      <w:r w:rsidRPr="00FC05F8">
        <w:rPr>
          <w:rFonts w:ascii="Garamond" w:eastAsia="Garamond" w:hAnsi="Garamond" w:cs="Garamond"/>
          <w:b/>
        </w:rPr>
        <w:t>Conclusion</w:t>
      </w:r>
      <w:r w:rsidR="00527D6C">
        <w:rPr>
          <w:rFonts w:ascii="Garamond" w:eastAsia="Garamond" w:hAnsi="Garamond" w:cs="Garamond"/>
          <w:b/>
        </w:rPr>
        <w:t>s</w:t>
      </w:r>
    </w:p>
    <w:p w14:paraId="7062F5AA" w14:textId="77777777" w:rsidR="001F6836" w:rsidRPr="00FC05F8" w:rsidRDefault="001F6836" w:rsidP="00111EFE">
      <w:pPr>
        <w:spacing w:line="240" w:lineRule="auto"/>
        <w:ind w:left="66"/>
        <w:jc w:val="both"/>
        <w:rPr>
          <w:rFonts w:ascii="Garamond" w:eastAsia="Garamond" w:hAnsi="Garamond" w:cs="Garamond"/>
        </w:rPr>
      </w:pPr>
    </w:p>
    <w:p w14:paraId="5DAE58AF" w14:textId="60ED8064" w:rsidR="00111EFE" w:rsidRPr="00111EFE" w:rsidRDefault="00111EFE" w:rsidP="00111EFE">
      <w:pPr>
        <w:pBdr>
          <w:top w:val="nil"/>
          <w:left w:val="nil"/>
          <w:bottom w:val="nil"/>
          <w:right w:val="nil"/>
          <w:between w:val="nil"/>
        </w:pBdr>
        <w:spacing w:line="240" w:lineRule="auto"/>
        <w:ind w:firstLine="720"/>
        <w:jc w:val="both"/>
        <w:rPr>
          <w:rFonts w:ascii="Garamond" w:eastAsia="Garamond" w:hAnsi="Garamond" w:cs="Garamond"/>
        </w:rPr>
      </w:pPr>
      <w:r w:rsidRPr="00111EFE">
        <w:rPr>
          <w:rFonts w:ascii="Garamond" w:eastAsia="Garamond" w:hAnsi="Garamond" w:cs="Garamond"/>
        </w:rPr>
        <w:t>Based on the findings of this study, many Grade 7 students had difficulty understanding written texts, which may have affected their ability to solve mathematical word problems that require reading comprehension. While they showed strength in basic tasks like literal understanding and addition, they struggled with higher-level skills such as making inferences, analyzing information, and solving more complex operations like division and multiplication. These results suggest challenges in using effective strategies for both reading and problem-solving.</w:t>
      </w:r>
      <w:r>
        <w:rPr>
          <w:rFonts w:ascii="Garamond" w:eastAsia="Garamond" w:hAnsi="Garamond" w:cs="Garamond"/>
        </w:rPr>
        <w:t xml:space="preserve"> </w:t>
      </w:r>
      <w:r w:rsidRPr="00111EFE">
        <w:rPr>
          <w:rFonts w:ascii="Garamond" w:eastAsia="Garamond" w:hAnsi="Garamond" w:cs="Garamond"/>
        </w:rPr>
        <w:t>The statistical analysis showed a moderate but significant relationship between reading comprehension and mathematical word problem-solving ability. This indicates that students with stronger reading skills were more likely to perform well in solving word problems. However, the relationship was not absolute, which means that other factors</w:t>
      </w:r>
      <w:r w:rsidR="00527D6C">
        <w:rPr>
          <w:rFonts w:ascii="Garamond" w:eastAsia="Garamond" w:hAnsi="Garamond" w:cs="Garamond"/>
        </w:rPr>
        <w:t xml:space="preserve"> </w:t>
      </w:r>
      <w:r w:rsidRPr="00111EFE">
        <w:rPr>
          <w:rFonts w:ascii="Garamond" w:eastAsia="Garamond" w:hAnsi="Garamond" w:cs="Garamond"/>
        </w:rPr>
        <w:t>such as logical thinking, prior knowledge, and mathematical understanding</w:t>
      </w:r>
      <w:r w:rsidR="00527D6C">
        <w:rPr>
          <w:rFonts w:ascii="Garamond" w:eastAsia="Garamond" w:hAnsi="Garamond" w:cs="Garamond"/>
        </w:rPr>
        <w:t xml:space="preserve"> </w:t>
      </w:r>
      <w:r w:rsidRPr="00111EFE">
        <w:rPr>
          <w:rFonts w:ascii="Garamond" w:eastAsia="Garamond" w:hAnsi="Garamond" w:cs="Garamond"/>
        </w:rPr>
        <w:t>may also affect students’ performance.</w:t>
      </w:r>
    </w:p>
    <w:p w14:paraId="054C2E58" w14:textId="77777777" w:rsidR="00111EFE" w:rsidRDefault="00111EFE" w:rsidP="00111EFE">
      <w:pPr>
        <w:pBdr>
          <w:top w:val="nil"/>
          <w:left w:val="nil"/>
          <w:bottom w:val="nil"/>
          <w:right w:val="nil"/>
          <w:between w:val="nil"/>
        </w:pBdr>
        <w:spacing w:line="240" w:lineRule="auto"/>
        <w:ind w:firstLine="720"/>
        <w:jc w:val="both"/>
        <w:rPr>
          <w:rFonts w:ascii="Garamond" w:eastAsia="Garamond" w:hAnsi="Garamond" w:cs="Garamond"/>
        </w:rPr>
      </w:pPr>
    </w:p>
    <w:p w14:paraId="7705C4C4" w14:textId="291861E6" w:rsidR="00111EFE" w:rsidRDefault="00111EFE" w:rsidP="0024230F">
      <w:pPr>
        <w:pBdr>
          <w:top w:val="nil"/>
          <w:left w:val="nil"/>
          <w:bottom w:val="nil"/>
          <w:right w:val="nil"/>
          <w:between w:val="nil"/>
        </w:pBdr>
        <w:spacing w:line="240" w:lineRule="auto"/>
        <w:ind w:firstLine="720"/>
        <w:jc w:val="both"/>
        <w:rPr>
          <w:rFonts w:ascii="Garamond" w:eastAsia="Garamond" w:hAnsi="Garamond" w:cs="Garamond"/>
        </w:rPr>
      </w:pPr>
      <w:r w:rsidRPr="00111EFE">
        <w:rPr>
          <w:rFonts w:ascii="Garamond" w:eastAsia="Garamond" w:hAnsi="Garamond" w:cs="Garamond"/>
        </w:rPr>
        <w:t xml:space="preserve">Therefore, the theory that reading comprehension serves as a predictor of mathematical word problem-solving ability is </w:t>
      </w:r>
      <w:r w:rsidR="00527D6C">
        <w:rPr>
          <w:rFonts w:ascii="Garamond" w:eastAsia="Garamond" w:hAnsi="Garamond" w:cs="Garamond"/>
        </w:rPr>
        <w:t xml:space="preserve">affirmed based on </w:t>
      </w:r>
      <w:r w:rsidRPr="00111EFE">
        <w:rPr>
          <w:rFonts w:ascii="Garamond" w:eastAsia="Garamond" w:hAnsi="Garamond" w:cs="Garamond"/>
        </w:rPr>
        <w:t>the results. However, the data also suggest that strong reading skills alone are not always enough to ensure success in math. While there is an observable link between the two, each area still requires focused attention and instruction. It is important to build students’ comprehension and problem-solving skills together to improve their performance across both academic domains.</w:t>
      </w:r>
    </w:p>
    <w:p w14:paraId="37F18D89" w14:textId="77777777" w:rsidR="00527D6C" w:rsidRDefault="00527D6C" w:rsidP="00111EFE">
      <w:pPr>
        <w:pBdr>
          <w:top w:val="nil"/>
          <w:left w:val="nil"/>
          <w:bottom w:val="nil"/>
          <w:right w:val="nil"/>
          <w:between w:val="nil"/>
        </w:pBdr>
        <w:spacing w:line="240" w:lineRule="auto"/>
        <w:jc w:val="both"/>
        <w:rPr>
          <w:rFonts w:ascii="Garamond" w:eastAsia="Garamond" w:hAnsi="Garamond" w:cs="Garamond"/>
          <w:b/>
        </w:rPr>
      </w:pPr>
    </w:p>
    <w:p w14:paraId="5D092661" w14:textId="061D9534" w:rsidR="001F6836" w:rsidRPr="00FC05F8" w:rsidRDefault="005D6994" w:rsidP="00111EFE">
      <w:pPr>
        <w:pBdr>
          <w:top w:val="nil"/>
          <w:left w:val="nil"/>
          <w:bottom w:val="nil"/>
          <w:right w:val="nil"/>
          <w:between w:val="nil"/>
        </w:pBdr>
        <w:spacing w:line="240" w:lineRule="auto"/>
        <w:jc w:val="both"/>
        <w:rPr>
          <w:rFonts w:ascii="Garamond" w:eastAsia="Garamond" w:hAnsi="Garamond" w:cs="Garamond"/>
          <w:b/>
        </w:rPr>
      </w:pPr>
      <w:r w:rsidRPr="00FC05F8">
        <w:rPr>
          <w:rFonts w:ascii="Garamond" w:eastAsia="Garamond" w:hAnsi="Garamond" w:cs="Garamond"/>
          <w:b/>
        </w:rPr>
        <w:t>Recommendation</w:t>
      </w:r>
    </w:p>
    <w:p w14:paraId="43123520" w14:textId="77777777" w:rsidR="001F6836" w:rsidRPr="00FC05F8" w:rsidRDefault="001F6836">
      <w:pPr>
        <w:spacing w:line="240" w:lineRule="auto"/>
        <w:rPr>
          <w:rFonts w:ascii="Garamond" w:eastAsia="Garamond" w:hAnsi="Garamond" w:cs="Garamond"/>
        </w:rPr>
      </w:pPr>
    </w:p>
    <w:p w14:paraId="6B9DC077" w14:textId="1D1E6850" w:rsidR="007862FC" w:rsidRPr="007862FC" w:rsidRDefault="005D6994" w:rsidP="007862FC">
      <w:pPr>
        <w:spacing w:line="240" w:lineRule="auto"/>
        <w:jc w:val="both"/>
        <w:rPr>
          <w:rFonts w:ascii="Garamond" w:eastAsia="Garamond" w:hAnsi="Garamond" w:cs="Garamond"/>
        </w:rPr>
      </w:pPr>
      <w:r w:rsidRPr="00FC05F8">
        <w:rPr>
          <w:rFonts w:ascii="Garamond" w:eastAsia="Garamond" w:hAnsi="Garamond" w:cs="Garamond"/>
        </w:rPr>
        <w:tab/>
      </w:r>
      <w:r w:rsidR="007862FC" w:rsidRPr="007862FC">
        <w:rPr>
          <w:rFonts w:ascii="Garamond" w:eastAsia="Garamond" w:hAnsi="Garamond" w:cs="Garamond"/>
        </w:rPr>
        <w:t xml:space="preserve">To improve students’ reading and mathematical problem-solving skills, the researchers recommend a more integrated instructional approach that strengthens reading comprehension within both English and Mathematics classes. Specifically, teachers may implement reading-integrated math modules that include guided reading tasks directly related to mathematical word problems. In mathematics classes, short reading passages followed by comprehension questions may help students extract relevant information and develop </w:t>
      </w:r>
      <w:r w:rsidR="007862FC" w:rsidRPr="007862FC">
        <w:rPr>
          <w:rFonts w:ascii="Garamond" w:eastAsia="Garamond" w:hAnsi="Garamond" w:cs="Garamond"/>
        </w:rPr>
        <w:lastRenderedPageBreak/>
        <w:t>problem-solving strategies.</w:t>
      </w:r>
      <w:r w:rsidR="007862FC">
        <w:rPr>
          <w:rFonts w:ascii="Garamond" w:eastAsia="Garamond" w:hAnsi="Garamond" w:cs="Garamond"/>
        </w:rPr>
        <w:t xml:space="preserve"> </w:t>
      </w:r>
      <w:r w:rsidR="007862FC" w:rsidRPr="007862FC">
        <w:rPr>
          <w:rFonts w:ascii="Garamond" w:eastAsia="Garamond" w:hAnsi="Garamond" w:cs="Garamond"/>
        </w:rPr>
        <w:t>English teachers may design activities that foster critical thinking and inferential comprehension, such as interpreting real-life scenarios, analyzing texts, or justifying conclusions. Math journaling may also be introduced to encourage students to explain their solutions and reflect on their thinking, reinforcing metacognitive awareness.</w:t>
      </w:r>
    </w:p>
    <w:p w14:paraId="1DED864D" w14:textId="77777777" w:rsidR="007862FC" w:rsidRPr="007862FC" w:rsidRDefault="007862FC" w:rsidP="007862FC">
      <w:pPr>
        <w:spacing w:line="240" w:lineRule="auto"/>
        <w:jc w:val="both"/>
        <w:rPr>
          <w:rFonts w:ascii="Garamond" w:eastAsia="Garamond" w:hAnsi="Garamond" w:cs="Garamond"/>
        </w:rPr>
      </w:pPr>
    </w:p>
    <w:p w14:paraId="7174BBF0" w14:textId="0A1FAC5D" w:rsidR="001F6836" w:rsidRDefault="007862FC" w:rsidP="007862FC">
      <w:pPr>
        <w:spacing w:line="240" w:lineRule="auto"/>
        <w:ind w:firstLine="720"/>
        <w:jc w:val="both"/>
        <w:rPr>
          <w:rFonts w:ascii="Garamond" w:eastAsia="Garamond" w:hAnsi="Garamond" w:cs="Garamond"/>
        </w:rPr>
      </w:pPr>
      <w:r w:rsidRPr="007862FC">
        <w:rPr>
          <w:rFonts w:ascii="Garamond" w:eastAsia="Garamond" w:hAnsi="Garamond" w:cs="Garamond"/>
        </w:rPr>
        <w:t>To address difficulties in multiplication and division, targeted interventions such as remedial instruction, math-related games, and peer-assisted learning may be employed. Schools may also consider collaborative lesson planning between English and Math teachers to design interdisciplinary sessions that build connections between language and numeracy. This collaborative approach may support the development of both reading comprehension and mathematical reasoning, leading to improved academic outcomes.</w:t>
      </w:r>
      <w:r w:rsidR="00BB5E64">
        <w:rPr>
          <w:rFonts w:ascii="Garamond" w:eastAsia="Garamond" w:hAnsi="Garamond" w:cs="Garamond"/>
        </w:rPr>
        <w:t xml:space="preserve"> </w:t>
      </w:r>
    </w:p>
    <w:p w14:paraId="77720C03" w14:textId="77777777" w:rsidR="005D5B76" w:rsidRPr="00BB5E64" w:rsidRDefault="005D5B76" w:rsidP="00AA026E">
      <w:pPr>
        <w:spacing w:line="240" w:lineRule="auto"/>
        <w:jc w:val="both"/>
        <w:rPr>
          <w:rFonts w:ascii="Garamond" w:eastAsia="Garamond" w:hAnsi="Garamond" w:cs="Garamond"/>
          <w:b/>
          <w:bCs/>
          <w:color w:val="EE0000"/>
        </w:rPr>
      </w:pPr>
    </w:p>
    <w:p w14:paraId="5ECCC1A3" w14:textId="77777777" w:rsidR="007862FC" w:rsidRPr="00FC05F8" w:rsidRDefault="007862FC" w:rsidP="00214152">
      <w:pPr>
        <w:spacing w:line="240" w:lineRule="auto"/>
        <w:jc w:val="both"/>
        <w:rPr>
          <w:rFonts w:ascii="Garamond" w:eastAsia="Garamond" w:hAnsi="Garamond" w:cs="Garamond"/>
        </w:rPr>
      </w:pPr>
    </w:p>
    <w:p w14:paraId="169A71D4" w14:textId="657B0ACC" w:rsidR="00FC05F8" w:rsidRDefault="005D6994" w:rsidP="00D341AF">
      <w:pPr>
        <w:pBdr>
          <w:top w:val="nil"/>
          <w:left w:val="nil"/>
          <w:bottom w:val="nil"/>
          <w:right w:val="nil"/>
          <w:between w:val="nil"/>
        </w:pBdr>
        <w:rPr>
          <w:rFonts w:ascii="Garamond" w:eastAsia="Garamond" w:hAnsi="Garamond" w:cs="Garamond"/>
          <w:b/>
        </w:rPr>
      </w:pPr>
      <w:r w:rsidRPr="00FC05F8">
        <w:rPr>
          <w:rFonts w:ascii="Garamond" w:eastAsia="Garamond" w:hAnsi="Garamond" w:cs="Garamond"/>
          <w:b/>
        </w:rPr>
        <w:t>References</w:t>
      </w:r>
    </w:p>
    <w:p w14:paraId="5772F798" w14:textId="77777777" w:rsidR="00AD6F83" w:rsidRPr="00D341AF" w:rsidRDefault="00AD6F83" w:rsidP="00D341AF">
      <w:pPr>
        <w:pBdr>
          <w:top w:val="nil"/>
          <w:left w:val="nil"/>
          <w:bottom w:val="nil"/>
          <w:right w:val="nil"/>
          <w:between w:val="nil"/>
        </w:pBdr>
        <w:rPr>
          <w:rFonts w:ascii="Garamond" w:eastAsia="Garamond" w:hAnsi="Garamond" w:cs="Garamond"/>
          <w:b/>
        </w:rPr>
      </w:pPr>
    </w:p>
    <w:p w14:paraId="1C316E70" w14:textId="4E12C7A2" w:rsidR="00C13566" w:rsidRDefault="00C13566" w:rsidP="00D341AF">
      <w:pPr>
        <w:ind w:left="426" w:hanging="426"/>
        <w:rPr>
          <w:rFonts w:ascii="Garamond" w:eastAsia="Garamond" w:hAnsi="Garamond" w:cs="Garamond"/>
          <w:bCs/>
        </w:rPr>
      </w:pPr>
      <w:proofErr w:type="spellStart"/>
      <w:r w:rsidRPr="00C13566">
        <w:rPr>
          <w:rFonts w:ascii="Garamond" w:eastAsia="Garamond" w:hAnsi="Garamond" w:cs="Garamond"/>
          <w:bCs/>
        </w:rPr>
        <w:t>Augis</w:t>
      </w:r>
      <w:proofErr w:type="spellEnd"/>
      <w:r w:rsidRPr="00C13566">
        <w:rPr>
          <w:rFonts w:ascii="Garamond" w:eastAsia="Garamond" w:hAnsi="Garamond" w:cs="Garamond"/>
          <w:bCs/>
        </w:rPr>
        <w:t>, C. J. D., Satra Bano, J. T., Lalag, G. M., Maturan, J. J., &amp; Alcover, K. C. (2024). The relationship between reading comprehension skills, problem solving skills, and academic achievement: a correlational research approach. </w:t>
      </w:r>
      <w:r w:rsidRPr="00C13566">
        <w:rPr>
          <w:rFonts w:ascii="Garamond" w:eastAsia="Garamond" w:hAnsi="Garamond" w:cs="Garamond"/>
          <w:bCs/>
          <w:i/>
          <w:iCs/>
        </w:rPr>
        <w:t>Ignatian International Journal for Multidisciplinary Research</w:t>
      </w:r>
      <w:r w:rsidRPr="00C13566">
        <w:rPr>
          <w:rFonts w:ascii="Garamond" w:eastAsia="Garamond" w:hAnsi="Garamond" w:cs="Garamond"/>
          <w:bCs/>
        </w:rPr>
        <w:t>, </w:t>
      </w:r>
      <w:r w:rsidRPr="00C13566">
        <w:rPr>
          <w:rFonts w:ascii="Garamond" w:eastAsia="Garamond" w:hAnsi="Garamond" w:cs="Garamond"/>
          <w:bCs/>
          <w:i/>
          <w:iCs/>
        </w:rPr>
        <w:t>2</w:t>
      </w:r>
      <w:r w:rsidRPr="00C13566">
        <w:rPr>
          <w:rFonts w:ascii="Garamond" w:eastAsia="Garamond" w:hAnsi="Garamond" w:cs="Garamond"/>
          <w:bCs/>
        </w:rPr>
        <w:t>(6), 1731-1757.</w:t>
      </w:r>
    </w:p>
    <w:p w14:paraId="3AF9E8BC" w14:textId="5C2896E3" w:rsidR="00D341AF" w:rsidRDefault="00FC05F8" w:rsidP="00D341AF">
      <w:pPr>
        <w:ind w:left="426" w:hanging="426"/>
        <w:rPr>
          <w:rFonts w:ascii="Garamond" w:eastAsia="Garamond" w:hAnsi="Garamond" w:cs="Garamond"/>
          <w:bCs/>
        </w:rPr>
      </w:pPr>
      <w:r w:rsidRPr="00FC05F8">
        <w:rPr>
          <w:rFonts w:ascii="Garamond" w:eastAsia="Garamond" w:hAnsi="Garamond" w:cs="Garamond"/>
          <w:bCs/>
        </w:rPr>
        <w:t xml:space="preserve">Bayazit, I., &amp; Öztürk, M. (2021). Examining the relationship between reading comprehension and mathematical problem-solving. International Journal of Educational Methodology, 7(3), 429–441. </w:t>
      </w:r>
      <w:hyperlink r:id="rId8" w:history="1">
        <w:r w:rsidR="00D341AF" w:rsidRPr="00527D6C">
          <w:rPr>
            <w:rStyle w:val="Hyperlink"/>
            <w:rFonts w:ascii="Garamond" w:eastAsia="Garamond" w:hAnsi="Garamond" w:cs="Garamond"/>
            <w:bCs/>
            <w:color w:val="auto"/>
          </w:rPr>
          <w:t>https://doi.org/10.12973/ijem.7.3.429</w:t>
        </w:r>
      </w:hyperlink>
    </w:p>
    <w:p w14:paraId="3BB0311F" w14:textId="77777777" w:rsidR="001F6836" w:rsidRPr="00FC05F8" w:rsidRDefault="001F6836" w:rsidP="001323DC">
      <w:pPr>
        <w:spacing w:line="240" w:lineRule="auto"/>
        <w:jc w:val="both"/>
        <w:rPr>
          <w:rFonts w:ascii="Garamond" w:eastAsia="Garamond" w:hAnsi="Garamond" w:cs="Garamond"/>
          <w:sz w:val="20"/>
          <w:szCs w:val="20"/>
        </w:rPr>
      </w:pPr>
    </w:p>
    <w:p w14:paraId="71595131" w14:textId="77777777" w:rsidR="001F6836" w:rsidRPr="00FC05F8" w:rsidRDefault="005D6994" w:rsidP="008A28FA">
      <w:pPr>
        <w:spacing w:line="240" w:lineRule="auto"/>
        <w:ind w:left="426" w:hanging="426"/>
        <w:jc w:val="both"/>
        <w:rPr>
          <w:rFonts w:ascii="Garamond" w:eastAsia="Garamond" w:hAnsi="Garamond" w:cs="Garamond"/>
        </w:rPr>
      </w:pPr>
      <w:r w:rsidRPr="00FC05F8">
        <w:rPr>
          <w:rFonts w:ascii="Garamond" w:eastAsia="Garamond" w:hAnsi="Garamond" w:cs="Garamond"/>
        </w:rPr>
        <w:t xml:space="preserve">Creswell, J. W. (2014). Research design: Qualitative, quantitative, and mixed methods </w:t>
      </w:r>
      <w:proofErr w:type="gramStart"/>
      <w:r w:rsidRPr="00FC05F8">
        <w:rPr>
          <w:rFonts w:ascii="Garamond" w:eastAsia="Garamond" w:hAnsi="Garamond" w:cs="Garamond"/>
        </w:rPr>
        <w:t>approaches</w:t>
      </w:r>
      <w:proofErr w:type="gramEnd"/>
      <w:r w:rsidRPr="00FC05F8">
        <w:rPr>
          <w:rFonts w:ascii="Garamond" w:eastAsia="Garamond" w:hAnsi="Garamond" w:cs="Garamond"/>
        </w:rPr>
        <w:t xml:space="preserve"> (4th ed.). Sage Publications.</w:t>
      </w:r>
    </w:p>
    <w:p w14:paraId="0A8CCA54" w14:textId="77777777" w:rsidR="001F6836" w:rsidRPr="00FC05F8" w:rsidRDefault="001F6836" w:rsidP="008A28FA">
      <w:pPr>
        <w:spacing w:line="240" w:lineRule="auto"/>
        <w:ind w:left="426"/>
        <w:jc w:val="both"/>
        <w:rPr>
          <w:rFonts w:ascii="Garamond" w:eastAsia="Garamond" w:hAnsi="Garamond" w:cs="Garamond"/>
        </w:rPr>
      </w:pPr>
    </w:p>
    <w:p w14:paraId="563AA000" w14:textId="206817D1" w:rsidR="001F6836" w:rsidRPr="00FC05F8" w:rsidRDefault="007A1026" w:rsidP="008A28FA">
      <w:pPr>
        <w:spacing w:line="240" w:lineRule="auto"/>
        <w:ind w:left="426" w:hanging="426"/>
        <w:jc w:val="both"/>
        <w:rPr>
          <w:rFonts w:ascii="Garamond" w:eastAsia="Garamond" w:hAnsi="Garamond" w:cs="Garamond"/>
        </w:rPr>
      </w:pPr>
      <w:proofErr w:type="spellStart"/>
      <w:r w:rsidRPr="007A1026">
        <w:rPr>
          <w:rFonts w:ascii="Garamond" w:eastAsia="Garamond" w:hAnsi="Garamond" w:cs="Garamond"/>
        </w:rPr>
        <w:t>Daryanti</w:t>
      </w:r>
      <w:proofErr w:type="spellEnd"/>
      <w:r w:rsidRPr="007A1026">
        <w:rPr>
          <w:rFonts w:ascii="Garamond" w:eastAsia="Garamond" w:hAnsi="Garamond" w:cs="Garamond"/>
        </w:rPr>
        <w:t xml:space="preserve">, T. (2015). The Contribution </w:t>
      </w:r>
      <w:proofErr w:type="gramStart"/>
      <w:r w:rsidRPr="007A1026">
        <w:rPr>
          <w:rFonts w:ascii="Garamond" w:eastAsia="Garamond" w:hAnsi="Garamond" w:cs="Garamond"/>
        </w:rPr>
        <w:t xml:space="preserve">Of </w:t>
      </w:r>
      <w:r>
        <w:rPr>
          <w:rFonts w:ascii="Garamond" w:eastAsia="Garamond" w:hAnsi="Garamond" w:cs="Garamond"/>
        </w:rPr>
        <w:t xml:space="preserve"> </w:t>
      </w:r>
      <w:r w:rsidRPr="007A1026">
        <w:rPr>
          <w:rFonts w:ascii="Garamond" w:eastAsia="Garamond" w:hAnsi="Garamond" w:cs="Garamond"/>
        </w:rPr>
        <w:t>Vocabulary</w:t>
      </w:r>
      <w:proofErr w:type="gramEnd"/>
      <w:r w:rsidRPr="007A1026">
        <w:rPr>
          <w:rFonts w:ascii="Garamond" w:eastAsia="Garamond" w:hAnsi="Garamond" w:cs="Garamond"/>
        </w:rPr>
        <w:t xml:space="preserve"> Mastery Toward Reading Comprehension. </w:t>
      </w:r>
      <w:r w:rsidRPr="007A1026">
        <w:rPr>
          <w:rFonts w:ascii="Garamond" w:eastAsia="Garamond" w:hAnsi="Garamond" w:cs="Garamond"/>
          <w:i/>
          <w:iCs/>
        </w:rPr>
        <w:t>Universitas Negeri Yogyakarta</w:t>
      </w:r>
      <w:r w:rsidRPr="007A1026">
        <w:rPr>
          <w:rFonts w:ascii="Garamond" w:eastAsia="Garamond" w:hAnsi="Garamond" w:cs="Garamond"/>
        </w:rPr>
        <w:t>.</w:t>
      </w:r>
    </w:p>
    <w:p w14:paraId="221915A4" w14:textId="77777777" w:rsidR="001F6836" w:rsidRPr="00FC05F8" w:rsidRDefault="001F6836" w:rsidP="008A28FA">
      <w:pPr>
        <w:spacing w:line="240" w:lineRule="auto"/>
        <w:ind w:left="426"/>
        <w:jc w:val="both"/>
        <w:rPr>
          <w:rFonts w:ascii="Garamond" w:eastAsia="Garamond" w:hAnsi="Garamond" w:cs="Garamond"/>
        </w:rPr>
      </w:pPr>
    </w:p>
    <w:p w14:paraId="375FEECC" w14:textId="35E7D932" w:rsidR="001F6836" w:rsidRPr="00FC05F8" w:rsidRDefault="005D6994" w:rsidP="008A28FA">
      <w:pPr>
        <w:spacing w:line="240" w:lineRule="auto"/>
        <w:ind w:left="426" w:hanging="426"/>
        <w:jc w:val="both"/>
        <w:rPr>
          <w:rFonts w:ascii="Garamond" w:eastAsia="Garamond" w:hAnsi="Garamond" w:cs="Garamond"/>
        </w:rPr>
      </w:pPr>
      <w:r w:rsidRPr="00FC05F8">
        <w:rPr>
          <w:rFonts w:ascii="Garamond" w:eastAsia="Garamond" w:hAnsi="Garamond" w:cs="Garamond"/>
        </w:rPr>
        <w:t xml:space="preserve">Del Rosario, M. C., &amp; Tagle, M. J. (2020). Reading comprehension and mathematical </w:t>
      </w:r>
      <w:r w:rsidR="00527D6C">
        <w:rPr>
          <w:rFonts w:ascii="Garamond" w:eastAsia="Garamond" w:hAnsi="Garamond" w:cs="Garamond"/>
        </w:rPr>
        <w:t>problem-solving</w:t>
      </w:r>
      <w:r w:rsidRPr="00FC05F8">
        <w:rPr>
          <w:rFonts w:ascii="Garamond" w:eastAsia="Garamond" w:hAnsi="Garamond" w:cs="Garamond"/>
        </w:rPr>
        <w:t xml:space="preserve"> performance of junior high school students in Davao City. Philippine Journal of Education, 95(1), 45–58.</w:t>
      </w:r>
    </w:p>
    <w:p w14:paraId="7658E71E" w14:textId="77777777" w:rsidR="001F6836" w:rsidRPr="00FC05F8" w:rsidRDefault="001F6836" w:rsidP="008A28FA">
      <w:pPr>
        <w:spacing w:line="240" w:lineRule="auto"/>
        <w:ind w:left="426"/>
        <w:jc w:val="both"/>
        <w:rPr>
          <w:rFonts w:ascii="Garamond" w:eastAsia="Garamond" w:hAnsi="Garamond" w:cs="Garamond"/>
        </w:rPr>
      </w:pPr>
    </w:p>
    <w:p w14:paraId="4BA75006" w14:textId="20ECBD4E" w:rsidR="001F6836" w:rsidRPr="00FC05F8" w:rsidRDefault="005D6994" w:rsidP="008A28FA">
      <w:pPr>
        <w:spacing w:line="240" w:lineRule="auto"/>
        <w:ind w:left="426" w:hanging="426"/>
        <w:jc w:val="both"/>
        <w:rPr>
          <w:rFonts w:ascii="Garamond" w:eastAsia="Garamond" w:hAnsi="Garamond" w:cs="Garamond"/>
        </w:rPr>
      </w:pPr>
      <w:r w:rsidRPr="00FC05F8">
        <w:rPr>
          <w:rFonts w:ascii="Garamond" w:eastAsia="Garamond" w:hAnsi="Garamond" w:cs="Garamond"/>
        </w:rPr>
        <w:t>Department of Education (DepEd). (2020). Policy guidelines on the implementation of learning delivery modalities for formal education. https://www.deped.gov.ph/</w:t>
      </w:r>
    </w:p>
    <w:p w14:paraId="6CB5E632" w14:textId="77777777" w:rsidR="001F6836" w:rsidRPr="00FC05F8" w:rsidRDefault="001F6836" w:rsidP="008A28FA">
      <w:pPr>
        <w:spacing w:line="240" w:lineRule="auto"/>
        <w:ind w:left="426"/>
        <w:jc w:val="both"/>
        <w:rPr>
          <w:rFonts w:ascii="Garamond" w:eastAsia="Garamond" w:hAnsi="Garamond" w:cs="Garamond"/>
        </w:rPr>
      </w:pPr>
    </w:p>
    <w:p w14:paraId="194CFB36"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 xml:space="preserve">Department of Education. (2015). Policy guidelines on classroom assessment for the K to 12 basic education </w:t>
      </w:r>
      <w:proofErr w:type="gramStart"/>
      <w:r w:rsidRPr="00FC05F8">
        <w:rPr>
          <w:rFonts w:ascii="Garamond" w:eastAsia="Garamond" w:hAnsi="Garamond" w:cs="Garamond"/>
        </w:rPr>
        <w:t>program</w:t>
      </w:r>
      <w:proofErr w:type="gramEnd"/>
      <w:r w:rsidRPr="00FC05F8">
        <w:rPr>
          <w:rFonts w:ascii="Garamond" w:eastAsia="Garamond" w:hAnsi="Garamond" w:cs="Garamond"/>
        </w:rPr>
        <w:t xml:space="preserve"> (DepEd Order No. 8, s. 2015). Department of Education. </w:t>
      </w:r>
      <w:hyperlink r:id="rId9">
        <w:r w:rsidR="001F6836" w:rsidRPr="00FC05F8">
          <w:rPr>
            <w:rFonts w:ascii="Garamond" w:eastAsia="Garamond" w:hAnsi="Garamond" w:cs="Garamond"/>
            <w:u w:val="single"/>
          </w:rPr>
          <w:t>https://www.deped.gov.ph/2015/04/01/do-8-s-2015</w:t>
        </w:r>
      </w:hyperlink>
    </w:p>
    <w:p w14:paraId="394E0196" w14:textId="77777777" w:rsidR="001F6836" w:rsidRPr="00FC05F8" w:rsidRDefault="001F6836" w:rsidP="008A28FA">
      <w:pPr>
        <w:spacing w:line="240" w:lineRule="auto"/>
        <w:ind w:left="426"/>
        <w:jc w:val="both"/>
        <w:rPr>
          <w:rFonts w:ascii="Garamond" w:eastAsia="Garamond" w:hAnsi="Garamond" w:cs="Garamond"/>
        </w:rPr>
      </w:pPr>
    </w:p>
    <w:p w14:paraId="009FAF76"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Fetters, M. D. (2023). The mixed methods research workbook: Activities for designing, implementing, and publishing projects. Sage Publications.</w:t>
      </w:r>
    </w:p>
    <w:p w14:paraId="091AFECA" w14:textId="77777777" w:rsidR="001F6836" w:rsidRPr="00FC05F8" w:rsidRDefault="001F6836" w:rsidP="008A28FA">
      <w:pPr>
        <w:spacing w:line="240" w:lineRule="auto"/>
        <w:ind w:left="426"/>
        <w:jc w:val="both"/>
        <w:rPr>
          <w:rFonts w:ascii="Garamond" w:eastAsia="Garamond" w:hAnsi="Garamond" w:cs="Garamond"/>
        </w:rPr>
      </w:pPr>
    </w:p>
    <w:p w14:paraId="6BAD3258" w14:textId="6DA6ED06"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t xml:space="preserve">Fraenkel, J. R., Wallen, N. E., &amp; Hyun, H. H. (2019). How to design and evaluate </w:t>
      </w:r>
      <w:r w:rsidR="00527D6C">
        <w:rPr>
          <w:rFonts w:ascii="Garamond" w:eastAsia="Garamond" w:hAnsi="Garamond" w:cs="Garamond"/>
        </w:rPr>
        <w:t>education research</w:t>
      </w:r>
      <w:r w:rsidRPr="00FC05F8">
        <w:rPr>
          <w:rFonts w:ascii="Garamond" w:eastAsia="Garamond" w:hAnsi="Garamond" w:cs="Garamond"/>
        </w:rPr>
        <w:t xml:space="preserve"> (10th ed.). McGraw-Hill Education.</w:t>
      </w:r>
    </w:p>
    <w:p w14:paraId="6E7150B1" w14:textId="77777777" w:rsidR="001F6836" w:rsidRPr="00FC05F8" w:rsidRDefault="001F6836" w:rsidP="008A28FA">
      <w:pPr>
        <w:spacing w:line="240" w:lineRule="auto"/>
        <w:ind w:left="426"/>
        <w:jc w:val="both"/>
        <w:rPr>
          <w:rFonts w:ascii="Garamond" w:eastAsia="Garamond" w:hAnsi="Garamond" w:cs="Garamond"/>
        </w:rPr>
      </w:pPr>
    </w:p>
    <w:p w14:paraId="187DDEBC" w14:textId="04F7616D" w:rsidR="001F6836" w:rsidRDefault="005D6994" w:rsidP="00C13566">
      <w:pPr>
        <w:spacing w:line="240" w:lineRule="auto"/>
        <w:ind w:left="426" w:hanging="426"/>
        <w:jc w:val="both"/>
        <w:rPr>
          <w:rFonts w:ascii="Garamond" w:eastAsia="Garamond" w:hAnsi="Garamond" w:cs="Garamond"/>
        </w:rPr>
      </w:pPr>
      <w:r w:rsidRPr="00FC05F8">
        <w:rPr>
          <w:rFonts w:ascii="Garamond" w:eastAsia="Garamond" w:hAnsi="Garamond" w:cs="Garamond"/>
        </w:rPr>
        <w:t>Fuchs, L. S., Fuchs, D., Compton, D. L., Powell, S. R., Seethaler, P. M., Capizzi, A. M., &amp; Schatschneider, C. (2015). The cognitive correlates of third-grade skill in arithmetic, algorithmic computation, and arithmetic word problems. Journal of Educational Psychology, 97(3), 493–513.</w:t>
      </w:r>
    </w:p>
    <w:p w14:paraId="02AA03C9" w14:textId="77777777" w:rsidR="00A5735E" w:rsidRDefault="00A5735E" w:rsidP="00C13566">
      <w:pPr>
        <w:spacing w:line="240" w:lineRule="auto"/>
        <w:ind w:left="426" w:hanging="426"/>
        <w:jc w:val="both"/>
        <w:rPr>
          <w:rFonts w:ascii="Garamond" w:eastAsia="Garamond" w:hAnsi="Garamond" w:cs="Garamond"/>
        </w:rPr>
      </w:pPr>
    </w:p>
    <w:p w14:paraId="2B8DD5D5" w14:textId="27755D45" w:rsidR="00A5735E" w:rsidRDefault="00A5735E" w:rsidP="00A5735E">
      <w:pPr>
        <w:spacing w:line="240" w:lineRule="auto"/>
        <w:ind w:left="426" w:hanging="426"/>
        <w:jc w:val="both"/>
        <w:rPr>
          <w:rFonts w:ascii="Garamond" w:eastAsia="Garamond" w:hAnsi="Garamond" w:cs="Garamond"/>
        </w:rPr>
      </w:pPr>
      <w:r w:rsidRPr="00A5735E">
        <w:rPr>
          <w:rFonts w:ascii="Garamond" w:eastAsia="Garamond" w:hAnsi="Garamond" w:cs="Garamond"/>
        </w:rPr>
        <w:t xml:space="preserve">Fuchs, L. S., Gilbert, J. K., Fuchs, D., Seethaler, P. M., &amp; Martin, B. N. (2016). </w:t>
      </w:r>
      <w:r w:rsidRPr="00A5735E">
        <w:rPr>
          <w:rFonts w:ascii="Garamond" w:eastAsia="Garamond" w:hAnsi="Garamond" w:cs="Garamond"/>
          <w:i/>
          <w:iCs/>
        </w:rPr>
        <w:t>The role of cognitive processes in mathematical word-problem solving</w:t>
      </w:r>
      <w:r w:rsidRPr="00A5735E">
        <w:rPr>
          <w:rFonts w:ascii="Garamond" w:eastAsia="Garamond" w:hAnsi="Garamond" w:cs="Garamond"/>
        </w:rPr>
        <w:t>. Learning and Individual Differences, 50, 139–145. https://doi.org/10.1016/j.lindif.2016.07.007</w:t>
      </w:r>
    </w:p>
    <w:p w14:paraId="56C1D15C" w14:textId="77777777" w:rsidR="001F6836" w:rsidRPr="00FC05F8" w:rsidRDefault="001F6836" w:rsidP="00A5735E">
      <w:pPr>
        <w:spacing w:line="240" w:lineRule="auto"/>
        <w:jc w:val="both"/>
        <w:rPr>
          <w:rFonts w:ascii="Garamond" w:eastAsia="Garamond" w:hAnsi="Garamond" w:cs="Garamond"/>
        </w:rPr>
      </w:pPr>
    </w:p>
    <w:p w14:paraId="648988D7" w14:textId="77777777" w:rsidR="001F6836" w:rsidRPr="00FC05F8" w:rsidRDefault="005D6994" w:rsidP="003557AF">
      <w:pPr>
        <w:spacing w:line="240" w:lineRule="auto"/>
        <w:ind w:left="426" w:hanging="426"/>
        <w:jc w:val="both"/>
        <w:rPr>
          <w:rFonts w:ascii="Garamond" w:eastAsia="Garamond" w:hAnsi="Garamond" w:cs="Garamond"/>
        </w:rPr>
      </w:pPr>
      <w:r w:rsidRPr="00FC05F8">
        <w:rPr>
          <w:rFonts w:ascii="Garamond" w:eastAsia="Garamond" w:hAnsi="Garamond" w:cs="Garamond"/>
        </w:rPr>
        <w:lastRenderedPageBreak/>
        <w:t>Oakhill, J., Cain, K., &amp; Bryant, P. (2003). The dissociation of word reading and text comprehension: Evidence from component skills. Language and Cognitive Processes, 18(4), 443–468.</w:t>
      </w:r>
    </w:p>
    <w:p w14:paraId="0B5398D2" w14:textId="77777777" w:rsidR="001F6836" w:rsidRPr="00FC05F8" w:rsidRDefault="001F6836" w:rsidP="00A5735E">
      <w:pPr>
        <w:spacing w:line="240" w:lineRule="auto"/>
        <w:jc w:val="both"/>
        <w:rPr>
          <w:rFonts w:ascii="Garamond" w:eastAsia="Garamond" w:hAnsi="Garamond" w:cs="Garamond"/>
        </w:rPr>
      </w:pPr>
    </w:p>
    <w:p w14:paraId="211A554E" w14:textId="37730670" w:rsidR="001F6836" w:rsidRDefault="005D6994" w:rsidP="003557AF">
      <w:pPr>
        <w:spacing w:line="240" w:lineRule="auto"/>
        <w:ind w:left="426" w:hanging="426"/>
        <w:jc w:val="both"/>
        <w:rPr>
          <w:rFonts w:ascii="Garamond" w:eastAsia="Garamond" w:hAnsi="Garamond" w:cs="Garamond"/>
        </w:rPr>
      </w:pPr>
      <w:proofErr w:type="spellStart"/>
      <w:r w:rsidRPr="00FC05F8">
        <w:rPr>
          <w:rFonts w:ascii="Garamond" w:eastAsia="Garamond" w:hAnsi="Garamond" w:cs="Garamond"/>
        </w:rPr>
        <w:t>Organisation</w:t>
      </w:r>
      <w:proofErr w:type="spellEnd"/>
      <w:r w:rsidRPr="00FC05F8">
        <w:rPr>
          <w:rFonts w:ascii="Garamond" w:eastAsia="Garamond" w:hAnsi="Garamond" w:cs="Garamond"/>
        </w:rPr>
        <w:t xml:space="preserve"> for Economic Co-operation and Development. (2019). PISA 2018 results (Volume I): What students know and can do. OECD Publishing. </w:t>
      </w:r>
      <w:hyperlink r:id="rId10" w:history="1">
        <w:r w:rsidR="007A1026" w:rsidRPr="007A1026">
          <w:rPr>
            <w:rStyle w:val="Hyperlink"/>
            <w:rFonts w:ascii="Garamond" w:eastAsia="Garamond" w:hAnsi="Garamond" w:cs="Garamond"/>
            <w:color w:val="auto"/>
          </w:rPr>
          <w:t>https://doi.org/10.1787/5f07c754-en</w:t>
        </w:r>
      </w:hyperlink>
    </w:p>
    <w:p w14:paraId="1DD89580" w14:textId="77777777" w:rsidR="007A1026" w:rsidRDefault="007A1026" w:rsidP="003557AF">
      <w:pPr>
        <w:spacing w:line="240" w:lineRule="auto"/>
        <w:ind w:left="426" w:hanging="426"/>
        <w:jc w:val="both"/>
        <w:rPr>
          <w:rFonts w:ascii="Garamond" w:eastAsia="Garamond" w:hAnsi="Garamond" w:cs="Garamond"/>
        </w:rPr>
      </w:pPr>
    </w:p>
    <w:p w14:paraId="2248D7A9" w14:textId="025645C7" w:rsidR="007A1026" w:rsidRPr="00FC05F8" w:rsidRDefault="007A1026" w:rsidP="003557AF">
      <w:pPr>
        <w:spacing w:line="240" w:lineRule="auto"/>
        <w:ind w:left="426" w:hanging="426"/>
        <w:jc w:val="both"/>
        <w:rPr>
          <w:rFonts w:ascii="Garamond" w:eastAsia="Garamond" w:hAnsi="Garamond" w:cs="Garamond"/>
        </w:rPr>
      </w:pPr>
      <w:proofErr w:type="spellStart"/>
      <w:r w:rsidRPr="007A1026">
        <w:rPr>
          <w:rFonts w:ascii="Garamond" w:eastAsia="Garamond" w:hAnsi="Garamond" w:cs="Garamond"/>
        </w:rPr>
        <w:t>Timario</w:t>
      </w:r>
      <w:proofErr w:type="spellEnd"/>
      <w:r w:rsidRPr="007A1026">
        <w:rPr>
          <w:rFonts w:ascii="Garamond" w:eastAsia="Garamond" w:hAnsi="Garamond" w:cs="Garamond"/>
        </w:rPr>
        <w:t xml:space="preserve">, R. R. (2020). Reading Comprehension </w:t>
      </w:r>
      <w:proofErr w:type="gramStart"/>
      <w:r w:rsidRPr="007A1026">
        <w:rPr>
          <w:rFonts w:ascii="Garamond" w:eastAsia="Garamond" w:hAnsi="Garamond" w:cs="Garamond"/>
        </w:rPr>
        <w:t>And</w:t>
      </w:r>
      <w:proofErr w:type="gramEnd"/>
      <w:r w:rsidRPr="007A1026">
        <w:rPr>
          <w:rFonts w:ascii="Garamond" w:eastAsia="Garamond" w:hAnsi="Garamond" w:cs="Garamond"/>
        </w:rPr>
        <w:t xml:space="preserve"> Problem Solving Skills </w:t>
      </w:r>
      <w:proofErr w:type="gramStart"/>
      <w:r w:rsidRPr="007A1026">
        <w:rPr>
          <w:rFonts w:ascii="Garamond" w:eastAsia="Garamond" w:hAnsi="Garamond" w:cs="Garamond"/>
        </w:rPr>
        <w:t>Of</w:t>
      </w:r>
      <w:proofErr w:type="gramEnd"/>
      <w:r w:rsidRPr="007A1026">
        <w:rPr>
          <w:rFonts w:ascii="Garamond" w:eastAsia="Garamond" w:hAnsi="Garamond" w:cs="Garamond"/>
        </w:rPr>
        <w:t xml:space="preserve"> Grade </w:t>
      </w:r>
      <w:proofErr w:type="spellStart"/>
      <w:r w:rsidRPr="007A1026">
        <w:rPr>
          <w:rFonts w:ascii="Garamond" w:eastAsia="Garamond" w:hAnsi="Garamond" w:cs="Garamond"/>
        </w:rPr>
        <w:t>Sevenstudents</w:t>
      </w:r>
      <w:proofErr w:type="spellEnd"/>
      <w:r w:rsidRPr="007A1026">
        <w:rPr>
          <w:rFonts w:ascii="Garamond" w:eastAsia="Garamond" w:hAnsi="Garamond" w:cs="Garamond"/>
        </w:rPr>
        <w:t>: A Mixed Sequential Explanatory Approach. </w:t>
      </w:r>
      <w:r w:rsidRPr="007A1026">
        <w:rPr>
          <w:rFonts w:ascii="Garamond" w:eastAsia="Garamond" w:hAnsi="Garamond" w:cs="Garamond"/>
          <w:i/>
          <w:iCs/>
        </w:rPr>
        <w:t>American Journal of Humanities and Social Sciences Research (AJHSSR)</w:t>
      </w:r>
      <w:r w:rsidRPr="007A1026">
        <w:rPr>
          <w:rFonts w:ascii="Garamond" w:eastAsia="Garamond" w:hAnsi="Garamond" w:cs="Garamond"/>
        </w:rPr>
        <w:t>, </w:t>
      </w:r>
      <w:r w:rsidRPr="007A1026">
        <w:rPr>
          <w:rFonts w:ascii="Garamond" w:eastAsia="Garamond" w:hAnsi="Garamond" w:cs="Garamond"/>
          <w:i/>
          <w:iCs/>
        </w:rPr>
        <w:t>4</w:t>
      </w:r>
      <w:r w:rsidRPr="007A1026">
        <w:rPr>
          <w:rFonts w:ascii="Garamond" w:eastAsia="Garamond" w:hAnsi="Garamond" w:cs="Garamond"/>
        </w:rPr>
        <w:t>(6), 83-91.</w:t>
      </w:r>
    </w:p>
    <w:p w14:paraId="3829FD01" w14:textId="77777777" w:rsidR="001F6836" w:rsidRPr="00FC05F8" w:rsidRDefault="001F6836" w:rsidP="00122AD7">
      <w:pPr>
        <w:spacing w:line="240" w:lineRule="auto"/>
        <w:jc w:val="both"/>
        <w:rPr>
          <w:rFonts w:ascii="Garamond" w:eastAsia="Garamond" w:hAnsi="Garamond" w:cs="Garamond"/>
        </w:rPr>
      </w:pPr>
    </w:p>
    <w:p w14:paraId="367A797D" w14:textId="4EC36C96" w:rsidR="001F6836" w:rsidRPr="00FC05F8" w:rsidRDefault="00A5735E" w:rsidP="00A5735E">
      <w:pPr>
        <w:spacing w:line="240" w:lineRule="auto"/>
        <w:ind w:left="426" w:hanging="426"/>
        <w:jc w:val="both"/>
        <w:rPr>
          <w:rFonts w:ascii="Garamond" w:eastAsia="Garamond" w:hAnsi="Garamond" w:cs="Garamond"/>
          <w:sz w:val="20"/>
          <w:szCs w:val="20"/>
        </w:rPr>
      </w:pPr>
      <w:r w:rsidRPr="00A5735E">
        <w:rPr>
          <w:rFonts w:ascii="Garamond" w:eastAsia="Garamond" w:hAnsi="Garamond" w:cs="Garamond"/>
        </w:rPr>
        <w:t xml:space="preserve">Van Rinsveld, A., Brunner, M., </w:t>
      </w:r>
      <w:proofErr w:type="spellStart"/>
      <w:r w:rsidRPr="00A5735E">
        <w:rPr>
          <w:rFonts w:ascii="Garamond" w:eastAsia="Garamond" w:hAnsi="Garamond" w:cs="Garamond"/>
        </w:rPr>
        <w:t>Landerl</w:t>
      </w:r>
      <w:proofErr w:type="spellEnd"/>
      <w:r w:rsidRPr="00A5735E">
        <w:rPr>
          <w:rFonts w:ascii="Garamond" w:eastAsia="Garamond" w:hAnsi="Garamond" w:cs="Garamond"/>
        </w:rPr>
        <w:t xml:space="preserve">, K., Schiltz, C., &amp; </w:t>
      </w:r>
      <w:proofErr w:type="spellStart"/>
      <w:r w:rsidRPr="00A5735E">
        <w:rPr>
          <w:rFonts w:ascii="Garamond" w:eastAsia="Garamond" w:hAnsi="Garamond" w:cs="Garamond"/>
        </w:rPr>
        <w:t>Ugen</w:t>
      </w:r>
      <w:proofErr w:type="spellEnd"/>
      <w:r w:rsidRPr="00A5735E">
        <w:rPr>
          <w:rFonts w:ascii="Garamond" w:eastAsia="Garamond" w:hAnsi="Garamond" w:cs="Garamond"/>
        </w:rPr>
        <w:t xml:space="preserve">, S. (2016). </w:t>
      </w:r>
      <w:r w:rsidRPr="00A5735E">
        <w:rPr>
          <w:rFonts w:ascii="Garamond" w:eastAsia="Garamond" w:hAnsi="Garamond" w:cs="Garamond"/>
          <w:i/>
          <w:iCs/>
        </w:rPr>
        <w:t>The relation between language and arithmetic in bilinguals: Insights from different stages of language acquisition</w:t>
      </w:r>
      <w:r w:rsidRPr="00A5735E">
        <w:rPr>
          <w:rFonts w:ascii="Garamond" w:eastAsia="Garamond" w:hAnsi="Garamond" w:cs="Garamond"/>
        </w:rPr>
        <w:t>. Frontiers in Psychology, 7, 1396. https://doi.org/10.3389/fpsyg.2016.01396</w:t>
      </w:r>
    </w:p>
    <w:p w14:paraId="04A6B075" w14:textId="77777777" w:rsidR="001F6836" w:rsidRDefault="001F6836" w:rsidP="008A28FA">
      <w:pPr>
        <w:spacing w:line="240" w:lineRule="auto"/>
        <w:ind w:left="426"/>
        <w:rPr>
          <w:rFonts w:ascii="Garamond" w:eastAsia="Garamond" w:hAnsi="Garamond" w:cs="Garamond"/>
          <w:sz w:val="20"/>
          <w:szCs w:val="20"/>
        </w:rPr>
      </w:pPr>
    </w:p>
    <w:p w14:paraId="635AB2BF" w14:textId="4809E264" w:rsidR="004A4B38" w:rsidRPr="004A4B38" w:rsidRDefault="004A4B38" w:rsidP="004A4B38">
      <w:pPr>
        <w:spacing w:line="240" w:lineRule="auto"/>
        <w:ind w:left="426" w:hanging="426"/>
        <w:jc w:val="both"/>
        <w:rPr>
          <w:rFonts w:ascii="Garamond" w:eastAsia="Garamond" w:hAnsi="Garamond" w:cs="Garamond"/>
          <w:sz w:val="20"/>
          <w:szCs w:val="20"/>
        </w:rPr>
      </w:pPr>
      <w:r w:rsidRPr="004A4B38">
        <w:rPr>
          <w:rFonts w:ascii="Garamond" w:eastAsia="Garamond" w:hAnsi="Garamond" w:cs="Garamond"/>
        </w:rPr>
        <w:t xml:space="preserve">Wangmo, P. (2021). Factors Affecting Bhutanese Secondary School Students’ Ability in Solving Mathematical Word Problems: A Case Study. </w:t>
      </w:r>
      <w:r w:rsidRPr="004A4B38">
        <w:rPr>
          <w:rFonts w:ascii="Garamond" w:eastAsia="Garamond" w:hAnsi="Garamond" w:cs="Garamond"/>
          <w:i/>
          <w:iCs/>
        </w:rPr>
        <w:t>Asian Research Journal of Mathematics</w:t>
      </w:r>
      <w:r w:rsidRPr="004A4B38">
        <w:rPr>
          <w:rFonts w:ascii="Garamond" w:eastAsia="Garamond" w:hAnsi="Garamond" w:cs="Garamond"/>
        </w:rPr>
        <w:t xml:space="preserve">, 17(1), 1–13. </w:t>
      </w:r>
      <w:hyperlink r:id="rId11" w:tgtFrame="_new" w:history="1">
        <w:r w:rsidRPr="004A4B38">
          <w:rPr>
            <w:rStyle w:val="Hyperlink"/>
            <w:rFonts w:ascii="Garamond" w:eastAsia="Garamond" w:hAnsi="Garamond" w:cs="Garamond"/>
            <w:color w:val="auto"/>
          </w:rPr>
          <w:t>https://doi.org/10.9734/arjom/2021/v17i130260</w:t>
        </w:r>
      </w:hyperlink>
    </w:p>
    <w:p w14:paraId="6DF4CC9E" w14:textId="77777777" w:rsidR="004A4B38" w:rsidRPr="00FC05F8" w:rsidRDefault="004A4B38" w:rsidP="008A28FA">
      <w:pPr>
        <w:spacing w:line="240" w:lineRule="auto"/>
        <w:ind w:left="426"/>
        <w:rPr>
          <w:rFonts w:ascii="Garamond" w:eastAsia="Garamond" w:hAnsi="Garamond" w:cs="Garamond"/>
          <w:sz w:val="20"/>
          <w:szCs w:val="20"/>
        </w:rPr>
      </w:pPr>
    </w:p>
    <w:sectPr w:rsidR="004A4B38" w:rsidRPr="00FC05F8" w:rsidSect="00D876DB">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101D3" w14:textId="77777777" w:rsidR="00114B97" w:rsidRDefault="00114B97">
      <w:pPr>
        <w:spacing w:line="240" w:lineRule="auto"/>
      </w:pPr>
      <w:r>
        <w:separator/>
      </w:r>
    </w:p>
  </w:endnote>
  <w:endnote w:type="continuationSeparator" w:id="0">
    <w:p w14:paraId="17557F3D" w14:textId="77777777" w:rsidR="00114B97" w:rsidRDefault="00114B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C41B09A9-99C7-4616-B0F7-628FD03BD505}"/>
    <w:embedBold r:id="rId2" w:fontKey="{6D938B37-F489-4724-A338-689C608FFDC9}"/>
    <w:embedItalic r:id="rId3" w:fontKey="{83CF7579-E510-4AFF-85D6-DA7FF597D062}"/>
    <w:embedBoldItalic r:id="rId4" w:fontKey="{4CA9D6D2-353A-48B0-986A-01B4EBD60F2B}"/>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2DA127F9-C9BC-4E33-961A-5D0F78F30FCA}"/>
  </w:font>
  <w:font w:name="Calibri">
    <w:panose1 w:val="020F0502020204030204"/>
    <w:charset w:val="00"/>
    <w:family w:val="swiss"/>
    <w:pitch w:val="variable"/>
    <w:sig w:usb0="E4002EFF" w:usb1="C000247B" w:usb2="00000009" w:usb3="00000000" w:csb0="000001FF" w:csb1="00000000"/>
    <w:embedRegular r:id="rId6" w:fontKey="{3CD385A3-FB9E-4F9F-9FAC-98921C24FBEB}"/>
  </w:font>
  <w:font w:name="Cambria">
    <w:panose1 w:val="02040503050406030204"/>
    <w:charset w:val="00"/>
    <w:family w:val="roman"/>
    <w:pitch w:val="variable"/>
    <w:sig w:usb0="E00006FF" w:usb1="420024FF" w:usb2="02000000" w:usb3="00000000" w:csb0="0000019F" w:csb1="00000000"/>
    <w:embedRegular r:id="rId7" w:fontKey="{F14B5C13-AF79-40B2-8254-6B83FDEAE3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D93D" w14:textId="77777777" w:rsidR="008E12C5" w:rsidRDefault="008E12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AA64" w14:textId="77777777" w:rsidR="008E12C5" w:rsidRDefault="008E1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95DB2" w14:textId="77777777" w:rsidR="008E12C5" w:rsidRDefault="008E1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89E82" w14:textId="77777777" w:rsidR="00114B97" w:rsidRDefault="00114B97">
      <w:pPr>
        <w:spacing w:line="240" w:lineRule="auto"/>
      </w:pPr>
      <w:r>
        <w:separator/>
      </w:r>
    </w:p>
  </w:footnote>
  <w:footnote w:type="continuationSeparator" w:id="0">
    <w:p w14:paraId="326E9130" w14:textId="77777777" w:rsidR="00114B97" w:rsidRDefault="00114B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2C646" w14:textId="5AC7E2D5" w:rsidR="008E12C5" w:rsidRDefault="00000000">
    <w:pPr>
      <w:pStyle w:val="Header"/>
    </w:pPr>
    <w:r>
      <w:rPr>
        <w:noProof/>
      </w:rPr>
      <w:pict w14:anchorId="2A8566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21797"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4C2C" w14:textId="7936D3C5" w:rsidR="001F6836" w:rsidRDefault="00000000">
    <w:r>
      <w:rPr>
        <w:noProof/>
      </w:rPr>
      <w:pict w14:anchorId="1C656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21798"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6ED3" w14:textId="1B216823" w:rsidR="008E12C5" w:rsidRDefault="00000000">
    <w:pPr>
      <w:pStyle w:val="Header"/>
    </w:pPr>
    <w:r>
      <w:rPr>
        <w:noProof/>
      </w:rPr>
      <w:pict w14:anchorId="6310E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21796"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6443"/>
    <w:multiLevelType w:val="hybridMultilevel"/>
    <w:tmpl w:val="71589AC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70F0CA3"/>
    <w:multiLevelType w:val="multilevel"/>
    <w:tmpl w:val="EA9AD9E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90F3F74"/>
    <w:multiLevelType w:val="hybridMultilevel"/>
    <w:tmpl w:val="96AA6CDE"/>
    <w:lvl w:ilvl="0" w:tplc="B31CD72E">
      <w:numFmt w:val="bullet"/>
      <w:lvlText w:val="-"/>
      <w:lvlJc w:val="left"/>
      <w:pPr>
        <w:ind w:left="1800" w:hanging="360"/>
      </w:pPr>
      <w:rPr>
        <w:rFonts w:ascii="Garamond" w:eastAsia="Garamond" w:hAnsi="Garamond" w:cs="Garamond"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 w15:restartNumberingAfterBreak="0">
    <w:nsid w:val="0C460779"/>
    <w:multiLevelType w:val="multilevel"/>
    <w:tmpl w:val="CC5EB25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564C61"/>
    <w:multiLevelType w:val="multilevel"/>
    <w:tmpl w:val="269EC9E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8C26D24"/>
    <w:multiLevelType w:val="hybridMultilevel"/>
    <w:tmpl w:val="F3246866"/>
    <w:lvl w:ilvl="0" w:tplc="3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 w15:restartNumberingAfterBreak="0">
    <w:nsid w:val="2FF806F7"/>
    <w:multiLevelType w:val="multilevel"/>
    <w:tmpl w:val="D24C5B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C1C4C0B"/>
    <w:multiLevelType w:val="hybridMultilevel"/>
    <w:tmpl w:val="09323CF8"/>
    <w:lvl w:ilvl="0" w:tplc="0EEE28F0">
      <w:numFmt w:val="bullet"/>
      <w:lvlText w:val="-"/>
      <w:lvlJc w:val="left"/>
      <w:pPr>
        <w:ind w:left="720" w:hanging="360"/>
      </w:pPr>
      <w:rPr>
        <w:rFonts w:ascii="Garamond" w:eastAsia="Garamond" w:hAnsi="Garamond" w:cs="Garamond" w:hint="default"/>
        <w:color w:val="000000"/>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E6E1422"/>
    <w:multiLevelType w:val="hybridMultilevel"/>
    <w:tmpl w:val="EA2C4352"/>
    <w:lvl w:ilvl="0" w:tplc="04685A2E">
      <w:numFmt w:val="bullet"/>
      <w:lvlText w:val="-"/>
      <w:lvlJc w:val="left"/>
      <w:pPr>
        <w:ind w:left="720" w:hanging="360"/>
      </w:pPr>
      <w:rPr>
        <w:rFonts w:ascii="Garamond" w:eastAsia="Garamond" w:hAnsi="Garamond" w:cs="Garamond" w:hint="default"/>
        <w:color w:val="000000"/>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656D535C"/>
    <w:multiLevelType w:val="hybridMultilevel"/>
    <w:tmpl w:val="516065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6F5A1CC5"/>
    <w:multiLevelType w:val="hybridMultilevel"/>
    <w:tmpl w:val="E8EA003C"/>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16cid:durableId="1403485786">
    <w:abstractNumId w:val="6"/>
  </w:num>
  <w:num w:numId="2" w16cid:durableId="348139944">
    <w:abstractNumId w:val="4"/>
  </w:num>
  <w:num w:numId="3" w16cid:durableId="1816143014">
    <w:abstractNumId w:val="3"/>
  </w:num>
  <w:num w:numId="4" w16cid:durableId="1173950926">
    <w:abstractNumId w:val="1"/>
  </w:num>
  <w:num w:numId="5" w16cid:durableId="1781797482">
    <w:abstractNumId w:val="8"/>
  </w:num>
  <w:num w:numId="6" w16cid:durableId="185800206">
    <w:abstractNumId w:val="7"/>
  </w:num>
  <w:num w:numId="7" w16cid:durableId="1936398399">
    <w:abstractNumId w:val="10"/>
  </w:num>
  <w:num w:numId="8" w16cid:durableId="1127892873">
    <w:abstractNumId w:val="0"/>
  </w:num>
  <w:num w:numId="9" w16cid:durableId="868222252">
    <w:abstractNumId w:val="9"/>
  </w:num>
  <w:num w:numId="10" w16cid:durableId="2068647033">
    <w:abstractNumId w:val="2"/>
  </w:num>
  <w:num w:numId="11" w16cid:durableId="18241965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836"/>
    <w:rsid w:val="00017CEA"/>
    <w:rsid w:val="000214B5"/>
    <w:rsid w:val="00032DE2"/>
    <w:rsid w:val="00040BAE"/>
    <w:rsid w:val="000560B7"/>
    <w:rsid w:val="00057ED2"/>
    <w:rsid w:val="000B2D0B"/>
    <w:rsid w:val="000C61BE"/>
    <w:rsid w:val="000D3055"/>
    <w:rsid w:val="00111EFE"/>
    <w:rsid w:val="00114B97"/>
    <w:rsid w:val="00122AD7"/>
    <w:rsid w:val="00127AB2"/>
    <w:rsid w:val="001323DC"/>
    <w:rsid w:val="00144A46"/>
    <w:rsid w:val="00183364"/>
    <w:rsid w:val="001A10FA"/>
    <w:rsid w:val="001B7447"/>
    <w:rsid w:val="001C3DDD"/>
    <w:rsid w:val="001C6B83"/>
    <w:rsid w:val="001E146F"/>
    <w:rsid w:val="001E728B"/>
    <w:rsid w:val="001F6836"/>
    <w:rsid w:val="00202AE7"/>
    <w:rsid w:val="00202F78"/>
    <w:rsid w:val="00214152"/>
    <w:rsid w:val="0024230F"/>
    <w:rsid w:val="002628B0"/>
    <w:rsid w:val="00263CA6"/>
    <w:rsid w:val="002670BB"/>
    <w:rsid w:val="0028780D"/>
    <w:rsid w:val="002A3E70"/>
    <w:rsid w:val="002B2665"/>
    <w:rsid w:val="002B2FE4"/>
    <w:rsid w:val="002E18A6"/>
    <w:rsid w:val="003410F0"/>
    <w:rsid w:val="003557AF"/>
    <w:rsid w:val="00374252"/>
    <w:rsid w:val="00382EB7"/>
    <w:rsid w:val="00425769"/>
    <w:rsid w:val="00431598"/>
    <w:rsid w:val="00450AF9"/>
    <w:rsid w:val="0046751E"/>
    <w:rsid w:val="00492385"/>
    <w:rsid w:val="004A4B38"/>
    <w:rsid w:val="004A6AAF"/>
    <w:rsid w:val="004B218F"/>
    <w:rsid w:val="004B34FC"/>
    <w:rsid w:val="004E6598"/>
    <w:rsid w:val="005063EE"/>
    <w:rsid w:val="00527C05"/>
    <w:rsid w:val="00527D6C"/>
    <w:rsid w:val="00572713"/>
    <w:rsid w:val="005816A6"/>
    <w:rsid w:val="005C7C7F"/>
    <w:rsid w:val="005D5B76"/>
    <w:rsid w:val="005D6449"/>
    <w:rsid w:val="005D6994"/>
    <w:rsid w:val="005E23F8"/>
    <w:rsid w:val="005F6439"/>
    <w:rsid w:val="0066475A"/>
    <w:rsid w:val="0068061D"/>
    <w:rsid w:val="006E7D73"/>
    <w:rsid w:val="0076190A"/>
    <w:rsid w:val="007862FC"/>
    <w:rsid w:val="007A0F96"/>
    <w:rsid w:val="007A1026"/>
    <w:rsid w:val="007C2477"/>
    <w:rsid w:val="007E0929"/>
    <w:rsid w:val="007E71FB"/>
    <w:rsid w:val="007F0EB0"/>
    <w:rsid w:val="00801B9F"/>
    <w:rsid w:val="00804A3C"/>
    <w:rsid w:val="00827A4B"/>
    <w:rsid w:val="00831FEE"/>
    <w:rsid w:val="00887D33"/>
    <w:rsid w:val="008A28FA"/>
    <w:rsid w:val="008A7810"/>
    <w:rsid w:val="008C51F2"/>
    <w:rsid w:val="008D6923"/>
    <w:rsid w:val="008E12C5"/>
    <w:rsid w:val="008F0076"/>
    <w:rsid w:val="008F0719"/>
    <w:rsid w:val="008F311A"/>
    <w:rsid w:val="008F3ECE"/>
    <w:rsid w:val="0090486B"/>
    <w:rsid w:val="00946E11"/>
    <w:rsid w:val="009658B1"/>
    <w:rsid w:val="00974425"/>
    <w:rsid w:val="0099190D"/>
    <w:rsid w:val="009A1B5F"/>
    <w:rsid w:val="009A298D"/>
    <w:rsid w:val="009A7321"/>
    <w:rsid w:val="009E1320"/>
    <w:rsid w:val="009F5240"/>
    <w:rsid w:val="00A1198C"/>
    <w:rsid w:val="00A135FB"/>
    <w:rsid w:val="00A203AC"/>
    <w:rsid w:val="00A21834"/>
    <w:rsid w:val="00A5735E"/>
    <w:rsid w:val="00A650EF"/>
    <w:rsid w:val="00A81B27"/>
    <w:rsid w:val="00A94919"/>
    <w:rsid w:val="00AA026E"/>
    <w:rsid w:val="00AD555F"/>
    <w:rsid w:val="00AD6479"/>
    <w:rsid w:val="00AD6F83"/>
    <w:rsid w:val="00B146D4"/>
    <w:rsid w:val="00B24323"/>
    <w:rsid w:val="00B33532"/>
    <w:rsid w:val="00B57E6E"/>
    <w:rsid w:val="00B71B02"/>
    <w:rsid w:val="00B71C7C"/>
    <w:rsid w:val="00B96E0F"/>
    <w:rsid w:val="00BB5E64"/>
    <w:rsid w:val="00BD1463"/>
    <w:rsid w:val="00BD188C"/>
    <w:rsid w:val="00BE27EC"/>
    <w:rsid w:val="00BE6517"/>
    <w:rsid w:val="00C049F7"/>
    <w:rsid w:val="00C13566"/>
    <w:rsid w:val="00C52738"/>
    <w:rsid w:val="00C6272B"/>
    <w:rsid w:val="00C7773F"/>
    <w:rsid w:val="00CD5A54"/>
    <w:rsid w:val="00D13833"/>
    <w:rsid w:val="00D16CAD"/>
    <w:rsid w:val="00D230E0"/>
    <w:rsid w:val="00D232DD"/>
    <w:rsid w:val="00D341AF"/>
    <w:rsid w:val="00D47078"/>
    <w:rsid w:val="00D61AF2"/>
    <w:rsid w:val="00D876DB"/>
    <w:rsid w:val="00D90437"/>
    <w:rsid w:val="00D9483A"/>
    <w:rsid w:val="00DE0B0B"/>
    <w:rsid w:val="00DE7BAC"/>
    <w:rsid w:val="00DF6B21"/>
    <w:rsid w:val="00E03524"/>
    <w:rsid w:val="00E06DE4"/>
    <w:rsid w:val="00E35314"/>
    <w:rsid w:val="00E35EDB"/>
    <w:rsid w:val="00E42046"/>
    <w:rsid w:val="00E55F17"/>
    <w:rsid w:val="00E779EE"/>
    <w:rsid w:val="00E82ED0"/>
    <w:rsid w:val="00E84E02"/>
    <w:rsid w:val="00E93311"/>
    <w:rsid w:val="00EB4363"/>
    <w:rsid w:val="00F02B44"/>
    <w:rsid w:val="00F111A9"/>
    <w:rsid w:val="00F25086"/>
    <w:rsid w:val="00F90E58"/>
    <w:rsid w:val="00FC05F8"/>
    <w:rsid w:val="00FC2A6F"/>
    <w:rsid w:val="00FD6CBD"/>
    <w:rsid w:val="00FE14A1"/>
    <w:rsid w:val="00FF310B"/>
    <w:rsid w:val="00FF377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672FC9"/>
  <w15:docId w15:val="{EA70C4AD-1AE4-4801-875D-6532AEB7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4E6EE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7262"/>
    <w:pPr>
      <w:ind w:left="720"/>
      <w:contextualSpacing/>
    </w:pPr>
  </w:style>
  <w:style w:type="character" w:styleId="Hyperlink">
    <w:name w:val="Hyperlink"/>
    <w:basedOn w:val="DefaultParagraphFont"/>
    <w:uiPriority w:val="99"/>
    <w:unhideWhenUsed/>
    <w:rsid w:val="0028743D"/>
    <w:rPr>
      <w:color w:val="0000FF" w:themeColor="hyperlink"/>
      <w:u w:val="single"/>
    </w:rPr>
  </w:style>
  <w:style w:type="character" w:styleId="UnresolvedMention">
    <w:name w:val="Unresolved Mention"/>
    <w:basedOn w:val="DefaultParagraphFont"/>
    <w:uiPriority w:val="99"/>
    <w:semiHidden/>
    <w:unhideWhenUsed/>
    <w:rsid w:val="0028743D"/>
    <w:rPr>
      <w:color w:val="605E5C"/>
      <w:shd w:val="clear" w:color="auto" w:fill="E1DFDD"/>
    </w:rPr>
  </w:style>
  <w:style w:type="paragraph" w:styleId="NormalWeb">
    <w:name w:val="Normal (Web)"/>
    <w:basedOn w:val="Normal"/>
    <w:uiPriority w:val="99"/>
    <w:semiHidden/>
    <w:unhideWhenUsed/>
    <w:rsid w:val="00380BCA"/>
    <w:rPr>
      <w:rFonts w:ascii="Times New Roman" w:hAnsi="Times New Roman" w:cs="Times New Roman"/>
      <w:sz w:val="24"/>
      <w:szCs w:val="24"/>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NoSpacing">
    <w:name w:val="No Spacing"/>
    <w:uiPriority w:val="1"/>
    <w:qFormat/>
    <w:rsid w:val="0066475A"/>
    <w:pPr>
      <w:spacing w:line="240" w:lineRule="auto"/>
    </w:pPr>
  </w:style>
  <w:style w:type="character" w:styleId="Strong">
    <w:name w:val="Strong"/>
    <w:basedOn w:val="DefaultParagraphFont"/>
    <w:uiPriority w:val="22"/>
    <w:qFormat/>
    <w:rsid w:val="00D9483A"/>
    <w:rPr>
      <w:b/>
      <w:bCs/>
    </w:rPr>
  </w:style>
  <w:style w:type="paragraph" w:styleId="Header">
    <w:name w:val="header"/>
    <w:basedOn w:val="Normal"/>
    <w:link w:val="HeaderChar"/>
    <w:uiPriority w:val="99"/>
    <w:unhideWhenUsed/>
    <w:rsid w:val="008E12C5"/>
    <w:pPr>
      <w:tabs>
        <w:tab w:val="center" w:pos="4680"/>
        <w:tab w:val="right" w:pos="9360"/>
      </w:tabs>
      <w:spacing w:line="240" w:lineRule="auto"/>
    </w:pPr>
  </w:style>
  <w:style w:type="character" w:customStyle="1" w:styleId="HeaderChar">
    <w:name w:val="Header Char"/>
    <w:basedOn w:val="DefaultParagraphFont"/>
    <w:link w:val="Header"/>
    <w:uiPriority w:val="99"/>
    <w:rsid w:val="008E12C5"/>
  </w:style>
  <w:style w:type="paragraph" w:styleId="Footer">
    <w:name w:val="footer"/>
    <w:basedOn w:val="Normal"/>
    <w:link w:val="FooterChar"/>
    <w:uiPriority w:val="99"/>
    <w:unhideWhenUsed/>
    <w:rsid w:val="008E12C5"/>
    <w:pPr>
      <w:tabs>
        <w:tab w:val="center" w:pos="4680"/>
        <w:tab w:val="right" w:pos="9360"/>
      </w:tabs>
      <w:spacing w:line="240" w:lineRule="auto"/>
    </w:pPr>
  </w:style>
  <w:style w:type="character" w:customStyle="1" w:styleId="FooterChar">
    <w:name w:val="Footer Char"/>
    <w:basedOn w:val="DefaultParagraphFont"/>
    <w:link w:val="Footer"/>
    <w:uiPriority w:val="99"/>
    <w:rsid w:val="008E1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3365">
      <w:bodyDiv w:val="1"/>
      <w:marLeft w:val="0"/>
      <w:marRight w:val="0"/>
      <w:marTop w:val="0"/>
      <w:marBottom w:val="0"/>
      <w:divBdr>
        <w:top w:val="none" w:sz="0" w:space="0" w:color="auto"/>
        <w:left w:val="none" w:sz="0" w:space="0" w:color="auto"/>
        <w:bottom w:val="none" w:sz="0" w:space="0" w:color="auto"/>
        <w:right w:val="none" w:sz="0" w:space="0" w:color="auto"/>
      </w:divBdr>
    </w:div>
    <w:div w:id="67849485">
      <w:bodyDiv w:val="1"/>
      <w:marLeft w:val="0"/>
      <w:marRight w:val="0"/>
      <w:marTop w:val="0"/>
      <w:marBottom w:val="0"/>
      <w:divBdr>
        <w:top w:val="none" w:sz="0" w:space="0" w:color="auto"/>
        <w:left w:val="none" w:sz="0" w:space="0" w:color="auto"/>
        <w:bottom w:val="none" w:sz="0" w:space="0" w:color="auto"/>
        <w:right w:val="none" w:sz="0" w:space="0" w:color="auto"/>
      </w:divBdr>
    </w:div>
    <w:div w:id="136844953">
      <w:bodyDiv w:val="1"/>
      <w:marLeft w:val="0"/>
      <w:marRight w:val="0"/>
      <w:marTop w:val="0"/>
      <w:marBottom w:val="0"/>
      <w:divBdr>
        <w:top w:val="none" w:sz="0" w:space="0" w:color="auto"/>
        <w:left w:val="none" w:sz="0" w:space="0" w:color="auto"/>
        <w:bottom w:val="none" w:sz="0" w:space="0" w:color="auto"/>
        <w:right w:val="none" w:sz="0" w:space="0" w:color="auto"/>
      </w:divBdr>
    </w:div>
    <w:div w:id="341862760">
      <w:bodyDiv w:val="1"/>
      <w:marLeft w:val="0"/>
      <w:marRight w:val="0"/>
      <w:marTop w:val="0"/>
      <w:marBottom w:val="0"/>
      <w:divBdr>
        <w:top w:val="none" w:sz="0" w:space="0" w:color="auto"/>
        <w:left w:val="none" w:sz="0" w:space="0" w:color="auto"/>
        <w:bottom w:val="none" w:sz="0" w:space="0" w:color="auto"/>
        <w:right w:val="none" w:sz="0" w:space="0" w:color="auto"/>
      </w:divBdr>
    </w:div>
    <w:div w:id="477697295">
      <w:bodyDiv w:val="1"/>
      <w:marLeft w:val="0"/>
      <w:marRight w:val="0"/>
      <w:marTop w:val="0"/>
      <w:marBottom w:val="0"/>
      <w:divBdr>
        <w:top w:val="none" w:sz="0" w:space="0" w:color="auto"/>
        <w:left w:val="none" w:sz="0" w:space="0" w:color="auto"/>
        <w:bottom w:val="none" w:sz="0" w:space="0" w:color="auto"/>
        <w:right w:val="none" w:sz="0" w:space="0" w:color="auto"/>
      </w:divBdr>
    </w:div>
    <w:div w:id="555819020">
      <w:bodyDiv w:val="1"/>
      <w:marLeft w:val="0"/>
      <w:marRight w:val="0"/>
      <w:marTop w:val="0"/>
      <w:marBottom w:val="0"/>
      <w:divBdr>
        <w:top w:val="none" w:sz="0" w:space="0" w:color="auto"/>
        <w:left w:val="none" w:sz="0" w:space="0" w:color="auto"/>
        <w:bottom w:val="none" w:sz="0" w:space="0" w:color="auto"/>
        <w:right w:val="none" w:sz="0" w:space="0" w:color="auto"/>
      </w:divBdr>
    </w:div>
    <w:div w:id="595484264">
      <w:bodyDiv w:val="1"/>
      <w:marLeft w:val="0"/>
      <w:marRight w:val="0"/>
      <w:marTop w:val="0"/>
      <w:marBottom w:val="0"/>
      <w:divBdr>
        <w:top w:val="none" w:sz="0" w:space="0" w:color="auto"/>
        <w:left w:val="none" w:sz="0" w:space="0" w:color="auto"/>
        <w:bottom w:val="none" w:sz="0" w:space="0" w:color="auto"/>
        <w:right w:val="none" w:sz="0" w:space="0" w:color="auto"/>
      </w:divBdr>
    </w:div>
    <w:div w:id="1037044750">
      <w:bodyDiv w:val="1"/>
      <w:marLeft w:val="0"/>
      <w:marRight w:val="0"/>
      <w:marTop w:val="0"/>
      <w:marBottom w:val="0"/>
      <w:divBdr>
        <w:top w:val="none" w:sz="0" w:space="0" w:color="auto"/>
        <w:left w:val="none" w:sz="0" w:space="0" w:color="auto"/>
        <w:bottom w:val="none" w:sz="0" w:space="0" w:color="auto"/>
        <w:right w:val="none" w:sz="0" w:space="0" w:color="auto"/>
      </w:divBdr>
    </w:div>
    <w:div w:id="1979920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2973/ijem.7.3.429"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9734/arjom/2021/v17i13026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oi.org/10.1787/5f07c754-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eped.gov.ph/2015/04/01/do-8-s-2015"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VctLLummOuSVzskFw1GKebbwTg==">CgMxLjA4AHIhMXZjVGthOTkzdXo4b3E2ZnNQeDhNRUZSTnJmVmlOX09N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3124</Words>
  <Characters>20434</Characters>
  <Application>Microsoft Office Word</Application>
  <DocSecurity>0</DocSecurity>
  <Lines>358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BOCTOT</dc:creator>
  <cp:lastModifiedBy>Darryl Enriquez</cp:lastModifiedBy>
  <cp:revision>27</cp:revision>
  <dcterms:created xsi:type="dcterms:W3CDTF">2025-06-22T15:33:00Z</dcterms:created>
  <dcterms:modified xsi:type="dcterms:W3CDTF">2025-06-30T06:50:00Z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4783f283-a2f2-4296-86fb-626be14244f7</vt:lpwstr>
  </property>
</Properties>
</file>