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1ABA" w14:textId="77777777" w:rsidR="00667ADC" w:rsidRDefault="00A63DBA">
      <w:pPr>
        <w:spacing w:afterLines="100" w:after="312"/>
        <w:jc w:val="center"/>
        <w:rPr>
          <w:rFonts w:ascii="Times New Roman" w:hAnsi="Times New Roman" w:cs="Times New Roman"/>
          <w:b/>
          <w:bCs/>
          <w:sz w:val="28"/>
          <w:szCs w:val="36"/>
          <w:highlight w:val="yellow"/>
        </w:rPr>
      </w:pPr>
      <w:r>
        <w:rPr>
          <w:rFonts w:ascii="Times New Roman" w:hAnsi="Times New Roman" w:cs="Times New Roman" w:hint="eastAsia"/>
          <w:b/>
          <w:bCs/>
          <w:sz w:val="28"/>
          <w:szCs w:val="36"/>
          <w:highlight w:val="yellow"/>
        </w:rPr>
        <w:t>A Literature Review on Mathematical Abstraction Literacy Among High School Students in China</w:t>
      </w:r>
    </w:p>
    <w:p w14:paraId="5AF61863" w14:textId="77777777" w:rsidR="00667ADC" w:rsidRDefault="00667ADC">
      <w:pPr>
        <w:spacing w:line="288" w:lineRule="auto"/>
        <w:rPr>
          <w:rFonts w:ascii="Times New Roman" w:hAnsi="Times New Roman" w:cs="Times New Roman"/>
          <w:b/>
          <w:bCs/>
          <w:sz w:val="24"/>
          <w:szCs w:val="32"/>
        </w:rPr>
      </w:pPr>
    </w:p>
    <w:p w14:paraId="001864F7" w14:textId="77777777" w:rsidR="00667ADC" w:rsidRDefault="00A63DBA">
      <w:pPr>
        <w:spacing w:line="288" w:lineRule="auto"/>
        <w:rPr>
          <w:rFonts w:ascii="Times New Roman" w:hAnsi="Times New Roman" w:cs="Times New Roman"/>
          <w:sz w:val="24"/>
          <w:szCs w:val="32"/>
          <w:highlight w:val="yellow"/>
        </w:rPr>
      </w:pPr>
      <w:r>
        <w:rPr>
          <w:rFonts w:ascii="Times New Roman" w:hAnsi="Times New Roman" w:cs="Times New Roman"/>
          <w:b/>
          <w:bCs/>
          <w:sz w:val="24"/>
          <w:szCs w:val="32"/>
        </w:rPr>
        <w:t>ABSTRACT</w:t>
      </w:r>
      <w:r>
        <w:rPr>
          <w:rFonts w:ascii="Times New Roman" w:hAnsi="Times New Roman" w:cs="Times New Roman" w:hint="eastAsia"/>
          <w:b/>
          <w:bCs/>
          <w:sz w:val="24"/>
          <w:szCs w:val="32"/>
        </w:rPr>
        <w:t>:</w:t>
      </w:r>
      <w:r>
        <w:rPr>
          <w:rFonts w:ascii="Times New Roman" w:hAnsi="Times New Roman" w:cs="Times New Roman" w:hint="eastAsia"/>
          <w:sz w:val="24"/>
          <w:szCs w:val="32"/>
        </w:rPr>
        <w:t xml:space="preserve"> Mathematical abstraction is the basic idea of mathematics, forming an important foundation for rational thinking, reflecting the essential characteristics of mathematics, and permeating its generation, development, and application. The General High School Mathematics Curriculum Standard </w:t>
      </w:r>
      <w:r>
        <w:rPr>
          <w:rFonts w:ascii="Times New Roman" w:hAnsi="Times New Roman" w:cs="Times New Roman" w:hint="eastAsia"/>
          <w:sz w:val="24"/>
          <w:szCs w:val="32"/>
          <w:highlight w:val="yellow"/>
        </w:rPr>
        <w:t>(2017 Edition, revised in 2020)</w:t>
      </w:r>
      <w:r>
        <w:rPr>
          <w:rFonts w:ascii="Times New Roman" w:hAnsi="Times New Roman" w:cs="Times New Roman" w:hint="eastAsia"/>
          <w:sz w:val="24"/>
          <w:szCs w:val="32"/>
        </w:rPr>
        <w:t xml:space="preserve"> lists mathematical abstraction as the primary core literacy, and mathematical abstraction literacy has become the focus of educational research. A number of scholars have researched mathematical abstraction literacy in senior high schools in China in recent years, but there is no literature that summarizes and compiles this </w:t>
      </w:r>
      <w:bookmarkStart w:id="0" w:name="_GoBack"/>
      <w:bookmarkEnd w:id="0"/>
      <w:r>
        <w:rPr>
          <w:rFonts w:ascii="Times New Roman" w:hAnsi="Times New Roman" w:cs="Times New Roman" w:hint="eastAsia"/>
          <w:sz w:val="24"/>
          <w:szCs w:val="32"/>
        </w:rPr>
        <w:t>aspect. This paper reviews and synthesizes</w:t>
      </w:r>
      <w:r>
        <w:rPr>
          <w:rFonts w:ascii="Times New Roman" w:hAnsi="Times New Roman" w:cs="Times New Roman" w:hint="eastAsia"/>
          <w:sz w:val="24"/>
          <w:szCs w:val="32"/>
          <w:highlight w:val="yellow"/>
        </w:rPr>
        <w:t xml:space="preserve"> 48 relevant studies</w:t>
      </w:r>
      <w:r>
        <w:rPr>
          <w:rFonts w:ascii="Times New Roman" w:hAnsi="Times New Roman" w:cs="Times New Roman" w:hint="eastAsia"/>
          <w:sz w:val="24"/>
          <w:szCs w:val="32"/>
        </w:rPr>
        <w:t xml:space="preserve"> through a literature review, yielding the following conclusions: (1) Existing research primarily addresses five aspects: the connotation of mathematical abstraction, the current status quo of the level, the evaluation method, the influencing factors, and the strategies for the cultivation. (2) There are generally more studies on the connotation of mathematical abstraction, the current status of the level, and the cultivation strategy. However, in terms of influencing factors, the views in the existing literature are scattered, and no major influencing factors have been found. (3) The research methods are relatively single, with literature analysis or discursive methods predominating, especially the analysis of the influencing factors is not systematic and objective enough, lacks quantitative research for empirical evidence, and lacks targeted and practical cultivation strategies. </w:t>
      </w:r>
      <w:r>
        <w:rPr>
          <w:rFonts w:ascii="Times New Roman" w:hAnsi="Times New Roman" w:cs="Times New Roman" w:hint="eastAsia"/>
          <w:sz w:val="24"/>
          <w:szCs w:val="32"/>
          <w:highlight w:val="yellow"/>
        </w:rPr>
        <w:t>The systematic review of existing research informs strategies for enhancing high school students' mathematical abstraction competence, offering insights for future studies.</w:t>
      </w:r>
    </w:p>
    <w:p w14:paraId="7798A452" w14:textId="77777777" w:rsidR="00667ADC" w:rsidRDefault="00667ADC">
      <w:pPr>
        <w:spacing w:line="288" w:lineRule="auto"/>
        <w:rPr>
          <w:rFonts w:ascii="Times New Roman" w:hAnsi="Times New Roman" w:cs="Times New Roman"/>
          <w:b/>
          <w:bCs/>
          <w:sz w:val="24"/>
          <w:szCs w:val="32"/>
        </w:rPr>
      </w:pPr>
    </w:p>
    <w:p w14:paraId="2045095D" w14:textId="77777777" w:rsidR="00667ADC" w:rsidRDefault="00A63DBA">
      <w:pPr>
        <w:spacing w:line="288" w:lineRule="auto"/>
        <w:rPr>
          <w:rFonts w:ascii="Times New Roman" w:hAnsi="Times New Roman" w:cs="Times New Roman"/>
          <w:sz w:val="24"/>
          <w:szCs w:val="32"/>
        </w:rPr>
      </w:pPr>
      <w:r>
        <w:rPr>
          <w:rFonts w:ascii="Times New Roman" w:hAnsi="Times New Roman" w:cs="Times New Roman"/>
          <w:b/>
          <w:bCs/>
          <w:sz w:val="24"/>
          <w:szCs w:val="32"/>
        </w:rPr>
        <w:t>Keywords:</w:t>
      </w:r>
      <w:r>
        <w:rPr>
          <w:rFonts w:ascii="Times New Roman" w:hAnsi="Times New Roman" w:cs="Times New Roman"/>
          <w:sz w:val="24"/>
          <w:szCs w:val="32"/>
        </w:rPr>
        <w:t xml:space="preserve"> </w:t>
      </w:r>
      <w:r>
        <w:rPr>
          <w:rFonts w:ascii="Times New Roman" w:hAnsi="Times New Roman" w:cs="Times New Roman" w:hint="eastAsia"/>
          <w:sz w:val="24"/>
          <w:szCs w:val="32"/>
        </w:rPr>
        <w:t>H</w:t>
      </w:r>
      <w:r>
        <w:rPr>
          <w:rFonts w:ascii="Times New Roman" w:hAnsi="Times New Roman" w:cs="Times New Roman"/>
          <w:sz w:val="24"/>
          <w:szCs w:val="32"/>
        </w:rPr>
        <w:t>igh school students</w:t>
      </w:r>
      <w:r>
        <w:rPr>
          <w:rFonts w:ascii="Times New Roman" w:hAnsi="Times New Roman" w:cs="Times New Roman" w:hint="eastAsia"/>
          <w:sz w:val="24"/>
          <w:szCs w:val="32"/>
        </w:rPr>
        <w:t>;</w:t>
      </w:r>
      <w:r>
        <w:rPr>
          <w:rFonts w:ascii="Times New Roman" w:hAnsi="Times New Roman" w:cs="Times New Roman"/>
          <w:sz w:val="24"/>
          <w:szCs w:val="32"/>
        </w:rPr>
        <w:t xml:space="preserve"> </w:t>
      </w:r>
      <w:r>
        <w:rPr>
          <w:rFonts w:ascii="Times New Roman" w:hAnsi="Times New Roman" w:cs="Times New Roman" w:hint="eastAsia"/>
          <w:sz w:val="24"/>
          <w:szCs w:val="32"/>
        </w:rPr>
        <w:t>M</w:t>
      </w:r>
      <w:r>
        <w:rPr>
          <w:rFonts w:ascii="Times New Roman" w:hAnsi="Times New Roman" w:cs="Times New Roman"/>
          <w:sz w:val="24"/>
          <w:szCs w:val="32"/>
        </w:rPr>
        <w:t>athematical abstraction</w:t>
      </w:r>
      <w:r>
        <w:rPr>
          <w:rFonts w:ascii="Times New Roman" w:hAnsi="Times New Roman" w:cs="Times New Roman" w:hint="eastAsia"/>
          <w:sz w:val="24"/>
          <w:szCs w:val="32"/>
        </w:rPr>
        <w:t>;</w:t>
      </w:r>
      <w:r>
        <w:rPr>
          <w:rFonts w:ascii="Times New Roman" w:hAnsi="Times New Roman" w:cs="Times New Roman"/>
          <w:sz w:val="24"/>
          <w:szCs w:val="32"/>
        </w:rPr>
        <w:t xml:space="preserve"> </w:t>
      </w:r>
      <w:r>
        <w:rPr>
          <w:rFonts w:ascii="Times New Roman" w:hAnsi="Times New Roman" w:cs="Times New Roman" w:hint="eastAsia"/>
          <w:sz w:val="24"/>
          <w:szCs w:val="32"/>
        </w:rPr>
        <w:t>C</w:t>
      </w:r>
      <w:r>
        <w:rPr>
          <w:rFonts w:ascii="Times New Roman" w:hAnsi="Times New Roman" w:cs="Times New Roman"/>
          <w:sz w:val="24"/>
          <w:szCs w:val="32"/>
        </w:rPr>
        <w:t>ore literacy</w:t>
      </w:r>
      <w:r>
        <w:rPr>
          <w:rFonts w:ascii="Times New Roman" w:hAnsi="Times New Roman" w:cs="Times New Roman" w:hint="eastAsia"/>
          <w:sz w:val="24"/>
          <w:szCs w:val="32"/>
        </w:rPr>
        <w:t>;</w:t>
      </w:r>
      <w:r>
        <w:rPr>
          <w:rFonts w:ascii="Times New Roman" w:hAnsi="Times New Roman" w:cs="Times New Roman"/>
          <w:sz w:val="24"/>
          <w:szCs w:val="32"/>
        </w:rPr>
        <w:t xml:space="preserve"> </w:t>
      </w:r>
      <w:r>
        <w:rPr>
          <w:rFonts w:ascii="Times New Roman" w:hAnsi="Times New Roman" w:cs="Times New Roman" w:hint="eastAsia"/>
          <w:sz w:val="24"/>
          <w:szCs w:val="32"/>
        </w:rPr>
        <w:t>M</w:t>
      </w:r>
      <w:r>
        <w:rPr>
          <w:rFonts w:ascii="Times New Roman" w:hAnsi="Times New Roman" w:cs="Times New Roman"/>
          <w:sz w:val="24"/>
          <w:szCs w:val="32"/>
        </w:rPr>
        <w:t>athematics</w:t>
      </w:r>
    </w:p>
    <w:p w14:paraId="0003029D" w14:textId="77777777" w:rsidR="00667ADC" w:rsidRDefault="00667ADC">
      <w:pPr>
        <w:spacing w:line="288" w:lineRule="auto"/>
        <w:rPr>
          <w:rFonts w:ascii="Times New Roman" w:hAnsi="Times New Roman" w:cs="Times New Roman"/>
          <w:b/>
          <w:bCs/>
          <w:sz w:val="24"/>
          <w:szCs w:val="32"/>
        </w:rPr>
      </w:pPr>
    </w:p>
    <w:p w14:paraId="5EA58981"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1. INTRODUCTION</w:t>
      </w:r>
    </w:p>
    <w:p w14:paraId="212175AC" w14:textId="77777777" w:rsidR="00667ADC" w:rsidRDefault="00667ADC">
      <w:pPr>
        <w:spacing w:line="288" w:lineRule="auto"/>
        <w:rPr>
          <w:rFonts w:ascii="Times New Roman" w:hAnsi="Times New Roman" w:cs="Times New Roman"/>
          <w:sz w:val="24"/>
          <w:szCs w:val="32"/>
        </w:rPr>
      </w:pPr>
    </w:p>
    <w:p w14:paraId="2AC52D86" w14:textId="77777777" w:rsidR="00667ADC" w:rsidRDefault="00A63DBA">
      <w:pPr>
        <w:spacing w:line="288" w:lineRule="auto"/>
        <w:rPr>
          <w:rFonts w:ascii="Times New Roman" w:hAnsi="Times New Roman" w:cs="Times New Roman"/>
          <w:sz w:val="24"/>
          <w:szCs w:val="32"/>
        </w:rPr>
      </w:pPr>
      <w:r>
        <w:rPr>
          <w:rFonts w:ascii="Times New Roman" w:hAnsi="Times New Roman" w:cs="Times New Roman" w:hint="eastAsia"/>
          <w:sz w:val="24"/>
          <w:szCs w:val="32"/>
        </w:rPr>
        <w:t>Mathematical abstraction is the basic idea of mathematics, which is an important foundation for the formation of rational thinking, reflects the essential characteristics of mathematics, and permeates its generation, development, and application (</w:t>
      </w:r>
      <w:r>
        <w:rPr>
          <w:rFonts w:ascii="Times New Roman" w:hAnsi="Times New Roman" w:cs="Times New Roman"/>
          <w:sz w:val="24"/>
        </w:rPr>
        <w:t>Ministry of Education of the People's Republic of China</w:t>
      </w:r>
      <w:r>
        <w:rPr>
          <w:rFonts w:ascii="Times New Roman" w:hAnsi="Times New Roman" w:cs="Times New Roman" w:hint="eastAsia"/>
          <w:sz w:val="24"/>
        </w:rPr>
        <w:t>, 2020</w:t>
      </w:r>
      <w:r>
        <w:rPr>
          <w:rFonts w:ascii="Times New Roman" w:hAnsi="Times New Roman" w:cs="Times New Roman" w:hint="eastAsia"/>
          <w:sz w:val="24"/>
          <w:szCs w:val="32"/>
        </w:rPr>
        <w:t xml:space="preserve">). Among the six core literacies </w:t>
      </w:r>
      <w:r>
        <w:rPr>
          <w:rFonts w:ascii="Times New Roman" w:hAnsi="Times New Roman" w:cs="Times New Roman" w:hint="eastAsia"/>
          <w:sz w:val="24"/>
          <w:szCs w:val="32"/>
        </w:rPr>
        <w:lastRenderedPageBreak/>
        <w:t>of mathematics, mathematical abstraction holds a fundamental position, and the research on mathematical abstraction is an inevitable requirement for improving the quality of teaching and developing students' core literacy, which has become the focus of educational research (Zhang &amp;Wang &amp; Song, 2017). Up to now, there have been many relevant studies on mathematical abstraction literacy, but there is no complete overview and organized literature in this area. Therefore, this paper intends to review and sort out the existing studies and systematically analyze the current research status of mathematical abstraction literacy, so as to provide a reference for the cultivation strategy to enhance the mathematical abstraction literacy of high school students. More importantly, by identifying the deficiencies and gaps, it will guide future research.</w:t>
      </w:r>
    </w:p>
    <w:p w14:paraId="5672F430" w14:textId="77777777" w:rsidR="00667ADC" w:rsidRDefault="00667ADC">
      <w:pPr>
        <w:spacing w:line="288" w:lineRule="auto"/>
        <w:rPr>
          <w:rFonts w:ascii="Times New Roman" w:hAnsi="Times New Roman" w:cs="Times New Roman"/>
          <w:sz w:val="24"/>
          <w:szCs w:val="32"/>
        </w:rPr>
      </w:pPr>
    </w:p>
    <w:p w14:paraId="41E4BED8" w14:textId="77777777" w:rsidR="00667ADC" w:rsidRDefault="00A63DBA">
      <w:pPr>
        <w:spacing w:line="288" w:lineRule="auto"/>
        <w:rPr>
          <w:rFonts w:ascii="Times New Roman" w:hAnsi="Times New Roman" w:cs="Times New Roman"/>
          <w:sz w:val="24"/>
          <w:szCs w:val="32"/>
        </w:rPr>
      </w:pPr>
      <w:r>
        <w:rPr>
          <w:rFonts w:ascii="Times New Roman" w:hAnsi="Times New Roman" w:cs="Times New Roman"/>
          <w:sz w:val="24"/>
          <w:szCs w:val="32"/>
        </w:rPr>
        <w:t xml:space="preserve">The research questions in this paper are: </w:t>
      </w:r>
      <w:r>
        <w:rPr>
          <w:rFonts w:ascii="Times New Roman" w:hAnsi="Times New Roman" w:cs="Times New Roman" w:hint="eastAsia"/>
          <w:sz w:val="24"/>
          <w:szCs w:val="32"/>
        </w:rPr>
        <w:t>(1) What are the aspects included in previous research on mathematical abstraction literacy? Which aspects have been received more scholarly attention? (2) What are the predominant research methodologies to study mathematical abstraction literacy? (3) What are the limitations of the current research on mathematical abstraction literacy?</w:t>
      </w:r>
    </w:p>
    <w:p w14:paraId="4F39AE05" w14:textId="77777777" w:rsidR="00667ADC" w:rsidRDefault="00667ADC">
      <w:pPr>
        <w:spacing w:line="288" w:lineRule="auto"/>
        <w:rPr>
          <w:rFonts w:ascii="Times New Roman" w:hAnsi="Times New Roman" w:cs="Times New Roman"/>
          <w:sz w:val="24"/>
          <w:szCs w:val="32"/>
        </w:rPr>
      </w:pPr>
    </w:p>
    <w:p w14:paraId="47669980"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2. LITERATURE SOURCES</w:t>
      </w:r>
    </w:p>
    <w:p w14:paraId="564A648E" w14:textId="77777777" w:rsidR="00667ADC" w:rsidRDefault="00667ADC">
      <w:pPr>
        <w:spacing w:line="288" w:lineRule="auto"/>
        <w:rPr>
          <w:rFonts w:ascii="Times New Roman" w:hAnsi="Times New Roman" w:cs="Times New Roman"/>
          <w:b/>
          <w:bCs/>
          <w:sz w:val="24"/>
          <w:szCs w:val="32"/>
        </w:rPr>
      </w:pPr>
    </w:p>
    <w:p w14:paraId="63CC0A1E"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2.1 Source of Materials</w:t>
      </w:r>
    </w:p>
    <w:p w14:paraId="6F82B982" w14:textId="77777777" w:rsidR="00667ADC" w:rsidRDefault="00667ADC">
      <w:pPr>
        <w:spacing w:line="288" w:lineRule="auto"/>
        <w:rPr>
          <w:rFonts w:ascii="Times New Roman" w:hAnsi="Times New Roman" w:cs="Times New Roman"/>
          <w:sz w:val="24"/>
          <w:szCs w:val="32"/>
        </w:rPr>
      </w:pPr>
    </w:p>
    <w:p w14:paraId="2083C29F" w14:textId="77777777" w:rsidR="00667ADC" w:rsidRDefault="00A63DBA">
      <w:pPr>
        <w:spacing w:line="288" w:lineRule="auto"/>
        <w:rPr>
          <w:rFonts w:ascii="Times New Roman" w:hAnsi="Times New Roman" w:cs="Times New Roman"/>
          <w:sz w:val="24"/>
          <w:szCs w:val="32"/>
        </w:rPr>
      </w:pPr>
      <w:r>
        <w:rPr>
          <w:rFonts w:ascii="Times New Roman" w:hAnsi="Times New Roman" w:cs="Times New Roman"/>
          <w:sz w:val="24"/>
          <w:szCs w:val="32"/>
        </w:rPr>
        <w:t xml:space="preserve">This paper adopts the method of literature analysis and chooses the literature in the database of China Knowledge Network (CNKI) as the </w:t>
      </w:r>
      <w:r>
        <w:rPr>
          <w:rFonts w:ascii="Times New Roman" w:hAnsi="Times New Roman" w:cs="Times New Roman" w:hint="eastAsia"/>
          <w:sz w:val="24"/>
          <w:szCs w:val="32"/>
        </w:rPr>
        <w:t xml:space="preserve">mainly </w:t>
      </w:r>
      <w:r>
        <w:rPr>
          <w:rFonts w:ascii="Times New Roman" w:hAnsi="Times New Roman" w:cs="Times New Roman"/>
          <w:sz w:val="24"/>
          <w:szCs w:val="32"/>
        </w:rPr>
        <w:t>source of information. China Knowledge Network (CNKI) is the most authoritative national academic journal literature search tool in China, which basically includes all journals and dissertations in China. Therefore, choosing this database can ensure the persuasiveness and reliability of this study.</w:t>
      </w:r>
    </w:p>
    <w:p w14:paraId="5AA9CA24" w14:textId="77777777" w:rsidR="00667ADC" w:rsidRDefault="00667ADC">
      <w:pPr>
        <w:spacing w:line="288" w:lineRule="auto"/>
        <w:rPr>
          <w:rFonts w:ascii="Times New Roman" w:hAnsi="Times New Roman" w:cs="Times New Roman"/>
          <w:sz w:val="24"/>
          <w:szCs w:val="32"/>
        </w:rPr>
      </w:pPr>
    </w:p>
    <w:p w14:paraId="62230B09"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2.2 Data Collection</w:t>
      </w:r>
    </w:p>
    <w:p w14:paraId="1692E609" w14:textId="77777777" w:rsidR="00667ADC" w:rsidRDefault="00667ADC">
      <w:pPr>
        <w:spacing w:line="288" w:lineRule="auto"/>
        <w:rPr>
          <w:rFonts w:ascii="Times New Roman" w:hAnsi="Times New Roman" w:cs="Times New Roman"/>
          <w:sz w:val="24"/>
          <w:szCs w:val="32"/>
        </w:rPr>
      </w:pPr>
    </w:p>
    <w:p w14:paraId="773D859C" w14:textId="77777777" w:rsidR="00667ADC" w:rsidRDefault="00A63DBA">
      <w:pPr>
        <w:spacing w:line="288" w:lineRule="auto"/>
        <w:rPr>
          <w:rFonts w:ascii="Times New Roman" w:hAnsi="Times New Roman" w:cs="Times New Roman"/>
          <w:sz w:val="24"/>
          <w:szCs w:val="32"/>
        </w:rPr>
      </w:pPr>
      <w:r>
        <w:rPr>
          <w:rFonts w:ascii="Times New Roman" w:hAnsi="Times New Roman" w:cs="Times New Roman"/>
          <w:sz w:val="24"/>
          <w:szCs w:val="32"/>
        </w:rPr>
        <w:t>During the literature search, 222 documents were retrieved with the theme of "</w:t>
      </w:r>
      <w:r>
        <w:rPr>
          <w:rFonts w:ascii="Times New Roman" w:hAnsi="Times New Roman" w:cs="Times New Roman" w:hint="eastAsia"/>
          <w:sz w:val="24"/>
          <w:szCs w:val="32"/>
        </w:rPr>
        <w:t>mathematical abstraction literacy</w:t>
      </w:r>
      <w:r>
        <w:rPr>
          <w:rFonts w:ascii="Times New Roman" w:hAnsi="Times New Roman" w:cs="Times New Roman"/>
          <w:sz w:val="24"/>
          <w:szCs w:val="32"/>
        </w:rPr>
        <w:t>" and 58 documents were retrieved with the theme of "</w:t>
      </w:r>
      <w:r>
        <w:rPr>
          <w:rFonts w:ascii="Times New Roman" w:hAnsi="Times New Roman" w:cs="Times New Roman" w:hint="eastAsia"/>
          <w:sz w:val="24"/>
          <w:szCs w:val="32"/>
        </w:rPr>
        <w:t>mathematical abstraction literacy</w:t>
      </w:r>
      <w:r>
        <w:rPr>
          <w:rFonts w:ascii="Times New Roman" w:hAnsi="Times New Roman" w:cs="Times New Roman"/>
          <w:sz w:val="24"/>
          <w:szCs w:val="32"/>
        </w:rPr>
        <w:t xml:space="preserve">" and "high school". The focus of this study is the </w:t>
      </w:r>
      <w:r>
        <w:rPr>
          <w:rFonts w:ascii="Times New Roman" w:hAnsi="Times New Roman" w:cs="Times New Roman" w:hint="eastAsia"/>
          <w:sz w:val="24"/>
          <w:szCs w:val="32"/>
        </w:rPr>
        <w:t>mathematical abstraction literacy</w:t>
      </w:r>
      <w:r>
        <w:rPr>
          <w:rFonts w:ascii="Times New Roman" w:hAnsi="Times New Roman" w:cs="Times New Roman"/>
          <w:sz w:val="24"/>
          <w:szCs w:val="32"/>
        </w:rPr>
        <w:t xml:space="preserve"> of high school students, so considering the research question and the number of citations, 48 documents were selected for in-depth study after eliminating irrelevant documents.</w:t>
      </w:r>
    </w:p>
    <w:p w14:paraId="0F9A9FB9" w14:textId="77777777" w:rsidR="00667ADC" w:rsidRDefault="00667ADC">
      <w:pPr>
        <w:spacing w:line="288" w:lineRule="auto"/>
        <w:rPr>
          <w:rFonts w:ascii="Times New Roman" w:hAnsi="Times New Roman" w:cs="Times New Roman"/>
          <w:sz w:val="24"/>
          <w:szCs w:val="32"/>
        </w:rPr>
      </w:pPr>
    </w:p>
    <w:p w14:paraId="74EBEBC9"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2.3 Data Sorting</w:t>
      </w:r>
    </w:p>
    <w:p w14:paraId="088FE120" w14:textId="77777777" w:rsidR="00667ADC" w:rsidRDefault="00667ADC">
      <w:pPr>
        <w:spacing w:line="288" w:lineRule="auto"/>
        <w:rPr>
          <w:rFonts w:ascii="Times New Roman" w:hAnsi="Times New Roman" w:cs="Times New Roman"/>
          <w:sz w:val="24"/>
          <w:szCs w:val="32"/>
        </w:rPr>
      </w:pPr>
    </w:p>
    <w:p w14:paraId="17E6AE86" w14:textId="77777777" w:rsidR="00667ADC" w:rsidRDefault="00A63DBA">
      <w:pPr>
        <w:spacing w:line="288" w:lineRule="auto"/>
        <w:rPr>
          <w:rFonts w:ascii="Times New Roman" w:hAnsi="Times New Roman" w:cs="Times New Roman"/>
          <w:sz w:val="24"/>
          <w:szCs w:val="32"/>
          <w:highlight w:val="yellow"/>
        </w:rPr>
      </w:pPr>
      <w:r>
        <w:rPr>
          <w:rFonts w:ascii="Times New Roman" w:hAnsi="Times New Roman" w:cs="Times New Roman" w:hint="eastAsia"/>
          <w:sz w:val="24"/>
          <w:szCs w:val="32"/>
          <w:highlight w:val="yellow"/>
        </w:rPr>
        <w:t>This study employs a systematic literature analysis approach to comprehensively examine the current research landscape of mathematical abstraction literacy through in-depth review and coding of 48 relevant studies. The research process involves three key steps: first, extracting essential information including research questions, methodologies, and findings from each selected study; second, establishing a three-tier coding system (primary level: research dimensions; secondary level: specific content; tertiary level: research conclusions); and finally, categorizing and synthesizing the coded results using content analysis methods.</w:t>
      </w:r>
    </w:p>
    <w:p w14:paraId="41806CE4" w14:textId="77777777" w:rsidR="00667ADC" w:rsidRDefault="00667ADC">
      <w:pPr>
        <w:spacing w:line="288" w:lineRule="auto"/>
        <w:rPr>
          <w:rFonts w:ascii="Times New Roman" w:hAnsi="Times New Roman" w:cs="Times New Roman"/>
          <w:sz w:val="24"/>
          <w:szCs w:val="32"/>
        </w:rPr>
      </w:pPr>
    </w:p>
    <w:p w14:paraId="58661AEE"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3. RESULTS</w:t>
      </w:r>
    </w:p>
    <w:p w14:paraId="54827D52" w14:textId="77777777" w:rsidR="00667ADC" w:rsidRDefault="00667ADC">
      <w:pPr>
        <w:spacing w:line="288" w:lineRule="auto"/>
        <w:rPr>
          <w:rFonts w:ascii="Times New Roman" w:hAnsi="Times New Roman" w:cs="Times New Roman"/>
          <w:sz w:val="24"/>
          <w:szCs w:val="32"/>
        </w:rPr>
      </w:pPr>
    </w:p>
    <w:p w14:paraId="35DB1AFD" w14:textId="77777777" w:rsidR="00667ADC" w:rsidRDefault="00A63DBA">
      <w:pPr>
        <w:spacing w:line="288" w:lineRule="auto"/>
        <w:rPr>
          <w:rFonts w:ascii="Times New Roman" w:hAnsi="Times New Roman" w:cs="Times New Roman"/>
          <w:sz w:val="24"/>
          <w:szCs w:val="32"/>
        </w:rPr>
      </w:pPr>
      <w:r>
        <w:rPr>
          <w:rFonts w:ascii="Times New Roman" w:hAnsi="Times New Roman" w:cs="Times New Roman"/>
          <w:sz w:val="24"/>
          <w:szCs w:val="32"/>
        </w:rPr>
        <w:t>Comprehensive research results on "high school mathematics abstract</w:t>
      </w:r>
      <w:r>
        <w:rPr>
          <w:rFonts w:ascii="Times New Roman" w:hAnsi="Times New Roman" w:cs="Times New Roman" w:hint="eastAsia"/>
          <w:sz w:val="24"/>
          <w:szCs w:val="32"/>
        </w:rPr>
        <w:t>ion</w:t>
      </w:r>
      <w:r>
        <w:rPr>
          <w:rFonts w:ascii="Times New Roman" w:hAnsi="Times New Roman" w:cs="Times New Roman"/>
          <w:sz w:val="24"/>
          <w:szCs w:val="32"/>
        </w:rPr>
        <w:t xml:space="preserve"> core literacy" in China can be found that its main research content focuses on five levels: connotation research, current level research, evaluation method research, influencing factors research</w:t>
      </w:r>
      <w:r>
        <w:rPr>
          <w:rFonts w:ascii="Times New Roman" w:hAnsi="Times New Roman" w:cs="Times New Roman" w:hint="eastAsia"/>
          <w:sz w:val="24"/>
          <w:szCs w:val="32"/>
        </w:rPr>
        <w:t>,</w:t>
      </w:r>
      <w:r>
        <w:rPr>
          <w:rFonts w:ascii="Times New Roman" w:hAnsi="Times New Roman" w:cs="Times New Roman"/>
          <w:sz w:val="24"/>
          <w:szCs w:val="32"/>
        </w:rPr>
        <w:t xml:space="preserve"> and countermeasures research.</w:t>
      </w:r>
    </w:p>
    <w:p w14:paraId="0A15F42A" w14:textId="77777777" w:rsidR="00667ADC" w:rsidRDefault="00667ADC">
      <w:pPr>
        <w:spacing w:line="288" w:lineRule="auto"/>
        <w:rPr>
          <w:rFonts w:ascii="Times New Roman" w:hAnsi="Times New Roman" w:cs="Times New Roman"/>
          <w:sz w:val="24"/>
          <w:szCs w:val="32"/>
        </w:rPr>
      </w:pPr>
    </w:p>
    <w:p w14:paraId="723AF2FD"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 xml:space="preserve">3.1 Connotation of </w:t>
      </w:r>
      <w:r>
        <w:rPr>
          <w:rFonts w:ascii="Times New Roman" w:hAnsi="Times New Roman" w:cs="Times New Roman" w:hint="eastAsia"/>
          <w:b/>
          <w:bCs/>
          <w:sz w:val="24"/>
          <w:szCs w:val="32"/>
        </w:rPr>
        <w:t>Mathematical Abstraction Literacy</w:t>
      </w:r>
    </w:p>
    <w:p w14:paraId="0A657BE6" w14:textId="77777777" w:rsidR="00667ADC" w:rsidRDefault="00667ADC">
      <w:pPr>
        <w:spacing w:line="312" w:lineRule="auto"/>
        <w:rPr>
          <w:rFonts w:ascii="Times New Roman" w:hAnsi="Times New Roman" w:cs="Times New Roman"/>
          <w:sz w:val="24"/>
        </w:rPr>
      </w:pPr>
    </w:p>
    <w:p w14:paraId="0304E50B" w14:textId="77777777" w:rsidR="00667ADC" w:rsidRDefault="00A63DBA">
      <w:pPr>
        <w:spacing w:line="312" w:lineRule="auto"/>
        <w:rPr>
          <w:rFonts w:ascii="Times New Roman" w:hAnsi="Times New Roman" w:cs="Times New Roman"/>
          <w:sz w:val="24"/>
        </w:rPr>
      </w:pPr>
      <w:r>
        <w:rPr>
          <w:rFonts w:ascii="Times New Roman" w:hAnsi="Times New Roman" w:cs="Times New Roman" w:hint="eastAsia"/>
          <w:sz w:val="24"/>
        </w:rPr>
        <w:t>Zheng pointed out that in mathematics education and mathematics research, people usually used mathematical abstraction and abstract thinking, which represented a generalization of mathematical abstraction from the perspective of thinking form or cognitive mental activity (Zheng &amp; Huang, 2024)</w:t>
      </w:r>
      <w:r>
        <w:rPr>
          <w:rFonts w:ascii="Times New Roman" w:hAnsi="Times New Roman" w:cs="Times New Roman"/>
          <w:sz w:val="24"/>
        </w:rPr>
        <w:t>. The Practical Encyclopedia defined "abstract thinking" as abstract thinking as opposed to figurative thinking, which was the thinking activity of using concepts to make judgments and reasoning</w:t>
      </w:r>
      <w:r>
        <w:rPr>
          <w:rFonts w:ascii="Times New Roman" w:hAnsi="Times New Roman" w:cs="Times New Roman" w:hint="eastAsia"/>
          <w:sz w:val="24"/>
        </w:rPr>
        <w:t xml:space="preserve"> (Wang &amp; </w:t>
      </w:r>
      <w:proofErr w:type="spellStart"/>
      <w:r>
        <w:rPr>
          <w:rFonts w:ascii="Times New Roman" w:hAnsi="Times New Roman" w:cs="Times New Roman" w:hint="eastAsia"/>
          <w:sz w:val="24"/>
        </w:rPr>
        <w:t>Qiao</w:t>
      </w:r>
      <w:proofErr w:type="spellEnd"/>
      <w:r>
        <w:rPr>
          <w:rFonts w:ascii="Times New Roman" w:hAnsi="Times New Roman" w:cs="Times New Roman" w:hint="eastAsia"/>
          <w:sz w:val="24"/>
        </w:rPr>
        <w:t>, 1991)</w:t>
      </w:r>
      <w:r>
        <w:rPr>
          <w:rFonts w:ascii="Times New Roman" w:hAnsi="Times New Roman" w:cs="Times New Roman"/>
          <w:sz w:val="24"/>
        </w:rPr>
        <w:t>. According to Wang, mathematical abstraction referred to the thinking process of extracting mathematical attributes such as general basic concepts, essential features, and arithmetic laws in mathematical activities</w:t>
      </w:r>
      <w:r>
        <w:rPr>
          <w:rFonts w:ascii="Times New Roman" w:hAnsi="Times New Roman" w:cs="Times New Roman" w:hint="eastAsia"/>
          <w:sz w:val="24"/>
        </w:rPr>
        <w:t xml:space="preserve"> (Wang, 2012)</w:t>
      </w:r>
      <w:r>
        <w:rPr>
          <w:rFonts w:ascii="Times New Roman" w:hAnsi="Times New Roman" w:cs="Times New Roman"/>
          <w:sz w:val="24"/>
        </w:rPr>
        <w:t xml:space="preserve">. </w:t>
      </w:r>
      <w:r>
        <w:rPr>
          <w:rFonts w:ascii="Times New Roman" w:hAnsi="Times New Roman" w:cs="Times New Roman" w:hint="eastAsia"/>
          <w:sz w:val="24"/>
        </w:rPr>
        <w:t>S</w:t>
      </w:r>
      <w:r>
        <w:rPr>
          <w:rFonts w:ascii="Times New Roman" w:hAnsi="Times New Roman" w:cs="Times New Roman"/>
          <w:sz w:val="24"/>
        </w:rPr>
        <w:t>hi pointed out that mathematical abstraction was the thinking process of excluding all physical properties of things to get the object of mathematical study. It included the abstraction of mathematical concepts and interrelationships between concepts from the relationship between numbers and diagrams, the abstraction of general laws and structures from the specific background of things, and the use of mathematical symbols or mathematical terminology to give a representation</w:t>
      </w:r>
      <w:r>
        <w:rPr>
          <w:rFonts w:ascii="Times New Roman" w:hAnsi="Times New Roman" w:cs="Times New Roman" w:hint="eastAsia"/>
          <w:sz w:val="24"/>
        </w:rPr>
        <w:t xml:space="preserve"> (Shi, 2017)</w:t>
      </w:r>
      <w:r>
        <w:rPr>
          <w:rFonts w:ascii="Times New Roman" w:hAnsi="Times New Roman" w:cs="Times New Roman"/>
          <w:sz w:val="24"/>
        </w:rPr>
        <w:t xml:space="preserve">. Tang </w:t>
      </w:r>
      <w:r>
        <w:rPr>
          <w:rFonts w:ascii="Times New Roman" w:hAnsi="Times New Roman" w:cs="Times New Roman"/>
          <w:sz w:val="24"/>
        </w:rPr>
        <w:lastRenderedPageBreak/>
        <w:t>believed that mathematical abstraction literacy was the level of cultivation formed in routine learning and practice to abstract mathematical research objects in quantitative relations, spatial forms, and concrete things, mainly the level of abstract generalization ability</w:t>
      </w:r>
      <w:r>
        <w:rPr>
          <w:rFonts w:ascii="Times New Roman" w:hAnsi="Times New Roman" w:cs="Times New Roman" w:hint="eastAsia"/>
          <w:sz w:val="24"/>
        </w:rPr>
        <w:t xml:space="preserve"> (Tang, 2021)</w:t>
      </w:r>
      <w:r>
        <w:rPr>
          <w:rFonts w:ascii="Times New Roman" w:hAnsi="Times New Roman" w:cs="Times New Roman"/>
          <w:sz w:val="24"/>
        </w:rPr>
        <w:t>. According to Liu, mathematical abstraction was the process of perceiving, internalizing, and practicing the application of mathematical objects, and this process promoted students to clarify the nature of mathematical objects, dig deeper into the connotation of related mathematical concepts, logically correlate with related knowledge, and understand the origin of mathematical knowledge</w:t>
      </w:r>
      <w:r>
        <w:rPr>
          <w:rFonts w:ascii="Times New Roman" w:hAnsi="Times New Roman" w:cs="Times New Roman" w:hint="eastAsia"/>
          <w:sz w:val="24"/>
        </w:rPr>
        <w:t xml:space="preserve"> (Liu &amp; Wu, 2024)</w:t>
      </w:r>
      <w:r>
        <w:rPr>
          <w:rFonts w:ascii="Times New Roman" w:hAnsi="Times New Roman" w:cs="Times New Roman"/>
          <w:sz w:val="24"/>
        </w:rPr>
        <w:t>.</w:t>
      </w:r>
    </w:p>
    <w:p w14:paraId="0A4E7EED" w14:textId="77777777" w:rsidR="00667ADC" w:rsidRDefault="00667ADC">
      <w:pPr>
        <w:spacing w:line="312" w:lineRule="auto"/>
        <w:rPr>
          <w:rFonts w:ascii="Times New Roman" w:hAnsi="Times New Roman" w:cs="Times New Roman"/>
          <w:sz w:val="24"/>
        </w:rPr>
      </w:pPr>
    </w:p>
    <w:p w14:paraId="6D39A244" w14:textId="77777777" w:rsidR="00667ADC" w:rsidRDefault="00A63DBA">
      <w:pPr>
        <w:spacing w:line="312" w:lineRule="auto"/>
        <w:rPr>
          <w:rFonts w:ascii="Times New Roman" w:hAnsi="Times New Roman" w:cs="Times New Roman"/>
          <w:sz w:val="24"/>
        </w:rPr>
      </w:pPr>
      <w:r>
        <w:rPr>
          <w:rFonts w:ascii="Times New Roman" w:hAnsi="Times New Roman" w:cs="Times New Roman"/>
          <w:sz w:val="24"/>
        </w:rPr>
        <w:t xml:space="preserve">In the latest version of the </w:t>
      </w:r>
      <w:r>
        <w:rPr>
          <w:rFonts w:ascii="Times New Roman" w:hAnsi="Times New Roman" w:cs="Times New Roman" w:hint="eastAsia"/>
          <w:sz w:val="24"/>
        </w:rPr>
        <w:t>g</w:t>
      </w:r>
      <w:r>
        <w:rPr>
          <w:rFonts w:ascii="Times New Roman" w:hAnsi="Times New Roman" w:cs="Times New Roman"/>
          <w:sz w:val="24"/>
        </w:rPr>
        <w:t xml:space="preserve">eneral </w:t>
      </w:r>
      <w:r>
        <w:rPr>
          <w:rFonts w:ascii="Times New Roman" w:hAnsi="Times New Roman" w:cs="Times New Roman" w:hint="eastAsia"/>
          <w:sz w:val="24"/>
        </w:rPr>
        <w:t>h</w:t>
      </w:r>
      <w:r>
        <w:rPr>
          <w:rFonts w:ascii="Times New Roman" w:hAnsi="Times New Roman" w:cs="Times New Roman"/>
          <w:sz w:val="24"/>
        </w:rPr>
        <w:t xml:space="preserve">igh </w:t>
      </w:r>
      <w:r>
        <w:rPr>
          <w:rFonts w:ascii="Times New Roman" w:hAnsi="Times New Roman" w:cs="Times New Roman" w:hint="eastAsia"/>
          <w:sz w:val="24"/>
        </w:rPr>
        <w:t>s</w:t>
      </w:r>
      <w:r>
        <w:rPr>
          <w:rFonts w:ascii="Times New Roman" w:hAnsi="Times New Roman" w:cs="Times New Roman"/>
          <w:sz w:val="24"/>
        </w:rPr>
        <w:t xml:space="preserve">chool </w:t>
      </w:r>
      <w:r>
        <w:rPr>
          <w:rFonts w:ascii="Times New Roman" w:hAnsi="Times New Roman" w:cs="Times New Roman" w:hint="eastAsia"/>
          <w:sz w:val="24"/>
        </w:rPr>
        <w:t>m</w:t>
      </w:r>
      <w:r>
        <w:rPr>
          <w:rFonts w:ascii="Times New Roman" w:hAnsi="Times New Roman" w:cs="Times New Roman"/>
          <w:sz w:val="24"/>
        </w:rPr>
        <w:t xml:space="preserve">athematics </w:t>
      </w:r>
      <w:r>
        <w:rPr>
          <w:rFonts w:ascii="Times New Roman" w:hAnsi="Times New Roman" w:cs="Times New Roman" w:hint="eastAsia"/>
          <w:sz w:val="24"/>
        </w:rPr>
        <w:t>c</w:t>
      </w:r>
      <w:r>
        <w:rPr>
          <w:rFonts w:ascii="Times New Roman" w:hAnsi="Times New Roman" w:cs="Times New Roman"/>
          <w:sz w:val="24"/>
        </w:rPr>
        <w:t xml:space="preserve">urriculum </w:t>
      </w:r>
      <w:r>
        <w:rPr>
          <w:rFonts w:ascii="Times New Roman" w:hAnsi="Times New Roman" w:cs="Times New Roman" w:hint="eastAsia"/>
          <w:sz w:val="24"/>
        </w:rPr>
        <w:t>s</w:t>
      </w:r>
      <w:r>
        <w:rPr>
          <w:rFonts w:ascii="Times New Roman" w:hAnsi="Times New Roman" w:cs="Times New Roman"/>
          <w:sz w:val="24"/>
        </w:rPr>
        <w:t>tandard (2017 Edition Revised in 2020), it is clearly stated that mathematical abstraction refers to the literacy of obtaining mathematical research objects through the abstraction of quantitative relationships and spatial forms. Mathematical abstraction is manifested in obtaining mathematical concepts and rules, formulating mathematical propositions and models, forming mathematical methods and ideas, and recognizing mathematical structures and systems</w:t>
      </w:r>
      <w:r>
        <w:rPr>
          <w:rFonts w:ascii="Times New Roman" w:hAnsi="Times New Roman" w:cs="Times New Roman" w:hint="eastAsia"/>
          <w:sz w:val="24"/>
        </w:rPr>
        <w:t xml:space="preserve"> </w:t>
      </w:r>
      <w:r>
        <w:rPr>
          <w:rFonts w:ascii="Times New Roman" w:hAnsi="Times New Roman" w:cs="Times New Roman" w:hint="eastAsia"/>
          <w:sz w:val="24"/>
          <w:szCs w:val="32"/>
        </w:rPr>
        <w:t>(</w:t>
      </w:r>
      <w:r>
        <w:rPr>
          <w:rFonts w:ascii="Times New Roman" w:hAnsi="Times New Roman" w:cs="Times New Roman"/>
          <w:sz w:val="24"/>
        </w:rPr>
        <w:t>Ministry of Education of the People's Republic of China</w:t>
      </w:r>
      <w:r>
        <w:rPr>
          <w:rFonts w:ascii="Times New Roman" w:hAnsi="Times New Roman" w:cs="Times New Roman" w:hint="eastAsia"/>
          <w:sz w:val="24"/>
        </w:rPr>
        <w:t>, 2020</w:t>
      </w:r>
      <w:r>
        <w:rPr>
          <w:rFonts w:ascii="Times New Roman" w:hAnsi="Times New Roman" w:cs="Times New Roman" w:hint="eastAsia"/>
          <w:sz w:val="24"/>
          <w:szCs w:val="32"/>
        </w:rPr>
        <w:t>)</w:t>
      </w:r>
      <w:r>
        <w:rPr>
          <w:rFonts w:ascii="Times New Roman" w:hAnsi="Times New Roman" w:cs="Times New Roman"/>
          <w:sz w:val="24"/>
        </w:rPr>
        <w:t>.</w:t>
      </w:r>
    </w:p>
    <w:p w14:paraId="68F837B8" w14:textId="77777777" w:rsidR="00667ADC" w:rsidRDefault="00667ADC">
      <w:pPr>
        <w:spacing w:line="288" w:lineRule="auto"/>
        <w:rPr>
          <w:rFonts w:ascii="Times New Roman" w:hAnsi="Times New Roman" w:cs="Times New Roman"/>
          <w:b/>
          <w:bCs/>
          <w:sz w:val="24"/>
          <w:szCs w:val="32"/>
        </w:rPr>
      </w:pPr>
    </w:p>
    <w:p w14:paraId="22584B43" w14:textId="77777777" w:rsidR="00667ADC" w:rsidRDefault="00A63DBA">
      <w:pPr>
        <w:spacing w:line="288" w:lineRule="auto"/>
        <w:rPr>
          <w:rFonts w:ascii="Times New Roman" w:hAnsi="Times New Roman" w:cs="Times New Roman"/>
          <w:b/>
          <w:bCs/>
          <w:sz w:val="24"/>
        </w:rPr>
      </w:pPr>
      <w:r>
        <w:rPr>
          <w:rFonts w:ascii="Times New Roman" w:hAnsi="Times New Roman" w:cs="Times New Roman"/>
          <w:b/>
          <w:bCs/>
          <w:sz w:val="24"/>
          <w:szCs w:val="32"/>
        </w:rPr>
        <w:t>3.</w:t>
      </w:r>
      <w:r>
        <w:rPr>
          <w:rFonts w:ascii="Times New Roman" w:hAnsi="Times New Roman" w:cs="Times New Roman" w:hint="eastAsia"/>
          <w:b/>
          <w:bCs/>
          <w:sz w:val="24"/>
          <w:szCs w:val="32"/>
        </w:rPr>
        <w:t>2</w:t>
      </w:r>
      <w:r>
        <w:rPr>
          <w:rFonts w:ascii="Times New Roman" w:hAnsi="Times New Roman" w:cs="Times New Roman"/>
          <w:b/>
          <w:bCs/>
          <w:sz w:val="24"/>
          <w:szCs w:val="32"/>
        </w:rPr>
        <w:t xml:space="preserve"> </w:t>
      </w:r>
      <w:r>
        <w:rPr>
          <w:rFonts w:ascii="Times New Roman" w:hAnsi="Times New Roman" w:cs="Times New Roman"/>
          <w:b/>
          <w:bCs/>
          <w:sz w:val="24"/>
        </w:rPr>
        <w:t>Levels of Mathematical Abstraction Literacy in High School Students</w:t>
      </w:r>
    </w:p>
    <w:p w14:paraId="0DA5BA64" w14:textId="77777777" w:rsidR="00667ADC" w:rsidRDefault="00667ADC">
      <w:pPr>
        <w:spacing w:line="288" w:lineRule="auto"/>
        <w:rPr>
          <w:rFonts w:ascii="Times New Roman" w:hAnsi="Times New Roman" w:cs="Times New Roman"/>
          <w:b/>
          <w:bCs/>
          <w:sz w:val="24"/>
          <w:szCs w:val="32"/>
        </w:rPr>
      </w:pPr>
    </w:p>
    <w:p w14:paraId="0ACC703A"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sz w:val="24"/>
        </w:rPr>
        <w:t>Following the promulgation of the 2017 Curriculum Standards, scholars have developed assessment instruments aligned with the new standards to evaluate the mathematical abstraction literacy of high school students. Zheng et al. administered a self-designed test and reported that students’ mathematical abstraction literacy was generally moderate, with significant disparities observed between sophomores and juniors, as well as between male and female students. Additionally, regional imbalances in abstraction proficiency levels were observed</w:t>
      </w:r>
      <w:r>
        <w:rPr>
          <w:rFonts w:ascii="Times New Roman" w:hAnsi="Times New Roman" w:cs="Times New Roman" w:hint="eastAsia"/>
          <w:sz w:val="24"/>
        </w:rPr>
        <w:t xml:space="preserve"> (Zheng &amp; Chen &amp; Wang, 2017)</w:t>
      </w:r>
      <w:r>
        <w:rPr>
          <w:rFonts w:ascii="Times New Roman" w:hAnsi="Times New Roman" w:cs="Times New Roman"/>
          <w:sz w:val="24"/>
        </w:rPr>
        <w:t>. Liu revealed through standardized testing that students exhibited weaknesses in higher-order thinking and abstraction abilities, particularly in symbolic representation</w:t>
      </w:r>
      <w:r>
        <w:rPr>
          <w:rFonts w:ascii="Times New Roman" w:hAnsi="Times New Roman" w:cs="Times New Roman" w:hint="eastAsia"/>
          <w:sz w:val="24"/>
        </w:rPr>
        <w:t xml:space="preserve"> (Liu, 2017)</w:t>
      </w:r>
      <w:r>
        <w:rPr>
          <w:rFonts w:ascii="Times New Roman" w:hAnsi="Times New Roman" w:cs="Times New Roman"/>
          <w:sz w:val="24"/>
        </w:rPr>
        <w:t xml:space="preserve">. In contrast, Qin and Yan employed an assessment questionnaire and found that students’ mathematical abstraction literacy was at an intermediate-to-high level. Their study demonstrated a strong correlation between mathematical performance and abstraction literacy, with high-achieving students outperforming their peers. However, no significant associations were detected with </w:t>
      </w:r>
      <w:r>
        <w:rPr>
          <w:rFonts w:ascii="Times New Roman" w:hAnsi="Times New Roman" w:cs="Times New Roman"/>
          <w:sz w:val="24"/>
        </w:rPr>
        <w:lastRenderedPageBreak/>
        <w:t>ethnicity or gender</w:t>
      </w:r>
      <w:r>
        <w:rPr>
          <w:rFonts w:ascii="Times New Roman" w:hAnsi="Times New Roman" w:cs="Times New Roman" w:hint="eastAsia"/>
          <w:sz w:val="24"/>
        </w:rPr>
        <w:t xml:space="preserve"> (Qin &amp; Yan, 2019)</w:t>
      </w:r>
      <w:r>
        <w:rPr>
          <w:rFonts w:ascii="Times New Roman" w:hAnsi="Times New Roman" w:cs="Times New Roman"/>
          <w:sz w:val="24"/>
        </w:rPr>
        <w:t>. Wang et al. designed original test items based on the core literacy framework outlined in the Curriculum Standards. Their results indicated that the overall level of mathematical core literacy among high school students remained relatively low. While knowledge base and problem-solving experience positively correlated with core literacy performance, no gender-based differences reached statistical significance</w:t>
      </w:r>
      <w:r>
        <w:rPr>
          <w:rFonts w:ascii="Times New Roman" w:hAnsi="Times New Roman" w:cs="Times New Roman" w:hint="eastAsia"/>
          <w:sz w:val="24"/>
        </w:rPr>
        <w:t xml:space="preserve"> (Wang &amp; Wang &amp; Liu &amp; Zhou, 2021)</w:t>
      </w:r>
      <w:r>
        <w:rPr>
          <w:rFonts w:ascii="Times New Roman" w:hAnsi="Times New Roman" w:cs="Times New Roman"/>
          <w:sz w:val="24"/>
        </w:rPr>
        <w:t>.</w:t>
      </w:r>
    </w:p>
    <w:p w14:paraId="079DB842" w14:textId="77777777" w:rsidR="00667ADC" w:rsidRDefault="00667ADC">
      <w:pPr>
        <w:spacing w:line="288" w:lineRule="auto"/>
        <w:rPr>
          <w:rFonts w:ascii="Times New Roman" w:hAnsi="Times New Roman" w:cs="Times New Roman"/>
          <w:b/>
          <w:bCs/>
          <w:sz w:val="24"/>
          <w:szCs w:val="32"/>
        </w:rPr>
      </w:pPr>
    </w:p>
    <w:p w14:paraId="06E28A7C"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3</w:t>
      </w:r>
      <w:r>
        <w:rPr>
          <w:rFonts w:ascii="Times New Roman" w:hAnsi="Times New Roman" w:cs="Times New Roman"/>
          <w:b/>
          <w:bCs/>
          <w:sz w:val="24"/>
          <w:szCs w:val="32"/>
        </w:rPr>
        <w:t xml:space="preserve"> </w:t>
      </w:r>
      <w:r>
        <w:rPr>
          <w:rFonts w:ascii="Times New Roman" w:hAnsi="Times New Roman" w:cs="Times New Roman"/>
          <w:b/>
          <w:bCs/>
          <w:sz w:val="24"/>
        </w:rPr>
        <w:t xml:space="preserve">Assessment </w:t>
      </w:r>
      <w:r>
        <w:rPr>
          <w:rFonts w:ascii="Times New Roman" w:hAnsi="Times New Roman" w:cs="Times New Roman" w:hint="eastAsia"/>
          <w:b/>
          <w:bCs/>
          <w:sz w:val="24"/>
        </w:rPr>
        <w:t>M</w:t>
      </w:r>
      <w:r>
        <w:rPr>
          <w:rFonts w:ascii="Times New Roman" w:hAnsi="Times New Roman" w:cs="Times New Roman"/>
          <w:b/>
          <w:bCs/>
          <w:sz w:val="24"/>
        </w:rPr>
        <w:t xml:space="preserve">ethods of </w:t>
      </w:r>
      <w:r>
        <w:rPr>
          <w:rFonts w:ascii="Times New Roman" w:hAnsi="Times New Roman" w:cs="Times New Roman" w:hint="eastAsia"/>
          <w:b/>
          <w:bCs/>
          <w:sz w:val="24"/>
        </w:rPr>
        <w:t>H</w:t>
      </w:r>
      <w:r>
        <w:rPr>
          <w:rFonts w:ascii="Times New Roman" w:hAnsi="Times New Roman" w:cs="Times New Roman"/>
          <w:b/>
          <w:bCs/>
          <w:sz w:val="24"/>
        </w:rPr>
        <w:t xml:space="preserve">igh </w:t>
      </w:r>
      <w:r>
        <w:rPr>
          <w:rFonts w:ascii="Times New Roman" w:hAnsi="Times New Roman" w:cs="Times New Roman" w:hint="eastAsia"/>
          <w:b/>
          <w:bCs/>
          <w:sz w:val="24"/>
        </w:rPr>
        <w:t>S</w:t>
      </w:r>
      <w:r>
        <w:rPr>
          <w:rFonts w:ascii="Times New Roman" w:hAnsi="Times New Roman" w:cs="Times New Roman"/>
          <w:b/>
          <w:bCs/>
          <w:sz w:val="24"/>
        </w:rPr>
        <w:t xml:space="preserve">chool </w:t>
      </w:r>
      <w:r>
        <w:rPr>
          <w:rFonts w:ascii="Times New Roman" w:hAnsi="Times New Roman" w:cs="Times New Roman" w:hint="eastAsia"/>
          <w:b/>
          <w:bCs/>
          <w:sz w:val="24"/>
        </w:rPr>
        <w:t>S</w:t>
      </w:r>
      <w:r>
        <w:rPr>
          <w:rFonts w:ascii="Times New Roman" w:hAnsi="Times New Roman" w:cs="Times New Roman"/>
          <w:b/>
          <w:bCs/>
          <w:sz w:val="24"/>
        </w:rPr>
        <w:t xml:space="preserve">tudents' </w:t>
      </w:r>
      <w:r>
        <w:rPr>
          <w:rFonts w:ascii="Times New Roman" w:hAnsi="Times New Roman" w:cs="Times New Roman" w:hint="eastAsia"/>
          <w:b/>
          <w:bCs/>
          <w:sz w:val="24"/>
        </w:rPr>
        <w:t>Mathematical Abstraction Literacy</w:t>
      </w:r>
    </w:p>
    <w:p w14:paraId="2039ED1E" w14:textId="77777777" w:rsidR="00667ADC" w:rsidRDefault="00667ADC">
      <w:pPr>
        <w:spacing w:line="288" w:lineRule="auto"/>
        <w:rPr>
          <w:rFonts w:ascii="Times New Roman" w:hAnsi="Times New Roman" w:cs="Times New Roman"/>
          <w:b/>
          <w:bCs/>
          <w:sz w:val="24"/>
          <w:szCs w:val="32"/>
        </w:rPr>
      </w:pPr>
    </w:p>
    <w:p w14:paraId="25F2096A" w14:textId="77777777" w:rsidR="00667ADC" w:rsidRDefault="00A63DBA">
      <w:pPr>
        <w:spacing w:line="288" w:lineRule="auto"/>
        <w:rPr>
          <w:rFonts w:ascii="Times New Roman" w:hAnsi="Times New Roman" w:cs="Times New Roman"/>
          <w:sz w:val="24"/>
        </w:rPr>
      </w:pPr>
      <w:r>
        <w:rPr>
          <w:rFonts w:ascii="Times New Roman" w:hAnsi="Times New Roman" w:cs="Times New Roman"/>
          <w:sz w:val="24"/>
        </w:rPr>
        <w:t xml:space="preserve">Internationally, the evaluation of mathematical literacy has been predominantly represented by two major assessment programs: the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for International Student Assessment (PISA) and the Trends in International Mathematics and Science Study (TIMSS)</w:t>
      </w:r>
      <w:r>
        <w:rPr>
          <w:rFonts w:ascii="Times New Roman" w:hAnsi="Times New Roman" w:cs="Times New Roman" w:hint="eastAsia"/>
          <w:sz w:val="24"/>
        </w:rPr>
        <w:t xml:space="preserve"> (Wang &amp; Li, 2017)</w:t>
      </w:r>
      <w:r>
        <w:rPr>
          <w:rFonts w:ascii="Times New Roman" w:hAnsi="Times New Roman" w:cs="Times New Roman"/>
          <w:sz w:val="24"/>
        </w:rPr>
        <w:t>. Building upon established evaluation frameworks, Yu integrated Bloom's Taxonomy, the PISA assessment model, and the SOLO taxonomy to develop a theoretical construct for assessing mathematical literacy through three progressive dimensions: knowledge comprehension, knowledge transfer, and knowledge innovation</w:t>
      </w:r>
      <w:r>
        <w:rPr>
          <w:rFonts w:ascii="Times New Roman" w:hAnsi="Times New Roman" w:cs="Times New Roman" w:hint="eastAsia"/>
          <w:sz w:val="24"/>
        </w:rPr>
        <w:t xml:space="preserve"> (Yu, 2017)</w:t>
      </w:r>
      <w:r>
        <w:rPr>
          <w:rFonts w:ascii="Times New Roman" w:hAnsi="Times New Roman" w:cs="Times New Roman"/>
          <w:sz w:val="24"/>
        </w:rPr>
        <w:t>. Shi emphasized that effective assessment of core mathematical literacy should specifically examine students' cognitive processes and quality of mathematical thinking</w:t>
      </w:r>
      <w:r>
        <w:rPr>
          <w:rFonts w:ascii="Times New Roman" w:hAnsi="Times New Roman" w:cs="Times New Roman" w:hint="eastAsia"/>
          <w:sz w:val="24"/>
        </w:rPr>
        <w:t xml:space="preserve"> (Shi, 2016)</w:t>
      </w:r>
      <w:r>
        <w:rPr>
          <w:rFonts w:ascii="Times New Roman" w:hAnsi="Times New Roman" w:cs="Times New Roman"/>
          <w:sz w:val="24"/>
        </w:rPr>
        <w:t>.</w:t>
      </w:r>
    </w:p>
    <w:p w14:paraId="7A6E961A" w14:textId="77777777" w:rsidR="00667ADC" w:rsidRDefault="00667ADC">
      <w:pPr>
        <w:spacing w:line="288" w:lineRule="auto"/>
        <w:rPr>
          <w:rFonts w:ascii="Times New Roman" w:hAnsi="Times New Roman" w:cs="Times New Roman"/>
          <w:sz w:val="24"/>
        </w:rPr>
      </w:pPr>
    </w:p>
    <w:p w14:paraId="38D793A2" w14:textId="77777777" w:rsidR="00667ADC" w:rsidRDefault="00A63DBA">
      <w:pPr>
        <w:spacing w:line="288" w:lineRule="auto"/>
        <w:rPr>
          <w:rFonts w:ascii="Times New Roman" w:hAnsi="Times New Roman" w:cs="Times New Roman"/>
          <w:sz w:val="24"/>
          <w:highlight w:val="yellow"/>
        </w:rPr>
      </w:pPr>
      <w:r>
        <w:rPr>
          <w:rFonts w:ascii="Times New Roman" w:hAnsi="Times New Roman" w:cs="Times New Roman"/>
          <w:sz w:val="24"/>
        </w:rPr>
        <w:t>For the core literacy of mathematical abstraction, scholars have proposed different ways and aspects of examination. Hu maintained that assessing mathematical abstraction literacy should focus on students' ability to derive mathematical concepts, propositions, and systems from various contexts, while also evaluating their capacity for generalized thinking in practical situations and their proficiency in applying mathematical reasoning to solve problems</w:t>
      </w:r>
      <w:r>
        <w:rPr>
          <w:rFonts w:ascii="Times New Roman" w:hAnsi="Times New Roman" w:cs="Times New Roman" w:hint="eastAsia"/>
          <w:sz w:val="24"/>
        </w:rPr>
        <w:t xml:space="preserve"> (Hu &amp; Bao &amp; Ren &amp; Chen, 2017)</w:t>
      </w:r>
      <w:r>
        <w:rPr>
          <w:rFonts w:ascii="Times New Roman" w:hAnsi="Times New Roman" w:cs="Times New Roman"/>
          <w:sz w:val="24"/>
        </w:rPr>
        <w:t>. In a case study examining the function concept, Chen investigated students' abstraction competence through multiple aspects including concept formation, interpretation of abstract mathematical principles using concrete examples, application of mathematical language, and methodological generalization</w:t>
      </w:r>
      <w:r>
        <w:rPr>
          <w:rFonts w:ascii="Times New Roman" w:hAnsi="Times New Roman" w:cs="Times New Roman" w:hint="eastAsia"/>
          <w:sz w:val="24"/>
        </w:rPr>
        <w:t xml:space="preserve"> (Chen, 2018)</w:t>
      </w:r>
      <w:r>
        <w:rPr>
          <w:rFonts w:ascii="Times New Roman" w:hAnsi="Times New Roman" w:cs="Times New Roman"/>
          <w:sz w:val="24"/>
        </w:rPr>
        <w:t>. Jiang conceptualized the assessment of mathematical abstraction literacy as a hierarchical three-level framework progressing from fundamental knowledge comprehension through abstraction, to knowledge transfer, and ultimately to knowledge innovation</w:t>
      </w:r>
      <w:r>
        <w:rPr>
          <w:rFonts w:ascii="Times New Roman" w:hAnsi="Times New Roman" w:cs="Times New Roman" w:hint="eastAsia"/>
          <w:sz w:val="24"/>
        </w:rPr>
        <w:t xml:space="preserve"> (Jiang, 2021)</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hint="eastAsia"/>
          <w:sz w:val="24"/>
          <w:highlight w:val="yellow"/>
        </w:rPr>
        <w:t xml:space="preserve">Additionally, in foreign studies, scholars have employed various assessment methods to evaluate students' mathematical abilities. For instance, </w:t>
      </w:r>
      <w:proofErr w:type="spellStart"/>
      <w:r>
        <w:rPr>
          <w:rFonts w:ascii="Times New Roman" w:hAnsi="Times New Roman" w:cs="Times New Roman" w:hint="eastAsia"/>
          <w:sz w:val="24"/>
          <w:highlight w:val="yellow"/>
        </w:rPr>
        <w:t>Abalde</w:t>
      </w:r>
      <w:proofErr w:type="spellEnd"/>
      <w:r>
        <w:rPr>
          <w:rFonts w:ascii="Times New Roman" w:hAnsi="Times New Roman" w:cs="Times New Roman" w:hint="eastAsia"/>
          <w:sz w:val="24"/>
          <w:highlight w:val="yellow"/>
        </w:rPr>
        <w:t xml:space="preserve"> and </w:t>
      </w:r>
      <w:proofErr w:type="spellStart"/>
      <w:r>
        <w:rPr>
          <w:rFonts w:ascii="Times New Roman" w:hAnsi="Times New Roman" w:cs="Times New Roman" w:hint="eastAsia"/>
          <w:sz w:val="24"/>
          <w:highlight w:val="yellow"/>
        </w:rPr>
        <w:t>Oco</w:t>
      </w:r>
      <w:proofErr w:type="spellEnd"/>
      <w:r>
        <w:rPr>
          <w:rFonts w:ascii="Times New Roman" w:hAnsi="Times New Roman" w:cs="Times New Roman" w:hint="eastAsia"/>
          <w:sz w:val="24"/>
          <w:highlight w:val="yellow"/>
        </w:rPr>
        <w:t xml:space="preserve"> used a researcher-made questionnaire that underwent validity and reliability </w:t>
      </w:r>
      <w:r>
        <w:rPr>
          <w:rFonts w:ascii="Times New Roman" w:hAnsi="Times New Roman" w:cs="Times New Roman" w:hint="eastAsia"/>
          <w:sz w:val="24"/>
          <w:highlight w:val="yellow"/>
        </w:rPr>
        <w:lastRenderedPageBreak/>
        <w:t>testing and the academic performance of the students (</w:t>
      </w:r>
      <w:proofErr w:type="spellStart"/>
      <w:r>
        <w:rPr>
          <w:rFonts w:ascii="Times New Roman" w:hAnsi="Times New Roman" w:cs="Times New Roman" w:hint="eastAsia"/>
          <w:sz w:val="24"/>
          <w:highlight w:val="yellow"/>
        </w:rPr>
        <w:t>Abalde</w:t>
      </w:r>
      <w:proofErr w:type="spellEnd"/>
      <w:r>
        <w:rPr>
          <w:rFonts w:ascii="Times New Roman" w:hAnsi="Times New Roman" w:cs="Times New Roman" w:hint="eastAsia"/>
          <w:sz w:val="24"/>
          <w:highlight w:val="yellow"/>
        </w:rPr>
        <w:t xml:space="preserve"> &amp; </w:t>
      </w:r>
      <w:proofErr w:type="spellStart"/>
      <w:r>
        <w:rPr>
          <w:rFonts w:ascii="Times New Roman" w:hAnsi="Times New Roman" w:cs="Times New Roman" w:hint="eastAsia"/>
          <w:sz w:val="24"/>
          <w:highlight w:val="yellow"/>
        </w:rPr>
        <w:t>Oco</w:t>
      </w:r>
      <w:proofErr w:type="spellEnd"/>
      <w:r>
        <w:rPr>
          <w:rFonts w:ascii="Times New Roman" w:hAnsi="Times New Roman" w:cs="Times New Roman" w:hint="eastAsia"/>
          <w:sz w:val="24"/>
          <w:highlight w:val="yellow"/>
        </w:rPr>
        <w:t>, 2023).</w:t>
      </w:r>
    </w:p>
    <w:p w14:paraId="72D1A6F5" w14:textId="77777777" w:rsidR="00667ADC" w:rsidRDefault="00667ADC">
      <w:pPr>
        <w:spacing w:line="288" w:lineRule="auto"/>
        <w:rPr>
          <w:rFonts w:ascii="Times New Roman" w:hAnsi="Times New Roman" w:cs="Times New Roman"/>
          <w:b/>
          <w:bCs/>
          <w:sz w:val="24"/>
          <w:szCs w:val="32"/>
        </w:rPr>
      </w:pPr>
    </w:p>
    <w:p w14:paraId="5F55BE34"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4</w:t>
      </w:r>
      <w:r>
        <w:rPr>
          <w:rFonts w:ascii="Times New Roman" w:hAnsi="Times New Roman" w:cs="Times New Roman"/>
          <w:b/>
          <w:bCs/>
          <w:sz w:val="24"/>
          <w:szCs w:val="32"/>
        </w:rPr>
        <w:t xml:space="preserve"> </w:t>
      </w:r>
      <w:r>
        <w:rPr>
          <w:rFonts w:ascii="Times New Roman" w:hAnsi="Times New Roman" w:cs="Times New Roman"/>
          <w:b/>
          <w:bCs/>
          <w:sz w:val="24"/>
        </w:rPr>
        <w:t xml:space="preserve">Influencing </w:t>
      </w:r>
      <w:r>
        <w:rPr>
          <w:rFonts w:ascii="Times New Roman" w:hAnsi="Times New Roman" w:cs="Times New Roman" w:hint="eastAsia"/>
          <w:b/>
          <w:bCs/>
          <w:sz w:val="24"/>
        </w:rPr>
        <w:t>F</w:t>
      </w:r>
      <w:r>
        <w:rPr>
          <w:rFonts w:ascii="Times New Roman" w:hAnsi="Times New Roman" w:cs="Times New Roman"/>
          <w:b/>
          <w:bCs/>
          <w:sz w:val="24"/>
        </w:rPr>
        <w:t xml:space="preserve">actors of </w:t>
      </w:r>
      <w:r>
        <w:rPr>
          <w:rFonts w:ascii="Times New Roman" w:hAnsi="Times New Roman" w:cs="Times New Roman" w:hint="eastAsia"/>
          <w:b/>
          <w:bCs/>
          <w:sz w:val="24"/>
        </w:rPr>
        <w:t>M</w:t>
      </w:r>
      <w:r>
        <w:rPr>
          <w:rFonts w:ascii="Times New Roman" w:hAnsi="Times New Roman" w:cs="Times New Roman"/>
          <w:b/>
          <w:bCs/>
          <w:sz w:val="24"/>
        </w:rPr>
        <w:t xml:space="preserve">athematical </w:t>
      </w:r>
      <w:r>
        <w:rPr>
          <w:rFonts w:ascii="Times New Roman" w:hAnsi="Times New Roman" w:cs="Times New Roman" w:hint="eastAsia"/>
          <w:b/>
          <w:bCs/>
          <w:sz w:val="24"/>
        </w:rPr>
        <w:t>A</w:t>
      </w:r>
      <w:r>
        <w:rPr>
          <w:rFonts w:ascii="Times New Roman" w:hAnsi="Times New Roman" w:cs="Times New Roman"/>
          <w:b/>
          <w:bCs/>
          <w:sz w:val="24"/>
        </w:rPr>
        <w:t xml:space="preserve">bstraction </w:t>
      </w:r>
      <w:r>
        <w:rPr>
          <w:rFonts w:ascii="Times New Roman" w:hAnsi="Times New Roman" w:cs="Times New Roman" w:hint="eastAsia"/>
          <w:b/>
          <w:bCs/>
          <w:sz w:val="24"/>
        </w:rPr>
        <w:t>L</w:t>
      </w:r>
      <w:r>
        <w:rPr>
          <w:rFonts w:ascii="Times New Roman" w:hAnsi="Times New Roman" w:cs="Times New Roman"/>
          <w:b/>
          <w:bCs/>
          <w:sz w:val="24"/>
        </w:rPr>
        <w:t>iteracy</w:t>
      </w:r>
    </w:p>
    <w:p w14:paraId="0A8C98A7" w14:textId="77777777" w:rsidR="00667ADC" w:rsidRDefault="00667ADC">
      <w:pPr>
        <w:spacing w:line="288" w:lineRule="auto"/>
        <w:rPr>
          <w:rFonts w:ascii="Times New Roman" w:hAnsi="Times New Roman" w:cs="Times New Roman"/>
          <w:b/>
          <w:bCs/>
          <w:sz w:val="24"/>
          <w:szCs w:val="32"/>
        </w:rPr>
      </w:pPr>
    </w:p>
    <w:p w14:paraId="1F3B425E"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sz w:val="24"/>
        </w:rPr>
        <w:t>Mathematical abstraction ability, as a crucial component of mathematical core literacy, plays a pivotal role in high school students' mathematics learning. Given its significance, enhancing students' mathematical abstraction level has become an important research topic in mathematics education, and investigating its influencing factors holds substantial theoretical value and practical significance. Domestic scholars have primarily focused on the following aspects regarding the factors influencing mathematical abstraction.</w:t>
      </w:r>
    </w:p>
    <w:p w14:paraId="19CC707A" w14:textId="77777777" w:rsidR="00667ADC" w:rsidRDefault="00667ADC">
      <w:pPr>
        <w:spacing w:line="288" w:lineRule="auto"/>
        <w:rPr>
          <w:rFonts w:ascii="Times New Roman" w:hAnsi="Times New Roman" w:cs="Times New Roman"/>
          <w:b/>
          <w:bCs/>
          <w:sz w:val="24"/>
          <w:szCs w:val="32"/>
        </w:rPr>
      </w:pPr>
    </w:p>
    <w:p w14:paraId="363264F6"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4.1</w:t>
      </w:r>
      <w:r>
        <w:rPr>
          <w:rFonts w:ascii="Times New Roman" w:hAnsi="Times New Roman" w:cs="Times New Roman"/>
          <w:b/>
          <w:bCs/>
          <w:sz w:val="24"/>
          <w:szCs w:val="32"/>
        </w:rPr>
        <w:t xml:space="preserve"> </w:t>
      </w:r>
      <w:r>
        <w:rPr>
          <w:rFonts w:ascii="Times New Roman" w:hAnsi="Times New Roman" w:cs="Times New Roman"/>
          <w:b/>
          <w:bCs/>
          <w:sz w:val="24"/>
        </w:rPr>
        <w:t>Teachers</w:t>
      </w:r>
    </w:p>
    <w:p w14:paraId="70BA00DF" w14:textId="77777777" w:rsidR="00667ADC" w:rsidRDefault="00667ADC">
      <w:pPr>
        <w:spacing w:line="288" w:lineRule="auto"/>
        <w:rPr>
          <w:rFonts w:ascii="Times New Roman" w:hAnsi="Times New Roman" w:cs="Times New Roman"/>
          <w:b/>
          <w:bCs/>
          <w:sz w:val="24"/>
          <w:szCs w:val="32"/>
        </w:rPr>
      </w:pPr>
    </w:p>
    <w:p w14:paraId="11DD2F39"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sz w:val="24"/>
        </w:rPr>
        <w:t>Hu and Huang employed a multilevel linear model to examine the influencing mechanisms of core mathematical literacy among middle school students, revealing that teachers' stimulation of students' mathematical cognition significantly and positively predicts their core mathematical literacy</w:t>
      </w:r>
      <w:r>
        <w:rPr>
          <w:rFonts w:ascii="Times New Roman" w:hAnsi="Times New Roman" w:cs="Times New Roman" w:hint="eastAsia"/>
          <w:sz w:val="24"/>
        </w:rPr>
        <w:t xml:space="preserve"> (Hu &amp; Huang, 2024)</w:t>
      </w:r>
      <w:r>
        <w:rPr>
          <w:rFonts w:ascii="Times New Roman" w:hAnsi="Times New Roman" w:cs="Times New Roman"/>
          <w:sz w:val="24"/>
        </w:rPr>
        <w:t>. Luo proposed that teachers' effective integration of modern multimedia teaching methods with traditional classroom instruction, targeted explanation of mathematical thinking for specific knowledge points or problem types, and contextualization of mathematical knowledge in real-life situations all contribute positively to developing students' abstraction literacy</w:t>
      </w:r>
      <w:r>
        <w:rPr>
          <w:rFonts w:ascii="Times New Roman" w:hAnsi="Times New Roman" w:cs="Times New Roman" w:hint="eastAsia"/>
          <w:sz w:val="24"/>
        </w:rPr>
        <w:t xml:space="preserve"> (Luo, 2020)</w:t>
      </w:r>
      <w:r>
        <w:rPr>
          <w:rFonts w:ascii="Times New Roman" w:hAnsi="Times New Roman" w:cs="Times New Roman"/>
          <w:sz w:val="24"/>
        </w:rPr>
        <w:t>. From an instructional practice perspective, Xing found that the absence of "deliberate pause" in guided inquiry activities and insufficient teacher guidance in helping students recognize and master mathematical abstraction forms and methods may hinder the development of students' abstraction awareness</w:t>
      </w:r>
      <w:r>
        <w:rPr>
          <w:rFonts w:ascii="Times New Roman" w:hAnsi="Times New Roman" w:cs="Times New Roman" w:hint="eastAsia"/>
          <w:sz w:val="24"/>
        </w:rPr>
        <w:t xml:space="preserve"> (Xing, 2023)</w:t>
      </w:r>
      <w:r>
        <w:rPr>
          <w:rFonts w:ascii="Times New Roman" w:hAnsi="Times New Roman" w:cs="Times New Roman"/>
          <w:sz w:val="24"/>
        </w:rPr>
        <w:t>. Zhu and Hu identified three key factors influencing high school students' core mathematical literacy development: teacher-student relationships in mathematics learning, classroom disciplinary climate, and teachers' stimulation of students' cognitive engagement</w:t>
      </w:r>
      <w:r>
        <w:rPr>
          <w:rFonts w:ascii="Times New Roman" w:hAnsi="Times New Roman" w:cs="Times New Roman" w:hint="eastAsia"/>
          <w:sz w:val="24"/>
        </w:rPr>
        <w:t xml:space="preserve"> (Zhu &amp; Hu, 2020)</w:t>
      </w:r>
      <w:r>
        <w:rPr>
          <w:rFonts w:ascii="Times New Roman" w:hAnsi="Times New Roman" w:cs="Times New Roman"/>
          <w:sz w:val="24"/>
        </w:rPr>
        <w:t>. Jiang et al. analyzed critical factors affecting mathematical abstraction ability from both student and teacher dimensions, emphasizing that teachers' emphasis on fundamental mathematical knowledge, their understanding of abstraction ability, pedagogical choices, and educational beliefs significantly influence students' abstraction development</w:t>
      </w:r>
      <w:r>
        <w:rPr>
          <w:rFonts w:ascii="Times New Roman" w:hAnsi="Times New Roman" w:cs="Times New Roman" w:hint="eastAsia"/>
          <w:sz w:val="24"/>
        </w:rPr>
        <w:t xml:space="preserve"> (Jiang &amp; Chen &amp; </w:t>
      </w:r>
      <w:proofErr w:type="spellStart"/>
      <w:r>
        <w:rPr>
          <w:rFonts w:ascii="Times New Roman" w:hAnsi="Times New Roman" w:cs="Times New Roman" w:hint="eastAsia"/>
          <w:sz w:val="24"/>
        </w:rPr>
        <w:t>Xie</w:t>
      </w:r>
      <w:proofErr w:type="spellEnd"/>
      <w:r>
        <w:rPr>
          <w:rFonts w:ascii="Times New Roman" w:hAnsi="Times New Roman" w:cs="Times New Roman" w:hint="eastAsia"/>
          <w:sz w:val="24"/>
        </w:rPr>
        <w:t xml:space="preserve"> &amp; Gong, 2022)</w:t>
      </w:r>
      <w:r>
        <w:rPr>
          <w:rFonts w:ascii="Times New Roman" w:hAnsi="Times New Roman" w:cs="Times New Roman"/>
          <w:sz w:val="24"/>
        </w:rPr>
        <w:t xml:space="preserve">. Yu demonstrated through survey research that teachers' professional competence and prestige, along with their instructional design focusing on mathematical abstraction, constitute crucial factors in developing high school </w:t>
      </w:r>
      <w:r>
        <w:rPr>
          <w:rFonts w:ascii="Times New Roman" w:hAnsi="Times New Roman" w:cs="Times New Roman"/>
          <w:sz w:val="24"/>
        </w:rPr>
        <w:lastRenderedPageBreak/>
        <w:t>students' abstraction literacy</w:t>
      </w:r>
      <w:r>
        <w:rPr>
          <w:rFonts w:ascii="Times New Roman" w:hAnsi="Times New Roman" w:cs="Times New Roman" w:hint="eastAsia"/>
          <w:sz w:val="24"/>
        </w:rPr>
        <w:t xml:space="preserve"> (Yu, 2020)</w:t>
      </w:r>
      <w:r>
        <w:rPr>
          <w:rFonts w:ascii="Times New Roman" w:hAnsi="Times New Roman" w:cs="Times New Roman"/>
          <w:sz w:val="24"/>
        </w:rPr>
        <w:t>. An identified several effective teaching practices that enhance mathematical abstraction ability, including improving students' problem-solving skills in practical contexts, guiding concept mastery, summarizing problem types, incorporating deliberate instructional pauses, and facilitating knowledge framework construction</w:t>
      </w:r>
      <w:r>
        <w:rPr>
          <w:rFonts w:ascii="Times New Roman" w:hAnsi="Times New Roman" w:cs="Times New Roman" w:hint="eastAsia"/>
          <w:sz w:val="24"/>
        </w:rPr>
        <w:t xml:space="preserve"> (An, 2019)</w:t>
      </w:r>
      <w:r>
        <w:rPr>
          <w:rFonts w:ascii="Times New Roman" w:hAnsi="Times New Roman" w:cs="Times New Roman"/>
          <w:sz w:val="24"/>
        </w:rPr>
        <w:t>.</w:t>
      </w:r>
    </w:p>
    <w:p w14:paraId="0DFE9890" w14:textId="77777777" w:rsidR="00667ADC" w:rsidRDefault="00667ADC">
      <w:pPr>
        <w:spacing w:line="288" w:lineRule="auto"/>
        <w:rPr>
          <w:rFonts w:ascii="Times New Roman" w:hAnsi="Times New Roman" w:cs="Times New Roman"/>
          <w:b/>
          <w:bCs/>
          <w:sz w:val="24"/>
          <w:szCs w:val="32"/>
        </w:rPr>
      </w:pPr>
    </w:p>
    <w:p w14:paraId="0AEEF1ED"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4.2</w:t>
      </w:r>
      <w:r>
        <w:rPr>
          <w:rFonts w:ascii="Times New Roman" w:hAnsi="Times New Roman" w:cs="Times New Roman"/>
          <w:b/>
          <w:bCs/>
          <w:sz w:val="24"/>
          <w:szCs w:val="32"/>
        </w:rPr>
        <w:t xml:space="preserve"> </w:t>
      </w:r>
      <w:r>
        <w:rPr>
          <w:rFonts w:ascii="Times New Roman" w:hAnsi="Times New Roman" w:cs="Times New Roman"/>
          <w:b/>
          <w:bCs/>
          <w:sz w:val="24"/>
        </w:rPr>
        <w:t>Student</w:t>
      </w:r>
      <w:r>
        <w:rPr>
          <w:rFonts w:ascii="Times New Roman" w:hAnsi="Times New Roman" w:cs="Times New Roman" w:hint="eastAsia"/>
          <w:b/>
          <w:bCs/>
          <w:sz w:val="24"/>
        </w:rPr>
        <w:t>s</w:t>
      </w:r>
    </w:p>
    <w:p w14:paraId="71511E85" w14:textId="77777777" w:rsidR="00667ADC" w:rsidRDefault="00667ADC">
      <w:pPr>
        <w:spacing w:line="288" w:lineRule="auto"/>
        <w:rPr>
          <w:rFonts w:ascii="Times New Roman" w:hAnsi="Times New Roman" w:cs="Times New Roman"/>
          <w:b/>
          <w:bCs/>
          <w:sz w:val="24"/>
          <w:szCs w:val="32"/>
        </w:rPr>
      </w:pPr>
    </w:p>
    <w:p w14:paraId="17E59957"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hint="eastAsia"/>
          <w:sz w:val="24"/>
        </w:rPr>
        <w:t>O</w:t>
      </w:r>
      <w:r>
        <w:rPr>
          <w:rFonts w:ascii="Times New Roman" w:hAnsi="Times New Roman" w:cs="Times New Roman"/>
          <w:sz w:val="24"/>
        </w:rPr>
        <w:t xml:space="preserve">n the part of students themselves, </w:t>
      </w:r>
      <w:r>
        <w:rPr>
          <w:rFonts w:ascii="Times New Roman" w:hAnsi="Times New Roman" w:cs="Times New Roman" w:hint="eastAsia"/>
          <w:sz w:val="24"/>
        </w:rPr>
        <w:t>s</w:t>
      </w:r>
      <w:r>
        <w:rPr>
          <w:rFonts w:ascii="Times New Roman" w:hAnsi="Times New Roman" w:cs="Times New Roman"/>
          <w:sz w:val="24"/>
        </w:rPr>
        <w:t>cholars suggest that the development of students' mathematical abstraction literacy is influenced by multiple dimensions, encompassing both intrinsic cognitive and psychological characteristics, as well as external learning factors such as behavioral habits. Foremost among these influences are learning motivation and self-belief, which serve as crucial internal drivers.</w:t>
      </w:r>
      <w:r>
        <w:rPr>
          <w:rFonts w:ascii="Times New Roman" w:hAnsi="Times New Roman" w:cs="Times New Roman" w:hint="eastAsia"/>
          <w:sz w:val="24"/>
        </w:rPr>
        <w:t xml:space="preserve"> </w:t>
      </w:r>
      <w:r>
        <w:rPr>
          <w:rFonts w:ascii="Times New Roman" w:hAnsi="Times New Roman" w:cs="Times New Roman"/>
          <w:sz w:val="24"/>
        </w:rPr>
        <w:t>Zhu and Hu developed a questionnaire based on PISA surveys to investigate the current state and influencing factors of high school students' core mathematical literacy. Their findings revealed that mathematics learning opportunities showed the strongest correlation with core mathematical literacy, followed sequentially by mathematical self-belief, learning drive and motivation, school factors, and school engagement</w:t>
      </w:r>
      <w:r>
        <w:rPr>
          <w:rFonts w:ascii="Times New Roman" w:hAnsi="Times New Roman" w:cs="Times New Roman" w:hint="eastAsia"/>
          <w:sz w:val="24"/>
        </w:rPr>
        <w:t xml:space="preserve"> (Zhu &amp; Hu, 2020)</w:t>
      </w:r>
      <w:r>
        <w:rPr>
          <w:rFonts w:ascii="Times New Roman" w:hAnsi="Times New Roman" w:cs="Times New Roman"/>
          <w:sz w:val="24"/>
        </w:rPr>
        <w:t>. Complementing these findings, Zheng et al. demonstrated a significant correlation between mathematical self-efficacy and abstraction ability</w:t>
      </w:r>
      <w:r>
        <w:rPr>
          <w:rFonts w:ascii="Times New Roman" w:hAnsi="Times New Roman" w:cs="Times New Roman" w:hint="eastAsia"/>
          <w:sz w:val="24"/>
        </w:rPr>
        <w:t xml:space="preserve"> (Zheng &amp; Chen &amp; Wang, 2017)</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rPr>
        <w:t>Yu further emphasized student initiative as one of the key factors in developing mathematical abstraction literacy among high school students</w:t>
      </w:r>
      <w:r>
        <w:rPr>
          <w:rFonts w:ascii="Times New Roman" w:hAnsi="Times New Roman" w:cs="Times New Roman" w:hint="eastAsia"/>
          <w:sz w:val="24"/>
        </w:rPr>
        <w:t xml:space="preserve"> (Yu, 2020)</w:t>
      </w:r>
      <w:r>
        <w:rPr>
          <w:rFonts w:ascii="Times New Roman" w:hAnsi="Times New Roman" w:cs="Times New Roman"/>
          <w:sz w:val="24"/>
        </w:rPr>
        <w:t>.</w:t>
      </w:r>
    </w:p>
    <w:p w14:paraId="47986F5F" w14:textId="77777777" w:rsidR="00667ADC" w:rsidRDefault="00667ADC">
      <w:pPr>
        <w:spacing w:line="288" w:lineRule="auto"/>
        <w:rPr>
          <w:rFonts w:ascii="Times New Roman" w:hAnsi="Times New Roman" w:cs="Times New Roman"/>
          <w:b/>
          <w:bCs/>
          <w:sz w:val="24"/>
          <w:szCs w:val="32"/>
        </w:rPr>
      </w:pPr>
    </w:p>
    <w:p w14:paraId="2DE324EB" w14:textId="77777777" w:rsidR="00667ADC" w:rsidRDefault="00A63DBA">
      <w:pPr>
        <w:spacing w:line="288" w:lineRule="auto"/>
        <w:rPr>
          <w:rFonts w:ascii="Times New Roman" w:hAnsi="Times New Roman" w:cs="Times New Roman"/>
          <w:b/>
          <w:bCs/>
          <w:sz w:val="24"/>
          <w:szCs w:val="32"/>
          <w:highlight w:val="yellow"/>
        </w:rPr>
      </w:pPr>
      <w:r>
        <w:rPr>
          <w:rFonts w:ascii="Times New Roman" w:hAnsi="Times New Roman" w:cs="Times New Roman"/>
          <w:sz w:val="24"/>
        </w:rPr>
        <w:t>Learning engagement and habit as influences at the behavioral level, Hu and Huang found that students' engagement in mathematics learning and their study habits positively predict core mathematical literacy</w:t>
      </w:r>
      <w:r>
        <w:rPr>
          <w:rFonts w:ascii="Times New Roman" w:hAnsi="Times New Roman" w:cs="Times New Roman" w:hint="eastAsia"/>
          <w:sz w:val="24"/>
        </w:rPr>
        <w:t xml:space="preserve"> (Hu &amp; Huang, 2024)</w:t>
      </w:r>
      <w:r>
        <w:rPr>
          <w:rFonts w:ascii="Times New Roman" w:hAnsi="Times New Roman" w:cs="Times New Roman"/>
          <w:sz w:val="24"/>
        </w:rPr>
        <w:t>. According to Liu, students' ability to generalize and summarize a certain type of problem and their habit of questioning problems and phenomena are the conditions required for the creation of abstract thinking development</w:t>
      </w:r>
      <w:r>
        <w:rPr>
          <w:rFonts w:ascii="Times New Roman" w:hAnsi="Times New Roman" w:cs="Times New Roman" w:hint="eastAsia"/>
          <w:sz w:val="24"/>
        </w:rPr>
        <w:t xml:space="preserve"> (Liu, 2019)</w:t>
      </w:r>
      <w:r>
        <w:rPr>
          <w:rFonts w:ascii="Times New Roman" w:hAnsi="Times New Roman" w:cs="Times New Roman"/>
          <w:sz w:val="24"/>
        </w:rPr>
        <w:t xml:space="preserve">. According to Xing, in terms of students' active learning, poor mathematical learning awareness leads to the face of the exercise not having the ability to actively match the corresponding knowledge points learned, in the learning of high school mathematical knowledge is very susceptible to the interference of some of the mathematical concepts and conclusions learned in junior high school, and thus fall into the stereotypes of the thinking of the misconceptions will be prone to inhibit students from optimizing the thinking of the formation of more scientific and rational thinking, resulting in the students to enhance the mathematical abstract thinking The improvement of students' abstract thinking in </w:t>
      </w:r>
      <w:r>
        <w:rPr>
          <w:rFonts w:ascii="Times New Roman" w:hAnsi="Times New Roman" w:cs="Times New Roman"/>
          <w:sz w:val="24"/>
        </w:rPr>
        <w:lastRenderedPageBreak/>
        <w:t>mathematics will be hindered by</w:t>
      </w:r>
      <w:r>
        <w:rPr>
          <w:rFonts w:ascii="Times New Roman" w:hAnsi="Times New Roman" w:cs="Times New Roman" w:hint="eastAsia"/>
          <w:sz w:val="24"/>
        </w:rPr>
        <w:t xml:space="preserve"> (Xing, 2023)</w:t>
      </w:r>
      <w:r>
        <w:rPr>
          <w:rFonts w:ascii="Times New Roman" w:hAnsi="Times New Roman" w:cs="Times New Roman"/>
          <w:sz w:val="24"/>
        </w:rPr>
        <w:t>.</w:t>
      </w:r>
      <w:r>
        <w:rPr>
          <w:rFonts w:ascii="Times New Roman" w:hAnsi="Times New Roman" w:cs="Times New Roman" w:hint="eastAsia"/>
          <w:sz w:val="24"/>
        </w:rPr>
        <w:t xml:space="preserve"> </w:t>
      </w:r>
      <w:r>
        <w:rPr>
          <w:rFonts w:ascii="Times New Roman" w:hAnsi="Times New Roman" w:cs="Times New Roman"/>
          <w:sz w:val="24"/>
          <w:highlight w:val="yellow"/>
        </w:rPr>
        <w:t xml:space="preserve">Nathan and Jackob </w:t>
      </w:r>
      <w:r>
        <w:rPr>
          <w:rFonts w:ascii="Times New Roman" w:hAnsi="Times New Roman" w:cs="Times New Roman" w:hint="eastAsia"/>
          <w:sz w:val="24"/>
          <w:highlight w:val="yellow"/>
        </w:rPr>
        <w:t>proposed a deterministic model that describes the dynamics of students who have the capability to perform well in mathematics examinations and engage in careers that demand its application and the negative in</w:t>
      </w:r>
      <w:r>
        <w:rPr>
          <w:rFonts w:ascii="Times New Roman" w:hAnsi="Times New Roman" w:cs="Times New Roman" w:hint="eastAsia"/>
          <w:sz w:val="24"/>
          <w:highlight w:val="yellow"/>
        </w:rPr>
        <w:t>ﬂ</w:t>
      </w:r>
      <w:proofErr w:type="spellStart"/>
      <w:r>
        <w:rPr>
          <w:rFonts w:ascii="Times New Roman" w:hAnsi="Times New Roman" w:cs="Times New Roman" w:hint="eastAsia"/>
          <w:sz w:val="24"/>
          <w:highlight w:val="yellow"/>
        </w:rPr>
        <w:t>uence</w:t>
      </w:r>
      <w:proofErr w:type="spellEnd"/>
      <w:r>
        <w:rPr>
          <w:rFonts w:ascii="Times New Roman" w:hAnsi="Times New Roman" w:cs="Times New Roman" w:hint="eastAsia"/>
          <w:sz w:val="24"/>
          <w:highlight w:val="yellow"/>
        </w:rPr>
        <w:t xml:space="preserve"> of individuals with mathematics anxiety on the potential students (Nathan &amp; Jackob, 2020).</w:t>
      </w:r>
    </w:p>
    <w:p w14:paraId="3A7CC626" w14:textId="77777777" w:rsidR="00667ADC" w:rsidRDefault="00667ADC">
      <w:pPr>
        <w:spacing w:line="288" w:lineRule="auto"/>
        <w:rPr>
          <w:rFonts w:ascii="Times New Roman" w:hAnsi="Times New Roman" w:cs="Times New Roman"/>
          <w:b/>
          <w:bCs/>
          <w:sz w:val="24"/>
          <w:szCs w:val="32"/>
        </w:rPr>
      </w:pPr>
    </w:p>
    <w:p w14:paraId="07CC2AAD"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sz w:val="24"/>
        </w:rPr>
        <w:t>Regarding knowledge mastery and cognitive structure, Lin highlighted that students' understanding of mathematical abstract symbols and proficiency in mathematical language directly influence abstract thinking development</w:t>
      </w:r>
      <w:r>
        <w:rPr>
          <w:rFonts w:ascii="Times New Roman" w:hAnsi="Times New Roman" w:cs="Times New Roman" w:hint="eastAsia"/>
          <w:sz w:val="24"/>
        </w:rPr>
        <w:t xml:space="preserve"> (Lin, 2019)</w:t>
      </w:r>
      <w:r>
        <w:rPr>
          <w:rFonts w:ascii="Times New Roman" w:hAnsi="Times New Roman" w:cs="Times New Roman"/>
          <w:sz w:val="24"/>
        </w:rPr>
        <w:t>. Zhu confirmed a significant correlation between mathematical cognitive structure and abstraction ability, with students at higher cognitive levels demonstrating superior performance</w:t>
      </w:r>
      <w:r>
        <w:rPr>
          <w:rFonts w:ascii="Times New Roman" w:hAnsi="Times New Roman" w:cs="Times New Roman" w:hint="eastAsia"/>
          <w:sz w:val="24"/>
        </w:rPr>
        <w:t xml:space="preserve"> (Zhu, 2021)</w:t>
      </w:r>
      <w:r>
        <w:rPr>
          <w:rFonts w:ascii="Times New Roman" w:hAnsi="Times New Roman" w:cs="Times New Roman"/>
          <w:sz w:val="24"/>
        </w:rPr>
        <w:t>. Jiang et al. proposed that the degree of mathematical knowledge mastery, development of mathematical thinking, mathematical competence, and effectiveness of peer-assisted learning are all critical factors affecting abstraction ability</w:t>
      </w:r>
      <w:r>
        <w:rPr>
          <w:rFonts w:ascii="Times New Roman" w:hAnsi="Times New Roman" w:cs="Times New Roman" w:hint="eastAsia"/>
          <w:sz w:val="24"/>
        </w:rPr>
        <w:t xml:space="preserve"> (Jiang &amp; Chen &amp; </w:t>
      </w:r>
      <w:proofErr w:type="spellStart"/>
      <w:r>
        <w:rPr>
          <w:rFonts w:ascii="Times New Roman" w:hAnsi="Times New Roman" w:cs="Times New Roman" w:hint="eastAsia"/>
          <w:sz w:val="24"/>
        </w:rPr>
        <w:t>Xie</w:t>
      </w:r>
      <w:proofErr w:type="spellEnd"/>
      <w:r>
        <w:rPr>
          <w:rFonts w:ascii="Times New Roman" w:hAnsi="Times New Roman" w:cs="Times New Roman" w:hint="eastAsia"/>
          <w:sz w:val="24"/>
        </w:rPr>
        <w:t xml:space="preserve"> &amp; Gong, 2022)</w:t>
      </w:r>
      <w:r>
        <w:rPr>
          <w:rFonts w:ascii="Times New Roman" w:hAnsi="Times New Roman" w:cs="Times New Roman"/>
          <w:sz w:val="24"/>
        </w:rPr>
        <w:t>. Ge's research further indicated a significant positive correlation between metacognitive ability and mathematical abstraction ability, with metacognitive monitoring showing particularly prominent predictive effects</w:t>
      </w:r>
      <w:r>
        <w:rPr>
          <w:rFonts w:ascii="Times New Roman" w:hAnsi="Times New Roman" w:cs="Times New Roman" w:hint="eastAsia"/>
          <w:sz w:val="24"/>
        </w:rPr>
        <w:t xml:space="preserve"> (Ge, 2020)</w:t>
      </w:r>
      <w:r>
        <w:rPr>
          <w:rFonts w:ascii="Times New Roman" w:hAnsi="Times New Roman" w:cs="Times New Roman"/>
          <w:sz w:val="24"/>
        </w:rPr>
        <w:t>.</w:t>
      </w:r>
    </w:p>
    <w:p w14:paraId="09BA521A" w14:textId="77777777" w:rsidR="00667ADC" w:rsidRDefault="00667ADC">
      <w:pPr>
        <w:spacing w:line="288" w:lineRule="auto"/>
        <w:rPr>
          <w:rFonts w:ascii="Times New Roman" w:hAnsi="Times New Roman" w:cs="Times New Roman"/>
          <w:b/>
          <w:bCs/>
          <w:sz w:val="24"/>
          <w:szCs w:val="32"/>
        </w:rPr>
      </w:pPr>
    </w:p>
    <w:p w14:paraId="3E2625D6"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4.1</w:t>
      </w:r>
      <w:r>
        <w:rPr>
          <w:rFonts w:ascii="Times New Roman" w:hAnsi="Times New Roman" w:cs="Times New Roman"/>
          <w:b/>
          <w:bCs/>
          <w:sz w:val="24"/>
          <w:szCs w:val="32"/>
        </w:rPr>
        <w:t xml:space="preserve"> </w:t>
      </w:r>
      <w:r>
        <w:rPr>
          <w:rFonts w:ascii="Times New Roman" w:hAnsi="Times New Roman" w:cs="Times New Roman"/>
          <w:b/>
          <w:bCs/>
          <w:sz w:val="24"/>
        </w:rPr>
        <w:t xml:space="preserve">Other </w:t>
      </w:r>
      <w:r>
        <w:rPr>
          <w:rFonts w:ascii="Times New Roman" w:hAnsi="Times New Roman" w:cs="Times New Roman" w:hint="eastAsia"/>
          <w:b/>
          <w:bCs/>
          <w:sz w:val="24"/>
        </w:rPr>
        <w:t>A</w:t>
      </w:r>
      <w:r>
        <w:rPr>
          <w:rFonts w:ascii="Times New Roman" w:hAnsi="Times New Roman" w:cs="Times New Roman"/>
          <w:b/>
          <w:bCs/>
          <w:sz w:val="24"/>
        </w:rPr>
        <w:t>spects</w:t>
      </w:r>
    </w:p>
    <w:p w14:paraId="51DBAA06" w14:textId="77777777" w:rsidR="00667ADC" w:rsidRDefault="00667ADC">
      <w:pPr>
        <w:spacing w:line="288" w:lineRule="auto"/>
        <w:rPr>
          <w:rFonts w:ascii="Times New Roman" w:hAnsi="Times New Roman" w:cs="Times New Roman"/>
          <w:b/>
          <w:bCs/>
          <w:sz w:val="24"/>
          <w:szCs w:val="32"/>
        </w:rPr>
      </w:pPr>
    </w:p>
    <w:p w14:paraId="2B4211CF"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sz w:val="24"/>
        </w:rPr>
        <w:t>In addition to teacher- and student-related factors, some scholars suggest that characteristics of high school mathematics knowledge, textbook features, school environment, and teaching resources may also influence students' mathematical abstraction literacy. Among them, Xing argues that the increased density, independence, and abstractness of mathematical knowledge in high school significantly impacts the development and enhancement of students' abstraction abilities</w:t>
      </w:r>
      <w:r>
        <w:rPr>
          <w:rFonts w:ascii="Times New Roman" w:hAnsi="Times New Roman" w:cs="Times New Roman" w:hint="eastAsia"/>
          <w:sz w:val="24"/>
        </w:rPr>
        <w:t xml:space="preserve"> (Zhu, 2021)</w:t>
      </w:r>
      <w:r>
        <w:rPr>
          <w:rFonts w:ascii="Times New Roman" w:hAnsi="Times New Roman" w:cs="Times New Roman"/>
          <w:sz w:val="24"/>
        </w:rPr>
        <w:t>. Chen et al. contend that disorganized conceptual presentation and lack of rigorous terminology in textbook compilation constrain teachers' material analysis and instructional design quality, thereby affecting students' abstraction development during conceptual learning</w:t>
      </w:r>
      <w:r>
        <w:rPr>
          <w:rFonts w:ascii="Times New Roman" w:hAnsi="Times New Roman" w:cs="Times New Roman" w:hint="eastAsia"/>
          <w:sz w:val="24"/>
        </w:rPr>
        <w:t xml:space="preserve"> (Chen &amp; Yi &amp; Meng, 2020)</w:t>
      </w:r>
      <w:r>
        <w:rPr>
          <w:rFonts w:ascii="Times New Roman" w:hAnsi="Times New Roman" w:cs="Times New Roman"/>
          <w:sz w:val="24"/>
        </w:rPr>
        <w:t>. Chen note</w:t>
      </w:r>
      <w:r>
        <w:rPr>
          <w:rFonts w:ascii="Times New Roman" w:hAnsi="Times New Roman" w:cs="Times New Roman" w:hint="eastAsia"/>
          <w:sz w:val="24"/>
        </w:rPr>
        <w:t>d</w:t>
      </w:r>
      <w:r>
        <w:rPr>
          <w:rFonts w:ascii="Times New Roman" w:hAnsi="Times New Roman" w:cs="Times New Roman"/>
          <w:sz w:val="24"/>
        </w:rPr>
        <w:t xml:space="preserve"> that the overall academic atmosphere of a school substantially influences the cultivation of core mathematical literacy</w:t>
      </w:r>
      <w:r>
        <w:rPr>
          <w:rFonts w:ascii="Times New Roman" w:hAnsi="Times New Roman" w:cs="Times New Roman" w:hint="eastAsia"/>
          <w:sz w:val="24"/>
        </w:rPr>
        <w:t xml:space="preserve"> (Chen, 2018)</w:t>
      </w:r>
      <w:r>
        <w:rPr>
          <w:rFonts w:ascii="Times New Roman" w:hAnsi="Times New Roman" w:cs="Times New Roman"/>
          <w:sz w:val="24"/>
        </w:rPr>
        <w:t>. Zhu and Hu identif</w:t>
      </w:r>
      <w:r>
        <w:rPr>
          <w:rFonts w:ascii="Times New Roman" w:hAnsi="Times New Roman" w:cs="Times New Roman" w:hint="eastAsia"/>
          <w:sz w:val="24"/>
        </w:rPr>
        <w:t>ied</w:t>
      </w:r>
      <w:r>
        <w:rPr>
          <w:rFonts w:ascii="Times New Roman" w:hAnsi="Times New Roman" w:cs="Times New Roman"/>
          <w:sz w:val="24"/>
        </w:rPr>
        <w:t xml:space="preserve"> school-related factors including students' sense of belonging and mathematics learning time as contributors to abstraction literacy development</w:t>
      </w:r>
      <w:r>
        <w:rPr>
          <w:rFonts w:ascii="Times New Roman" w:hAnsi="Times New Roman" w:cs="Times New Roman" w:hint="eastAsia"/>
          <w:sz w:val="24"/>
        </w:rPr>
        <w:t xml:space="preserve"> (Zhu &amp; Hu, 2020)</w:t>
      </w:r>
      <w:r>
        <w:rPr>
          <w:rFonts w:ascii="Times New Roman" w:hAnsi="Times New Roman" w:cs="Times New Roman"/>
          <w:sz w:val="24"/>
        </w:rPr>
        <w:t xml:space="preserve">. </w:t>
      </w:r>
      <w:r>
        <w:rPr>
          <w:rFonts w:ascii="Times New Roman" w:hAnsi="Times New Roman" w:cs="Times New Roman" w:hint="eastAsia"/>
          <w:sz w:val="24"/>
        </w:rPr>
        <w:t>F</w:t>
      </w:r>
      <w:r>
        <w:rPr>
          <w:rFonts w:ascii="Times New Roman" w:hAnsi="Times New Roman" w:cs="Times New Roman"/>
          <w:sz w:val="24"/>
        </w:rPr>
        <w:t>urthermore, Sun demonstrate</w:t>
      </w:r>
      <w:r>
        <w:rPr>
          <w:rFonts w:ascii="Times New Roman" w:hAnsi="Times New Roman" w:cs="Times New Roman" w:hint="eastAsia"/>
          <w:sz w:val="24"/>
        </w:rPr>
        <w:t>d</w:t>
      </w:r>
      <w:r>
        <w:rPr>
          <w:rFonts w:ascii="Times New Roman" w:hAnsi="Times New Roman" w:cs="Times New Roman"/>
          <w:sz w:val="24"/>
        </w:rPr>
        <w:t xml:space="preserve"> that disparities in mathematics laboratory resources and equipment lead to differences in students' abstraction ability development</w:t>
      </w:r>
      <w:r>
        <w:rPr>
          <w:rFonts w:ascii="Times New Roman" w:hAnsi="Times New Roman" w:cs="Times New Roman" w:hint="eastAsia"/>
          <w:sz w:val="24"/>
        </w:rPr>
        <w:t xml:space="preserve"> (Sun, 2019)</w:t>
      </w:r>
      <w:r>
        <w:rPr>
          <w:rFonts w:ascii="Times New Roman" w:hAnsi="Times New Roman" w:cs="Times New Roman"/>
          <w:sz w:val="24"/>
        </w:rPr>
        <w:t xml:space="preserve">. Yin and Zhao's </w:t>
      </w:r>
      <w:r>
        <w:rPr>
          <w:rFonts w:ascii="Times New Roman" w:hAnsi="Times New Roman" w:cs="Times New Roman"/>
          <w:sz w:val="24"/>
        </w:rPr>
        <w:lastRenderedPageBreak/>
        <w:t>comparative study reveals that urban school students outperform their rural counterparts in mathematical abstraction ability development</w:t>
      </w:r>
      <w:r>
        <w:rPr>
          <w:rFonts w:ascii="Times New Roman" w:hAnsi="Times New Roman" w:cs="Times New Roman" w:hint="eastAsia"/>
          <w:sz w:val="24"/>
        </w:rPr>
        <w:t xml:space="preserve"> (Yin &amp; Zhao, 2017)</w:t>
      </w:r>
      <w:r>
        <w:rPr>
          <w:rFonts w:ascii="Times New Roman" w:hAnsi="Times New Roman" w:cs="Times New Roman"/>
          <w:sz w:val="24"/>
        </w:rPr>
        <w:t>.</w:t>
      </w:r>
    </w:p>
    <w:p w14:paraId="21C06519" w14:textId="77777777" w:rsidR="00667ADC" w:rsidRDefault="00667ADC">
      <w:pPr>
        <w:spacing w:line="288" w:lineRule="auto"/>
        <w:rPr>
          <w:rFonts w:ascii="Times New Roman" w:hAnsi="Times New Roman" w:cs="Times New Roman"/>
          <w:b/>
          <w:bCs/>
          <w:sz w:val="24"/>
          <w:szCs w:val="32"/>
        </w:rPr>
      </w:pPr>
    </w:p>
    <w:p w14:paraId="74935B45"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3.</w:t>
      </w:r>
      <w:r>
        <w:rPr>
          <w:rFonts w:ascii="Times New Roman" w:hAnsi="Times New Roman" w:cs="Times New Roman" w:hint="eastAsia"/>
          <w:b/>
          <w:bCs/>
          <w:sz w:val="24"/>
          <w:szCs w:val="32"/>
        </w:rPr>
        <w:t>5 Cultivation Strategies for High School Students' Mathematical Abstraction Literacy</w:t>
      </w:r>
    </w:p>
    <w:p w14:paraId="5A13218F" w14:textId="77777777" w:rsidR="00667ADC" w:rsidRDefault="00667ADC">
      <w:pPr>
        <w:spacing w:line="288" w:lineRule="auto"/>
        <w:rPr>
          <w:rFonts w:ascii="Times New Roman" w:hAnsi="Times New Roman" w:cs="Times New Roman"/>
          <w:b/>
          <w:bCs/>
          <w:sz w:val="24"/>
          <w:szCs w:val="32"/>
        </w:rPr>
      </w:pPr>
    </w:p>
    <w:p w14:paraId="21431DA6" w14:textId="77777777" w:rsidR="00667ADC" w:rsidRDefault="00A63DBA">
      <w:pPr>
        <w:spacing w:line="288" w:lineRule="auto"/>
        <w:rPr>
          <w:rFonts w:ascii="Times New Roman" w:hAnsi="Times New Roman" w:cs="Times New Roman"/>
          <w:sz w:val="24"/>
        </w:rPr>
      </w:pPr>
      <w:r>
        <w:rPr>
          <w:rFonts w:ascii="Times New Roman" w:hAnsi="Times New Roman" w:cs="Times New Roman"/>
          <w:sz w:val="24"/>
        </w:rPr>
        <w:t xml:space="preserve">Regarding the cultivation strategies of mathematical abstraction literacy for high school students, at the macro level, scholars have elaborated on multiple dimensions such as teaching context design, teaching mode innovation, teachers' professional development, optimization of teaching materials and curricula, and students' cognitive guidance. In terms of instructional context design, multiple researchers emphasize the importance of creating diverse situational contexts to develop abstraction skills.   Liu and Wu developed a three-dimensional instructional framework incorporating </w:t>
      </w:r>
      <w:proofErr w:type="spellStart"/>
      <w:r>
        <w:rPr>
          <w:rFonts w:ascii="Times New Roman" w:hAnsi="Times New Roman" w:cs="Times New Roman"/>
          <w:sz w:val="24"/>
        </w:rPr>
        <w:t>Geogebra</w:t>
      </w:r>
      <w:proofErr w:type="spellEnd"/>
      <w:r>
        <w:rPr>
          <w:rFonts w:ascii="Times New Roman" w:hAnsi="Times New Roman" w:cs="Times New Roman"/>
          <w:sz w:val="24"/>
        </w:rPr>
        <w:t>-based problem scenarios, inquiry-based teaching, and worked-example demonstrations to enhance abstract thinking</w:t>
      </w:r>
      <w:r>
        <w:rPr>
          <w:rFonts w:ascii="Times New Roman" w:hAnsi="Times New Roman" w:cs="Times New Roman" w:hint="eastAsia"/>
          <w:sz w:val="24"/>
        </w:rPr>
        <w:t xml:space="preserve"> (Liu &amp; Wu, 2024).</w:t>
      </w:r>
      <w:r>
        <w:rPr>
          <w:rFonts w:ascii="Times New Roman" w:hAnsi="Times New Roman" w:cs="Times New Roman"/>
          <w:sz w:val="24"/>
        </w:rPr>
        <w:t xml:space="preserve"> Ren advocate</w:t>
      </w:r>
      <w:r>
        <w:rPr>
          <w:rFonts w:ascii="Times New Roman" w:hAnsi="Times New Roman" w:cs="Times New Roman" w:hint="eastAsia"/>
          <w:sz w:val="24"/>
        </w:rPr>
        <w:t>d</w:t>
      </w:r>
      <w:r>
        <w:rPr>
          <w:rFonts w:ascii="Times New Roman" w:hAnsi="Times New Roman" w:cs="Times New Roman"/>
          <w:sz w:val="24"/>
        </w:rPr>
        <w:t xml:space="preserve"> using real-life contexts to activate students' prior knowledge and experiences, arguing that this approach helps students master mathematical concepts while systematically training their abstraction abilities through relatable situations</w:t>
      </w:r>
      <w:r>
        <w:rPr>
          <w:rFonts w:ascii="Times New Roman" w:hAnsi="Times New Roman" w:cs="Times New Roman" w:hint="eastAsia"/>
          <w:sz w:val="24"/>
        </w:rPr>
        <w:t xml:space="preserve"> (Ren, 2019).</w:t>
      </w:r>
      <w:r>
        <w:rPr>
          <w:rFonts w:ascii="Times New Roman" w:hAnsi="Times New Roman" w:cs="Times New Roman"/>
          <w:sz w:val="24"/>
        </w:rPr>
        <w:t xml:space="preserve"> </w:t>
      </w:r>
      <w:r>
        <w:rPr>
          <w:rFonts w:ascii="Times New Roman" w:hAnsi="Times New Roman" w:cs="Times New Roman" w:hint="eastAsia"/>
          <w:sz w:val="24"/>
        </w:rPr>
        <w:t>Jiang proposed a dual approach involving providing rich abstract conceptual backgrounds along with implementing scaffolded "step-by-step" progression combined with hands-on learning-by-doing methodologies to guide students in gradually abstracting mathematical knowledge (Jiang &amp; Li, 2019).</w:t>
      </w:r>
      <w:r>
        <w:rPr>
          <w:rFonts w:ascii="Times New Roman" w:hAnsi="Times New Roman" w:cs="Times New Roman"/>
          <w:sz w:val="24"/>
        </w:rPr>
        <w:t xml:space="preserve"> Li et al. and Dong further demonstrate</w:t>
      </w:r>
      <w:r>
        <w:rPr>
          <w:rFonts w:ascii="Times New Roman" w:hAnsi="Times New Roman" w:cs="Times New Roman" w:hint="eastAsia"/>
          <w:sz w:val="24"/>
        </w:rPr>
        <w:t>d</w:t>
      </w:r>
      <w:r>
        <w:rPr>
          <w:rFonts w:ascii="Times New Roman" w:hAnsi="Times New Roman" w:cs="Times New Roman"/>
          <w:sz w:val="24"/>
        </w:rPr>
        <w:t xml:space="preserve"> that structured problem context analysis and mathematical modeling activities enable students to accumulate valuable abstraction-related cognitive experiences</w:t>
      </w:r>
      <w:r>
        <w:rPr>
          <w:rFonts w:ascii="Times New Roman" w:hAnsi="Times New Roman" w:cs="Times New Roman" w:hint="eastAsia"/>
          <w:sz w:val="24"/>
        </w:rPr>
        <w:t xml:space="preserve"> (Li &amp; Zhang, 2022; Dong &amp; Zhu &amp; </w:t>
      </w:r>
      <w:proofErr w:type="spellStart"/>
      <w:r>
        <w:rPr>
          <w:rFonts w:ascii="Times New Roman" w:hAnsi="Times New Roman" w:cs="Times New Roman" w:hint="eastAsia"/>
          <w:sz w:val="24"/>
        </w:rPr>
        <w:t>Jin</w:t>
      </w:r>
      <w:proofErr w:type="spellEnd"/>
      <w:r>
        <w:rPr>
          <w:rFonts w:ascii="Times New Roman" w:hAnsi="Times New Roman" w:cs="Times New Roman" w:hint="eastAsia"/>
          <w:sz w:val="24"/>
        </w:rPr>
        <w:t>, 2020)</w:t>
      </w:r>
      <w:r>
        <w:rPr>
          <w:rFonts w:ascii="Times New Roman" w:hAnsi="Times New Roman" w:cs="Times New Roman"/>
          <w:sz w:val="24"/>
        </w:rPr>
        <w:t xml:space="preserve">. </w:t>
      </w:r>
    </w:p>
    <w:p w14:paraId="7C97FA87" w14:textId="77777777" w:rsidR="00667ADC" w:rsidRDefault="00667ADC">
      <w:pPr>
        <w:spacing w:line="288" w:lineRule="auto"/>
        <w:rPr>
          <w:rFonts w:ascii="Times New Roman" w:hAnsi="Times New Roman" w:cs="Times New Roman"/>
          <w:sz w:val="24"/>
        </w:rPr>
      </w:pPr>
    </w:p>
    <w:p w14:paraId="64FE8E31" w14:textId="77777777" w:rsidR="00667ADC" w:rsidRDefault="00A63DBA">
      <w:pPr>
        <w:spacing w:line="288" w:lineRule="auto"/>
        <w:rPr>
          <w:rFonts w:ascii="Times New Roman" w:hAnsi="Times New Roman" w:cs="Times New Roman"/>
          <w:sz w:val="24"/>
        </w:rPr>
      </w:pPr>
      <w:r>
        <w:rPr>
          <w:rFonts w:ascii="Times New Roman" w:hAnsi="Times New Roman" w:cs="Times New Roman"/>
          <w:sz w:val="24"/>
        </w:rPr>
        <w:t xml:space="preserve">In the innovation of teaching models, Chang </w:t>
      </w:r>
      <w:r>
        <w:rPr>
          <w:rFonts w:ascii="Times New Roman" w:hAnsi="Times New Roman" w:cs="Times New Roman" w:hint="eastAsia"/>
          <w:sz w:val="24"/>
        </w:rPr>
        <w:t xml:space="preserve">proposed that </w:t>
      </w:r>
      <w:r>
        <w:rPr>
          <w:rFonts w:ascii="Times New Roman" w:hAnsi="Times New Roman" w:cs="Times New Roman"/>
          <w:sz w:val="24"/>
        </w:rPr>
        <w:t>technology integration and experimental inquiry emerged as significant directions</w:t>
      </w:r>
      <w:r>
        <w:rPr>
          <w:rFonts w:ascii="Times New Roman" w:hAnsi="Times New Roman" w:cs="Times New Roman" w:hint="eastAsia"/>
          <w:sz w:val="24"/>
        </w:rPr>
        <w:t xml:space="preserve">, and he </w:t>
      </w:r>
      <w:r>
        <w:rPr>
          <w:rFonts w:ascii="Times New Roman" w:hAnsi="Times New Roman" w:cs="Times New Roman"/>
          <w:sz w:val="24"/>
        </w:rPr>
        <w:t>advocated guiding students to actively abstract mathematical patterns through mathematical experiments</w:t>
      </w:r>
      <w:r>
        <w:rPr>
          <w:rFonts w:ascii="Times New Roman" w:hAnsi="Times New Roman" w:cs="Times New Roman" w:hint="eastAsia"/>
          <w:sz w:val="24"/>
        </w:rPr>
        <w:t xml:space="preserve"> (Chang, 2017). </w:t>
      </w:r>
      <w:r>
        <w:rPr>
          <w:rFonts w:ascii="Times New Roman" w:hAnsi="Times New Roman" w:cs="Times New Roman"/>
          <w:sz w:val="24"/>
        </w:rPr>
        <w:t>Kang proposed deep learning approaches including flipped classrooms, project-based learning</w:t>
      </w:r>
      <w:r>
        <w:rPr>
          <w:rFonts w:ascii="Times New Roman" w:hAnsi="Times New Roman" w:cs="Times New Roman" w:hint="eastAsia"/>
          <w:sz w:val="24"/>
        </w:rPr>
        <w:t>,</w:t>
      </w:r>
      <w:r>
        <w:rPr>
          <w:rFonts w:ascii="Times New Roman" w:hAnsi="Times New Roman" w:cs="Times New Roman"/>
          <w:sz w:val="24"/>
        </w:rPr>
        <w:t xml:space="preserve"> and mathematical experiments</w:t>
      </w:r>
      <w:r>
        <w:rPr>
          <w:rFonts w:ascii="Times New Roman" w:hAnsi="Times New Roman" w:cs="Times New Roman" w:hint="eastAsia"/>
          <w:sz w:val="24"/>
        </w:rPr>
        <w:t xml:space="preserve"> (Kang &amp; Liu, 2017).</w:t>
      </w:r>
      <w:r>
        <w:rPr>
          <w:rFonts w:ascii="Times New Roman" w:hAnsi="Times New Roman" w:cs="Times New Roman"/>
          <w:sz w:val="24"/>
        </w:rPr>
        <w:t xml:space="preserve"> Cheng further clarified that mathematical experiment activities served as crucial carriers for developing abstraction competency</w:t>
      </w:r>
      <w:r>
        <w:rPr>
          <w:rFonts w:ascii="Times New Roman" w:hAnsi="Times New Roman" w:cs="Times New Roman" w:hint="eastAsia"/>
          <w:sz w:val="24"/>
        </w:rPr>
        <w:t xml:space="preserve"> (Cheng, 2021).</w:t>
      </w:r>
      <w:r>
        <w:rPr>
          <w:rFonts w:ascii="Times New Roman" w:hAnsi="Times New Roman" w:cs="Times New Roman"/>
          <w:sz w:val="24"/>
        </w:rPr>
        <w:t xml:space="preserve"> Luo maintained that teachers could effectively utilize modern teaching equipment and methodologies to incorporate mathematical thinking and modeling beyond textbook content, thereby facilitating the formation of robust mathematical abstraction literacy</w:t>
      </w:r>
      <w:r>
        <w:rPr>
          <w:rFonts w:ascii="Times New Roman" w:hAnsi="Times New Roman" w:cs="Times New Roman" w:hint="eastAsia"/>
          <w:sz w:val="24"/>
        </w:rPr>
        <w:t xml:space="preserve"> (Luo, 2020)</w:t>
      </w:r>
      <w:r>
        <w:rPr>
          <w:rFonts w:ascii="Times New Roman" w:hAnsi="Times New Roman" w:cs="Times New Roman"/>
          <w:sz w:val="24"/>
        </w:rPr>
        <w:t xml:space="preserve">. </w:t>
      </w:r>
    </w:p>
    <w:p w14:paraId="14912456" w14:textId="77777777" w:rsidR="00667ADC" w:rsidRDefault="00667ADC">
      <w:pPr>
        <w:spacing w:line="288" w:lineRule="auto"/>
        <w:rPr>
          <w:rFonts w:ascii="Times New Roman" w:hAnsi="Times New Roman" w:cs="Times New Roman"/>
          <w:sz w:val="24"/>
        </w:rPr>
      </w:pPr>
    </w:p>
    <w:p w14:paraId="0EB9E3A4" w14:textId="77777777" w:rsidR="00667ADC" w:rsidRDefault="00A63DBA">
      <w:pPr>
        <w:spacing w:line="288" w:lineRule="auto"/>
        <w:rPr>
          <w:rFonts w:ascii="Times New Roman" w:hAnsi="Times New Roman" w:cs="Times New Roman"/>
          <w:sz w:val="24"/>
        </w:rPr>
      </w:pPr>
      <w:r>
        <w:rPr>
          <w:rFonts w:ascii="Times New Roman" w:hAnsi="Times New Roman" w:cs="Times New Roman"/>
          <w:sz w:val="24"/>
        </w:rPr>
        <w:lastRenderedPageBreak/>
        <w:t xml:space="preserve">In addition, </w:t>
      </w:r>
      <w:r>
        <w:rPr>
          <w:rFonts w:ascii="Times New Roman" w:hAnsi="Times New Roman" w:cs="Times New Roman" w:hint="eastAsia"/>
          <w:sz w:val="24"/>
        </w:rPr>
        <w:t>s</w:t>
      </w:r>
      <w:r>
        <w:rPr>
          <w:rFonts w:ascii="Times New Roman" w:hAnsi="Times New Roman" w:cs="Times New Roman"/>
          <w:sz w:val="24"/>
        </w:rPr>
        <w:t>everal scholars emphasized that teacher professional development constituted a vital guarantee for fostering students' mathematical abstraction literacy. Li and Li identified the necessity for teachers to cultivate students' abstract thinking through targeted professional learning and instructional reflection</w:t>
      </w:r>
      <w:r>
        <w:rPr>
          <w:rFonts w:ascii="Times New Roman" w:hAnsi="Times New Roman" w:cs="Times New Roman" w:hint="eastAsia"/>
          <w:sz w:val="24"/>
        </w:rPr>
        <w:t xml:space="preserve"> (Li &amp; Li, 2020).</w:t>
      </w:r>
      <w:r>
        <w:rPr>
          <w:rFonts w:ascii="Times New Roman" w:hAnsi="Times New Roman" w:cs="Times New Roman"/>
          <w:sz w:val="24"/>
        </w:rPr>
        <w:t xml:space="preserve"> Jiang underscored the importance of teachers thoroughly comprehending the characteristics and educational values of mathematical abstraction while implementing cultivation objectives through personalized instructional design</w:t>
      </w:r>
      <w:r>
        <w:rPr>
          <w:rFonts w:ascii="Times New Roman" w:hAnsi="Times New Roman" w:cs="Times New Roman" w:hint="eastAsia"/>
          <w:sz w:val="24"/>
        </w:rPr>
        <w:t xml:space="preserve"> (Jiang, 2021).</w:t>
      </w:r>
      <w:r>
        <w:rPr>
          <w:rFonts w:ascii="Times New Roman" w:hAnsi="Times New Roman" w:cs="Times New Roman"/>
          <w:sz w:val="24"/>
        </w:rPr>
        <w:t xml:space="preserve"> Kong's research revealed that teachers' linguistic guidance significantly catalyzed students' abstract thinking processes</w:t>
      </w:r>
      <w:r>
        <w:rPr>
          <w:rFonts w:ascii="Times New Roman" w:hAnsi="Times New Roman" w:cs="Times New Roman" w:hint="eastAsia"/>
          <w:sz w:val="24"/>
        </w:rPr>
        <w:t xml:space="preserve"> (Kong &amp; Guan, 2021)</w:t>
      </w:r>
      <w:r>
        <w:rPr>
          <w:rFonts w:ascii="Times New Roman" w:hAnsi="Times New Roman" w:cs="Times New Roman"/>
          <w:sz w:val="24"/>
        </w:rPr>
        <w:t xml:space="preserve">. </w:t>
      </w:r>
    </w:p>
    <w:p w14:paraId="419DEB01" w14:textId="77777777" w:rsidR="00667ADC" w:rsidRDefault="00667ADC">
      <w:pPr>
        <w:spacing w:line="288" w:lineRule="auto"/>
        <w:rPr>
          <w:rFonts w:ascii="Times New Roman" w:hAnsi="Times New Roman" w:cs="Times New Roman"/>
          <w:sz w:val="24"/>
        </w:rPr>
      </w:pPr>
    </w:p>
    <w:p w14:paraId="7DC0D38B"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sz w:val="24"/>
        </w:rPr>
        <w:t>At the level of cognitive guidance for students, scholars focused on the construction of thinking habits and knowledge systems. Lin proposed employing "number-shape combination" and symbolic language instruction to help students concretize abstract problems</w:t>
      </w:r>
      <w:r>
        <w:rPr>
          <w:rFonts w:ascii="Times New Roman" w:hAnsi="Times New Roman" w:cs="Times New Roman" w:hint="eastAsia"/>
          <w:sz w:val="24"/>
        </w:rPr>
        <w:t xml:space="preserve"> (Lin, 2019).</w:t>
      </w:r>
      <w:r>
        <w:rPr>
          <w:rFonts w:ascii="Times New Roman" w:hAnsi="Times New Roman" w:cs="Times New Roman"/>
          <w:sz w:val="24"/>
        </w:rPr>
        <w:t xml:space="preserve"> Liu emphasized the importance of allowing students to experience complete mathematical abstraction processes while strengthening practical applications</w:t>
      </w:r>
      <w:r>
        <w:rPr>
          <w:rFonts w:ascii="Times New Roman" w:hAnsi="Times New Roman" w:cs="Times New Roman" w:hint="eastAsia"/>
          <w:sz w:val="24"/>
        </w:rPr>
        <w:t xml:space="preserve"> (Liu, 2019).</w:t>
      </w:r>
      <w:r>
        <w:rPr>
          <w:rFonts w:ascii="Times New Roman" w:hAnsi="Times New Roman" w:cs="Times New Roman"/>
          <w:sz w:val="24"/>
        </w:rPr>
        <w:t xml:space="preserve"> Teng advocated emphasizing conceptual teaching, paying attention to intrinsic knowledge connections, and cultivating students' mathematical abstract generalization abilities</w:t>
      </w:r>
      <w:r>
        <w:rPr>
          <w:rFonts w:ascii="Times New Roman" w:hAnsi="Times New Roman" w:cs="Times New Roman" w:hint="eastAsia"/>
          <w:sz w:val="24"/>
        </w:rPr>
        <w:t xml:space="preserve"> (Teng, 2019).</w:t>
      </w:r>
      <w:r>
        <w:rPr>
          <w:rFonts w:ascii="Times New Roman" w:hAnsi="Times New Roman" w:cs="Times New Roman"/>
          <w:sz w:val="24"/>
        </w:rPr>
        <w:t xml:space="preserve"> From a deep learning perspective, Wang designed strategies to enhance high school students' abstraction literacy by incorporating visual graphics, practical situations, daily teaching introductions, and group collaboration</w:t>
      </w:r>
      <w:r>
        <w:rPr>
          <w:rFonts w:ascii="Times New Roman" w:hAnsi="Times New Roman" w:cs="Times New Roman" w:hint="eastAsia"/>
          <w:sz w:val="24"/>
        </w:rPr>
        <w:t xml:space="preserve"> (Wang, 2023)</w:t>
      </w:r>
      <w:r>
        <w:rPr>
          <w:rFonts w:ascii="Times New Roman" w:hAnsi="Times New Roman" w:cs="Times New Roman"/>
          <w:sz w:val="24"/>
        </w:rPr>
        <w:t>. Jiang suggested guiding students to summarize knowledge and methods systematically, using multiple solutions and variations of problems to help students abstract the same problem into different mathematical models or different problems into the same mathematical model, thereby continuously reinforcing the development of mathematical abstract thinking</w:t>
      </w:r>
      <w:r>
        <w:rPr>
          <w:rFonts w:ascii="Times New Roman" w:hAnsi="Times New Roman" w:cs="Times New Roman" w:hint="eastAsia"/>
          <w:sz w:val="24"/>
        </w:rPr>
        <w:t xml:space="preserve"> (Jiang, 2021)</w:t>
      </w:r>
      <w:r>
        <w:rPr>
          <w:rFonts w:ascii="Times New Roman" w:hAnsi="Times New Roman" w:cs="Times New Roman"/>
          <w:sz w:val="24"/>
        </w:rPr>
        <w:t>.</w:t>
      </w:r>
    </w:p>
    <w:p w14:paraId="388599CC" w14:textId="77777777" w:rsidR="00667ADC" w:rsidRDefault="00667ADC">
      <w:pPr>
        <w:spacing w:line="288" w:lineRule="auto"/>
        <w:rPr>
          <w:rFonts w:ascii="Times New Roman" w:hAnsi="Times New Roman" w:cs="Times New Roman"/>
          <w:b/>
          <w:bCs/>
          <w:sz w:val="24"/>
          <w:szCs w:val="32"/>
        </w:rPr>
      </w:pPr>
    </w:p>
    <w:p w14:paraId="4F401842"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sz w:val="24"/>
        </w:rPr>
        <w:t>At the micro level, several scholars proposed strategies for cultivating high school students' core mathematical abstraction literacy through specific teaching cases. Ma, using logarithmic function concept teaching as an example, emphasized creating problem situations that help students accumulate concrete-to-abstract experiences, designing guiding questions for difficult points and comparative questions for error-prone areas, while skillfully constructing problem contexts with focused process guidance</w:t>
      </w:r>
      <w:r>
        <w:rPr>
          <w:rFonts w:ascii="Times New Roman" w:hAnsi="Times New Roman" w:cs="Times New Roman" w:hint="eastAsia"/>
          <w:sz w:val="24"/>
        </w:rPr>
        <w:t xml:space="preserve"> (Ma, 2020)</w:t>
      </w:r>
      <w:r>
        <w:rPr>
          <w:rFonts w:ascii="Times New Roman" w:hAnsi="Times New Roman" w:cs="Times New Roman"/>
          <w:sz w:val="24"/>
        </w:rPr>
        <w:t>. Li, through the case study of "Several Extremum Problems Related to Lines and Circles," discussed how to guide students in abstracting mathematical knowledge from the perspective of overall classroom teaching design</w:t>
      </w:r>
      <w:r>
        <w:rPr>
          <w:rFonts w:ascii="Times New Roman" w:hAnsi="Times New Roman" w:cs="Times New Roman" w:hint="eastAsia"/>
          <w:sz w:val="24"/>
        </w:rPr>
        <w:t xml:space="preserve"> (Li, 2019)</w:t>
      </w:r>
      <w:r>
        <w:rPr>
          <w:rFonts w:ascii="Times New Roman" w:hAnsi="Times New Roman" w:cs="Times New Roman"/>
          <w:sz w:val="24"/>
        </w:rPr>
        <w:t xml:space="preserve">. Deng et al., taking "Basic Properties of Functions" as an example, specifically explained how to cultivate mathematical abstraction literacy in teaching </w:t>
      </w:r>
      <w:r>
        <w:rPr>
          <w:rFonts w:ascii="Times New Roman" w:hAnsi="Times New Roman" w:cs="Times New Roman"/>
          <w:sz w:val="24"/>
        </w:rPr>
        <w:lastRenderedPageBreak/>
        <w:t>function monotonicity, proposing to focus on the essence of mathematical content in textbooks, design mathematical exploration activities, comprehend mathematical methods and ideas, and demonstrate the beauty of mathematical abstraction in teaching materials</w:t>
      </w:r>
      <w:r>
        <w:rPr>
          <w:rFonts w:ascii="Times New Roman" w:hAnsi="Times New Roman" w:cs="Times New Roman" w:hint="eastAsia"/>
          <w:sz w:val="24"/>
        </w:rPr>
        <w:t xml:space="preserve"> (Deng &amp; Wu &amp; Shen, 2019)</w:t>
      </w:r>
      <w:r>
        <w:rPr>
          <w:rFonts w:ascii="Times New Roman" w:hAnsi="Times New Roman" w:cs="Times New Roman"/>
          <w:sz w:val="24"/>
        </w:rPr>
        <w:t xml:space="preserve">. Zhou and </w:t>
      </w:r>
      <w:proofErr w:type="spellStart"/>
      <w:r>
        <w:rPr>
          <w:rFonts w:ascii="Times New Roman" w:hAnsi="Times New Roman" w:cs="Times New Roman"/>
          <w:sz w:val="24"/>
        </w:rPr>
        <w:t>Xie</w:t>
      </w:r>
      <w:proofErr w:type="spellEnd"/>
      <w:r>
        <w:rPr>
          <w:rFonts w:ascii="Times New Roman" w:hAnsi="Times New Roman" w:cs="Times New Roman"/>
          <w:sz w:val="24"/>
        </w:rPr>
        <w:t>, using "Area of Triangles" as a case, demonstrated cultivating students' abstraction literacy through abstracting and researching real-life situational problems, noting that multiple solution approaches not only develop divergent and creative thinking but also significantly enhance core abstraction competencies including weak abstraction of forward thinking and strong abstraction of reverse thinking</w:t>
      </w:r>
      <w:r>
        <w:rPr>
          <w:rFonts w:ascii="Times New Roman" w:hAnsi="Times New Roman" w:cs="Times New Roman" w:hint="eastAsia"/>
          <w:sz w:val="24"/>
        </w:rPr>
        <w:t xml:space="preserve"> (Zhou &amp; </w:t>
      </w:r>
      <w:proofErr w:type="spellStart"/>
      <w:r>
        <w:rPr>
          <w:rFonts w:ascii="Times New Roman" w:hAnsi="Times New Roman" w:cs="Times New Roman" w:hint="eastAsia"/>
          <w:sz w:val="24"/>
        </w:rPr>
        <w:t>Xie</w:t>
      </w:r>
      <w:proofErr w:type="spellEnd"/>
      <w:r>
        <w:rPr>
          <w:rFonts w:ascii="Times New Roman" w:hAnsi="Times New Roman" w:cs="Times New Roman" w:hint="eastAsia"/>
          <w:sz w:val="24"/>
        </w:rPr>
        <w:t>, 2019)</w:t>
      </w:r>
      <w:r>
        <w:rPr>
          <w:rFonts w:ascii="Times New Roman" w:hAnsi="Times New Roman" w:cs="Times New Roman"/>
          <w:sz w:val="24"/>
        </w:rPr>
        <w:t>. Cai, through mathematical concept lessons, deeply analyzed how the exploration process of eccentricity significantly contributes to cultivating core mathematical competencies</w:t>
      </w:r>
      <w:r>
        <w:rPr>
          <w:rFonts w:ascii="Times New Roman" w:hAnsi="Times New Roman" w:cs="Times New Roman" w:hint="eastAsia"/>
          <w:sz w:val="24"/>
        </w:rPr>
        <w:t xml:space="preserve">, </w:t>
      </w:r>
      <w:r>
        <w:rPr>
          <w:rFonts w:ascii="Times New Roman" w:hAnsi="Times New Roman" w:cs="Times New Roman"/>
          <w:sz w:val="24"/>
        </w:rPr>
        <w:t>including abstraction, visual imagination, and logical reasoning</w:t>
      </w:r>
      <w:r>
        <w:rPr>
          <w:rFonts w:ascii="Times New Roman" w:hAnsi="Times New Roman" w:cs="Times New Roman" w:hint="eastAsia"/>
          <w:sz w:val="24"/>
        </w:rPr>
        <w:t xml:space="preserve"> (</w:t>
      </w:r>
      <w:proofErr w:type="spellStart"/>
      <w:r>
        <w:rPr>
          <w:rFonts w:ascii="Times New Roman" w:hAnsi="Times New Roman" w:cs="Times New Roman" w:hint="eastAsia"/>
          <w:sz w:val="24"/>
        </w:rPr>
        <w:t>Xie</w:t>
      </w:r>
      <w:proofErr w:type="spellEnd"/>
      <w:r>
        <w:rPr>
          <w:rFonts w:ascii="Times New Roman" w:hAnsi="Times New Roman" w:cs="Times New Roman" w:hint="eastAsia"/>
          <w:sz w:val="24"/>
        </w:rPr>
        <w:t xml:space="preserve"> &amp; Lin, 2019)</w:t>
      </w:r>
      <w:r>
        <w:rPr>
          <w:rFonts w:ascii="Times New Roman" w:hAnsi="Times New Roman" w:cs="Times New Roman"/>
          <w:sz w:val="24"/>
        </w:rPr>
        <w:t>.</w:t>
      </w:r>
    </w:p>
    <w:p w14:paraId="3E63D1CC" w14:textId="77777777" w:rsidR="00667ADC" w:rsidRDefault="00667ADC">
      <w:pPr>
        <w:spacing w:line="288" w:lineRule="auto"/>
        <w:rPr>
          <w:rFonts w:ascii="Times New Roman" w:hAnsi="Times New Roman" w:cs="Times New Roman"/>
          <w:b/>
          <w:bCs/>
          <w:sz w:val="24"/>
          <w:szCs w:val="32"/>
        </w:rPr>
      </w:pPr>
    </w:p>
    <w:p w14:paraId="70F90C1A" w14:textId="77777777" w:rsidR="00667ADC" w:rsidRDefault="00A63DBA">
      <w:pPr>
        <w:spacing w:line="288" w:lineRule="auto"/>
        <w:rPr>
          <w:rFonts w:ascii="Times New Roman" w:hAnsi="Times New Roman" w:cs="Times New Roman"/>
          <w:b/>
          <w:bCs/>
          <w:sz w:val="24"/>
          <w:szCs w:val="32"/>
          <w:highlight w:val="yellow"/>
        </w:rPr>
      </w:pPr>
      <w:r>
        <w:rPr>
          <w:rFonts w:ascii="Times New Roman" w:hAnsi="Times New Roman" w:cs="Times New Roman"/>
          <w:b/>
          <w:bCs/>
          <w:sz w:val="24"/>
          <w:szCs w:val="32"/>
          <w:highlight w:val="yellow"/>
        </w:rPr>
        <w:t>4. DISCUSSION</w:t>
      </w:r>
    </w:p>
    <w:p w14:paraId="4DE56EA2" w14:textId="77777777" w:rsidR="00667ADC" w:rsidRDefault="00667ADC">
      <w:pPr>
        <w:spacing w:line="288" w:lineRule="auto"/>
        <w:rPr>
          <w:rFonts w:ascii="Times New Roman" w:hAnsi="Times New Roman" w:cs="Times New Roman"/>
          <w:sz w:val="24"/>
          <w:szCs w:val="32"/>
        </w:rPr>
      </w:pPr>
    </w:p>
    <w:p w14:paraId="73D1A991" w14:textId="77777777" w:rsidR="00667ADC" w:rsidRDefault="00A63DBA">
      <w:pPr>
        <w:spacing w:line="288" w:lineRule="auto"/>
        <w:rPr>
          <w:rFonts w:ascii="Times New Roman" w:hAnsi="Times New Roman" w:cs="Times New Roman"/>
          <w:sz w:val="24"/>
        </w:rPr>
      </w:pPr>
      <w:r>
        <w:rPr>
          <w:rFonts w:ascii="Times New Roman" w:hAnsi="Times New Roman" w:cs="Times New Roman" w:hint="eastAsia"/>
          <w:sz w:val="24"/>
        </w:rPr>
        <w:t xml:space="preserve">The systematic analysis of existing literature reveals that scholars have conducted multidimensional investigations into mathematical abstraction competence with varying degrees of depth, primarily focusing on five interrelated aspects: the conceptual definition of mathematical abstraction, current competency levels, assessment methods, influencing factors, and cultivation strategies. Current research shows concentrated attention </w:t>
      </w:r>
      <w:proofErr w:type="spellStart"/>
      <w:r>
        <w:rPr>
          <w:rFonts w:ascii="Times New Roman" w:hAnsi="Times New Roman" w:cs="Times New Roman" w:hint="eastAsia"/>
          <w:sz w:val="24"/>
        </w:rPr>
        <w:t>onthe</w:t>
      </w:r>
      <w:proofErr w:type="spellEnd"/>
      <w:r>
        <w:rPr>
          <w:rFonts w:ascii="Times New Roman" w:hAnsi="Times New Roman" w:cs="Times New Roman" w:hint="eastAsia"/>
          <w:sz w:val="24"/>
        </w:rPr>
        <w:t xml:space="preserve"> conceptual definition of mathematical abstraction, current competency levels and cultivation strategies, while studies on influencing factors and assessment methods remain relatively underdeveloped.</w:t>
      </w:r>
    </w:p>
    <w:p w14:paraId="41CA4D92" w14:textId="77777777" w:rsidR="00667ADC" w:rsidRDefault="00667ADC">
      <w:pPr>
        <w:spacing w:line="288" w:lineRule="auto"/>
        <w:rPr>
          <w:rFonts w:ascii="Times New Roman" w:hAnsi="Times New Roman" w:cs="Times New Roman"/>
          <w:sz w:val="24"/>
        </w:rPr>
      </w:pPr>
    </w:p>
    <w:p w14:paraId="1A38E92E" w14:textId="77777777" w:rsidR="00667ADC" w:rsidRDefault="00A63DBA">
      <w:pPr>
        <w:spacing w:line="288" w:lineRule="auto"/>
        <w:rPr>
          <w:rFonts w:ascii="Times New Roman" w:hAnsi="Times New Roman" w:cs="Times New Roman"/>
          <w:sz w:val="24"/>
        </w:rPr>
      </w:pPr>
      <w:r>
        <w:rPr>
          <w:rFonts w:ascii="Times New Roman" w:hAnsi="Times New Roman" w:cs="Times New Roman"/>
          <w:b/>
          <w:bCs/>
          <w:sz w:val="24"/>
          <w:szCs w:val="32"/>
        </w:rPr>
        <w:t>4.</w:t>
      </w:r>
      <w:r>
        <w:rPr>
          <w:rFonts w:ascii="Times New Roman" w:hAnsi="Times New Roman" w:cs="Times New Roman" w:hint="eastAsia"/>
          <w:b/>
          <w:bCs/>
          <w:sz w:val="24"/>
          <w:szCs w:val="32"/>
        </w:rPr>
        <w:t>1</w:t>
      </w:r>
      <w:r>
        <w:rPr>
          <w:rFonts w:ascii="Times New Roman" w:hAnsi="Times New Roman" w:cs="Times New Roman"/>
          <w:b/>
          <w:bCs/>
          <w:sz w:val="24"/>
          <w:szCs w:val="32"/>
        </w:rPr>
        <w:t xml:space="preserve"> Content</w:t>
      </w:r>
      <w:r>
        <w:rPr>
          <w:rFonts w:ascii="Times New Roman" w:hAnsi="Times New Roman" w:cs="Times New Roman" w:hint="eastAsia"/>
          <w:b/>
          <w:bCs/>
          <w:sz w:val="24"/>
          <w:szCs w:val="32"/>
        </w:rPr>
        <w:t xml:space="preserve"> of the </w:t>
      </w:r>
      <w:r>
        <w:rPr>
          <w:rFonts w:ascii="Times New Roman" w:hAnsi="Times New Roman" w:cs="Times New Roman"/>
          <w:b/>
          <w:bCs/>
          <w:sz w:val="24"/>
          <w:szCs w:val="32"/>
        </w:rPr>
        <w:t xml:space="preserve">Research </w:t>
      </w:r>
    </w:p>
    <w:p w14:paraId="56EFEDD5" w14:textId="77777777" w:rsidR="00667ADC" w:rsidRDefault="00667ADC">
      <w:pPr>
        <w:spacing w:line="288" w:lineRule="auto"/>
        <w:rPr>
          <w:rFonts w:ascii="Times New Roman" w:hAnsi="Times New Roman" w:cs="Times New Roman"/>
          <w:sz w:val="24"/>
        </w:rPr>
      </w:pPr>
    </w:p>
    <w:p w14:paraId="13BD42E3" w14:textId="77777777" w:rsidR="00667ADC" w:rsidRDefault="00A63DBA">
      <w:pPr>
        <w:spacing w:line="288" w:lineRule="auto"/>
        <w:rPr>
          <w:rFonts w:ascii="Times New Roman" w:hAnsi="Times New Roman" w:cs="Times New Roman"/>
          <w:sz w:val="24"/>
        </w:rPr>
      </w:pPr>
      <w:r>
        <w:rPr>
          <w:rFonts w:ascii="Times New Roman" w:hAnsi="Times New Roman" w:cs="Times New Roman"/>
          <w:sz w:val="24"/>
        </w:rPr>
        <w:t xml:space="preserve">In the study of the current situation of the level of </w:t>
      </w:r>
      <w:r>
        <w:rPr>
          <w:rFonts w:ascii="Times New Roman" w:hAnsi="Times New Roman" w:cs="Times New Roman" w:hint="eastAsia"/>
          <w:sz w:val="24"/>
        </w:rPr>
        <w:t>mathematical abstraction literacy</w:t>
      </w:r>
      <w:r>
        <w:rPr>
          <w:rFonts w:ascii="Times New Roman" w:hAnsi="Times New Roman" w:cs="Times New Roman"/>
          <w:sz w:val="24"/>
        </w:rPr>
        <w:t xml:space="preserve"> </w:t>
      </w:r>
    </w:p>
    <w:p w14:paraId="60018A75" w14:textId="77777777" w:rsidR="00667ADC" w:rsidRDefault="00A63DBA">
      <w:pPr>
        <w:spacing w:line="288" w:lineRule="auto"/>
        <w:rPr>
          <w:rFonts w:ascii="Times New Roman" w:hAnsi="Times New Roman" w:cs="Times New Roman"/>
          <w:sz w:val="24"/>
        </w:rPr>
      </w:pPr>
      <w:r>
        <w:rPr>
          <w:rFonts w:ascii="Times New Roman" w:hAnsi="Times New Roman" w:cs="Times New Roman"/>
          <w:sz w:val="24"/>
        </w:rPr>
        <w:t xml:space="preserve">In the research of mathematical abstraction cultivation strategies, scholars mainly elaborate </w:t>
      </w:r>
      <w:r>
        <w:rPr>
          <w:rFonts w:ascii="Times New Roman" w:hAnsi="Times New Roman" w:cs="Times New Roman" w:hint="eastAsia"/>
          <w:sz w:val="24"/>
        </w:rPr>
        <w:t>on</w:t>
      </w:r>
      <w:r>
        <w:rPr>
          <w:rFonts w:ascii="Times New Roman" w:hAnsi="Times New Roman" w:cs="Times New Roman"/>
          <w:sz w:val="24"/>
        </w:rPr>
        <w:t xml:space="preserve"> the dimensions of teaching context design, teaching mode innovation, teachers' professional development, optimization of teaching materials and curricula, and students' cognitive guidance. However, the shortcomings are that most scholars put forward their views through empirical summaries or discursive studies, which are not targeted enough for the enhancement of high school students' mathematical abstraction literacy, and the implementation and effectiveness of the strategies need to be further considered.</w:t>
      </w:r>
    </w:p>
    <w:p w14:paraId="0400115F" w14:textId="77777777" w:rsidR="00667ADC" w:rsidRDefault="00667ADC">
      <w:pPr>
        <w:spacing w:line="288" w:lineRule="auto"/>
        <w:rPr>
          <w:rFonts w:ascii="Times New Roman" w:hAnsi="Times New Roman" w:cs="Times New Roman"/>
          <w:sz w:val="24"/>
        </w:rPr>
      </w:pPr>
    </w:p>
    <w:p w14:paraId="35EE1467" w14:textId="77777777" w:rsidR="00667ADC" w:rsidRDefault="00A63DBA">
      <w:pPr>
        <w:spacing w:line="288" w:lineRule="auto"/>
        <w:rPr>
          <w:rFonts w:ascii="Times New Roman" w:hAnsi="Times New Roman" w:cs="Times New Roman"/>
          <w:sz w:val="24"/>
        </w:rPr>
      </w:pPr>
      <w:r>
        <w:rPr>
          <w:rFonts w:ascii="Times New Roman" w:hAnsi="Times New Roman" w:cs="Times New Roman" w:hint="eastAsia"/>
          <w:sz w:val="24"/>
        </w:rPr>
        <w:t xml:space="preserve">Research on cultivation strategies encompasses multiple dimensions including </w:t>
      </w:r>
      <w:r>
        <w:rPr>
          <w:rFonts w:ascii="Times New Roman" w:hAnsi="Times New Roman" w:cs="Times New Roman" w:hint="eastAsia"/>
          <w:sz w:val="24"/>
        </w:rPr>
        <w:lastRenderedPageBreak/>
        <w:t>instructional design, teaching model innovation, teacher professional development, curriculum optimization and student cognitive guidance.  However, most proposed strategies derive from theoretical speculation or experiential summaries rather than empirical evidence, resulting in limited practical applicability and questionable effectiveness.</w:t>
      </w:r>
    </w:p>
    <w:p w14:paraId="13A0A6FE" w14:textId="77777777" w:rsidR="00667ADC" w:rsidRDefault="00667ADC">
      <w:pPr>
        <w:spacing w:line="288" w:lineRule="auto"/>
        <w:rPr>
          <w:rFonts w:ascii="Times New Roman" w:hAnsi="Times New Roman" w:cs="Times New Roman"/>
          <w:sz w:val="24"/>
        </w:rPr>
      </w:pPr>
    </w:p>
    <w:p w14:paraId="176CB5CD" w14:textId="3F22D92E" w:rsidR="00667ADC" w:rsidRDefault="00A63DBA">
      <w:pPr>
        <w:spacing w:line="288" w:lineRule="auto"/>
        <w:rPr>
          <w:rFonts w:ascii="Times New Roman" w:hAnsi="Times New Roman" w:cs="Times New Roman"/>
          <w:sz w:val="24"/>
        </w:rPr>
      </w:pPr>
      <w:r>
        <w:rPr>
          <w:rFonts w:ascii="Times New Roman" w:hAnsi="Times New Roman" w:cs="Times New Roman"/>
          <w:b/>
          <w:bCs/>
          <w:sz w:val="24"/>
          <w:szCs w:val="32"/>
        </w:rPr>
        <w:t>4.</w:t>
      </w:r>
      <w:r>
        <w:rPr>
          <w:rFonts w:ascii="Times New Roman" w:hAnsi="Times New Roman" w:cs="Times New Roman" w:hint="eastAsia"/>
          <w:b/>
          <w:bCs/>
          <w:sz w:val="24"/>
          <w:szCs w:val="32"/>
        </w:rPr>
        <w:t>2</w:t>
      </w:r>
      <w:r>
        <w:rPr>
          <w:rFonts w:ascii="Times New Roman" w:hAnsi="Times New Roman" w:cs="Times New Roman"/>
          <w:b/>
          <w:bCs/>
          <w:sz w:val="24"/>
          <w:szCs w:val="32"/>
        </w:rPr>
        <w:t xml:space="preserve"> </w:t>
      </w:r>
      <w:r>
        <w:rPr>
          <w:rFonts w:ascii="Times New Roman" w:hAnsi="Times New Roman" w:cs="Times New Roman"/>
          <w:b/>
          <w:bCs/>
          <w:sz w:val="24"/>
        </w:rPr>
        <w:t>A</w:t>
      </w:r>
      <w:r w:rsidRPr="00A63DBA">
        <w:rPr>
          <w:rFonts w:ascii="Times New Roman" w:hAnsi="Times New Roman" w:cs="Times New Roman"/>
          <w:b/>
          <w:bCs/>
          <w:sz w:val="24"/>
        </w:rPr>
        <w:t>ssessment studies</w:t>
      </w:r>
    </w:p>
    <w:p w14:paraId="53834ABD" w14:textId="77777777" w:rsidR="00667ADC" w:rsidRDefault="00667ADC">
      <w:pPr>
        <w:spacing w:line="288" w:lineRule="auto"/>
        <w:rPr>
          <w:rFonts w:ascii="Times New Roman" w:hAnsi="Times New Roman" w:cs="Times New Roman"/>
          <w:sz w:val="24"/>
        </w:rPr>
      </w:pPr>
    </w:p>
    <w:p w14:paraId="66BBB1DC" w14:textId="77777777" w:rsidR="00667ADC" w:rsidRDefault="00A63DBA">
      <w:pPr>
        <w:spacing w:line="288" w:lineRule="auto"/>
        <w:rPr>
          <w:rFonts w:ascii="Times New Roman" w:hAnsi="Times New Roman" w:cs="Times New Roman"/>
          <w:sz w:val="24"/>
        </w:rPr>
      </w:pPr>
      <w:r>
        <w:rPr>
          <w:rFonts w:ascii="Times New Roman" w:hAnsi="Times New Roman" w:cs="Times New Roman" w:hint="eastAsia"/>
          <w:sz w:val="24"/>
        </w:rPr>
        <w:t>Methodologically, assessment studies predominantly employ questionnaires or tests with significant limitations: many utilize unvalidated self-developed instruments or merely propose theoretical frameworks without practical implementation. Research on influencing factors mainly adopts literature analysis or speculative approaches, producing subjective conclusions with insufficient empirical support.</w:t>
      </w:r>
    </w:p>
    <w:p w14:paraId="1F728F35" w14:textId="77777777" w:rsidR="00667ADC" w:rsidRDefault="00667ADC">
      <w:pPr>
        <w:spacing w:line="288" w:lineRule="auto"/>
        <w:rPr>
          <w:rFonts w:ascii="Times New Roman" w:hAnsi="Times New Roman" w:cs="Times New Roman"/>
          <w:sz w:val="24"/>
        </w:rPr>
      </w:pPr>
    </w:p>
    <w:p w14:paraId="30D514EB" w14:textId="77777777" w:rsidR="00667ADC" w:rsidRDefault="00A63DBA">
      <w:pPr>
        <w:spacing w:line="288" w:lineRule="auto"/>
        <w:rPr>
          <w:rFonts w:ascii="Times New Roman" w:hAnsi="Times New Roman" w:cs="Times New Roman"/>
          <w:sz w:val="24"/>
        </w:rPr>
      </w:pPr>
      <w:r>
        <w:rPr>
          <w:rFonts w:ascii="Times New Roman" w:hAnsi="Times New Roman" w:cs="Times New Roman" w:hint="eastAsia"/>
          <w:sz w:val="24"/>
        </w:rPr>
        <w:t>These findings corroborate Zhang et al.'s conclusion that singular qualitative approaches have become inadequate for current research demands, highlighting an urgent need for complementary quantitative studies to address these methodological gaps. The absence of integrated qualitative-quantitative approaches has substantially constrained the depth and reliability of existing findings regarding mathematical abstraction competence.</w:t>
      </w:r>
      <w:r>
        <w:rPr>
          <w:rFonts w:ascii="Times New Roman" w:hAnsi="Times New Roman" w:cs="Times New Roman"/>
          <w:sz w:val="24"/>
        </w:rPr>
        <w:t xml:space="preserve"> </w:t>
      </w:r>
      <w:r>
        <w:rPr>
          <w:rFonts w:ascii="Times New Roman" w:hAnsi="Times New Roman" w:cs="Times New Roman" w:hint="eastAsia"/>
          <w:sz w:val="24"/>
        </w:rPr>
        <w:t>(Zhang &amp; Wang &amp; Song, 2017)</w:t>
      </w:r>
      <w:r>
        <w:rPr>
          <w:rFonts w:ascii="Times New Roman" w:hAnsi="Times New Roman" w:cs="Times New Roman"/>
          <w:sz w:val="24"/>
        </w:rPr>
        <w:t>.</w:t>
      </w:r>
    </w:p>
    <w:p w14:paraId="7293ACBD" w14:textId="77777777" w:rsidR="00667ADC" w:rsidRDefault="00667ADC">
      <w:pPr>
        <w:spacing w:line="288" w:lineRule="auto"/>
        <w:rPr>
          <w:rFonts w:ascii="Times New Roman" w:hAnsi="Times New Roman" w:cs="Times New Roman"/>
          <w:sz w:val="24"/>
        </w:rPr>
      </w:pPr>
    </w:p>
    <w:p w14:paraId="05AF207A" w14:textId="77777777" w:rsidR="00667ADC" w:rsidRDefault="00A63DBA">
      <w:pPr>
        <w:spacing w:line="288" w:lineRule="auto"/>
        <w:rPr>
          <w:rFonts w:ascii="Times New Roman" w:hAnsi="Times New Roman" w:cs="Times New Roman"/>
          <w:b/>
          <w:bCs/>
          <w:sz w:val="24"/>
          <w:szCs w:val="32"/>
        </w:rPr>
      </w:pPr>
      <w:r>
        <w:rPr>
          <w:rFonts w:ascii="Times New Roman" w:hAnsi="Times New Roman" w:cs="Times New Roman"/>
          <w:b/>
          <w:bCs/>
          <w:sz w:val="24"/>
          <w:szCs w:val="32"/>
        </w:rPr>
        <w:t>5. CONCLUSION</w:t>
      </w:r>
    </w:p>
    <w:p w14:paraId="32C7F3FE" w14:textId="77777777" w:rsidR="00667ADC" w:rsidRDefault="00667ADC">
      <w:pPr>
        <w:spacing w:line="288" w:lineRule="auto"/>
        <w:rPr>
          <w:rFonts w:ascii="Times New Roman" w:hAnsi="Times New Roman" w:cs="Times New Roman"/>
          <w:sz w:val="24"/>
          <w:szCs w:val="32"/>
        </w:rPr>
      </w:pPr>
    </w:p>
    <w:p w14:paraId="3B3B3002" w14:textId="77777777" w:rsidR="00667ADC" w:rsidRDefault="00A63DBA">
      <w:pPr>
        <w:spacing w:line="288" w:lineRule="auto"/>
        <w:rPr>
          <w:rFonts w:ascii="Times New Roman" w:hAnsi="Times New Roman" w:cs="Times New Roman"/>
          <w:sz w:val="24"/>
          <w:szCs w:val="32"/>
        </w:rPr>
      </w:pPr>
      <w:r>
        <w:rPr>
          <w:rFonts w:ascii="Times New Roman" w:hAnsi="Times New Roman" w:cs="Times New Roman"/>
          <w:sz w:val="24"/>
        </w:rPr>
        <w:t>By organizing and analyzing the literature related to mathematical abstraction literacy in high school, the following conclusions are drawn:</w:t>
      </w:r>
    </w:p>
    <w:p w14:paraId="37132825" w14:textId="77777777" w:rsidR="00667ADC" w:rsidRDefault="00667ADC">
      <w:pPr>
        <w:spacing w:line="288" w:lineRule="auto"/>
        <w:rPr>
          <w:rFonts w:ascii="Times New Roman" w:hAnsi="Times New Roman" w:cs="Times New Roman"/>
          <w:sz w:val="24"/>
          <w:szCs w:val="32"/>
        </w:rPr>
      </w:pPr>
    </w:p>
    <w:p w14:paraId="0A04C050" w14:textId="77777777" w:rsidR="00667ADC" w:rsidRDefault="00A63DBA">
      <w:pPr>
        <w:spacing w:line="312" w:lineRule="auto"/>
        <w:rPr>
          <w:rFonts w:ascii="Times New Roman" w:hAnsi="Times New Roman" w:cs="Times New Roman"/>
          <w:sz w:val="24"/>
          <w:szCs w:val="32"/>
        </w:rPr>
      </w:pPr>
      <w:r>
        <w:rPr>
          <w:rFonts w:ascii="Times New Roman" w:hAnsi="Times New Roman" w:cs="Times New Roman" w:hint="eastAsia"/>
          <w:sz w:val="24"/>
          <w:szCs w:val="32"/>
        </w:rPr>
        <w:t xml:space="preserve">(1) Existing research primarily addresses five aspects: the connotation of mathematical abstraction, the current status quo of the level, the evaluation method, the influencing factors, and the strategies for the cultivation.  </w:t>
      </w:r>
    </w:p>
    <w:p w14:paraId="33715B9D" w14:textId="77777777" w:rsidR="00667ADC" w:rsidRDefault="00667ADC">
      <w:pPr>
        <w:spacing w:line="312" w:lineRule="auto"/>
        <w:rPr>
          <w:rFonts w:ascii="Times New Roman" w:hAnsi="Times New Roman" w:cs="Times New Roman"/>
          <w:sz w:val="24"/>
          <w:szCs w:val="32"/>
        </w:rPr>
      </w:pPr>
    </w:p>
    <w:p w14:paraId="50963A01" w14:textId="77777777" w:rsidR="00667ADC" w:rsidRDefault="00A63DBA">
      <w:pPr>
        <w:spacing w:line="312" w:lineRule="auto"/>
        <w:rPr>
          <w:rFonts w:ascii="Times New Roman" w:hAnsi="Times New Roman" w:cs="Times New Roman"/>
          <w:sz w:val="24"/>
          <w:szCs w:val="32"/>
        </w:rPr>
      </w:pPr>
      <w:r>
        <w:rPr>
          <w:rFonts w:ascii="Times New Roman" w:hAnsi="Times New Roman" w:cs="Times New Roman" w:hint="eastAsia"/>
          <w:sz w:val="24"/>
          <w:szCs w:val="32"/>
        </w:rPr>
        <w:t xml:space="preserve">(2) There are generally more studies on the connotation of mathematical abstraction, the current status of the level, and the cultivation strategy. However, in terms of influencing factors, the views in the existing literature are scattered and no major influencing factors have been found. </w:t>
      </w:r>
    </w:p>
    <w:p w14:paraId="5390BBB4" w14:textId="77777777" w:rsidR="00667ADC" w:rsidRDefault="00667ADC">
      <w:pPr>
        <w:spacing w:line="312" w:lineRule="auto"/>
        <w:rPr>
          <w:rFonts w:ascii="Times New Roman" w:hAnsi="Times New Roman" w:cs="Times New Roman"/>
          <w:sz w:val="24"/>
          <w:szCs w:val="32"/>
        </w:rPr>
      </w:pPr>
    </w:p>
    <w:p w14:paraId="23880CA8" w14:textId="77777777" w:rsidR="00667ADC" w:rsidRDefault="00A63DBA">
      <w:pPr>
        <w:spacing w:line="312" w:lineRule="auto"/>
        <w:rPr>
          <w:rFonts w:ascii="Times New Roman" w:hAnsi="Times New Roman" w:cs="Times New Roman"/>
          <w:sz w:val="24"/>
        </w:rPr>
      </w:pPr>
      <w:r>
        <w:rPr>
          <w:rFonts w:ascii="Times New Roman" w:hAnsi="Times New Roman" w:cs="Times New Roman" w:hint="eastAsia"/>
          <w:sz w:val="24"/>
          <w:szCs w:val="32"/>
        </w:rPr>
        <w:t xml:space="preserve">(3) The research methods are relatively single, with literature analysis or discursive </w:t>
      </w:r>
      <w:r>
        <w:rPr>
          <w:rFonts w:ascii="Times New Roman" w:hAnsi="Times New Roman" w:cs="Times New Roman" w:hint="eastAsia"/>
          <w:sz w:val="24"/>
          <w:szCs w:val="32"/>
        </w:rPr>
        <w:lastRenderedPageBreak/>
        <w:t>methods predominating, especially the analysis of the influencing factors is not systematic and objective enough, lacks quantitative research for empirical evidence, and lacks targeted and practical cultivation strategies.</w:t>
      </w:r>
    </w:p>
    <w:p w14:paraId="4A193D53" w14:textId="77777777" w:rsidR="00667ADC" w:rsidRDefault="00667ADC">
      <w:pPr>
        <w:spacing w:line="312" w:lineRule="auto"/>
        <w:rPr>
          <w:rFonts w:ascii="Times New Roman" w:hAnsi="Times New Roman" w:cs="Times New Roman"/>
          <w:sz w:val="24"/>
        </w:rPr>
      </w:pPr>
    </w:p>
    <w:p w14:paraId="3ED1CBB5" w14:textId="77777777" w:rsidR="00667ADC" w:rsidRDefault="00A63DBA">
      <w:pPr>
        <w:spacing w:line="312" w:lineRule="auto"/>
        <w:rPr>
          <w:rFonts w:ascii="Times New Roman" w:hAnsi="Times New Roman" w:cs="Times New Roman"/>
          <w:sz w:val="24"/>
        </w:rPr>
      </w:pPr>
      <w:r>
        <w:rPr>
          <w:rFonts w:ascii="Times New Roman" w:hAnsi="Times New Roman" w:cs="Times New Roman"/>
          <w:sz w:val="24"/>
        </w:rPr>
        <w:t xml:space="preserve">Therefore, it is necessary to conduct further research on high school </w:t>
      </w:r>
      <w:r>
        <w:rPr>
          <w:rFonts w:ascii="Times New Roman" w:hAnsi="Times New Roman" w:cs="Times New Roman" w:hint="eastAsia"/>
          <w:sz w:val="24"/>
        </w:rPr>
        <w:t>mathematical abstraction literacy</w:t>
      </w:r>
      <w:r>
        <w:rPr>
          <w:rFonts w:ascii="Times New Roman" w:hAnsi="Times New Roman" w:cs="Times New Roman"/>
          <w:sz w:val="24"/>
        </w:rPr>
        <w:t xml:space="preserve">, analyze the current level of high school students' </w:t>
      </w:r>
      <w:r>
        <w:rPr>
          <w:rFonts w:ascii="Times New Roman" w:hAnsi="Times New Roman" w:cs="Times New Roman" w:hint="eastAsia"/>
          <w:sz w:val="24"/>
        </w:rPr>
        <w:t>mathematical abstraction literacy</w:t>
      </w:r>
      <w:r>
        <w:rPr>
          <w:rFonts w:ascii="Times New Roman" w:hAnsi="Times New Roman" w:cs="Times New Roman"/>
          <w:sz w:val="24"/>
        </w:rPr>
        <w:t>, and find out the main influencing factors behind it, so as to encourage experts and scholars to put forward more targeted countermeasures and suggestions</w:t>
      </w:r>
      <w:r>
        <w:rPr>
          <w:rFonts w:ascii="Times New Roman" w:hAnsi="Times New Roman" w:cs="Times New Roman" w:hint="eastAsia"/>
          <w:sz w:val="24"/>
        </w:rPr>
        <w:t>. Ultimately, this will effectively improve high school students' mathematical abstraction literacy level.</w:t>
      </w:r>
    </w:p>
    <w:p w14:paraId="1DC68F6C" w14:textId="77777777" w:rsidR="00667ADC" w:rsidRDefault="00667ADC">
      <w:pPr>
        <w:spacing w:line="312" w:lineRule="auto"/>
        <w:rPr>
          <w:rFonts w:ascii="Times New Roman" w:hAnsi="Times New Roman" w:cs="Times New Roman"/>
          <w:sz w:val="24"/>
        </w:rPr>
      </w:pPr>
    </w:p>
    <w:p w14:paraId="382699AB" w14:textId="77777777" w:rsidR="00667ADC" w:rsidRPr="002C73D6" w:rsidRDefault="00A63DBA">
      <w:pPr>
        <w:rPr>
          <w:rFonts w:ascii="Calibri" w:eastAsia="Calibri" w:hAnsi="Calibri" w:cs="Times New Roman"/>
          <w:b/>
          <w:highlight w:val="yellow"/>
        </w:rPr>
      </w:pPr>
      <w:bookmarkStart w:id="1" w:name="_Hlk183680988"/>
      <w:bookmarkStart w:id="2" w:name="_Hlk197682619"/>
      <w:bookmarkStart w:id="3" w:name="_Hlk180402183"/>
      <w:r w:rsidRPr="002C73D6">
        <w:rPr>
          <w:rFonts w:ascii="Calibri" w:eastAsia="Calibri" w:hAnsi="Calibri" w:cs="Times New Roman"/>
          <w:b/>
          <w:highlight w:val="yellow"/>
        </w:rPr>
        <w:t>Disclaimer (Artificial intelligence)</w:t>
      </w:r>
    </w:p>
    <w:p w14:paraId="68665061" w14:textId="77777777" w:rsidR="00667ADC" w:rsidRDefault="00A63DBA">
      <w:pPr>
        <w:rPr>
          <w:rFonts w:ascii="Times New Roman" w:hAnsi="Times New Roman" w:cs="Times New Roman"/>
          <w:sz w:val="24"/>
        </w:rPr>
      </w:pPr>
      <w:r>
        <w:rPr>
          <w:rFonts w:ascii="Calibri" w:eastAsia="Calibri" w:hAnsi="Calibri" w:cs="Times New Roman"/>
          <w:highlight w:val="yellow"/>
        </w:rPr>
        <w:t>Author(s) hereby declare that NO generative AI technologies such as Large Language Models (</w:t>
      </w:r>
      <w:proofErr w:type="spellStart"/>
      <w:r>
        <w:rPr>
          <w:rFonts w:ascii="Calibri" w:eastAsia="Calibri" w:hAnsi="Calibri" w:cs="Times New Roman"/>
          <w:highlight w:val="yellow"/>
        </w:rPr>
        <w:t>ChatGPT</w:t>
      </w:r>
      <w:proofErr w:type="spellEnd"/>
      <w:r>
        <w:rPr>
          <w:rFonts w:ascii="Calibri" w:eastAsia="Calibri" w:hAnsi="Calibri" w:cs="Times New Roman"/>
          <w:highlight w:val="yellow"/>
        </w:rPr>
        <w:t xml:space="preserve">, COPILOT, etc.) and text-to-image generators have been used during the writing or editing of this manuscript. </w:t>
      </w:r>
      <w:bookmarkEnd w:id="1"/>
      <w:bookmarkEnd w:id="2"/>
      <w:bookmarkEnd w:id="3"/>
    </w:p>
    <w:p w14:paraId="56F23203" w14:textId="77777777" w:rsidR="00667ADC" w:rsidRDefault="00667ADC">
      <w:pPr>
        <w:spacing w:line="288" w:lineRule="auto"/>
        <w:rPr>
          <w:rFonts w:ascii="Times New Roman" w:hAnsi="Times New Roman" w:cs="Times New Roman"/>
          <w:sz w:val="24"/>
          <w:szCs w:val="32"/>
        </w:rPr>
      </w:pPr>
    </w:p>
    <w:p w14:paraId="11F08097" w14:textId="77777777" w:rsidR="00667ADC" w:rsidRDefault="00667ADC">
      <w:pPr>
        <w:spacing w:line="288" w:lineRule="auto"/>
        <w:rPr>
          <w:rFonts w:ascii="Times New Roman" w:hAnsi="Times New Roman" w:cs="Times New Roman"/>
          <w:sz w:val="24"/>
          <w:szCs w:val="32"/>
        </w:rPr>
      </w:pPr>
    </w:p>
    <w:p w14:paraId="41D3D118" w14:textId="77777777" w:rsidR="00667ADC" w:rsidRDefault="00A63DBA">
      <w:pPr>
        <w:spacing w:line="312" w:lineRule="auto"/>
        <w:rPr>
          <w:rFonts w:ascii="Times New Roman" w:hAnsi="Times New Roman" w:cs="Times New Roman"/>
          <w:b/>
          <w:bCs/>
          <w:sz w:val="24"/>
          <w:szCs w:val="32"/>
        </w:rPr>
      </w:pPr>
      <w:r>
        <w:rPr>
          <w:rFonts w:ascii="Times New Roman" w:hAnsi="Times New Roman" w:cs="Times New Roman"/>
          <w:b/>
          <w:bCs/>
          <w:sz w:val="24"/>
          <w:szCs w:val="32"/>
        </w:rPr>
        <w:t>REFERENCES</w:t>
      </w:r>
    </w:p>
    <w:p w14:paraId="093AF539" w14:textId="77777777" w:rsidR="00667ADC" w:rsidRDefault="00A63DBA">
      <w:pPr>
        <w:spacing w:line="312" w:lineRule="auto"/>
        <w:ind w:left="425" w:hanging="425"/>
        <w:rPr>
          <w:rFonts w:ascii="Times New Roman" w:hAnsi="Times New Roman" w:cs="Times New Roman"/>
          <w:sz w:val="24"/>
          <w:lang w:val="en-GB"/>
        </w:rPr>
      </w:pPr>
      <w:r>
        <w:rPr>
          <w:rFonts w:ascii="Times New Roman" w:hAnsi="Times New Roman" w:cs="Times New Roman"/>
          <w:sz w:val="24"/>
          <w:lang w:val="pt-PT"/>
        </w:rPr>
        <w:t xml:space="preserve">Abalde, G. D., &amp; Oco, R. M. (2023). </w:t>
      </w:r>
      <w:r>
        <w:rPr>
          <w:rFonts w:ascii="Times New Roman" w:hAnsi="Times New Roman" w:cs="Times New Roman"/>
          <w:sz w:val="24"/>
          <w:lang w:val="en-GB"/>
        </w:rPr>
        <w:t xml:space="preserve">Factors Associated with Mathematics Performance. </w:t>
      </w:r>
      <w:r>
        <w:rPr>
          <w:rFonts w:ascii="Times New Roman" w:hAnsi="Times New Roman" w:cs="Times New Roman"/>
          <w:i/>
          <w:iCs/>
          <w:sz w:val="24"/>
          <w:lang w:val="en-GB"/>
        </w:rPr>
        <w:t>Asian Research Journal of Mathematics</w:t>
      </w:r>
      <w:r>
        <w:rPr>
          <w:rFonts w:ascii="Times New Roman" w:hAnsi="Times New Roman" w:cs="Times New Roman"/>
          <w:sz w:val="24"/>
          <w:lang w:val="en-GB"/>
        </w:rPr>
        <w:t xml:space="preserve">, 19(6), 45–60. </w:t>
      </w:r>
    </w:p>
    <w:p w14:paraId="29F7FBF8" w14:textId="77777777" w:rsidR="00667ADC" w:rsidRDefault="00204A3A">
      <w:pPr>
        <w:spacing w:line="312" w:lineRule="auto"/>
        <w:ind w:leftChars="202" w:left="426" w:hangingChars="1" w:hanging="2"/>
        <w:rPr>
          <w:rFonts w:ascii="Times New Roman" w:hAnsi="Times New Roman" w:cs="Times New Roman"/>
          <w:i/>
          <w:iCs/>
          <w:color w:val="0000FF"/>
          <w:sz w:val="24"/>
          <w:szCs w:val="32"/>
          <w:u w:val="single"/>
        </w:rPr>
      </w:pPr>
      <w:hyperlink r:id="rId7" w:history="1">
        <w:r w:rsidR="00A63DBA">
          <w:rPr>
            <w:rFonts w:ascii="Times New Roman" w:hAnsi="Times New Roman" w:cs="Times New Roman"/>
            <w:i/>
            <w:iCs/>
            <w:color w:val="0000FF"/>
            <w:sz w:val="24"/>
            <w:szCs w:val="32"/>
            <w:u w:val="single"/>
            <w:lang w:val="en-GB"/>
          </w:rPr>
          <w:t>https://doi.org/10.9734/arjom/2023/v19i6665</w:t>
        </w:r>
      </w:hyperlink>
    </w:p>
    <w:p w14:paraId="08AC0053"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An, L. P. (2019). </w:t>
      </w:r>
      <w:r>
        <w:rPr>
          <w:rFonts w:ascii="Times New Roman" w:hAnsi="Times New Roman" w:cs="Times New Roman"/>
          <w:i/>
          <w:iCs/>
          <w:sz w:val="24"/>
        </w:rPr>
        <w:t>Research on the influencing factors of high school students' mathematical abstraction literacy</w:t>
      </w:r>
      <w:r>
        <w:rPr>
          <w:rFonts w:ascii="Times New Roman" w:hAnsi="Times New Roman" w:cs="Times New Roman"/>
          <w:sz w:val="24"/>
        </w:rPr>
        <w:t xml:space="preserve"> (Master’s thesis, Shandong Normal University).</w:t>
      </w:r>
    </w:p>
    <w:p w14:paraId="52709F3E"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YmIj3O_rPyu-Du7iZFZUwgaI1OD8F2m6WMzYK3J1FRZyZV1_wtOCgBLEioDYvS60wkVkBTU1YEcsocBcplChCcL8iQV4vH4Vws0s196mJpPCq3t7_5t02LdhaRMf4-iDdSAYV-2osrLDkuX7Mui1XJtO2LCyy5M3RBKIrkekr82lUseOWqNeEo2SU1EVOtw0=&amp;uniplatform=NZKPT&amp;language=CHS</w:t>
      </w:r>
    </w:p>
    <w:p w14:paraId="79627BEB" w14:textId="77777777" w:rsidR="00667ADC" w:rsidRDefault="00A63DBA">
      <w:pPr>
        <w:wordWrap w:val="0"/>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Cai, H. T., &amp; Lin, Y. L. (2019). Teaching strategies for high school mathematics concept courses under core literacy. </w:t>
      </w:r>
      <w:r>
        <w:rPr>
          <w:rFonts w:ascii="Times New Roman" w:hAnsi="Times New Roman" w:cs="Times New Roman"/>
          <w:i/>
          <w:iCs/>
          <w:sz w:val="24"/>
        </w:rPr>
        <w:t>Bulletin of Mathematics</w:t>
      </w:r>
      <w:r>
        <w:rPr>
          <w:rFonts w:ascii="Times New Roman" w:hAnsi="Times New Roman" w:cs="Times New Roman"/>
          <w:sz w:val="24"/>
        </w:rPr>
        <w:t>, 58(9), 20-25+66.</w:t>
      </w:r>
    </w:p>
    <w:p w14:paraId="5DEC5A8F"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https://kns.cnki.net/kcms2/article/abstract?v=i7m15r_oBqoIYj-KmO6ka8T97KRTudsQNnRbqWG08uwsyJnMyubMCZcJjAqM1rSqXoy-1_DGOoe0RisIVHPp4mR1hVOuGDab27TxYz3omWIrn_Hmdr2mpBSuWFNzI0u8nFrkXVVHAjBch6GYF9Q</w:t>
      </w:r>
      <w:r>
        <w:rPr>
          <w:rFonts w:ascii="Times New Roman" w:hAnsi="Times New Roman" w:cs="Times New Roman"/>
          <w:i/>
          <w:iCs/>
          <w:color w:val="0000FF"/>
          <w:sz w:val="24"/>
          <w:szCs w:val="32"/>
          <w:u w:val="single"/>
        </w:rPr>
        <w:lastRenderedPageBreak/>
        <w:t>Wc7bx1J9HY22RvSKZ9z5yUdV2-DgFo1LWog==&amp;uniplatform=NZKPT&amp;language=CHS</w:t>
      </w:r>
    </w:p>
    <w:p w14:paraId="2BE85724"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Chang, G. L. (2017). Guiding students to understand mathematical abstraction from an experimental perspective. </w:t>
      </w:r>
      <w:r>
        <w:rPr>
          <w:rFonts w:ascii="Times New Roman" w:hAnsi="Times New Roman" w:cs="Times New Roman"/>
          <w:i/>
          <w:iCs/>
          <w:sz w:val="24"/>
        </w:rPr>
        <w:t>Teaching and Management</w:t>
      </w:r>
      <w:r>
        <w:rPr>
          <w:rFonts w:ascii="Times New Roman" w:hAnsi="Times New Roman" w:cs="Times New Roman"/>
          <w:sz w:val="24"/>
        </w:rPr>
        <w:t>, (16), 46-48.</w:t>
      </w:r>
    </w:p>
    <w:p w14:paraId="34CBA952"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https://kns.cnki.net/kcms2/article/abstract?v=i7m15r_oBqrd7fKSC9WkCsl47fho_fYAkbzmSNT2CJKlK6Nc8vn-CPc8pSmz3p0LfwkzsYuQu3Vm6Pym4JD0D9BkEreb71-_hzXHWzAfUfhSAXRPhKPNwO-aCyVOjUIuiSXpGtz1Hgwxmt2g8Tv20r2iQJ3I0KP2hD8L4pEVs4-69wPsIdkLhQ==&amp;uniplatform=NZKPT&amp;language=CHS</w:t>
      </w:r>
    </w:p>
    <w:p w14:paraId="17B53FFC"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Chen, J. A., Yi, W. H., &amp; Meng, S. Q. (2020). A case study of textbooks focusing on mathematical abstraction literacy: From the perspective of mathematical concept definition. </w:t>
      </w:r>
      <w:r>
        <w:rPr>
          <w:rFonts w:ascii="Times New Roman" w:hAnsi="Times New Roman" w:cs="Times New Roman"/>
          <w:i/>
          <w:iCs/>
          <w:sz w:val="24"/>
        </w:rPr>
        <w:t>Journal of Guangdong University of Education</w:t>
      </w:r>
      <w:r>
        <w:rPr>
          <w:rFonts w:ascii="Times New Roman" w:hAnsi="Times New Roman" w:cs="Times New Roman"/>
          <w:sz w:val="24"/>
        </w:rPr>
        <w:t>, 40(1), 46-52.</w:t>
      </w:r>
    </w:p>
    <w:p w14:paraId="792FCBA4"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https://kns.cnki.net/kcms2/article/abstract?v=i7m15r_oBqovy1VhKz6GU7EfwgXcmz-B_k3wu5MxBHXy9SF9X2ZTdcWNcSgtzyfOvvXenbB5bQLpNdgpjINEZ1aqjhpv9lOKP36vKJxQtWGYpvENyw_TSyMRo420OHCU7WwUbo9M5Hj4gFNhuElQgIYY9N9us7Ggger5Y4HpRdQnvBwRUoC6Eg==&amp;uniplatform=NZKPT&amp;language=CHS</w:t>
      </w:r>
    </w:p>
    <w:p w14:paraId="7BB01DDA"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Chen, L. (2018). Thoughts on the penetration of mathematical core literacy in high school mathematics teaching. </w:t>
      </w:r>
      <w:r>
        <w:rPr>
          <w:rFonts w:ascii="Times New Roman" w:hAnsi="Times New Roman" w:cs="Times New Roman"/>
          <w:i/>
          <w:iCs/>
          <w:sz w:val="24"/>
        </w:rPr>
        <w:t>Popular Science (Science Education)</w:t>
      </w:r>
      <w:r>
        <w:rPr>
          <w:rFonts w:ascii="Times New Roman" w:hAnsi="Times New Roman" w:cs="Times New Roman"/>
          <w:sz w:val="24"/>
        </w:rPr>
        <w:t>, (5), 27.</w:t>
      </w:r>
    </w:p>
    <w:p w14:paraId="7F8E9DA2"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https://kns.cnki.net/kcms2/article/abstract?v=i7m15r_oBqrKstipqAFnauRtxFK5nNAc-9SuPQM902eWfLQnzvMZEkT963GR3dinizLt_7jxixL9z4Cmrov9k_Om3jicVe_Mtf_zSYpDK8DjR5vSgXvWTkYyMEx8p4kfSdqHzQp7OHNrJauhJL79obVEXE12PfnsX-1PGecHXj7D964CJF1nDQ==&amp;uniplatform=NZKPT&amp;language=CHS</w:t>
      </w:r>
    </w:p>
    <w:p w14:paraId="5209FCEC"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Cheng, H. (2021). Cultivating students' mathematical abstraction literacy through mathematical experiments: Taking the materials from the "Mathematics Laboratory" column in the </w:t>
      </w:r>
      <w:proofErr w:type="spellStart"/>
      <w:r>
        <w:rPr>
          <w:rFonts w:ascii="Times New Roman" w:hAnsi="Times New Roman" w:cs="Times New Roman"/>
          <w:sz w:val="24"/>
        </w:rPr>
        <w:t>Su-Ke</w:t>
      </w:r>
      <w:proofErr w:type="spellEnd"/>
      <w:r>
        <w:rPr>
          <w:rFonts w:ascii="Times New Roman" w:hAnsi="Times New Roman" w:cs="Times New Roman"/>
          <w:sz w:val="24"/>
        </w:rPr>
        <w:t xml:space="preserve"> edition as an example. </w:t>
      </w:r>
      <w:r>
        <w:rPr>
          <w:rFonts w:ascii="Times New Roman" w:hAnsi="Times New Roman" w:cs="Times New Roman"/>
          <w:i/>
          <w:iCs/>
          <w:sz w:val="24"/>
        </w:rPr>
        <w:t>Bulletin of Mathematics</w:t>
      </w:r>
      <w:r>
        <w:rPr>
          <w:rFonts w:ascii="Times New Roman" w:hAnsi="Times New Roman" w:cs="Times New Roman"/>
          <w:sz w:val="24"/>
        </w:rPr>
        <w:t>, 60(4), 35-37+66.</w:t>
      </w:r>
    </w:p>
    <w:p w14:paraId="2453C36A"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https://kns.cnki.net/kcms2/article/abstract?v=i7m15r_oBqraPsbwN1vD14g9H7KmIak8IjoOib_K5u-PCXUmPaypb-Pnkc8cR969WqeIriO7U3vWkGf6NsHDchaQkxdCG84pPnxwRESiJhmqvrzCyVojpPhUWyx-fcyLPfe-0poqHY12oASnqI1XDFR97xV-G7nEErQ8XcS-0WSLHQeScWVq-A==&amp;uniplatform=NZKPT&amp;language=CHS</w:t>
      </w:r>
    </w:p>
    <w:p w14:paraId="22B58D66"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Deng, H. X., Wu, L. B., &amp; Shen, J. (2019). A framework for textbook analysis and case study oriented to mathematical abstraction literacy: Taking the "Monotonicity of Functions" in the People’s Education Press A version as an </w:t>
      </w:r>
      <w:r>
        <w:rPr>
          <w:rFonts w:ascii="Times New Roman" w:hAnsi="Times New Roman" w:cs="Times New Roman"/>
          <w:sz w:val="24"/>
        </w:rPr>
        <w:lastRenderedPageBreak/>
        <w:t xml:space="preserve">example. </w:t>
      </w:r>
      <w:r>
        <w:rPr>
          <w:rFonts w:ascii="Times New Roman" w:hAnsi="Times New Roman" w:cs="Times New Roman"/>
          <w:i/>
          <w:iCs/>
          <w:sz w:val="24"/>
        </w:rPr>
        <w:t>Bulletin of Mathematics</w:t>
      </w:r>
      <w:r>
        <w:rPr>
          <w:rFonts w:ascii="Times New Roman" w:hAnsi="Times New Roman" w:cs="Times New Roman"/>
          <w:sz w:val="24"/>
        </w:rPr>
        <w:t>, 58(10), 33-38.</w:t>
      </w:r>
    </w:p>
    <w:p w14:paraId="01ACA143"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https://kns.cnki.net/kcms2/article/abstract?v=i7m15r_oBqr4EzTQeeH8y2NQKieV_Xwv2-EPZz5G2WaLvdIH1IzdnCRHdRdTsaQP7EuGt5Ru9crwQNhGa65wq86a1T78T9pXk7cegtferzZp9_9X-J1SvVa4iEOeFIySNM-jWMdOugg7gwR1xoizhBOyVK39mnuzBNfy5SdPpfPhMlBgxo0krQ==&amp;uniplatform=NZKPT&amp;language=CHS</w:t>
      </w:r>
    </w:p>
    <w:p w14:paraId="2853F360"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Dong, W., Zhu, L. M., &amp; </w:t>
      </w:r>
      <w:proofErr w:type="spellStart"/>
      <w:r>
        <w:rPr>
          <w:rFonts w:ascii="Times New Roman" w:hAnsi="Times New Roman" w:cs="Times New Roman"/>
          <w:sz w:val="24"/>
        </w:rPr>
        <w:t>Jin</w:t>
      </w:r>
      <w:proofErr w:type="spellEnd"/>
      <w:r>
        <w:rPr>
          <w:rFonts w:ascii="Times New Roman" w:hAnsi="Times New Roman" w:cs="Times New Roman"/>
          <w:sz w:val="24"/>
        </w:rPr>
        <w:t xml:space="preserve">, X. L. (2020). Exploration of the generation path of high school students' mathematical abstraction literacy. </w:t>
      </w:r>
      <w:r>
        <w:rPr>
          <w:rFonts w:ascii="Times New Roman" w:hAnsi="Times New Roman" w:cs="Times New Roman"/>
          <w:i/>
          <w:iCs/>
          <w:sz w:val="24"/>
        </w:rPr>
        <w:t>Journal of Tangshan Normal University</w:t>
      </w:r>
      <w:r>
        <w:rPr>
          <w:rFonts w:ascii="Times New Roman" w:hAnsi="Times New Roman" w:cs="Times New Roman"/>
          <w:sz w:val="24"/>
        </w:rPr>
        <w:t>, 42(6), 144-147.</w:t>
      </w:r>
    </w:p>
    <w:p w14:paraId="4F659C0F"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https://kns.cnki.net/kcms2/article/abstract?v=i7m15r_oBqqRi5tbuH-IwjWHXUZ5IXP6a-PLtd9uVflax2ofr6ZfIInYlVXUzcM3nBkfPr6b9M8tuRktvL6KAa-y02gmxjzsazMmHBia0QSWwR-nC31UMucOALB91vDCekah-AXSEKWWOieGUOvAUtZiTJHCoCpCQNUFzOL9dAsNtpjoWxAZUA==&amp;uniplatform=NZKPT&amp;language=CHS</w:t>
      </w:r>
    </w:p>
    <w:p w14:paraId="7E5AFA68"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Ge, W. L. (2020). </w:t>
      </w:r>
      <w:r>
        <w:rPr>
          <w:rFonts w:ascii="Times New Roman" w:hAnsi="Times New Roman" w:cs="Times New Roman"/>
          <w:i/>
          <w:iCs/>
          <w:sz w:val="24"/>
        </w:rPr>
        <w:t>Research on the relationship between high school students' mathematical metacognition and mathematical abstraction ability</w:t>
      </w:r>
      <w:r>
        <w:rPr>
          <w:rFonts w:ascii="Times New Roman" w:hAnsi="Times New Roman" w:cs="Times New Roman"/>
          <w:sz w:val="24"/>
        </w:rPr>
        <w:t xml:space="preserve"> (Master’s thesis, Nanjing Normal University)</w:t>
      </w:r>
    </w:p>
    <w:p w14:paraId="4DB7F7A1"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https://kns.cnki.net/kcms2/article/abstract?v=i7m15r_oBqojUFWSvGQm-gEFuTFDQg-vcQeaW2DbG_oRY0Q8F5m8_BcHA8FXIt3cg0RfpCjhslmuGLXMLup1DaTfSx-Nauogec4DsCM2smJuNrQoq7hzVJG5e3_en8JTdSRTcMCUvBBd5MprMOdi10hsabwC6JdDEHSJJkWFy11KNkpP5JM4P7xoZYwmkHYK&amp;uniplatform=NZKPT&amp;language=CHS</w:t>
      </w:r>
    </w:p>
    <w:p w14:paraId="6030E17E"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Hu, D. S., &amp; Huang, S. T. (2024). Research on the influencing factors of junior high school students' mathematical core literacy: Based on a multilevel linear model analysis. </w:t>
      </w:r>
      <w:r>
        <w:rPr>
          <w:rFonts w:ascii="Times New Roman" w:hAnsi="Times New Roman" w:cs="Times New Roman"/>
          <w:i/>
          <w:iCs/>
          <w:sz w:val="24"/>
        </w:rPr>
        <w:t>Educational Measurement and Evaluation</w:t>
      </w:r>
      <w:r>
        <w:rPr>
          <w:rFonts w:ascii="Times New Roman" w:hAnsi="Times New Roman" w:cs="Times New Roman"/>
          <w:sz w:val="24"/>
        </w:rPr>
        <w:t>, (5), 3-14.</w:t>
      </w:r>
    </w:p>
    <w:p w14:paraId="4874470E"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https://kns.cnki.net/kcms2/article/abstract?v=i7m15r_oBqoJ7LDDx8eGxn4US1a4ZBfQKtApH8m7Ov1_gJHgYu_N3swHFQ0uV8Pbramo06dO-osm4hQKQX-ziNAiqeXIIGaNN5HcCFj4d8z1ebEA7Mext7RwfuxO2O0WYBDcsXUELc8a6ATBY4W10i-ExixSwCEFEonOza9VJ1iuPPefWcAdWA==&amp;uniplatform=NZKPT&amp;language=CHS</w:t>
      </w:r>
    </w:p>
    <w:p w14:paraId="6D913463"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Hu, F. J., Bao, J. G., Ren, Z. C., &amp; Chen, A. (2017). Case study on the evaluation of high school mathematics core literacy. </w:t>
      </w:r>
      <w:r>
        <w:rPr>
          <w:rFonts w:ascii="Times New Roman" w:hAnsi="Times New Roman" w:cs="Times New Roman"/>
          <w:i/>
          <w:iCs/>
          <w:sz w:val="24"/>
        </w:rPr>
        <w:t>China Examinations</w:t>
      </w:r>
      <w:r>
        <w:rPr>
          <w:rFonts w:ascii="Times New Roman" w:hAnsi="Times New Roman" w:cs="Times New Roman"/>
          <w:sz w:val="24"/>
        </w:rPr>
        <w:t>, (11), 10-16.</w:t>
      </w:r>
    </w:p>
    <w:p w14:paraId="0B7291A8"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https://kns.cnki.net/kcms2/article/abstract?v=i7m15r_oBqpt1Y8enbyOM2bxYvMeA4rThh2QirmuaGLEnfHrMt3kz4w2M0TF1V4z_WxjlR0fNJRPtSFGwJx2TPNDf2</w:t>
      </w:r>
      <w:r>
        <w:rPr>
          <w:rFonts w:ascii="Times New Roman" w:hAnsi="Times New Roman" w:cs="Times New Roman"/>
          <w:i/>
          <w:iCs/>
          <w:color w:val="0000FF"/>
          <w:sz w:val="24"/>
          <w:szCs w:val="32"/>
          <w:u w:val="single"/>
        </w:rPr>
        <w:lastRenderedPageBreak/>
        <w:t>AFBfnHoipdqLRrRrP21szbBpvJ_D-k3CYJ4YBqpvWrsZRl6NDgmmjuUohLbBtnSjGWFLAsjUwuPe1zg0XORSDlX2lWHg==&amp;uniplatform=NZKPT&amp;language=CHS</w:t>
      </w:r>
    </w:p>
    <w:p w14:paraId="183D781B"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Jiang, H. F., Chen, W. X., </w:t>
      </w:r>
      <w:proofErr w:type="spellStart"/>
      <w:r>
        <w:rPr>
          <w:rFonts w:ascii="Times New Roman" w:hAnsi="Times New Roman" w:cs="Times New Roman"/>
          <w:sz w:val="24"/>
        </w:rPr>
        <w:t>Xie</w:t>
      </w:r>
      <w:proofErr w:type="spellEnd"/>
      <w:r>
        <w:rPr>
          <w:rFonts w:ascii="Times New Roman" w:hAnsi="Times New Roman" w:cs="Times New Roman"/>
          <w:sz w:val="24"/>
        </w:rPr>
        <w:t xml:space="preserve">, Y. J., &amp; Gong, W. (2022). Analysis of factors influencing the development of students' mathematical abstraction ability. </w:t>
      </w:r>
      <w:r>
        <w:rPr>
          <w:rFonts w:ascii="Times New Roman" w:hAnsi="Times New Roman" w:cs="Times New Roman"/>
          <w:i/>
          <w:iCs/>
          <w:sz w:val="24"/>
        </w:rPr>
        <w:t>Teaching and Management</w:t>
      </w:r>
      <w:r>
        <w:rPr>
          <w:rFonts w:ascii="Times New Roman" w:hAnsi="Times New Roman" w:cs="Times New Roman"/>
          <w:sz w:val="24"/>
        </w:rPr>
        <w:t>, (27), 93-95.</w:t>
      </w:r>
    </w:p>
    <w:p w14:paraId="5EDECCC6"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https://kns.cnki.net/kcms2/article/abstract?v=i7m15r_oBqouzpo-wVKgw2J3ESoq3_qUhKhEoRjQjYhuz2bZiBknnTIazUbQy8zFYkmONZZcFsprY3RZL1a9zi66Z4PtY2ufpsA3cYuIWs2RRnV3wpiae2r4wUTRzgpa0Xy3ud2f1NGb60l2xHaHlFZAdR2_8t2TvLqAOvpHWXBTqakDWFbfqA==&amp;uniplatform=NZKPT&amp;language=CHS</w:t>
      </w:r>
    </w:p>
    <w:p w14:paraId="61F73405"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Jiang, S. S., &amp; Li, L. (2019). On the cultivation and improvement of mathematical abstraction core literacy. </w:t>
      </w:r>
      <w:r>
        <w:rPr>
          <w:rFonts w:ascii="Times New Roman" w:hAnsi="Times New Roman" w:cs="Times New Roman"/>
          <w:i/>
          <w:iCs/>
          <w:sz w:val="24"/>
        </w:rPr>
        <w:t>Economist</w:t>
      </w:r>
      <w:r>
        <w:rPr>
          <w:rFonts w:ascii="Times New Roman" w:hAnsi="Times New Roman" w:cs="Times New Roman"/>
          <w:sz w:val="24"/>
        </w:rPr>
        <w:t>, (7), 183-184.</w:t>
      </w:r>
    </w:p>
    <w:p w14:paraId="68AF4DDE"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https://kns.cnki.net/kcms2/article/abstract?v=i7m15r_oBqo1NsMw_TsfAJftrgi2Eie_wqx3EEhzWbn27-akOz7E7cYBkzpR_50_Q5csfATjcaMyZJN7qwIuUN0_4SsuuWApPh3YMigULlsQd_P2sdEmMBCj8TUaLoT1_y8g-pDI7GbwxT_b5MYSXu-TJuPVrlLZJysuuqfjtjsOw-_LlRN9NQ==&amp;uniplatform=NZKPT&amp;language=CHS</w:t>
      </w:r>
    </w:p>
    <w:p w14:paraId="1250588F"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Jiang, Z. D. (2021). Characteristics, evaluation, and cultivation of mathematical abstraction in high school mathematics.</w:t>
      </w:r>
      <w:r>
        <w:rPr>
          <w:rFonts w:ascii="Times New Roman" w:hAnsi="Times New Roman" w:cs="Times New Roman"/>
          <w:i/>
          <w:iCs/>
          <w:sz w:val="24"/>
        </w:rPr>
        <w:t xml:space="preserve"> Teaching and Management</w:t>
      </w:r>
      <w:r>
        <w:rPr>
          <w:rFonts w:ascii="Times New Roman" w:hAnsi="Times New Roman" w:cs="Times New Roman"/>
          <w:sz w:val="24"/>
        </w:rPr>
        <w:t>, (19), 62-64.</w:t>
      </w:r>
    </w:p>
    <w:p w14:paraId="7B5459F3"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https://kns.cnki.net/kcms2/article/abstract?v=i7m15r_oBqrUZHMDncFwUC8o97AUJ0fXI6F5Li1PMijs_RJ_ccltGs52A_lVReraJLU32y778GOEsZS8BWamTyGEiLLndJeAGaglAJfNqpyKeKGNOfmJ65G0YZmMnh73tbzxz1OUl2GDqBpgNNQ5DXIE79g8eMNnGRiAIYCiDr2azYfMsbDnBg==&amp;uniplatform=NZKPT&amp;language=CHS</w:t>
      </w:r>
    </w:p>
    <w:p w14:paraId="657E7A41"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Kang, W. Y., &amp; Liu, H. (2017). Several ways to cultivate students' mathematical abstraction core literacy. </w:t>
      </w:r>
      <w:r>
        <w:rPr>
          <w:rFonts w:ascii="Times New Roman" w:hAnsi="Times New Roman" w:cs="Times New Roman"/>
          <w:i/>
          <w:iCs/>
          <w:sz w:val="24"/>
        </w:rPr>
        <w:t>Education Exploration</w:t>
      </w:r>
      <w:r>
        <w:rPr>
          <w:rFonts w:ascii="Times New Roman" w:hAnsi="Times New Roman" w:cs="Times New Roman"/>
          <w:sz w:val="24"/>
        </w:rPr>
        <w:t>, (5), 38-41.</w:t>
      </w:r>
    </w:p>
    <w:p w14:paraId="06504537"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https://kns.cnki.net/kcms2/article/abstract?v=i7m15r_oBqpGZ7KNVLFsSePmkHgrV8wXdrvsVUqn2jj5L7UYPRuXcsH7jndHpIocRnJTcElRsX8AavgIzrLoRcO6RvHaUf_JIrKnSIZQtdNey8CRacZEDOSTW2CrqhDHU3m_w0XSC2R1OGkQT1FRgPEra-tRsYAQmMPHm8nAWYa3AzuyP9lQpQ==&amp;uniplatform=NZKPT&amp;language=CHS</w:t>
      </w:r>
    </w:p>
    <w:p w14:paraId="27FB991A"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Kong, Y. T., &amp; Guan, C. G. (2021). Exploration of the application strategies of high school mathematics classroom teaching language: From the perspective of improving students' core literacy. </w:t>
      </w:r>
      <w:r>
        <w:rPr>
          <w:rFonts w:ascii="Times New Roman" w:hAnsi="Times New Roman" w:cs="Times New Roman"/>
          <w:i/>
          <w:iCs/>
          <w:sz w:val="24"/>
        </w:rPr>
        <w:t>Basic Education Curriculum</w:t>
      </w:r>
      <w:r>
        <w:rPr>
          <w:rFonts w:ascii="Times New Roman" w:hAnsi="Times New Roman" w:cs="Times New Roman"/>
          <w:sz w:val="24"/>
        </w:rPr>
        <w:t>, (12), 42-48.</w:t>
      </w:r>
    </w:p>
    <w:p w14:paraId="56220BEB"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https://kns.cnki.net/kcms2/article/abstract?v=i7m15r_oBqq4blEV3F4ete66YmirG</w:t>
      </w:r>
      <w:r>
        <w:rPr>
          <w:rFonts w:ascii="Times New Roman" w:hAnsi="Times New Roman" w:cs="Times New Roman"/>
          <w:i/>
          <w:iCs/>
          <w:color w:val="0000FF"/>
          <w:sz w:val="24"/>
          <w:szCs w:val="32"/>
          <w:u w:val="single"/>
        </w:rPr>
        <w:lastRenderedPageBreak/>
        <w:t>Gg7XZaHcTFIvzA99tJXV4nmharq8sYtSEIS9MkSmRBQ9Ooi0-vbtI9uN_iyGQKsCJ1eXCcy2i3rgpG0og6XkTb5L1Tmi2EYjEQCk3EMolTfcN4Rpt4HLrTUK9WaPXRQdtTY8CSCiQGO66qBRI-bMem5Sw==&amp;uniplatform=NZKPT&amp;language=CHS</w:t>
      </w:r>
    </w:p>
    <w:p w14:paraId="73F267B4"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Li, F. P., &amp; Zhang, D. (2022). Ways to improve high school students' mathematical abstraction literacy. </w:t>
      </w:r>
      <w:r>
        <w:rPr>
          <w:rFonts w:ascii="Times New Roman" w:hAnsi="Times New Roman" w:cs="Times New Roman"/>
          <w:i/>
          <w:iCs/>
          <w:sz w:val="24"/>
        </w:rPr>
        <w:t>Education Science Forum</w:t>
      </w:r>
      <w:r>
        <w:rPr>
          <w:rFonts w:ascii="Times New Roman" w:hAnsi="Times New Roman" w:cs="Times New Roman"/>
          <w:sz w:val="24"/>
        </w:rPr>
        <w:t>, (10), 52-55.</w:t>
      </w:r>
    </w:p>
    <w:p w14:paraId="1BFFD62A"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https://kns.cnki.net/kcms2/article/abstract?v=i7m15r_oBqrK1iM7KmV_mZLGvwo4WavIi9fUBpUGqLSPQATNiWqzxwz9J8AGOFcp-k5MGAZIRV0ik_7oS7WMV3H6N5YToFKEQ1h3el1e8Wu62N4_7ZsE2972HaFFWTkvraAgj_KoDpPGEtVMY2RkSXZ8q0mdbABtjRiSz9plFCdIxmgf93GL8A==&amp;uniplatform=NZKPT&amp;language=CHS</w:t>
      </w:r>
    </w:p>
    <w:p w14:paraId="72BBB928"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Li, H., &amp; Li, L. (2020). </w:t>
      </w:r>
      <w:r>
        <w:rPr>
          <w:rFonts w:ascii="Times New Roman" w:hAnsi="Times New Roman" w:cs="Times New Roman"/>
          <w:i/>
          <w:iCs/>
          <w:sz w:val="24"/>
        </w:rPr>
        <w:t>A brief discussion on the cultivation of high school students' mathematical abstraction core literacy. Science Consult</w:t>
      </w:r>
      <w:r>
        <w:rPr>
          <w:rFonts w:ascii="Times New Roman" w:hAnsi="Times New Roman" w:cs="Times New Roman"/>
          <w:sz w:val="24"/>
        </w:rPr>
        <w:t xml:space="preserve"> (</w:t>
      </w:r>
      <w:proofErr w:type="spellStart"/>
      <w:r>
        <w:rPr>
          <w:rFonts w:ascii="Times New Roman" w:hAnsi="Times New Roman" w:cs="Times New Roman"/>
          <w:sz w:val="24"/>
        </w:rPr>
        <w:t>Technology·Management</w:t>
      </w:r>
      <w:proofErr w:type="spellEnd"/>
      <w:r>
        <w:rPr>
          <w:rFonts w:ascii="Times New Roman" w:hAnsi="Times New Roman" w:cs="Times New Roman"/>
          <w:sz w:val="24"/>
        </w:rPr>
        <w:t>), (10), 186.</w:t>
      </w:r>
    </w:p>
    <w:p w14:paraId="6EC8F245"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https://kns.cnki.net/kcms2/article/abstract?v=i7m15r_oBqpiXkDFndHBjW1GZQmdlewRx2lqzxX5_RmsxPz01hAo_nTKUqFDKAnVRFXjK8m3_BwvX8EWN2pCl11rIBxHNQpgX5K490dxy2sFu5O1baQauoEAs2j-wtOPvT3_7AYfDOXisIYxhfmJmZYZkyydDsN2300O7_MUwNImF6MQZo79wA==&amp;uniplatform=NZKPT&amp;language=CHS</w:t>
      </w:r>
    </w:p>
    <w:p w14:paraId="280942B2"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Li, W. (2019). On the cultivation of students' mathematical abstraction ability in high school mathematics classroom teaching: Taking the teaching of "Several Types of Extremum Problems Related to Straight Lines and Circles" as an example. </w:t>
      </w:r>
      <w:r>
        <w:rPr>
          <w:rFonts w:ascii="Times New Roman" w:hAnsi="Times New Roman" w:cs="Times New Roman"/>
          <w:i/>
          <w:iCs/>
          <w:sz w:val="24"/>
        </w:rPr>
        <w:t xml:space="preserve">Journal of </w:t>
      </w:r>
      <w:proofErr w:type="spellStart"/>
      <w:r>
        <w:rPr>
          <w:rFonts w:ascii="Times New Roman" w:hAnsi="Times New Roman" w:cs="Times New Roman"/>
          <w:i/>
          <w:iCs/>
          <w:sz w:val="24"/>
        </w:rPr>
        <w:t>Yanbian</w:t>
      </w:r>
      <w:proofErr w:type="spellEnd"/>
      <w:r>
        <w:rPr>
          <w:rFonts w:ascii="Times New Roman" w:hAnsi="Times New Roman" w:cs="Times New Roman"/>
          <w:i/>
          <w:iCs/>
          <w:sz w:val="24"/>
        </w:rPr>
        <w:t xml:space="preserve"> Education College</w:t>
      </w:r>
      <w:r>
        <w:rPr>
          <w:rFonts w:ascii="Times New Roman" w:hAnsi="Times New Roman" w:cs="Times New Roman"/>
          <w:sz w:val="24"/>
        </w:rPr>
        <w:t>, 33(5), 195-197.</w:t>
      </w:r>
    </w:p>
    <w:p w14:paraId="4A355F62"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https://kns.cnki.net/kcms2/article/abstract?v=i7m15r_oBqrvt2bjAm92GkD54S2r_eSdQqjiLrDnw_oTdOlqRCawrkV0D_z5Morh8MP01ASadxtZ-hw7YtiSmb8Fs2K5PpQWE-MMWnTUIqUik4FfIWvpLKzJ5fxzjza6Pu11HAC6sIsP0FPn-SLfKu8z_WIrRm_QmpGVK54wbQhn5NTXVf2W3Q==&amp;uniplatform=NZKPT&amp;language=CHS</w:t>
      </w:r>
    </w:p>
    <w:p w14:paraId="6DA63241"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Lin, X. T. (2019). Exploration of the new direction of high school mathematics teaching from the perspective of mathematical abstraction literacy.</w:t>
      </w:r>
      <w:r>
        <w:rPr>
          <w:rFonts w:ascii="Times New Roman" w:hAnsi="Times New Roman" w:cs="Times New Roman"/>
          <w:i/>
          <w:iCs/>
          <w:sz w:val="24"/>
        </w:rPr>
        <w:t xml:space="preserve"> Asia-Pacific Education</w:t>
      </w:r>
      <w:r>
        <w:rPr>
          <w:rFonts w:ascii="Times New Roman" w:hAnsi="Times New Roman" w:cs="Times New Roman"/>
          <w:sz w:val="24"/>
        </w:rPr>
        <w:t>, (11), 110.</w:t>
      </w:r>
    </w:p>
    <w:p w14:paraId="222CADF4"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https://kns.cnki.net/kcms2/article/abstract?v=i7m15r_oBqophauQQawbv2V2ij5F3AvNiIwkFl2OH4sGzA_MISG1c_rZTIPzCoworVx3Uv015tow8y4I7Wi6RWzOMk4L4vT0HTPwSjwBNfvM9lW6o8rHs2zSsAblnQZ7ralJ0sNwPUj02M8e9xhXKG33</w:t>
      </w:r>
      <w:r>
        <w:rPr>
          <w:rFonts w:ascii="Times New Roman" w:hAnsi="Times New Roman" w:cs="Times New Roman"/>
          <w:i/>
          <w:iCs/>
          <w:color w:val="0000FF"/>
          <w:sz w:val="24"/>
          <w:szCs w:val="32"/>
          <w:u w:val="single"/>
        </w:rPr>
        <w:lastRenderedPageBreak/>
        <w:t>GDOnCDR4tj5GRrY3fgMYppVkZRacUQ==&amp;uniplatform=NZKPT&amp;language=CHS</w:t>
      </w:r>
    </w:p>
    <w:p w14:paraId="59FDA77D"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Liu, H. Z. (2019). The embodiment of mathematical abstraction literacy cultivation in high school classroom teaching.</w:t>
      </w:r>
      <w:r>
        <w:rPr>
          <w:rFonts w:ascii="Times New Roman" w:hAnsi="Times New Roman" w:cs="Times New Roman"/>
          <w:i/>
          <w:iCs/>
          <w:sz w:val="24"/>
        </w:rPr>
        <w:t xml:space="preserve"> Journal of </w:t>
      </w:r>
      <w:proofErr w:type="spellStart"/>
      <w:r>
        <w:rPr>
          <w:rFonts w:ascii="Times New Roman" w:hAnsi="Times New Roman" w:cs="Times New Roman"/>
          <w:i/>
          <w:iCs/>
          <w:sz w:val="24"/>
        </w:rPr>
        <w:t>Yanbian</w:t>
      </w:r>
      <w:proofErr w:type="spellEnd"/>
      <w:r>
        <w:rPr>
          <w:rFonts w:ascii="Times New Roman" w:hAnsi="Times New Roman" w:cs="Times New Roman"/>
          <w:i/>
          <w:iCs/>
          <w:sz w:val="24"/>
        </w:rPr>
        <w:t xml:space="preserve"> Education College</w:t>
      </w:r>
      <w:r>
        <w:rPr>
          <w:rFonts w:ascii="Times New Roman" w:hAnsi="Times New Roman" w:cs="Times New Roman"/>
          <w:sz w:val="24"/>
        </w:rPr>
        <w:t>, 33(4), 162-164.</w:t>
      </w:r>
    </w:p>
    <w:p w14:paraId="06D1A975"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https://kns.cnki.net/kcms2/article/abstract?v=i7m15r_oBqoyj6wqDr1-HbrXLw_CdPbPH2kcFh1lZwx2aagQY_xaWl57SMc0vh1K0USXZeiox7Cwm0AMwBJP0EcoONb1FpB08OcguJnBneHms0JyCJW3GjpAcCO7U1dQ9LOSxWXyFLgZ_C3HDLnVEi44jmGNH5M3-l5VLmQuNMCG3FrncRr3hA==&amp;uniplatform=NZKPT&amp;language=CHS</w:t>
      </w:r>
    </w:p>
    <w:p w14:paraId="56D716A3"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Liu, X. Y. (2017). </w:t>
      </w:r>
      <w:r>
        <w:rPr>
          <w:rFonts w:ascii="Times New Roman" w:hAnsi="Times New Roman" w:cs="Times New Roman"/>
          <w:i/>
          <w:iCs/>
          <w:sz w:val="24"/>
        </w:rPr>
        <w:t>Research on cultivating mathematical abstraction literacy in high school mathematics concept teaching</w:t>
      </w:r>
      <w:r>
        <w:rPr>
          <w:rFonts w:ascii="Times New Roman" w:hAnsi="Times New Roman" w:cs="Times New Roman"/>
          <w:sz w:val="24"/>
        </w:rPr>
        <w:t> (Master’s thesis, Central China Normal University).</w:t>
      </w:r>
    </w:p>
    <w:p w14:paraId="4554F06F"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https://kns.cnki.net/kcms2/article/abstract?v=i7m15r_oBqofQVISDBNlsg4gHIUvYp2TiJDmVVhH0TQEMV_yed9MVXQxGyAvHHTRutxvV_QtBCTvmo3fGCjjNgjTGK9T7bwnttb3cbTh44-2pn55m_GKTdLGoY5yO4eKndBhC9PGtohy-7aBQVpkmgDQihtV2zzuRc9NJQ1SZvMibjthmFMruLFfh2XmmrIV&amp;uniplatform=NZKPT&amp;language=CHS</w:t>
      </w:r>
    </w:p>
    <w:p w14:paraId="5BDAE7F1"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Liu, Y. Y., &amp; Wu, H. (2024). Research on cultivating high school students' core literacy of mathematical abstraction based on </w:t>
      </w:r>
      <w:proofErr w:type="spellStart"/>
      <w:r>
        <w:rPr>
          <w:rFonts w:ascii="Times New Roman" w:hAnsi="Times New Roman" w:cs="Times New Roman"/>
          <w:sz w:val="24"/>
        </w:rPr>
        <w:t>Geogebra</w:t>
      </w:r>
      <w:proofErr w:type="spellEnd"/>
      <w:r>
        <w:rPr>
          <w:rFonts w:ascii="Times New Roman" w:hAnsi="Times New Roman" w:cs="Times New Roman"/>
          <w:sz w:val="24"/>
        </w:rPr>
        <w:t>.</w:t>
      </w:r>
      <w:r>
        <w:rPr>
          <w:rFonts w:ascii="Times New Roman" w:hAnsi="Times New Roman" w:cs="Times New Roman"/>
          <w:i/>
          <w:iCs/>
          <w:sz w:val="24"/>
        </w:rPr>
        <w:t> </w:t>
      </w:r>
      <w:proofErr w:type="spellStart"/>
      <w:r>
        <w:rPr>
          <w:rFonts w:ascii="Times New Roman" w:hAnsi="Times New Roman" w:cs="Times New Roman"/>
          <w:i/>
          <w:iCs/>
          <w:sz w:val="24"/>
        </w:rPr>
        <w:t>Neijiang</w:t>
      </w:r>
      <w:proofErr w:type="spellEnd"/>
      <w:r>
        <w:rPr>
          <w:rFonts w:ascii="Times New Roman" w:hAnsi="Times New Roman" w:cs="Times New Roman"/>
          <w:i/>
          <w:iCs/>
          <w:sz w:val="24"/>
        </w:rPr>
        <w:t xml:space="preserve"> Science and Technology</w:t>
      </w:r>
      <w:r>
        <w:rPr>
          <w:rFonts w:ascii="Times New Roman" w:hAnsi="Times New Roman" w:cs="Times New Roman"/>
          <w:sz w:val="24"/>
        </w:rPr>
        <w:t>, 45(3), 75-77+81.</w:t>
      </w:r>
    </w:p>
    <w:p w14:paraId="70A24EC2"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https://kns.cnki.net/kcms2/article/abstract?v=i7m15r_oBqr29ROkXJgWtIvsV9sif31ZYbvL_u9TiPIttkD4pN_0MSrKxDMpkDX8RzhWYeB-pwY4vJGr2YBhVBRuizwF91BQ4qOXxVImU8zltQltIC0W-5gZhEHSQwGAW0eMoMfcv5zDg1RA3o021BBYQl8LjhNrO7NytTG4x2o-i--cVrJGeQ==&amp;uniplatform=NZKPT&amp;language=CHS</w:t>
      </w:r>
    </w:p>
    <w:p w14:paraId="1431B718"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Luo, Y. P. (2020). Analysis of the new direction of high school mathematics teaching from the perspective of mathematical abstraction literacy. </w:t>
      </w:r>
      <w:r>
        <w:rPr>
          <w:rFonts w:ascii="Times New Roman" w:hAnsi="Times New Roman" w:cs="Times New Roman"/>
          <w:i/>
          <w:iCs/>
          <w:sz w:val="24"/>
        </w:rPr>
        <w:t>Science &amp; Technology Information</w:t>
      </w:r>
      <w:r>
        <w:rPr>
          <w:rFonts w:ascii="Times New Roman" w:hAnsi="Times New Roman" w:cs="Times New Roman"/>
          <w:sz w:val="24"/>
        </w:rPr>
        <w:t>, 18(17), 161-162.</w:t>
      </w:r>
    </w:p>
    <w:p w14:paraId="3F2DEB88"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https://kns.cnki.net/kcms2/article/abstract?v=i7m15r_oBqqKxi-SpnlIuGP4mPodXPLNW_gGdu8YfPYv49RnsBc-Q971rY3Fi2R8SJQnBJaZ8KFX5Pi37AGSxrI1S_0mXbzU_GJHbIz2G6hclaZmM5u5opkqtKO2N2WYIOm3p2WcD_uOu2ifhhuCL9xpdq54g2ElthFWxI2Nqi8JoZGnckWqpA==&amp;uniplatform=NZKPT&amp;language=CHS</w:t>
      </w:r>
    </w:p>
    <w:p w14:paraId="698D91CA"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lastRenderedPageBreak/>
        <w:t xml:space="preserve">Ma, B. X. (2020). Skillfully designing problem situations to improve students' mathematical abstraction ability: Taking the teaching design of logarithmic function concepts as an example. </w:t>
      </w:r>
      <w:r>
        <w:rPr>
          <w:rFonts w:ascii="Times New Roman" w:hAnsi="Times New Roman" w:cs="Times New Roman"/>
          <w:i/>
          <w:iCs/>
          <w:sz w:val="24"/>
        </w:rPr>
        <w:t>Science Consult (</w:t>
      </w:r>
      <w:proofErr w:type="spellStart"/>
      <w:r>
        <w:rPr>
          <w:rFonts w:ascii="Times New Roman" w:hAnsi="Times New Roman" w:cs="Times New Roman"/>
          <w:i/>
          <w:iCs/>
          <w:sz w:val="24"/>
        </w:rPr>
        <w:t>Technology·Management</w:t>
      </w:r>
      <w:proofErr w:type="spellEnd"/>
      <w:r>
        <w:rPr>
          <w:rFonts w:ascii="Times New Roman" w:hAnsi="Times New Roman" w:cs="Times New Roman"/>
          <w:i/>
          <w:iCs/>
          <w:sz w:val="24"/>
        </w:rPr>
        <w:t>)</w:t>
      </w:r>
      <w:r>
        <w:rPr>
          <w:rFonts w:ascii="Times New Roman" w:hAnsi="Times New Roman" w:cs="Times New Roman"/>
          <w:sz w:val="24"/>
        </w:rPr>
        <w:t>, (19), 180-181.</w:t>
      </w:r>
    </w:p>
    <w:p w14:paraId="41E2C551"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https://kns.cnki.net/kcms2/article/abstract?v=i7m15r_oBqoERn5S8GwDgLjZdjM6DTM-GTRbv93skPaL9PyDmMYb5FWB83kjj5fuoFbyJJX-qCbL6LfYmcycqxabDdeEt-PsaPSydTaQfKIsm8MsA_5QWCHzyrI843-RwPs8vosiHPt43o_yVt9cTc_vIl_qe37bzDdEXmdQ4HAAoRXyWzsWDg==&amp;uniplatform=NZKPT&amp;language=CHS</w:t>
      </w:r>
    </w:p>
    <w:p w14:paraId="11703DB0"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Ministry of Education of the People's Republic of China. (2020).</w:t>
      </w:r>
      <w:r>
        <w:rPr>
          <w:rFonts w:ascii="Times New Roman" w:hAnsi="Times New Roman" w:cs="Times New Roman"/>
          <w:i/>
          <w:iCs/>
          <w:sz w:val="24"/>
        </w:rPr>
        <w:t xml:space="preserve"> Mathematics curriculum standards for senior high schools (2017 edition, revised in 2020)</w:t>
      </w:r>
      <w:r>
        <w:rPr>
          <w:rFonts w:ascii="Times New Roman" w:hAnsi="Times New Roman" w:cs="Times New Roman"/>
          <w:sz w:val="24"/>
        </w:rPr>
        <w:t xml:space="preserve"> [S]. Beijing: People's Education Press. p. 83.</w:t>
      </w:r>
    </w:p>
    <w:p w14:paraId="4F50E8EA" w14:textId="77777777" w:rsidR="00667ADC" w:rsidRDefault="00A63DBA">
      <w:pPr>
        <w:spacing w:line="312" w:lineRule="auto"/>
        <w:ind w:left="425" w:hanging="425"/>
        <w:rPr>
          <w:rFonts w:ascii="Times New Roman" w:hAnsi="Times New Roman" w:cs="Times New Roman"/>
          <w:sz w:val="24"/>
          <w:lang w:val="en-GB"/>
        </w:rPr>
      </w:pPr>
      <w:r>
        <w:rPr>
          <w:rFonts w:ascii="Times New Roman" w:hAnsi="Times New Roman" w:cs="Times New Roman"/>
          <w:sz w:val="24"/>
          <w:lang w:val="en-GB"/>
        </w:rPr>
        <w:t xml:space="preserve">Nathan, O. M., &amp; Jackob, K. O. (2020). Mathematical </w:t>
      </w:r>
      <w:proofErr w:type="spellStart"/>
      <w:r>
        <w:rPr>
          <w:rFonts w:ascii="Times New Roman" w:hAnsi="Times New Roman" w:cs="Times New Roman"/>
          <w:sz w:val="24"/>
          <w:lang w:val="en-GB"/>
        </w:rPr>
        <w:t>Modeling</w:t>
      </w:r>
      <w:proofErr w:type="spellEnd"/>
      <w:r>
        <w:rPr>
          <w:rFonts w:ascii="Times New Roman" w:hAnsi="Times New Roman" w:cs="Times New Roman"/>
          <w:sz w:val="24"/>
          <w:lang w:val="en-GB"/>
        </w:rPr>
        <w:t xml:space="preserve"> and Analysis of Mathematics Anxiety </w:t>
      </w:r>
      <w:proofErr w:type="spellStart"/>
      <w:r>
        <w:rPr>
          <w:rFonts w:ascii="Times New Roman" w:hAnsi="Times New Roman" w:cs="Times New Roman"/>
          <w:sz w:val="24"/>
          <w:lang w:val="en-GB"/>
        </w:rPr>
        <w:t>Behavior</w:t>
      </w:r>
      <w:proofErr w:type="spellEnd"/>
      <w:r>
        <w:rPr>
          <w:rFonts w:ascii="Times New Roman" w:hAnsi="Times New Roman" w:cs="Times New Roman"/>
          <w:sz w:val="24"/>
          <w:lang w:val="en-GB"/>
        </w:rPr>
        <w:t xml:space="preserve"> on Mathematics Performance in Kenya. </w:t>
      </w:r>
      <w:r>
        <w:rPr>
          <w:rFonts w:ascii="Times New Roman" w:hAnsi="Times New Roman" w:cs="Times New Roman"/>
          <w:i/>
          <w:iCs/>
          <w:sz w:val="24"/>
          <w:lang w:val="en-GB"/>
        </w:rPr>
        <w:t>Journal of Advances in Mathematics and Computer Science</w:t>
      </w:r>
      <w:r>
        <w:rPr>
          <w:rFonts w:ascii="Times New Roman" w:hAnsi="Times New Roman" w:cs="Times New Roman"/>
          <w:sz w:val="24"/>
          <w:lang w:val="en-GB"/>
        </w:rPr>
        <w:t xml:space="preserve">, 35(4), 46–62. </w:t>
      </w:r>
    </w:p>
    <w:p w14:paraId="283368CD" w14:textId="77777777" w:rsidR="00667ADC" w:rsidRDefault="00204A3A">
      <w:pPr>
        <w:spacing w:line="312" w:lineRule="auto"/>
        <w:ind w:leftChars="202" w:left="426" w:hangingChars="1" w:hanging="2"/>
        <w:rPr>
          <w:rFonts w:ascii="Times New Roman" w:hAnsi="Times New Roman" w:cs="Times New Roman"/>
          <w:sz w:val="24"/>
        </w:rPr>
      </w:pPr>
      <w:hyperlink r:id="rId8" w:history="1">
        <w:r w:rsidR="00A63DBA">
          <w:rPr>
            <w:rFonts w:ascii="Times New Roman" w:hAnsi="Times New Roman" w:cs="Times New Roman"/>
            <w:i/>
            <w:iCs/>
            <w:color w:val="0000FF"/>
            <w:sz w:val="24"/>
            <w:szCs w:val="32"/>
            <w:u w:val="single"/>
            <w:lang w:val="pt-PT"/>
          </w:rPr>
          <w:t>https://doi.org/10.9734/jamcs/2020/v35i430269</w:t>
        </w:r>
      </w:hyperlink>
      <w:r w:rsidR="00A63DBA">
        <w:rPr>
          <w:rFonts w:ascii="Times New Roman" w:hAnsi="Times New Roman" w:cs="Times New Roman"/>
          <w:i/>
          <w:iCs/>
          <w:color w:val="0000FF"/>
          <w:sz w:val="24"/>
          <w:szCs w:val="32"/>
          <w:u w:val="single"/>
          <w:lang w:val="pt-PT"/>
        </w:rPr>
        <w:t xml:space="preserve"> </w:t>
      </w:r>
    </w:p>
    <w:p w14:paraId="50895003"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Ren, X. Y. (2019). Construction of high school mathematics classrooms based on core literacy cultivation. </w:t>
      </w:r>
      <w:proofErr w:type="spellStart"/>
      <w:r>
        <w:rPr>
          <w:rFonts w:ascii="Times New Roman" w:hAnsi="Times New Roman" w:cs="Times New Roman"/>
          <w:i/>
          <w:iCs/>
          <w:sz w:val="24"/>
        </w:rPr>
        <w:t>Huaxia</w:t>
      </w:r>
      <w:proofErr w:type="spellEnd"/>
      <w:r>
        <w:rPr>
          <w:rFonts w:ascii="Times New Roman" w:hAnsi="Times New Roman" w:cs="Times New Roman"/>
          <w:i/>
          <w:iCs/>
          <w:sz w:val="24"/>
        </w:rPr>
        <w:t xml:space="preserve"> Teacher</w:t>
      </w:r>
      <w:r>
        <w:rPr>
          <w:rFonts w:ascii="Times New Roman" w:hAnsi="Times New Roman" w:cs="Times New Roman"/>
          <w:sz w:val="24"/>
        </w:rPr>
        <w:t>, (27), 8-9.</w:t>
      </w:r>
    </w:p>
    <w:p w14:paraId="220CF493"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https://kns.cnki.net/kcms2/article/abstract?v=i7m15r_oBqrTss2IjVEG91u5Y1FvcU8YVdRvwIbDKqqbeJJ_dWzQNojjNdKJ4m8_K88sg8Wok86bRBgmFK2Al9Jl1w_dR8vpCFy70BjJFFGSylasb_QzgvkRHqwe-aDDwGR0TQ8XkhJRUJwb3OpxkcT9eFJqrtbXDICO4zNrxlZmtoxPyr0v5w==&amp;uniplatform=NZKPT&amp;language=CHS</w:t>
      </w:r>
    </w:p>
    <w:p w14:paraId="37359589"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Shi, N. Z. (2017). Cultivation and teaching of subject core literacy: Taking the cultivation of mathematics core literacy as an example. </w:t>
      </w:r>
      <w:r>
        <w:rPr>
          <w:rFonts w:ascii="Times New Roman" w:hAnsi="Times New Roman" w:cs="Times New Roman"/>
          <w:i/>
          <w:iCs/>
          <w:sz w:val="24"/>
        </w:rPr>
        <w:t>Primary and Secondary School Management</w:t>
      </w:r>
      <w:r>
        <w:rPr>
          <w:rFonts w:ascii="Times New Roman" w:hAnsi="Times New Roman" w:cs="Times New Roman"/>
          <w:sz w:val="24"/>
        </w:rPr>
        <w:t>, (1), 35-37.</w:t>
      </w:r>
    </w:p>
    <w:p w14:paraId="0D99D6F3" w14:textId="77777777" w:rsidR="00667ADC" w:rsidRDefault="00A63DBA">
      <w:pPr>
        <w:spacing w:line="312" w:lineRule="auto"/>
        <w:ind w:leftChars="202" w:left="426" w:hangingChars="1" w:hanging="2"/>
        <w:rPr>
          <w:rFonts w:ascii="Times New Roman" w:hAnsi="Times New Roman" w:cs="Times New Roman"/>
          <w:sz w:val="24"/>
          <w:szCs w:val="32"/>
        </w:rPr>
      </w:pPr>
      <w:r>
        <w:rPr>
          <w:rFonts w:ascii="Times New Roman" w:hAnsi="Times New Roman" w:cs="Times New Roman"/>
          <w:i/>
          <w:iCs/>
          <w:color w:val="0000FF"/>
          <w:sz w:val="24"/>
          <w:szCs w:val="32"/>
          <w:u w:val="single"/>
        </w:rPr>
        <w:t>https://kns.cnki.net/kcms2/article/abstract?v=i7m15r_oBqpoaFJrLlI_3hb1MlOvaJ8gQrmPBV6zcp6-zvcvZ1wHvXI3mCQKITDjjyitrlTW6Rkqx4x3lvdM_rIczYwZjPXuwldhEqBOgEiBRvGWYliYpNQNUrTBmNw0KqTaYhDyG7DsMqjHHEzqyWGp2CWYK-xdYAP4BiKM0meuTeAewZEOcA==&amp;uniplatform=NZKPT&amp;language=CHS</w:t>
      </w:r>
    </w:p>
    <w:p w14:paraId="14F694B8"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Shi, N. Z. (2016). Promoting teaching reform based on subject core literacy. </w:t>
      </w:r>
      <w:r>
        <w:rPr>
          <w:rFonts w:ascii="Times New Roman" w:hAnsi="Times New Roman" w:cs="Times New Roman"/>
          <w:i/>
          <w:iCs/>
          <w:sz w:val="24"/>
        </w:rPr>
        <w:t>Primary and Secondary School Management</w:t>
      </w:r>
      <w:r>
        <w:rPr>
          <w:rFonts w:ascii="Times New Roman" w:hAnsi="Times New Roman" w:cs="Times New Roman"/>
          <w:sz w:val="24"/>
        </w:rPr>
        <w:t>, (2), 19-21.</w:t>
      </w:r>
    </w:p>
    <w:p w14:paraId="7AE751F7"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https://kns.cnki.net/kcms2/article/abstract?v=i7m15r_oBqpYAnR-_nhBH2NkCT2</w:t>
      </w:r>
      <w:r>
        <w:rPr>
          <w:rFonts w:ascii="Times New Roman" w:hAnsi="Times New Roman" w:cs="Times New Roman"/>
          <w:i/>
          <w:iCs/>
          <w:color w:val="0000FF"/>
          <w:sz w:val="24"/>
          <w:szCs w:val="32"/>
          <w:u w:val="single"/>
        </w:rPr>
        <w:lastRenderedPageBreak/>
        <w:t>S0uZCe5pLN4hAbI_48zAQ6iTCKAvNcjF8CaqcOjSOIVldyFPpQgd4cPoJSVthPeNt3uCTOKVDVmdFXa-e_UxHW52ky4LSUPMTItvkmRxp5bcKGPy0wX6-dc9nsrcSlvsyRFh73Cz3J_cNMaOwp8QOt6sWnw==&amp;uniplatform=NZKPT&amp;language=CHS</w:t>
      </w:r>
    </w:p>
    <w:p w14:paraId="0AD7BB32"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Sun, C. R. (2019). Mathematical experiments: An effective path for the formation of mathematical abstraction literacy. </w:t>
      </w:r>
      <w:r>
        <w:rPr>
          <w:rFonts w:ascii="Times New Roman" w:hAnsi="Times New Roman" w:cs="Times New Roman"/>
          <w:i/>
          <w:iCs/>
          <w:sz w:val="24"/>
        </w:rPr>
        <w:t>Bulletin of Mathematics</w:t>
      </w:r>
      <w:r>
        <w:rPr>
          <w:rFonts w:ascii="Times New Roman" w:hAnsi="Times New Roman" w:cs="Times New Roman"/>
          <w:sz w:val="24"/>
        </w:rPr>
        <w:t>, 58(2), 21-25.</w:t>
      </w:r>
    </w:p>
    <w:p w14:paraId="376FBAEC"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https://kns.cnki.net/kcms2/article/abstract?v=i7m15r_oBqrUVWDEWDfCLy1dmMkS1ZJCyFpHKL_LLqtIeGLk9YjqSAvOBVRzBuIGNGktmE5I7lEwa6uKXZ-4UlENGIRzasCLqWi-JgnIzI2gTKiLEetxoB95lhMZ0-CU9OcWrRVxeRv40uaend8C6kVNh21upReQmr3NMsO6bZNAv4JjyFT8QA==&amp;uniplatform=NZKPT&amp;language=CHS</w:t>
      </w:r>
    </w:p>
    <w:p w14:paraId="5AB7DB55"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Qin, C., &amp; Yan, Z. Q. (2019). Investigation and research on the current situation of high school students' mathematical abstraction literacy: A case study of high school students in </w:t>
      </w:r>
      <w:proofErr w:type="spellStart"/>
      <w:r>
        <w:rPr>
          <w:rFonts w:ascii="Times New Roman" w:hAnsi="Times New Roman" w:cs="Times New Roman"/>
          <w:sz w:val="24"/>
        </w:rPr>
        <w:t>Duyun</w:t>
      </w:r>
      <w:proofErr w:type="spellEnd"/>
      <w:r>
        <w:rPr>
          <w:rFonts w:ascii="Times New Roman" w:hAnsi="Times New Roman" w:cs="Times New Roman"/>
          <w:sz w:val="24"/>
        </w:rPr>
        <w:t xml:space="preserve"> City, Guizhou Province. </w:t>
      </w:r>
      <w:r>
        <w:rPr>
          <w:rFonts w:ascii="Times New Roman" w:hAnsi="Times New Roman" w:cs="Times New Roman"/>
          <w:i/>
          <w:iCs/>
          <w:sz w:val="24"/>
        </w:rPr>
        <w:t xml:space="preserve">Journal of </w:t>
      </w:r>
      <w:proofErr w:type="spellStart"/>
      <w:r>
        <w:rPr>
          <w:rFonts w:ascii="Times New Roman" w:hAnsi="Times New Roman" w:cs="Times New Roman"/>
          <w:i/>
          <w:iCs/>
          <w:sz w:val="24"/>
        </w:rPr>
        <w:t>Qiannan</w:t>
      </w:r>
      <w:proofErr w:type="spellEnd"/>
      <w:r>
        <w:rPr>
          <w:rFonts w:ascii="Times New Roman" w:hAnsi="Times New Roman" w:cs="Times New Roman"/>
          <w:i/>
          <w:iCs/>
          <w:sz w:val="24"/>
        </w:rPr>
        <w:t xml:space="preserve"> Normal University for Nationalities</w:t>
      </w:r>
      <w:r>
        <w:rPr>
          <w:rFonts w:ascii="Times New Roman" w:hAnsi="Times New Roman" w:cs="Times New Roman"/>
          <w:sz w:val="24"/>
        </w:rPr>
        <w:t>, 39(S1), 79-81+90.</w:t>
      </w:r>
    </w:p>
    <w:p w14:paraId="5522850B"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https://kns.cnki.net/kcms2/article/abstract?v=i7m15r_oBqo4bXotPKsIRCULGik8sGa116XnHS4OMEtJz2mJ-xC59qAr9QJOOsGjXftvskNhMhKti7t-MqTNodxm7LvE0z7bbnHG1zjPVQVbouxsa5kg2IIJoQ9Loj6E4pPmheC2va_vPyM4ifxVAnM1j9-vFCv_I_i7UlARhk65gxQaqIgodQ==&amp;uniplatform=NZKPT&amp;language=CHS</w:t>
      </w:r>
    </w:p>
    <w:p w14:paraId="76865FEA"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Tang, S. Y. (2021). On the cultivation path of mathematical abstraction literacy. </w:t>
      </w:r>
      <w:r>
        <w:rPr>
          <w:rFonts w:ascii="Times New Roman" w:hAnsi="Times New Roman" w:cs="Times New Roman"/>
          <w:i/>
          <w:iCs/>
          <w:sz w:val="24"/>
        </w:rPr>
        <w:t>Bulletin of Mathematics</w:t>
      </w:r>
      <w:r>
        <w:rPr>
          <w:rFonts w:ascii="Times New Roman" w:hAnsi="Times New Roman" w:cs="Times New Roman"/>
          <w:sz w:val="24"/>
        </w:rPr>
        <w:t>, 60(10), 33-37.</w:t>
      </w:r>
    </w:p>
    <w:p w14:paraId="3EA488A6"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https://kns.cnki.net/kcms2/article/abstract?v=i7m15r_oBqpc7XKsXecY5Lf39UUQbs378inUT2_3e8qwFRA8xOK268lDOinTE_Mzq-Abzq4NS8cg9urpA7QIudhnS0tK9cNrzaOmF1I4ooSYERWfCObSrhnmEfeb9eTrXkAJeyU5tguzDSVKISyiV4vG7VEMql6iZQUrki9cNTSRlN7-DHYcOQ==&amp;uniplatform=NZKPT&amp;language=CHS</w:t>
      </w:r>
    </w:p>
    <w:p w14:paraId="1F2298D2"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Teng, F. (2019). A brief discussion on the cultivation of students' mathematical abstraction literacy. </w:t>
      </w:r>
      <w:r>
        <w:rPr>
          <w:rFonts w:ascii="Times New Roman" w:hAnsi="Times New Roman" w:cs="Times New Roman"/>
          <w:i/>
          <w:iCs/>
          <w:sz w:val="24"/>
        </w:rPr>
        <w:t xml:space="preserve">Journal of </w:t>
      </w:r>
      <w:proofErr w:type="spellStart"/>
      <w:r>
        <w:rPr>
          <w:rFonts w:ascii="Times New Roman" w:hAnsi="Times New Roman" w:cs="Times New Roman"/>
          <w:i/>
          <w:iCs/>
          <w:sz w:val="24"/>
        </w:rPr>
        <w:t>Yanbian</w:t>
      </w:r>
      <w:proofErr w:type="spellEnd"/>
      <w:r>
        <w:rPr>
          <w:rFonts w:ascii="Times New Roman" w:hAnsi="Times New Roman" w:cs="Times New Roman"/>
          <w:i/>
          <w:iCs/>
          <w:sz w:val="24"/>
        </w:rPr>
        <w:t xml:space="preserve"> Education College</w:t>
      </w:r>
      <w:r>
        <w:rPr>
          <w:rFonts w:ascii="Times New Roman" w:hAnsi="Times New Roman" w:cs="Times New Roman"/>
          <w:sz w:val="24"/>
        </w:rPr>
        <w:t>, 33(2), 147-148.</w:t>
      </w:r>
    </w:p>
    <w:p w14:paraId="3C11E616"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https://kns.cnki.net/kcms2/article/abstract?v=i7m15r_oBqoS-SuUn-pf8A6Dp-8BxhjZB4H3JsJTsGFu3g2f-HAtZtj_blX2jBD3jO8AVqu-HO-8nf4Y97wt1eVpbxZWbXGr4nGsvKEkBUlKfItv1ksyhY6mlHcxijElkj9yLhoRYoGFIz51F_-XqWaYdUQ-jbnLGuMZyV-zXxxq7TGMHBiLlA==&amp;uniplatform=NZKPT&amp;language=CHS</w:t>
      </w:r>
    </w:p>
    <w:p w14:paraId="27BA2E6B"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Wang, C. Y. (2012). </w:t>
      </w:r>
      <w:r>
        <w:rPr>
          <w:rFonts w:ascii="Times New Roman" w:hAnsi="Times New Roman" w:cs="Times New Roman"/>
          <w:i/>
          <w:iCs/>
          <w:sz w:val="24"/>
        </w:rPr>
        <w:t>Research on the meaning of mathematical symbols and the cultivation of acquisition ability</w:t>
      </w:r>
      <w:r>
        <w:rPr>
          <w:rFonts w:ascii="Times New Roman" w:hAnsi="Times New Roman" w:cs="Times New Roman"/>
          <w:sz w:val="24"/>
        </w:rPr>
        <w:t xml:space="preserve"> (Doctoral dissertation, Central China Normal </w:t>
      </w:r>
      <w:r>
        <w:rPr>
          <w:rFonts w:ascii="Times New Roman" w:hAnsi="Times New Roman" w:cs="Times New Roman"/>
          <w:sz w:val="24"/>
        </w:rPr>
        <w:lastRenderedPageBreak/>
        <w:t>University).</w:t>
      </w:r>
    </w:p>
    <w:p w14:paraId="74B6125B"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https://kns.cnki.net/kcms2/article/abstract?v=i7m15r_oBqqrHyCWqufyXC_kwdiASb_FlTjnEgo271N3coKYGpjdKreAMslAnxkhk0iEFvthBhbk8imnK1MFewPwM1-tMTn9bMGOaAPfM0CPeNjCOY1Y59Bwy-Ihrg2p2UhuFCgY4_oHeoBKMnA-eqM5NU2PBjhhRBUBTjnmtvuD2fIMrmdmIA==&amp;uniplatform=NZKPT&amp;language=CHS</w:t>
      </w:r>
    </w:p>
    <w:p w14:paraId="27277297"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Wang, D., &amp; Li, B. M. (2017). Comparative analysis of TIMSS and PISA mathematics assessment frameworks. </w:t>
      </w:r>
      <w:r>
        <w:rPr>
          <w:rFonts w:ascii="Times New Roman" w:hAnsi="Times New Roman" w:cs="Times New Roman"/>
          <w:i/>
          <w:iCs/>
          <w:sz w:val="24"/>
        </w:rPr>
        <w:t>Global Education</w:t>
      </w:r>
      <w:r>
        <w:rPr>
          <w:rFonts w:ascii="Times New Roman" w:hAnsi="Times New Roman" w:cs="Times New Roman"/>
          <w:sz w:val="24"/>
        </w:rPr>
        <w:t>, 46(6), 20-34.</w:t>
      </w:r>
    </w:p>
    <w:p w14:paraId="05E0D10E"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https://kns.cnki.net/kcms2/article/abstract?v=i7m15r_oBqpag7I_Fld4iU_kfTH3l6BvqpSgXrCy6SyREZtHmwTK7pAu5on_wBB91tYbGCi8UnsZrShjokjpjBbwwYKUmXnbcEHhH9599GR84tuJVxRJm6P3VBDeFVCMXrUOggn_8OOWLPMqnGErQLSCLnjUg3IMz3-I9I0ojXVL-SqMRQ_3iw==&amp;uniplatform=NZKPT&amp;language=CHS</w:t>
      </w:r>
    </w:p>
    <w:p w14:paraId="17D1815D"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Wang, K. (2023). Strategies for cultivating high school students' mathematical abstraction literacy from the perspective of deep learning. </w:t>
      </w:r>
      <w:r>
        <w:rPr>
          <w:rFonts w:ascii="Times New Roman" w:hAnsi="Times New Roman" w:cs="Times New Roman"/>
          <w:i/>
          <w:iCs/>
          <w:sz w:val="24"/>
        </w:rPr>
        <w:t>Asia-Pacific Education</w:t>
      </w:r>
      <w:r>
        <w:rPr>
          <w:rFonts w:ascii="Times New Roman" w:hAnsi="Times New Roman" w:cs="Times New Roman"/>
          <w:sz w:val="24"/>
        </w:rPr>
        <w:t>, (16), 61-63.</w:t>
      </w:r>
    </w:p>
    <w:p w14:paraId="08205195"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https://kns.cnki.net/kcms2/article/abstract?v=i7m15r_oBqpnrN75e1ygpcC14UhQiJIQ7qMUb01dju_t3R0wL-f61bI1LgJfhDL0hmGpkjUO-sPInca0TG3Y_GVnNiE2pChLVNzYH7UWKP2UfBpEXnhqolySU8_PlSkjl1i1nCiVUNi8mbx-w22QZz-89fuXyjEslW6PUfqUpvTxQefOhPru5w==&amp;uniplatform=NZKPT&amp;language=CHS</w:t>
      </w:r>
    </w:p>
    <w:p w14:paraId="3DADD7BE"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Wang, K. M., Wang, Y. G., Liu, C. H., &amp; Zhou, H. M. (2021). Investigation on the current situation of high school students' mathematical core literacy. </w:t>
      </w:r>
      <w:r>
        <w:rPr>
          <w:rFonts w:ascii="Times New Roman" w:hAnsi="Times New Roman" w:cs="Times New Roman"/>
          <w:i/>
          <w:iCs/>
          <w:sz w:val="24"/>
        </w:rPr>
        <w:t>Journal of Inner Mongolia Normal University (Educational Science Edition)</w:t>
      </w:r>
      <w:r>
        <w:rPr>
          <w:rFonts w:ascii="Times New Roman" w:hAnsi="Times New Roman" w:cs="Times New Roman"/>
          <w:sz w:val="24"/>
        </w:rPr>
        <w:t>, 34(2), 126-132.</w:t>
      </w:r>
    </w:p>
    <w:p w14:paraId="578827C9"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https://kns.cnki.net/kcms2/article/abstract?v=i7m15r_oBqowA6IYjS0tEXUAn9yMD28Siztbf_knXJ5puaEibMKioRtecfK237XtEt6NFxpCD46rDd1TNcWrfUBGqmpO3B-Ej77mBMSk6gQP6531gyszlWOz5EqmPs4_FWQQg9yAkkOh3CKyTGJydqsE_oxw_rBLrt9Glr3igNAEUqLDuK7ieA==&amp;uniplatform=NZKPT&amp;language=CHS</w:t>
      </w:r>
    </w:p>
    <w:p w14:paraId="1338EEF6"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Wang, R. S., &amp; </w:t>
      </w:r>
      <w:proofErr w:type="spellStart"/>
      <w:r>
        <w:rPr>
          <w:rFonts w:ascii="Times New Roman" w:hAnsi="Times New Roman" w:cs="Times New Roman"/>
          <w:sz w:val="24"/>
        </w:rPr>
        <w:t>Qiao</w:t>
      </w:r>
      <w:proofErr w:type="spellEnd"/>
      <w:r>
        <w:rPr>
          <w:rFonts w:ascii="Times New Roman" w:hAnsi="Times New Roman" w:cs="Times New Roman"/>
          <w:sz w:val="24"/>
        </w:rPr>
        <w:t xml:space="preserve">, J. P. (1991). </w:t>
      </w:r>
      <w:r>
        <w:rPr>
          <w:rFonts w:ascii="Times New Roman" w:hAnsi="Times New Roman" w:cs="Times New Roman"/>
          <w:i/>
          <w:iCs/>
          <w:sz w:val="24"/>
        </w:rPr>
        <w:t>Practical encyclopedia</w:t>
      </w:r>
      <w:r>
        <w:rPr>
          <w:rFonts w:ascii="Times New Roman" w:hAnsi="Times New Roman" w:cs="Times New Roman"/>
          <w:sz w:val="24"/>
        </w:rPr>
        <w:t xml:space="preserve"> [M]. Beijing: </w:t>
      </w:r>
      <w:proofErr w:type="spellStart"/>
      <w:r>
        <w:rPr>
          <w:rFonts w:ascii="Times New Roman" w:hAnsi="Times New Roman" w:cs="Times New Roman"/>
          <w:sz w:val="24"/>
        </w:rPr>
        <w:t>Kaiming</w:t>
      </w:r>
      <w:proofErr w:type="spellEnd"/>
      <w:r>
        <w:rPr>
          <w:rFonts w:ascii="Times New Roman" w:hAnsi="Times New Roman" w:cs="Times New Roman"/>
          <w:sz w:val="24"/>
        </w:rPr>
        <w:t xml:space="preserve"> Press. pp. 10, 12, 1040.</w:t>
      </w:r>
    </w:p>
    <w:p w14:paraId="57CD2E84"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Xing, G. L. (2023). Influencing factors and improvement strategies of high school students' mathematical abstraction literacy. </w:t>
      </w:r>
      <w:r>
        <w:rPr>
          <w:rFonts w:ascii="Times New Roman" w:hAnsi="Times New Roman" w:cs="Times New Roman"/>
          <w:i/>
          <w:iCs/>
          <w:sz w:val="24"/>
        </w:rPr>
        <w:t xml:space="preserve">Classroom Inside and Outside (High </w:t>
      </w:r>
      <w:r>
        <w:rPr>
          <w:rFonts w:ascii="Times New Roman" w:hAnsi="Times New Roman" w:cs="Times New Roman"/>
          <w:i/>
          <w:iCs/>
          <w:sz w:val="24"/>
        </w:rPr>
        <w:lastRenderedPageBreak/>
        <w:t>School Teaching and Research</w:t>
      </w:r>
      <w:r>
        <w:rPr>
          <w:rFonts w:ascii="Times New Roman" w:hAnsi="Times New Roman" w:cs="Times New Roman"/>
          <w:sz w:val="24"/>
        </w:rPr>
        <w:t>), (9), 52-54.</w:t>
      </w:r>
    </w:p>
    <w:p w14:paraId="25A51527"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https://d.wanfangdata.com.cn/periodical/ChtQZXJpb2RpY2FsQ0hJMjAyNTA2MTcxNjU3NTMSEWt0bnctZ3piMjAyMzM1MDE5Gghnd3dlZDRndQ%3D%3D</w:t>
      </w:r>
    </w:p>
    <w:p w14:paraId="24440FD2"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Yin, R. Y., &amp; Zhao, W. K. (2017). Investigation and research on the development of junior high school students' mathematical abstraction based on quality monitoring. </w:t>
      </w:r>
      <w:r>
        <w:rPr>
          <w:rFonts w:ascii="Times New Roman" w:hAnsi="Times New Roman" w:cs="Times New Roman"/>
          <w:i/>
          <w:iCs/>
          <w:sz w:val="24"/>
        </w:rPr>
        <w:t>Journal of Mathematics Education</w:t>
      </w:r>
      <w:r>
        <w:rPr>
          <w:rFonts w:ascii="Times New Roman" w:hAnsi="Times New Roman" w:cs="Times New Roman"/>
          <w:sz w:val="24"/>
        </w:rPr>
        <w:t>, 26(1), 14-15+63.</w:t>
      </w:r>
    </w:p>
    <w:p w14:paraId="0783C2F9"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https://kns.cnki.net/kcms2/article/abstract?v=i7m15r_oBqr7hVNaMpJOP4sOTO5QLl3O-T-nt3tF9aLdOzg1BwDwmJAhdp1yv9v_muWRbC9kNqAo1klvgxwKUjNGWMZESiH4XcudzkLfl33p_WnF73wq2F_AJzAuxru8zGNyxV3vVrHQvmzp66gANcyGArrQc9sOSBtUxKBMY1aArX7tKPwZRA==&amp;uniplatform=NZKPT&amp;language=CHS</w:t>
      </w:r>
    </w:p>
    <w:p w14:paraId="3D479A06"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Yu, H. (2020). </w:t>
      </w:r>
      <w:r>
        <w:rPr>
          <w:rFonts w:ascii="Times New Roman" w:hAnsi="Times New Roman" w:cs="Times New Roman"/>
          <w:i/>
          <w:iCs/>
          <w:sz w:val="24"/>
        </w:rPr>
        <w:t>Research on the influencing factors and cultivation strategies of mathematical abstraction literacy among second-year high school students</w:t>
      </w:r>
      <w:r>
        <w:rPr>
          <w:rFonts w:ascii="Times New Roman" w:hAnsi="Times New Roman" w:cs="Times New Roman"/>
          <w:sz w:val="24"/>
        </w:rPr>
        <w:t xml:space="preserve"> (Master’s thesis, Shaanxi Normal University).</w:t>
      </w:r>
    </w:p>
    <w:p w14:paraId="657937D0"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https://kns.cnki.net/kcms2/article/abstract?v=i7m15r_oBqpvKOfmGqaU-214eKbHCGSlXoR2JBGswvv0-N_t8eptE0-DXS2kZGtVwjfcAmtgtkM0VFIOpGmPClHDQJ7yfM8d1IoMeASIs1HT7dnLJv20MWHrRt6Z4aHImOFQqKVAFpcPq8rfwIlZEuwOZ7iUYHOVCiGRPdb2fccnCworsN14LqSoDMCsYr2g&amp;uniplatform=NZKPT&amp;language=CHS</w:t>
      </w:r>
    </w:p>
    <w:p w14:paraId="136954FD"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Yu, P. (2017). A framework for the evaluation of mathematical core literacy. </w:t>
      </w:r>
      <w:r>
        <w:rPr>
          <w:rFonts w:ascii="Times New Roman" w:hAnsi="Times New Roman" w:cs="Times New Roman"/>
          <w:i/>
          <w:iCs/>
          <w:sz w:val="24"/>
        </w:rPr>
        <w:t>Journal of Mathematics Education</w:t>
      </w:r>
      <w:r>
        <w:rPr>
          <w:rFonts w:ascii="Times New Roman" w:hAnsi="Times New Roman" w:cs="Times New Roman"/>
          <w:sz w:val="24"/>
        </w:rPr>
        <w:t>, 26(2), 19-23+59.</w:t>
      </w:r>
    </w:p>
    <w:p w14:paraId="173443A0"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https://kns.cnki.net/kcms2/article/abstract?v=i7m15r_oBqrURlwjYLz9TJ5xubnxVGmtWtcQJvMYyx8GOcc-vR-hDozjbd7sQAD2m_PkTgJZrFwH73zWULdKphZ8ZCBBJSd-uQXeoEn0k_R60kUClDgdzsnnUZAb_Ff3MFVJ8_88jPrw3hlnu-a2oLNHmLPWlHwvsyP0I1IwXr0LM09UVivMmQ==&amp;uniplatform=NZKPT&amp;language=CHS</w:t>
      </w:r>
    </w:p>
    <w:p w14:paraId="036DC904"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Zhang, H. R., Wang, X. J., &amp; Song, M. Z. (2017). Research and reflection on mathematical abstraction in China: A bibliometric analysis based on literature from 1958 to 2016. Curriculum, </w:t>
      </w:r>
      <w:r>
        <w:rPr>
          <w:rFonts w:ascii="Times New Roman" w:hAnsi="Times New Roman" w:cs="Times New Roman"/>
          <w:i/>
          <w:iCs/>
          <w:sz w:val="24"/>
        </w:rPr>
        <w:t>Teaching Material and Method</w:t>
      </w:r>
      <w:r>
        <w:rPr>
          <w:rFonts w:ascii="Times New Roman" w:hAnsi="Times New Roman" w:cs="Times New Roman"/>
          <w:sz w:val="24"/>
        </w:rPr>
        <w:t>, 37(9), 79-84.</w:t>
      </w:r>
    </w:p>
    <w:p w14:paraId="52647BA5"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https://kns.cnki.net/kcms2/article/abstract?v=i7m15r_oBqpZGLHqeSyeeSPWE4V0ubKWqYDBMXTDXB382jGLnjc4imTwAb9a_MlZPU1cm8bXY5IWsSGrw3T17NxuRVPB59REV9xKbYI-gfHc30hme6ybCCgBxWr2E2KdWzVusJLMlNu8SxZmSR2GqA_9UhK5Pk_hdEOC2irDl6H6eAfgbM31Xw==&amp;uniplatform=NZKPT&amp;language=CHS</w:t>
      </w:r>
    </w:p>
    <w:p w14:paraId="096B9A53" w14:textId="77777777" w:rsidR="00667ADC" w:rsidRDefault="00A63DBA">
      <w:pPr>
        <w:spacing w:line="312" w:lineRule="auto"/>
        <w:ind w:left="425" w:hanging="425"/>
        <w:rPr>
          <w:rFonts w:ascii="Times New Roman" w:hAnsi="Times New Roman" w:cs="Times New Roman"/>
          <w:sz w:val="24"/>
        </w:rPr>
      </w:pPr>
      <w:bookmarkStart w:id="4" w:name="_Ref311"/>
      <w:r>
        <w:rPr>
          <w:rFonts w:ascii="Times New Roman" w:hAnsi="Times New Roman" w:cs="Times New Roman"/>
          <w:sz w:val="24"/>
        </w:rPr>
        <w:lastRenderedPageBreak/>
        <w:t>Zheng, X. J., Chen, Q. H., &amp; Wang, C. P. (2017). Research on the current status of high school students' mathematical abstraction literacy level based on testing. </w:t>
      </w:r>
      <w:r>
        <w:rPr>
          <w:rFonts w:ascii="Times New Roman" w:hAnsi="Times New Roman" w:cs="Times New Roman"/>
          <w:i/>
          <w:iCs/>
          <w:sz w:val="24"/>
        </w:rPr>
        <w:t>Journal of Mathematics Education</w:t>
      </w:r>
      <w:r>
        <w:rPr>
          <w:rFonts w:ascii="Times New Roman" w:hAnsi="Times New Roman" w:cs="Times New Roman"/>
          <w:sz w:val="24"/>
        </w:rPr>
        <w:t>, 26(6), 26-32. </w:t>
      </w:r>
    </w:p>
    <w:bookmarkEnd w:id="4"/>
    <w:p w14:paraId="5B0E9134"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https://kns.cnki.net/kcms2/article/abstract?v=i7m15r_oBqojFgOFNlU9nifUwGVvBqOv27zc1x_8tED2i_NT_LwOVLL6hmRlWH8oMvQip9UZXW2mDWiwhrrc5CCEOZOrUiOyTVF1PPLjPk2GOLESLGFdM_85rsi40ASeGrnIPJ1gTAL8Azr26cq1OtDbvmzHw2QSHtduFOcQlLT2iaf5RseFDQ==&amp;uniplatform=NZKPT&amp;language=CHS</w:t>
      </w:r>
    </w:p>
    <w:p w14:paraId="10DDDB60" w14:textId="77777777" w:rsidR="00667ADC" w:rsidRDefault="00A63DBA">
      <w:pPr>
        <w:spacing w:line="312" w:lineRule="auto"/>
        <w:ind w:left="425" w:hanging="425"/>
        <w:rPr>
          <w:rFonts w:ascii="Times New Roman" w:hAnsi="Times New Roman" w:cs="Times New Roman"/>
          <w:sz w:val="24"/>
        </w:rPr>
      </w:pPr>
      <w:bookmarkStart w:id="5" w:name="_Ref157"/>
      <w:r>
        <w:rPr>
          <w:rFonts w:ascii="Times New Roman" w:hAnsi="Times New Roman" w:cs="Times New Roman"/>
          <w:sz w:val="24"/>
        </w:rPr>
        <w:t xml:space="preserve">Zheng, Y. F., &amp; Huang, F. Q. (2024). The eye of mathematics: Mathematical abstraction thought oriented to the "three competencies" literacy goal. </w:t>
      </w:r>
      <w:r>
        <w:rPr>
          <w:rFonts w:ascii="Times New Roman" w:hAnsi="Times New Roman" w:cs="Times New Roman"/>
          <w:i/>
          <w:iCs/>
          <w:sz w:val="24"/>
        </w:rPr>
        <w:t>Journal of Mathematics Education</w:t>
      </w:r>
      <w:r>
        <w:rPr>
          <w:rFonts w:ascii="Times New Roman" w:hAnsi="Times New Roman" w:cs="Times New Roman"/>
          <w:sz w:val="24"/>
        </w:rPr>
        <w:t xml:space="preserve">, 33(1), 59-63. </w:t>
      </w:r>
    </w:p>
    <w:bookmarkEnd w:id="5"/>
    <w:p w14:paraId="66E1CF74"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https://kns.cnki.net/kcms2/article/abstract?v=i7m15r_oBqpYN77IMFI9hF4kKNhBfk3leOonPjYKQHU-xT5kFWpa7LpT7Wz6f5zg4Kcsv-XZGYt88eiGT4fdAQSrBsyF7LtMGa7J_o0BAdiGMvDFpQ0ASlC6Klz0DMnGjesd0NI0WIsk_jeuyPRMjYru9FeBcJ2bjtL6LD3uE3uj8Ttm-gQnbA==&amp;uniplatform=NZKPT&amp;language=CHS</w:t>
      </w:r>
    </w:p>
    <w:p w14:paraId="69F574BB" w14:textId="77777777" w:rsidR="00667ADC" w:rsidRDefault="00A63DBA">
      <w:pPr>
        <w:wordWrap w:val="0"/>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Zhou, X. H., &amp; </w:t>
      </w:r>
      <w:proofErr w:type="spellStart"/>
      <w:r>
        <w:rPr>
          <w:rFonts w:ascii="Times New Roman" w:hAnsi="Times New Roman" w:cs="Times New Roman"/>
          <w:sz w:val="24"/>
        </w:rPr>
        <w:t>Xie</w:t>
      </w:r>
      <w:proofErr w:type="spellEnd"/>
      <w:r>
        <w:rPr>
          <w:rFonts w:ascii="Times New Roman" w:hAnsi="Times New Roman" w:cs="Times New Roman"/>
          <w:sz w:val="24"/>
        </w:rPr>
        <w:t xml:space="preserve">, F. C. (2019). Teaching strategies for the structure and system of high school mathematics under the perspective of thematic teaching. </w:t>
      </w:r>
      <w:r>
        <w:rPr>
          <w:rFonts w:ascii="Times New Roman" w:hAnsi="Times New Roman" w:cs="Times New Roman"/>
          <w:i/>
          <w:iCs/>
          <w:sz w:val="24"/>
        </w:rPr>
        <w:t>Education Science Forum</w:t>
      </w:r>
      <w:r>
        <w:rPr>
          <w:rFonts w:ascii="Times New Roman" w:hAnsi="Times New Roman" w:cs="Times New Roman"/>
          <w:sz w:val="24"/>
        </w:rPr>
        <w:t>, (35), 76-80.</w:t>
      </w:r>
    </w:p>
    <w:p w14:paraId="647EA535"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https://kns.cnki.net/kcms2/article/abstract?v=i7m15r_oBqp8KQvYV8gNJ8vYghiwAzcfmofItpVBxoUD1e5OO-vlQM4b1SMjtvkw_y_f9HjlxvAiKnwz-qyeE-5QOc_oWaCdYVFzECLgkZ79DHAoSLSPW8DDh7W8yLhfmpawtntIHtbXKdiHZA6y6XGgJFTk6b7rhUHXxMS4l8WIlC-DyJT1Lg==&amp;uniplatform=NZKPT&amp;language=CHS</w:t>
      </w:r>
    </w:p>
    <w:p w14:paraId="0203DF3E" w14:textId="77777777" w:rsidR="00667ADC" w:rsidRDefault="00A63DBA">
      <w:pPr>
        <w:spacing w:line="312" w:lineRule="auto"/>
        <w:ind w:left="425" w:hanging="425"/>
        <w:rPr>
          <w:rFonts w:ascii="Times New Roman" w:hAnsi="Times New Roman" w:cs="Times New Roman"/>
          <w:sz w:val="24"/>
          <w:szCs w:val="32"/>
        </w:rPr>
      </w:pPr>
      <w:r>
        <w:rPr>
          <w:rFonts w:ascii="Times New Roman" w:hAnsi="Times New Roman" w:cs="Times New Roman"/>
          <w:sz w:val="24"/>
        </w:rPr>
        <w:t xml:space="preserve">Zhu, M. (2021). </w:t>
      </w:r>
      <w:r>
        <w:rPr>
          <w:rFonts w:ascii="Times New Roman" w:hAnsi="Times New Roman" w:cs="Times New Roman"/>
          <w:i/>
          <w:iCs/>
          <w:sz w:val="24"/>
        </w:rPr>
        <w:t>Research on the relationship between CPFS structure and mathematical abstraction</w:t>
      </w:r>
      <w:r>
        <w:rPr>
          <w:rFonts w:ascii="Times New Roman" w:hAnsi="Times New Roman" w:cs="Times New Roman"/>
          <w:sz w:val="24"/>
        </w:rPr>
        <w:t xml:space="preserve"> (Master’s thesis, Nanjing Normal University).</w:t>
      </w:r>
    </w:p>
    <w:p w14:paraId="4EF909BF"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t>https://kns.cnki.net/kcms2/article/abstract?v=i7m15r_oBqoiAwTBwhz_Dft9029KOrhXQkBgzE8zeGfn5OrPZwP1clVHd19wfT8tnzNUsrQTQt3HUH2HfYE560X7mZm7yxbEQL150DzxRgBeypfiQeBtDW0ZGI4ATGVYkyNJLxEVjTmOY3fDUTYSDbpsWSIjXPONPZu8xN2UaqyxbedyCk9unpPGwuVvQkXH&amp;uniplatform=NZKPT&amp;language=CHS</w:t>
      </w:r>
    </w:p>
    <w:p w14:paraId="1ACBD51C" w14:textId="77777777" w:rsidR="00667ADC" w:rsidRDefault="00A63DBA">
      <w:pPr>
        <w:spacing w:line="312" w:lineRule="auto"/>
        <w:ind w:left="425" w:hanging="425"/>
        <w:rPr>
          <w:rFonts w:ascii="Times New Roman" w:hAnsi="Times New Roman" w:cs="Times New Roman"/>
          <w:sz w:val="24"/>
        </w:rPr>
      </w:pPr>
      <w:r>
        <w:rPr>
          <w:rFonts w:ascii="Times New Roman" w:hAnsi="Times New Roman" w:cs="Times New Roman"/>
          <w:sz w:val="24"/>
        </w:rPr>
        <w:t xml:space="preserve">Zhu, X. Y., &amp; Hu, D. S. (2020). An empirical study on the influencing factors of high school students' mathematical core literacy development level: Based on a survey analysis of 16 cities in Hubei Province. </w:t>
      </w:r>
      <w:r>
        <w:rPr>
          <w:rFonts w:ascii="Times New Roman" w:hAnsi="Times New Roman" w:cs="Times New Roman"/>
          <w:i/>
          <w:iCs/>
          <w:sz w:val="24"/>
        </w:rPr>
        <w:t>Educational Measurement and Evaluation</w:t>
      </w:r>
      <w:r>
        <w:rPr>
          <w:rFonts w:ascii="Times New Roman" w:hAnsi="Times New Roman" w:cs="Times New Roman"/>
          <w:sz w:val="24"/>
        </w:rPr>
        <w:t>, (2), 50-58.</w:t>
      </w:r>
    </w:p>
    <w:p w14:paraId="7A70D890" w14:textId="77777777" w:rsidR="00667ADC" w:rsidRDefault="00A63DBA">
      <w:pPr>
        <w:spacing w:line="312" w:lineRule="auto"/>
        <w:ind w:leftChars="202" w:left="426" w:hangingChars="1" w:hanging="2"/>
        <w:rPr>
          <w:rFonts w:ascii="Times New Roman" w:hAnsi="Times New Roman" w:cs="Times New Roman"/>
          <w:i/>
          <w:iCs/>
          <w:color w:val="0000FF"/>
          <w:sz w:val="24"/>
          <w:szCs w:val="32"/>
          <w:u w:val="single"/>
        </w:rPr>
      </w:pPr>
      <w:r>
        <w:rPr>
          <w:rFonts w:ascii="Times New Roman" w:hAnsi="Times New Roman" w:cs="Times New Roman"/>
          <w:i/>
          <w:iCs/>
          <w:color w:val="0000FF"/>
          <w:sz w:val="24"/>
          <w:szCs w:val="32"/>
          <w:u w:val="single"/>
        </w:rPr>
        <w:lastRenderedPageBreak/>
        <w:t>https://kns.cnki.net/kcms2/article/abstract?v=i7m15r_oBqp_DadUbX1b_2N-_-IlY6lof9Q0eL67lTQKMIsE9k0_gHfg3kbKBrwkEqeqfpCREG4xuKf7Ozs4u6FcGaSY83iPIgCdyDUTBKW2ejvtB2FDUnfOort1kx3gFt5Izx2HaduGYHWvsYzjKNPAeJ7fpgBNdtKxDftZ6E3izEzLCMFa-Q==&amp;uniplatform=NZKPT&amp;language=CHS</w:t>
      </w:r>
    </w:p>
    <w:p w14:paraId="5F7B9DC6" w14:textId="77777777" w:rsidR="00667ADC" w:rsidRDefault="00667ADC">
      <w:pPr>
        <w:wordWrap w:val="0"/>
        <w:spacing w:line="312" w:lineRule="auto"/>
        <w:ind w:left="425" w:hanging="425"/>
        <w:rPr>
          <w:rFonts w:ascii="Times New Roman" w:hAnsi="Times New Roman" w:cs="Times New Roman"/>
          <w:sz w:val="24"/>
        </w:rPr>
      </w:pPr>
    </w:p>
    <w:sectPr w:rsidR="00667AD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6125" w14:textId="77777777" w:rsidR="00204A3A" w:rsidRDefault="00204A3A">
      <w:r>
        <w:separator/>
      </w:r>
    </w:p>
  </w:endnote>
  <w:endnote w:type="continuationSeparator" w:id="0">
    <w:p w14:paraId="469DE0B2" w14:textId="77777777" w:rsidR="00204A3A" w:rsidRDefault="0020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6C51" w14:textId="77777777" w:rsidR="00667ADC" w:rsidRDefault="00667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2260" w14:textId="77777777" w:rsidR="00667ADC" w:rsidRDefault="00667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5272" w14:textId="77777777" w:rsidR="00667ADC" w:rsidRDefault="0066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CDB01" w14:textId="77777777" w:rsidR="00204A3A" w:rsidRDefault="00204A3A">
      <w:r>
        <w:separator/>
      </w:r>
    </w:p>
  </w:footnote>
  <w:footnote w:type="continuationSeparator" w:id="0">
    <w:p w14:paraId="13DBA97D" w14:textId="77777777" w:rsidR="00204A3A" w:rsidRDefault="0020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85C2" w14:textId="77777777" w:rsidR="00667ADC" w:rsidRDefault="00204A3A">
    <w:pPr>
      <w:pStyle w:val="Header"/>
    </w:pPr>
    <w:r>
      <w:pict w14:anchorId="7560F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02282" o:spid="_x0000_s3075"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8BD4" w14:textId="77777777" w:rsidR="00667ADC" w:rsidRDefault="00204A3A">
    <w:pPr>
      <w:pStyle w:val="Header"/>
    </w:pPr>
    <w:r>
      <w:pict w14:anchorId="1315E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02283" o:spid="_x0000_s3074"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F0EC" w14:textId="77777777" w:rsidR="00667ADC" w:rsidRDefault="00204A3A">
    <w:pPr>
      <w:pStyle w:val="Header"/>
    </w:pPr>
    <w:r>
      <w:pict w14:anchorId="218B8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02281" o:spid="_x0000_s3073"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NTQwsbS0NDE2NzZR0lEKTi0uzszPAykwrAUAPmEx9SwAAAA="/>
    <w:docVar w:name="commondata" w:val="eyJoZGlkIjoiMDFmZDRkMGUzYmZhNmUyMTNhNGYyMGQyNWU2ZmMyMzAifQ=="/>
  </w:docVars>
  <w:rsids>
    <w:rsidRoot w:val="0015769D"/>
    <w:rsid w:val="00126C6B"/>
    <w:rsid w:val="0015769D"/>
    <w:rsid w:val="00204A3A"/>
    <w:rsid w:val="00297D32"/>
    <w:rsid w:val="002C73D6"/>
    <w:rsid w:val="0045474C"/>
    <w:rsid w:val="00510B5D"/>
    <w:rsid w:val="00667ADC"/>
    <w:rsid w:val="006D18F3"/>
    <w:rsid w:val="00824069"/>
    <w:rsid w:val="008375D4"/>
    <w:rsid w:val="00855FC4"/>
    <w:rsid w:val="00A63DBA"/>
    <w:rsid w:val="00CA4818"/>
    <w:rsid w:val="00D56B5D"/>
    <w:rsid w:val="016A5229"/>
    <w:rsid w:val="01A733EC"/>
    <w:rsid w:val="01AA4665"/>
    <w:rsid w:val="01F80094"/>
    <w:rsid w:val="02E90A19"/>
    <w:rsid w:val="03F146AC"/>
    <w:rsid w:val="04230F09"/>
    <w:rsid w:val="05450A86"/>
    <w:rsid w:val="05C7138E"/>
    <w:rsid w:val="073377BE"/>
    <w:rsid w:val="08966904"/>
    <w:rsid w:val="08BD6586"/>
    <w:rsid w:val="0C56244D"/>
    <w:rsid w:val="0CC021C4"/>
    <w:rsid w:val="0CF0217F"/>
    <w:rsid w:val="0D440690"/>
    <w:rsid w:val="0D832544"/>
    <w:rsid w:val="0E0A401C"/>
    <w:rsid w:val="0EA14CFE"/>
    <w:rsid w:val="0EB83A78"/>
    <w:rsid w:val="11727009"/>
    <w:rsid w:val="11812D9A"/>
    <w:rsid w:val="118C0783"/>
    <w:rsid w:val="122664B5"/>
    <w:rsid w:val="123C49C0"/>
    <w:rsid w:val="12536265"/>
    <w:rsid w:val="15D01BB6"/>
    <w:rsid w:val="18D56A51"/>
    <w:rsid w:val="19351A4B"/>
    <w:rsid w:val="1A0D2705"/>
    <w:rsid w:val="1AC01D51"/>
    <w:rsid w:val="1AFA5418"/>
    <w:rsid w:val="1B961B24"/>
    <w:rsid w:val="1D3E15EC"/>
    <w:rsid w:val="1D6A0633"/>
    <w:rsid w:val="1D903E12"/>
    <w:rsid w:val="1F3F33F9"/>
    <w:rsid w:val="1F9F033C"/>
    <w:rsid w:val="1FCF29CF"/>
    <w:rsid w:val="1FD65D12"/>
    <w:rsid w:val="212B528A"/>
    <w:rsid w:val="21454BB2"/>
    <w:rsid w:val="222768F8"/>
    <w:rsid w:val="222E494D"/>
    <w:rsid w:val="235471D6"/>
    <w:rsid w:val="241A61E3"/>
    <w:rsid w:val="24204F80"/>
    <w:rsid w:val="25151AB3"/>
    <w:rsid w:val="258277C2"/>
    <w:rsid w:val="264F2DE9"/>
    <w:rsid w:val="27353013"/>
    <w:rsid w:val="278B7B24"/>
    <w:rsid w:val="27AE04E2"/>
    <w:rsid w:val="27B84691"/>
    <w:rsid w:val="27F966F1"/>
    <w:rsid w:val="28036175"/>
    <w:rsid w:val="283917B1"/>
    <w:rsid w:val="28A45311"/>
    <w:rsid w:val="29555B3C"/>
    <w:rsid w:val="295A20AB"/>
    <w:rsid w:val="29BD7D3C"/>
    <w:rsid w:val="2A4C77FA"/>
    <w:rsid w:val="2B2E61C7"/>
    <w:rsid w:val="2B522706"/>
    <w:rsid w:val="2B760580"/>
    <w:rsid w:val="2BC26F54"/>
    <w:rsid w:val="2C167E8F"/>
    <w:rsid w:val="2CA61354"/>
    <w:rsid w:val="2CE61358"/>
    <w:rsid w:val="2E70730F"/>
    <w:rsid w:val="2E824DA7"/>
    <w:rsid w:val="2E9372BE"/>
    <w:rsid w:val="2E9A07E7"/>
    <w:rsid w:val="2EB560D1"/>
    <w:rsid w:val="2F3C3D2E"/>
    <w:rsid w:val="2FDD2EE6"/>
    <w:rsid w:val="31FB28BA"/>
    <w:rsid w:val="32295A57"/>
    <w:rsid w:val="32382656"/>
    <w:rsid w:val="32847649"/>
    <w:rsid w:val="337551E4"/>
    <w:rsid w:val="34B34216"/>
    <w:rsid w:val="351F6D34"/>
    <w:rsid w:val="36427103"/>
    <w:rsid w:val="372376B1"/>
    <w:rsid w:val="378974B0"/>
    <w:rsid w:val="3827418B"/>
    <w:rsid w:val="38B02B17"/>
    <w:rsid w:val="3A9465D5"/>
    <w:rsid w:val="3AE53EB3"/>
    <w:rsid w:val="3B1B48C3"/>
    <w:rsid w:val="3B79050B"/>
    <w:rsid w:val="3B8B139D"/>
    <w:rsid w:val="3E007932"/>
    <w:rsid w:val="3EC11C25"/>
    <w:rsid w:val="40104F72"/>
    <w:rsid w:val="409C64A6"/>
    <w:rsid w:val="424D134E"/>
    <w:rsid w:val="42C156AB"/>
    <w:rsid w:val="430622FC"/>
    <w:rsid w:val="43413BC3"/>
    <w:rsid w:val="4390149E"/>
    <w:rsid w:val="43FE4D82"/>
    <w:rsid w:val="441D0046"/>
    <w:rsid w:val="44C83F58"/>
    <w:rsid w:val="458808C7"/>
    <w:rsid w:val="466F1F67"/>
    <w:rsid w:val="46963997"/>
    <w:rsid w:val="47215957"/>
    <w:rsid w:val="477C2B8D"/>
    <w:rsid w:val="47A619B8"/>
    <w:rsid w:val="48017A71"/>
    <w:rsid w:val="48AB197C"/>
    <w:rsid w:val="48B63E7D"/>
    <w:rsid w:val="48C67DBB"/>
    <w:rsid w:val="49180694"/>
    <w:rsid w:val="49321B41"/>
    <w:rsid w:val="4B6524D8"/>
    <w:rsid w:val="4D45144F"/>
    <w:rsid w:val="4DA846DC"/>
    <w:rsid w:val="4DEC2C3A"/>
    <w:rsid w:val="4E9F1385"/>
    <w:rsid w:val="4EB33E79"/>
    <w:rsid w:val="4F7E5458"/>
    <w:rsid w:val="4F8411EB"/>
    <w:rsid w:val="4F8579F9"/>
    <w:rsid w:val="50834F8C"/>
    <w:rsid w:val="50EE2A3C"/>
    <w:rsid w:val="515C2319"/>
    <w:rsid w:val="516E3547"/>
    <w:rsid w:val="51756313"/>
    <w:rsid w:val="517F429F"/>
    <w:rsid w:val="51BD2161"/>
    <w:rsid w:val="52FE08FA"/>
    <w:rsid w:val="558C043F"/>
    <w:rsid w:val="5594755F"/>
    <w:rsid w:val="56245FEB"/>
    <w:rsid w:val="56457C1E"/>
    <w:rsid w:val="569272B9"/>
    <w:rsid w:val="577D7CA8"/>
    <w:rsid w:val="57B13C22"/>
    <w:rsid w:val="57BE6C3D"/>
    <w:rsid w:val="587753D7"/>
    <w:rsid w:val="58DE5456"/>
    <w:rsid w:val="59D86349"/>
    <w:rsid w:val="5A0A7388"/>
    <w:rsid w:val="5B1B612A"/>
    <w:rsid w:val="5D196598"/>
    <w:rsid w:val="5E757500"/>
    <w:rsid w:val="5EBA0DC9"/>
    <w:rsid w:val="5EDF520C"/>
    <w:rsid w:val="5F4D2296"/>
    <w:rsid w:val="5FCF5AF8"/>
    <w:rsid w:val="5FF23B0D"/>
    <w:rsid w:val="606478EA"/>
    <w:rsid w:val="609D2F9F"/>
    <w:rsid w:val="614C3178"/>
    <w:rsid w:val="61AF09C5"/>
    <w:rsid w:val="624C1682"/>
    <w:rsid w:val="625E7607"/>
    <w:rsid w:val="631F4964"/>
    <w:rsid w:val="63C509FD"/>
    <w:rsid w:val="6473129E"/>
    <w:rsid w:val="64C04EFA"/>
    <w:rsid w:val="655D3BA6"/>
    <w:rsid w:val="66AD6467"/>
    <w:rsid w:val="67515045"/>
    <w:rsid w:val="6B27473B"/>
    <w:rsid w:val="6BD3401C"/>
    <w:rsid w:val="6C895281"/>
    <w:rsid w:val="6D1D3B9D"/>
    <w:rsid w:val="6EA97E5C"/>
    <w:rsid w:val="6F4B4A6F"/>
    <w:rsid w:val="70001CFE"/>
    <w:rsid w:val="707536BB"/>
    <w:rsid w:val="71297032"/>
    <w:rsid w:val="71453E6C"/>
    <w:rsid w:val="718F59A1"/>
    <w:rsid w:val="72181B00"/>
    <w:rsid w:val="721C7D79"/>
    <w:rsid w:val="72404633"/>
    <w:rsid w:val="72D54D7C"/>
    <w:rsid w:val="735F0AE9"/>
    <w:rsid w:val="73EB293C"/>
    <w:rsid w:val="74D177C5"/>
    <w:rsid w:val="74DB4EF0"/>
    <w:rsid w:val="75475CD9"/>
    <w:rsid w:val="757E1582"/>
    <w:rsid w:val="75C027C2"/>
    <w:rsid w:val="75EA691D"/>
    <w:rsid w:val="77660698"/>
    <w:rsid w:val="77C74EAF"/>
    <w:rsid w:val="78542BA4"/>
    <w:rsid w:val="796230E1"/>
    <w:rsid w:val="798474FC"/>
    <w:rsid w:val="7A560E98"/>
    <w:rsid w:val="7A8225DC"/>
    <w:rsid w:val="7B2A5E81"/>
    <w:rsid w:val="7B2C39A7"/>
    <w:rsid w:val="7C0861C2"/>
    <w:rsid w:val="7C2072C0"/>
    <w:rsid w:val="7CD82038"/>
    <w:rsid w:val="7D8B70AB"/>
    <w:rsid w:val="7F007556"/>
    <w:rsid w:val="7FC6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1777F3E"/>
  <w15:docId w15:val="{D10D6FB1-EC86-4E41-864A-487BB5F2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qFormat/>
    <w:rPr>
      <w:sz w:val="24"/>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026E5"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Theme="minorHAnsi" w:eastAsiaTheme="minorEastAsia" w:hAnsiTheme="minorHAnsi" w:cstheme="minorBidi"/>
      <w:kern w:val="2"/>
      <w:sz w:val="21"/>
      <w:szCs w:val="24"/>
      <w:lang w:eastAsia="zh-CN"/>
    </w:rPr>
  </w:style>
  <w:style w:type="character" w:customStyle="1" w:styleId="FooterChar">
    <w:name w:val="Footer Char"/>
    <w:basedOn w:val="DefaultParagraphFont"/>
    <w:link w:val="Footer"/>
    <w:qFormat/>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9734/jamcs/2020/v35i43026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arjom/2023/v19i666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7790</Words>
  <Characters>44404</Characters>
  <Application>Microsoft Office Word</Application>
  <DocSecurity>0</DocSecurity>
  <Lines>370</Lines>
  <Paragraphs>104</Paragraphs>
  <ScaleCrop>false</ScaleCrop>
  <Company/>
  <LinksUpToDate>false</LinksUpToDate>
  <CharactersWithSpaces>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SDI 1183</cp:lastModifiedBy>
  <cp:revision>7</cp:revision>
  <dcterms:created xsi:type="dcterms:W3CDTF">2023-12-16T13:09:00Z</dcterms:created>
  <dcterms:modified xsi:type="dcterms:W3CDTF">2025-07-08T10:18:00Z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63AD093B3BF2440091E26666C251BD7B_12</vt:lpwstr>
  </property>
  <property fmtid="{D5CDD505-2E9C-101B-9397-08002B2CF9AE}" pid="4" name="KSOTemplateDocerSaveRecord">
    <vt:lpwstr>eyJoZGlkIjoiZGRiNmNkNGE3MDY2NzI1N2M1NzJjNTI2ZGU5ZTU0NGEiLCJ1c2VySWQiOiIzMTE5MjU3NTgifQ==</vt:lpwstr>
  </property>
</Properties>
</file>