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D3EE5" w14:textId="77777777" w:rsidR="00754C9A" w:rsidRDefault="00754C9A" w:rsidP="00441B6F">
      <w:pPr>
        <w:pStyle w:val="Title"/>
        <w:spacing w:after="0"/>
        <w:jc w:val="both"/>
        <w:rPr>
          <w:rFonts w:ascii="Arial" w:hAnsi="Arial" w:cs="Arial"/>
        </w:rPr>
      </w:pPr>
    </w:p>
    <w:p w14:paraId="3762BAFF" w14:textId="77777777" w:rsidR="00163BC4" w:rsidRPr="00163BC4" w:rsidRDefault="005F718B" w:rsidP="002813D0">
      <w:pPr>
        <w:pStyle w:val="Author"/>
        <w:spacing w:line="240" w:lineRule="auto"/>
        <w:rPr>
          <w:rFonts w:ascii="Arial" w:hAnsi="Arial" w:cs="Arial"/>
          <w:bCs/>
          <w:iCs/>
          <w:kern w:val="28"/>
          <w:sz w:val="36"/>
        </w:rPr>
      </w:pPr>
      <w:r w:rsidRPr="005F718B">
        <w:rPr>
          <w:rFonts w:ascii="Arial" w:hAnsi="Arial" w:cs="Arial"/>
          <w:bCs/>
          <w:iCs/>
          <w:kern w:val="28"/>
          <w:sz w:val="36"/>
        </w:rPr>
        <w:t xml:space="preserve">The Effect of Learning Independence, Educational Facilities, and Learning Motivation on the Academic Performance of Eleventh-Grade Students in Economics at SMA Negeri 1 </w:t>
      </w:r>
      <w:proofErr w:type="spellStart"/>
      <w:r w:rsidRPr="005F718B">
        <w:rPr>
          <w:rFonts w:ascii="Arial" w:hAnsi="Arial" w:cs="Arial"/>
          <w:bCs/>
          <w:iCs/>
          <w:kern w:val="28"/>
          <w:sz w:val="36"/>
        </w:rPr>
        <w:t>Telaga</w:t>
      </w:r>
      <w:proofErr w:type="spellEnd"/>
      <w:r w:rsidRPr="005F718B">
        <w:rPr>
          <w:rFonts w:ascii="Arial" w:hAnsi="Arial" w:cs="Arial"/>
          <w:bCs/>
          <w:iCs/>
          <w:kern w:val="28"/>
          <w:sz w:val="36"/>
        </w:rPr>
        <w:t>, Gorontalo Regency</w:t>
      </w:r>
      <w:r w:rsidR="00231920">
        <w:rPr>
          <w:rFonts w:ascii="Arial" w:hAnsi="Arial" w:cs="Arial"/>
          <w:bCs/>
          <w:iCs/>
          <w:kern w:val="28"/>
          <w:sz w:val="36"/>
        </w:rPr>
        <w:t xml:space="preserve"> </w:t>
      </w:r>
    </w:p>
    <w:p w14:paraId="61ACA060" w14:textId="77777777" w:rsidR="00A258C3" w:rsidRPr="00790ADA" w:rsidRDefault="00A258C3" w:rsidP="00441B6F">
      <w:pPr>
        <w:pStyle w:val="Author"/>
        <w:spacing w:line="240" w:lineRule="auto"/>
        <w:jc w:val="both"/>
        <w:rPr>
          <w:rFonts w:ascii="Arial" w:hAnsi="Arial" w:cs="Arial"/>
          <w:sz w:val="36"/>
        </w:rPr>
      </w:pPr>
    </w:p>
    <w:p w14:paraId="0FEDD82E"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5F718B">
        <w:rPr>
          <w:rFonts w:ascii="Arial" w:hAnsi="Arial" w:cs="Arial"/>
        </w:rPr>
        <w:t xml:space="preserve"> </w:t>
      </w:r>
    </w:p>
    <w:p w14:paraId="328B079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A262123" w14:textId="77777777" w:rsidTr="001E44FE">
        <w:tc>
          <w:tcPr>
            <w:tcW w:w="9576" w:type="dxa"/>
            <w:shd w:val="clear" w:color="auto" w:fill="F2F2F2"/>
          </w:tcPr>
          <w:p w14:paraId="1AAE41FC" w14:textId="156D8FF4" w:rsidR="00505F06" w:rsidRPr="00BA1B01" w:rsidRDefault="00D63D12" w:rsidP="00441B6F">
            <w:pPr>
              <w:pStyle w:val="Body"/>
              <w:spacing w:after="0"/>
              <w:rPr>
                <w:rFonts w:ascii="Arial" w:eastAsia="Calibri" w:hAnsi="Arial" w:cs="Arial"/>
                <w:szCs w:val="22"/>
              </w:rPr>
            </w:pPr>
            <w:r w:rsidRPr="00D63D12">
              <w:rPr>
                <w:rFonts w:ascii="Arial" w:eastAsia="Calibri" w:hAnsi="Arial" w:cs="Arial"/>
                <w:szCs w:val="22"/>
              </w:rPr>
              <w:t xml:space="preserve">The low achievement of student learning outcomes is an urgent problem in the implementation of education. The large number of students who have not met the criteria for mastery level in grade XI in </w:t>
            </w:r>
            <w:proofErr w:type="spellStart"/>
            <w:r w:rsidRPr="00D63D12">
              <w:rPr>
                <w:rFonts w:ascii="Arial" w:eastAsia="Calibri" w:hAnsi="Arial" w:cs="Arial"/>
                <w:szCs w:val="22"/>
              </w:rPr>
              <w:t>Telaga</w:t>
            </w:r>
            <w:proofErr w:type="spellEnd"/>
            <w:r w:rsidRPr="00D63D12">
              <w:rPr>
                <w:rFonts w:ascii="Arial" w:eastAsia="Calibri" w:hAnsi="Arial" w:cs="Arial"/>
                <w:szCs w:val="22"/>
              </w:rPr>
              <w:t xml:space="preserve"> District, Gorontalo Regency, Gorontalo Province, is a problem in itself. This study aims to analyze the influence of learning independence, learning facilities, and learning motivation on the academic achievement of 11th-grade students in the Economics subject at SMA Negeri 1 </w:t>
            </w:r>
            <w:proofErr w:type="spellStart"/>
            <w:r w:rsidRPr="00D63D12">
              <w:rPr>
                <w:rFonts w:ascii="Arial" w:eastAsia="Calibri" w:hAnsi="Arial" w:cs="Arial"/>
                <w:szCs w:val="22"/>
              </w:rPr>
              <w:t>Telaga</w:t>
            </w:r>
            <w:proofErr w:type="spellEnd"/>
            <w:r w:rsidRPr="00D63D12">
              <w:rPr>
                <w:rFonts w:ascii="Arial" w:eastAsia="Calibri" w:hAnsi="Arial" w:cs="Arial"/>
                <w:szCs w:val="22"/>
              </w:rPr>
              <w:t>, Gorontalo Regency. The research was conducted over a period of 6 months, from July to December 2024. This study employs a quantitative approach using the SEM PLS method to analyze the relationships between variables. The study involved a sample of 156 students. Data collection instruments included questionnaires and observations. The results showed that, both partially and simultaneously, learning independence, learning facilities, and learning motivation significantly and positively influence students' learning outcomes. These findings emphasize the importance of enhancing these three factors to improve the quality of learning and students' learning outcomes in the Economics subject.</w:t>
            </w:r>
          </w:p>
        </w:tc>
      </w:tr>
    </w:tbl>
    <w:p w14:paraId="13D20539" w14:textId="77777777" w:rsidR="00636EB2" w:rsidRDefault="00636EB2" w:rsidP="00441B6F">
      <w:pPr>
        <w:pStyle w:val="Body"/>
        <w:spacing w:after="0"/>
        <w:rPr>
          <w:rFonts w:ascii="Arial" w:hAnsi="Arial" w:cs="Arial"/>
          <w:i/>
        </w:rPr>
      </w:pPr>
    </w:p>
    <w:p w14:paraId="7B1F1673" w14:textId="38EB2D45" w:rsidR="00A24E7E" w:rsidRDefault="00A24E7E" w:rsidP="00441B6F">
      <w:pPr>
        <w:pStyle w:val="Body"/>
        <w:spacing w:after="0"/>
        <w:rPr>
          <w:rFonts w:ascii="Arial" w:hAnsi="Arial" w:cs="Arial"/>
          <w:i/>
        </w:rPr>
      </w:pPr>
      <w:r>
        <w:rPr>
          <w:rFonts w:ascii="Arial" w:hAnsi="Arial" w:cs="Arial"/>
          <w:i/>
        </w:rPr>
        <w:t xml:space="preserve">Keywords: </w:t>
      </w:r>
      <w:r w:rsidR="005F718B" w:rsidRPr="005F718B">
        <w:rPr>
          <w:rFonts w:ascii="Arial" w:hAnsi="Arial" w:cs="Arial"/>
          <w:i/>
        </w:rPr>
        <w:t>Learning Independence, Learning Facilities, Learning Motivation, Learning Outcomes</w:t>
      </w:r>
    </w:p>
    <w:p w14:paraId="72AD2333" w14:textId="77777777" w:rsidR="00790ADA" w:rsidRDefault="00790ADA" w:rsidP="00441B6F">
      <w:pPr>
        <w:pStyle w:val="Body"/>
        <w:spacing w:after="0"/>
        <w:rPr>
          <w:rFonts w:ascii="Arial" w:hAnsi="Arial" w:cs="Arial"/>
          <w:i/>
        </w:rPr>
      </w:pPr>
    </w:p>
    <w:p w14:paraId="7A6681B2" w14:textId="49EEC270" w:rsidR="00B52896" w:rsidRDefault="00B52896" w:rsidP="00010B4A">
      <w:pPr>
        <w:pStyle w:val="Body"/>
        <w:spacing w:after="0"/>
        <w:rPr>
          <w:rFonts w:ascii="Arial" w:hAnsi="Arial" w:cs="Arial"/>
          <w:i/>
          <w:sz w:val="18"/>
        </w:rPr>
      </w:pPr>
    </w:p>
    <w:p w14:paraId="498A7B7B" w14:textId="77777777" w:rsidR="0024282C" w:rsidRDefault="0024282C" w:rsidP="00441B6F">
      <w:pPr>
        <w:pStyle w:val="Body"/>
        <w:spacing w:after="0"/>
        <w:rPr>
          <w:rFonts w:ascii="Arial" w:hAnsi="Arial" w:cs="Arial"/>
          <w:i/>
          <w:sz w:val="18"/>
        </w:rPr>
      </w:pPr>
    </w:p>
    <w:p w14:paraId="60AFF439" w14:textId="77777777" w:rsidR="00505F06" w:rsidRPr="00A24E7E" w:rsidRDefault="00505F06" w:rsidP="00441B6F">
      <w:pPr>
        <w:pStyle w:val="Body"/>
        <w:spacing w:after="0"/>
        <w:rPr>
          <w:rFonts w:ascii="Arial" w:hAnsi="Arial" w:cs="Arial"/>
          <w:i/>
        </w:rPr>
      </w:pPr>
    </w:p>
    <w:p w14:paraId="5939270A"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09B9FE6" w14:textId="77777777" w:rsidR="005F718B" w:rsidRPr="005F718B" w:rsidRDefault="006B57D0" w:rsidP="005F718B">
      <w:pPr>
        <w:pStyle w:val="Body"/>
        <w:rPr>
          <w:rFonts w:ascii="Arial" w:eastAsia="Calibri" w:hAnsi="Arial" w:cs="Arial"/>
          <w:szCs w:val="22"/>
        </w:rPr>
      </w:pPr>
      <w:r>
        <w:rPr>
          <w:rFonts w:ascii="Arial" w:hAnsi="Arial" w:cs="Arial"/>
        </w:rPr>
        <w:t>[</w:t>
      </w:r>
      <w:r w:rsidR="005F718B" w:rsidRPr="005F718B">
        <w:rPr>
          <w:rFonts w:ascii="Arial" w:eastAsia="Calibri" w:hAnsi="Arial" w:cs="Arial"/>
          <w:szCs w:val="22"/>
        </w:rPr>
        <w:t xml:space="preserve">Education plays an important role in the development of quality human resources. One indicator of the success of education is student learning outcomes. Learning outcomes reflect the extent to which students understand the learning material taught, including in economic subjects. However, differences in learning outcomes among students are often influenced by various factors both internal and external. </w:t>
      </w:r>
    </w:p>
    <w:p w14:paraId="2F07A434" w14:textId="30122829" w:rsidR="00B649E3" w:rsidRPr="00B649E3" w:rsidRDefault="00B649E3" w:rsidP="00B649E3">
      <w:pPr>
        <w:pStyle w:val="Body"/>
        <w:rPr>
          <w:rFonts w:ascii="Arial" w:eastAsia="Calibri" w:hAnsi="Arial" w:cs="Arial"/>
          <w:szCs w:val="22"/>
        </w:rPr>
      </w:pPr>
      <w:r w:rsidRPr="00B649E3">
        <w:rPr>
          <w:rFonts w:ascii="Arial" w:eastAsia="Calibri" w:hAnsi="Arial" w:cs="Arial"/>
          <w:szCs w:val="22"/>
        </w:rPr>
        <w:t>Success in the learning process can be seen through student learning outcomes which are assessed based on three cognitive, affective, and psychomotor aspects (</w:t>
      </w:r>
      <w:proofErr w:type="spellStart"/>
      <w:r w:rsidRPr="00B649E3">
        <w:rPr>
          <w:rFonts w:ascii="Arial" w:eastAsia="Calibri" w:hAnsi="Arial" w:cs="Arial"/>
          <w:szCs w:val="22"/>
        </w:rPr>
        <w:t>Rahmawati</w:t>
      </w:r>
      <w:proofErr w:type="spellEnd"/>
      <w:r w:rsidRPr="00B649E3">
        <w:rPr>
          <w:rFonts w:ascii="Arial" w:eastAsia="Calibri" w:hAnsi="Arial" w:cs="Arial"/>
          <w:szCs w:val="22"/>
        </w:rPr>
        <w:t xml:space="preserve"> et al., 2021). Learning outcomes are influenced by students' experiences in interacting with the environment and learning materials, which are strongly influenced by their motivation and prior knowledge. In addition, learning outcomes reflect observable changes in behavior in aspects of knowledge, attitudes, and skills (Mustafa &amp; </w:t>
      </w:r>
      <w:proofErr w:type="spellStart"/>
      <w:r w:rsidRPr="00B649E3">
        <w:rPr>
          <w:rFonts w:ascii="Arial" w:eastAsia="Calibri" w:hAnsi="Arial" w:cs="Arial"/>
          <w:szCs w:val="22"/>
        </w:rPr>
        <w:t>Masgumelar</w:t>
      </w:r>
      <w:proofErr w:type="spellEnd"/>
      <w:r w:rsidRPr="00B649E3">
        <w:rPr>
          <w:rFonts w:ascii="Arial" w:eastAsia="Calibri" w:hAnsi="Arial" w:cs="Arial"/>
          <w:szCs w:val="22"/>
        </w:rPr>
        <w:t>, 2022). These changes show significant development, for example from not knowing to knowing or from a bad attitude to a more positive one through the observation learning model (</w:t>
      </w:r>
      <w:proofErr w:type="spellStart"/>
      <w:r w:rsidRPr="00B649E3">
        <w:rPr>
          <w:rFonts w:ascii="Arial" w:eastAsia="Calibri" w:hAnsi="Arial" w:cs="Arial"/>
          <w:szCs w:val="22"/>
        </w:rPr>
        <w:t>Sulino</w:t>
      </w:r>
      <w:proofErr w:type="spellEnd"/>
      <w:r w:rsidRPr="00B649E3">
        <w:rPr>
          <w:rFonts w:ascii="Arial" w:eastAsia="Calibri" w:hAnsi="Arial" w:cs="Arial"/>
          <w:szCs w:val="22"/>
        </w:rPr>
        <w:t>, 2023).</w:t>
      </w:r>
    </w:p>
    <w:p w14:paraId="7CAF48DC" w14:textId="7E95FBA4" w:rsidR="005F718B" w:rsidRPr="005F718B" w:rsidRDefault="005F718B" w:rsidP="00B649E3">
      <w:pPr>
        <w:pStyle w:val="Body"/>
        <w:rPr>
          <w:rFonts w:ascii="Arial" w:eastAsia="Calibri" w:hAnsi="Arial" w:cs="Arial"/>
          <w:szCs w:val="22"/>
        </w:rPr>
      </w:pPr>
      <w:r w:rsidRPr="005F718B">
        <w:rPr>
          <w:rFonts w:ascii="Arial" w:eastAsia="Calibri" w:hAnsi="Arial" w:cs="Arial"/>
          <w:szCs w:val="22"/>
        </w:rPr>
        <w:t>The success of learning is determined by many factors, including the teacher as an educator who carries out the teaching and learning process. Teachers can directly influence, foster and improve the intelligence and skills of students. Therefore, an effort is needed in order to improve the quality of education and teaching, through strategies or ways and methods in delivering learning materials. So that an increase in student learning outcomes is obtained, especially in Economics lessons.</w:t>
      </w:r>
    </w:p>
    <w:p w14:paraId="6B8B0FCA"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The learning process can take place because of the interaction between students, teachers, and the interrelated curriculum. Students will learn optimally if supported by adequate learning facilities and infrastructure, interesting learning models, and active student involvement in the learning process. Active participation of students in learning activities can prevent the onset of boredom or boredom while in class. However, in practice, the learning process is still dominated by an authoritarian and instructive approach from the teacher. This condition can have an impact on low student learning outcomes. Optimal learning outcomes are not only determined by student motivation, but also influenced by the learning methods applied by the teacher.</w:t>
      </w:r>
    </w:p>
    <w:p w14:paraId="50E99990"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 xml:space="preserve">Improved learning outcomes are not only supported by students' willingness to learn, but the learning methods used can have an effect. Facts in the field show that there are still teachers who use learning models that are less interesting to </w:t>
      </w:r>
      <w:r w:rsidRPr="005F718B">
        <w:rPr>
          <w:rFonts w:ascii="Arial" w:eastAsia="Calibri" w:hAnsi="Arial" w:cs="Arial"/>
          <w:szCs w:val="22"/>
        </w:rPr>
        <w:lastRenderedPageBreak/>
        <w:t>students, which causes students to lack interest in learning. Current learning trends emphasize that students should learn through their own activities, involving direct understanding of concepts. Students are encouraged to gain learning experience through experimentation and are given the opportunity to discover principles independently. This approach aims to build a deeper and more meaningful understanding for students.</w:t>
      </w:r>
    </w:p>
    <w:p w14:paraId="2CB519C8" w14:textId="77777777" w:rsidR="005F718B" w:rsidRDefault="005F718B" w:rsidP="005F718B">
      <w:pPr>
        <w:pStyle w:val="Body"/>
        <w:rPr>
          <w:rFonts w:ascii="Arial" w:eastAsia="Calibri" w:hAnsi="Arial" w:cs="Arial"/>
          <w:szCs w:val="22"/>
        </w:rPr>
      </w:pPr>
      <w:r w:rsidRPr="005F718B">
        <w:rPr>
          <w:rFonts w:ascii="Arial" w:eastAsia="Calibri" w:hAnsi="Arial" w:cs="Arial"/>
          <w:szCs w:val="22"/>
        </w:rPr>
        <w:t xml:space="preserve">The learning process at school, teachers should choose and use approaches, methods, models, strategies and techniques that can involve students in the learning process so that students are active in the learning process, both mentally, physically and socially. With the interaction that occurs during the learning process is expected to have an influence on student learning outcomes, especially in economic subjects. The learning outcomes of students in economics subjects at SMA Negeri 1 </w:t>
      </w:r>
      <w:proofErr w:type="spellStart"/>
      <w:r w:rsidRPr="005F718B">
        <w:rPr>
          <w:rFonts w:ascii="Arial" w:eastAsia="Calibri" w:hAnsi="Arial" w:cs="Arial"/>
          <w:szCs w:val="22"/>
        </w:rPr>
        <w:t>Telaga</w:t>
      </w:r>
      <w:proofErr w:type="spellEnd"/>
      <w:r w:rsidRPr="005F718B">
        <w:rPr>
          <w:rFonts w:ascii="Arial" w:eastAsia="Calibri" w:hAnsi="Arial" w:cs="Arial"/>
          <w:szCs w:val="22"/>
        </w:rPr>
        <w:t xml:space="preserve"> are as follows:</w:t>
      </w:r>
    </w:p>
    <w:p w14:paraId="3AAAD9C9" w14:textId="77777777" w:rsidR="00DA3F9B" w:rsidRDefault="00DA3F9B" w:rsidP="005F718B">
      <w:pPr>
        <w:pStyle w:val="Body"/>
        <w:rPr>
          <w:rFonts w:ascii="Arial" w:eastAsia="Calibri" w:hAnsi="Arial" w:cs="Arial"/>
          <w:szCs w:val="22"/>
        </w:rPr>
      </w:pPr>
    </w:p>
    <w:p w14:paraId="4771BC7A" w14:textId="77777777" w:rsidR="005F718B" w:rsidRPr="00DA3F9B" w:rsidRDefault="005F718B" w:rsidP="00DA3F9B">
      <w:pPr>
        <w:pStyle w:val="Body"/>
        <w:rPr>
          <w:rFonts w:ascii="Arial" w:eastAsia="Calibri" w:hAnsi="Arial" w:cs="Arial"/>
          <w:b/>
          <w:szCs w:val="22"/>
        </w:rPr>
      </w:pPr>
      <w:r w:rsidRPr="00DA3F9B">
        <w:rPr>
          <w:rFonts w:ascii="Arial" w:eastAsia="Calibri" w:hAnsi="Arial" w:cs="Arial"/>
          <w:b/>
          <w:szCs w:val="22"/>
        </w:rPr>
        <w:t xml:space="preserve">Table 1. Student Learning Outcomes of SMA Negeri 1 </w:t>
      </w:r>
      <w:proofErr w:type="spellStart"/>
      <w:r w:rsidRPr="00DA3F9B">
        <w:rPr>
          <w:rFonts w:ascii="Arial" w:eastAsia="Calibri" w:hAnsi="Arial" w:cs="Arial"/>
          <w:b/>
          <w:szCs w:val="22"/>
        </w:rPr>
        <w:t>Telaga</w:t>
      </w:r>
      <w:proofErr w:type="spellEnd"/>
      <w:r w:rsidRPr="00DA3F9B">
        <w:rPr>
          <w:rFonts w:ascii="Arial" w:eastAsia="Calibri" w:hAnsi="Arial" w:cs="Arial"/>
          <w:b/>
          <w:szCs w:val="22"/>
        </w:rPr>
        <w:t xml:space="preserve"> 2024</w:t>
      </w:r>
    </w:p>
    <w:tbl>
      <w:tblPr>
        <w:tblStyle w:val="TableGrid"/>
        <w:tblW w:w="0" w:type="auto"/>
        <w:tblInd w:w="284" w:type="dxa"/>
        <w:tblLook w:val="04A0" w:firstRow="1" w:lastRow="0" w:firstColumn="1" w:lastColumn="0" w:noHBand="0" w:noVBand="1"/>
      </w:tblPr>
      <w:tblGrid>
        <w:gridCol w:w="551"/>
        <w:gridCol w:w="2729"/>
        <w:gridCol w:w="1705"/>
        <w:gridCol w:w="1710"/>
        <w:gridCol w:w="1445"/>
      </w:tblGrid>
      <w:tr w:rsidR="005F718B" w:rsidRPr="005F718B" w14:paraId="58FD0F19" w14:textId="77777777" w:rsidTr="003570CE">
        <w:trPr>
          <w:trHeight w:val="562"/>
        </w:trPr>
        <w:tc>
          <w:tcPr>
            <w:tcW w:w="551" w:type="dxa"/>
            <w:tcBorders>
              <w:left w:val="nil"/>
              <w:bottom w:val="single" w:sz="4" w:space="0" w:color="000000"/>
              <w:right w:val="nil"/>
            </w:tcBorders>
          </w:tcPr>
          <w:p w14:paraId="71586098" w14:textId="77777777" w:rsidR="005F718B" w:rsidRPr="00DA3F9B" w:rsidRDefault="005F718B" w:rsidP="00191D6D">
            <w:pPr>
              <w:pStyle w:val="Body"/>
              <w:spacing w:after="0"/>
              <w:jc w:val="center"/>
              <w:rPr>
                <w:rFonts w:ascii="Arial" w:hAnsi="Arial" w:cs="Arial"/>
                <w:b/>
                <w:sz w:val="20"/>
              </w:rPr>
            </w:pPr>
            <w:r w:rsidRPr="00DA3F9B">
              <w:rPr>
                <w:rFonts w:ascii="Arial" w:hAnsi="Arial" w:cs="Arial"/>
                <w:b/>
                <w:sz w:val="20"/>
              </w:rPr>
              <w:t>No</w:t>
            </w:r>
          </w:p>
        </w:tc>
        <w:tc>
          <w:tcPr>
            <w:tcW w:w="2729" w:type="dxa"/>
            <w:tcBorders>
              <w:left w:val="nil"/>
              <w:bottom w:val="single" w:sz="4" w:space="0" w:color="000000"/>
              <w:right w:val="nil"/>
            </w:tcBorders>
          </w:tcPr>
          <w:p w14:paraId="667EA3F9" w14:textId="77777777" w:rsidR="005F718B" w:rsidRPr="00DA3F9B" w:rsidRDefault="005F718B" w:rsidP="00191D6D">
            <w:pPr>
              <w:pStyle w:val="Body"/>
              <w:spacing w:after="0"/>
              <w:jc w:val="center"/>
              <w:rPr>
                <w:rFonts w:ascii="Arial" w:hAnsi="Arial" w:cs="Arial"/>
                <w:b/>
                <w:sz w:val="20"/>
              </w:rPr>
            </w:pPr>
            <w:r w:rsidRPr="00DA3F9B">
              <w:rPr>
                <w:rFonts w:ascii="Arial" w:hAnsi="Arial" w:cs="Arial"/>
                <w:b/>
                <w:sz w:val="20"/>
              </w:rPr>
              <w:t>Class</w:t>
            </w:r>
          </w:p>
        </w:tc>
        <w:tc>
          <w:tcPr>
            <w:tcW w:w="1705" w:type="dxa"/>
            <w:tcBorders>
              <w:left w:val="nil"/>
              <w:bottom w:val="single" w:sz="4" w:space="0" w:color="000000"/>
              <w:right w:val="nil"/>
            </w:tcBorders>
          </w:tcPr>
          <w:p w14:paraId="236571EF" w14:textId="77777777" w:rsidR="005F718B" w:rsidRPr="00DA3F9B" w:rsidRDefault="005F718B" w:rsidP="00191D6D">
            <w:pPr>
              <w:pStyle w:val="Body"/>
              <w:spacing w:after="0"/>
              <w:jc w:val="center"/>
              <w:rPr>
                <w:rFonts w:ascii="Arial" w:hAnsi="Arial" w:cs="Arial"/>
                <w:b/>
                <w:sz w:val="20"/>
              </w:rPr>
            </w:pPr>
            <w:r w:rsidRPr="00DA3F9B">
              <w:rPr>
                <w:rFonts w:ascii="Arial" w:hAnsi="Arial" w:cs="Arial"/>
                <w:b/>
                <w:sz w:val="20"/>
              </w:rPr>
              <w:t>Number of Students</w:t>
            </w:r>
          </w:p>
        </w:tc>
        <w:tc>
          <w:tcPr>
            <w:tcW w:w="1710" w:type="dxa"/>
            <w:tcBorders>
              <w:left w:val="nil"/>
              <w:bottom w:val="single" w:sz="4" w:space="0" w:color="000000"/>
              <w:right w:val="nil"/>
            </w:tcBorders>
          </w:tcPr>
          <w:p w14:paraId="05D09593" w14:textId="77777777" w:rsidR="005F718B" w:rsidRPr="00DA3F9B" w:rsidRDefault="005F718B" w:rsidP="00191D6D">
            <w:pPr>
              <w:pStyle w:val="Body"/>
              <w:spacing w:after="0"/>
              <w:jc w:val="center"/>
              <w:rPr>
                <w:rFonts w:ascii="Arial" w:hAnsi="Arial" w:cs="Arial"/>
                <w:b/>
                <w:sz w:val="20"/>
              </w:rPr>
            </w:pPr>
            <w:r w:rsidRPr="00DA3F9B">
              <w:rPr>
                <w:rFonts w:ascii="Arial" w:hAnsi="Arial" w:cs="Arial"/>
                <w:b/>
                <w:sz w:val="20"/>
              </w:rPr>
              <w:t>Achieved – Minimum Mastery Criteria (75)</w:t>
            </w:r>
          </w:p>
        </w:tc>
        <w:tc>
          <w:tcPr>
            <w:tcW w:w="1445" w:type="dxa"/>
            <w:tcBorders>
              <w:left w:val="nil"/>
              <w:bottom w:val="single" w:sz="4" w:space="0" w:color="000000"/>
              <w:right w:val="nil"/>
            </w:tcBorders>
          </w:tcPr>
          <w:p w14:paraId="2E06E146" w14:textId="77777777" w:rsidR="005F718B" w:rsidRPr="00DA3F9B" w:rsidRDefault="005F718B" w:rsidP="00191D6D">
            <w:pPr>
              <w:pStyle w:val="Body"/>
              <w:spacing w:after="0"/>
              <w:jc w:val="center"/>
              <w:rPr>
                <w:rFonts w:ascii="Arial" w:hAnsi="Arial" w:cs="Arial"/>
                <w:b/>
                <w:sz w:val="20"/>
              </w:rPr>
            </w:pPr>
            <w:r w:rsidRPr="00DA3F9B">
              <w:rPr>
                <w:rFonts w:ascii="Arial" w:hAnsi="Arial" w:cs="Arial"/>
                <w:b/>
                <w:sz w:val="20"/>
              </w:rPr>
              <w:t>Not Achieved – Minimum Mastery Criteria</w:t>
            </w:r>
          </w:p>
        </w:tc>
      </w:tr>
      <w:tr w:rsidR="005F718B" w:rsidRPr="005F718B" w14:paraId="54434866" w14:textId="77777777" w:rsidTr="003570CE">
        <w:tc>
          <w:tcPr>
            <w:tcW w:w="551" w:type="dxa"/>
            <w:tcBorders>
              <w:left w:val="nil"/>
              <w:bottom w:val="nil"/>
              <w:right w:val="nil"/>
            </w:tcBorders>
          </w:tcPr>
          <w:p w14:paraId="7F3915A8" w14:textId="77777777" w:rsidR="005F718B" w:rsidRPr="005F718B" w:rsidRDefault="005F718B" w:rsidP="00DA3F9B">
            <w:pPr>
              <w:pStyle w:val="Body"/>
              <w:spacing w:after="0"/>
              <w:rPr>
                <w:rFonts w:ascii="Arial" w:hAnsi="Arial" w:cs="Arial"/>
                <w:sz w:val="20"/>
              </w:rPr>
            </w:pPr>
            <w:r w:rsidRPr="005F718B">
              <w:rPr>
                <w:rFonts w:ascii="Arial" w:hAnsi="Arial" w:cs="Arial"/>
                <w:sz w:val="20"/>
              </w:rPr>
              <w:t>1.</w:t>
            </w:r>
          </w:p>
        </w:tc>
        <w:tc>
          <w:tcPr>
            <w:tcW w:w="2729" w:type="dxa"/>
            <w:tcBorders>
              <w:left w:val="nil"/>
              <w:bottom w:val="nil"/>
              <w:right w:val="nil"/>
            </w:tcBorders>
          </w:tcPr>
          <w:p w14:paraId="4C00DD98"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1</w:t>
            </w:r>
          </w:p>
        </w:tc>
        <w:tc>
          <w:tcPr>
            <w:tcW w:w="1705" w:type="dxa"/>
            <w:tcBorders>
              <w:left w:val="nil"/>
              <w:bottom w:val="nil"/>
              <w:right w:val="nil"/>
            </w:tcBorders>
          </w:tcPr>
          <w:p w14:paraId="5841EAF5" w14:textId="77777777" w:rsidR="005F718B" w:rsidRPr="005F718B" w:rsidRDefault="005F718B" w:rsidP="00DA3F9B">
            <w:pPr>
              <w:pStyle w:val="Body"/>
              <w:spacing w:after="0"/>
              <w:rPr>
                <w:rFonts w:ascii="Arial" w:hAnsi="Arial" w:cs="Arial"/>
                <w:sz w:val="20"/>
              </w:rPr>
            </w:pPr>
            <w:r w:rsidRPr="005F718B">
              <w:rPr>
                <w:rFonts w:ascii="Arial" w:hAnsi="Arial" w:cs="Arial"/>
                <w:sz w:val="20"/>
              </w:rPr>
              <w:t>28</w:t>
            </w:r>
          </w:p>
        </w:tc>
        <w:tc>
          <w:tcPr>
            <w:tcW w:w="1710" w:type="dxa"/>
            <w:tcBorders>
              <w:left w:val="nil"/>
              <w:bottom w:val="nil"/>
              <w:right w:val="nil"/>
            </w:tcBorders>
          </w:tcPr>
          <w:p w14:paraId="73DF9191" w14:textId="77777777" w:rsidR="005F718B" w:rsidRPr="005F718B" w:rsidRDefault="005F718B" w:rsidP="00DA3F9B">
            <w:pPr>
              <w:pStyle w:val="Body"/>
              <w:spacing w:after="0"/>
              <w:rPr>
                <w:rFonts w:ascii="Arial" w:hAnsi="Arial" w:cs="Arial"/>
                <w:sz w:val="20"/>
              </w:rPr>
            </w:pPr>
            <w:r w:rsidRPr="005F718B">
              <w:rPr>
                <w:rFonts w:ascii="Arial" w:hAnsi="Arial" w:cs="Arial"/>
                <w:sz w:val="20"/>
              </w:rPr>
              <w:t>75%</w:t>
            </w:r>
          </w:p>
        </w:tc>
        <w:tc>
          <w:tcPr>
            <w:tcW w:w="1445" w:type="dxa"/>
            <w:tcBorders>
              <w:left w:val="nil"/>
              <w:bottom w:val="nil"/>
              <w:right w:val="nil"/>
            </w:tcBorders>
          </w:tcPr>
          <w:p w14:paraId="62E05C56" w14:textId="77777777" w:rsidR="005F718B" w:rsidRPr="005F718B" w:rsidRDefault="005F718B" w:rsidP="00DA3F9B">
            <w:pPr>
              <w:pStyle w:val="Body"/>
              <w:spacing w:after="0"/>
              <w:rPr>
                <w:rFonts w:ascii="Arial" w:hAnsi="Arial" w:cs="Arial"/>
                <w:sz w:val="20"/>
              </w:rPr>
            </w:pPr>
            <w:r w:rsidRPr="005F718B">
              <w:rPr>
                <w:rFonts w:ascii="Arial" w:hAnsi="Arial" w:cs="Arial"/>
                <w:sz w:val="20"/>
              </w:rPr>
              <w:t>25%</w:t>
            </w:r>
          </w:p>
        </w:tc>
      </w:tr>
      <w:tr w:rsidR="005F718B" w:rsidRPr="005F718B" w14:paraId="038DDBDD" w14:textId="77777777" w:rsidTr="003570CE">
        <w:tc>
          <w:tcPr>
            <w:tcW w:w="551" w:type="dxa"/>
            <w:tcBorders>
              <w:top w:val="nil"/>
              <w:left w:val="nil"/>
              <w:bottom w:val="nil"/>
              <w:right w:val="nil"/>
            </w:tcBorders>
          </w:tcPr>
          <w:p w14:paraId="343D663E" w14:textId="77777777" w:rsidR="005F718B" w:rsidRPr="005F718B" w:rsidRDefault="005F718B" w:rsidP="00DA3F9B">
            <w:pPr>
              <w:pStyle w:val="Body"/>
              <w:spacing w:after="0"/>
              <w:rPr>
                <w:rFonts w:ascii="Arial" w:hAnsi="Arial" w:cs="Arial"/>
                <w:sz w:val="20"/>
              </w:rPr>
            </w:pPr>
            <w:r w:rsidRPr="005F718B">
              <w:rPr>
                <w:rFonts w:ascii="Arial" w:hAnsi="Arial" w:cs="Arial"/>
                <w:sz w:val="20"/>
              </w:rPr>
              <w:t>2.</w:t>
            </w:r>
          </w:p>
        </w:tc>
        <w:tc>
          <w:tcPr>
            <w:tcW w:w="2729" w:type="dxa"/>
            <w:tcBorders>
              <w:top w:val="nil"/>
              <w:left w:val="nil"/>
              <w:bottom w:val="nil"/>
              <w:right w:val="nil"/>
            </w:tcBorders>
          </w:tcPr>
          <w:p w14:paraId="328835A9"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2</w:t>
            </w:r>
          </w:p>
        </w:tc>
        <w:tc>
          <w:tcPr>
            <w:tcW w:w="1705" w:type="dxa"/>
            <w:tcBorders>
              <w:top w:val="nil"/>
              <w:left w:val="nil"/>
              <w:bottom w:val="nil"/>
              <w:right w:val="nil"/>
            </w:tcBorders>
          </w:tcPr>
          <w:p w14:paraId="2E7F65C5" w14:textId="77777777" w:rsidR="005F718B" w:rsidRPr="005F718B" w:rsidRDefault="005F718B" w:rsidP="00DA3F9B">
            <w:pPr>
              <w:pStyle w:val="Body"/>
              <w:spacing w:after="0"/>
              <w:rPr>
                <w:rFonts w:ascii="Arial" w:hAnsi="Arial" w:cs="Arial"/>
                <w:sz w:val="20"/>
              </w:rPr>
            </w:pPr>
            <w:r w:rsidRPr="005F718B">
              <w:rPr>
                <w:rFonts w:ascii="Arial" w:hAnsi="Arial" w:cs="Arial"/>
                <w:sz w:val="20"/>
              </w:rPr>
              <w:t>30</w:t>
            </w:r>
          </w:p>
        </w:tc>
        <w:tc>
          <w:tcPr>
            <w:tcW w:w="1710" w:type="dxa"/>
            <w:tcBorders>
              <w:top w:val="nil"/>
              <w:left w:val="nil"/>
              <w:bottom w:val="nil"/>
              <w:right w:val="nil"/>
            </w:tcBorders>
          </w:tcPr>
          <w:p w14:paraId="686FF415" w14:textId="77777777" w:rsidR="005F718B" w:rsidRPr="005F718B" w:rsidRDefault="005F718B" w:rsidP="00DA3F9B">
            <w:pPr>
              <w:pStyle w:val="Body"/>
              <w:spacing w:after="0"/>
              <w:rPr>
                <w:rFonts w:ascii="Arial" w:hAnsi="Arial" w:cs="Arial"/>
                <w:sz w:val="20"/>
              </w:rPr>
            </w:pPr>
            <w:r w:rsidRPr="005F718B">
              <w:rPr>
                <w:rFonts w:ascii="Arial" w:hAnsi="Arial" w:cs="Arial"/>
                <w:sz w:val="20"/>
              </w:rPr>
              <w:t>60%</w:t>
            </w:r>
          </w:p>
        </w:tc>
        <w:tc>
          <w:tcPr>
            <w:tcW w:w="1445" w:type="dxa"/>
            <w:tcBorders>
              <w:top w:val="nil"/>
              <w:left w:val="nil"/>
              <w:bottom w:val="nil"/>
              <w:right w:val="nil"/>
            </w:tcBorders>
          </w:tcPr>
          <w:p w14:paraId="29F3A857" w14:textId="77777777" w:rsidR="005F718B" w:rsidRPr="005F718B" w:rsidRDefault="005F718B" w:rsidP="00DA3F9B">
            <w:pPr>
              <w:pStyle w:val="Body"/>
              <w:spacing w:after="0"/>
              <w:rPr>
                <w:rFonts w:ascii="Arial" w:hAnsi="Arial" w:cs="Arial"/>
                <w:sz w:val="20"/>
              </w:rPr>
            </w:pPr>
            <w:r w:rsidRPr="005F718B">
              <w:rPr>
                <w:rFonts w:ascii="Arial" w:hAnsi="Arial" w:cs="Arial"/>
                <w:sz w:val="20"/>
              </w:rPr>
              <w:t>40%</w:t>
            </w:r>
          </w:p>
        </w:tc>
      </w:tr>
      <w:tr w:rsidR="005F718B" w:rsidRPr="005F718B" w14:paraId="00A5E1F6" w14:textId="77777777" w:rsidTr="003570CE">
        <w:tc>
          <w:tcPr>
            <w:tcW w:w="551" w:type="dxa"/>
            <w:tcBorders>
              <w:top w:val="nil"/>
              <w:left w:val="nil"/>
              <w:bottom w:val="nil"/>
              <w:right w:val="nil"/>
            </w:tcBorders>
          </w:tcPr>
          <w:p w14:paraId="743860FC" w14:textId="77777777" w:rsidR="005F718B" w:rsidRPr="005F718B" w:rsidRDefault="005F718B" w:rsidP="00DA3F9B">
            <w:pPr>
              <w:pStyle w:val="Body"/>
              <w:spacing w:after="0"/>
              <w:rPr>
                <w:rFonts w:ascii="Arial" w:hAnsi="Arial" w:cs="Arial"/>
                <w:sz w:val="20"/>
              </w:rPr>
            </w:pPr>
            <w:r w:rsidRPr="005F718B">
              <w:rPr>
                <w:rFonts w:ascii="Arial" w:hAnsi="Arial" w:cs="Arial"/>
                <w:sz w:val="20"/>
              </w:rPr>
              <w:t>3.</w:t>
            </w:r>
          </w:p>
        </w:tc>
        <w:tc>
          <w:tcPr>
            <w:tcW w:w="2729" w:type="dxa"/>
            <w:tcBorders>
              <w:top w:val="nil"/>
              <w:left w:val="nil"/>
              <w:bottom w:val="nil"/>
              <w:right w:val="nil"/>
            </w:tcBorders>
          </w:tcPr>
          <w:p w14:paraId="31ED8A20"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3</w:t>
            </w:r>
          </w:p>
        </w:tc>
        <w:tc>
          <w:tcPr>
            <w:tcW w:w="1705" w:type="dxa"/>
            <w:tcBorders>
              <w:top w:val="nil"/>
              <w:left w:val="nil"/>
              <w:bottom w:val="nil"/>
              <w:right w:val="nil"/>
            </w:tcBorders>
          </w:tcPr>
          <w:p w14:paraId="00D8BABB" w14:textId="77777777" w:rsidR="005F718B" w:rsidRPr="005F718B" w:rsidRDefault="005F718B" w:rsidP="00DA3F9B">
            <w:pPr>
              <w:pStyle w:val="Body"/>
              <w:spacing w:after="0"/>
              <w:rPr>
                <w:rFonts w:ascii="Arial" w:hAnsi="Arial" w:cs="Arial"/>
                <w:sz w:val="20"/>
              </w:rPr>
            </w:pPr>
            <w:r w:rsidRPr="005F718B">
              <w:rPr>
                <w:rFonts w:ascii="Arial" w:hAnsi="Arial" w:cs="Arial"/>
                <w:sz w:val="20"/>
              </w:rPr>
              <w:t>28</w:t>
            </w:r>
          </w:p>
        </w:tc>
        <w:tc>
          <w:tcPr>
            <w:tcW w:w="1710" w:type="dxa"/>
            <w:tcBorders>
              <w:top w:val="nil"/>
              <w:left w:val="nil"/>
              <w:bottom w:val="nil"/>
              <w:right w:val="nil"/>
            </w:tcBorders>
          </w:tcPr>
          <w:p w14:paraId="158047E4" w14:textId="77777777" w:rsidR="005F718B" w:rsidRPr="005F718B" w:rsidRDefault="005F718B" w:rsidP="00DA3F9B">
            <w:pPr>
              <w:pStyle w:val="Body"/>
              <w:spacing w:after="0"/>
              <w:rPr>
                <w:rFonts w:ascii="Arial" w:hAnsi="Arial" w:cs="Arial"/>
                <w:sz w:val="20"/>
              </w:rPr>
            </w:pPr>
            <w:r w:rsidRPr="005F718B">
              <w:rPr>
                <w:rFonts w:ascii="Arial" w:hAnsi="Arial" w:cs="Arial"/>
                <w:sz w:val="20"/>
              </w:rPr>
              <w:t>50%</w:t>
            </w:r>
          </w:p>
        </w:tc>
        <w:tc>
          <w:tcPr>
            <w:tcW w:w="1445" w:type="dxa"/>
            <w:tcBorders>
              <w:top w:val="nil"/>
              <w:left w:val="nil"/>
              <w:bottom w:val="nil"/>
              <w:right w:val="nil"/>
            </w:tcBorders>
          </w:tcPr>
          <w:p w14:paraId="7552B2E5" w14:textId="77777777" w:rsidR="005F718B" w:rsidRPr="005F718B" w:rsidRDefault="005F718B" w:rsidP="00DA3F9B">
            <w:pPr>
              <w:pStyle w:val="Body"/>
              <w:spacing w:after="0"/>
              <w:rPr>
                <w:rFonts w:ascii="Arial" w:hAnsi="Arial" w:cs="Arial"/>
                <w:sz w:val="20"/>
              </w:rPr>
            </w:pPr>
            <w:r w:rsidRPr="005F718B">
              <w:rPr>
                <w:rFonts w:ascii="Arial" w:hAnsi="Arial" w:cs="Arial"/>
                <w:sz w:val="20"/>
              </w:rPr>
              <w:t>50%</w:t>
            </w:r>
          </w:p>
        </w:tc>
      </w:tr>
      <w:tr w:rsidR="005F718B" w:rsidRPr="005F718B" w14:paraId="15DA315B" w14:textId="77777777" w:rsidTr="003570CE">
        <w:tc>
          <w:tcPr>
            <w:tcW w:w="551" w:type="dxa"/>
            <w:tcBorders>
              <w:top w:val="nil"/>
              <w:left w:val="nil"/>
              <w:bottom w:val="nil"/>
              <w:right w:val="nil"/>
            </w:tcBorders>
          </w:tcPr>
          <w:p w14:paraId="76DA3F4E" w14:textId="77777777" w:rsidR="005F718B" w:rsidRPr="005F718B" w:rsidRDefault="005F718B" w:rsidP="00DA3F9B">
            <w:pPr>
              <w:pStyle w:val="Body"/>
              <w:spacing w:after="0"/>
              <w:rPr>
                <w:rFonts w:ascii="Arial" w:hAnsi="Arial" w:cs="Arial"/>
                <w:sz w:val="20"/>
              </w:rPr>
            </w:pPr>
            <w:r w:rsidRPr="005F718B">
              <w:rPr>
                <w:rFonts w:ascii="Arial" w:hAnsi="Arial" w:cs="Arial"/>
                <w:sz w:val="20"/>
              </w:rPr>
              <w:t>4.</w:t>
            </w:r>
          </w:p>
        </w:tc>
        <w:tc>
          <w:tcPr>
            <w:tcW w:w="2729" w:type="dxa"/>
            <w:tcBorders>
              <w:top w:val="nil"/>
              <w:left w:val="nil"/>
              <w:bottom w:val="nil"/>
              <w:right w:val="nil"/>
            </w:tcBorders>
          </w:tcPr>
          <w:p w14:paraId="2DBB823C"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4</w:t>
            </w:r>
          </w:p>
        </w:tc>
        <w:tc>
          <w:tcPr>
            <w:tcW w:w="1705" w:type="dxa"/>
            <w:tcBorders>
              <w:top w:val="nil"/>
              <w:left w:val="nil"/>
              <w:bottom w:val="nil"/>
              <w:right w:val="nil"/>
            </w:tcBorders>
          </w:tcPr>
          <w:p w14:paraId="0D7FF039" w14:textId="77777777" w:rsidR="005F718B" w:rsidRPr="005F718B" w:rsidRDefault="005F718B" w:rsidP="00DA3F9B">
            <w:pPr>
              <w:pStyle w:val="Body"/>
              <w:spacing w:after="0"/>
              <w:rPr>
                <w:rFonts w:ascii="Arial" w:hAnsi="Arial" w:cs="Arial"/>
                <w:sz w:val="20"/>
              </w:rPr>
            </w:pPr>
            <w:r w:rsidRPr="005F718B">
              <w:rPr>
                <w:rFonts w:ascii="Arial" w:hAnsi="Arial" w:cs="Arial"/>
                <w:sz w:val="20"/>
              </w:rPr>
              <w:t>29</w:t>
            </w:r>
          </w:p>
        </w:tc>
        <w:tc>
          <w:tcPr>
            <w:tcW w:w="1710" w:type="dxa"/>
            <w:tcBorders>
              <w:top w:val="nil"/>
              <w:left w:val="nil"/>
              <w:bottom w:val="nil"/>
              <w:right w:val="nil"/>
            </w:tcBorders>
          </w:tcPr>
          <w:p w14:paraId="002F6592" w14:textId="77777777" w:rsidR="005F718B" w:rsidRPr="005F718B" w:rsidRDefault="005F718B" w:rsidP="00DA3F9B">
            <w:pPr>
              <w:pStyle w:val="Body"/>
              <w:spacing w:after="0"/>
              <w:rPr>
                <w:rFonts w:ascii="Arial" w:hAnsi="Arial" w:cs="Arial"/>
                <w:sz w:val="20"/>
              </w:rPr>
            </w:pPr>
            <w:r w:rsidRPr="005F718B">
              <w:rPr>
                <w:rFonts w:ascii="Arial" w:hAnsi="Arial" w:cs="Arial"/>
                <w:sz w:val="20"/>
              </w:rPr>
              <w:t>47%</w:t>
            </w:r>
          </w:p>
        </w:tc>
        <w:tc>
          <w:tcPr>
            <w:tcW w:w="1445" w:type="dxa"/>
            <w:tcBorders>
              <w:top w:val="nil"/>
              <w:left w:val="nil"/>
              <w:bottom w:val="nil"/>
              <w:right w:val="nil"/>
            </w:tcBorders>
          </w:tcPr>
          <w:p w14:paraId="3558419F" w14:textId="77777777" w:rsidR="005F718B" w:rsidRPr="005F718B" w:rsidRDefault="005F718B" w:rsidP="00DA3F9B">
            <w:pPr>
              <w:pStyle w:val="Body"/>
              <w:spacing w:after="0"/>
              <w:rPr>
                <w:rFonts w:ascii="Arial" w:hAnsi="Arial" w:cs="Arial"/>
                <w:sz w:val="20"/>
              </w:rPr>
            </w:pPr>
            <w:r w:rsidRPr="005F718B">
              <w:rPr>
                <w:rFonts w:ascii="Arial" w:hAnsi="Arial" w:cs="Arial"/>
                <w:sz w:val="20"/>
              </w:rPr>
              <w:t>53%</w:t>
            </w:r>
          </w:p>
        </w:tc>
      </w:tr>
      <w:tr w:rsidR="005F718B" w:rsidRPr="005F718B" w14:paraId="6B24AB44" w14:textId="77777777" w:rsidTr="003570CE">
        <w:tc>
          <w:tcPr>
            <w:tcW w:w="551" w:type="dxa"/>
            <w:tcBorders>
              <w:top w:val="nil"/>
              <w:left w:val="nil"/>
              <w:bottom w:val="nil"/>
              <w:right w:val="nil"/>
            </w:tcBorders>
          </w:tcPr>
          <w:p w14:paraId="6EA42195" w14:textId="77777777" w:rsidR="005F718B" w:rsidRPr="005F718B" w:rsidRDefault="005F718B" w:rsidP="00DA3F9B">
            <w:pPr>
              <w:pStyle w:val="Body"/>
              <w:spacing w:after="0"/>
              <w:rPr>
                <w:rFonts w:ascii="Arial" w:hAnsi="Arial" w:cs="Arial"/>
                <w:sz w:val="20"/>
              </w:rPr>
            </w:pPr>
            <w:r w:rsidRPr="005F718B">
              <w:rPr>
                <w:rFonts w:ascii="Arial" w:hAnsi="Arial" w:cs="Arial"/>
                <w:sz w:val="20"/>
              </w:rPr>
              <w:t>5.</w:t>
            </w:r>
          </w:p>
        </w:tc>
        <w:tc>
          <w:tcPr>
            <w:tcW w:w="2729" w:type="dxa"/>
            <w:tcBorders>
              <w:top w:val="nil"/>
              <w:left w:val="nil"/>
              <w:bottom w:val="nil"/>
              <w:right w:val="nil"/>
            </w:tcBorders>
          </w:tcPr>
          <w:p w14:paraId="29A953CE"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5</w:t>
            </w:r>
          </w:p>
        </w:tc>
        <w:tc>
          <w:tcPr>
            <w:tcW w:w="1705" w:type="dxa"/>
            <w:tcBorders>
              <w:top w:val="nil"/>
              <w:left w:val="nil"/>
              <w:bottom w:val="nil"/>
              <w:right w:val="nil"/>
            </w:tcBorders>
          </w:tcPr>
          <w:p w14:paraId="6000D748" w14:textId="77777777" w:rsidR="005F718B" w:rsidRPr="005F718B" w:rsidRDefault="005F718B" w:rsidP="00DA3F9B">
            <w:pPr>
              <w:pStyle w:val="Body"/>
              <w:spacing w:after="0"/>
              <w:rPr>
                <w:rFonts w:ascii="Arial" w:hAnsi="Arial" w:cs="Arial"/>
                <w:sz w:val="20"/>
              </w:rPr>
            </w:pPr>
            <w:r w:rsidRPr="005F718B">
              <w:rPr>
                <w:rFonts w:ascii="Arial" w:hAnsi="Arial" w:cs="Arial"/>
                <w:sz w:val="20"/>
              </w:rPr>
              <w:t>30</w:t>
            </w:r>
          </w:p>
        </w:tc>
        <w:tc>
          <w:tcPr>
            <w:tcW w:w="1710" w:type="dxa"/>
            <w:tcBorders>
              <w:top w:val="nil"/>
              <w:left w:val="nil"/>
              <w:bottom w:val="nil"/>
              <w:right w:val="nil"/>
            </w:tcBorders>
          </w:tcPr>
          <w:p w14:paraId="1B4FD002" w14:textId="77777777" w:rsidR="005F718B" w:rsidRPr="005F718B" w:rsidRDefault="005F718B" w:rsidP="00DA3F9B">
            <w:pPr>
              <w:pStyle w:val="Body"/>
              <w:spacing w:after="0"/>
              <w:rPr>
                <w:rFonts w:ascii="Arial" w:hAnsi="Arial" w:cs="Arial"/>
                <w:sz w:val="20"/>
              </w:rPr>
            </w:pPr>
            <w:r w:rsidRPr="005F718B">
              <w:rPr>
                <w:rFonts w:ascii="Arial" w:hAnsi="Arial" w:cs="Arial"/>
                <w:sz w:val="20"/>
              </w:rPr>
              <w:t>60%</w:t>
            </w:r>
          </w:p>
        </w:tc>
        <w:tc>
          <w:tcPr>
            <w:tcW w:w="1445" w:type="dxa"/>
            <w:tcBorders>
              <w:top w:val="nil"/>
              <w:left w:val="nil"/>
              <w:bottom w:val="nil"/>
              <w:right w:val="nil"/>
            </w:tcBorders>
          </w:tcPr>
          <w:p w14:paraId="5FEB90F3" w14:textId="77777777" w:rsidR="005F718B" w:rsidRPr="005F718B" w:rsidRDefault="005F718B" w:rsidP="00DA3F9B">
            <w:pPr>
              <w:pStyle w:val="Body"/>
              <w:spacing w:after="0"/>
              <w:rPr>
                <w:rFonts w:ascii="Arial" w:hAnsi="Arial" w:cs="Arial"/>
                <w:sz w:val="20"/>
              </w:rPr>
            </w:pPr>
            <w:r w:rsidRPr="005F718B">
              <w:rPr>
                <w:rFonts w:ascii="Arial" w:hAnsi="Arial" w:cs="Arial"/>
                <w:sz w:val="20"/>
              </w:rPr>
              <w:t>40%</w:t>
            </w:r>
          </w:p>
        </w:tc>
      </w:tr>
      <w:tr w:rsidR="005F718B" w:rsidRPr="005F718B" w14:paraId="5052B637" w14:textId="77777777" w:rsidTr="003570CE">
        <w:tc>
          <w:tcPr>
            <w:tcW w:w="551" w:type="dxa"/>
            <w:tcBorders>
              <w:top w:val="nil"/>
              <w:left w:val="nil"/>
              <w:bottom w:val="nil"/>
              <w:right w:val="nil"/>
            </w:tcBorders>
          </w:tcPr>
          <w:p w14:paraId="78CB4C9B" w14:textId="77777777" w:rsidR="005F718B" w:rsidRPr="005F718B" w:rsidRDefault="005F718B" w:rsidP="00DA3F9B">
            <w:pPr>
              <w:pStyle w:val="Body"/>
              <w:spacing w:after="0"/>
              <w:rPr>
                <w:rFonts w:ascii="Arial" w:hAnsi="Arial" w:cs="Arial"/>
                <w:sz w:val="20"/>
              </w:rPr>
            </w:pPr>
            <w:r w:rsidRPr="005F718B">
              <w:rPr>
                <w:rFonts w:ascii="Arial" w:hAnsi="Arial" w:cs="Arial"/>
                <w:sz w:val="20"/>
              </w:rPr>
              <w:t>6.</w:t>
            </w:r>
          </w:p>
        </w:tc>
        <w:tc>
          <w:tcPr>
            <w:tcW w:w="2729" w:type="dxa"/>
            <w:tcBorders>
              <w:top w:val="nil"/>
              <w:left w:val="nil"/>
              <w:bottom w:val="nil"/>
              <w:right w:val="nil"/>
            </w:tcBorders>
          </w:tcPr>
          <w:p w14:paraId="2A46CEB8"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6</w:t>
            </w:r>
          </w:p>
        </w:tc>
        <w:tc>
          <w:tcPr>
            <w:tcW w:w="1705" w:type="dxa"/>
            <w:tcBorders>
              <w:top w:val="nil"/>
              <w:left w:val="nil"/>
              <w:bottom w:val="nil"/>
              <w:right w:val="nil"/>
            </w:tcBorders>
          </w:tcPr>
          <w:p w14:paraId="79753EC9" w14:textId="77777777" w:rsidR="005F718B" w:rsidRPr="005F718B" w:rsidRDefault="005F718B" w:rsidP="00DA3F9B">
            <w:pPr>
              <w:pStyle w:val="Body"/>
              <w:spacing w:after="0"/>
              <w:rPr>
                <w:rFonts w:ascii="Arial" w:hAnsi="Arial" w:cs="Arial"/>
                <w:sz w:val="20"/>
              </w:rPr>
            </w:pPr>
            <w:r w:rsidRPr="005F718B">
              <w:rPr>
                <w:rFonts w:ascii="Arial" w:hAnsi="Arial" w:cs="Arial"/>
                <w:sz w:val="20"/>
              </w:rPr>
              <w:t>27</w:t>
            </w:r>
          </w:p>
        </w:tc>
        <w:tc>
          <w:tcPr>
            <w:tcW w:w="1710" w:type="dxa"/>
            <w:tcBorders>
              <w:top w:val="nil"/>
              <w:left w:val="nil"/>
              <w:bottom w:val="nil"/>
              <w:right w:val="nil"/>
            </w:tcBorders>
          </w:tcPr>
          <w:p w14:paraId="21F68BF9" w14:textId="77777777" w:rsidR="005F718B" w:rsidRPr="005F718B" w:rsidRDefault="005F718B" w:rsidP="00DA3F9B">
            <w:pPr>
              <w:pStyle w:val="Body"/>
              <w:spacing w:after="0"/>
              <w:rPr>
                <w:rFonts w:ascii="Arial" w:hAnsi="Arial" w:cs="Arial"/>
                <w:sz w:val="20"/>
              </w:rPr>
            </w:pPr>
            <w:r w:rsidRPr="005F718B">
              <w:rPr>
                <w:rFonts w:ascii="Arial" w:hAnsi="Arial" w:cs="Arial"/>
                <w:sz w:val="20"/>
              </w:rPr>
              <w:t>64%</w:t>
            </w:r>
          </w:p>
        </w:tc>
        <w:tc>
          <w:tcPr>
            <w:tcW w:w="1445" w:type="dxa"/>
            <w:tcBorders>
              <w:top w:val="nil"/>
              <w:left w:val="nil"/>
              <w:bottom w:val="nil"/>
              <w:right w:val="nil"/>
            </w:tcBorders>
          </w:tcPr>
          <w:p w14:paraId="0A64991D" w14:textId="77777777" w:rsidR="005F718B" w:rsidRPr="005F718B" w:rsidRDefault="005F718B" w:rsidP="00DA3F9B">
            <w:pPr>
              <w:pStyle w:val="Body"/>
              <w:spacing w:after="0"/>
              <w:rPr>
                <w:rFonts w:ascii="Arial" w:hAnsi="Arial" w:cs="Arial"/>
                <w:sz w:val="20"/>
              </w:rPr>
            </w:pPr>
            <w:r w:rsidRPr="005F718B">
              <w:rPr>
                <w:rFonts w:ascii="Arial" w:hAnsi="Arial" w:cs="Arial"/>
                <w:sz w:val="20"/>
              </w:rPr>
              <w:t>36%</w:t>
            </w:r>
          </w:p>
        </w:tc>
      </w:tr>
      <w:tr w:rsidR="005F718B" w:rsidRPr="005F718B" w14:paraId="2F7FE703" w14:textId="77777777" w:rsidTr="003570CE">
        <w:tc>
          <w:tcPr>
            <w:tcW w:w="551" w:type="dxa"/>
            <w:tcBorders>
              <w:top w:val="nil"/>
              <w:left w:val="nil"/>
              <w:bottom w:val="nil"/>
              <w:right w:val="nil"/>
            </w:tcBorders>
          </w:tcPr>
          <w:p w14:paraId="10253D2A" w14:textId="77777777" w:rsidR="005F718B" w:rsidRPr="005F718B" w:rsidRDefault="005F718B" w:rsidP="00DA3F9B">
            <w:pPr>
              <w:pStyle w:val="Body"/>
              <w:spacing w:after="0"/>
              <w:rPr>
                <w:rFonts w:ascii="Arial" w:hAnsi="Arial" w:cs="Arial"/>
                <w:sz w:val="20"/>
              </w:rPr>
            </w:pPr>
            <w:r w:rsidRPr="005F718B">
              <w:rPr>
                <w:rFonts w:ascii="Arial" w:hAnsi="Arial" w:cs="Arial"/>
                <w:sz w:val="20"/>
              </w:rPr>
              <w:t>7.</w:t>
            </w:r>
          </w:p>
        </w:tc>
        <w:tc>
          <w:tcPr>
            <w:tcW w:w="2729" w:type="dxa"/>
            <w:tcBorders>
              <w:top w:val="nil"/>
              <w:left w:val="nil"/>
              <w:bottom w:val="nil"/>
              <w:right w:val="nil"/>
            </w:tcBorders>
          </w:tcPr>
          <w:p w14:paraId="7FA83E49" w14:textId="77777777" w:rsidR="005F718B" w:rsidRPr="005F718B" w:rsidRDefault="005F718B" w:rsidP="00DA3F9B">
            <w:pPr>
              <w:pStyle w:val="Body"/>
              <w:spacing w:after="0"/>
              <w:rPr>
                <w:rFonts w:ascii="Arial" w:hAnsi="Arial" w:cs="Arial"/>
                <w:sz w:val="20"/>
              </w:rPr>
            </w:pPr>
            <w:r w:rsidRPr="005F718B">
              <w:rPr>
                <w:rFonts w:ascii="Arial" w:hAnsi="Arial" w:cs="Arial"/>
                <w:sz w:val="20"/>
              </w:rPr>
              <w:t xml:space="preserve">XI 7 </w:t>
            </w:r>
          </w:p>
        </w:tc>
        <w:tc>
          <w:tcPr>
            <w:tcW w:w="1705" w:type="dxa"/>
            <w:tcBorders>
              <w:top w:val="nil"/>
              <w:left w:val="nil"/>
              <w:bottom w:val="nil"/>
              <w:right w:val="nil"/>
            </w:tcBorders>
          </w:tcPr>
          <w:p w14:paraId="746A620A" w14:textId="77777777" w:rsidR="005F718B" w:rsidRPr="005F718B" w:rsidRDefault="005F718B" w:rsidP="00DA3F9B">
            <w:pPr>
              <w:pStyle w:val="Body"/>
              <w:spacing w:after="0"/>
              <w:rPr>
                <w:rFonts w:ascii="Arial" w:hAnsi="Arial" w:cs="Arial"/>
                <w:sz w:val="20"/>
              </w:rPr>
            </w:pPr>
            <w:r w:rsidRPr="005F718B">
              <w:rPr>
                <w:rFonts w:ascii="Arial" w:hAnsi="Arial" w:cs="Arial"/>
                <w:sz w:val="20"/>
              </w:rPr>
              <w:t>27</w:t>
            </w:r>
          </w:p>
        </w:tc>
        <w:tc>
          <w:tcPr>
            <w:tcW w:w="1710" w:type="dxa"/>
            <w:tcBorders>
              <w:top w:val="nil"/>
              <w:left w:val="nil"/>
              <w:bottom w:val="nil"/>
              <w:right w:val="nil"/>
            </w:tcBorders>
          </w:tcPr>
          <w:p w14:paraId="30400CA6" w14:textId="77777777" w:rsidR="005F718B" w:rsidRPr="005F718B" w:rsidRDefault="005F718B" w:rsidP="00DA3F9B">
            <w:pPr>
              <w:pStyle w:val="Body"/>
              <w:spacing w:after="0"/>
              <w:rPr>
                <w:rFonts w:ascii="Arial" w:hAnsi="Arial" w:cs="Arial"/>
                <w:sz w:val="20"/>
              </w:rPr>
            </w:pPr>
            <w:r w:rsidRPr="005F718B">
              <w:rPr>
                <w:rFonts w:ascii="Arial" w:hAnsi="Arial" w:cs="Arial"/>
                <w:sz w:val="20"/>
              </w:rPr>
              <w:t>55%</w:t>
            </w:r>
          </w:p>
        </w:tc>
        <w:tc>
          <w:tcPr>
            <w:tcW w:w="1445" w:type="dxa"/>
            <w:tcBorders>
              <w:top w:val="nil"/>
              <w:left w:val="nil"/>
              <w:bottom w:val="nil"/>
              <w:right w:val="nil"/>
            </w:tcBorders>
          </w:tcPr>
          <w:p w14:paraId="24320F41" w14:textId="77777777" w:rsidR="005F718B" w:rsidRPr="005F718B" w:rsidRDefault="005F718B" w:rsidP="00DA3F9B">
            <w:pPr>
              <w:pStyle w:val="Body"/>
              <w:spacing w:after="0"/>
              <w:rPr>
                <w:rFonts w:ascii="Arial" w:hAnsi="Arial" w:cs="Arial"/>
                <w:sz w:val="20"/>
              </w:rPr>
            </w:pPr>
            <w:r w:rsidRPr="005F718B">
              <w:rPr>
                <w:rFonts w:ascii="Arial" w:hAnsi="Arial" w:cs="Arial"/>
                <w:sz w:val="20"/>
              </w:rPr>
              <w:t>45%</w:t>
            </w:r>
          </w:p>
        </w:tc>
      </w:tr>
      <w:tr w:rsidR="005F718B" w:rsidRPr="005F718B" w14:paraId="3B05AE68" w14:textId="77777777" w:rsidTr="003570CE">
        <w:tc>
          <w:tcPr>
            <w:tcW w:w="551" w:type="dxa"/>
            <w:tcBorders>
              <w:top w:val="nil"/>
              <w:left w:val="nil"/>
              <w:bottom w:val="nil"/>
              <w:right w:val="nil"/>
            </w:tcBorders>
          </w:tcPr>
          <w:p w14:paraId="58CE32FB" w14:textId="77777777" w:rsidR="005F718B" w:rsidRPr="005F718B" w:rsidRDefault="005F718B" w:rsidP="00DA3F9B">
            <w:pPr>
              <w:pStyle w:val="Body"/>
              <w:spacing w:after="0"/>
              <w:rPr>
                <w:rFonts w:ascii="Arial" w:hAnsi="Arial" w:cs="Arial"/>
                <w:sz w:val="20"/>
              </w:rPr>
            </w:pPr>
            <w:r w:rsidRPr="005F718B">
              <w:rPr>
                <w:rFonts w:ascii="Arial" w:hAnsi="Arial" w:cs="Arial"/>
                <w:sz w:val="20"/>
              </w:rPr>
              <w:t>8.</w:t>
            </w:r>
          </w:p>
        </w:tc>
        <w:tc>
          <w:tcPr>
            <w:tcW w:w="2729" w:type="dxa"/>
            <w:tcBorders>
              <w:top w:val="nil"/>
              <w:left w:val="nil"/>
              <w:bottom w:val="nil"/>
              <w:right w:val="nil"/>
            </w:tcBorders>
          </w:tcPr>
          <w:p w14:paraId="7986BFAA"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8</w:t>
            </w:r>
          </w:p>
        </w:tc>
        <w:tc>
          <w:tcPr>
            <w:tcW w:w="1705" w:type="dxa"/>
            <w:tcBorders>
              <w:top w:val="nil"/>
              <w:left w:val="nil"/>
              <w:bottom w:val="nil"/>
              <w:right w:val="nil"/>
            </w:tcBorders>
          </w:tcPr>
          <w:p w14:paraId="4173DFF5" w14:textId="77777777" w:rsidR="005F718B" w:rsidRPr="005F718B" w:rsidRDefault="005F718B" w:rsidP="00DA3F9B">
            <w:pPr>
              <w:pStyle w:val="Body"/>
              <w:spacing w:after="0"/>
              <w:rPr>
                <w:rFonts w:ascii="Arial" w:hAnsi="Arial" w:cs="Arial"/>
                <w:sz w:val="20"/>
              </w:rPr>
            </w:pPr>
            <w:r w:rsidRPr="005F718B">
              <w:rPr>
                <w:rFonts w:ascii="Arial" w:hAnsi="Arial" w:cs="Arial"/>
                <w:sz w:val="20"/>
              </w:rPr>
              <w:t>29</w:t>
            </w:r>
          </w:p>
        </w:tc>
        <w:tc>
          <w:tcPr>
            <w:tcW w:w="1710" w:type="dxa"/>
            <w:tcBorders>
              <w:top w:val="nil"/>
              <w:left w:val="nil"/>
              <w:bottom w:val="nil"/>
              <w:right w:val="nil"/>
            </w:tcBorders>
          </w:tcPr>
          <w:p w14:paraId="156395F2" w14:textId="77777777" w:rsidR="005F718B" w:rsidRPr="005F718B" w:rsidRDefault="005F718B" w:rsidP="00DA3F9B">
            <w:pPr>
              <w:pStyle w:val="Body"/>
              <w:spacing w:after="0"/>
              <w:rPr>
                <w:rFonts w:ascii="Arial" w:hAnsi="Arial" w:cs="Arial"/>
                <w:sz w:val="20"/>
              </w:rPr>
            </w:pPr>
            <w:r w:rsidRPr="005F718B">
              <w:rPr>
                <w:rFonts w:ascii="Arial" w:hAnsi="Arial" w:cs="Arial"/>
                <w:sz w:val="20"/>
              </w:rPr>
              <w:t>43%</w:t>
            </w:r>
          </w:p>
        </w:tc>
        <w:tc>
          <w:tcPr>
            <w:tcW w:w="1445" w:type="dxa"/>
            <w:tcBorders>
              <w:top w:val="nil"/>
              <w:left w:val="nil"/>
              <w:bottom w:val="nil"/>
              <w:right w:val="nil"/>
            </w:tcBorders>
          </w:tcPr>
          <w:p w14:paraId="287C1385" w14:textId="77777777" w:rsidR="005F718B" w:rsidRPr="005F718B" w:rsidRDefault="005F718B" w:rsidP="00DA3F9B">
            <w:pPr>
              <w:pStyle w:val="Body"/>
              <w:spacing w:after="0"/>
              <w:rPr>
                <w:rFonts w:ascii="Arial" w:hAnsi="Arial" w:cs="Arial"/>
                <w:sz w:val="20"/>
              </w:rPr>
            </w:pPr>
            <w:r w:rsidRPr="005F718B">
              <w:rPr>
                <w:rFonts w:ascii="Arial" w:hAnsi="Arial" w:cs="Arial"/>
                <w:sz w:val="20"/>
              </w:rPr>
              <w:t>57%</w:t>
            </w:r>
          </w:p>
        </w:tc>
      </w:tr>
      <w:tr w:rsidR="005F718B" w:rsidRPr="005F718B" w14:paraId="1EAA219C" w14:textId="77777777" w:rsidTr="003570CE">
        <w:tc>
          <w:tcPr>
            <w:tcW w:w="551" w:type="dxa"/>
            <w:tcBorders>
              <w:top w:val="nil"/>
              <w:left w:val="nil"/>
              <w:right w:val="nil"/>
            </w:tcBorders>
          </w:tcPr>
          <w:p w14:paraId="6400A47F" w14:textId="77777777" w:rsidR="005F718B" w:rsidRPr="005F718B" w:rsidRDefault="005F718B" w:rsidP="00DA3F9B">
            <w:pPr>
              <w:pStyle w:val="Body"/>
              <w:spacing w:after="0"/>
              <w:rPr>
                <w:rFonts w:ascii="Arial" w:hAnsi="Arial" w:cs="Arial"/>
                <w:sz w:val="20"/>
              </w:rPr>
            </w:pPr>
            <w:r w:rsidRPr="005F718B">
              <w:rPr>
                <w:rFonts w:ascii="Arial" w:hAnsi="Arial" w:cs="Arial"/>
                <w:sz w:val="20"/>
              </w:rPr>
              <w:t>9.</w:t>
            </w:r>
          </w:p>
        </w:tc>
        <w:tc>
          <w:tcPr>
            <w:tcW w:w="2729" w:type="dxa"/>
            <w:tcBorders>
              <w:top w:val="nil"/>
              <w:left w:val="nil"/>
              <w:right w:val="nil"/>
            </w:tcBorders>
          </w:tcPr>
          <w:p w14:paraId="07B37861"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9</w:t>
            </w:r>
          </w:p>
        </w:tc>
        <w:tc>
          <w:tcPr>
            <w:tcW w:w="1705" w:type="dxa"/>
            <w:tcBorders>
              <w:top w:val="nil"/>
              <w:left w:val="nil"/>
              <w:right w:val="nil"/>
            </w:tcBorders>
          </w:tcPr>
          <w:p w14:paraId="0B1DC55B" w14:textId="77777777" w:rsidR="005F718B" w:rsidRPr="005F718B" w:rsidRDefault="005F718B" w:rsidP="00DA3F9B">
            <w:pPr>
              <w:pStyle w:val="Body"/>
              <w:spacing w:after="0"/>
              <w:rPr>
                <w:rFonts w:ascii="Arial" w:hAnsi="Arial" w:cs="Arial"/>
                <w:sz w:val="20"/>
              </w:rPr>
            </w:pPr>
            <w:r w:rsidRPr="005F718B">
              <w:rPr>
                <w:rFonts w:ascii="Arial" w:hAnsi="Arial" w:cs="Arial"/>
                <w:sz w:val="20"/>
              </w:rPr>
              <w:t>28</w:t>
            </w:r>
          </w:p>
        </w:tc>
        <w:tc>
          <w:tcPr>
            <w:tcW w:w="1710" w:type="dxa"/>
            <w:tcBorders>
              <w:top w:val="nil"/>
              <w:left w:val="nil"/>
              <w:right w:val="nil"/>
            </w:tcBorders>
          </w:tcPr>
          <w:p w14:paraId="1028FCAB" w14:textId="77777777" w:rsidR="005F718B" w:rsidRPr="005F718B" w:rsidRDefault="005F718B" w:rsidP="00DA3F9B">
            <w:pPr>
              <w:pStyle w:val="Body"/>
              <w:spacing w:after="0"/>
              <w:rPr>
                <w:rFonts w:ascii="Arial" w:hAnsi="Arial" w:cs="Arial"/>
                <w:sz w:val="20"/>
              </w:rPr>
            </w:pPr>
            <w:r w:rsidRPr="005F718B">
              <w:rPr>
                <w:rFonts w:ascii="Arial" w:hAnsi="Arial" w:cs="Arial"/>
                <w:sz w:val="20"/>
              </w:rPr>
              <w:t>66%</w:t>
            </w:r>
          </w:p>
        </w:tc>
        <w:tc>
          <w:tcPr>
            <w:tcW w:w="1445" w:type="dxa"/>
            <w:tcBorders>
              <w:top w:val="nil"/>
              <w:left w:val="nil"/>
              <w:right w:val="nil"/>
            </w:tcBorders>
          </w:tcPr>
          <w:p w14:paraId="0F71DFFA" w14:textId="77777777" w:rsidR="005F718B" w:rsidRPr="005F718B" w:rsidRDefault="005F718B" w:rsidP="00DA3F9B">
            <w:pPr>
              <w:pStyle w:val="Body"/>
              <w:spacing w:after="0"/>
              <w:rPr>
                <w:rFonts w:ascii="Arial" w:hAnsi="Arial" w:cs="Arial"/>
                <w:sz w:val="20"/>
              </w:rPr>
            </w:pPr>
            <w:r w:rsidRPr="005F718B">
              <w:rPr>
                <w:rFonts w:ascii="Arial" w:hAnsi="Arial" w:cs="Arial"/>
                <w:sz w:val="20"/>
              </w:rPr>
              <w:t>34%</w:t>
            </w:r>
          </w:p>
        </w:tc>
      </w:tr>
    </w:tbl>
    <w:p w14:paraId="7FD82274" w14:textId="77777777" w:rsidR="005F718B" w:rsidRDefault="003570CE" w:rsidP="005F718B">
      <w:pPr>
        <w:pStyle w:val="Body"/>
        <w:spacing w:after="0"/>
        <w:rPr>
          <w:rFonts w:ascii="Arial" w:eastAsia="Calibri" w:hAnsi="Arial" w:cs="Arial"/>
          <w:szCs w:val="22"/>
        </w:rPr>
      </w:pPr>
      <w:r w:rsidRPr="003570CE">
        <w:rPr>
          <w:rFonts w:ascii="Arial" w:eastAsia="Calibri" w:hAnsi="Arial" w:cs="Arial"/>
          <w:szCs w:val="22"/>
        </w:rPr>
        <w:t xml:space="preserve">Source: Administration of SMA Negeri 1 </w:t>
      </w:r>
      <w:proofErr w:type="spellStart"/>
      <w:r w:rsidRPr="003570CE">
        <w:rPr>
          <w:rFonts w:ascii="Arial" w:eastAsia="Calibri" w:hAnsi="Arial" w:cs="Arial"/>
          <w:szCs w:val="22"/>
        </w:rPr>
        <w:t>Telaga</w:t>
      </w:r>
      <w:proofErr w:type="spellEnd"/>
    </w:p>
    <w:p w14:paraId="21AEB29B" w14:textId="77777777" w:rsidR="003570CE" w:rsidRPr="005F718B" w:rsidRDefault="003570CE" w:rsidP="005F718B">
      <w:pPr>
        <w:pStyle w:val="Body"/>
        <w:spacing w:after="0"/>
        <w:rPr>
          <w:rFonts w:ascii="Arial" w:eastAsia="Calibri" w:hAnsi="Arial" w:cs="Arial"/>
          <w:szCs w:val="22"/>
        </w:rPr>
      </w:pPr>
    </w:p>
    <w:p w14:paraId="46069E87"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 xml:space="preserve">Based on the table above, the learning outcomes of Grade XI students in the Economics subject at SMA Negeri 1 </w:t>
      </w:r>
      <w:proofErr w:type="spellStart"/>
      <w:r w:rsidRPr="005F718B">
        <w:rPr>
          <w:rFonts w:ascii="Arial" w:eastAsia="Calibri" w:hAnsi="Arial" w:cs="Arial"/>
          <w:szCs w:val="22"/>
        </w:rPr>
        <w:t>Telaga</w:t>
      </w:r>
      <w:proofErr w:type="spellEnd"/>
      <w:r w:rsidRPr="005F718B">
        <w:rPr>
          <w:rFonts w:ascii="Arial" w:eastAsia="Calibri" w:hAnsi="Arial" w:cs="Arial"/>
          <w:szCs w:val="22"/>
        </w:rPr>
        <w:t xml:space="preserve"> show that the Minimum Mastery Criteria (MMC) is set at 75%. Among the nine Grade XI classes, only Class XI-1 met the MMC in Economics, while Classes XI-2 through XI-9 have not yet met the required score.</w:t>
      </w:r>
    </w:p>
    <w:p w14:paraId="0B8B561E" w14:textId="77777777" w:rsidR="00B649E3" w:rsidRPr="00B649E3" w:rsidRDefault="00B649E3" w:rsidP="00B649E3">
      <w:pPr>
        <w:pStyle w:val="Body"/>
        <w:rPr>
          <w:rFonts w:ascii="Arial" w:eastAsia="Calibri" w:hAnsi="Arial" w:cs="Arial"/>
          <w:szCs w:val="22"/>
        </w:rPr>
      </w:pPr>
      <w:r w:rsidRPr="00B649E3">
        <w:rPr>
          <w:rFonts w:ascii="Arial" w:eastAsia="Calibri" w:hAnsi="Arial" w:cs="Arial"/>
          <w:szCs w:val="22"/>
        </w:rPr>
        <w:t xml:space="preserve">Economics subjects have a strategic role in shaping students' understanding of economic, financial, and entrepreneurial concepts in everyday life and the world of work. However, there is still a problem of low student learning outcomes in economics at SMA Negeri 1 </w:t>
      </w:r>
      <w:proofErr w:type="spellStart"/>
      <w:r w:rsidRPr="00B649E3">
        <w:rPr>
          <w:rFonts w:ascii="Arial" w:eastAsia="Calibri" w:hAnsi="Arial" w:cs="Arial"/>
          <w:szCs w:val="22"/>
        </w:rPr>
        <w:t>Telaga</w:t>
      </w:r>
      <w:proofErr w:type="spellEnd"/>
      <w:r w:rsidRPr="00B649E3">
        <w:rPr>
          <w:rFonts w:ascii="Arial" w:eastAsia="Calibri" w:hAnsi="Arial" w:cs="Arial"/>
          <w:szCs w:val="22"/>
        </w:rPr>
        <w:t xml:space="preserve">. This encourages the need for a more in-depth study of the factors that influence student learning outcomes. </w:t>
      </w:r>
      <w:proofErr w:type="spellStart"/>
      <w:r w:rsidRPr="00B649E3">
        <w:rPr>
          <w:rFonts w:ascii="Arial" w:eastAsia="Calibri" w:hAnsi="Arial" w:cs="Arial"/>
          <w:szCs w:val="22"/>
        </w:rPr>
        <w:t>Retnoningrum</w:t>
      </w:r>
      <w:proofErr w:type="spellEnd"/>
      <w:r w:rsidRPr="00B649E3">
        <w:rPr>
          <w:rFonts w:ascii="Arial" w:eastAsia="Calibri" w:hAnsi="Arial" w:cs="Arial"/>
          <w:szCs w:val="22"/>
        </w:rPr>
        <w:t xml:space="preserve"> et al. (2021) suggest that student learning outcomes are strongly influenced by aspects of learning independence and the availability and quality of learning infrastructure. These two factors have a significant contribution to the effectiveness of the learning process and student academic achievement.</w:t>
      </w:r>
    </w:p>
    <w:p w14:paraId="2FCD27CB" w14:textId="1AF85672" w:rsidR="00B649E3" w:rsidRPr="00B649E3" w:rsidRDefault="00F02B22" w:rsidP="00B649E3">
      <w:pPr>
        <w:pStyle w:val="Body"/>
        <w:rPr>
          <w:rFonts w:ascii="Arial" w:eastAsia="Calibri" w:hAnsi="Arial" w:cs="Arial"/>
          <w:szCs w:val="22"/>
        </w:rPr>
      </w:pPr>
      <w:r w:rsidRPr="00F02B22">
        <w:rPr>
          <w:rFonts w:ascii="Arial" w:eastAsia="Calibri" w:hAnsi="Arial" w:cs="Arial"/>
          <w:szCs w:val="22"/>
        </w:rPr>
        <w:t>Learning independence is the ability of individuals to direct themselves in the learning process, which includes planning, controlling, and evaluating the understanding of the material. Learning independence plays an important role in determining student learning outcomes, because students who have a high level of independence tend to be able to manage time and choose effective learning methods (</w:t>
      </w:r>
      <w:proofErr w:type="spellStart"/>
      <w:r w:rsidRPr="00F02B22">
        <w:rPr>
          <w:rFonts w:ascii="Arial" w:eastAsia="Calibri" w:hAnsi="Arial" w:cs="Arial"/>
          <w:szCs w:val="22"/>
        </w:rPr>
        <w:t>Mahrufah</w:t>
      </w:r>
      <w:proofErr w:type="spellEnd"/>
      <w:r w:rsidRPr="00F02B22">
        <w:rPr>
          <w:rFonts w:ascii="Arial" w:eastAsia="Calibri" w:hAnsi="Arial" w:cs="Arial"/>
          <w:szCs w:val="22"/>
        </w:rPr>
        <w:t xml:space="preserve"> &amp; </w:t>
      </w:r>
      <w:proofErr w:type="spellStart"/>
      <w:r w:rsidRPr="00F02B22">
        <w:rPr>
          <w:rFonts w:ascii="Arial" w:eastAsia="Calibri" w:hAnsi="Arial" w:cs="Arial"/>
          <w:szCs w:val="22"/>
        </w:rPr>
        <w:t>Rijanto</w:t>
      </w:r>
      <w:proofErr w:type="spellEnd"/>
      <w:r w:rsidRPr="00F02B22">
        <w:rPr>
          <w:rFonts w:ascii="Arial" w:eastAsia="Calibri" w:hAnsi="Arial" w:cs="Arial"/>
          <w:szCs w:val="22"/>
        </w:rPr>
        <w:t>, 2024).</w:t>
      </w:r>
      <w:r>
        <w:rPr>
          <w:rFonts w:ascii="Arial" w:eastAsia="Calibri" w:hAnsi="Arial" w:cs="Arial"/>
          <w:szCs w:val="22"/>
        </w:rPr>
        <w:t xml:space="preserve"> </w:t>
      </w:r>
      <w:r w:rsidR="00337847" w:rsidRPr="00337847">
        <w:rPr>
          <w:rFonts w:ascii="Arial" w:eastAsia="Calibri" w:hAnsi="Arial" w:cs="Arial"/>
          <w:szCs w:val="22"/>
        </w:rPr>
        <w:t xml:space="preserve">Simkins </w:t>
      </w:r>
      <w:r w:rsidR="00B649E3" w:rsidRPr="00B649E3">
        <w:rPr>
          <w:rFonts w:ascii="Arial" w:eastAsia="Calibri" w:hAnsi="Arial" w:cs="Arial"/>
          <w:szCs w:val="22"/>
        </w:rPr>
        <w:t>(</w:t>
      </w:r>
      <w:r w:rsidR="00337847">
        <w:rPr>
          <w:rFonts w:ascii="Arial" w:eastAsia="Calibri" w:hAnsi="Arial" w:cs="Arial"/>
          <w:szCs w:val="22"/>
        </w:rPr>
        <w:t>1999</w:t>
      </w:r>
      <w:r w:rsidR="00B649E3" w:rsidRPr="00B649E3">
        <w:rPr>
          <w:rFonts w:ascii="Arial" w:eastAsia="Calibri" w:hAnsi="Arial" w:cs="Arial"/>
          <w:szCs w:val="22"/>
        </w:rPr>
        <w:t>) stated that students who are independent in learning are generally more active, confident, and have initiatives in understanding learning materials, including in economic subjects. This has a positive impact on students' ability to absorb the economic concepts taught. Low levels of learning independence can cause student dependence on teachers or peers, which in turn hinders the achievement of optimal learning outcomes (</w:t>
      </w:r>
      <w:proofErr w:type="spellStart"/>
      <w:r w:rsidR="00B649E3" w:rsidRPr="00B649E3">
        <w:rPr>
          <w:rFonts w:ascii="Arial" w:eastAsia="Calibri" w:hAnsi="Arial" w:cs="Arial"/>
          <w:szCs w:val="22"/>
        </w:rPr>
        <w:t>Ilmaknun</w:t>
      </w:r>
      <w:proofErr w:type="spellEnd"/>
      <w:r w:rsidR="00B649E3" w:rsidRPr="00B649E3">
        <w:rPr>
          <w:rFonts w:ascii="Arial" w:eastAsia="Calibri" w:hAnsi="Arial" w:cs="Arial"/>
          <w:szCs w:val="22"/>
        </w:rPr>
        <w:t xml:space="preserve"> &amp; </w:t>
      </w:r>
      <w:proofErr w:type="spellStart"/>
      <w:r w:rsidR="00B649E3" w:rsidRPr="00B649E3">
        <w:rPr>
          <w:rFonts w:ascii="Arial" w:eastAsia="Calibri" w:hAnsi="Arial" w:cs="Arial"/>
          <w:szCs w:val="22"/>
        </w:rPr>
        <w:t>Ulfah</w:t>
      </w:r>
      <w:proofErr w:type="spellEnd"/>
      <w:r w:rsidR="00B649E3" w:rsidRPr="00B649E3">
        <w:rPr>
          <w:rFonts w:ascii="Arial" w:eastAsia="Calibri" w:hAnsi="Arial" w:cs="Arial"/>
          <w:szCs w:val="22"/>
        </w:rPr>
        <w:t xml:space="preserve">, 2023). In addition, </w:t>
      </w:r>
      <w:proofErr w:type="spellStart"/>
      <w:r w:rsidR="00337847" w:rsidRPr="00337847">
        <w:rPr>
          <w:rFonts w:ascii="Arial" w:eastAsia="Calibri" w:hAnsi="Arial" w:cs="Arial"/>
          <w:szCs w:val="22"/>
        </w:rPr>
        <w:t>Triwiratman</w:t>
      </w:r>
      <w:proofErr w:type="spellEnd"/>
      <w:r w:rsidR="00337847" w:rsidRPr="00337847">
        <w:rPr>
          <w:rFonts w:ascii="Arial" w:eastAsia="Calibri" w:hAnsi="Arial" w:cs="Arial"/>
          <w:szCs w:val="22"/>
        </w:rPr>
        <w:t xml:space="preserve"> </w:t>
      </w:r>
      <w:r w:rsidR="00337847">
        <w:rPr>
          <w:rFonts w:ascii="Arial" w:eastAsia="Calibri" w:hAnsi="Arial" w:cs="Arial"/>
          <w:szCs w:val="22"/>
        </w:rPr>
        <w:t xml:space="preserve">et al. </w:t>
      </w:r>
      <w:r w:rsidR="00B649E3" w:rsidRPr="00B649E3">
        <w:rPr>
          <w:rFonts w:ascii="Arial" w:eastAsia="Calibri" w:hAnsi="Arial" w:cs="Arial"/>
          <w:szCs w:val="22"/>
        </w:rPr>
        <w:t>(</w:t>
      </w:r>
      <w:r w:rsidR="00337847">
        <w:rPr>
          <w:rFonts w:ascii="Arial" w:eastAsia="Calibri" w:hAnsi="Arial" w:cs="Arial"/>
          <w:szCs w:val="22"/>
        </w:rPr>
        <w:t>2023</w:t>
      </w:r>
      <w:r w:rsidR="00B649E3" w:rsidRPr="00B649E3">
        <w:rPr>
          <w:rFonts w:ascii="Arial" w:eastAsia="Calibri" w:hAnsi="Arial" w:cs="Arial"/>
          <w:szCs w:val="22"/>
        </w:rPr>
        <w:t>) state that learning independence is influenced by various factors, including self-efficacy, motivation, and learning goals that students have.</w:t>
      </w:r>
    </w:p>
    <w:p w14:paraId="296E1B76" w14:textId="2E2F400C" w:rsidR="00F26729" w:rsidRDefault="00B649E3" w:rsidP="00B649E3">
      <w:pPr>
        <w:pStyle w:val="Body"/>
        <w:rPr>
          <w:rFonts w:ascii="Arial" w:eastAsia="Calibri" w:hAnsi="Arial" w:cs="Arial"/>
          <w:szCs w:val="22"/>
        </w:rPr>
      </w:pPr>
      <w:r w:rsidRPr="00B649E3">
        <w:rPr>
          <w:rFonts w:ascii="Arial" w:eastAsia="Calibri" w:hAnsi="Arial" w:cs="Arial"/>
          <w:szCs w:val="22"/>
        </w:rPr>
        <w:t xml:space="preserve">Learning facilities are all forms of facilities and infrastructure that support the student learning process, including books, learning media, technology, and the learning environment (Sabrina &amp; </w:t>
      </w:r>
      <w:proofErr w:type="spellStart"/>
      <w:r w:rsidRPr="00B649E3">
        <w:rPr>
          <w:rFonts w:ascii="Arial" w:eastAsia="Calibri" w:hAnsi="Arial" w:cs="Arial"/>
          <w:szCs w:val="22"/>
        </w:rPr>
        <w:t>Darmawan</w:t>
      </w:r>
      <w:proofErr w:type="spellEnd"/>
      <w:r w:rsidRPr="00B649E3">
        <w:rPr>
          <w:rFonts w:ascii="Arial" w:eastAsia="Calibri" w:hAnsi="Arial" w:cs="Arial"/>
          <w:szCs w:val="22"/>
        </w:rPr>
        <w:t xml:space="preserve">, 2024). The availability of adequate learning facilities can create a comfortable learning atmosphere, thus increasing student concentration in participating in learning, especially in economic subjects. Learning facilities have a strategic role in shaping a conducive and effective learning environment. Aspects that can be used to assess learning facilities include the availability of facilities and infrastructure, the quality of facilities, the level of accessibility, the condition of the supporting physical environment, and </w:t>
      </w:r>
      <w:r w:rsidRPr="00B649E3">
        <w:rPr>
          <w:rFonts w:ascii="Arial" w:eastAsia="Calibri" w:hAnsi="Arial" w:cs="Arial"/>
          <w:szCs w:val="22"/>
        </w:rPr>
        <w:lastRenderedPageBreak/>
        <w:t>suitability to student needs (Putri et al. 2024; Hasan et al. 2025). The existence of adequate learning facilities has a positive effect on students' motivation and ability to understand learning materials.</w:t>
      </w:r>
    </w:p>
    <w:p w14:paraId="7CF3D000" w14:textId="5CECCBBD" w:rsidR="005F718B" w:rsidRPr="005F718B" w:rsidRDefault="005361F2" w:rsidP="005F718B">
      <w:pPr>
        <w:pStyle w:val="Body"/>
        <w:rPr>
          <w:rFonts w:ascii="Arial" w:eastAsia="Calibri" w:hAnsi="Arial" w:cs="Arial"/>
          <w:szCs w:val="22"/>
        </w:rPr>
      </w:pPr>
      <w:r w:rsidRPr="005361F2">
        <w:rPr>
          <w:rFonts w:ascii="Arial" w:eastAsia="Calibri" w:hAnsi="Arial" w:cs="Arial"/>
          <w:szCs w:val="22"/>
        </w:rPr>
        <w:t>In the context of economics, facilities such as textbooks, access to information technology, and the use of interactive learning media can improve the understanding of abstract concepts to be more concrete (</w:t>
      </w:r>
      <w:proofErr w:type="spellStart"/>
      <w:r w:rsidRPr="005361F2">
        <w:rPr>
          <w:rFonts w:ascii="Arial" w:eastAsia="Calibri" w:hAnsi="Arial" w:cs="Arial"/>
          <w:szCs w:val="22"/>
        </w:rPr>
        <w:t>Yani</w:t>
      </w:r>
      <w:proofErr w:type="spellEnd"/>
      <w:r w:rsidRPr="005361F2">
        <w:rPr>
          <w:rFonts w:ascii="Arial" w:eastAsia="Calibri" w:hAnsi="Arial" w:cs="Arial"/>
          <w:szCs w:val="22"/>
        </w:rPr>
        <w:t xml:space="preserve"> &amp; </w:t>
      </w:r>
      <w:proofErr w:type="spellStart"/>
      <w:r w:rsidRPr="005361F2">
        <w:rPr>
          <w:rFonts w:ascii="Arial" w:eastAsia="Calibri" w:hAnsi="Arial" w:cs="Arial"/>
          <w:szCs w:val="22"/>
        </w:rPr>
        <w:t>Santoso</w:t>
      </w:r>
      <w:proofErr w:type="spellEnd"/>
      <w:r w:rsidRPr="005361F2">
        <w:rPr>
          <w:rFonts w:ascii="Arial" w:eastAsia="Calibri" w:hAnsi="Arial" w:cs="Arial"/>
          <w:szCs w:val="22"/>
        </w:rPr>
        <w:t>, 2023). With good facilities, students are expected to be more motivated to learn and improve their learning outcomes.</w:t>
      </w:r>
      <w:r>
        <w:rPr>
          <w:rFonts w:ascii="Arial" w:eastAsia="Calibri" w:hAnsi="Arial" w:cs="Arial"/>
          <w:szCs w:val="22"/>
        </w:rPr>
        <w:t xml:space="preserve"> </w:t>
      </w:r>
      <w:r w:rsidR="005F718B" w:rsidRPr="005F718B">
        <w:rPr>
          <w:rFonts w:ascii="Arial" w:eastAsia="Calibri" w:hAnsi="Arial" w:cs="Arial"/>
          <w:szCs w:val="22"/>
        </w:rPr>
        <w:t>However, the reality in the field shows the opposite—many students' learning outcomes in Economics are still below the Minimum Mastery Criteria (MMC), which is set at 75.</w:t>
      </w:r>
    </w:p>
    <w:p w14:paraId="307F9BAB" w14:textId="27BA9E19" w:rsidR="00B01FCD" w:rsidRPr="005F718B" w:rsidRDefault="00B649E3" w:rsidP="005F718B">
      <w:pPr>
        <w:pStyle w:val="Body"/>
        <w:rPr>
          <w:rFonts w:ascii="Arial" w:eastAsia="Calibri" w:hAnsi="Arial" w:cs="Arial"/>
          <w:szCs w:val="22"/>
        </w:rPr>
      </w:pPr>
      <w:r w:rsidRPr="00B649E3">
        <w:rPr>
          <w:rFonts w:ascii="Arial" w:eastAsia="Calibri" w:hAnsi="Arial" w:cs="Arial"/>
          <w:szCs w:val="22"/>
        </w:rPr>
        <w:t>Learning motivation is an internal and external drive that influences students to act to achieve learning goals. According to Uno (2016)</w:t>
      </w:r>
      <w:r w:rsidR="00337847">
        <w:rPr>
          <w:rFonts w:ascii="Arial" w:eastAsia="Calibri" w:hAnsi="Arial" w:cs="Arial"/>
          <w:szCs w:val="22"/>
        </w:rPr>
        <w:t xml:space="preserve">, </w:t>
      </w:r>
      <w:r w:rsidRPr="00B649E3">
        <w:rPr>
          <w:rFonts w:ascii="Arial" w:eastAsia="Calibri" w:hAnsi="Arial" w:cs="Arial"/>
          <w:szCs w:val="22"/>
        </w:rPr>
        <w:t>high learning motivation will encourage students to be more active in understanding and exploring material, including in economics lessons. Motivation acts as a driving force for students in completing learning tasks</w:t>
      </w:r>
      <w:r w:rsidR="009C73A3">
        <w:rPr>
          <w:rFonts w:ascii="Arial" w:eastAsia="Calibri" w:hAnsi="Arial" w:cs="Arial"/>
          <w:szCs w:val="22"/>
        </w:rPr>
        <w:t xml:space="preserve">. Both intrinsic </w:t>
      </w:r>
      <w:r w:rsidRPr="00B649E3">
        <w:rPr>
          <w:rFonts w:ascii="Arial" w:eastAsia="Calibri" w:hAnsi="Arial" w:cs="Arial"/>
          <w:szCs w:val="22"/>
        </w:rPr>
        <w:t xml:space="preserve">and extrinsic </w:t>
      </w:r>
      <w:proofErr w:type="gramStart"/>
      <w:r w:rsidRPr="00B649E3">
        <w:rPr>
          <w:rFonts w:ascii="Arial" w:eastAsia="Calibri" w:hAnsi="Arial" w:cs="Arial"/>
          <w:szCs w:val="22"/>
        </w:rPr>
        <w:t>motivation  have</w:t>
      </w:r>
      <w:proofErr w:type="gramEnd"/>
      <w:r w:rsidRPr="00B649E3">
        <w:rPr>
          <w:rFonts w:ascii="Arial" w:eastAsia="Calibri" w:hAnsi="Arial" w:cs="Arial"/>
          <w:szCs w:val="22"/>
        </w:rPr>
        <w:t xml:space="preserve"> a significant effect on student success in learning (Deci &amp; Ryan, 2017).</w:t>
      </w:r>
      <w:r w:rsidR="006B57D0">
        <w:rPr>
          <w:rFonts w:ascii="Arial" w:hAnsi="Arial" w:cs="Arial"/>
        </w:rPr>
        <w:t>]</w:t>
      </w:r>
    </w:p>
    <w:p w14:paraId="2A83B8C7" w14:textId="77777777" w:rsidR="00790ADA" w:rsidRPr="00FB3A86" w:rsidRDefault="00790ADA" w:rsidP="00441B6F">
      <w:pPr>
        <w:pStyle w:val="Body"/>
        <w:spacing w:after="0"/>
        <w:rPr>
          <w:rFonts w:ascii="Arial" w:hAnsi="Arial" w:cs="Arial"/>
        </w:rPr>
      </w:pPr>
    </w:p>
    <w:p w14:paraId="1A5472FA"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34CB9BA4" w14:textId="77777777" w:rsidR="00790ADA" w:rsidRPr="00FB3A86" w:rsidRDefault="00790ADA" w:rsidP="00441B6F">
      <w:pPr>
        <w:pStyle w:val="AbstHead"/>
        <w:spacing w:after="0"/>
        <w:jc w:val="both"/>
        <w:rPr>
          <w:rFonts w:ascii="Arial" w:hAnsi="Arial" w:cs="Arial"/>
        </w:rPr>
      </w:pPr>
    </w:p>
    <w:p w14:paraId="6CC283A4" w14:textId="637BBA9D" w:rsidR="002545CE" w:rsidRPr="002545CE" w:rsidRDefault="006B57D0" w:rsidP="002545CE">
      <w:pPr>
        <w:pStyle w:val="Body"/>
        <w:rPr>
          <w:rFonts w:ascii="Arial" w:hAnsi="Arial" w:cs="Arial"/>
        </w:rPr>
      </w:pPr>
      <w:r>
        <w:rPr>
          <w:rFonts w:ascii="Arial" w:hAnsi="Arial" w:cs="Arial"/>
        </w:rPr>
        <w:t>[</w:t>
      </w:r>
      <w:r w:rsidR="002545CE">
        <w:rPr>
          <w:rFonts w:ascii="Arial" w:hAnsi="Arial" w:cs="Arial"/>
          <w:b/>
        </w:rPr>
        <w:t>2</w:t>
      </w:r>
      <w:r w:rsidR="002545CE" w:rsidRPr="002545CE">
        <w:rPr>
          <w:rFonts w:ascii="Arial" w:hAnsi="Arial" w:cs="Arial"/>
          <w:b/>
        </w:rPr>
        <w:t>.1 Research Location and Time</w:t>
      </w:r>
    </w:p>
    <w:p w14:paraId="7D411F9D" w14:textId="77777777" w:rsidR="002545CE" w:rsidRPr="002545CE" w:rsidRDefault="002545CE" w:rsidP="002545CE">
      <w:pPr>
        <w:pStyle w:val="Body"/>
        <w:rPr>
          <w:rFonts w:ascii="Arial" w:hAnsi="Arial" w:cs="Arial"/>
        </w:rPr>
      </w:pPr>
      <w:r w:rsidRPr="002545CE">
        <w:rPr>
          <w:rFonts w:ascii="Arial" w:hAnsi="Arial" w:cs="Arial"/>
        </w:rPr>
        <w:t xml:space="preserve">This research was conducted at SMA Negeri 1 </w:t>
      </w:r>
      <w:proofErr w:type="spellStart"/>
      <w:r w:rsidRPr="002545CE">
        <w:rPr>
          <w:rFonts w:ascii="Arial" w:hAnsi="Arial" w:cs="Arial"/>
        </w:rPr>
        <w:t>Telaga</w:t>
      </w:r>
      <w:proofErr w:type="spellEnd"/>
      <w:r w:rsidRPr="002545CE">
        <w:rPr>
          <w:rFonts w:ascii="Arial" w:hAnsi="Arial" w:cs="Arial"/>
        </w:rPr>
        <w:t xml:space="preserve">, </w:t>
      </w:r>
      <w:proofErr w:type="spellStart"/>
      <w:r w:rsidRPr="002545CE">
        <w:rPr>
          <w:rFonts w:ascii="Arial" w:hAnsi="Arial" w:cs="Arial"/>
        </w:rPr>
        <w:t>Telaga</w:t>
      </w:r>
      <w:proofErr w:type="spellEnd"/>
      <w:r w:rsidRPr="002545CE">
        <w:rPr>
          <w:rFonts w:ascii="Arial" w:hAnsi="Arial" w:cs="Arial"/>
        </w:rPr>
        <w:t xml:space="preserve"> District, Gorontalo Regency, Gorontalo Province. The research was conducted for 6 months, from July to December 2024.</w:t>
      </w:r>
    </w:p>
    <w:p w14:paraId="6ED12A45" w14:textId="3E187DC6" w:rsidR="002545CE" w:rsidRDefault="002545CE" w:rsidP="002545CE">
      <w:pPr>
        <w:pStyle w:val="Body"/>
        <w:rPr>
          <w:rFonts w:ascii="Arial" w:hAnsi="Arial" w:cs="Arial"/>
          <w:b/>
        </w:rPr>
      </w:pPr>
      <w:r>
        <w:rPr>
          <w:rFonts w:ascii="Arial" w:hAnsi="Arial" w:cs="Arial"/>
          <w:b/>
        </w:rPr>
        <w:t>2</w:t>
      </w:r>
      <w:r w:rsidRPr="002545CE">
        <w:rPr>
          <w:rFonts w:ascii="Arial" w:hAnsi="Arial" w:cs="Arial"/>
          <w:b/>
        </w:rPr>
        <w:t xml:space="preserve">.2 </w:t>
      </w:r>
      <w:bookmarkStart w:id="0" w:name="_Hlk202966720"/>
      <w:r w:rsidRPr="002545CE">
        <w:rPr>
          <w:rFonts w:ascii="Arial" w:hAnsi="Arial" w:cs="Arial"/>
          <w:b/>
        </w:rPr>
        <w:t>Research Design</w:t>
      </w:r>
      <w:bookmarkEnd w:id="0"/>
    </w:p>
    <w:p w14:paraId="479EEAB7" w14:textId="369F5608" w:rsidR="002545CE" w:rsidRDefault="002545CE" w:rsidP="002545CE">
      <w:pPr>
        <w:pStyle w:val="Body"/>
        <w:rPr>
          <w:rFonts w:ascii="Arial" w:hAnsi="Arial" w:cs="Arial"/>
          <w:b/>
        </w:rPr>
      </w:pPr>
      <w:r>
        <w:rPr>
          <w:rFonts w:ascii="Times New Roman" w:hAnsi="Times New Roman"/>
          <w:b/>
          <w:bCs/>
          <w:noProof/>
          <w:sz w:val="24"/>
          <w:szCs w:val="24"/>
        </w:rPr>
        <w:drawing>
          <wp:inline distT="0" distB="0" distL="0" distR="0" wp14:anchorId="19B44BCC" wp14:editId="34CC9140">
            <wp:extent cx="3667760" cy="1809750"/>
            <wp:effectExtent l="0" t="0" r="8890" b="0"/>
            <wp:docPr id="1622150942" name="Picture 1622150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760" cy="1809750"/>
                    </a:xfrm>
                    <a:prstGeom prst="rect">
                      <a:avLst/>
                    </a:prstGeom>
                    <a:noFill/>
                  </pic:spPr>
                </pic:pic>
              </a:graphicData>
            </a:graphic>
          </wp:inline>
        </w:drawing>
      </w:r>
    </w:p>
    <w:p w14:paraId="5FD0B444" w14:textId="77777777" w:rsidR="002545CE" w:rsidRPr="002545CE" w:rsidRDefault="002545CE" w:rsidP="002545CE">
      <w:pPr>
        <w:pStyle w:val="Body"/>
        <w:rPr>
          <w:rFonts w:ascii="Arial" w:hAnsi="Arial" w:cs="Arial"/>
          <w:b/>
        </w:rPr>
      </w:pPr>
      <w:r w:rsidRPr="002545CE">
        <w:rPr>
          <w:rFonts w:ascii="Arial" w:hAnsi="Arial" w:cs="Arial"/>
          <w:b/>
        </w:rPr>
        <w:t>Figure 1. Research Design</w:t>
      </w:r>
    </w:p>
    <w:p w14:paraId="64A0829F" w14:textId="77777777" w:rsidR="002545CE" w:rsidRPr="002545CE" w:rsidRDefault="002545CE" w:rsidP="002545CE">
      <w:pPr>
        <w:pStyle w:val="Body"/>
        <w:rPr>
          <w:rFonts w:ascii="Arial" w:hAnsi="Arial" w:cs="Arial"/>
          <w:b/>
        </w:rPr>
      </w:pPr>
    </w:p>
    <w:p w14:paraId="7CBFF981" w14:textId="27D31DCF" w:rsidR="002545CE" w:rsidRPr="002545CE" w:rsidRDefault="002545CE" w:rsidP="002545CE">
      <w:pPr>
        <w:pStyle w:val="Body"/>
        <w:rPr>
          <w:rFonts w:ascii="Arial" w:hAnsi="Arial" w:cs="Arial"/>
          <w:b/>
        </w:rPr>
      </w:pPr>
      <w:r>
        <w:rPr>
          <w:rFonts w:ascii="Arial" w:hAnsi="Arial" w:cs="Arial"/>
          <w:b/>
        </w:rPr>
        <w:t xml:space="preserve">2.3 </w:t>
      </w:r>
      <w:r w:rsidRPr="002545CE">
        <w:rPr>
          <w:rFonts w:ascii="Arial" w:hAnsi="Arial" w:cs="Arial"/>
          <w:b/>
        </w:rPr>
        <w:t xml:space="preserve">Research variables </w:t>
      </w:r>
    </w:p>
    <w:p w14:paraId="3D447FBA" w14:textId="77777777" w:rsidR="002545CE" w:rsidRDefault="002545CE" w:rsidP="002545CE">
      <w:pPr>
        <w:pStyle w:val="Body"/>
        <w:rPr>
          <w:rFonts w:ascii="Arial" w:hAnsi="Arial" w:cs="Arial"/>
        </w:rPr>
      </w:pPr>
      <w:r w:rsidRPr="002545CE">
        <w:rPr>
          <w:rFonts w:ascii="Arial" w:hAnsi="Arial" w:cs="Arial"/>
        </w:rPr>
        <w:t>This study consists of four observed variables, comprising three independent variables, namely learning independence, learning facilities, and learning motivation, and one dependent variable, namely learning outcomes. The learning independence variable (X1) consists of the factors of self-efficacy, motivation, and learning objectives. The learning facilities variable (X2) consists of the availability of resources and infrastructure, the quality of learning facilities, the accessibility of facilities, a supportive physical environment, and suitability to student needs. The learning motivation variable (X3) consists of the presence of desire and ambition to succeed, the presence of encouragement and support to learn, the presence of hopes and future aspirations, and the presence of internal rewards and interesting activities in learning. Meanwhile, the Y variable consists of the cognitive domain, affectiv</w:t>
      </w:r>
      <w:r>
        <w:rPr>
          <w:rFonts w:ascii="Arial" w:hAnsi="Arial" w:cs="Arial"/>
        </w:rPr>
        <w:t>e domain, and psychomotor domain.</w:t>
      </w:r>
    </w:p>
    <w:p w14:paraId="5B2EF92D" w14:textId="49B2BE0B" w:rsidR="002545CE" w:rsidRPr="002545CE" w:rsidRDefault="002545CE" w:rsidP="002545CE">
      <w:pPr>
        <w:pStyle w:val="Body"/>
        <w:rPr>
          <w:rFonts w:ascii="Arial" w:hAnsi="Arial" w:cs="Arial"/>
          <w:b/>
        </w:rPr>
      </w:pPr>
      <w:r>
        <w:rPr>
          <w:rFonts w:ascii="Arial" w:hAnsi="Arial" w:cs="Arial"/>
          <w:b/>
        </w:rPr>
        <w:t xml:space="preserve">2.4 </w:t>
      </w:r>
      <w:r w:rsidRPr="002545CE">
        <w:rPr>
          <w:rFonts w:ascii="Arial" w:hAnsi="Arial" w:cs="Arial"/>
          <w:b/>
        </w:rPr>
        <w:t>Population and Sample</w:t>
      </w:r>
    </w:p>
    <w:p w14:paraId="341A23E4" w14:textId="77777777" w:rsidR="002545CE" w:rsidRPr="002545CE" w:rsidRDefault="002545CE" w:rsidP="002545CE">
      <w:pPr>
        <w:pStyle w:val="Body"/>
        <w:rPr>
          <w:rFonts w:ascii="Arial" w:hAnsi="Arial" w:cs="Arial"/>
        </w:rPr>
      </w:pPr>
      <w:r w:rsidRPr="002545CE">
        <w:rPr>
          <w:rFonts w:ascii="Arial" w:hAnsi="Arial" w:cs="Arial"/>
        </w:rPr>
        <w:t xml:space="preserve">The population defined in this study is the 256 students in grade XI at SMA Negeri 1 </w:t>
      </w:r>
      <w:proofErr w:type="spellStart"/>
      <w:r w:rsidRPr="002545CE">
        <w:rPr>
          <w:rFonts w:ascii="Arial" w:hAnsi="Arial" w:cs="Arial"/>
        </w:rPr>
        <w:t>Telaga</w:t>
      </w:r>
      <w:proofErr w:type="spellEnd"/>
      <w:r w:rsidRPr="002545CE">
        <w:rPr>
          <w:rFonts w:ascii="Arial" w:hAnsi="Arial" w:cs="Arial"/>
        </w:rPr>
        <w:t xml:space="preserve"> Gorontalo Regency. To determine the sample in this study, the </w:t>
      </w:r>
      <w:proofErr w:type="spellStart"/>
      <w:r w:rsidRPr="002545CE">
        <w:rPr>
          <w:rFonts w:ascii="Arial" w:hAnsi="Arial" w:cs="Arial"/>
        </w:rPr>
        <w:t>Slovin</w:t>
      </w:r>
      <w:proofErr w:type="spellEnd"/>
      <w:r w:rsidRPr="002545CE">
        <w:rPr>
          <w:rFonts w:ascii="Arial" w:hAnsi="Arial" w:cs="Arial"/>
        </w:rPr>
        <w:t xml:space="preserve"> formula was used with a margin of error of 5%, resulting in a sample size of 156 students out of a total of 256 students. The </w:t>
      </w:r>
      <w:proofErr w:type="spellStart"/>
      <w:r w:rsidRPr="002545CE">
        <w:rPr>
          <w:rFonts w:ascii="Arial" w:hAnsi="Arial" w:cs="Arial"/>
        </w:rPr>
        <w:t>Slovin</w:t>
      </w:r>
      <w:proofErr w:type="spellEnd"/>
      <w:r w:rsidRPr="002545CE">
        <w:rPr>
          <w:rFonts w:ascii="Arial" w:hAnsi="Arial" w:cs="Arial"/>
        </w:rPr>
        <w:t xml:space="preserve"> formula is as follows</w:t>
      </w:r>
    </w:p>
    <w:p w14:paraId="7E14C5FD" w14:textId="77777777" w:rsidR="002545CE" w:rsidRPr="002545CE" w:rsidRDefault="002545CE" w:rsidP="0098615C">
      <w:pPr>
        <w:spacing w:line="276" w:lineRule="auto"/>
        <w:ind w:left="851" w:right="5"/>
        <w:rPr>
          <w:sz w:val="22"/>
        </w:rPr>
      </w:pPr>
      <m:oMathPara>
        <m:oMathParaPr>
          <m:jc m:val="left"/>
        </m:oMathParaPr>
        <m:oMath>
          <m:r>
            <w:rPr>
              <w:rFonts w:ascii="Cambria Math" w:hAnsi="Cambria Math"/>
              <w:sz w:val="22"/>
            </w:rPr>
            <w:lastRenderedPageBreak/>
            <m:t>n</m:t>
          </m:r>
          <m:r>
            <m:rPr>
              <m:sty m:val="p"/>
            </m:rPr>
            <w:rPr>
              <w:rFonts w:ascii="Cambria Math" w:hAnsi="Cambria Math"/>
              <w:sz w:val="22"/>
            </w:rPr>
            <m:t>=</m:t>
          </m:r>
          <m:f>
            <m:fPr>
              <m:ctrlPr>
                <w:rPr>
                  <w:rFonts w:ascii="Cambria Math" w:hAnsi="Cambria Math"/>
                  <w:sz w:val="22"/>
                </w:rPr>
              </m:ctrlPr>
            </m:fPr>
            <m:num>
              <m:r>
                <w:rPr>
                  <w:rFonts w:ascii="Cambria Math" w:hAnsi="Cambria Math"/>
                  <w:sz w:val="22"/>
                </w:rPr>
                <m:t>N</m:t>
              </m:r>
            </m:num>
            <m:den>
              <m:r>
                <m:rPr>
                  <m:sty m:val="p"/>
                </m:rPr>
                <w:rPr>
                  <w:rFonts w:ascii="Cambria Math" w:hAnsi="Cambria Math"/>
                  <w:sz w:val="22"/>
                </w:rPr>
                <m:t xml:space="preserve">1+ </m:t>
              </m:r>
              <m:sSup>
                <m:sSupPr>
                  <m:ctrlPr>
                    <w:rPr>
                      <w:rFonts w:ascii="Cambria Math" w:hAnsi="Cambria Math"/>
                      <w:sz w:val="22"/>
                    </w:rPr>
                  </m:ctrlPr>
                </m:sSupPr>
                <m:e>
                  <m:r>
                    <w:rPr>
                      <w:rFonts w:ascii="Cambria Math" w:hAnsi="Cambria Math"/>
                      <w:sz w:val="22"/>
                    </w:rPr>
                    <m:t>Ne</m:t>
                  </m:r>
                </m:e>
                <m:sup>
                  <m:r>
                    <m:rPr>
                      <m:sty m:val="p"/>
                    </m:rPr>
                    <w:rPr>
                      <w:rFonts w:ascii="Cambria Math" w:hAnsi="Cambria Math"/>
                      <w:sz w:val="22"/>
                    </w:rPr>
                    <m:t>2</m:t>
                  </m:r>
                </m:sup>
              </m:sSup>
            </m:den>
          </m:f>
        </m:oMath>
      </m:oMathPara>
    </w:p>
    <w:p w14:paraId="7DFC8659" w14:textId="77777777" w:rsidR="002545CE" w:rsidRDefault="002545CE" w:rsidP="002545CE">
      <w:pPr>
        <w:pStyle w:val="Body"/>
        <w:rPr>
          <w:rFonts w:ascii="Arial" w:hAnsi="Arial" w:cs="Arial"/>
        </w:rPr>
      </w:pPr>
    </w:p>
    <w:p w14:paraId="26ED0A4F" w14:textId="3ADFEAFA" w:rsidR="002545CE" w:rsidRPr="002545CE" w:rsidRDefault="002545CE" w:rsidP="002545CE">
      <w:pPr>
        <w:pStyle w:val="Body"/>
        <w:rPr>
          <w:rFonts w:ascii="Arial" w:hAnsi="Arial" w:cs="Arial"/>
        </w:rPr>
      </w:pPr>
      <w:r w:rsidRPr="002545CE">
        <w:rPr>
          <w:rFonts w:ascii="Arial" w:hAnsi="Arial" w:cs="Arial"/>
        </w:rPr>
        <w:t>Explanation: n (sample size); N (population size); e (margin of error).</w:t>
      </w:r>
    </w:p>
    <w:p w14:paraId="355EC8A0" w14:textId="19C92C8A" w:rsidR="002545CE" w:rsidRPr="002545CE" w:rsidRDefault="002545CE" w:rsidP="002545CE">
      <w:pPr>
        <w:pStyle w:val="Body"/>
        <w:rPr>
          <w:rFonts w:ascii="Arial" w:hAnsi="Arial" w:cs="Arial"/>
          <w:b/>
        </w:rPr>
      </w:pPr>
      <w:r>
        <w:rPr>
          <w:rFonts w:ascii="Arial" w:hAnsi="Arial" w:cs="Arial"/>
          <w:b/>
        </w:rPr>
        <w:t xml:space="preserve">2.5 </w:t>
      </w:r>
      <w:r w:rsidRPr="002545CE">
        <w:rPr>
          <w:rFonts w:ascii="Arial" w:hAnsi="Arial" w:cs="Arial"/>
          <w:b/>
        </w:rPr>
        <w:t>Data Collection Techniques</w:t>
      </w:r>
    </w:p>
    <w:p w14:paraId="1043748D" w14:textId="77777777" w:rsidR="002545CE" w:rsidRPr="002545CE" w:rsidRDefault="002545CE" w:rsidP="002545CE">
      <w:pPr>
        <w:pStyle w:val="Body"/>
        <w:rPr>
          <w:rFonts w:ascii="Arial" w:hAnsi="Arial" w:cs="Arial"/>
        </w:rPr>
      </w:pPr>
      <w:r w:rsidRPr="002545CE">
        <w:rPr>
          <w:rFonts w:ascii="Arial" w:hAnsi="Arial" w:cs="Arial"/>
        </w:rPr>
        <w:t xml:space="preserve">    This study uses data collection techniques involving research instruments in the form of questionnaires. This study also uses observation, interviews, and documentation methods. </w:t>
      </w:r>
    </w:p>
    <w:p w14:paraId="06DAF136" w14:textId="26415756" w:rsidR="002545CE" w:rsidRPr="0098615C" w:rsidRDefault="0098615C" w:rsidP="002545CE">
      <w:pPr>
        <w:pStyle w:val="Body"/>
        <w:rPr>
          <w:rFonts w:ascii="Arial" w:hAnsi="Arial" w:cs="Arial"/>
          <w:b/>
        </w:rPr>
      </w:pPr>
      <w:r w:rsidRPr="0098615C">
        <w:rPr>
          <w:rFonts w:ascii="Arial" w:hAnsi="Arial" w:cs="Arial"/>
          <w:b/>
        </w:rPr>
        <w:t xml:space="preserve">2.5 </w:t>
      </w:r>
      <w:r w:rsidR="002545CE" w:rsidRPr="0098615C">
        <w:rPr>
          <w:rFonts w:ascii="Arial" w:hAnsi="Arial" w:cs="Arial"/>
          <w:b/>
        </w:rPr>
        <w:t>Data Analysis Techniques</w:t>
      </w:r>
    </w:p>
    <w:p w14:paraId="186449A2" w14:textId="6B987B09" w:rsidR="002545CE" w:rsidRPr="0098615C" w:rsidRDefault="0098615C" w:rsidP="002545CE">
      <w:pPr>
        <w:pStyle w:val="Body"/>
        <w:rPr>
          <w:rFonts w:ascii="Arial" w:hAnsi="Arial" w:cs="Arial"/>
          <w:b/>
          <w:u w:val="single"/>
        </w:rPr>
      </w:pPr>
      <w:r w:rsidRPr="0098615C">
        <w:rPr>
          <w:rFonts w:ascii="Arial" w:hAnsi="Arial" w:cs="Arial"/>
          <w:b/>
          <w:u w:val="single"/>
        </w:rPr>
        <w:t xml:space="preserve">2.5.1 </w:t>
      </w:r>
      <w:r w:rsidR="002545CE" w:rsidRPr="0098615C">
        <w:rPr>
          <w:rFonts w:ascii="Arial" w:hAnsi="Arial" w:cs="Arial"/>
          <w:b/>
          <w:u w:val="single"/>
        </w:rPr>
        <w:t>SEM (PLS)</w:t>
      </w:r>
    </w:p>
    <w:p w14:paraId="6D99DF91" w14:textId="2AE5E427" w:rsidR="002545CE" w:rsidRDefault="002545CE" w:rsidP="002545CE">
      <w:pPr>
        <w:pStyle w:val="Body"/>
        <w:rPr>
          <w:rFonts w:ascii="Arial" w:hAnsi="Arial" w:cs="Arial"/>
        </w:rPr>
      </w:pPr>
      <w:r w:rsidRPr="002545CE">
        <w:rPr>
          <w:rFonts w:ascii="Arial" w:hAnsi="Arial" w:cs="Arial"/>
        </w:rPr>
        <w:tab/>
        <w:t xml:space="preserve">This study uses data analysis methods with Smart PLS version 3.0 software. The Partial Least Square (PLS) test is a structural equation modeling (SEM) approach based on variance used to analyze paths with more than one dependent and independent variable </w:t>
      </w:r>
      <w:r w:rsidR="00E82922" w:rsidRPr="00E82922">
        <w:rPr>
          <w:rFonts w:ascii="Arial" w:hAnsi="Arial" w:cs="Arial"/>
        </w:rPr>
        <w:t>(</w:t>
      </w:r>
      <w:proofErr w:type="spellStart"/>
      <w:r w:rsidR="00E82922" w:rsidRPr="00E82922">
        <w:rPr>
          <w:rFonts w:ascii="Arial" w:hAnsi="Arial" w:cs="Arial"/>
        </w:rPr>
        <w:t>Mardiana</w:t>
      </w:r>
      <w:proofErr w:type="spellEnd"/>
      <w:r w:rsidR="00E82922" w:rsidRPr="00E82922">
        <w:rPr>
          <w:rFonts w:ascii="Arial" w:hAnsi="Arial" w:cs="Arial"/>
        </w:rPr>
        <w:t xml:space="preserve"> &amp; Faqih, 2019).</w:t>
      </w:r>
    </w:p>
    <w:p w14:paraId="0493E867" w14:textId="51A78E5C" w:rsidR="0098615C" w:rsidRPr="0098615C" w:rsidRDefault="0098615C" w:rsidP="0098615C">
      <w:pPr>
        <w:pStyle w:val="Body"/>
        <w:rPr>
          <w:rFonts w:ascii="Arial" w:hAnsi="Arial" w:cs="Arial"/>
          <w:b/>
          <w:u w:val="single"/>
        </w:rPr>
      </w:pPr>
      <w:r w:rsidRPr="0098615C">
        <w:rPr>
          <w:rFonts w:ascii="Arial" w:hAnsi="Arial" w:cs="Arial"/>
          <w:b/>
          <w:u w:val="single"/>
        </w:rPr>
        <w:t xml:space="preserve">2.5.2 Outer Model </w:t>
      </w:r>
    </w:p>
    <w:p w14:paraId="39476679" w14:textId="77777777" w:rsidR="0098615C" w:rsidRPr="0098615C" w:rsidRDefault="0098615C" w:rsidP="0098615C">
      <w:pPr>
        <w:pStyle w:val="Body"/>
        <w:rPr>
          <w:rFonts w:ascii="Arial" w:hAnsi="Arial" w:cs="Arial"/>
        </w:rPr>
      </w:pPr>
      <w:r w:rsidRPr="0098615C">
        <w:rPr>
          <w:rFonts w:ascii="Arial" w:hAnsi="Arial" w:cs="Arial"/>
        </w:rPr>
        <w:t xml:space="preserve">    The outer model in the Partial Least Squares test is used to test internal validity and reliability. Outer model analysis specifies the relationship between latent variables and their indicators, or it can be defined that the outer model explains how each indicator is related to its latent variable.</w:t>
      </w:r>
    </w:p>
    <w:p w14:paraId="03330C7F" w14:textId="2C7F28D2" w:rsidR="0098615C" w:rsidRPr="0098615C" w:rsidRDefault="0098615C" w:rsidP="0098615C">
      <w:pPr>
        <w:pStyle w:val="Body"/>
        <w:numPr>
          <w:ilvl w:val="0"/>
          <w:numId w:val="37"/>
        </w:numPr>
        <w:rPr>
          <w:rFonts w:ascii="Arial" w:hAnsi="Arial" w:cs="Arial"/>
        </w:rPr>
      </w:pPr>
      <w:r w:rsidRPr="0098615C">
        <w:rPr>
          <w:rFonts w:ascii="Arial" w:hAnsi="Arial" w:cs="Arial"/>
        </w:rPr>
        <w:t>Exogenous latent variables are independent (free) variables that influence dependent (bound) variables. In this study, the exogenous latent variables are Learning Independence (X1), Learning Facilities (X2), and Learning Motivation (X3).</w:t>
      </w:r>
    </w:p>
    <w:p w14:paraId="2826C32A" w14:textId="77777777" w:rsidR="0098615C" w:rsidRDefault="0098615C" w:rsidP="0098615C">
      <w:pPr>
        <w:pStyle w:val="Body"/>
        <w:numPr>
          <w:ilvl w:val="0"/>
          <w:numId w:val="37"/>
        </w:numPr>
        <w:rPr>
          <w:rFonts w:ascii="Arial" w:hAnsi="Arial" w:cs="Arial"/>
        </w:rPr>
      </w:pPr>
      <w:r w:rsidRPr="0098615C">
        <w:rPr>
          <w:rFonts w:ascii="Arial" w:hAnsi="Arial" w:cs="Arial"/>
        </w:rPr>
        <w:t xml:space="preserve">Endogenous latent variables are dependent variables influenced by independent variables. In this study, the endogenous latent variable is Learning Outcomes (Y). </w:t>
      </w:r>
      <w:r>
        <w:rPr>
          <w:rFonts w:ascii="Arial" w:hAnsi="Arial" w:cs="Arial"/>
        </w:rPr>
        <w:t xml:space="preserve"> </w:t>
      </w:r>
    </w:p>
    <w:p w14:paraId="5FB32AE3" w14:textId="4704A2AF" w:rsidR="0098615C" w:rsidRPr="0098615C" w:rsidRDefault="0098615C" w:rsidP="0098615C">
      <w:pPr>
        <w:pStyle w:val="Body"/>
        <w:rPr>
          <w:rFonts w:ascii="Arial" w:hAnsi="Arial" w:cs="Arial"/>
          <w:b/>
          <w:u w:val="single"/>
        </w:rPr>
      </w:pPr>
      <w:r w:rsidRPr="0098615C">
        <w:rPr>
          <w:rFonts w:ascii="Arial" w:hAnsi="Arial" w:cs="Arial"/>
          <w:b/>
          <w:u w:val="single"/>
        </w:rPr>
        <w:t>2.5.3 Convergent Validity</w:t>
      </w:r>
    </w:p>
    <w:p w14:paraId="0B60E09A" w14:textId="2993BBE8" w:rsidR="0098615C" w:rsidRDefault="0098615C" w:rsidP="0098615C">
      <w:pPr>
        <w:pStyle w:val="Body"/>
        <w:rPr>
          <w:rFonts w:ascii="Arial" w:hAnsi="Arial" w:cs="Arial"/>
        </w:rPr>
      </w:pPr>
      <w:r w:rsidRPr="0098615C">
        <w:rPr>
          <w:rFonts w:ascii="Arial" w:hAnsi="Arial" w:cs="Arial"/>
        </w:rPr>
        <w:t xml:space="preserve">To measure construct validity, this study uses convergent validity. Convergent validity refers to the extent to which the indicators of a construct are correlated with each other and show that they measure the same construct </w:t>
      </w:r>
      <w:r w:rsidR="00E82922" w:rsidRPr="00E82922">
        <w:rPr>
          <w:rFonts w:ascii="Arial" w:hAnsi="Arial" w:cs="Arial"/>
        </w:rPr>
        <w:t>(</w:t>
      </w:r>
      <w:proofErr w:type="spellStart"/>
      <w:r w:rsidR="00E82922" w:rsidRPr="00E82922">
        <w:rPr>
          <w:rFonts w:ascii="Arial" w:hAnsi="Arial" w:cs="Arial"/>
        </w:rPr>
        <w:t>Mardiana</w:t>
      </w:r>
      <w:proofErr w:type="spellEnd"/>
      <w:r w:rsidR="00E82922" w:rsidRPr="00E82922">
        <w:rPr>
          <w:rFonts w:ascii="Arial" w:hAnsi="Arial" w:cs="Arial"/>
        </w:rPr>
        <w:t xml:space="preserve"> &amp; Faqih, 2019).</w:t>
      </w:r>
      <w:r w:rsidRPr="0098615C">
        <w:rPr>
          <w:rFonts w:ascii="Arial" w:hAnsi="Arial" w:cs="Arial"/>
        </w:rPr>
        <w:t xml:space="preserve"> Convergent validity testing is carried out through three main criteria, namely:</w:t>
      </w:r>
    </w:p>
    <w:p w14:paraId="2AF3278D" w14:textId="10C7CC44" w:rsidR="0098615C" w:rsidRPr="0098615C" w:rsidRDefault="0098615C" w:rsidP="0098615C">
      <w:pPr>
        <w:pStyle w:val="Body"/>
        <w:numPr>
          <w:ilvl w:val="0"/>
          <w:numId w:val="39"/>
        </w:numPr>
        <w:rPr>
          <w:rFonts w:ascii="Arial" w:hAnsi="Arial" w:cs="Arial"/>
        </w:rPr>
      </w:pPr>
      <w:r w:rsidRPr="0098615C">
        <w:rPr>
          <w:rFonts w:ascii="Arial" w:hAnsi="Arial" w:cs="Arial"/>
        </w:rPr>
        <w:t>Factor Loading (Standardized Factor Loading):</w:t>
      </w:r>
    </w:p>
    <w:p w14:paraId="4D41071E" w14:textId="4798740B" w:rsidR="0098615C" w:rsidRPr="0098615C" w:rsidRDefault="0098615C" w:rsidP="0098615C">
      <w:pPr>
        <w:pStyle w:val="Body"/>
        <w:ind w:left="720"/>
        <w:rPr>
          <w:rFonts w:ascii="Arial" w:hAnsi="Arial" w:cs="Arial"/>
        </w:rPr>
      </w:pPr>
      <w:r w:rsidRPr="0098615C">
        <w:rPr>
          <w:rFonts w:ascii="Arial" w:hAnsi="Arial" w:cs="Arial"/>
        </w:rPr>
        <w:t>An indicator is said to have good convergent validity if the factor loading value for the construct is ≥ 0.5, and ideally ≥ 0.7</w:t>
      </w:r>
      <w:r w:rsidR="00E82922">
        <w:rPr>
          <w:rFonts w:ascii="Arial" w:hAnsi="Arial" w:cs="Arial"/>
        </w:rPr>
        <w:t xml:space="preserve"> </w:t>
      </w:r>
      <w:r w:rsidR="00E82922" w:rsidRPr="00E82922">
        <w:rPr>
          <w:rFonts w:ascii="Arial" w:hAnsi="Arial" w:cs="Arial"/>
        </w:rPr>
        <w:t>(</w:t>
      </w:r>
      <w:proofErr w:type="spellStart"/>
      <w:r w:rsidR="00E82922" w:rsidRPr="00E82922">
        <w:rPr>
          <w:rFonts w:ascii="Arial" w:hAnsi="Arial" w:cs="Arial"/>
        </w:rPr>
        <w:t>Mardiana</w:t>
      </w:r>
      <w:proofErr w:type="spellEnd"/>
      <w:r w:rsidR="00E82922" w:rsidRPr="00E82922">
        <w:rPr>
          <w:rFonts w:ascii="Arial" w:hAnsi="Arial" w:cs="Arial"/>
        </w:rPr>
        <w:t xml:space="preserve"> &amp; Faqih, 2019</w:t>
      </w:r>
      <w:r w:rsidR="00E82922">
        <w:rPr>
          <w:rFonts w:ascii="Arial" w:hAnsi="Arial" w:cs="Arial"/>
        </w:rPr>
        <w:t xml:space="preserve">). </w:t>
      </w:r>
      <w:r w:rsidRPr="0098615C">
        <w:rPr>
          <w:rFonts w:ascii="Arial" w:hAnsi="Arial" w:cs="Arial"/>
        </w:rPr>
        <w:t xml:space="preserve"> A high factor loading indicates that the indicator has a significant contribution in measuring the construct.</w:t>
      </w:r>
    </w:p>
    <w:p w14:paraId="52BADAE5" w14:textId="2EAAD01D" w:rsidR="0098615C" w:rsidRPr="0098615C" w:rsidRDefault="0098615C" w:rsidP="0098615C">
      <w:pPr>
        <w:pStyle w:val="Body"/>
        <w:numPr>
          <w:ilvl w:val="0"/>
          <w:numId w:val="39"/>
        </w:numPr>
        <w:rPr>
          <w:rFonts w:ascii="Arial" w:hAnsi="Arial" w:cs="Arial"/>
        </w:rPr>
      </w:pPr>
      <w:r w:rsidRPr="0098615C">
        <w:rPr>
          <w:rFonts w:ascii="Arial" w:hAnsi="Arial" w:cs="Arial"/>
        </w:rPr>
        <w:t>Average Variance Extracted (AVE):</w:t>
      </w:r>
    </w:p>
    <w:p w14:paraId="0B45AC8D" w14:textId="5C860175" w:rsidR="0098615C" w:rsidRDefault="0098615C" w:rsidP="0098615C">
      <w:pPr>
        <w:pStyle w:val="Body"/>
        <w:ind w:left="720"/>
        <w:rPr>
          <w:rFonts w:ascii="Arial" w:hAnsi="Arial" w:cs="Arial"/>
        </w:rPr>
      </w:pPr>
      <w:r w:rsidRPr="0098615C">
        <w:rPr>
          <w:rFonts w:ascii="Arial" w:hAnsi="Arial" w:cs="Arial"/>
        </w:rPr>
        <w:t>AVE is used to measure how much variance is captured by the construct compared to the variance caused by measurement error. An AVE value ≥ 0.5 indicates that the construct explains more than 50% of the variance of its indicators (</w:t>
      </w:r>
      <w:proofErr w:type="spellStart"/>
      <w:r w:rsidRPr="0098615C">
        <w:rPr>
          <w:rFonts w:ascii="Arial" w:hAnsi="Arial" w:cs="Arial"/>
        </w:rPr>
        <w:t>Fornell</w:t>
      </w:r>
      <w:proofErr w:type="spellEnd"/>
      <w:r w:rsidRPr="0098615C">
        <w:rPr>
          <w:rFonts w:ascii="Arial" w:hAnsi="Arial" w:cs="Arial"/>
        </w:rPr>
        <w:t xml:space="preserve"> &amp; </w:t>
      </w:r>
      <w:proofErr w:type="spellStart"/>
      <w:r w:rsidRPr="0098615C">
        <w:rPr>
          <w:rFonts w:ascii="Arial" w:hAnsi="Arial" w:cs="Arial"/>
        </w:rPr>
        <w:t>Larcker</w:t>
      </w:r>
      <w:proofErr w:type="spellEnd"/>
      <w:r w:rsidRPr="0098615C">
        <w:rPr>
          <w:rFonts w:ascii="Arial" w:hAnsi="Arial" w:cs="Arial"/>
        </w:rPr>
        <w:t>, 1981).</w:t>
      </w:r>
      <w:r>
        <w:rPr>
          <w:rFonts w:ascii="Arial" w:hAnsi="Arial" w:cs="Arial"/>
        </w:rPr>
        <w:t xml:space="preserve"> </w:t>
      </w:r>
      <w:r w:rsidRPr="0098615C">
        <w:rPr>
          <w:rFonts w:ascii="Arial" w:hAnsi="Arial" w:cs="Arial"/>
        </w:rPr>
        <w:t>AVE formula:</w:t>
      </w:r>
    </w:p>
    <w:p w14:paraId="3F75212B" w14:textId="77777777" w:rsidR="0098615C" w:rsidRPr="0098615C" w:rsidRDefault="0098615C" w:rsidP="0098615C">
      <w:pPr>
        <w:spacing w:before="100" w:beforeAutospacing="1" w:after="100" w:afterAutospacing="1" w:line="276" w:lineRule="auto"/>
        <w:ind w:left="720"/>
        <w:rPr>
          <w:rFonts w:ascii="Arial" w:hAnsi="Arial" w:cs="Arial"/>
          <w:sz w:val="28"/>
        </w:rPr>
      </w:pPr>
      <w:r w:rsidRPr="0098615C">
        <w:rPr>
          <w:rFonts w:ascii="Arial" w:hAnsi="Arial" w:cs="Arial"/>
          <w:sz w:val="22"/>
          <w:szCs w:val="22"/>
        </w:rPr>
        <w:t>AVE =</w:t>
      </w:r>
      <w:r w:rsidRPr="0098615C">
        <w:rPr>
          <w:rFonts w:ascii="Arial" w:hAnsi="Arial" w:cs="Arial"/>
          <w:sz w:val="28"/>
        </w:rPr>
        <w:t xml:space="preserve"> </w:t>
      </w:r>
      <m:oMath>
        <m:f>
          <m:fPr>
            <m:ctrlPr>
              <w:rPr>
                <w:rFonts w:ascii="Cambria Math" w:hAnsi="Cambria Math" w:cs="Arial"/>
                <w:i/>
                <w:sz w:val="22"/>
                <w:szCs w:val="22"/>
              </w:rPr>
            </m:ctrlPr>
          </m:fPr>
          <m:num>
            <m:nary>
              <m:naryPr>
                <m:chr m:val="∑"/>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r>
                  <w:rPr>
                    <w:rFonts w:ascii="Cambria Math" w:hAnsi="Cambria Math" w:cs="Arial"/>
                    <w:sz w:val="22"/>
                    <w:szCs w:val="22"/>
                  </w:rPr>
                  <m:t>λ</m:t>
                </m:r>
                <m:sSup>
                  <m:sSupPr>
                    <m:ctrlPr>
                      <w:rPr>
                        <w:rFonts w:ascii="Cambria Math" w:hAnsi="Cambria Math" w:cs="Arial"/>
                        <w:i/>
                        <w:sz w:val="22"/>
                        <w:szCs w:val="22"/>
                      </w:rPr>
                    </m:ctrlPr>
                  </m:sSupPr>
                  <m:e>
                    <m:r>
                      <w:rPr>
                        <w:rFonts w:ascii="Cambria Math" w:hAnsi="Cambria Math" w:cs="Arial"/>
                        <w:sz w:val="22"/>
                        <w:szCs w:val="22"/>
                      </w:rPr>
                      <m:t>i</m:t>
                    </m:r>
                  </m:e>
                  <m:sup>
                    <m:r>
                      <w:rPr>
                        <w:rFonts w:ascii="Cambria Math" w:hAnsi="Cambria Math" w:cs="Arial"/>
                        <w:sz w:val="22"/>
                        <w:szCs w:val="22"/>
                      </w:rPr>
                      <m:t>2</m:t>
                    </m:r>
                  </m:sup>
                </m:sSup>
              </m:e>
            </m:nary>
          </m:num>
          <m:den>
            <m:r>
              <w:rPr>
                <w:rFonts w:ascii="Cambria Math" w:hAnsi="Cambria Math" w:cs="Arial"/>
                <w:sz w:val="22"/>
                <w:szCs w:val="22"/>
              </w:rPr>
              <m:t>n</m:t>
            </m:r>
          </m:den>
        </m:f>
      </m:oMath>
    </w:p>
    <w:p w14:paraId="133A4EA5" w14:textId="77777777" w:rsidR="0098615C" w:rsidRPr="0098615C" w:rsidRDefault="0098615C" w:rsidP="0098615C">
      <w:pPr>
        <w:pStyle w:val="Body"/>
        <w:ind w:left="720"/>
        <w:rPr>
          <w:rFonts w:ascii="Arial" w:hAnsi="Arial" w:cs="Arial"/>
        </w:rPr>
      </w:pPr>
      <w:r w:rsidRPr="0098615C">
        <w:rPr>
          <w:rFonts w:ascii="Arial" w:hAnsi="Arial" w:cs="Arial"/>
        </w:rPr>
        <w:t xml:space="preserve">d </w:t>
      </w:r>
      <w:proofErr w:type="gramStart"/>
      <w:r w:rsidRPr="0098615C">
        <w:rPr>
          <w:rFonts w:ascii="Arial" w:hAnsi="Arial" w:cs="Arial"/>
        </w:rPr>
        <w:t>The</w:t>
      </w:r>
      <w:proofErr w:type="gramEnd"/>
      <w:r w:rsidRPr="0098615C">
        <w:rPr>
          <w:rFonts w:ascii="Arial" w:hAnsi="Arial" w:cs="Arial"/>
        </w:rPr>
        <w:t xml:space="preserve"> symbol λ represents the standardized loading factor and </w:t>
      </w:r>
      <w:proofErr w:type="spellStart"/>
      <w:r w:rsidRPr="0098615C">
        <w:rPr>
          <w:rFonts w:ascii="Arial" w:hAnsi="Arial" w:cs="Arial"/>
        </w:rPr>
        <w:t>i</w:t>
      </w:r>
      <w:proofErr w:type="spellEnd"/>
      <w:r w:rsidRPr="0098615C">
        <w:rPr>
          <w:rFonts w:ascii="Arial" w:hAnsi="Arial" w:cs="Arial"/>
        </w:rPr>
        <w:t xml:space="preserve"> is the number of indicators.</w:t>
      </w:r>
    </w:p>
    <w:p w14:paraId="3EE7D0E8" w14:textId="0F3A6C0B" w:rsidR="0098615C" w:rsidRPr="0098615C" w:rsidRDefault="0098615C" w:rsidP="0098615C">
      <w:pPr>
        <w:pStyle w:val="Body"/>
        <w:numPr>
          <w:ilvl w:val="0"/>
          <w:numId w:val="39"/>
        </w:numPr>
        <w:rPr>
          <w:rFonts w:ascii="Arial" w:hAnsi="Arial" w:cs="Arial"/>
        </w:rPr>
      </w:pPr>
      <w:r w:rsidRPr="0098615C">
        <w:rPr>
          <w:rFonts w:ascii="Arial" w:hAnsi="Arial" w:cs="Arial"/>
        </w:rPr>
        <w:t>Composite Reliability (CR):</w:t>
      </w:r>
    </w:p>
    <w:p w14:paraId="7B8C99D9" w14:textId="4ACC7930" w:rsidR="0098615C" w:rsidRDefault="0098615C" w:rsidP="0098615C">
      <w:pPr>
        <w:pStyle w:val="Body"/>
        <w:ind w:left="720"/>
        <w:rPr>
          <w:rFonts w:ascii="Arial" w:hAnsi="Arial" w:cs="Arial"/>
        </w:rPr>
      </w:pPr>
      <w:r w:rsidRPr="0098615C">
        <w:rPr>
          <w:rFonts w:ascii="Arial" w:hAnsi="Arial" w:cs="Arial"/>
        </w:rPr>
        <w:t xml:space="preserve">CR is used to measure the internal consistency of indicators in measuring constructs. A CR value ≥ 0.7 </w:t>
      </w:r>
      <w:r w:rsidR="00E82922">
        <w:rPr>
          <w:rFonts w:ascii="Arial" w:hAnsi="Arial" w:cs="Arial"/>
        </w:rPr>
        <w:t xml:space="preserve">indicates adequate reliability </w:t>
      </w:r>
      <w:r w:rsidR="00E82922" w:rsidRPr="00E82922">
        <w:rPr>
          <w:rFonts w:ascii="Arial" w:hAnsi="Arial" w:cs="Arial"/>
        </w:rPr>
        <w:t>(</w:t>
      </w:r>
      <w:proofErr w:type="spellStart"/>
      <w:r w:rsidR="00E82922" w:rsidRPr="00E82922">
        <w:rPr>
          <w:rFonts w:ascii="Arial" w:hAnsi="Arial" w:cs="Arial"/>
        </w:rPr>
        <w:t>Mardiana</w:t>
      </w:r>
      <w:proofErr w:type="spellEnd"/>
      <w:r w:rsidR="00E82922" w:rsidRPr="00E82922">
        <w:rPr>
          <w:rFonts w:ascii="Arial" w:hAnsi="Arial" w:cs="Arial"/>
        </w:rPr>
        <w:t xml:space="preserve"> &amp; Faqih, 2019).</w:t>
      </w:r>
    </w:p>
    <w:p w14:paraId="0B86476A" w14:textId="0B7E7312" w:rsidR="0098615C" w:rsidRDefault="0098615C" w:rsidP="0098615C">
      <w:pPr>
        <w:pStyle w:val="Body"/>
        <w:rPr>
          <w:rFonts w:ascii="Arial" w:hAnsi="Arial" w:cs="Arial"/>
        </w:rPr>
      </w:pPr>
      <w:r w:rsidRPr="0098615C">
        <w:rPr>
          <w:rFonts w:ascii="Arial" w:hAnsi="Arial" w:cs="Arial"/>
        </w:rPr>
        <w:lastRenderedPageBreak/>
        <w:t xml:space="preserve">Convergent validity testing was conducted using statistical analysis software based on Structural Equation Modeling (SEM), such as AMOS or </w:t>
      </w:r>
      <w:proofErr w:type="spellStart"/>
      <w:r w:rsidRPr="0098615C">
        <w:rPr>
          <w:rFonts w:ascii="Arial" w:hAnsi="Arial" w:cs="Arial"/>
        </w:rPr>
        <w:t>SmartPLS</w:t>
      </w:r>
      <w:proofErr w:type="spellEnd"/>
      <w:r w:rsidRPr="0098615C">
        <w:rPr>
          <w:rFonts w:ascii="Arial" w:hAnsi="Arial" w:cs="Arial"/>
        </w:rPr>
        <w:t>.</w:t>
      </w:r>
    </w:p>
    <w:p w14:paraId="3EEB89AE" w14:textId="25A2AB66" w:rsidR="0098615C" w:rsidRPr="0098615C" w:rsidRDefault="0098615C" w:rsidP="0098615C">
      <w:pPr>
        <w:pStyle w:val="Body"/>
        <w:rPr>
          <w:rFonts w:ascii="Arial" w:hAnsi="Arial" w:cs="Arial"/>
          <w:b/>
          <w:u w:val="single"/>
        </w:rPr>
      </w:pPr>
      <w:r w:rsidRPr="0098615C">
        <w:rPr>
          <w:rFonts w:ascii="Arial" w:hAnsi="Arial" w:cs="Arial"/>
          <w:b/>
          <w:u w:val="single"/>
        </w:rPr>
        <w:t>2.5.4 Discriminant Validity</w:t>
      </w:r>
    </w:p>
    <w:p w14:paraId="6D0DA5FC" w14:textId="77777777" w:rsidR="0098615C" w:rsidRPr="0098615C" w:rsidRDefault="0098615C" w:rsidP="0098615C">
      <w:pPr>
        <w:pStyle w:val="Body"/>
        <w:rPr>
          <w:rFonts w:ascii="Arial" w:hAnsi="Arial" w:cs="Arial"/>
        </w:rPr>
      </w:pPr>
      <w:r w:rsidRPr="0098615C">
        <w:rPr>
          <w:rFonts w:ascii="Arial" w:hAnsi="Arial" w:cs="Arial"/>
        </w:rPr>
        <w:t>Discriminant validity indicates the extent to which a construct is truly different from other constructs in the model. Testing is carried out by looking at the cross loading value, which is the indicator loading value for the target construct that must be higher than the loading for other constructs. If this condition is met, then the construct has adequate discriminant validity (Hair et al., 2019).</w:t>
      </w:r>
    </w:p>
    <w:p w14:paraId="3FA5A337" w14:textId="07445859" w:rsidR="0098615C" w:rsidRPr="0098615C" w:rsidRDefault="0098615C" w:rsidP="0098615C">
      <w:pPr>
        <w:pStyle w:val="Body"/>
        <w:rPr>
          <w:rFonts w:ascii="Arial" w:hAnsi="Arial" w:cs="Arial"/>
          <w:b/>
          <w:u w:val="single"/>
        </w:rPr>
      </w:pPr>
      <w:r w:rsidRPr="0098615C">
        <w:rPr>
          <w:rFonts w:ascii="Arial" w:hAnsi="Arial" w:cs="Arial"/>
          <w:b/>
          <w:u w:val="single"/>
        </w:rPr>
        <w:t xml:space="preserve">2.5.5 Inner Model </w:t>
      </w:r>
    </w:p>
    <w:p w14:paraId="4F4297A3" w14:textId="507359C2" w:rsidR="0098615C" w:rsidRDefault="0098615C" w:rsidP="0098615C">
      <w:pPr>
        <w:pStyle w:val="Body"/>
        <w:rPr>
          <w:rFonts w:ascii="Arial" w:hAnsi="Arial" w:cs="Arial"/>
        </w:rPr>
      </w:pPr>
      <w:r w:rsidRPr="0098615C">
        <w:rPr>
          <w:rFonts w:ascii="Arial" w:hAnsi="Arial" w:cs="Arial"/>
        </w:rPr>
        <w:t>The inner model aims to test the causal relationships between latent constructs. Evaluation of this structural model can be done through several indicators, including:</w:t>
      </w:r>
    </w:p>
    <w:p w14:paraId="270EAE2C" w14:textId="4548DAAF" w:rsidR="00F94AD9" w:rsidRPr="00F94AD9" w:rsidRDefault="00F94AD9" w:rsidP="00F94AD9">
      <w:pPr>
        <w:pStyle w:val="Body"/>
        <w:numPr>
          <w:ilvl w:val="0"/>
          <w:numId w:val="43"/>
        </w:numPr>
        <w:rPr>
          <w:rFonts w:ascii="Arial" w:hAnsi="Arial" w:cs="Arial"/>
        </w:rPr>
      </w:pPr>
      <w:r w:rsidRPr="00F94AD9">
        <w:rPr>
          <w:rFonts w:ascii="Arial" w:hAnsi="Arial" w:cs="Arial"/>
        </w:rPr>
        <w:t>Coefficient of Determination (R²): Measures the amount of variation in the endogenous construct that can be explained by the exogenous construct. A higher R² value indicates that the model is better at explaining the variable.</w:t>
      </w:r>
    </w:p>
    <w:p w14:paraId="313A6172" w14:textId="2D42B1F0" w:rsidR="00F94AD9" w:rsidRDefault="00F94AD9" w:rsidP="00F94AD9">
      <w:pPr>
        <w:pStyle w:val="Body"/>
        <w:numPr>
          <w:ilvl w:val="0"/>
          <w:numId w:val="43"/>
        </w:numPr>
        <w:rPr>
          <w:rFonts w:ascii="Arial" w:hAnsi="Arial" w:cs="Arial"/>
        </w:rPr>
      </w:pPr>
      <w:r w:rsidRPr="00F94AD9">
        <w:rPr>
          <w:rFonts w:ascii="Arial" w:hAnsi="Arial" w:cs="Arial"/>
        </w:rPr>
        <w:t>Q² (Predictive Relevance): Measures the predictive ability of the model against observed data. A Q² value &gt; 0 indicates that the model has predictive relevance, while a Q² value &lt; 0 indicates a lack of predictive relevance (Chin, 1998).</w:t>
      </w:r>
    </w:p>
    <w:p w14:paraId="03788F38" w14:textId="3F946A4D" w:rsidR="00F94AD9" w:rsidRPr="00F94AD9" w:rsidRDefault="00F94AD9" w:rsidP="00F94AD9">
      <w:pPr>
        <w:pStyle w:val="Body"/>
        <w:rPr>
          <w:rFonts w:ascii="Arial" w:hAnsi="Arial" w:cs="Arial"/>
          <w:b/>
          <w:u w:val="single"/>
        </w:rPr>
      </w:pPr>
      <w:r w:rsidRPr="00F94AD9">
        <w:rPr>
          <w:rFonts w:ascii="Arial" w:hAnsi="Arial" w:cs="Arial"/>
          <w:b/>
          <w:u w:val="single"/>
        </w:rPr>
        <w:t>2.5.6 Hypothesis Testing</w:t>
      </w:r>
    </w:p>
    <w:p w14:paraId="5504A694" w14:textId="431AFCE2" w:rsidR="00F94AD9" w:rsidRDefault="00F94AD9" w:rsidP="00F94AD9">
      <w:pPr>
        <w:pStyle w:val="Body"/>
        <w:rPr>
          <w:rFonts w:ascii="Arial" w:hAnsi="Arial" w:cs="Arial"/>
        </w:rPr>
      </w:pPr>
      <w:r w:rsidRPr="00F94AD9">
        <w:rPr>
          <w:rFonts w:ascii="Arial" w:hAnsi="Arial" w:cs="Arial"/>
        </w:rPr>
        <w:t>This method uses an explanatory research approach through the Partial Least Squares (PLS) technique. Hypothesis testing is carried out using two approaches:</w:t>
      </w:r>
    </w:p>
    <w:p w14:paraId="15A0530C" w14:textId="5A91F903" w:rsidR="00F94AD9" w:rsidRPr="00F94AD9" w:rsidRDefault="00F94AD9" w:rsidP="00F94AD9">
      <w:pPr>
        <w:pStyle w:val="Body"/>
        <w:numPr>
          <w:ilvl w:val="0"/>
          <w:numId w:val="44"/>
        </w:numPr>
        <w:rPr>
          <w:rFonts w:ascii="Arial" w:hAnsi="Arial" w:cs="Arial"/>
        </w:rPr>
      </w:pPr>
      <w:r w:rsidRPr="00F94AD9">
        <w:rPr>
          <w:rFonts w:ascii="Arial" w:hAnsi="Arial" w:cs="Arial"/>
        </w:rPr>
        <w:t>t-statistic value: The hypothesis is considered significant if the t-statistic value &gt; 1.96 at a significance level of 5% (α = 0.05). This means that H</w:t>
      </w:r>
      <w:r w:rsidRPr="00F94AD9">
        <w:rPr>
          <w:rFonts w:ascii="Cambria Math" w:hAnsi="Cambria Math" w:cs="Cambria Math"/>
        </w:rPr>
        <w:t>₀</w:t>
      </w:r>
      <w:r w:rsidRPr="00F94AD9">
        <w:rPr>
          <w:rFonts w:ascii="Arial" w:hAnsi="Arial" w:cs="Arial"/>
        </w:rPr>
        <w:t xml:space="preserve"> is rejected and Hₐ is accepted.</w:t>
      </w:r>
    </w:p>
    <w:p w14:paraId="021EAC9D" w14:textId="21F4E502" w:rsidR="00AA74E0" w:rsidRPr="003E197D" w:rsidRDefault="00F94AD9" w:rsidP="002545CE">
      <w:pPr>
        <w:pStyle w:val="Body"/>
        <w:numPr>
          <w:ilvl w:val="0"/>
          <w:numId w:val="44"/>
        </w:numPr>
        <w:rPr>
          <w:rFonts w:ascii="Arial" w:hAnsi="Arial" w:cs="Arial"/>
        </w:rPr>
      </w:pPr>
      <w:r w:rsidRPr="00F94AD9">
        <w:rPr>
          <w:rFonts w:ascii="Arial" w:hAnsi="Arial" w:cs="Arial"/>
        </w:rPr>
        <w:t>Probability value (p-value): If the p-value is &lt; 0.05, then the alternative hypothesis (Hₐ) is accepted, and the null hypothesis (H</w:t>
      </w:r>
      <w:r w:rsidRPr="00F94AD9">
        <w:rPr>
          <w:rFonts w:ascii="Cambria Math" w:hAnsi="Cambria Math" w:cs="Cambria Math"/>
        </w:rPr>
        <w:t>₀</w:t>
      </w:r>
      <w:r w:rsidRPr="00F94AD9">
        <w:rPr>
          <w:rFonts w:ascii="Arial" w:hAnsi="Arial" w:cs="Arial"/>
        </w:rPr>
        <w:t>) is rej</w:t>
      </w:r>
      <w:r w:rsidR="00E82922">
        <w:rPr>
          <w:rFonts w:ascii="Arial" w:hAnsi="Arial" w:cs="Arial"/>
        </w:rPr>
        <w:t xml:space="preserve">ected </w:t>
      </w:r>
      <w:r w:rsidR="00E82922" w:rsidRPr="00E82922">
        <w:rPr>
          <w:rFonts w:ascii="Arial" w:hAnsi="Arial" w:cs="Arial"/>
        </w:rPr>
        <w:t>(</w:t>
      </w:r>
      <w:proofErr w:type="spellStart"/>
      <w:r w:rsidR="00E82922" w:rsidRPr="00E82922">
        <w:rPr>
          <w:rFonts w:ascii="Arial" w:hAnsi="Arial" w:cs="Arial"/>
        </w:rPr>
        <w:t>Mardiana</w:t>
      </w:r>
      <w:proofErr w:type="spellEnd"/>
      <w:r w:rsidR="00E82922" w:rsidRPr="00E82922">
        <w:rPr>
          <w:rFonts w:ascii="Arial" w:hAnsi="Arial" w:cs="Arial"/>
        </w:rPr>
        <w:t xml:space="preserve"> &amp; Faqih, 2019).</w:t>
      </w:r>
      <w:r w:rsidR="00AA74E0" w:rsidRPr="003E197D">
        <w:rPr>
          <w:rFonts w:ascii="Arial" w:hAnsi="Arial" w:cs="Arial"/>
        </w:rPr>
        <w:t xml:space="preserve">]  </w:t>
      </w:r>
    </w:p>
    <w:p w14:paraId="6DD0A1D4" w14:textId="77777777" w:rsidR="00790ADA" w:rsidRPr="00FB3A86" w:rsidRDefault="00790ADA" w:rsidP="00441B6F">
      <w:pPr>
        <w:pStyle w:val="Body"/>
        <w:spacing w:after="0"/>
        <w:rPr>
          <w:rFonts w:ascii="Arial" w:hAnsi="Arial" w:cs="Arial"/>
        </w:rPr>
      </w:pPr>
    </w:p>
    <w:p w14:paraId="77DD34F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457DFB" w14:textId="77777777" w:rsidR="00790ADA" w:rsidRPr="00FB3A86" w:rsidRDefault="00790ADA" w:rsidP="00441B6F">
      <w:pPr>
        <w:pStyle w:val="Head1"/>
        <w:spacing w:after="0"/>
        <w:jc w:val="both"/>
        <w:rPr>
          <w:rFonts w:ascii="Arial" w:hAnsi="Arial" w:cs="Arial"/>
        </w:rPr>
      </w:pPr>
    </w:p>
    <w:p w14:paraId="10FF0471" w14:textId="77777777" w:rsidR="007B76B6" w:rsidRPr="007B76B6" w:rsidRDefault="00502516" w:rsidP="007B76B6">
      <w:pPr>
        <w:pStyle w:val="Body"/>
        <w:rPr>
          <w:rFonts w:ascii="Arial" w:hAnsi="Arial" w:cs="Arial"/>
          <w:b/>
        </w:rPr>
      </w:pPr>
      <w:r>
        <w:rPr>
          <w:rFonts w:ascii="Arial" w:hAnsi="Arial" w:cs="Arial"/>
        </w:rPr>
        <w:t>[</w:t>
      </w:r>
      <w:r w:rsidR="007B76B6" w:rsidRPr="007B76B6">
        <w:rPr>
          <w:rFonts w:ascii="Arial" w:hAnsi="Arial" w:cs="Arial"/>
          <w:b/>
        </w:rPr>
        <w:t>3.1</w:t>
      </w:r>
      <w:r w:rsidR="007B76B6">
        <w:rPr>
          <w:rFonts w:ascii="Arial" w:hAnsi="Arial" w:cs="Arial"/>
        </w:rPr>
        <w:t xml:space="preserve"> </w:t>
      </w:r>
      <w:r w:rsidR="0037320A" w:rsidRPr="007B76B6">
        <w:rPr>
          <w:rFonts w:ascii="Arial" w:hAnsi="Arial" w:cs="Arial"/>
          <w:b/>
        </w:rPr>
        <w:t>Research Results</w:t>
      </w:r>
    </w:p>
    <w:p w14:paraId="225A1914" w14:textId="77777777" w:rsidR="007B76B6" w:rsidRPr="007B76B6" w:rsidRDefault="007B76B6" w:rsidP="007B76B6">
      <w:pPr>
        <w:spacing w:after="240"/>
        <w:jc w:val="both"/>
        <w:rPr>
          <w:b/>
          <w:u w:val="single"/>
        </w:rPr>
      </w:pPr>
      <w:r w:rsidRPr="007B76B6">
        <w:rPr>
          <w:rFonts w:ascii="Arial" w:hAnsi="Arial" w:cs="Arial"/>
          <w:b/>
        </w:rPr>
        <w:t xml:space="preserve"> </w:t>
      </w:r>
      <w:r w:rsidRPr="007B76B6">
        <w:rPr>
          <w:rFonts w:ascii="Arial" w:hAnsi="Arial" w:cs="Arial"/>
          <w:b/>
          <w:u w:val="single"/>
        </w:rPr>
        <w:t>3.1.</w:t>
      </w:r>
      <w:r w:rsidRPr="007B76B6">
        <w:rPr>
          <w:b/>
          <w:u w:val="single"/>
        </w:rPr>
        <w:t>1 Descriptive Statistics</w:t>
      </w:r>
    </w:p>
    <w:p w14:paraId="7580C651" w14:textId="77777777" w:rsidR="007B76B6" w:rsidRDefault="007B76B6" w:rsidP="007B76B6">
      <w:pPr>
        <w:spacing w:after="240"/>
        <w:jc w:val="both"/>
      </w:pPr>
      <w:r>
        <w:t>Descriptive statistics is a statistical analysis method that provides an overview of the characteristics of each variable in the study as seen from the average value (mean), maximum value and minimum value. In this study, descriptive statistical analysis was carried out on data that had met the assumption of normality. The following are the results of descriptive statistical analysis of respondents' answers:</w:t>
      </w:r>
    </w:p>
    <w:p w14:paraId="6844F826" w14:textId="77777777" w:rsidR="007B76B6" w:rsidRDefault="007B76B6" w:rsidP="007B76B6">
      <w:pPr>
        <w:pStyle w:val="Body"/>
        <w:spacing w:after="0"/>
        <w:rPr>
          <w:rFonts w:ascii="Arial" w:hAnsi="Arial" w:cs="Arial"/>
        </w:rPr>
      </w:pPr>
      <w:r>
        <w:t>Table 2. Statistical Analysis Results</w:t>
      </w:r>
      <w:r w:rsidRPr="00B95236">
        <w:rPr>
          <w:rFonts w:ascii="Arial" w:hAnsi="Arial" w:cs="Arial"/>
        </w:rPr>
        <w:t xml:space="preserve"> </w:t>
      </w:r>
    </w:p>
    <w:p w14:paraId="38F0CB35" w14:textId="77777777" w:rsidR="007B76B6" w:rsidRDefault="007B76B6" w:rsidP="007B76B6">
      <w:pPr>
        <w:pStyle w:val="Body"/>
        <w:spacing w:after="0"/>
        <w:rPr>
          <w:rFonts w:ascii="Arial" w:hAnsi="Arial" w:cs="Arial"/>
        </w:rPr>
      </w:pPr>
    </w:p>
    <w:tbl>
      <w:tblPr>
        <w:tblW w:w="5000" w:type="pct"/>
        <w:tblLook w:val="04A0" w:firstRow="1" w:lastRow="0" w:firstColumn="1" w:lastColumn="0" w:noHBand="0" w:noVBand="1"/>
      </w:tblPr>
      <w:tblGrid>
        <w:gridCol w:w="1170"/>
        <w:gridCol w:w="1593"/>
        <w:gridCol w:w="1593"/>
        <w:gridCol w:w="1593"/>
        <w:gridCol w:w="2996"/>
        <w:gridCol w:w="2071"/>
      </w:tblGrid>
      <w:tr w:rsidR="007B76B6" w:rsidRPr="00897BF9" w14:paraId="58022C57" w14:textId="77777777" w:rsidTr="003570CE">
        <w:trPr>
          <w:trHeight w:val="300"/>
        </w:trPr>
        <w:tc>
          <w:tcPr>
            <w:tcW w:w="531" w:type="pct"/>
            <w:tcBorders>
              <w:top w:val="single" w:sz="4" w:space="0" w:color="auto"/>
              <w:bottom w:val="single" w:sz="4" w:space="0" w:color="auto"/>
            </w:tcBorders>
            <w:shd w:val="clear" w:color="auto" w:fill="auto"/>
            <w:noWrap/>
            <w:vAlign w:val="center"/>
            <w:hideMark/>
          </w:tcPr>
          <w:p w14:paraId="08B07E55"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No </w:t>
            </w:r>
          </w:p>
        </w:tc>
        <w:tc>
          <w:tcPr>
            <w:tcW w:w="723" w:type="pct"/>
            <w:tcBorders>
              <w:top w:val="single" w:sz="4" w:space="0" w:color="auto"/>
              <w:bottom w:val="single" w:sz="4" w:space="0" w:color="auto"/>
            </w:tcBorders>
            <w:shd w:val="clear" w:color="auto" w:fill="auto"/>
            <w:noWrap/>
            <w:vAlign w:val="center"/>
            <w:hideMark/>
          </w:tcPr>
          <w:p w14:paraId="75EB40B1"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Mean</w:t>
            </w:r>
          </w:p>
        </w:tc>
        <w:tc>
          <w:tcPr>
            <w:tcW w:w="723" w:type="pct"/>
            <w:tcBorders>
              <w:top w:val="single" w:sz="4" w:space="0" w:color="auto"/>
              <w:bottom w:val="single" w:sz="4" w:space="0" w:color="auto"/>
            </w:tcBorders>
            <w:shd w:val="clear" w:color="auto" w:fill="auto"/>
            <w:noWrap/>
            <w:vAlign w:val="center"/>
            <w:hideMark/>
          </w:tcPr>
          <w:p w14:paraId="5D1DC0E2"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Min</w:t>
            </w:r>
          </w:p>
        </w:tc>
        <w:tc>
          <w:tcPr>
            <w:tcW w:w="723" w:type="pct"/>
            <w:tcBorders>
              <w:top w:val="single" w:sz="4" w:space="0" w:color="auto"/>
              <w:bottom w:val="single" w:sz="4" w:space="0" w:color="auto"/>
            </w:tcBorders>
            <w:shd w:val="clear" w:color="auto" w:fill="auto"/>
            <w:noWrap/>
            <w:vAlign w:val="center"/>
            <w:hideMark/>
          </w:tcPr>
          <w:p w14:paraId="597D7E3C"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Max</w:t>
            </w:r>
          </w:p>
        </w:tc>
        <w:tc>
          <w:tcPr>
            <w:tcW w:w="1360" w:type="pct"/>
            <w:tcBorders>
              <w:top w:val="single" w:sz="4" w:space="0" w:color="auto"/>
              <w:bottom w:val="single" w:sz="4" w:space="0" w:color="auto"/>
            </w:tcBorders>
            <w:shd w:val="clear" w:color="auto" w:fill="auto"/>
            <w:noWrap/>
            <w:vAlign w:val="center"/>
            <w:hideMark/>
          </w:tcPr>
          <w:p w14:paraId="3E609F5C"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Excess Kurtosis</w:t>
            </w:r>
          </w:p>
        </w:tc>
        <w:tc>
          <w:tcPr>
            <w:tcW w:w="940" w:type="pct"/>
            <w:tcBorders>
              <w:top w:val="single" w:sz="4" w:space="0" w:color="auto"/>
              <w:bottom w:val="single" w:sz="4" w:space="0" w:color="auto"/>
            </w:tcBorders>
            <w:shd w:val="clear" w:color="auto" w:fill="auto"/>
            <w:noWrap/>
            <w:vAlign w:val="center"/>
            <w:hideMark/>
          </w:tcPr>
          <w:p w14:paraId="1BCE64EA"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Skewness</w:t>
            </w:r>
          </w:p>
        </w:tc>
      </w:tr>
      <w:tr w:rsidR="007B76B6" w:rsidRPr="00897BF9" w14:paraId="04E4745B" w14:textId="77777777" w:rsidTr="003570CE">
        <w:trPr>
          <w:trHeight w:val="300"/>
        </w:trPr>
        <w:tc>
          <w:tcPr>
            <w:tcW w:w="531" w:type="pct"/>
            <w:tcBorders>
              <w:top w:val="single" w:sz="4" w:space="0" w:color="auto"/>
            </w:tcBorders>
            <w:shd w:val="clear" w:color="auto" w:fill="auto"/>
            <w:noWrap/>
            <w:vAlign w:val="center"/>
            <w:hideMark/>
          </w:tcPr>
          <w:p w14:paraId="666BDC7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X1.1</w:t>
            </w:r>
          </w:p>
        </w:tc>
        <w:tc>
          <w:tcPr>
            <w:tcW w:w="723" w:type="pct"/>
            <w:tcBorders>
              <w:top w:val="single" w:sz="4" w:space="0" w:color="auto"/>
            </w:tcBorders>
            <w:shd w:val="clear" w:color="auto" w:fill="auto"/>
            <w:noWrap/>
            <w:vAlign w:val="center"/>
            <w:hideMark/>
          </w:tcPr>
          <w:p w14:paraId="52F4EF4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17.340</w:t>
            </w:r>
          </w:p>
        </w:tc>
        <w:tc>
          <w:tcPr>
            <w:tcW w:w="723" w:type="pct"/>
            <w:tcBorders>
              <w:top w:val="single" w:sz="4" w:space="0" w:color="auto"/>
            </w:tcBorders>
            <w:shd w:val="clear" w:color="auto" w:fill="auto"/>
            <w:noWrap/>
            <w:vAlign w:val="center"/>
            <w:hideMark/>
          </w:tcPr>
          <w:p w14:paraId="198B9BC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6.000</w:t>
            </w:r>
          </w:p>
        </w:tc>
        <w:tc>
          <w:tcPr>
            <w:tcW w:w="723" w:type="pct"/>
            <w:tcBorders>
              <w:top w:val="single" w:sz="4" w:space="0" w:color="auto"/>
            </w:tcBorders>
            <w:shd w:val="clear" w:color="auto" w:fill="auto"/>
            <w:noWrap/>
            <w:vAlign w:val="center"/>
            <w:hideMark/>
          </w:tcPr>
          <w:p w14:paraId="1BE320B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24.000</w:t>
            </w:r>
          </w:p>
        </w:tc>
        <w:tc>
          <w:tcPr>
            <w:tcW w:w="1360" w:type="pct"/>
            <w:tcBorders>
              <w:top w:val="single" w:sz="4" w:space="0" w:color="auto"/>
            </w:tcBorders>
            <w:shd w:val="clear" w:color="auto" w:fill="auto"/>
            <w:noWrap/>
            <w:vAlign w:val="center"/>
            <w:hideMark/>
          </w:tcPr>
          <w:p w14:paraId="736AF201"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0.326</w:t>
            </w:r>
          </w:p>
        </w:tc>
        <w:tc>
          <w:tcPr>
            <w:tcW w:w="940" w:type="pct"/>
            <w:tcBorders>
              <w:top w:val="single" w:sz="4" w:space="0" w:color="auto"/>
            </w:tcBorders>
            <w:shd w:val="clear" w:color="auto" w:fill="auto"/>
            <w:noWrap/>
            <w:vAlign w:val="center"/>
            <w:hideMark/>
          </w:tcPr>
          <w:p w14:paraId="68D3154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-0.582</w:t>
            </w:r>
          </w:p>
        </w:tc>
      </w:tr>
      <w:tr w:rsidR="007B76B6" w:rsidRPr="00897BF9" w14:paraId="57276EB9" w14:textId="77777777" w:rsidTr="003570CE">
        <w:trPr>
          <w:trHeight w:val="300"/>
        </w:trPr>
        <w:tc>
          <w:tcPr>
            <w:tcW w:w="531" w:type="pct"/>
            <w:tcBorders>
              <w:top w:val="nil"/>
            </w:tcBorders>
            <w:shd w:val="clear" w:color="auto" w:fill="auto"/>
            <w:noWrap/>
            <w:vAlign w:val="center"/>
            <w:hideMark/>
          </w:tcPr>
          <w:p w14:paraId="4B506A9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X1.2</w:t>
            </w:r>
          </w:p>
        </w:tc>
        <w:tc>
          <w:tcPr>
            <w:tcW w:w="723" w:type="pct"/>
            <w:tcBorders>
              <w:top w:val="nil"/>
            </w:tcBorders>
            <w:shd w:val="clear" w:color="auto" w:fill="auto"/>
            <w:noWrap/>
            <w:vAlign w:val="center"/>
            <w:hideMark/>
          </w:tcPr>
          <w:p w14:paraId="671566FC"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18.385</w:t>
            </w:r>
          </w:p>
        </w:tc>
        <w:tc>
          <w:tcPr>
            <w:tcW w:w="723" w:type="pct"/>
            <w:tcBorders>
              <w:top w:val="nil"/>
            </w:tcBorders>
            <w:shd w:val="clear" w:color="auto" w:fill="auto"/>
            <w:noWrap/>
            <w:vAlign w:val="center"/>
            <w:hideMark/>
          </w:tcPr>
          <w:p w14:paraId="3B1CCCB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10.000</w:t>
            </w:r>
          </w:p>
        </w:tc>
        <w:tc>
          <w:tcPr>
            <w:tcW w:w="723" w:type="pct"/>
            <w:tcBorders>
              <w:top w:val="nil"/>
            </w:tcBorders>
            <w:shd w:val="clear" w:color="auto" w:fill="auto"/>
            <w:noWrap/>
            <w:vAlign w:val="center"/>
            <w:hideMark/>
          </w:tcPr>
          <w:p w14:paraId="5AE6ED16"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24.000</w:t>
            </w:r>
          </w:p>
        </w:tc>
        <w:tc>
          <w:tcPr>
            <w:tcW w:w="1360" w:type="pct"/>
            <w:tcBorders>
              <w:top w:val="nil"/>
            </w:tcBorders>
            <w:shd w:val="clear" w:color="auto" w:fill="auto"/>
            <w:noWrap/>
            <w:vAlign w:val="center"/>
            <w:hideMark/>
          </w:tcPr>
          <w:p w14:paraId="682245F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-0.260</w:t>
            </w:r>
          </w:p>
        </w:tc>
        <w:tc>
          <w:tcPr>
            <w:tcW w:w="940" w:type="pct"/>
            <w:tcBorders>
              <w:top w:val="nil"/>
            </w:tcBorders>
            <w:shd w:val="clear" w:color="auto" w:fill="auto"/>
            <w:noWrap/>
            <w:vAlign w:val="center"/>
            <w:hideMark/>
          </w:tcPr>
          <w:p w14:paraId="05E256C5"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-0.429</w:t>
            </w:r>
          </w:p>
        </w:tc>
      </w:tr>
      <w:tr w:rsidR="007B76B6" w:rsidRPr="00897BF9" w14:paraId="6A9D5BD7" w14:textId="77777777" w:rsidTr="003570CE">
        <w:trPr>
          <w:trHeight w:val="300"/>
        </w:trPr>
        <w:tc>
          <w:tcPr>
            <w:tcW w:w="531" w:type="pct"/>
            <w:tcBorders>
              <w:top w:val="nil"/>
            </w:tcBorders>
            <w:shd w:val="clear" w:color="auto" w:fill="auto"/>
            <w:noWrap/>
            <w:vAlign w:val="center"/>
            <w:hideMark/>
          </w:tcPr>
          <w:p w14:paraId="1ECFA107"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X1.3</w:t>
            </w:r>
          </w:p>
        </w:tc>
        <w:tc>
          <w:tcPr>
            <w:tcW w:w="723" w:type="pct"/>
            <w:tcBorders>
              <w:top w:val="nil"/>
            </w:tcBorders>
            <w:shd w:val="clear" w:color="auto" w:fill="auto"/>
            <w:noWrap/>
            <w:vAlign w:val="center"/>
            <w:hideMark/>
          </w:tcPr>
          <w:p w14:paraId="1E6139A6"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19.346</w:t>
            </w:r>
          </w:p>
        </w:tc>
        <w:tc>
          <w:tcPr>
            <w:tcW w:w="723" w:type="pct"/>
            <w:tcBorders>
              <w:top w:val="nil"/>
            </w:tcBorders>
            <w:shd w:val="clear" w:color="auto" w:fill="auto"/>
            <w:noWrap/>
            <w:vAlign w:val="center"/>
            <w:hideMark/>
          </w:tcPr>
          <w:p w14:paraId="12ED605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10.000</w:t>
            </w:r>
          </w:p>
        </w:tc>
        <w:tc>
          <w:tcPr>
            <w:tcW w:w="723" w:type="pct"/>
            <w:tcBorders>
              <w:top w:val="nil"/>
            </w:tcBorders>
            <w:shd w:val="clear" w:color="auto" w:fill="auto"/>
            <w:noWrap/>
            <w:vAlign w:val="center"/>
            <w:hideMark/>
          </w:tcPr>
          <w:p w14:paraId="379489B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25.000</w:t>
            </w:r>
          </w:p>
        </w:tc>
        <w:tc>
          <w:tcPr>
            <w:tcW w:w="1360" w:type="pct"/>
            <w:tcBorders>
              <w:top w:val="nil"/>
            </w:tcBorders>
            <w:shd w:val="clear" w:color="auto" w:fill="auto"/>
            <w:noWrap/>
            <w:vAlign w:val="center"/>
            <w:hideMark/>
          </w:tcPr>
          <w:p w14:paraId="58743B9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-0.185</w:t>
            </w:r>
          </w:p>
        </w:tc>
        <w:tc>
          <w:tcPr>
            <w:tcW w:w="940" w:type="pct"/>
            <w:tcBorders>
              <w:top w:val="nil"/>
            </w:tcBorders>
            <w:shd w:val="clear" w:color="auto" w:fill="auto"/>
            <w:noWrap/>
            <w:vAlign w:val="center"/>
            <w:hideMark/>
          </w:tcPr>
          <w:p w14:paraId="7E1E472C"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-0.545</w:t>
            </w:r>
          </w:p>
        </w:tc>
      </w:tr>
      <w:tr w:rsidR="007B76B6" w:rsidRPr="00897BF9" w14:paraId="34DBBDFB" w14:textId="77777777" w:rsidTr="003570CE">
        <w:trPr>
          <w:trHeight w:val="300"/>
        </w:trPr>
        <w:tc>
          <w:tcPr>
            <w:tcW w:w="531" w:type="pct"/>
            <w:tcBorders>
              <w:top w:val="nil"/>
            </w:tcBorders>
            <w:shd w:val="clear" w:color="auto" w:fill="auto"/>
            <w:noWrap/>
            <w:vAlign w:val="center"/>
            <w:hideMark/>
          </w:tcPr>
          <w:p w14:paraId="31D946DC"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X2.1</w:t>
            </w:r>
          </w:p>
        </w:tc>
        <w:tc>
          <w:tcPr>
            <w:tcW w:w="723" w:type="pct"/>
            <w:tcBorders>
              <w:top w:val="nil"/>
            </w:tcBorders>
            <w:shd w:val="clear" w:color="auto" w:fill="auto"/>
            <w:noWrap/>
            <w:vAlign w:val="center"/>
            <w:hideMark/>
          </w:tcPr>
          <w:p w14:paraId="77803425"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11.154</w:t>
            </w:r>
          </w:p>
        </w:tc>
        <w:tc>
          <w:tcPr>
            <w:tcW w:w="723" w:type="pct"/>
            <w:tcBorders>
              <w:top w:val="nil"/>
            </w:tcBorders>
            <w:shd w:val="clear" w:color="auto" w:fill="auto"/>
            <w:noWrap/>
            <w:vAlign w:val="center"/>
            <w:hideMark/>
          </w:tcPr>
          <w:p w14:paraId="0C5D619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7574770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100622D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1.031</w:t>
            </w:r>
          </w:p>
        </w:tc>
        <w:tc>
          <w:tcPr>
            <w:tcW w:w="940" w:type="pct"/>
            <w:tcBorders>
              <w:top w:val="nil"/>
            </w:tcBorders>
            <w:shd w:val="clear" w:color="auto" w:fill="auto"/>
            <w:noWrap/>
            <w:vAlign w:val="center"/>
            <w:hideMark/>
          </w:tcPr>
          <w:p w14:paraId="5673D5BE"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-0.927</w:t>
            </w:r>
          </w:p>
        </w:tc>
      </w:tr>
      <w:tr w:rsidR="007B76B6" w:rsidRPr="00897BF9" w14:paraId="653B5227" w14:textId="77777777" w:rsidTr="003570CE">
        <w:trPr>
          <w:trHeight w:val="300"/>
        </w:trPr>
        <w:tc>
          <w:tcPr>
            <w:tcW w:w="531" w:type="pct"/>
            <w:tcBorders>
              <w:top w:val="nil"/>
            </w:tcBorders>
            <w:shd w:val="clear" w:color="auto" w:fill="auto"/>
            <w:noWrap/>
            <w:vAlign w:val="center"/>
            <w:hideMark/>
          </w:tcPr>
          <w:p w14:paraId="6D14057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X2.2</w:t>
            </w:r>
          </w:p>
        </w:tc>
        <w:tc>
          <w:tcPr>
            <w:tcW w:w="723" w:type="pct"/>
            <w:tcBorders>
              <w:top w:val="nil"/>
            </w:tcBorders>
            <w:shd w:val="clear" w:color="auto" w:fill="auto"/>
            <w:noWrap/>
            <w:vAlign w:val="center"/>
            <w:hideMark/>
          </w:tcPr>
          <w:p w14:paraId="3423C5A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11.391</w:t>
            </w:r>
          </w:p>
        </w:tc>
        <w:tc>
          <w:tcPr>
            <w:tcW w:w="723" w:type="pct"/>
            <w:tcBorders>
              <w:top w:val="nil"/>
            </w:tcBorders>
            <w:shd w:val="clear" w:color="auto" w:fill="auto"/>
            <w:noWrap/>
            <w:vAlign w:val="center"/>
            <w:hideMark/>
          </w:tcPr>
          <w:p w14:paraId="5B61B24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4E01A3F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2FFB0CF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0.239</w:t>
            </w:r>
          </w:p>
        </w:tc>
        <w:tc>
          <w:tcPr>
            <w:tcW w:w="940" w:type="pct"/>
            <w:tcBorders>
              <w:top w:val="nil"/>
            </w:tcBorders>
            <w:shd w:val="clear" w:color="auto" w:fill="auto"/>
            <w:noWrap/>
            <w:vAlign w:val="center"/>
            <w:hideMark/>
          </w:tcPr>
          <w:p w14:paraId="4D2D7DAE"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-0.510</w:t>
            </w:r>
          </w:p>
        </w:tc>
      </w:tr>
      <w:tr w:rsidR="007B76B6" w:rsidRPr="00897BF9" w14:paraId="53AD1F78" w14:textId="77777777" w:rsidTr="003570CE">
        <w:trPr>
          <w:trHeight w:val="300"/>
        </w:trPr>
        <w:tc>
          <w:tcPr>
            <w:tcW w:w="531" w:type="pct"/>
            <w:tcBorders>
              <w:top w:val="nil"/>
            </w:tcBorders>
            <w:shd w:val="clear" w:color="auto" w:fill="auto"/>
            <w:noWrap/>
            <w:vAlign w:val="center"/>
            <w:hideMark/>
          </w:tcPr>
          <w:p w14:paraId="2FCB891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X2.3</w:t>
            </w:r>
          </w:p>
        </w:tc>
        <w:tc>
          <w:tcPr>
            <w:tcW w:w="723" w:type="pct"/>
            <w:tcBorders>
              <w:top w:val="nil"/>
            </w:tcBorders>
            <w:shd w:val="clear" w:color="auto" w:fill="auto"/>
            <w:noWrap/>
            <w:vAlign w:val="center"/>
            <w:hideMark/>
          </w:tcPr>
          <w:p w14:paraId="2E5833C5"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11.397</w:t>
            </w:r>
          </w:p>
        </w:tc>
        <w:tc>
          <w:tcPr>
            <w:tcW w:w="723" w:type="pct"/>
            <w:tcBorders>
              <w:top w:val="nil"/>
            </w:tcBorders>
            <w:shd w:val="clear" w:color="auto" w:fill="auto"/>
            <w:noWrap/>
            <w:vAlign w:val="center"/>
            <w:hideMark/>
          </w:tcPr>
          <w:p w14:paraId="08C6C75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4CD90B1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3D8C93E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0.042</w:t>
            </w:r>
          </w:p>
        </w:tc>
        <w:tc>
          <w:tcPr>
            <w:tcW w:w="940" w:type="pct"/>
            <w:tcBorders>
              <w:top w:val="nil"/>
            </w:tcBorders>
            <w:shd w:val="clear" w:color="auto" w:fill="auto"/>
            <w:noWrap/>
            <w:vAlign w:val="center"/>
            <w:hideMark/>
          </w:tcPr>
          <w:p w14:paraId="5512F77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-0.494</w:t>
            </w:r>
          </w:p>
        </w:tc>
      </w:tr>
      <w:tr w:rsidR="007B76B6" w:rsidRPr="00897BF9" w14:paraId="3211A596" w14:textId="77777777" w:rsidTr="003570CE">
        <w:trPr>
          <w:trHeight w:val="300"/>
        </w:trPr>
        <w:tc>
          <w:tcPr>
            <w:tcW w:w="531" w:type="pct"/>
            <w:tcBorders>
              <w:top w:val="nil"/>
            </w:tcBorders>
            <w:shd w:val="clear" w:color="auto" w:fill="auto"/>
            <w:noWrap/>
            <w:vAlign w:val="center"/>
            <w:hideMark/>
          </w:tcPr>
          <w:p w14:paraId="339D2D1D"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X2.4</w:t>
            </w:r>
          </w:p>
        </w:tc>
        <w:tc>
          <w:tcPr>
            <w:tcW w:w="723" w:type="pct"/>
            <w:tcBorders>
              <w:top w:val="nil"/>
            </w:tcBorders>
            <w:shd w:val="clear" w:color="auto" w:fill="auto"/>
            <w:noWrap/>
            <w:vAlign w:val="center"/>
            <w:hideMark/>
          </w:tcPr>
          <w:p w14:paraId="2FD8884E"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11.429</w:t>
            </w:r>
          </w:p>
        </w:tc>
        <w:tc>
          <w:tcPr>
            <w:tcW w:w="723" w:type="pct"/>
            <w:tcBorders>
              <w:top w:val="nil"/>
            </w:tcBorders>
            <w:shd w:val="clear" w:color="auto" w:fill="auto"/>
            <w:noWrap/>
            <w:vAlign w:val="center"/>
            <w:hideMark/>
          </w:tcPr>
          <w:p w14:paraId="20F1D8D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3.000</w:t>
            </w:r>
          </w:p>
        </w:tc>
        <w:tc>
          <w:tcPr>
            <w:tcW w:w="723" w:type="pct"/>
            <w:tcBorders>
              <w:top w:val="nil"/>
            </w:tcBorders>
            <w:shd w:val="clear" w:color="auto" w:fill="auto"/>
            <w:noWrap/>
            <w:vAlign w:val="center"/>
            <w:hideMark/>
          </w:tcPr>
          <w:p w14:paraId="7918E5B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4B321C2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0.604</w:t>
            </w:r>
          </w:p>
        </w:tc>
        <w:tc>
          <w:tcPr>
            <w:tcW w:w="940" w:type="pct"/>
            <w:tcBorders>
              <w:top w:val="nil"/>
            </w:tcBorders>
            <w:shd w:val="clear" w:color="auto" w:fill="auto"/>
            <w:noWrap/>
            <w:vAlign w:val="center"/>
            <w:hideMark/>
          </w:tcPr>
          <w:p w14:paraId="5C6F3A04"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-0.716</w:t>
            </w:r>
          </w:p>
        </w:tc>
      </w:tr>
      <w:tr w:rsidR="007B76B6" w:rsidRPr="00897BF9" w14:paraId="41F33732" w14:textId="77777777" w:rsidTr="003570CE">
        <w:trPr>
          <w:trHeight w:val="300"/>
        </w:trPr>
        <w:tc>
          <w:tcPr>
            <w:tcW w:w="531" w:type="pct"/>
            <w:tcBorders>
              <w:top w:val="nil"/>
            </w:tcBorders>
            <w:shd w:val="clear" w:color="auto" w:fill="auto"/>
            <w:noWrap/>
            <w:vAlign w:val="center"/>
            <w:hideMark/>
          </w:tcPr>
          <w:p w14:paraId="6A0A482D"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lastRenderedPageBreak/>
              <w:t>X2.5</w:t>
            </w:r>
          </w:p>
        </w:tc>
        <w:tc>
          <w:tcPr>
            <w:tcW w:w="723" w:type="pct"/>
            <w:tcBorders>
              <w:top w:val="nil"/>
            </w:tcBorders>
            <w:shd w:val="clear" w:color="auto" w:fill="auto"/>
            <w:noWrap/>
            <w:vAlign w:val="center"/>
            <w:hideMark/>
          </w:tcPr>
          <w:p w14:paraId="277FDAA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11.160</w:t>
            </w:r>
          </w:p>
        </w:tc>
        <w:tc>
          <w:tcPr>
            <w:tcW w:w="723" w:type="pct"/>
            <w:tcBorders>
              <w:top w:val="nil"/>
            </w:tcBorders>
            <w:shd w:val="clear" w:color="auto" w:fill="auto"/>
            <w:noWrap/>
            <w:vAlign w:val="center"/>
            <w:hideMark/>
          </w:tcPr>
          <w:p w14:paraId="6EF37574"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0CEDE5F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1D9C1444"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0.697</w:t>
            </w:r>
          </w:p>
        </w:tc>
        <w:tc>
          <w:tcPr>
            <w:tcW w:w="940" w:type="pct"/>
            <w:tcBorders>
              <w:top w:val="nil"/>
            </w:tcBorders>
            <w:shd w:val="clear" w:color="auto" w:fill="auto"/>
            <w:noWrap/>
            <w:vAlign w:val="center"/>
            <w:hideMark/>
          </w:tcPr>
          <w:p w14:paraId="07C23EE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-0.680</w:t>
            </w:r>
          </w:p>
        </w:tc>
      </w:tr>
      <w:tr w:rsidR="007B76B6" w:rsidRPr="00897BF9" w14:paraId="00FED61A" w14:textId="77777777" w:rsidTr="003570CE">
        <w:trPr>
          <w:trHeight w:val="300"/>
        </w:trPr>
        <w:tc>
          <w:tcPr>
            <w:tcW w:w="531" w:type="pct"/>
            <w:tcBorders>
              <w:top w:val="nil"/>
            </w:tcBorders>
            <w:shd w:val="clear" w:color="auto" w:fill="auto"/>
            <w:noWrap/>
            <w:vAlign w:val="center"/>
            <w:hideMark/>
          </w:tcPr>
          <w:p w14:paraId="2A9963DD"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X3.1</w:t>
            </w:r>
          </w:p>
        </w:tc>
        <w:tc>
          <w:tcPr>
            <w:tcW w:w="723" w:type="pct"/>
            <w:tcBorders>
              <w:top w:val="nil"/>
            </w:tcBorders>
            <w:shd w:val="clear" w:color="auto" w:fill="auto"/>
            <w:noWrap/>
            <w:vAlign w:val="center"/>
            <w:hideMark/>
          </w:tcPr>
          <w:p w14:paraId="5998E1F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12.295</w:t>
            </w:r>
          </w:p>
        </w:tc>
        <w:tc>
          <w:tcPr>
            <w:tcW w:w="723" w:type="pct"/>
            <w:tcBorders>
              <w:top w:val="nil"/>
            </w:tcBorders>
            <w:shd w:val="clear" w:color="auto" w:fill="auto"/>
            <w:noWrap/>
            <w:vAlign w:val="center"/>
            <w:hideMark/>
          </w:tcPr>
          <w:p w14:paraId="5920870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4FEA203E"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63E3C38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0.621</w:t>
            </w:r>
          </w:p>
        </w:tc>
        <w:tc>
          <w:tcPr>
            <w:tcW w:w="940" w:type="pct"/>
            <w:tcBorders>
              <w:top w:val="nil"/>
            </w:tcBorders>
            <w:shd w:val="clear" w:color="auto" w:fill="auto"/>
            <w:noWrap/>
            <w:vAlign w:val="center"/>
            <w:hideMark/>
          </w:tcPr>
          <w:p w14:paraId="33D156E1"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-1.105</w:t>
            </w:r>
          </w:p>
        </w:tc>
      </w:tr>
      <w:tr w:rsidR="007B76B6" w:rsidRPr="00897BF9" w14:paraId="075A5C51" w14:textId="77777777" w:rsidTr="003570CE">
        <w:trPr>
          <w:trHeight w:val="300"/>
        </w:trPr>
        <w:tc>
          <w:tcPr>
            <w:tcW w:w="531" w:type="pct"/>
            <w:tcBorders>
              <w:top w:val="nil"/>
            </w:tcBorders>
            <w:shd w:val="clear" w:color="auto" w:fill="auto"/>
            <w:noWrap/>
            <w:vAlign w:val="center"/>
            <w:hideMark/>
          </w:tcPr>
          <w:p w14:paraId="4B68473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X3.2</w:t>
            </w:r>
          </w:p>
        </w:tc>
        <w:tc>
          <w:tcPr>
            <w:tcW w:w="723" w:type="pct"/>
            <w:tcBorders>
              <w:top w:val="nil"/>
            </w:tcBorders>
            <w:shd w:val="clear" w:color="auto" w:fill="auto"/>
            <w:noWrap/>
            <w:vAlign w:val="center"/>
            <w:hideMark/>
          </w:tcPr>
          <w:p w14:paraId="7A7FC89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11.994</w:t>
            </w:r>
          </w:p>
        </w:tc>
        <w:tc>
          <w:tcPr>
            <w:tcW w:w="723" w:type="pct"/>
            <w:tcBorders>
              <w:top w:val="nil"/>
            </w:tcBorders>
            <w:shd w:val="clear" w:color="auto" w:fill="auto"/>
            <w:noWrap/>
            <w:vAlign w:val="center"/>
            <w:hideMark/>
          </w:tcPr>
          <w:p w14:paraId="133E369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3.000</w:t>
            </w:r>
          </w:p>
        </w:tc>
        <w:tc>
          <w:tcPr>
            <w:tcW w:w="723" w:type="pct"/>
            <w:tcBorders>
              <w:top w:val="nil"/>
            </w:tcBorders>
            <w:shd w:val="clear" w:color="auto" w:fill="auto"/>
            <w:noWrap/>
            <w:vAlign w:val="center"/>
            <w:hideMark/>
          </w:tcPr>
          <w:p w14:paraId="54C14FD7"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1720D72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1.239</w:t>
            </w:r>
          </w:p>
        </w:tc>
        <w:tc>
          <w:tcPr>
            <w:tcW w:w="940" w:type="pct"/>
            <w:tcBorders>
              <w:top w:val="nil"/>
            </w:tcBorders>
            <w:shd w:val="clear" w:color="auto" w:fill="auto"/>
            <w:noWrap/>
            <w:vAlign w:val="center"/>
            <w:hideMark/>
          </w:tcPr>
          <w:p w14:paraId="61EACA2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-1.161</w:t>
            </w:r>
          </w:p>
        </w:tc>
      </w:tr>
      <w:tr w:rsidR="007B76B6" w:rsidRPr="00897BF9" w14:paraId="0597465E" w14:textId="77777777" w:rsidTr="003570CE">
        <w:trPr>
          <w:trHeight w:val="300"/>
        </w:trPr>
        <w:tc>
          <w:tcPr>
            <w:tcW w:w="531" w:type="pct"/>
            <w:tcBorders>
              <w:top w:val="nil"/>
            </w:tcBorders>
            <w:shd w:val="clear" w:color="auto" w:fill="auto"/>
            <w:noWrap/>
            <w:vAlign w:val="center"/>
            <w:hideMark/>
          </w:tcPr>
          <w:p w14:paraId="3094459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X3.3</w:t>
            </w:r>
          </w:p>
        </w:tc>
        <w:tc>
          <w:tcPr>
            <w:tcW w:w="723" w:type="pct"/>
            <w:tcBorders>
              <w:top w:val="nil"/>
            </w:tcBorders>
            <w:shd w:val="clear" w:color="auto" w:fill="auto"/>
            <w:noWrap/>
            <w:vAlign w:val="center"/>
            <w:hideMark/>
          </w:tcPr>
          <w:p w14:paraId="433EE4E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12.045</w:t>
            </w:r>
          </w:p>
        </w:tc>
        <w:tc>
          <w:tcPr>
            <w:tcW w:w="723" w:type="pct"/>
            <w:tcBorders>
              <w:top w:val="nil"/>
            </w:tcBorders>
            <w:shd w:val="clear" w:color="auto" w:fill="auto"/>
            <w:noWrap/>
            <w:vAlign w:val="center"/>
            <w:hideMark/>
          </w:tcPr>
          <w:p w14:paraId="5EE1834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0C77496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5748279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0.427</w:t>
            </w:r>
          </w:p>
        </w:tc>
        <w:tc>
          <w:tcPr>
            <w:tcW w:w="940" w:type="pct"/>
            <w:tcBorders>
              <w:top w:val="nil"/>
            </w:tcBorders>
            <w:shd w:val="clear" w:color="auto" w:fill="auto"/>
            <w:noWrap/>
            <w:vAlign w:val="center"/>
            <w:hideMark/>
          </w:tcPr>
          <w:p w14:paraId="0622F17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-1.019</w:t>
            </w:r>
          </w:p>
        </w:tc>
      </w:tr>
      <w:tr w:rsidR="007B76B6" w:rsidRPr="00897BF9" w14:paraId="14B1BB7C" w14:textId="77777777" w:rsidTr="003570CE">
        <w:trPr>
          <w:trHeight w:val="300"/>
        </w:trPr>
        <w:tc>
          <w:tcPr>
            <w:tcW w:w="531" w:type="pct"/>
            <w:tcBorders>
              <w:top w:val="nil"/>
            </w:tcBorders>
            <w:shd w:val="clear" w:color="auto" w:fill="auto"/>
            <w:noWrap/>
            <w:vAlign w:val="center"/>
            <w:hideMark/>
          </w:tcPr>
          <w:p w14:paraId="17734497"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X3.4</w:t>
            </w:r>
          </w:p>
        </w:tc>
        <w:tc>
          <w:tcPr>
            <w:tcW w:w="723" w:type="pct"/>
            <w:tcBorders>
              <w:top w:val="nil"/>
            </w:tcBorders>
            <w:shd w:val="clear" w:color="auto" w:fill="auto"/>
            <w:noWrap/>
            <w:vAlign w:val="center"/>
            <w:hideMark/>
          </w:tcPr>
          <w:p w14:paraId="3C1B106D"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11.949</w:t>
            </w:r>
          </w:p>
        </w:tc>
        <w:tc>
          <w:tcPr>
            <w:tcW w:w="723" w:type="pct"/>
            <w:tcBorders>
              <w:top w:val="nil"/>
            </w:tcBorders>
            <w:shd w:val="clear" w:color="auto" w:fill="auto"/>
            <w:noWrap/>
            <w:vAlign w:val="center"/>
            <w:hideMark/>
          </w:tcPr>
          <w:p w14:paraId="7551E895"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625484CD"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5F77A33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0.598</w:t>
            </w:r>
          </w:p>
        </w:tc>
        <w:tc>
          <w:tcPr>
            <w:tcW w:w="940" w:type="pct"/>
            <w:tcBorders>
              <w:top w:val="nil"/>
            </w:tcBorders>
            <w:shd w:val="clear" w:color="auto" w:fill="auto"/>
            <w:noWrap/>
            <w:vAlign w:val="center"/>
            <w:hideMark/>
          </w:tcPr>
          <w:p w14:paraId="0BBE0AD1"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-0.885</w:t>
            </w:r>
          </w:p>
        </w:tc>
      </w:tr>
      <w:tr w:rsidR="007B76B6" w:rsidRPr="00897BF9" w14:paraId="177A0552" w14:textId="77777777" w:rsidTr="003570CE">
        <w:trPr>
          <w:trHeight w:val="300"/>
        </w:trPr>
        <w:tc>
          <w:tcPr>
            <w:tcW w:w="531" w:type="pct"/>
            <w:tcBorders>
              <w:top w:val="nil"/>
            </w:tcBorders>
            <w:shd w:val="clear" w:color="auto" w:fill="auto"/>
            <w:noWrap/>
            <w:vAlign w:val="center"/>
            <w:hideMark/>
          </w:tcPr>
          <w:p w14:paraId="0172496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Y1.1</w:t>
            </w:r>
          </w:p>
        </w:tc>
        <w:tc>
          <w:tcPr>
            <w:tcW w:w="723" w:type="pct"/>
            <w:tcBorders>
              <w:top w:val="nil"/>
            </w:tcBorders>
            <w:shd w:val="clear" w:color="auto" w:fill="auto"/>
            <w:noWrap/>
            <w:vAlign w:val="center"/>
            <w:hideMark/>
          </w:tcPr>
          <w:p w14:paraId="1877E27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11.276</w:t>
            </w:r>
          </w:p>
        </w:tc>
        <w:tc>
          <w:tcPr>
            <w:tcW w:w="723" w:type="pct"/>
            <w:tcBorders>
              <w:top w:val="nil"/>
            </w:tcBorders>
            <w:shd w:val="clear" w:color="auto" w:fill="auto"/>
            <w:noWrap/>
            <w:vAlign w:val="center"/>
            <w:hideMark/>
          </w:tcPr>
          <w:p w14:paraId="4A36EEF4"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3879ED2E"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388CDA7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0.151</w:t>
            </w:r>
          </w:p>
        </w:tc>
        <w:tc>
          <w:tcPr>
            <w:tcW w:w="940" w:type="pct"/>
            <w:tcBorders>
              <w:top w:val="nil"/>
            </w:tcBorders>
            <w:shd w:val="clear" w:color="auto" w:fill="auto"/>
            <w:noWrap/>
            <w:vAlign w:val="center"/>
            <w:hideMark/>
          </w:tcPr>
          <w:p w14:paraId="0EA628D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-0.631</w:t>
            </w:r>
          </w:p>
        </w:tc>
      </w:tr>
      <w:tr w:rsidR="007B76B6" w:rsidRPr="00897BF9" w14:paraId="332A7311" w14:textId="77777777" w:rsidTr="003570CE">
        <w:trPr>
          <w:trHeight w:val="300"/>
        </w:trPr>
        <w:tc>
          <w:tcPr>
            <w:tcW w:w="531" w:type="pct"/>
            <w:tcBorders>
              <w:top w:val="nil"/>
            </w:tcBorders>
            <w:shd w:val="clear" w:color="auto" w:fill="auto"/>
            <w:noWrap/>
            <w:vAlign w:val="center"/>
            <w:hideMark/>
          </w:tcPr>
          <w:p w14:paraId="3F2AD14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Y1.2</w:t>
            </w:r>
          </w:p>
        </w:tc>
        <w:tc>
          <w:tcPr>
            <w:tcW w:w="723" w:type="pct"/>
            <w:tcBorders>
              <w:top w:val="nil"/>
            </w:tcBorders>
            <w:shd w:val="clear" w:color="auto" w:fill="auto"/>
            <w:noWrap/>
            <w:vAlign w:val="center"/>
            <w:hideMark/>
          </w:tcPr>
          <w:p w14:paraId="68AAD33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11.282</w:t>
            </w:r>
          </w:p>
        </w:tc>
        <w:tc>
          <w:tcPr>
            <w:tcW w:w="723" w:type="pct"/>
            <w:tcBorders>
              <w:top w:val="nil"/>
            </w:tcBorders>
            <w:shd w:val="clear" w:color="auto" w:fill="auto"/>
            <w:noWrap/>
            <w:vAlign w:val="center"/>
            <w:hideMark/>
          </w:tcPr>
          <w:p w14:paraId="7C753FE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3920EB0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3EE5B6F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0.188</w:t>
            </w:r>
          </w:p>
        </w:tc>
        <w:tc>
          <w:tcPr>
            <w:tcW w:w="940" w:type="pct"/>
            <w:tcBorders>
              <w:top w:val="nil"/>
            </w:tcBorders>
            <w:shd w:val="clear" w:color="auto" w:fill="auto"/>
            <w:noWrap/>
            <w:vAlign w:val="center"/>
            <w:hideMark/>
          </w:tcPr>
          <w:p w14:paraId="0DA94E3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-0.502</w:t>
            </w:r>
          </w:p>
        </w:tc>
      </w:tr>
      <w:tr w:rsidR="007B76B6" w:rsidRPr="00897BF9" w14:paraId="3C391D9F" w14:textId="77777777" w:rsidTr="003570CE">
        <w:trPr>
          <w:trHeight w:val="300"/>
        </w:trPr>
        <w:tc>
          <w:tcPr>
            <w:tcW w:w="531" w:type="pct"/>
            <w:tcBorders>
              <w:top w:val="nil"/>
              <w:bottom w:val="single" w:sz="4" w:space="0" w:color="auto"/>
            </w:tcBorders>
            <w:shd w:val="clear" w:color="auto" w:fill="auto"/>
            <w:noWrap/>
            <w:vAlign w:val="center"/>
            <w:hideMark/>
          </w:tcPr>
          <w:p w14:paraId="7E8D19E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Y1.3</w:t>
            </w:r>
          </w:p>
        </w:tc>
        <w:tc>
          <w:tcPr>
            <w:tcW w:w="723" w:type="pct"/>
            <w:tcBorders>
              <w:top w:val="nil"/>
              <w:bottom w:val="single" w:sz="4" w:space="0" w:color="auto"/>
            </w:tcBorders>
            <w:shd w:val="clear" w:color="auto" w:fill="auto"/>
            <w:noWrap/>
            <w:vAlign w:val="center"/>
            <w:hideMark/>
          </w:tcPr>
          <w:p w14:paraId="0627C51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11.423</w:t>
            </w:r>
          </w:p>
        </w:tc>
        <w:tc>
          <w:tcPr>
            <w:tcW w:w="723" w:type="pct"/>
            <w:tcBorders>
              <w:top w:val="nil"/>
              <w:bottom w:val="single" w:sz="4" w:space="0" w:color="auto"/>
            </w:tcBorders>
            <w:shd w:val="clear" w:color="auto" w:fill="auto"/>
            <w:noWrap/>
            <w:vAlign w:val="center"/>
            <w:hideMark/>
          </w:tcPr>
          <w:p w14:paraId="3EC15EF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bottom w:val="single" w:sz="4" w:space="0" w:color="auto"/>
            </w:tcBorders>
            <w:shd w:val="clear" w:color="auto" w:fill="auto"/>
            <w:noWrap/>
            <w:vAlign w:val="center"/>
            <w:hideMark/>
          </w:tcPr>
          <w:p w14:paraId="1B6538D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bottom w:val="single" w:sz="4" w:space="0" w:color="auto"/>
            </w:tcBorders>
            <w:shd w:val="clear" w:color="auto" w:fill="auto"/>
            <w:noWrap/>
            <w:vAlign w:val="center"/>
            <w:hideMark/>
          </w:tcPr>
          <w:p w14:paraId="15428DC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-0.131</w:t>
            </w:r>
          </w:p>
        </w:tc>
        <w:tc>
          <w:tcPr>
            <w:tcW w:w="940" w:type="pct"/>
            <w:tcBorders>
              <w:top w:val="nil"/>
              <w:bottom w:val="single" w:sz="4" w:space="0" w:color="auto"/>
            </w:tcBorders>
            <w:shd w:val="clear" w:color="auto" w:fill="auto"/>
            <w:noWrap/>
            <w:vAlign w:val="center"/>
            <w:hideMark/>
          </w:tcPr>
          <w:p w14:paraId="35453CC5"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-0.590</w:t>
            </w:r>
          </w:p>
        </w:tc>
      </w:tr>
    </w:tbl>
    <w:p w14:paraId="76321E3F" w14:textId="77777777" w:rsidR="007B76B6" w:rsidRPr="007B76B6" w:rsidRDefault="003570CE" w:rsidP="007B76B6">
      <w:pPr>
        <w:pStyle w:val="Body"/>
        <w:rPr>
          <w:rFonts w:ascii="Arial" w:hAnsi="Arial" w:cs="Arial"/>
          <w:iCs/>
        </w:rPr>
      </w:pPr>
      <w:r w:rsidRPr="003570CE">
        <w:rPr>
          <w:rFonts w:ascii="Arial" w:eastAsia="Calibri" w:hAnsi="Arial" w:cs="Arial"/>
          <w:szCs w:val="22"/>
        </w:rPr>
        <w:t>Source</w:t>
      </w:r>
      <w:r w:rsidR="007B76B6" w:rsidRPr="007B76B6">
        <w:rPr>
          <w:rFonts w:ascii="Arial" w:hAnsi="Arial" w:cs="Arial"/>
          <w:iCs/>
        </w:rPr>
        <w:t xml:space="preserve">: </w:t>
      </w:r>
      <w:r w:rsidRPr="003570CE">
        <w:rPr>
          <w:rFonts w:ascii="Arial" w:hAnsi="Arial" w:cs="Arial"/>
          <w:iCs/>
        </w:rPr>
        <w:t>Personal Data</w:t>
      </w:r>
      <w:r w:rsidR="007B76B6" w:rsidRPr="007B76B6">
        <w:rPr>
          <w:rFonts w:ascii="Arial" w:hAnsi="Arial" w:cs="Arial"/>
          <w:iCs/>
        </w:rPr>
        <w:t xml:space="preserve"> (2024)</w:t>
      </w:r>
    </w:p>
    <w:p w14:paraId="7BBF4DA5" w14:textId="77777777" w:rsidR="007B76B6" w:rsidRDefault="007B76B6" w:rsidP="007B76B6">
      <w:pPr>
        <w:pStyle w:val="Body"/>
        <w:rPr>
          <w:rFonts w:ascii="Arial" w:hAnsi="Arial" w:cs="Arial"/>
        </w:rPr>
      </w:pPr>
      <w:r w:rsidRPr="007B76B6">
        <w:rPr>
          <w:rFonts w:ascii="Arial" w:hAnsi="Arial" w:cs="Arial"/>
        </w:rPr>
        <w:t>Based on table 2, it can be interpreted that the variables analyzed have diverse characteristics.</w:t>
      </w:r>
    </w:p>
    <w:p w14:paraId="7512AF65" w14:textId="77777777" w:rsidR="007B76B6" w:rsidRPr="007B76B6" w:rsidRDefault="007B76B6" w:rsidP="007B76B6">
      <w:pPr>
        <w:pStyle w:val="Body"/>
        <w:numPr>
          <w:ilvl w:val="0"/>
          <w:numId w:val="31"/>
        </w:numPr>
        <w:rPr>
          <w:rFonts w:ascii="Arial" w:hAnsi="Arial" w:cs="Arial"/>
        </w:rPr>
      </w:pPr>
      <w:r w:rsidRPr="007B76B6">
        <w:rPr>
          <w:rFonts w:ascii="Arial" w:hAnsi="Arial" w:cs="Arial"/>
        </w:rPr>
        <w:t>The mean (average) value of each variable indicates the central tendency of the data. Variable X1.1 has a mean of 17.34, which indicates that the average value of the data tends to be close to 17.34. Meanwhile, variable X2.1 has a lower mean of 11.154, indicating that the average value of the data is lower than that of X1.1.</w:t>
      </w:r>
    </w:p>
    <w:p w14:paraId="68DFAAA7" w14:textId="77777777" w:rsidR="007B76B6" w:rsidRPr="007B76B6" w:rsidRDefault="007B76B6" w:rsidP="007B76B6">
      <w:pPr>
        <w:pStyle w:val="Body"/>
        <w:numPr>
          <w:ilvl w:val="0"/>
          <w:numId w:val="31"/>
        </w:numPr>
        <w:rPr>
          <w:rFonts w:ascii="Arial" w:hAnsi="Arial" w:cs="Arial"/>
        </w:rPr>
      </w:pPr>
      <w:r w:rsidRPr="007B76B6">
        <w:rPr>
          <w:rFonts w:ascii="Arial" w:hAnsi="Arial" w:cs="Arial"/>
        </w:rPr>
        <w:t>The minimum and maximum values provide an overview of the data distribution. For example, variable X1.1 has a minimum value of 6 and a maximum of 24, which indicates that the data has a fairly wide range. On the other hand, variable X2.1 has a minimum value of 4 and a maximum of 15, indicating a narrower range.</w:t>
      </w:r>
    </w:p>
    <w:p w14:paraId="67A2B756" w14:textId="77777777" w:rsidR="007B76B6" w:rsidRPr="007B76B6" w:rsidRDefault="007B76B6" w:rsidP="007B76B6">
      <w:pPr>
        <w:pStyle w:val="Body"/>
        <w:numPr>
          <w:ilvl w:val="0"/>
          <w:numId w:val="31"/>
        </w:numPr>
        <w:rPr>
          <w:rFonts w:ascii="Arial" w:hAnsi="Arial" w:cs="Arial"/>
        </w:rPr>
      </w:pPr>
      <w:r w:rsidRPr="007B76B6">
        <w:rPr>
          <w:rFonts w:ascii="Arial" w:hAnsi="Arial" w:cs="Arial"/>
        </w:rPr>
        <w:t>Kurtosis measures the sharpness of the peaks of the data distribution. A kurtosis value close to zero indicates a distribution that is close to normal. For example, variable X1.2 has a kurtosis of -0.260, which indicates a relatively normal distribution. However, variable X3.2 has a kurtosis of 1.239, which indicates a distribution that is more pointed (leptokurtic) than the normal distribution.</w:t>
      </w:r>
    </w:p>
    <w:p w14:paraId="686042F2" w14:textId="77777777" w:rsidR="007B76B6" w:rsidRPr="007B76B6" w:rsidRDefault="007B76B6" w:rsidP="007B76B6">
      <w:pPr>
        <w:pStyle w:val="Body"/>
        <w:numPr>
          <w:ilvl w:val="0"/>
          <w:numId w:val="31"/>
        </w:numPr>
        <w:rPr>
          <w:rFonts w:ascii="Arial" w:hAnsi="Arial" w:cs="Arial"/>
        </w:rPr>
      </w:pPr>
      <w:r w:rsidRPr="007B76B6">
        <w:rPr>
          <w:rFonts w:ascii="Arial" w:hAnsi="Arial" w:cs="Arial"/>
        </w:rPr>
        <w:t>Skewness measures the slope of the data distribution. A skewness value close to zero indicates a symmetrical distribution. For example, variable X1.1 has a skewness of -0.582, which indicates a distribution that tends to skew to the left (negative skew). Meanwhile, variable X3.1 has a skewness of -1.105, which indicates a more significant skew to the left.</w:t>
      </w:r>
    </w:p>
    <w:p w14:paraId="4FF51C8C" w14:textId="77777777" w:rsidR="007B76B6" w:rsidRPr="007B76B6" w:rsidRDefault="007B76B6" w:rsidP="007B76B6">
      <w:pPr>
        <w:pStyle w:val="Body"/>
        <w:rPr>
          <w:rFonts w:ascii="Arial" w:hAnsi="Arial" w:cs="Arial"/>
          <w:b/>
          <w:u w:val="single"/>
        </w:rPr>
      </w:pPr>
      <w:r w:rsidRPr="007B76B6">
        <w:rPr>
          <w:rFonts w:ascii="Arial" w:hAnsi="Arial" w:cs="Arial"/>
          <w:b/>
          <w:u w:val="single"/>
        </w:rPr>
        <w:t>3.1.2 Outer Model</w:t>
      </w:r>
    </w:p>
    <w:p w14:paraId="09551083" w14:textId="77777777" w:rsidR="007B76B6" w:rsidRPr="007B76B6" w:rsidRDefault="007B76B6" w:rsidP="007B76B6">
      <w:pPr>
        <w:pStyle w:val="Body"/>
        <w:rPr>
          <w:rFonts w:ascii="Arial" w:hAnsi="Arial" w:cs="Arial"/>
        </w:rPr>
      </w:pPr>
      <w:r w:rsidRPr="007B76B6">
        <w:rPr>
          <w:rFonts w:ascii="Arial" w:hAnsi="Arial" w:cs="Arial"/>
        </w:rPr>
        <w:t xml:space="preserve">At this stage the researcher analyzes the Outer Model to test the internal validity and reliability of the research model. The Outer Model is used to specify the relationship between latent variables and their indicators. The following are the results obtained from </w:t>
      </w:r>
      <w:proofErr w:type="spellStart"/>
      <w:r w:rsidRPr="007B76B6">
        <w:rPr>
          <w:rFonts w:ascii="Arial" w:hAnsi="Arial" w:cs="Arial"/>
        </w:rPr>
        <w:t>SmartPLS</w:t>
      </w:r>
      <w:proofErr w:type="spellEnd"/>
      <w:r w:rsidRPr="007B76B6">
        <w:rPr>
          <w:rFonts w:ascii="Arial" w:hAnsi="Arial" w:cs="Arial"/>
        </w:rPr>
        <w:t xml:space="preserve"> 3:</w:t>
      </w:r>
    </w:p>
    <w:p w14:paraId="1F67296A" w14:textId="77777777" w:rsidR="007B76B6" w:rsidRPr="007B76B6" w:rsidRDefault="007B76B6" w:rsidP="007B76B6">
      <w:pPr>
        <w:pStyle w:val="Body"/>
        <w:numPr>
          <w:ilvl w:val="0"/>
          <w:numId w:val="32"/>
        </w:numPr>
        <w:rPr>
          <w:rFonts w:ascii="Arial" w:hAnsi="Arial" w:cs="Arial"/>
        </w:rPr>
      </w:pPr>
      <w:r w:rsidRPr="007B76B6">
        <w:rPr>
          <w:rFonts w:ascii="Arial" w:hAnsi="Arial" w:cs="Arial"/>
        </w:rPr>
        <w:t>Convergent Validity</w:t>
      </w:r>
    </w:p>
    <w:p w14:paraId="53AC8759" w14:textId="77777777" w:rsidR="007B76B6" w:rsidRPr="007B76B6" w:rsidRDefault="007B76B6" w:rsidP="007B76B6">
      <w:pPr>
        <w:pStyle w:val="Body"/>
        <w:ind w:left="709"/>
        <w:rPr>
          <w:rFonts w:ascii="Arial" w:hAnsi="Arial" w:cs="Arial"/>
        </w:rPr>
      </w:pPr>
      <w:r w:rsidRPr="007B76B6">
        <w:rPr>
          <w:rFonts w:ascii="Arial" w:hAnsi="Arial" w:cs="Arial"/>
        </w:rPr>
        <w:t>Convergent Validity is tested to ensure that indicators on a construct are highly correlated and have adequate loading scores. The following are the results of Convergent Validity testing:</w:t>
      </w:r>
    </w:p>
    <w:p w14:paraId="1CD131E2" w14:textId="77777777" w:rsidR="007B76B6" w:rsidRPr="00DA3F9B" w:rsidRDefault="007B76B6" w:rsidP="007B76B6">
      <w:pPr>
        <w:pStyle w:val="Body"/>
        <w:rPr>
          <w:rFonts w:ascii="Arial" w:hAnsi="Arial" w:cs="Arial"/>
          <w:b/>
        </w:rPr>
      </w:pPr>
      <w:r w:rsidRPr="00DA3F9B">
        <w:rPr>
          <w:rFonts w:ascii="Arial" w:hAnsi="Arial" w:cs="Arial"/>
          <w:b/>
        </w:rPr>
        <w:t>Table 3. Convergent Validity Results</w:t>
      </w:r>
    </w:p>
    <w:tbl>
      <w:tblPr>
        <w:tblW w:w="5000" w:type="pct"/>
        <w:jc w:val="center"/>
        <w:tblLook w:val="04A0" w:firstRow="1" w:lastRow="0" w:firstColumn="1" w:lastColumn="0" w:noHBand="0" w:noVBand="1"/>
      </w:tblPr>
      <w:tblGrid>
        <w:gridCol w:w="4235"/>
        <w:gridCol w:w="1833"/>
        <w:gridCol w:w="2710"/>
        <w:gridCol w:w="2238"/>
      </w:tblGrid>
      <w:tr w:rsidR="007B76B6" w:rsidRPr="007B76B6" w14:paraId="04E3A458" w14:textId="77777777" w:rsidTr="00DA3F9B">
        <w:trPr>
          <w:trHeight w:val="300"/>
          <w:jc w:val="center"/>
        </w:trPr>
        <w:tc>
          <w:tcPr>
            <w:tcW w:w="1922" w:type="pct"/>
            <w:tcBorders>
              <w:top w:val="single" w:sz="4" w:space="0" w:color="auto"/>
              <w:bottom w:val="single" w:sz="4" w:space="0" w:color="auto"/>
            </w:tcBorders>
            <w:shd w:val="clear" w:color="auto" w:fill="auto"/>
            <w:noWrap/>
            <w:vAlign w:val="center"/>
            <w:hideMark/>
          </w:tcPr>
          <w:p w14:paraId="207368B2" w14:textId="431A4C63" w:rsidR="007B76B6" w:rsidRPr="007B76B6" w:rsidRDefault="00D95D0B" w:rsidP="00DA3F9B">
            <w:pPr>
              <w:pStyle w:val="Body"/>
              <w:spacing w:after="0"/>
              <w:rPr>
                <w:rFonts w:ascii="Arial" w:hAnsi="Arial" w:cs="Arial"/>
                <w:b/>
                <w:bCs/>
              </w:rPr>
            </w:pPr>
            <w:r w:rsidRPr="00D95D0B">
              <w:rPr>
                <w:rFonts w:ascii="Arial" w:hAnsi="Arial" w:cs="Arial"/>
                <w:b/>
                <w:bCs/>
              </w:rPr>
              <w:t>Variable Let</w:t>
            </w:r>
          </w:p>
        </w:tc>
        <w:tc>
          <w:tcPr>
            <w:tcW w:w="832" w:type="pct"/>
            <w:tcBorders>
              <w:top w:val="single" w:sz="4" w:space="0" w:color="auto"/>
              <w:bottom w:val="single" w:sz="4" w:space="0" w:color="auto"/>
            </w:tcBorders>
            <w:shd w:val="clear" w:color="auto" w:fill="auto"/>
            <w:noWrap/>
            <w:vAlign w:val="center"/>
            <w:hideMark/>
          </w:tcPr>
          <w:p w14:paraId="068433FB" w14:textId="77777777" w:rsidR="007B76B6" w:rsidRPr="007B76B6" w:rsidRDefault="006148B1" w:rsidP="00DA3F9B">
            <w:pPr>
              <w:pStyle w:val="Body"/>
              <w:spacing w:after="0"/>
              <w:rPr>
                <w:rFonts w:ascii="Arial" w:hAnsi="Arial" w:cs="Arial"/>
                <w:b/>
                <w:bCs/>
              </w:rPr>
            </w:pPr>
            <w:r w:rsidRPr="006148B1">
              <w:rPr>
                <w:rFonts w:ascii="Arial" w:hAnsi="Arial" w:cs="Arial"/>
                <w:b/>
                <w:bCs/>
              </w:rPr>
              <w:t>Indicator</w:t>
            </w:r>
          </w:p>
        </w:tc>
        <w:tc>
          <w:tcPr>
            <w:tcW w:w="1230" w:type="pct"/>
            <w:tcBorders>
              <w:top w:val="single" w:sz="4" w:space="0" w:color="auto"/>
              <w:bottom w:val="single" w:sz="4" w:space="0" w:color="auto"/>
            </w:tcBorders>
            <w:shd w:val="clear" w:color="auto" w:fill="auto"/>
            <w:noWrap/>
            <w:vAlign w:val="center"/>
            <w:hideMark/>
          </w:tcPr>
          <w:p w14:paraId="18CAEA52" w14:textId="77777777" w:rsidR="007B76B6" w:rsidRPr="007B76B6" w:rsidRDefault="007B76B6" w:rsidP="00DA3F9B">
            <w:pPr>
              <w:pStyle w:val="Body"/>
              <w:spacing w:after="0"/>
              <w:rPr>
                <w:rFonts w:ascii="Arial" w:hAnsi="Arial" w:cs="Arial"/>
                <w:b/>
                <w:bCs/>
              </w:rPr>
            </w:pPr>
            <w:r w:rsidRPr="007B76B6">
              <w:rPr>
                <w:rFonts w:ascii="Arial" w:hAnsi="Arial" w:cs="Arial"/>
                <w:b/>
                <w:bCs/>
              </w:rPr>
              <w:t>Loading Factor</w:t>
            </w:r>
          </w:p>
        </w:tc>
        <w:tc>
          <w:tcPr>
            <w:tcW w:w="1016" w:type="pct"/>
            <w:tcBorders>
              <w:top w:val="single" w:sz="4" w:space="0" w:color="auto"/>
              <w:bottom w:val="single" w:sz="4" w:space="0" w:color="auto"/>
            </w:tcBorders>
            <w:shd w:val="clear" w:color="auto" w:fill="auto"/>
            <w:noWrap/>
            <w:vAlign w:val="center"/>
            <w:hideMark/>
          </w:tcPr>
          <w:p w14:paraId="3B8BFFDD" w14:textId="77777777" w:rsidR="007B76B6" w:rsidRPr="007B76B6" w:rsidRDefault="006148B1" w:rsidP="00DA3F9B">
            <w:pPr>
              <w:pStyle w:val="Body"/>
              <w:spacing w:after="0"/>
              <w:rPr>
                <w:rFonts w:ascii="Arial" w:hAnsi="Arial" w:cs="Arial"/>
                <w:b/>
                <w:bCs/>
              </w:rPr>
            </w:pPr>
            <w:r w:rsidRPr="006148B1">
              <w:rPr>
                <w:rFonts w:ascii="Arial" w:hAnsi="Arial" w:cs="Arial"/>
                <w:b/>
                <w:bCs/>
              </w:rPr>
              <w:t>Description</w:t>
            </w:r>
          </w:p>
        </w:tc>
      </w:tr>
      <w:tr w:rsidR="007B76B6" w:rsidRPr="007B76B6" w14:paraId="62E0371F" w14:textId="77777777" w:rsidTr="00DA3F9B">
        <w:trPr>
          <w:trHeight w:val="300"/>
          <w:jc w:val="center"/>
        </w:trPr>
        <w:tc>
          <w:tcPr>
            <w:tcW w:w="1922" w:type="pct"/>
            <w:vMerge w:val="restart"/>
            <w:tcBorders>
              <w:top w:val="nil"/>
              <w:bottom w:val="single" w:sz="4" w:space="0" w:color="auto"/>
            </w:tcBorders>
            <w:shd w:val="clear" w:color="auto" w:fill="auto"/>
            <w:noWrap/>
            <w:vAlign w:val="center"/>
            <w:hideMark/>
          </w:tcPr>
          <w:p w14:paraId="2C247C64" w14:textId="77777777" w:rsidR="007B76B6" w:rsidRPr="007B76B6" w:rsidRDefault="006148B1" w:rsidP="00DA3F9B">
            <w:pPr>
              <w:pStyle w:val="Body"/>
              <w:spacing w:after="0"/>
              <w:rPr>
                <w:rFonts w:ascii="Arial" w:hAnsi="Arial" w:cs="Arial"/>
              </w:rPr>
            </w:pPr>
            <w:r w:rsidRPr="006148B1">
              <w:rPr>
                <w:rFonts w:ascii="Arial" w:hAnsi="Arial" w:cs="Arial"/>
              </w:rPr>
              <w:t>Learning Independence (X1)</w:t>
            </w:r>
          </w:p>
        </w:tc>
        <w:tc>
          <w:tcPr>
            <w:tcW w:w="832" w:type="pct"/>
            <w:tcBorders>
              <w:top w:val="single" w:sz="4" w:space="0" w:color="auto"/>
            </w:tcBorders>
            <w:shd w:val="clear" w:color="auto" w:fill="auto"/>
            <w:noWrap/>
            <w:vAlign w:val="center"/>
            <w:hideMark/>
          </w:tcPr>
          <w:p w14:paraId="0EC4D98E" w14:textId="77777777" w:rsidR="007B76B6" w:rsidRPr="007B76B6" w:rsidRDefault="007B76B6" w:rsidP="00DA3F9B">
            <w:pPr>
              <w:pStyle w:val="Body"/>
              <w:spacing w:after="0"/>
              <w:rPr>
                <w:rFonts w:ascii="Arial" w:hAnsi="Arial" w:cs="Arial"/>
              </w:rPr>
            </w:pPr>
            <w:r w:rsidRPr="007B76B6">
              <w:rPr>
                <w:rFonts w:ascii="Arial" w:hAnsi="Arial" w:cs="Arial"/>
              </w:rPr>
              <w:t>X1.1</w:t>
            </w:r>
          </w:p>
        </w:tc>
        <w:tc>
          <w:tcPr>
            <w:tcW w:w="1230" w:type="pct"/>
            <w:tcBorders>
              <w:top w:val="single" w:sz="4" w:space="0" w:color="auto"/>
            </w:tcBorders>
            <w:shd w:val="clear" w:color="auto" w:fill="auto"/>
            <w:noWrap/>
            <w:vAlign w:val="center"/>
            <w:hideMark/>
          </w:tcPr>
          <w:p w14:paraId="30DACC2B" w14:textId="77777777" w:rsidR="007B76B6" w:rsidRPr="007B76B6" w:rsidRDefault="007B76B6" w:rsidP="00DA3F9B">
            <w:pPr>
              <w:pStyle w:val="Body"/>
              <w:spacing w:after="0"/>
              <w:rPr>
                <w:rFonts w:ascii="Arial" w:hAnsi="Arial" w:cs="Arial"/>
              </w:rPr>
            </w:pPr>
            <w:r w:rsidRPr="007B76B6">
              <w:rPr>
                <w:rFonts w:ascii="Arial" w:hAnsi="Arial" w:cs="Arial"/>
              </w:rPr>
              <w:t>0.844</w:t>
            </w:r>
          </w:p>
        </w:tc>
        <w:tc>
          <w:tcPr>
            <w:tcW w:w="1016" w:type="pct"/>
            <w:tcBorders>
              <w:top w:val="single" w:sz="4" w:space="0" w:color="auto"/>
            </w:tcBorders>
            <w:shd w:val="clear" w:color="auto" w:fill="auto"/>
            <w:noWrap/>
            <w:vAlign w:val="center"/>
            <w:hideMark/>
          </w:tcPr>
          <w:p w14:paraId="54D74E35"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3AE90EB8" w14:textId="77777777" w:rsidTr="00DA3F9B">
        <w:trPr>
          <w:trHeight w:val="300"/>
          <w:jc w:val="center"/>
        </w:trPr>
        <w:tc>
          <w:tcPr>
            <w:tcW w:w="1922" w:type="pct"/>
            <w:vMerge/>
            <w:tcBorders>
              <w:top w:val="nil"/>
              <w:bottom w:val="single" w:sz="4" w:space="0" w:color="auto"/>
            </w:tcBorders>
            <w:vAlign w:val="center"/>
            <w:hideMark/>
          </w:tcPr>
          <w:p w14:paraId="4EAF815E"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3E02DC93" w14:textId="77777777" w:rsidR="007B76B6" w:rsidRPr="007B76B6" w:rsidRDefault="007B76B6" w:rsidP="00DA3F9B">
            <w:pPr>
              <w:pStyle w:val="Body"/>
              <w:spacing w:after="0"/>
              <w:rPr>
                <w:rFonts w:ascii="Arial" w:hAnsi="Arial" w:cs="Arial"/>
              </w:rPr>
            </w:pPr>
            <w:r w:rsidRPr="007B76B6">
              <w:rPr>
                <w:rFonts w:ascii="Arial" w:hAnsi="Arial" w:cs="Arial"/>
              </w:rPr>
              <w:t>X1.2</w:t>
            </w:r>
          </w:p>
        </w:tc>
        <w:tc>
          <w:tcPr>
            <w:tcW w:w="1230" w:type="pct"/>
            <w:tcBorders>
              <w:top w:val="nil"/>
            </w:tcBorders>
            <w:shd w:val="clear" w:color="auto" w:fill="auto"/>
            <w:noWrap/>
            <w:vAlign w:val="center"/>
            <w:hideMark/>
          </w:tcPr>
          <w:p w14:paraId="0ED4BCAF" w14:textId="77777777" w:rsidR="007B76B6" w:rsidRPr="007B76B6" w:rsidRDefault="007B76B6" w:rsidP="00DA3F9B">
            <w:pPr>
              <w:pStyle w:val="Body"/>
              <w:spacing w:after="0"/>
              <w:rPr>
                <w:rFonts w:ascii="Arial" w:hAnsi="Arial" w:cs="Arial"/>
              </w:rPr>
            </w:pPr>
            <w:r w:rsidRPr="007B76B6">
              <w:rPr>
                <w:rFonts w:ascii="Arial" w:hAnsi="Arial" w:cs="Arial"/>
              </w:rPr>
              <w:t>0.912</w:t>
            </w:r>
          </w:p>
        </w:tc>
        <w:tc>
          <w:tcPr>
            <w:tcW w:w="1016" w:type="pct"/>
            <w:tcBorders>
              <w:top w:val="nil"/>
            </w:tcBorders>
            <w:shd w:val="clear" w:color="auto" w:fill="auto"/>
            <w:noWrap/>
            <w:vAlign w:val="center"/>
            <w:hideMark/>
          </w:tcPr>
          <w:p w14:paraId="125751C8"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7D32DD7C" w14:textId="77777777" w:rsidTr="00DA3F9B">
        <w:trPr>
          <w:trHeight w:val="300"/>
          <w:jc w:val="center"/>
        </w:trPr>
        <w:tc>
          <w:tcPr>
            <w:tcW w:w="1922" w:type="pct"/>
            <w:vMerge/>
            <w:tcBorders>
              <w:top w:val="nil"/>
              <w:bottom w:val="single" w:sz="4" w:space="0" w:color="auto"/>
            </w:tcBorders>
            <w:vAlign w:val="center"/>
            <w:hideMark/>
          </w:tcPr>
          <w:p w14:paraId="19E67101" w14:textId="77777777" w:rsidR="007B76B6" w:rsidRPr="007B76B6" w:rsidRDefault="007B76B6" w:rsidP="00DA3F9B">
            <w:pPr>
              <w:pStyle w:val="Body"/>
              <w:spacing w:after="0"/>
              <w:rPr>
                <w:rFonts w:ascii="Arial" w:hAnsi="Arial" w:cs="Arial"/>
              </w:rPr>
            </w:pPr>
          </w:p>
        </w:tc>
        <w:tc>
          <w:tcPr>
            <w:tcW w:w="832" w:type="pct"/>
            <w:tcBorders>
              <w:top w:val="nil"/>
              <w:bottom w:val="single" w:sz="4" w:space="0" w:color="auto"/>
            </w:tcBorders>
            <w:shd w:val="clear" w:color="auto" w:fill="auto"/>
            <w:noWrap/>
            <w:vAlign w:val="center"/>
            <w:hideMark/>
          </w:tcPr>
          <w:p w14:paraId="3889E3C5" w14:textId="77777777" w:rsidR="007B76B6" w:rsidRPr="007B76B6" w:rsidRDefault="007B76B6" w:rsidP="00DA3F9B">
            <w:pPr>
              <w:pStyle w:val="Body"/>
              <w:spacing w:after="0"/>
              <w:rPr>
                <w:rFonts w:ascii="Arial" w:hAnsi="Arial" w:cs="Arial"/>
              </w:rPr>
            </w:pPr>
            <w:r w:rsidRPr="007B76B6">
              <w:rPr>
                <w:rFonts w:ascii="Arial" w:hAnsi="Arial" w:cs="Arial"/>
              </w:rPr>
              <w:t>X1.3</w:t>
            </w:r>
          </w:p>
        </w:tc>
        <w:tc>
          <w:tcPr>
            <w:tcW w:w="1230" w:type="pct"/>
            <w:tcBorders>
              <w:top w:val="nil"/>
              <w:bottom w:val="single" w:sz="4" w:space="0" w:color="auto"/>
            </w:tcBorders>
            <w:shd w:val="clear" w:color="auto" w:fill="auto"/>
            <w:noWrap/>
            <w:vAlign w:val="center"/>
            <w:hideMark/>
          </w:tcPr>
          <w:p w14:paraId="1CF3BD15" w14:textId="77777777" w:rsidR="007B76B6" w:rsidRPr="007B76B6" w:rsidRDefault="007B76B6" w:rsidP="00DA3F9B">
            <w:pPr>
              <w:pStyle w:val="Body"/>
              <w:spacing w:after="0"/>
              <w:rPr>
                <w:rFonts w:ascii="Arial" w:hAnsi="Arial" w:cs="Arial"/>
              </w:rPr>
            </w:pPr>
            <w:r w:rsidRPr="007B76B6">
              <w:rPr>
                <w:rFonts w:ascii="Arial" w:hAnsi="Arial" w:cs="Arial"/>
              </w:rPr>
              <w:t>0.900</w:t>
            </w:r>
          </w:p>
        </w:tc>
        <w:tc>
          <w:tcPr>
            <w:tcW w:w="1016" w:type="pct"/>
            <w:tcBorders>
              <w:top w:val="nil"/>
              <w:bottom w:val="single" w:sz="4" w:space="0" w:color="auto"/>
            </w:tcBorders>
            <w:shd w:val="clear" w:color="auto" w:fill="auto"/>
            <w:noWrap/>
            <w:vAlign w:val="center"/>
            <w:hideMark/>
          </w:tcPr>
          <w:p w14:paraId="4DA9912A"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41012C55" w14:textId="77777777" w:rsidTr="00DA3F9B">
        <w:trPr>
          <w:trHeight w:val="300"/>
          <w:jc w:val="center"/>
        </w:trPr>
        <w:tc>
          <w:tcPr>
            <w:tcW w:w="1922" w:type="pct"/>
            <w:vMerge w:val="restart"/>
            <w:tcBorders>
              <w:top w:val="nil"/>
              <w:bottom w:val="single" w:sz="4" w:space="0" w:color="auto"/>
            </w:tcBorders>
            <w:shd w:val="clear" w:color="auto" w:fill="auto"/>
            <w:noWrap/>
            <w:vAlign w:val="center"/>
            <w:hideMark/>
          </w:tcPr>
          <w:p w14:paraId="2367C719" w14:textId="77777777" w:rsidR="007B76B6" w:rsidRPr="007B76B6" w:rsidRDefault="006148B1" w:rsidP="00DA3F9B">
            <w:pPr>
              <w:pStyle w:val="Body"/>
              <w:spacing w:after="0"/>
              <w:rPr>
                <w:rFonts w:ascii="Arial" w:hAnsi="Arial" w:cs="Arial"/>
              </w:rPr>
            </w:pPr>
            <w:r w:rsidRPr="006148B1">
              <w:rPr>
                <w:rFonts w:ascii="Arial" w:hAnsi="Arial" w:cs="Arial"/>
              </w:rPr>
              <w:t>Learning Facilities (X2)</w:t>
            </w:r>
          </w:p>
        </w:tc>
        <w:tc>
          <w:tcPr>
            <w:tcW w:w="832" w:type="pct"/>
            <w:tcBorders>
              <w:top w:val="single" w:sz="4" w:space="0" w:color="auto"/>
            </w:tcBorders>
            <w:shd w:val="clear" w:color="auto" w:fill="auto"/>
            <w:noWrap/>
            <w:vAlign w:val="center"/>
            <w:hideMark/>
          </w:tcPr>
          <w:p w14:paraId="5F4DD708" w14:textId="77777777" w:rsidR="007B76B6" w:rsidRPr="007B76B6" w:rsidRDefault="007B76B6" w:rsidP="00DA3F9B">
            <w:pPr>
              <w:pStyle w:val="Body"/>
              <w:spacing w:after="0"/>
              <w:rPr>
                <w:rFonts w:ascii="Arial" w:hAnsi="Arial" w:cs="Arial"/>
              </w:rPr>
            </w:pPr>
            <w:r w:rsidRPr="007B76B6">
              <w:rPr>
                <w:rFonts w:ascii="Arial" w:hAnsi="Arial" w:cs="Arial"/>
              </w:rPr>
              <w:t>X2.1</w:t>
            </w:r>
          </w:p>
        </w:tc>
        <w:tc>
          <w:tcPr>
            <w:tcW w:w="1230" w:type="pct"/>
            <w:tcBorders>
              <w:top w:val="single" w:sz="4" w:space="0" w:color="auto"/>
            </w:tcBorders>
            <w:shd w:val="clear" w:color="auto" w:fill="auto"/>
            <w:noWrap/>
            <w:vAlign w:val="center"/>
            <w:hideMark/>
          </w:tcPr>
          <w:p w14:paraId="483F3CA6" w14:textId="77777777" w:rsidR="007B76B6" w:rsidRPr="007B76B6" w:rsidRDefault="007B76B6" w:rsidP="00DA3F9B">
            <w:pPr>
              <w:pStyle w:val="Body"/>
              <w:spacing w:after="0"/>
              <w:rPr>
                <w:rFonts w:ascii="Arial" w:hAnsi="Arial" w:cs="Arial"/>
              </w:rPr>
            </w:pPr>
            <w:r w:rsidRPr="007B76B6">
              <w:rPr>
                <w:rFonts w:ascii="Arial" w:hAnsi="Arial" w:cs="Arial"/>
              </w:rPr>
              <w:t>0.885</w:t>
            </w:r>
          </w:p>
        </w:tc>
        <w:tc>
          <w:tcPr>
            <w:tcW w:w="1016" w:type="pct"/>
            <w:tcBorders>
              <w:top w:val="single" w:sz="4" w:space="0" w:color="auto"/>
            </w:tcBorders>
            <w:shd w:val="clear" w:color="auto" w:fill="auto"/>
            <w:noWrap/>
            <w:vAlign w:val="center"/>
            <w:hideMark/>
          </w:tcPr>
          <w:p w14:paraId="3D0697FA"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08FAB67E" w14:textId="77777777" w:rsidTr="00DA3F9B">
        <w:trPr>
          <w:trHeight w:val="300"/>
          <w:jc w:val="center"/>
        </w:trPr>
        <w:tc>
          <w:tcPr>
            <w:tcW w:w="1922" w:type="pct"/>
            <w:vMerge/>
            <w:tcBorders>
              <w:top w:val="nil"/>
              <w:bottom w:val="single" w:sz="4" w:space="0" w:color="auto"/>
            </w:tcBorders>
            <w:vAlign w:val="center"/>
            <w:hideMark/>
          </w:tcPr>
          <w:p w14:paraId="650EA2E7"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7D8C5294" w14:textId="77777777" w:rsidR="007B76B6" w:rsidRPr="007B76B6" w:rsidRDefault="007B76B6" w:rsidP="00DA3F9B">
            <w:pPr>
              <w:pStyle w:val="Body"/>
              <w:spacing w:after="0"/>
              <w:rPr>
                <w:rFonts w:ascii="Arial" w:hAnsi="Arial" w:cs="Arial"/>
              </w:rPr>
            </w:pPr>
            <w:r w:rsidRPr="007B76B6">
              <w:rPr>
                <w:rFonts w:ascii="Arial" w:hAnsi="Arial" w:cs="Arial"/>
              </w:rPr>
              <w:t>X2.2</w:t>
            </w:r>
          </w:p>
        </w:tc>
        <w:tc>
          <w:tcPr>
            <w:tcW w:w="1230" w:type="pct"/>
            <w:tcBorders>
              <w:top w:val="nil"/>
            </w:tcBorders>
            <w:shd w:val="clear" w:color="auto" w:fill="auto"/>
            <w:noWrap/>
            <w:vAlign w:val="center"/>
            <w:hideMark/>
          </w:tcPr>
          <w:p w14:paraId="0B48EFBB" w14:textId="77777777" w:rsidR="007B76B6" w:rsidRPr="007B76B6" w:rsidRDefault="007B76B6" w:rsidP="00DA3F9B">
            <w:pPr>
              <w:pStyle w:val="Body"/>
              <w:spacing w:after="0"/>
              <w:rPr>
                <w:rFonts w:ascii="Arial" w:hAnsi="Arial" w:cs="Arial"/>
              </w:rPr>
            </w:pPr>
            <w:r w:rsidRPr="007B76B6">
              <w:rPr>
                <w:rFonts w:ascii="Arial" w:hAnsi="Arial" w:cs="Arial"/>
              </w:rPr>
              <w:t>0.881</w:t>
            </w:r>
          </w:p>
        </w:tc>
        <w:tc>
          <w:tcPr>
            <w:tcW w:w="1016" w:type="pct"/>
            <w:tcBorders>
              <w:top w:val="nil"/>
            </w:tcBorders>
            <w:shd w:val="clear" w:color="auto" w:fill="auto"/>
            <w:noWrap/>
            <w:vAlign w:val="center"/>
            <w:hideMark/>
          </w:tcPr>
          <w:p w14:paraId="08218512"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39CA7F5D" w14:textId="77777777" w:rsidTr="00DA3F9B">
        <w:trPr>
          <w:trHeight w:val="300"/>
          <w:jc w:val="center"/>
        </w:trPr>
        <w:tc>
          <w:tcPr>
            <w:tcW w:w="1922" w:type="pct"/>
            <w:vMerge/>
            <w:tcBorders>
              <w:top w:val="nil"/>
              <w:bottom w:val="single" w:sz="4" w:space="0" w:color="auto"/>
            </w:tcBorders>
            <w:vAlign w:val="center"/>
            <w:hideMark/>
          </w:tcPr>
          <w:p w14:paraId="1537C708"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17DB4DC8" w14:textId="77777777" w:rsidR="007B76B6" w:rsidRPr="007B76B6" w:rsidRDefault="007B76B6" w:rsidP="00DA3F9B">
            <w:pPr>
              <w:pStyle w:val="Body"/>
              <w:spacing w:after="0"/>
              <w:rPr>
                <w:rFonts w:ascii="Arial" w:hAnsi="Arial" w:cs="Arial"/>
              </w:rPr>
            </w:pPr>
            <w:r w:rsidRPr="007B76B6">
              <w:rPr>
                <w:rFonts w:ascii="Arial" w:hAnsi="Arial" w:cs="Arial"/>
              </w:rPr>
              <w:t>X2.3</w:t>
            </w:r>
          </w:p>
        </w:tc>
        <w:tc>
          <w:tcPr>
            <w:tcW w:w="1230" w:type="pct"/>
            <w:tcBorders>
              <w:top w:val="nil"/>
            </w:tcBorders>
            <w:shd w:val="clear" w:color="auto" w:fill="auto"/>
            <w:noWrap/>
            <w:vAlign w:val="center"/>
            <w:hideMark/>
          </w:tcPr>
          <w:p w14:paraId="5343BD42" w14:textId="77777777" w:rsidR="007B76B6" w:rsidRPr="007B76B6" w:rsidRDefault="007B76B6" w:rsidP="00DA3F9B">
            <w:pPr>
              <w:pStyle w:val="Body"/>
              <w:spacing w:after="0"/>
              <w:rPr>
                <w:rFonts w:ascii="Arial" w:hAnsi="Arial" w:cs="Arial"/>
              </w:rPr>
            </w:pPr>
            <w:r w:rsidRPr="007B76B6">
              <w:rPr>
                <w:rFonts w:ascii="Arial" w:hAnsi="Arial" w:cs="Arial"/>
              </w:rPr>
              <w:t>0.813</w:t>
            </w:r>
          </w:p>
        </w:tc>
        <w:tc>
          <w:tcPr>
            <w:tcW w:w="1016" w:type="pct"/>
            <w:tcBorders>
              <w:top w:val="nil"/>
            </w:tcBorders>
            <w:shd w:val="clear" w:color="auto" w:fill="auto"/>
            <w:noWrap/>
            <w:vAlign w:val="center"/>
            <w:hideMark/>
          </w:tcPr>
          <w:p w14:paraId="68C07161"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7B29B86E" w14:textId="77777777" w:rsidTr="00DA3F9B">
        <w:trPr>
          <w:trHeight w:val="300"/>
          <w:jc w:val="center"/>
        </w:trPr>
        <w:tc>
          <w:tcPr>
            <w:tcW w:w="1922" w:type="pct"/>
            <w:vMerge/>
            <w:tcBorders>
              <w:top w:val="nil"/>
              <w:bottom w:val="single" w:sz="4" w:space="0" w:color="auto"/>
            </w:tcBorders>
            <w:vAlign w:val="center"/>
            <w:hideMark/>
          </w:tcPr>
          <w:p w14:paraId="2884E68F"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0D8DB247" w14:textId="77777777" w:rsidR="007B76B6" w:rsidRPr="007B76B6" w:rsidRDefault="007B76B6" w:rsidP="00DA3F9B">
            <w:pPr>
              <w:pStyle w:val="Body"/>
              <w:spacing w:after="0"/>
              <w:rPr>
                <w:rFonts w:ascii="Arial" w:hAnsi="Arial" w:cs="Arial"/>
              </w:rPr>
            </w:pPr>
            <w:r w:rsidRPr="007B76B6">
              <w:rPr>
                <w:rFonts w:ascii="Arial" w:hAnsi="Arial" w:cs="Arial"/>
              </w:rPr>
              <w:t>X2.4</w:t>
            </w:r>
          </w:p>
        </w:tc>
        <w:tc>
          <w:tcPr>
            <w:tcW w:w="1230" w:type="pct"/>
            <w:tcBorders>
              <w:top w:val="nil"/>
            </w:tcBorders>
            <w:shd w:val="clear" w:color="auto" w:fill="auto"/>
            <w:noWrap/>
            <w:vAlign w:val="center"/>
            <w:hideMark/>
          </w:tcPr>
          <w:p w14:paraId="0FFCF55C" w14:textId="77777777" w:rsidR="007B76B6" w:rsidRPr="007B76B6" w:rsidRDefault="007B76B6" w:rsidP="00DA3F9B">
            <w:pPr>
              <w:pStyle w:val="Body"/>
              <w:spacing w:after="0"/>
              <w:rPr>
                <w:rFonts w:ascii="Arial" w:hAnsi="Arial" w:cs="Arial"/>
              </w:rPr>
            </w:pPr>
            <w:r w:rsidRPr="007B76B6">
              <w:rPr>
                <w:rFonts w:ascii="Arial" w:hAnsi="Arial" w:cs="Arial"/>
              </w:rPr>
              <w:t>0.882</w:t>
            </w:r>
          </w:p>
        </w:tc>
        <w:tc>
          <w:tcPr>
            <w:tcW w:w="1016" w:type="pct"/>
            <w:tcBorders>
              <w:top w:val="nil"/>
            </w:tcBorders>
            <w:shd w:val="clear" w:color="auto" w:fill="auto"/>
            <w:noWrap/>
            <w:vAlign w:val="center"/>
            <w:hideMark/>
          </w:tcPr>
          <w:p w14:paraId="765D7A4C"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5E672B3B" w14:textId="77777777" w:rsidTr="00DA3F9B">
        <w:trPr>
          <w:trHeight w:val="300"/>
          <w:jc w:val="center"/>
        </w:trPr>
        <w:tc>
          <w:tcPr>
            <w:tcW w:w="1922" w:type="pct"/>
            <w:vMerge/>
            <w:tcBorders>
              <w:top w:val="nil"/>
              <w:bottom w:val="single" w:sz="4" w:space="0" w:color="auto"/>
            </w:tcBorders>
            <w:vAlign w:val="center"/>
            <w:hideMark/>
          </w:tcPr>
          <w:p w14:paraId="0A9559DD" w14:textId="77777777" w:rsidR="007B76B6" w:rsidRPr="007B76B6" w:rsidRDefault="007B76B6" w:rsidP="00DA3F9B">
            <w:pPr>
              <w:pStyle w:val="Body"/>
              <w:spacing w:after="0"/>
              <w:rPr>
                <w:rFonts w:ascii="Arial" w:hAnsi="Arial" w:cs="Arial"/>
              </w:rPr>
            </w:pPr>
          </w:p>
        </w:tc>
        <w:tc>
          <w:tcPr>
            <w:tcW w:w="832" w:type="pct"/>
            <w:tcBorders>
              <w:top w:val="nil"/>
              <w:bottom w:val="single" w:sz="4" w:space="0" w:color="auto"/>
            </w:tcBorders>
            <w:shd w:val="clear" w:color="auto" w:fill="auto"/>
            <w:noWrap/>
            <w:vAlign w:val="center"/>
            <w:hideMark/>
          </w:tcPr>
          <w:p w14:paraId="1EA5172E" w14:textId="77777777" w:rsidR="007B76B6" w:rsidRPr="007B76B6" w:rsidRDefault="007B76B6" w:rsidP="00DA3F9B">
            <w:pPr>
              <w:pStyle w:val="Body"/>
              <w:spacing w:after="0"/>
              <w:rPr>
                <w:rFonts w:ascii="Arial" w:hAnsi="Arial" w:cs="Arial"/>
              </w:rPr>
            </w:pPr>
            <w:r w:rsidRPr="007B76B6">
              <w:rPr>
                <w:rFonts w:ascii="Arial" w:hAnsi="Arial" w:cs="Arial"/>
              </w:rPr>
              <w:t>X2.5</w:t>
            </w:r>
          </w:p>
        </w:tc>
        <w:tc>
          <w:tcPr>
            <w:tcW w:w="1230" w:type="pct"/>
            <w:tcBorders>
              <w:top w:val="nil"/>
              <w:bottom w:val="single" w:sz="4" w:space="0" w:color="auto"/>
            </w:tcBorders>
            <w:shd w:val="clear" w:color="auto" w:fill="auto"/>
            <w:noWrap/>
            <w:vAlign w:val="center"/>
            <w:hideMark/>
          </w:tcPr>
          <w:p w14:paraId="3E76F369" w14:textId="77777777" w:rsidR="007B76B6" w:rsidRPr="007B76B6" w:rsidRDefault="007B76B6" w:rsidP="00DA3F9B">
            <w:pPr>
              <w:pStyle w:val="Body"/>
              <w:spacing w:after="0"/>
              <w:rPr>
                <w:rFonts w:ascii="Arial" w:hAnsi="Arial" w:cs="Arial"/>
              </w:rPr>
            </w:pPr>
            <w:r w:rsidRPr="007B76B6">
              <w:rPr>
                <w:rFonts w:ascii="Arial" w:hAnsi="Arial" w:cs="Arial"/>
              </w:rPr>
              <w:t>0.803</w:t>
            </w:r>
          </w:p>
        </w:tc>
        <w:tc>
          <w:tcPr>
            <w:tcW w:w="1016" w:type="pct"/>
            <w:tcBorders>
              <w:top w:val="nil"/>
              <w:bottom w:val="single" w:sz="4" w:space="0" w:color="auto"/>
            </w:tcBorders>
            <w:shd w:val="clear" w:color="auto" w:fill="auto"/>
            <w:noWrap/>
            <w:vAlign w:val="center"/>
            <w:hideMark/>
          </w:tcPr>
          <w:p w14:paraId="7464E9B8"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57ECF71D" w14:textId="77777777" w:rsidTr="00DA3F9B">
        <w:trPr>
          <w:trHeight w:val="300"/>
          <w:jc w:val="center"/>
        </w:trPr>
        <w:tc>
          <w:tcPr>
            <w:tcW w:w="1922" w:type="pct"/>
            <w:vMerge w:val="restart"/>
            <w:tcBorders>
              <w:top w:val="nil"/>
              <w:bottom w:val="single" w:sz="4" w:space="0" w:color="auto"/>
            </w:tcBorders>
            <w:shd w:val="clear" w:color="auto" w:fill="auto"/>
            <w:noWrap/>
            <w:vAlign w:val="center"/>
            <w:hideMark/>
          </w:tcPr>
          <w:p w14:paraId="36F26C26" w14:textId="77777777" w:rsidR="007B76B6" w:rsidRPr="007B76B6" w:rsidRDefault="006148B1" w:rsidP="00DA3F9B">
            <w:pPr>
              <w:pStyle w:val="Body"/>
              <w:spacing w:after="0"/>
              <w:rPr>
                <w:rFonts w:ascii="Arial" w:hAnsi="Arial" w:cs="Arial"/>
              </w:rPr>
            </w:pPr>
            <w:r w:rsidRPr="006148B1">
              <w:rPr>
                <w:rFonts w:ascii="Arial" w:hAnsi="Arial" w:cs="Arial"/>
              </w:rPr>
              <w:t>Learning Motivation (X3)</w:t>
            </w:r>
          </w:p>
        </w:tc>
        <w:tc>
          <w:tcPr>
            <w:tcW w:w="832" w:type="pct"/>
            <w:tcBorders>
              <w:top w:val="single" w:sz="4" w:space="0" w:color="auto"/>
            </w:tcBorders>
            <w:shd w:val="clear" w:color="auto" w:fill="auto"/>
            <w:noWrap/>
            <w:vAlign w:val="center"/>
            <w:hideMark/>
          </w:tcPr>
          <w:p w14:paraId="0D2BAEFF" w14:textId="77777777" w:rsidR="007B76B6" w:rsidRPr="007B76B6" w:rsidRDefault="007B76B6" w:rsidP="00DA3F9B">
            <w:pPr>
              <w:pStyle w:val="Body"/>
              <w:spacing w:after="0"/>
              <w:rPr>
                <w:rFonts w:ascii="Arial" w:hAnsi="Arial" w:cs="Arial"/>
              </w:rPr>
            </w:pPr>
            <w:r w:rsidRPr="007B76B6">
              <w:rPr>
                <w:rFonts w:ascii="Arial" w:hAnsi="Arial" w:cs="Arial"/>
              </w:rPr>
              <w:t>X3.1</w:t>
            </w:r>
          </w:p>
        </w:tc>
        <w:tc>
          <w:tcPr>
            <w:tcW w:w="1230" w:type="pct"/>
            <w:tcBorders>
              <w:top w:val="single" w:sz="4" w:space="0" w:color="auto"/>
            </w:tcBorders>
            <w:shd w:val="clear" w:color="auto" w:fill="auto"/>
            <w:noWrap/>
            <w:vAlign w:val="center"/>
            <w:hideMark/>
          </w:tcPr>
          <w:p w14:paraId="5FE52129" w14:textId="77777777" w:rsidR="007B76B6" w:rsidRPr="007B76B6" w:rsidRDefault="007B76B6" w:rsidP="00DA3F9B">
            <w:pPr>
              <w:pStyle w:val="Body"/>
              <w:spacing w:after="0"/>
              <w:rPr>
                <w:rFonts w:ascii="Arial" w:hAnsi="Arial" w:cs="Arial"/>
              </w:rPr>
            </w:pPr>
            <w:r w:rsidRPr="007B76B6">
              <w:rPr>
                <w:rFonts w:ascii="Arial" w:hAnsi="Arial" w:cs="Arial"/>
              </w:rPr>
              <w:t>0.842</w:t>
            </w:r>
          </w:p>
        </w:tc>
        <w:tc>
          <w:tcPr>
            <w:tcW w:w="1016" w:type="pct"/>
            <w:tcBorders>
              <w:top w:val="single" w:sz="4" w:space="0" w:color="auto"/>
            </w:tcBorders>
            <w:shd w:val="clear" w:color="auto" w:fill="auto"/>
            <w:noWrap/>
            <w:vAlign w:val="center"/>
            <w:hideMark/>
          </w:tcPr>
          <w:p w14:paraId="74360865"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41A10F14" w14:textId="77777777" w:rsidTr="00DA3F9B">
        <w:trPr>
          <w:trHeight w:val="300"/>
          <w:jc w:val="center"/>
        </w:trPr>
        <w:tc>
          <w:tcPr>
            <w:tcW w:w="1922" w:type="pct"/>
            <w:vMerge/>
            <w:tcBorders>
              <w:top w:val="nil"/>
              <w:bottom w:val="single" w:sz="4" w:space="0" w:color="auto"/>
            </w:tcBorders>
            <w:vAlign w:val="center"/>
            <w:hideMark/>
          </w:tcPr>
          <w:p w14:paraId="38D0E715"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413DD869" w14:textId="77777777" w:rsidR="007B76B6" w:rsidRPr="007B76B6" w:rsidRDefault="007B76B6" w:rsidP="00DA3F9B">
            <w:pPr>
              <w:pStyle w:val="Body"/>
              <w:spacing w:after="0"/>
              <w:rPr>
                <w:rFonts w:ascii="Arial" w:hAnsi="Arial" w:cs="Arial"/>
              </w:rPr>
            </w:pPr>
            <w:r w:rsidRPr="007B76B6">
              <w:rPr>
                <w:rFonts w:ascii="Arial" w:hAnsi="Arial" w:cs="Arial"/>
              </w:rPr>
              <w:t>X3.2</w:t>
            </w:r>
          </w:p>
        </w:tc>
        <w:tc>
          <w:tcPr>
            <w:tcW w:w="1230" w:type="pct"/>
            <w:tcBorders>
              <w:top w:val="nil"/>
            </w:tcBorders>
            <w:shd w:val="clear" w:color="auto" w:fill="auto"/>
            <w:noWrap/>
            <w:vAlign w:val="center"/>
            <w:hideMark/>
          </w:tcPr>
          <w:p w14:paraId="7CA40E6E" w14:textId="77777777" w:rsidR="007B76B6" w:rsidRPr="007B76B6" w:rsidRDefault="007B76B6" w:rsidP="00DA3F9B">
            <w:pPr>
              <w:pStyle w:val="Body"/>
              <w:spacing w:after="0"/>
              <w:rPr>
                <w:rFonts w:ascii="Arial" w:hAnsi="Arial" w:cs="Arial"/>
              </w:rPr>
            </w:pPr>
            <w:r w:rsidRPr="007B76B6">
              <w:rPr>
                <w:rFonts w:ascii="Arial" w:hAnsi="Arial" w:cs="Arial"/>
              </w:rPr>
              <w:t>0.817</w:t>
            </w:r>
          </w:p>
        </w:tc>
        <w:tc>
          <w:tcPr>
            <w:tcW w:w="1016" w:type="pct"/>
            <w:tcBorders>
              <w:top w:val="nil"/>
            </w:tcBorders>
            <w:shd w:val="clear" w:color="auto" w:fill="auto"/>
            <w:noWrap/>
            <w:vAlign w:val="center"/>
            <w:hideMark/>
          </w:tcPr>
          <w:p w14:paraId="3CCA8D71"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501424B1" w14:textId="77777777" w:rsidTr="00DA3F9B">
        <w:trPr>
          <w:trHeight w:val="300"/>
          <w:jc w:val="center"/>
        </w:trPr>
        <w:tc>
          <w:tcPr>
            <w:tcW w:w="1922" w:type="pct"/>
            <w:vMerge/>
            <w:tcBorders>
              <w:top w:val="nil"/>
              <w:bottom w:val="single" w:sz="4" w:space="0" w:color="auto"/>
            </w:tcBorders>
            <w:vAlign w:val="center"/>
            <w:hideMark/>
          </w:tcPr>
          <w:p w14:paraId="5ACC42BD"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692929A5" w14:textId="77777777" w:rsidR="007B76B6" w:rsidRPr="007B76B6" w:rsidRDefault="007B76B6" w:rsidP="00DA3F9B">
            <w:pPr>
              <w:pStyle w:val="Body"/>
              <w:spacing w:after="0"/>
              <w:rPr>
                <w:rFonts w:ascii="Arial" w:hAnsi="Arial" w:cs="Arial"/>
              </w:rPr>
            </w:pPr>
            <w:r w:rsidRPr="007B76B6">
              <w:rPr>
                <w:rFonts w:ascii="Arial" w:hAnsi="Arial" w:cs="Arial"/>
              </w:rPr>
              <w:t>X3.3</w:t>
            </w:r>
          </w:p>
        </w:tc>
        <w:tc>
          <w:tcPr>
            <w:tcW w:w="1230" w:type="pct"/>
            <w:tcBorders>
              <w:top w:val="nil"/>
            </w:tcBorders>
            <w:shd w:val="clear" w:color="auto" w:fill="auto"/>
            <w:noWrap/>
            <w:vAlign w:val="center"/>
            <w:hideMark/>
          </w:tcPr>
          <w:p w14:paraId="6B2F88BD" w14:textId="77777777" w:rsidR="007B76B6" w:rsidRPr="007B76B6" w:rsidRDefault="007B76B6" w:rsidP="00DA3F9B">
            <w:pPr>
              <w:pStyle w:val="Body"/>
              <w:spacing w:after="0"/>
              <w:rPr>
                <w:rFonts w:ascii="Arial" w:hAnsi="Arial" w:cs="Arial"/>
              </w:rPr>
            </w:pPr>
            <w:r w:rsidRPr="007B76B6">
              <w:rPr>
                <w:rFonts w:ascii="Arial" w:hAnsi="Arial" w:cs="Arial"/>
              </w:rPr>
              <w:t>0.858</w:t>
            </w:r>
          </w:p>
        </w:tc>
        <w:tc>
          <w:tcPr>
            <w:tcW w:w="1016" w:type="pct"/>
            <w:tcBorders>
              <w:top w:val="nil"/>
            </w:tcBorders>
            <w:shd w:val="clear" w:color="auto" w:fill="auto"/>
            <w:noWrap/>
            <w:vAlign w:val="center"/>
            <w:hideMark/>
          </w:tcPr>
          <w:p w14:paraId="199DA6C9"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738BF156" w14:textId="77777777" w:rsidTr="00DA3F9B">
        <w:trPr>
          <w:trHeight w:val="300"/>
          <w:jc w:val="center"/>
        </w:trPr>
        <w:tc>
          <w:tcPr>
            <w:tcW w:w="1922" w:type="pct"/>
            <w:vMerge/>
            <w:tcBorders>
              <w:top w:val="nil"/>
              <w:bottom w:val="single" w:sz="4" w:space="0" w:color="auto"/>
            </w:tcBorders>
            <w:vAlign w:val="center"/>
            <w:hideMark/>
          </w:tcPr>
          <w:p w14:paraId="2FD07291" w14:textId="77777777" w:rsidR="007B76B6" w:rsidRPr="007B76B6" w:rsidRDefault="007B76B6" w:rsidP="00DA3F9B">
            <w:pPr>
              <w:pStyle w:val="Body"/>
              <w:spacing w:after="0"/>
              <w:rPr>
                <w:rFonts w:ascii="Arial" w:hAnsi="Arial" w:cs="Arial"/>
              </w:rPr>
            </w:pPr>
          </w:p>
        </w:tc>
        <w:tc>
          <w:tcPr>
            <w:tcW w:w="832" w:type="pct"/>
            <w:tcBorders>
              <w:top w:val="nil"/>
              <w:bottom w:val="single" w:sz="4" w:space="0" w:color="auto"/>
            </w:tcBorders>
            <w:shd w:val="clear" w:color="auto" w:fill="auto"/>
            <w:noWrap/>
            <w:vAlign w:val="center"/>
            <w:hideMark/>
          </w:tcPr>
          <w:p w14:paraId="6AC7FD77" w14:textId="77777777" w:rsidR="007B76B6" w:rsidRPr="007B76B6" w:rsidRDefault="007B76B6" w:rsidP="00DA3F9B">
            <w:pPr>
              <w:pStyle w:val="Body"/>
              <w:spacing w:after="0"/>
              <w:rPr>
                <w:rFonts w:ascii="Arial" w:hAnsi="Arial" w:cs="Arial"/>
              </w:rPr>
            </w:pPr>
            <w:r w:rsidRPr="007B76B6">
              <w:rPr>
                <w:rFonts w:ascii="Arial" w:hAnsi="Arial" w:cs="Arial"/>
              </w:rPr>
              <w:t>X3.4</w:t>
            </w:r>
          </w:p>
        </w:tc>
        <w:tc>
          <w:tcPr>
            <w:tcW w:w="1230" w:type="pct"/>
            <w:tcBorders>
              <w:top w:val="nil"/>
              <w:bottom w:val="single" w:sz="4" w:space="0" w:color="auto"/>
            </w:tcBorders>
            <w:shd w:val="clear" w:color="auto" w:fill="auto"/>
            <w:noWrap/>
            <w:vAlign w:val="center"/>
            <w:hideMark/>
          </w:tcPr>
          <w:p w14:paraId="1553A170" w14:textId="77777777" w:rsidR="007B76B6" w:rsidRPr="007B76B6" w:rsidRDefault="007B76B6" w:rsidP="00DA3F9B">
            <w:pPr>
              <w:pStyle w:val="Body"/>
              <w:spacing w:after="0"/>
              <w:rPr>
                <w:rFonts w:ascii="Arial" w:hAnsi="Arial" w:cs="Arial"/>
              </w:rPr>
            </w:pPr>
            <w:r w:rsidRPr="007B76B6">
              <w:rPr>
                <w:rFonts w:ascii="Arial" w:hAnsi="Arial" w:cs="Arial"/>
              </w:rPr>
              <w:t>0.868</w:t>
            </w:r>
          </w:p>
        </w:tc>
        <w:tc>
          <w:tcPr>
            <w:tcW w:w="1016" w:type="pct"/>
            <w:tcBorders>
              <w:top w:val="nil"/>
              <w:bottom w:val="single" w:sz="4" w:space="0" w:color="auto"/>
            </w:tcBorders>
            <w:shd w:val="clear" w:color="auto" w:fill="auto"/>
            <w:noWrap/>
            <w:vAlign w:val="center"/>
            <w:hideMark/>
          </w:tcPr>
          <w:p w14:paraId="44650C0C"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bl>
    <w:p w14:paraId="5AB66D4C"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238BDC98" w14:textId="4BC238F1" w:rsidR="007B76B6" w:rsidRPr="007B76B6" w:rsidRDefault="003D12B6" w:rsidP="007B76B6">
      <w:pPr>
        <w:pStyle w:val="Body"/>
        <w:ind w:left="709"/>
        <w:rPr>
          <w:rFonts w:ascii="Arial" w:hAnsi="Arial" w:cs="Arial"/>
        </w:rPr>
      </w:pPr>
      <w:r w:rsidRPr="003D12B6">
        <w:rPr>
          <w:rFonts w:ascii="Arial" w:hAnsi="Arial" w:cs="Arial"/>
        </w:rPr>
        <w:t>Based on Table 3, it can be seen that all variables meet the criteria for convergent validity testing because the factor loading values are greater than 0.70. Hair et al. (2014) state that an indicator is said to have good convergent validity if the factor loading value for the construct is ≥ 0.5, and ideally ≥ 0.7. High factor loadings indicate that the indicator has a significant contribution in measuring the construct. Additionally, redundancy serves as a measure to determine construct validity, which is an indicator of the quality of the structural model within each block of dependent variables obtained during the iterative algorithm process in the measurement model testing. Below are the AVE scores:</w:t>
      </w:r>
    </w:p>
    <w:p w14:paraId="479A80D8" w14:textId="77777777" w:rsidR="007B76B6" w:rsidRPr="00DA3F9B" w:rsidRDefault="007B76B6" w:rsidP="007B76B6">
      <w:pPr>
        <w:pStyle w:val="Body"/>
        <w:rPr>
          <w:rFonts w:ascii="Arial" w:hAnsi="Arial" w:cs="Arial"/>
          <w:b/>
        </w:rPr>
      </w:pPr>
      <w:r w:rsidRPr="00DA3F9B">
        <w:rPr>
          <w:rFonts w:ascii="Arial" w:hAnsi="Arial" w:cs="Arial"/>
          <w:b/>
        </w:rPr>
        <w:t>Table 4. Results of Average Variance Extracted (AVE)</w:t>
      </w:r>
    </w:p>
    <w:tbl>
      <w:tblPr>
        <w:tblW w:w="5000" w:type="pct"/>
        <w:tblLook w:val="04A0" w:firstRow="1" w:lastRow="0" w:firstColumn="1" w:lastColumn="0" w:noHBand="0" w:noVBand="1"/>
      </w:tblPr>
      <w:tblGrid>
        <w:gridCol w:w="5500"/>
        <w:gridCol w:w="2119"/>
        <w:gridCol w:w="3397"/>
      </w:tblGrid>
      <w:tr w:rsidR="007B76B6" w:rsidRPr="007B76B6" w14:paraId="1D395FE0" w14:textId="77777777" w:rsidTr="00DA3F9B">
        <w:trPr>
          <w:trHeight w:val="300"/>
        </w:trPr>
        <w:tc>
          <w:tcPr>
            <w:tcW w:w="2496" w:type="pct"/>
            <w:tcBorders>
              <w:top w:val="single" w:sz="4" w:space="0" w:color="auto"/>
              <w:bottom w:val="single" w:sz="4" w:space="0" w:color="auto"/>
            </w:tcBorders>
            <w:shd w:val="clear" w:color="auto" w:fill="auto"/>
            <w:noWrap/>
            <w:vAlign w:val="center"/>
            <w:hideMark/>
          </w:tcPr>
          <w:p w14:paraId="0D4DBF34" w14:textId="45271B77" w:rsidR="007B76B6" w:rsidRPr="007B76B6" w:rsidRDefault="00D95D0B" w:rsidP="00DA3F9B">
            <w:pPr>
              <w:pStyle w:val="Body"/>
              <w:spacing w:after="0"/>
              <w:rPr>
                <w:rFonts w:ascii="Arial" w:hAnsi="Arial" w:cs="Arial"/>
                <w:b/>
                <w:bCs/>
              </w:rPr>
            </w:pPr>
            <w:r w:rsidRPr="00D95D0B">
              <w:rPr>
                <w:rFonts w:ascii="Arial" w:hAnsi="Arial" w:cs="Arial"/>
                <w:b/>
                <w:bCs/>
              </w:rPr>
              <w:t>Variable Let</w:t>
            </w:r>
          </w:p>
        </w:tc>
        <w:tc>
          <w:tcPr>
            <w:tcW w:w="962" w:type="pct"/>
            <w:tcBorders>
              <w:top w:val="single" w:sz="4" w:space="0" w:color="auto"/>
              <w:bottom w:val="single" w:sz="4" w:space="0" w:color="auto"/>
            </w:tcBorders>
            <w:shd w:val="clear" w:color="auto" w:fill="auto"/>
            <w:noWrap/>
            <w:vAlign w:val="center"/>
            <w:hideMark/>
          </w:tcPr>
          <w:p w14:paraId="7AACF478" w14:textId="77777777" w:rsidR="007B76B6" w:rsidRPr="007B76B6" w:rsidRDefault="007B76B6" w:rsidP="00DA3F9B">
            <w:pPr>
              <w:pStyle w:val="Body"/>
              <w:spacing w:after="0"/>
              <w:rPr>
                <w:rFonts w:ascii="Arial" w:hAnsi="Arial" w:cs="Arial"/>
                <w:b/>
                <w:bCs/>
              </w:rPr>
            </w:pPr>
            <w:r w:rsidRPr="007B76B6">
              <w:rPr>
                <w:rFonts w:ascii="Arial" w:hAnsi="Arial" w:cs="Arial"/>
                <w:b/>
                <w:bCs/>
              </w:rPr>
              <w:t>AVE</w:t>
            </w:r>
          </w:p>
        </w:tc>
        <w:tc>
          <w:tcPr>
            <w:tcW w:w="1542" w:type="pct"/>
            <w:tcBorders>
              <w:top w:val="single" w:sz="4" w:space="0" w:color="auto"/>
              <w:bottom w:val="single" w:sz="4" w:space="0" w:color="auto"/>
            </w:tcBorders>
            <w:shd w:val="clear" w:color="auto" w:fill="auto"/>
            <w:noWrap/>
            <w:vAlign w:val="center"/>
            <w:hideMark/>
          </w:tcPr>
          <w:p w14:paraId="582BA3D7" w14:textId="77777777" w:rsidR="007B76B6" w:rsidRPr="007B76B6" w:rsidRDefault="006148B1" w:rsidP="00DA3F9B">
            <w:pPr>
              <w:pStyle w:val="Body"/>
              <w:spacing w:after="0"/>
              <w:rPr>
                <w:rFonts w:ascii="Arial" w:hAnsi="Arial" w:cs="Arial"/>
                <w:b/>
                <w:bCs/>
              </w:rPr>
            </w:pPr>
            <w:r w:rsidRPr="006148B1">
              <w:rPr>
                <w:rFonts w:ascii="Arial" w:hAnsi="Arial" w:cs="Arial"/>
                <w:b/>
                <w:bCs/>
              </w:rPr>
              <w:t>Description</w:t>
            </w:r>
          </w:p>
        </w:tc>
      </w:tr>
      <w:tr w:rsidR="006148B1" w:rsidRPr="007B76B6" w14:paraId="3BF3A92E" w14:textId="77777777" w:rsidTr="002545CE">
        <w:trPr>
          <w:trHeight w:val="300"/>
        </w:trPr>
        <w:tc>
          <w:tcPr>
            <w:tcW w:w="2496" w:type="pct"/>
            <w:tcBorders>
              <w:top w:val="single" w:sz="4" w:space="0" w:color="auto"/>
            </w:tcBorders>
            <w:shd w:val="clear" w:color="auto" w:fill="auto"/>
            <w:noWrap/>
            <w:hideMark/>
          </w:tcPr>
          <w:p w14:paraId="3D1FD603" w14:textId="77777777" w:rsidR="006148B1" w:rsidRPr="007E5DA8" w:rsidRDefault="006148B1" w:rsidP="002545CE">
            <w:r w:rsidRPr="007E5DA8">
              <w:t>Learning Independence (X1)</w:t>
            </w:r>
          </w:p>
        </w:tc>
        <w:tc>
          <w:tcPr>
            <w:tcW w:w="962" w:type="pct"/>
            <w:tcBorders>
              <w:top w:val="single" w:sz="4" w:space="0" w:color="auto"/>
            </w:tcBorders>
            <w:shd w:val="clear" w:color="auto" w:fill="auto"/>
            <w:noWrap/>
            <w:vAlign w:val="center"/>
            <w:hideMark/>
          </w:tcPr>
          <w:p w14:paraId="09620F6E" w14:textId="77777777" w:rsidR="006148B1" w:rsidRPr="007B76B6" w:rsidRDefault="006148B1" w:rsidP="00DA3F9B">
            <w:pPr>
              <w:pStyle w:val="Body"/>
              <w:spacing w:after="0"/>
              <w:rPr>
                <w:rFonts w:ascii="Arial" w:hAnsi="Arial" w:cs="Arial"/>
              </w:rPr>
            </w:pPr>
            <w:r w:rsidRPr="007B76B6">
              <w:rPr>
                <w:rFonts w:ascii="Arial" w:hAnsi="Arial" w:cs="Arial"/>
              </w:rPr>
              <w:t>0.785</w:t>
            </w:r>
          </w:p>
        </w:tc>
        <w:tc>
          <w:tcPr>
            <w:tcW w:w="1542" w:type="pct"/>
            <w:tcBorders>
              <w:top w:val="single" w:sz="4" w:space="0" w:color="auto"/>
            </w:tcBorders>
            <w:shd w:val="clear" w:color="auto" w:fill="auto"/>
            <w:noWrap/>
            <w:vAlign w:val="center"/>
            <w:hideMark/>
          </w:tcPr>
          <w:p w14:paraId="11F69660" w14:textId="77777777" w:rsidR="006148B1" w:rsidRPr="007B76B6" w:rsidRDefault="006148B1" w:rsidP="00DA3F9B">
            <w:pPr>
              <w:pStyle w:val="Body"/>
              <w:spacing w:after="0"/>
              <w:rPr>
                <w:rFonts w:ascii="Arial" w:hAnsi="Arial" w:cs="Arial"/>
              </w:rPr>
            </w:pPr>
            <w:r w:rsidRPr="007B76B6">
              <w:rPr>
                <w:rFonts w:ascii="Arial" w:hAnsi="Arial" w:cs="Arial"/>
              </w:rPr>
              <w:t>Valid (AVE &gt; 0.5)</w:t>
            </w:r>
          </w:p>
        </w:tc>
      </w:tr>
      <w:tr w:rsidR="006148B1" w:rsidRPr="007B76B6" w14:paraId="6DCA82E7" w14:textId="77777777" w:rsidTr="002545CE">
        <w:trPr>
          <w:trHeight w:val="300"/>
        </w:trPr>
        <w:tc>
          <w:tcPr>
            <w:tcW w:w="2496" w:type="pct"/>
            <w:tcBorders>
              <w:top w:val="nil"/>
            </w:tcBorders>
            <w:shd w:val="clear" w:color="auto" w:fill="auto"/>
            <w:noWrap/>
            <w:hideMark/>
          </w:tcPr>
          <w:p w14:paraId="0DAE2E6B" w14:textId="77777777" w:rsidR="006148B1" w:rsidRPr="007E5DA8" w:rsidRDefault="006148B1" w:rsidP="002545CE">
            <w:r w:rsidRPr="007E5DA8">
              <w:t>Learning Facilities (X2)</w:t>
            </w:r>
          </w:p>
        </w:tc>
        <w:tc>
          <w:tcPr>
            <w:tcW w:w="962" w:type="pct"/>
            <w:tcBorders>
              <w:top w:val="nil"/>
            </w:tcBorders>
            <w:shd w:val="clear" w:color="auto" w:fill="auto"/>
            <w:noWrap/>
            <w:vAlign w:val="center"/>
            <w:hideMark/>
          </w:tcPr>
          <w:p w14:paraId="6E377724" w14:textId="77777777" w:rsidR="006148B1" w:rsidRPr="007B76B6" w:rsidRDefault="006148B1" w:rsidP="00DA3F9B">
            <w:pPr>
              <w:pStyle w:val="Body"/>
              <w:spacing w:after="0"/>
              <w:rPr>
                <w:rFonts w:ascii="Arial" w:hAnsi="Arial" w:cs="Arial"/>
              </w:rPr>
            </w:pPr>
            <w:r w:rsidRPr="007B76B6">
              <w:rPr>
                <w:rFonts w:ascii="Arial" w:hAnsi="Arial" w:cs="Arial"/>
              </w:rPr>
              <w:t>0.705</w:t>
            </w:r>
          </w:p>
        </w:tc>
        <w:tc>
          <w:tcPr>
            <w:tcW w:w="1542" w:type="pct"/>
            <w:tcBorders>
              <w:top w:val="nil"/>
            </w:tcBorders>
            <w:shd w:val="clear" w:color="auto" w:fill="auto"/>
            <w:noWrap/>
            <w:vAlign w:val="center"/>
            <w:hideMark/>
          </w:tcPr>
          <w:p w14:paraId="60E289BA" w14:textId="77777777" w:rsidR="006148B1" w:rsidRPr="007B76B6" w:rsidRDefault="006148B1" w:rsidP="00DA3F9B">
            <w:pPr>
              <w:pStyle w:val="Body"/>
              <w:spacing w:after="0"/>
              <w:rPr>
                <w:rFonts w:ascii="Arial" w:hAnsi="Arial" w:cs="Arial"/>
              </w:rPr>
            </w:pPr>
            <w:r w:rsidRPr="007B76B6">
              <w:rPr>
                <w:rFonts w:ascii="Arial" w:hAnsi="Arial" w:cs="Arial"/>
              </w:rPr>
              <w:t>Valid (AVE &gt; 0.5)</w:t>
            </w:r>
          </w:p>
        </w:tc>
      </w:tr>
      <w:tr w:rsidR="006148B1" w:rsidRPr="007B76B6" w14:paraId="7F610F57" w14:textId="77777777" w:rsidTr="002545CE">
        <w:trPr>
          <w:trHeight w:val="300"/>
        </w:trPr>
        <w:tc>
          <w:tcPr>
            <w:tcW w:w="2496" w:type="pct"/>
            <w:tcBorders>
              <w:top w:val="nil"/>
            </w:tcBorders>
            <w:shd w:val="clear" w:color="auto" w:fill="auto"/>
            <w:noWrap/>
            <w:hideMark/>
          </w:tcPr>
          <w:p w14:paraId="0D0CCC0F" w14:textId="77777777" w:rsidR="006148B1" w:rsidRPr="007E5DA8" w:rsidRDefault="006148B1" w:rsidP="002545CE">
            <w:r w:rsidRPr="007E5DA8">
              <w:t>Learning Motivation (X3)</w:t>
            </w:r>
          </w:p>
        </w:tc>
        <w:tc>
          <w:tcPr>
            <w:tcW w:w="962" w:type="pct"/>
            <w:tcBorders>
              <w:top w:val="nil"/>
            </w:tcBorders>
            <w:shd w:val="clear" w:color="auto" w:fill="auto"/>
            <w:noWrap/>
            <w:vAlign w:val="center"/>
            <w:hideMark/>
          </w:tcPr>
          <w:p w14:paraId="3EFD23E8" w14:textId="77777777" w:rsidR="006148B1" w:rsidRPr="007B76B6" w:rsidRDefault="006148B1" w:rsidP="00DA3F9B">
            <w:pPr>
              <w:pStyle w:val="Body"/>
              <w:spacing w:after="0"/>
              <w:rPr>
                <w:rFonts w:ascii="Arial" w:hAnsi="Arial" w:cs="Arial"/>
              </w:rPr>
            </w:pPr>
            <w:r w:rsidRPr="007B76B6">
              <w:rPr>
                <w:rFonts w:ascii="Arial" w:hAnsi="Arial" w:cs="Arial"/>
              </w:rPr>
              <w:t>0.716</w:t>
            </w:r>
          </w:p>
        </w:tc>
        <w:tc>
          <w:tcPr>
            <w:tcW w:w="1542" w:type="pct"/>
            <w:tcBorders>
              <w:top w:val="nil"/>
            </w:tcBorders>
            <w:shd w:val="clear" w:color="auto" w:fill="auto"/>
            <w:noWrap/>
            <w:vAlign w:val="center"/>
            <w:hideMark/>
          </w:tcPr>
          <w:p w14:paraId="10574790" w14:textId="77777777" w:rsidR="006148B1" w:rsidRPr="007B76B6" w:rsidRDefault="006148B1" w:rsidP="00DA3F9B">
            <w:pPr>
              <w:pStyle w:val="Body"/>
              <w:spacing w:after="0"/>
              <w:rPr>
                <w:rFonts w:ascii="Arial" w:hAnsi="Arial" w:cs="Arial"/>
              </w:rPr>
            </w:pPr>
            <w:r w:rsidRPr="007B76B6">
              <w:rPr>
                <w:rFonts w:ascii="Arial" w:hAnsi="Arial" w:cs="Arial"/>
              </w:rPr>
              <w:t>Valid (AVE &gt; 0.5)</w:t>
            </w:r>
          </w:p>
        </w:tc>
      </w:tr>
      <w:tr w:rsidR="006148B1" w:rsidRPr="007B76B6" w14:paraId="2A7D38A4" w14:textId="77777777" w:rsidTr="002545CE">
        <w:trPr>
          <w:trHeight w:val="300"/>
        </w:trPr>
        <w:tc>
          <w:tcPr>
            <w:tcW w:w="2496" w:type="pct"/>
            <w:tcBorders>
              <w:top w:val="nil"/>
              <w:bottom w:val="single" w:sz="4" w:space="0" w:color="auto"/>
            </w:tcBorders>
            <w:shd w:val="clear" w:color="auto" w:fill="auto"/>
            <w:noWrap/>
            <w:hideMark/>
          </w:tcPr>
          <w:p w14:paraId="49966701" w14:textId="77777777" w:rsidR="006148B1" w:rsidRDefault="006148B1" w:rsidP="002545CE">
            <w:r w:rsidRPr="007E5DA8">
              <w:t>Learning Outcomes (Y)</w:t>
            </w:r>
          </w:p>
        </w:tc>
        <w:tc>
          <w:tcPr>
            <w:tcW w:w="962" w:type="pct"/>
            <w:tcBorders>
              <w:top w:val="nil"/>
              <w:bottom w:val="single" w:sz="4" w:space="0" w:color="auto"/>
            </w:tcBorders>
            <w:shd w:val="clear" w:color="auto" w:fill="auto"/>
            <w:noWrap/>
            <w:vAlign w:val="center"/>
            <w:hideMark/>
          </w:tcPr>
          <w:p w14:paraId="29FA6882" w14:textId="77777777" w:rsidR="006148B1" w:rsidRPr="007B76B6" w:rsidRDefault="006148B1" w:rsidP="00DA3F9B">
            <w:pPr>
              <w:pStyle w:val="Body"/>
              <w:spacing w:after="0"/>
              <w:rPr>
                <w:rFonts w:ascii="Arial" w:hAnsi="Arial" w:cs="Arial"/>
              </w:rPr>
            </w:pPr>
            <w:r w:rsidRPr="007B76B6">
              <w:rPr>
                <w:rFonts w:ascii="Arial" w:hAnsi="Arial" w:cs="Arial"/>
              </w:rPr>
              <w:t>0.759</w:t>
            </w:r>
          </w:p>
        </w:tc>
        <w:tc>
          <w:tcPr>
            <w:tcW w:w="1542" w:type="pct"/>
            <w:tcBorders>
              <w:top w:val="nil"/>
              <w:bottom w:val="single" w:sz="4" w:space="0" w:color="auto"/>
            </w:tcBorders>
            <w:shd w:val="clear" w:color="auto" w:fill="auto"/>
            <w:noWrap/>
            <w:vAlign w:val="center"/>
            <w:hideMark/>
          </w:tcPr>
          <w:p w14:paraId="06880039" w14:textId="77777777" w:rsidR="006148B1" w:rsidRPr="007B76B6" w:rsidRDefault="006148B1" w:rsidP="00DA3F9B">
            <w:pPr>
              <w:pStyle w:val="Body"/>
              <w:spacing w:after="0"/>
              <w:rPr>
                <w:rFonts w:ascii="Arial" w:hAnsi="Arial" w:cs="Arial"/>
              </w:rPr>
            </w:pPr>
            <w:r w:rsidRPr="007B76B6">
              <w:rPr>
                <w:rFonts w:ascii="Arial" w:hAnsi="Arial" w:cs="Arial"/>
              </w:rPr>
              <w:t>Valid (AVE &gt; 0.5)</w:t>
            </w:r>
          </w:p>
        </w:tc>
      </w:tr>
    </w:tbl>
    <w:p w14:paraId="20F2AC52"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18C976DF" w14:textId="77777777" w:rsidR="007B76B6" w:rsidRPr="007B76B6" w:rsidRDefault="007B76B6" w:rsidP="007B76B6">
      <w:pPr>
        <w:pStyle w:val="Body"/>
        <w:ind w:left="709"/>
        <w:rPr>
          <w:rFonts w:ascii="Arial" w:hAnsi="Arial" w:cs="Arial"/>
        </w:rPr>
      </w:pPr>
      <w:r w:rsidRPr="007B76B6">
        <w:rPr>
          <w:rFonts w:ascii="Arial" w:hAnsi="Arial" w:cs="Arial"/>
        </w:rPr>
        <w:t>Based on the table above, the Average Variance Extracted (AVE) value exceeds the criteria, namely 0.5. Therefore, it can be concluded that all latent variables meet the Convergent Validity criteria because all loading factor values&gt; 0.7 and AVE values&gt; 0.5</w:t>
      </w:r>
    </w:p>
    <w:p w14:paraId="03E1FB84" w14:textId="77777777" w:rsidR="007B76B6" w:rsidRPr="007B76B6" w:rsidRDefault="007B76B6" w:rsidP="007B76B6">
      <w:pPr>
        <w:pStyle w:val="Body"/>
        <w:numPr>
          <w:ilvl w:val="0"/>
          <w:numId w:val="32"/>
        </w:numPr>
        <w:rPr>
          <w:rFonts w:ascii="Arial" w:hAnsi="Arial" w:cs="Arial"/>
        </w:rPr>
      </w:pPr>
      <w:r w:rsidRPr="007B76B6">
        <w:rPr>
          <w:rFonts w:ascii="Arial" w:hAnsi="Arial" w:cs="Arial"/>
        </w:rPr>
        <w:t>Discriminant Validity</w:t>
      </w:r>
    </w:p>
    <w:p w14:paraId="0F7ABAC4" w14:textId="77777777" w:rsidR="007B76B6" w:rsidRPr="007B76B6" w:rsidRDefault="007B76B6" w:rsidP="007B76B6">
      <w:pPr>
        <w:pStyle w:val="Body"/>
        <w:ind w:left="709"/>
        <w:rPr>
          <w:rFonts w:ascii="Arial" w:hAnsi="Arial" w:cs="Arial"/>
        </w:rPr>
      </w:pPr>
      <w:r w:rsidRPr="007B76B6">
        <w:rPr>
          <w:rFonts w:ascii="Arial" w:hAnsi="Arial" w:cs="Arial"/>
        </w:rPr>
        <w:t>Discriminant validity is tested using Cross Loading to ensure that each indicator has a higher correlation with the latent variable it is supposed to measure than with other latent variables. The following are the results of discriminant validity testing:</w:t>
      </w:r>
    </w:p>
    <w:p w14:paraId="725BB370" w14:textId="2BB67215" w:rsidR="007B76B6" w:rsidRPr="00DA3F9B" w:rsidRDefault="007B76B6" w:rsidP="007B76B6">
      <w:pPr>
        <w:pStyle w:val="Body"/>
        <w:rPr>
          <w:rFonts w:ascii="Arial" w:hAnsi="Arial" w:cs="Arial"/>
          <w:b/>
        </w:rPr>
      </w:pPr>
      <w:r w:rsidRPr="00DA3F9B">
        <w:rPr>
          <w:rFonts w:ascii="Arial" w:hAnsi="Arial" w:cs="Arial"/>
          <w:b/>
        </w:rPr>
        <w:t xml:space="preserve">Table 5. </w:t>
      </w:r>
      <w:r w:rsidR="00086A8B">
        <w:rPr>
          <w:rFonts w:ascii="Arial" w:hAnsi="Arial" w:cs="Arial"/>
          <w:b/>
        </w:rPr>
        <w:t xml:space="preserve">Correlation between </w:t>
      </w:r>
      <w:r w:rsidRPr="00DA3F9B">
        <w:rPr>
          <w:rFonts w:ascii="Arial" w:hAnsi="Arial" w:cs="Arial"/>
          <w:b/>
        </w:rPr>
        <w:t xml:space="preserve">Average Variance Extracted (AVE) </w:t>
      </w:r>
    </w:p>
    <w:tbl>
      <w:tblPr>
        <w:tblW w:w="5000" w:type="pct"/>
        <w:tblLook w:val="04A0" w:firstRow="1" w:lastRow="0" w:firstColumn="1" w:lastColumn="0" w:noHBand="0" w:noVBand="1"/>
      </w:tblPr>
      <w:tblGrid>
        <w:gridCol w:w="2632"/>
        <w:gridCol w:w="2097"/>
        <w:gridCol w:w="2097"/>
        <w:gridCol w:w="2097"/>
        <w:gridCol w:w="2093"/>
      </w:tblGrid>
      <w:tr w:rsidR="007B76B6" w:rsidRPr="007B76B6" w14:paraId="40923309" w14:textId="77777777" w:rsidTr="00DA3F9B">
        <w:trPr>
          <w:trHeight w:val="300"/>
        </w:trPr>
        <w:tc>
          <w:tcPr>
            <w:tcW w:w="1194" w:type="pct"/>
            <w:tcBorders>
              <w:top w:val="single" w:sz="4" w:space="0" w:color="auto"/>
              <w:bottom w:val="single" w:sz="4" w:space="0" w:color="auto"/>
            </w:tcBorders>
            <w:shd w:val="clear" w:color="auto" w:fill="auto"/>
            <w:noWrap/>
            <w:vAlign w:val="center"/>
            <w:hideMark/>
          </w:tcPr>
          <w:p w14:paraId="42FFBF68" w14:textId="77777777" w:rsidR="007B76B6" w:rsidRPr="00DA3F9B" w:rsidRDefault="006148B1" w:rsidP="00DA3F9B">
            <w:pPr>
              <w:pStyle w:val="Body"/>
              <w:spacing w:after="0"/>
              <w:rPr>
                <w:rFonts w:ascii="Arial" w:hAnsi="Arial" w:cs="Arial"/>
                <w:b/>
                <w:bCs/>
              </w:rPr>
            </w:pPr>
            <w:r w:rsidRPr="006148B1">
              <w:rPr>
                <w:rFonts w:ascii="Arial" w:hAnsi="Arial" w:cs="Arial"/>
                <w:b/>
                <w:bCs/>
              </w:rPr>
              <w:t>Indicator</w:t>
            </w:r>
          </w:p>
        </w:tc>
        <w:tc>
          <w:tcPr>
            <w:tcW w:w="952" w:type="pct"/>
            <w:tcBorders>
              <w:top w:val="single" w:sz="4" w:space="0" w:color="auto"/>
              <w:bottom w:val="single" w:sz="4" w:space="0" w:color="auto"/>
            </w:tcBorders>
            <w:shd w:val="clear" w:color="auto" w:fill="auto"/>
            <w:noWrap/>
            <w:vAlign w:val="center"/>
            <w:hideMark/>
          </w:tcPr>
          <w:p w14:paraId="685ECC06" w14:textId="77777777" w:rsidR="007B76B6" w:rsidRPr="00DA3F9B" w:rsidRDefault="007B76B6" w:rsidP="006148B1">
            <w:pPr>
              <w:pStyle w:val="Body"/>
              <w:spacing w:after="0"/>
              <w:jc w:val="center"/>
              <w:rPr>
                <w:rFonts w:ascii="Arial" w:hAnsi="Arial" w:cs="Arial"/>
                <w:b/>
              </w:rPr>
            </w:pPr>
            <w:r w:rsidRPr="00DA3F9B">
              <w:rPr>
                <w:rFonts w:ascii="Arial" w:hAnsi="Arial" w:cs="Arial"/>
                <w:b/>
              </w:rPr>
              <w:t>X1</w:t>
            </w:r>
          </w:p>
        </w:tc>
        <w:tc>
          <w:tcPr>
            <w:tcW w:w="952" w:type="pct"/>
            <w:tcBorders>
              <w:top w:val="single" w:sz="4" w:space="0" w:color="auto"/>
              <w:bottom w:val="single" w:sz="4" w:space="0" w:color="auto"/>
            </w:tcBorders>
            <w:shd w:val="clear" w:color="auto" w:fill="auto"/>
            <w:noWrap/>
            <w:vAlign w:val="center"/>
            <w:hideMark/>
          </w:tcPr>
          <w:p w14:paraId="17C5FAD1" w14:textId="77777777" w:rsidR="007B76B6" w:rsidRPr="00DA3F9B" w:rsidRDefault="007B76B6" w:rsidP="006148B1">
            <w:pPr>
              <w:pStyle w:val="Body"/>
              <w:spacing w:after="0"/>
              <w:jc w:val="center"/>
              <w:rPr>
                <w:rFonts w:ascii="Arial" w:hAnsi="Arial" w:cs="Arial"/>
                <w:b/>
              </w:rPr>
            </w:pPr>
            <w:r w:rsidRPr="00DA3F9B">
              <w:rPr>
                <w:rFonts w:ascii="Arial" w:hAnsi="Arial" w:cs="Arial"/>
                <w:b/>
              </w:rPr>
              <w:t>X2</w:t>
            </w:r>
          </w:p>
        </w:tc>
        <w:tc>
          <w:tcPr>
            <w:tcW w:w="952" w:type="pct"/>
            <w:tcBorders>
              <w:top w:val="single" w:sz="4" w:space="0" w:color="auto"/>
              <w:bottom w:val="single" w:sz="4" w:space="0" w:color="auto"/>
            </w:tcBorders>
            <w:shd w:val="clear" w:color="auto" w:fill="auto"/>
            <w:noWrap/>
            <w:vAlign w:val="center"/>
            <w:hideMark/>
          </w:tcPr>
          <w:p w14:paraId="2133E856" w14:textId="77777777" w:rsidR="007B76B6" w:rsidRPr="00DA3F9B" w:rsidRDefault="007B76B6" w:rsidP="006148B1">
            <w:pPr>
              <w:pStyle w:val="Body"/>
              <w:spacing w:after="0"/>
              <w:jc w:val="center"/>
              <w:rPr>
                <w:rFonts w:ascii="Arial" w:hAnsi="Arial" w:cs="Arial"/>
                <w:b/>
              </w:rPr>
            </w:pPr>
            <w:r w:rsidRPr="00DA3F9B">
              <w:rPr>
                <w:rFonts w:ascii="Arial" w:hAnsi="Arial" w:cs="Arial"/>
                <w:b/>
              </w:rPr>
              <w:t>X3</w:t>
            </w:r>
          </w:p>
        </w:tc>
        <w:tc>
          <w:tcPr>
            <w:tcW w:w="950" w:type="pct"/>
            <w:tcBorders>
              <w:top w:val="single" w:sz="4" w:space="0" w:color="auto"/>
              <w:bottom w:val="single" w:sz="4" w:space="0" w:color="auto"/>
            </w:tcBorders>
            <w:shd w:val="clear" w:color="auto" w:fill="auto"/>
            <w:noWrap/>
            <w:vAlign w:val="center"/>
            <w:hideMark/>
          </w:tcPr>
          <w:p w14:paraId="5F64FEDC" w14:textId="77777777" w:rsidR="007B76B6" w:rsidRPr="00DA3F9B" w:rsidRDefault="007B76B6" w:rsidP="006148B1">
            <w:pPr>
              <w:pStyle w:val="Body"/>
              <w:spacing w:after="0"/>
              <w:jc w:val="center"/>
              <w:rPr>
                <w:rFonts w:ascii="Arial" w:hAnsi="Arial" w:cs="Arial"/>
                <w:b/>
              </w:rPr>
            </w:pPr>
            <w:r w:rsidRPr="00DA3F9B">
              <w:rPr>
                <w:rFonts w:ascii="Arial" w:hAnsi="Arial" w:cs="Arial"/>
                <w:b/>
              </w:rPr>
              <w:t>Y</w:t>
            </w:r>
          </w:p>
        </w:tc>
      </w:tr>
      <w:tr w:rsidR="007B76B6" w:rsidRPr="007B76B6" w14:paraId="6B360282" w14:textId="77777777" w:rsidTr="00DA3F9B">
        <w:trPr>
          <w:trHeight w:val="300"/>
        </w:trPr>
        <w:tc>
          <w:tcPr>
            <w:tcW w:w="1194" w:type="pct"/>
            <w:tcBorders>
              <w:top w:val="single" w:sz="4" w:space="0" w:color="auto"/>
            </w:tcBorders>
            <w:shd w:val="clear" w:color="auto" w:fill="auto"/>
            <w:noWrap/>
            <w:vAlign w:val="center"/>
            <w:hideMark/>
          </w:tcPr>
          <w:p w14:paraId="43BCB670" w14:textId="77777777" w:rsidR="007B76B6" w:rsidRPr="007B76B6" w:rsidRDefault="007B76B6" w:rsidP="00DA3F9B">
            <w:pPr>
              <w:pStyle w:val="Body"/>
              <w:spacing w:after="0"/>
              <w:rPr>
                <w:rFonts w:ascii="Arial" w:hAnsi="Arial" w:cs="Arial"/>
              </w:rPr>
            </w:pPr>
            <w:r w:rsidRPr="007B76B6">
              <w:rPr>
                <w:rFonts w:ascii="Arial" w:hAnsi="Arial" w:cs="Arial"/>
              </w:rPr>
              <w:t>X1.1</w:t>
            </w:r>
          </w:p>
        </w:tc>
        <w:tc>
          <w:tcPr>
            <w:tcW w:w="952" w:type="pct"/>
            <w:tcBorders>
              <w:top w:val="single" w:sz="4" w:space="0" w:color="auto"/>
            </w:tcBorders>
            <w:shd w:val="clear" w:color="auto" w:fill="auto"/>
            <w:noWrap/>
            <w:vAlign w:val="center"/>
            <w:hideMark/>
          </w:tcPr>
          <w:p w14:paraId="39AFBC2E" w14:textId="4E8605BE" w:rsidR="007B76B6" w:rsidRPr="007B76B6" w:rsidRDefault="007B76B6" w:rsidP="00DA3F9B">
            <w:pPr>
              <w:pStyle w:val="Body"/>
              <w:spacing w:after="0"/>
              <w:rPr>
                <w:rFonts w:ascii="Arial" w:hAnsi="Arial" w:cs="Arial"/>
                <w:b/>
                <w:bCs/>
              </w:rPr>
            </w:pPr>
            <w:r w:rsidRPr="007B76B6">
              <w:rPr>
                <w:rFonts w:ascii="Arial" w:hAnsi="Arial" w:cs="Arial"/>
                <w:b/>
                <w:bCs/>
              </w:rPr>
              <w:t>0</w:t>
            </w:r>
            <w:r w:rsidR="003D12B6">
              <w:rPr>
                <w:rFonts w:ascii="Arial" w:hAnsi="Arial" w:cs="Arial"/>
                <w:b/>
                <w:bCs/>
              </w:rPr>
              <w:t>.</w:t>
            </w:r>
            <w:r w:rsidRPr="007B76B6">
              <w:rPr>
                <w:rFonts w:ascii="Arial" w:hAnsi="Arial" w:cs="Arial"/>
                <w:b/>
                <w:bCs/>
              </w:rPr>
              <w:t>844</w:t>
            </w:r>
          </w:p>
        </w:tc>
        <w:tc>
          <w:tcPr>
            <w:tcW w:w="952" w:type="pct"/>
            <w:tcBorders>
              <w:top w:val="single" w:sz="4" w:space="0" w:color="auto"/>
            </w:tcBorders>
            <w:shd w:val="clear" w:color="auto" w:fill="auto"/>
            <w:noWrap/>
            <w:vAlign w:val="center"/>
            <w:hideMark/>
          </w:tcPr>
          <w:p w14:paraId="25D31438" w14:textId="7034CC53"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539</w:t>
            </w:r>
          </w:p>
        </w:tc>
        <w:tc>
          <w:tcPr>
            <w:tcW w:w="952" w:type="pct"/>
            <w:tcBorders>
              <w:top w:val="single" w:sz="4" w:space="0" w:color="auto"/>
            </w:tcBorders>
            <w:shd w:val="clear" w:color="auto" w:fill="auto"/>
            <w:noWrap/>
            <w:vAlign w:val="center"/>
            <w:hideMark/>
          </w:tcPr>
          <w:p w14:paraId="2DBB6437" w14:textId="7D87A496"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558</w:t>
            </w:r>
          </w:p>
        </w:tc>
        <w:tc>
          <w:tcPr>
            <w:tcW w:w="950" w:type="pct"/>
            <w:tcBorders>
              <w:top w:val="single" w:sz="4" w:space="0" w:color="auto"/>
            </w:tcBorders>
            <w:shd w:val="clear" w:color="auto" w:fill="auto"/>
            <w:noWrap/>
            <w:vAlign w:val="center"/>
            <w:hideMark/>
          </w:tcPr>
          <w:p w14:paraId="09004A7B" w14:textId="4B197011"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570</w:t>
            </w:r>
          </w:p>
        </w:tc>
      </w:tr>
      <w:tr w:rsidR="007B76B6" w:rsidRPr="007B76B6" w14:paraId="48FF3CDA" w14:textId="77777777" w:rsidTr="00DA3F9B">
        <w:trPr>
          <w:trHeight w:val="300"/>
        </w:trPr>
        <w:tc>
          <w:tcPr>
            <w:tcW w:w="1194" w:type="pct"/>
            <w:tcBorders>
              <w:top w:val="nil"/>
            </w:tcBorders>
            <w:shd w:val="clear" w:color="auto" w:fill="auto"/>
            <w:noWrap/>
            <w:vAlign w:val="center"/>
            <w:hideMark/>
          </w:tcPr>
          <w:p w14:paraId="120B2D6A" w14:textId="77777777" w:rsidR="007B76B6" w:rsidRPr="007B76B6" w:rsidRDefault="007B76B6" w:rsidP="00DA3F9B">
            <w:pPr>
              <w:pStyle w:val="Body"/>
              <w:spacing w:after="0"/>
              <w:rPr>
                <w:rFonts w:ascii="Arial" w:hAnsi="Arial" w:cs="Arial"/>
              </w:rPr>
            </w:pPr>
            <w:r w:rsidRPr="007B76B6">
              <w:rPr>
                <w:rFonts w:ascii="Arial" w:hAnsi="Arial" w:cs="Arial"/>
              </w:rPr>
              <w:t>X1.2</w:t>
            </w:r>
          </w:p>
        </w:tc>
        <w:tc>
          <w:tcPr>
            <w:tcW w:w="952" w:type="pct"/>
            <w:tcBorders>
              <w:top w:val="nil"/>
            </w:tcBorders>
            <w:shd w:val="clear" w:color="auto" w:fill="auto"/>
            <w:noWrap/>
            <w:vAlign w:val="center"/>
            <w:hideMark/>
          </w:tcPr>
          <w:p w14:paraId="51D9FC78" w14:textId="09FEEBC6" w:rsidR="007B76B6" w:rsidRPr="007B76B6" w:rsidRDefault="007B76B6" w:rsidP="00DA3F9B">
            <w:pPr>
              <w:pStyle w:val="Body"/>
              <w:spacing w:after="0"/>
              <w:rPr>
                <w:rFonts w:ascii="Arial" w:hAnsi="Arial" w:cs="Arial"/>
                <w:b/>
                <w:bCs/>
              </w:rPr>
            </w:pPr>
            <w:r w:rsidRPr="007B76B6">
              <w:rPr>
                <w:rFonts w:ascii="Arial" w:hAnsi="Arial" w:cs="Arial"/>
                <w:b/>
                <w:bCs/>
              </w:rPr>
              <w:t>0</w:t>
            </w:r>
            <w:r w:rsidR="003D12B6">
              <w:rPr>
                <w:rFonts w:ascii="Arial" w:hAnsi="Arial" w:cs="Arial"/>
                <w:b/>
                <w:bCs/>
              </w:rPr>
              <w:t>.</w:t>
            </w:r>
            <w:r w:rsidRPr="007B76B6">
              <w:rPr>
                <w:rFonts w:ascii="Arial" w:hAnsi="Arial" w:cs="Arial"/>
                <w:b/>
                <w:bCs/>
              </w:rPr>
              <w:t>912</w:t>
            </w:r>
          </w:p>
        </w:tc>
        <w:tc>
          <w:tcPr>
            <w:tcW w:w="952" w:type="pct"/>
            <w:tcBorders>
              <w:top w:val="nil"/>
            </w:tcBorders>
            <w:shd w:val="clear" w:color="auto" w:fill="auto"/>
            <w:noWrap/>
            <w:vAlign w:val="center"/>
            <w:hideMark/>
          </w:tcPr>
          <w:p w14:paraId="32B773F1" w14:textId="22F8E7B5"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613</w:t>
            </w:r>
          </w:p>
        </w:tc>
        <w:tc>
          <w:tcPr>
            <w:tcW w:w="952" w:type="pct"/>
            <w:tcBorders>
              <w:top w:val="nil"/>
            </w:tcBorders>
            <w:shd w:val="clear" w:color="auto" w:fill="auto"/>
            <w:noWrap/>
            <w:vAlign w:val="center"/>
            <w:hideMark/>
          </w:tcPr>
          <w:p w14:paraId="42E7B10D" w14:textId="77699A77"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661</w:t>
            </w:r>
          </w:p>
        </w:tc>
        <w:tc>
          <w:tcPr>
            <w:tcW w:w="950" w:type="pct"/>
            <w:tcBorders>
              <w:top w:val="nil"/>
            </w:tcBorders>
            <w:shd w:val="clear" w:color="auto" w:fill="auto"/>
            <w:noWrap/>
            <w:vAlign w:val="center"/>
            <w:hideMark/>
          </w:tcPr>
          <w:p w14:paraId="4D802B05" w14:textId="29148D48"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668</w:t>
            </w:r>
          </w:p>
        </w:tc>
      </w:tr>
      <w:tr w:rsidR="007B76B6" w:rsidRPr="007B76B6" w14:paraId="2510D57A" w14:textId="77777777" w:rsidTr="00DA3F9B">
        <w:trPr>
          <w:trHeight w:val="300"/>
        </w:trPr>
        <w:tc>
          <w:tcPr>
            <w:tcW w:w="1194" w:type="pct"/>
            <w:tcBorders>
              <w:top w:val="nil"/>
            </w:tcBorders>
            <w:shd w:val="clear" w:color="auto" w:fill="auto"/>
            <w:noWrap/>
            <w:vAlign w:val="center"/>
            <w:hideMark/>
          </w:tcPr>
          <w:p w14:paraId="02CE4F77" w14:textId="77777777" w:rsidR="007B76B6" w:rsidRPr="007B76B6" w:rsidRDefault="007B76B6" w:rsidP="00DA3F9B">
            <w:pPr>
              <w:pStyle w:val="Body"/>
              <w:spacing w:after="0"/>
              <w:rPr>
                <w:rFonts w:ascii="Arial" w:hAnsi="Arial" w:cs="Arial"/>
              </w:rPr>
            </w:pPr>
            <w:r w:rsidRPr="007B76B6">
              <w:rPr>
                <w:rFonts w:ascii="Arial" w:hAnsi="Arial" w:cs="Arial"/>
              </w:rPr>
              <w:t>X1.3</w:t>
            </w:r>
          </w:p>
        </w:tc>
        <w:tc>
          <w:tcPr>
            <w:tcW w:w="952" w:type="pct"/>
            <w:tcBorders>
              <w:top w:val="nil"/>
            </w:tcBorders>
            <w:shd w:val="clear" w:color="auto" w:fill="auto"/>
            <w:noWrap/>
            <w:vAlign w:val="center"/>
            <w:hideMark/>
          </w:tcPr>
          <w:p w14:paraId="3FCB3AA8" w14:textId="1106C48D" w:rsidR="007B76B6" w:rsidRPr="007B76B6" w:rsidRDefault="007B76B6" w:rsidP="00DA3F9B">
            <w:pPr>
              <w:pStyle w:val="Body"/>
              <w:spacing w:after="0"/>
              <w:rPr>
                <w:rFonts w:ascii="Arial" w:hAnsi="Arial" w:cs="Arial"/>
                <w:b/>
                <w:bCs/>
              </w:rPr>
            </w:pPr>
            <w:r w:rsidRPr="007B76B6">
              <w:rPr>
                <w:rFonts w:ascii="Arial" w:hAnsi="Arial" w:cs="Arial"/>
                <w:b/>
                <w:bCs/>
              </w:rPr>
              <w:t>0</w:t>
            </w:r>
            <w:r w:rsidR="003D12B6">
              <w:rPr>
                <w:rFonts w:ascii="Arial" w:hAnsi="Arial" w:cs="Arial"/>
                <w:b/>
                <w:bCs/>
              </w:rPr>
              <w:t>.</w:t>
            </w:r>
            <w:r w:rsidRPr="007B76B6">
              <w:rPr>
                <w:rFonts w:ascii="Arial" w:hAnsi="Arial" w:cs="Arial"/>
                <w:b/>
                <w:bCs/>
              </w:rPr>
              <w:t>900</w:t>
            </w:r>
          </w:p>
        </w:tc>
        <w:tc>
          <w:tcPr>
            <w:tcW w:w="952" w:type="pct"/>
            <w:tcBorders>
              <w:top w:val="nil"/>
            </w:tcBorders>
            <w:shd w:val="clear" w:color="auto" w:fill="auto"/>
            <w:noWrap/>
            <w:vAlign w:val="center"/>
            <w:hideMark/>
          </w:tcPr>
          <w:p w14:paraId="7296223C" w14:textId="1540E8F4"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613</w:t>
            </w:r>
          </w:p>
        </w:tc>
        <w:tc>
          <w:tcPr>
            <w:tcW w:w="952" w:type="pct"/>
            <w:tcBorders>
              <w:top w:val="nil"/>
            </w:tcBorders>
            <w:shd w:val="clear" w:color="auto" w:fill="auto"/>
            <w:noWrap/>
            <w:vAlign w:val="center"/>
            <w:hideMark/>
          </w:tcPr>
          <w:p w14:paraId="04AC5B86" w14:textId="7E9254F9"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723</w:t>
            </w:r>
          </w:p>
        </w:tc>
        <w:tc>
          <w:tcPr>
            <w:tcW w:w="950" w:type="pct"/>
            <w:tcBorders>
              <w:top w:val="nil"/>
            </w:tcBorders>
            <w:shd w:val="clear" w:color="auto" w:fill="auto"/>
            <w:noWrap/>
            <w:vAlign w:val="center"/>
            <w:hideMark/>
          </w:tcPr>
          <w:p w14:paraId="633FE3BE" w14:textId="090CEAF5"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638</w:t>
            </w:r>
          </w:p>
        </w:tc>
      </w:tr>
      <w:tr w:rsidR="007B76B6" w:rsidRPr="007B76B6" w14:paraId="6FDBA6C4" w14:textId="77777777" w:rsidTr="00DA3F9B">
        <w:trPr>
          <w:trHeight w:val="300"/>
        </w:trPr>
        <w:tc>
          <w:tcPr>
            <w:tcW w:w="1194" w:type="pct"/>
            <w:tcBorders>
              <w:top w:val="nil"/>
            </w:tcBorders>
            <w:shd w:val="clear" w:color="auto" w:fill="auto"/>
            <w:noWrap/>
            <w:vAlign w:val="center"/>
            <w:hideMark/>
          </w:tcPr>
          <w:p w14:paraId="11DA80EA" w14:textId="77777777" w:rsidR="007B76B6" w:rsidRPr="007B76B6" w:rsidRDefault="007B76B6" w:rsidP="00DA3F9B">
            <w:pPr>
              <w:pStyle w:val="Body"/>
              <w:spacing w:after="0"/>
              <w:rPr>
                <w:rFonts w:ascii="Arial" w:hAnsi="Arial" w:cs="Arial"/>
              </w:rPr>
            </w:pPr>
            <w:r w:rsidRPr="007B76B6">
              <w:rPr>
                <w:rFonts w:ascii="Arial" w:hAnsi="Arial" w:cs="Arial"/>
              </w:rPr>
              <w:t>X2.1</w:t>
            </w:r>
          </w:p>
        </w:tc>
        <w:tc>
          <w:tcPr>
            <w:tcW w:w="952" w:type="pct"/>
            <w:tcBorders>
              <w:top w:val="nil"/>
            </w:tcBorders>
            <w:shd w:val="clear" w:color="auto" w:fill="auto"/>
            <w:noWrap/>
            <w:vAlign w:val="center"/>
            <w:hideMark/>
          </w:tcPr>
          <w:p w14:paraId="06905173" w14:textId="09D471F5"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623</w:t>
            </w:r>
          </w:p>
        </w:tc>
        <w:tc>
          <w:tcPr>
            <w:tcW w:w="952" w:type="pct"/>
            <w:tcBorders>
              <w:top w:val="nil"/>
            </w:tcBorders>
            <w:shd w:val="clear" w:color="auto" w:fill="auto"/>
            <w:noWrap/>
            <w:vAlign w:val="center"/>
            <w:hideMark/>
          </w:tcPr>
          <w:p w14:paraId="69916458" w14:textId="2F9E2024" w:rsidR="007B76B6" w:rsidRPr="007B76B6" w:rsidRDefault="007B76B6" w:rsidP="00DA3F9B">
            <w:pPr>
              <w:pStyle w:val="Body"/>
              <w:spacing w:after="0"/>
              <w:rPr>
                <w:rFonts w:ascii="Arial" w:hAnsi="Arial" w:cs="Arial"/>
                <w:b/>
                <w:bCs/>
              </w:rPr>
            </w:pPr>
            <w:r w:rsidRPr="007B76B6">
              <w:rPr>
                <w:rFonts w:ascii="Arial" w:hAnsi="Arial" w:cs="Arial"/>
                <w:b/>
                <w:bCs/>
              </w:rPr>
              <w:t>0</w:t>
            </w:r>
            <w:r w:rsidR="003D12B6">
              <w:rPr>
                <w:rFonts w:ascii="Arial" w:hAnsi="Arial" w:cs="Arial"/>
                <w:b/>
                <w:bCs/>
              </w:rPr>
              <w:t>.</w:t>
            </w:r>
            <w:r w:rsidRPr="007B76B6">
              <w:rPr>
                <w:rFonts w:ascii="Arial" w:hAnsi="Arial" w:cs="Arial"/>
                <w:b/>
                <w:bCs/>
              </w:rPr>
              <w:t>885</w:t>
            </w:r>
          </w:p>
        </w:tc>
        <w:tc>
          <w:tcPr>
            <w:tcW w:w="952" w:type="pct"/>
            <w:tcBorders>
              <w:top w:val="nil"/>
            </w:tcBorders>
            <w:shd w:val="clear" w:color="auto" w:fill="auto"/>
            <w:noWrap/>
            <w:vAlign w:val="center"/>
            <w:hideMark/>
          </w:tcPr>
          <w:p w14:paraId="09C36D52" w14:textId="26951181"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661</w:t>
            </w:r>
          </w:p>
        </w:tc>
        <w:tc>
          <w:tcPr>
            <w:tcW w:w="950" w:type="pct"/>
            <w:tcBorders>
              <w:top w:val="nil"/>
            </w:tcBorders>
            <w:shd w:val="clear" w:color="auto" w:fill="auto"/>
            <w:noWrap/>
            <w:vAlign w:val="center"/>
            <w:hideMark/>
          </w:tcPr>
          <w:p w14:paraId="2945A51A" w14:textId="3EAF3A56"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645</w:t>
            </w:r>
          </w:p>
        </w:tc>
      </w:tr>
      <w:tr w:rsidR="007B76B6" w:rsidRPr="007B76B6" w14:paraId="50C51321" w14:textId="77777777" w:rsidTr="00DA3F9B">
        <w:trPr>
          <w:trHeight w:val="300"/>
        </w:trPr>
        <w:tc>
          <w:tcPr>
            <w:tcW w:w="1194" w:type="pct"/>
            <w:tcBorders>
              <w:top w:val="nil"/>
            </w:tcBorders>
            <w:shd w:val="clear" w:color="auto" w:fill="auto"/>
            <w:noWrap/>
            <w:vAlign w:val="center"/>
            <w:hideMark/>
          </w:tcPr>
          <w:p w14:paraId="5899A29D" w14:textId="77777777" w:rsidR="007B76B6" w:rsidRPr="007B76B6" w:rsidRDefault="007B76B6" w:rsidP="00DA3F9B">
            <w:pPr>
              <w:pStyle w:val="Body"/>
              <w:spacing w:after="0"/>
              <w:rPr>
                <w:rFonts w:ascii="Arial" w:hAnsi="Arial" w:cs="Arial"/>
              </w:rPr>
            </w:pPr>
            <w:r w:rsidRPr="007B76B6">
              <w:rPr>
                <w:rFonts w:ascii="Arial" w:hAnsi="Arial" w:cs="Arial"/>
              </w:rPr>
              <w:t>X2.2</w:t>
            </w:r>
          </w:p>
        </w:tc>
        <w:tc>
          <w:tcPr>
            <w:tcW w:w="952" w:type="pct"/>
            <w:tcBorders>
              <w:top w:val="nil"/>
            </w:tcBorders>
            <w:shd w:val="clear" w:color="auto" w:fill="auto"/>
            <w:noWrap/>
            <w:vAlign w:val="center"/>
            <w:hideMark/>
          </w:tcPr>
          <w:p w14:paraId="19005327" w14:textId="2308F158"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519</w:t>
            </w:r>
          </w:p>
        </w:tc>
        <w:tc>
          <w:tcPr>
            <w:tcW w:w="952" w:type="pct"/>
            <w:tcBorders>
              <w:top w:val="nil"/>
            </w:tcBorders>
            <w:shd w:val="clear" w:color="auto" w:fill="auto"/>
            <w:noWrap/>
            <w:vAlign w:val="center"/>
            <w:hideMark/>
          </w:tcPr>
          <w:p w14:paraId="3C82CB25" w14:textId="37A22625" w:rsidR="007B76B6" w:rsidRPr="007B76B6" w:rsidRDefault="007B76B6" w:rsidP="00DA3F9B">
            <w:pPr>
              <w:pStyle w:val="Body"/>
              <w:spacing w:after="0"/>
              <w:rPr>
                <w:rFonts w:ascii="Arial" w:hAnsi="Arial" w:cs="Arial"/>
                <w:b/>
                <w:bCs/>
              </w:rPr>
            </w:pPr>
            <w:r w:rsidRPr="007B76B6">
              <w:rPr>
                <w:rFonts w:ascii="Arial" w:hAnsi="Arial" w:cs="Arial"/>
                <w:b/>
                <w:bCs/>
              </w:rPr>
              <w:t>0</w:t>
            </w:r>
            <w:r w:rsidR="003D12B6">
              <w:rPr>
                <w:rFonts w:ascii="Arial" w:hAnsi="Arial" w:cs="Arial"/>
                <w:b/>
                <w:bCs/>
              </w:rPr>
              <w:t>.</w:t>
            </w:r>
            <w:r w:rsidRPr="007B76B6">
              <w:rPr>
                <w:rFonts w:ascii="Arial" w:hAnsi="Arial" w:cs="Arial"/>
                <w:b/>
                <w:bCs/>
              </w:rPr>
              <w:t>811</w:t>
            </w:r>
          </w:p>
        </w:tc>
        <w:tc>
          <w:tcPr>
            <w:tcW w:w="952" w:type="pct"/>
            <w:tcBorders>
              <w:top w:val="nil"/>
            </w:tcBorders>
            <w:shd w:val="clear" w:color="auto" w:fill="auto"/>
            <w:noWrap/>
            <w:vAlign w:val="center"/>
            <w:hideMark/>
          </w:tcPr>
          <w:p w14:paraId="00B82B54" w14:textId="69A68863"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514</w:t>
            </w:r>
          </w:p>
        </w:tc>
        <w:tc>
          <w:tcPr>
            <w:tcW w:w="950" w:type="pct"/>
            <w:tcBorders>
              <w:top w:val="nil"/>
            </w:tcBorders>
            <w:shd w:val="clear" w:color="auto" w:fill="auto"/>
            <w:noWrap/>
            <w:vAlign w:val="center"/>
            <w:hideMark/>
          </w:tcPr>
          <w:p w14:paraId="3462E3AC" w14:textId="71DB0349"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602</w:t>
            </w:r>
          </w:p>
        </w:tc>
      </w:tr>
      <w:tr w:rsidR="007B76B6" w:rsidRPr="007B76B6" w14:paraId="6D9B6927" w14:textId="77777777" w:rsidTr="00DA3F9B">
        <w:trPr>
          <w:trHeight w:val="300"/>
        </w:trPr>
        <w:tc>
          <w:tcPr>
            <w:tcW w:w="1194" w:type="pct"/>
            <w:tcBorders>
              <w:top w:val="nil"/>
            </w:tcBorders>
            <w:shd w:val="clear" w:color="auto" w:fill="auto"/>
            <w:noWrap/>
            <w:vAlign w:val="center"/>
            <w:hideMark/>
          </w:tcPr>
          <w:p w14:paraId="337BAF92" w14:textId="77777777" w:rsidR="007B76B6" w:rsidRPr="007B76B6" w:rsidRDefault="007B76B6" w:rsidP="00DA3F9B">
            <w:pPr>
              <w:pStyle w:val="Body"/>
              <w:spacing w:after="0"/>
              <w:rPr>
                <w:rFonts w:ascii="Arial" w:hAnsi="Arial" w:cs="Arial"/>
              </w:rPr>
            </w:pPr>
            <w:r w:rsidRPr="007B76B6">
              <w:rPr>
                <w:rFonts w:ascii="Arial" w:hAnsi="Arial" w:cs="Arial"/>
              </w:rPr>
              <w:t>X2.3</w:t>
            </w:r>
          </w:p>
        </w:tc>
        <w:tc>
          <w:tcPr>
            <w:tcW w:w="952" w:type="pct"/>
            <w:tcBorders>
              <w:top w:val="nil"/>
            </w:tcBorders>
            <w:shd w:val="clear" w:color="auto" w:fill="auto"/>
            <w:noWrap/>
            <w:vAlign w:val="center"/>
            <w:hideMark/>
          </w:tcPr>
          <w:p w14:paraId="2B0B3647" w14:textId="513D11AF"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545</w:t>
            </w:r>
          </w:p>
        </w:tc>
        <w:tc>
          <w:tcPr>
            <w:tcW w:w="952" w:type="pct"/>
            <w:tcBorders>
              <w:top w:val="nil"/>
            </w:tcBorders>
            <w:shd w:val="clear" w:color="auto" w:fill="auto"/>
            <w:noWrap/>
            <w:vAlign w:val="center"/>
            <w:hideMark/>
          </w:tcPr>
          <w:p w14:paraId="682E0B25" w14:textId="531E6E7D" w:rsidR="007B76B6" w:rsidRPr="007B76B6" w:rsidRDefault="007B76B6" w:rsidP="00DA3F9B">
            <w:pPr>
              <w:pStyle w:val="Body"/>
              <w:spacing w:after="0"/>
              <w:rPr>
                <w:rFonts w:ascii="Arial" w:hAnsi="Arial" w:cs="Arial"/>
                <w:b/>
                <w:bCs/>
              </w:rPr>
            </w:pPr>
            <w:r w:rsidRPr="007B76B6">
              <w:rPr>
                <w:rFonts w:ascii="Arial" w:hAnsi="Arial" w:cs="Arial"/>
                <w:b/>
                <w:bCs/>
              </w:rPr>
              <w:t>0</w:t>
            </w:r>
            <w:r w:rsidR="003D12B6">
              <w:rPr>
                <w:rFonts w:ascii="Arial" w:hAnsi="Arial" w:cs="Arial"/>
                <w:b/>
                <w:bCs/>
              </w:rPr>
              <w:t>.</w:t>
            </w:r>
            <w:r w:rsidRPr="007B76B6">
              <w:rPr>
                <w:rFonts w:ascii="Arial" w:hAnsi="Arial" w:cs="Arial"/>
                <w:b/>
                <w:bCs/>
              </w:rPr>
              <w:t>813</w:t>
            </w:r>
          </w:p>
        </w:tc>
        <w:tc>
          <w:tcPr>
            <w:tcW w:w="952" w:type="pct"/>
            <w:tcBorders>
              <w:top w:val="nil"/>
            </w:tcBorders>
            <w:shd w:val="clear" w:color="auto" w:fill="auto"/>
            <w:noWrap/>
            <w:vAlign w:val="center"/>
            <w:hideMark/>
          </w:tcPr>
          <w:p w14:paraId="496E83FA" w14:textId="73491697"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653</w:t>
            </w:r>
          </w:p>
        </w:tc>
        <w:tc>
          <w:tcPr>
            <w:tcW w:w="950" w:type="pct"/>
            <w:tcBorders>
              <w:top w:val="nil"/>
            </w:tcBorders>
            <w:shd w:val="clear" w:color="auto" w:fill="auto"/>
            <w:noWrap/>
            <w:vAlign w:val="center"/>
            <w:hideMark/>
          </w:tcPr>
          <w:p w14:paraId="2FC9D920" w14:textId="2230EF19"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663</w:t>
            </w:r>
          </w:p>
        </w:tc>
      </w:tr>
      <w:tr w:rsidR="007B76B6" w:rsidRPr="007B76B6" w14:paraId="218F3181" w14:textId="77777777" w:rsidTr="00DA3F9B">
        <w:trPr>
          <w:trHeight w:val="300"/>
        </w:trPr>
        <w:tc>
          <w:tcPr>
            <w:tcW w:w="1194" w:type="pct"/>
            <w:tcBorders>
              <w:top w:val="nil"/>
            </w:tcBorders>
            <w:shd w:val="clear" w:color="auto" w:fill="auto"/>
            <w:noWrap/>
            <w:vAlign w:val="center"/>
            <w:hideMark/>
          </w:tcPr>
          <w:p w14:paraId="7E1DF6C6" w14:textId="77777777" w:rsidR="007B76B6" w:rsidRPr="007B76B6" w:rsidRDefault="007B76B6" w:rsidP="00DA3F9B">
            <w:pPr>
              <w:pStyle w:val="Body"/>
              <w:spacing w:after="0"/>
              <w:rPr>
                <w:rFonts w:ascii="Arial" w:hAnsi="Arial" w:cs="Arial"/>
              </w:rPr>
            </w:pPr>
            <w:r w:rsidRPr="007B76B6">
              <w:rPr>
                <w:rFonts w:ascii="Arial" w:hAnsi="Arial" w:cs="Arial"/>
              </w:rPr>
              <w:t>X2.4</w:t>
            </w:r>
          </w:p>
        </w:tc>
        <w:tc>
          <w:tcPr>
            <w:tcW w:w="952" w:type="pct"/>
            <w:tcBorders>
              <w:top w:val="nil"/>
            </w:tcBorders>
            <w:shd w:val="clear" w:color="auto" w:fill="auto"/>
            <w:noWrap/>
            <w:vAlign w:val="center"/>
            <w:hideMark/>
          </w:tcPr>
          <w:p w14:paraId="5E9102A3" w14:textId="2DDA4E9C"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547</w:t>
            </w:r>
          </w:p>
        </w:tc>
        <w:tc>
          <w:tcPr>
            <w:tcW w:w="952" w:type="pct"/>
            <w:tcBorders>
              <w:top w:val="nil"/>
            </w:tcBorders>
            <w:shd w:val="clear" w:color="auto" w:fill="auto"/>
            <w:noWrap/>
            <w:vAlign w:val="center"/>
            <w:hideMark/>
          </w:tcPr>
          <w:p w14:paraId="7C1F1907" w14:textId="345EB4B9" w:rsidR="007B76B6" w:rsidRPr="007B76B6" w:rsidRDefault="007B76B6" w:rsidP="00DA3F9B">
            <w:pPr>
              <w:pStyle w:val="Body"/>
              <w:spacing w:after="0"/>
              <w:rPr>
                <w:rFonts w:ascii="Arial" w:hAnsi="Arial" w:cs="Arial"/>
                <w:b/>
                <w:bCs/>
              </w:rPr>
            </w:pPr>
            <w:r w:rsidRPr="007B76B6">
              <w:rPr>
                <w:rFonts w:ascii="Arial" w:hAnsi="Arial" w:cs="Arial"/>
                <w:b/>
                <w:bCs/>
              </w:rPr>
              <w:t>0</w:t>
            </w:r>
            <w:r w:rsidR="003D12B6">
              <w:rPr>
                <w:rFonts w:ascii="Arial" w:hAnsi="Arial" w:cs="Arial"/>
                <w:b/>
                <w:bCs/>
              </w:rPr>
              <w:t>.</w:t>
            </w:r>
            <w:r w:rsidRPr="007B76B6">
              <w:rPr>
                <w:rFonts w:ascii="Arial" w:hAnsi="Arial" w:cs="Arial"/>
                <w:b/>
                <w:bCs/>
              </w:rPr>
              <w:t>882</w:t>
            </w:r>
          </w:p>
        </w:tc>
        <w:tc>
          <w:tcPr>
            <w:tcW w:w="952" w:type="pct"/>
            <w:tcBorders>
              <w:top w:val="nil"/>
            </w:tcBorders>
            <w:shd w:val="clear" w:color="auto" w:fill="auto"/>
            <w:noWrap/>
            <w:vAlign w:val="center"/>
            <w:hideMark/>
          </w:tcPr>
          <w:p w14:paraId="50101E5F" w14:textId="50EF1AC9"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578</w:t>
            </w:r>
          </w:p>
        </w:tc>
        <w:tc>
          <w:tcPr>
            <w:tcW w:w="950" w:type="pct"/>
            <w:tcBorders>
              <w:top w:val="nil"/>
            </w:tcBorders>
            <w:shd w:val="clear" w:color="auto" w:fill="auto"/>
            <w:noWrap/>
            <w:vAlign w:val="center"/>
            <w:hideMark/>
          </w:tcPr>
          <w:p w14:paraId="156A1408" w14:textId="52ACA9E9"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579</w:t>
            </w:r>
          </w:p>
        </w:tc>
      </w:tr>
      <w:tr w:rsidR="007B76B6" w:rsidRPr="007B76B6" w14:paraId="0EDB1A7E" w14:textId="77777777" w:rsidTr="00DA3F9B">
        <w:trPr>
          <w:trHeight w:val="300"/>
        </w:trPr>
        <w:tc>
          <w:tcPr>
            <w:tcW w:w="1194" w:type="pct"/>
            <w:tcBorders>
              <w:top w:val="nil"/>
            </w:tcBorders>
            <w:shd w:val="clear" w:color="auto" w:fill="auto"/>
            <w:noWrap/>
            <w:vAlign w:val="center"/>
            <w:hideMark/>
          </w:tcPr>
          <w:p w14:paraId="0D6AD6FE" w14:textId="77777777" w:rsidR="007B76B6" w:rsidRPr="007B76B6" w:rsidRDefault="007B76B6" w:rsidP="00DA3F9B">
            <w:pPr>
              <w:pStyle w:val="Body"/>
              <w:spacing w:after="0"/>
              <w:rPr>
                <w:rFonts w:ascii="Arial" w:hAnsi="Arial" w:cs="Arial"/>
              </w:rPr>
            </w:pPr>
            <w:r w:rsidRPr="007B76B6">
              <w:rPr>
                <w:rFonts w:ascii="Arial" w:hAnsi="Arial" w:cs="Arial"/>
              </w:rPr>
              <w:t>X2.5</w:t>
            </w:r>
          </w:p>
        </w:tc>
        <w:tc>
          <w:tcPr>
            <w:tcW w:w="952" w:type="pct"/>
            <w:tcBorders>
              <w:top w:val="nil"/>
            </w:tcBorders>
            <w:shd w:val="clear" w:color="auto" w:fill="auto"/>
            <w:noWrap/>
            <w:vAlign w:val="center"/>
            <w:hideMark/>
          </w:tcPr>
          <w:p w14:paraId="56C6796E" w14:textId="0F512468"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550</w:t>
            </w:r>
          </w:p>
        </w:tc>
        <w:tc>
          <w:tcPr>
            <w:tcW w:w="952" w:type="pct"/>
            <w:tcBorders>
              <w:top w:val="nil"/>
            </w:tcBorders>
            <w:shd w:val="clear" w:color="auto" w:fill="auto"/>
            <w:noWrap/>
            <w:vAlign w:val="center"/>
            <w:hideMark/>
          </w:tcPr>
          <w:p w14:paraId="172D62C8" w14:textId="736528A9" w:rsidR="007B76B6" w:rsidRPr="007B76B6" w:rsidRDefault="007B76B6" w:rsidP="00DA3F9B">
            <w:pPr>
              <w:pStyle w:val="Body"/>
              <w:spacing w:after="0"/>
              <w:rPr>
                <w:rFonts w:ascii="Arial" w:hAnsi="Arial" w:cs="Arial"/>
                <w:b/>
                <w:bCs/>
              </w:rPr>
            </w:pPr>
            <w:r w:rsidRPr="007B76B6">
              <w:rPr>
                <w:rFonts w:ascii="Arial" w:hAnsi="Arial" w:cs="Arial"/>
                <w:b/>
                <w:bCs/>
              </w:rPr>
              <w:t>0</w:t>
            </w:r>
            <w:r w:rsidR="003D12B6">
              <w:rPr>
                <w:rFonts w:ascii="Arial" w:hAnsi="Arial" w:cs="Arial"/>
                <w:b/>
                <w:bCs/>
              </w:rPr>
              <w:t>.</w:t>
            </w:r>
            <w:r w:rsidRPr="007B76B6">
              <w:rPr>
                <w:rFonts w:ascii="Arial" w:hAnsi="Arial" w:cs="Arial"/>
                <w:b/>
                <w:bCs/>
              </w:rPr>
              <w:t>803</w:t>
            </w:r>
          </w:p>
        </w:tc>
        <w:tc>
          <w:tcPr>
            <w:tcW w:w="952" w:type="pct"/>
            <w:tcBorders>
              <w:top w:val="nil"/>
            </w:tcBorders>
            <w:shd w:val="clear" w:color="auto" w:fill="auto"/>
            <w:noWrap/>
            <w:vAlign w:val="center"/>
            <w:hideMark/>
          </w:tcPr>
          <w:p w14:paraId="433342C3" w14:textId="47C3E06F"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538</w:t>
            </w:r>
          </w:p>
        </w:tc>
        <w:tc>
          <w:tcPr>
            <w:tcW w:w="950" w:type="pct"/>
            <w:tcBorders>
              <w:top w:val="nil"/>
            </w:tcBorders>
            <w:shd w:val="clear" w:color="auto" w:fill="auto"/>
            <w:noWrap/>
            <w:vAlign w:val="center"/>
            <w:hideMark/>
          </w:tcPr>
          <w:p w14:paraId="2094FDD8" w14:textId="6B8F9B17"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612</w:t>
            </w:r>
          </w:p>
        </w:tc>
      </w:tr>
      <w:tr w:rsidR="007B76B6" w:rsidRPr="007B76B6" w14:paraId="1A3A94CC" w14:textId="77777777" w:rsidTr="00DA3F9B">
        <w:trPr>
          <w:trHeight w:val="300"/>
        </w:trPr>
        <w:tc>
          <w:tcPr>
            <w:tcW w:w="1194" w:type="pct"/>
            <w:tcBorders>
              <w:top w:val="nil"/>
            </w:tcBorders>
            <w:shd w:val="clear" w:color="auto" w:fill="auto"/>
            <w:noWrap/>
            <w:vAlign w:val="center"/>
            <w:hideMark/>
          </w:tcPr>
          <w:p w14:paraId="06941125" w14:textId="77777777" w:rsidR="007B76B6" w:rsidRPr="007B76B6" w:rsidRDefault="007B76B6" w:rsidP="00DA3F9B">
            <w:pPr>
              <w:pStyle w:val="Body"/>
              <w:spacing w:after="0"/>
              <w:rPr>
                <w:rFonts w:ascii="Arial" w:hAnsi="Arial" w:cs="Arial"/>
              </w:rPr>
            </w:pPr>
            <w:r w:rsidRPr="007B76B6">
              <w:rPr>
                <w:rFonts w:ascii="Arial" w:hAnsi="Arial" w:cs="Arial"/>
              </w:rPr>
              <w:t>X3.1</w:t>
            </w:r>
          </w:p>
        </w:tc>
        <w:tc>
          <w:tcPr>
            <w:tcW w:w="952" w:type="pct"/>
            <w:tcBorders>
              <w:top w:val="nil"/>
            </w:tcBorders>
            <w:shd w:val="clear" w:color="auto" w:fill="auto"/>
            <w:noWrap/>
            <w:vAlign w:val="center"/>
            <w:hideMark/>
          </w:tcPr>
          <w:p w14:paraId="796262D9" w14:textId="7C4EDE1D"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656</w:t>
            </w:r>
          </w:p>
        </w:tc>
        <w:tc>
          <w:tcPr>
            <w:tcW w:w="952" w:type="pct"/>
            <w:tcBorders>
              <w:top w:val="nil"/>
            </w:tcBorders>
            <w:shd w:val="clear" w:color="auto" w:fill="auto"/>
            <w:noWrap/>
            <w:vAlign w:val="center"/>
            <w:hideMark/>
          </w:tcPr>
          <w:p w14:paraId="4E7717B1" w14:textId="784476D2"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578</w:t>
            </w:r>
          </w:p>
        </w:tc>
        <w:tc>
          <w:tcPr>
            <w:tcW w:w="952" w:type="pct"/>
            <w:tcBorders>
              <w:top w:val="nil"/>
            </w:tcBorders>
            <w:shd w:val="clear" w:color="auto" w:fill="auto"/>
            <w:noWrap/>
            <w:vAlign w:val="center"/>
            <w:hideMark/>
          </w:tcPr>
          <w:p w14:paraId="49D4BAB1" w14:textId="13FF13AA" w:rsidR="007B76B6" w:rsidRPr="007B76B6" w:rsidRDefault="007B76B6" w:rsidP="00DA3F9B">
            <w:pPr>
              <w:pStyle w:val="Body"/>
              <w:spacing w:after="0"/>
              <w:rPr>
                <w:rFonts w:ascii="Arial" w:hAnsi="Arial" w:cs="Arial"/>
                <w:b/>
                <w:bCs/>
              </w:rPr>
            </w:pPr>
            <w:r w:rsidRPr="007B76B6">
              <w:rPr>
                <w:rFonts w:ascii="Arial" w:hAnsi="Arial" w:cs="Arial"/>
                <w:b/>
                <w:bCs/>
              </w:rPr>
              <w:t>0</w:t>
            </w:r>
            <w:r w:rsidR="003D12B6">
              <w:rPr>
                <w:rFonts w:ascii="Arial" w:hAnsi="Arial" w:cs="Arial"/>
                <w:b/>
                <w:bCs/>
              </w:rPr>
              <w:t>.</w:t>
            </w:r>
            <w:r w:rsidRPr="007B76B6">
              <w:rPr>
                <w:rFonts w:ascii="Arial" w:hAnsi="Arial" w:cs="Arial"/>
                <w:b/>
                <w:bCs/>
              </w:rPr>
              <w:t>842</w:t>
            </w:r>
          </w:p>
        </w:tc>
        <w:tc>
          <w:tcPr>
            <w:tcW w:w="950" w:type="pct"/>
            <w:tcBorders>
              <w:top w:val="nil"/>
            </w:tcBorders>
            <w:shd w:val="clear" w:color="auto" w:fill="auto"/>
            <w:noWrap/>
            <w:vAlign w:val="center"/>
            <w:hideMark/>
          </w:tcPr>
          <w:p w14:paraId="010AE688" w14:textId="56FCF04A"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613</w:t>
            </w:r>
          </w:p>
        </w:tc>
      </w:tr>
      <w:tr w:rsidR="007B76B6" w:rsidRPr="007B76B6" w14:paraId="6F28BE85" w14:textId="77777777" w:rsidTr="00DA3F9B">
        <w:trPr>
          <w:trHeight w:val="300"/>
        </w:trPr>
        <w:tc>
          <w:tcPr>
            <w:tcW w:w="1194" w:type="pct"/>
            <w:tcBorders>
              <w:top w:val="nil"/>
            </w:tcBorders>
            <w:shd w:val="clear" w:color="auto" w:fill="auto"/>
            <w:noWrap/>
            <w:vAlign w:val="center"/>
            <w:hideMark/>
          </w:tcPr>
          <w:p w14:paraId="546B2216" w14:textId="77777777" w:rsidR="007B76B6" w:rsidRPr="007B76B6" w:rsidRDefault="007B76B6" w:rsidP="00DA3F9B">
            <w:pPr>
              <w:pStyle w:val="Body"/>
              <w:spacing w:after="0"/>
              <w:rPr>
                <w:rFonts w:ascii="Arial" w:hAnsi="Arial" w:cs="Arial"/>
              </w:rPr>
            </w:pPr>
            <w:r w:rsidRPr="007B76B6">
              <w:rPr>
                <w:rFonts w:ascii="Arial" w:hAnsi="Arial" w:cs="Arial"/>
              </w:rPr>
              <w:t>X3.2</w:t>
            </w:r>
          </w:p>
        </w:tc>
        <w:tc>
          <w:tcPr>
            <w:tcW w:w="952" w:type="pct"/>
            <w:tcBorders>
              <w:top w:val="nil"/>
            </w:tcBorders>
            <w:shd w:val="clear" w:color="auto" w:fill="auto"/>
            <w:noWrap/>
            <w:vAlign w:val="center"/>
            <w:hideMark/>
          </w:tcPr>
          <w:p w14:paraId="2D079261" w14:textId="1EAFB7ED"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614</w:t>
            </w:r>
          </w:p>
        </w:tc>
        <w:tc>
          <w:tcPr>
            <w:tcW w:w="952" w:type="pct"/>
            <w:tcBorders>
              <w:top w:val="nil"/>
            </w:tcBorders>
            <w:shd w:val="clear" w:color="auto" w:fill="auto"/>
            <w:noWrap/>
            <w:vAlign w:val="center"/>
            <w:hideMark/>
          </w:tcPr>
          <w:p w14:paraId="16875015" w14:textId="02B3D71C"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681</w:t>
            </w:r>
          </w:p>
        </w:tc>
        <w:tc>
          <w:tcPr>
            <w:tcW w:w="952" w:type="pct"/>
            <w:tcBorders>
              <w:top w:val="nil"/>
            </w:tcBorders>
            <w:shd w:val="clear" w:color="auto" w:fill="auto"/>
            <w:noWrap/>
            <w:vAlign w:val="center"/>
            <w:hideMark/>
          </w:tcPr>
          <w:p w14:paraId="6017FBFC" w14:textId="3D22156A" w:rsidR="007B76B6" w:rsidRPr="007B76B6" w:rsidRDefault="007B76B6" w:rsidP="00DA3F9B">
            <w:pPr>
              <w:pStyle w:val="Body"/>
              <w:spacing w:after="0"/>
              <w:rPr>
                <w:rFonts w:ascii="Arial" w:hAnsi="Arial" w:cs="Arial"/>
                <w:b/>
                <w:bCs/>
              </w:rPr>
            </w:pPr>
            <w:r w:rsidRPr="007B76B6">
              <w:rPr>
                <w:rFonts w:ascii="Arial" w:hAnsi="Arial" w:cs="Arial"/>
                <w:b/>
                <w:bCs/>
              </w:rPr>
              <w:t>0</w:t>
            </w:r>
            <w:r w:rsidR="003D12B6">
              <w:rPr>
                <w:rFonts w:ascii="Arial" w:hAnsi="Arial" w:cs="Arial"/>
                <w:b/>
                <w:bCs/>
              </w:rPr>
              <w:t>.</w:t>
            </w:r>
            <w:r w:rsidRPr="007B76B6">
              <w:rPr>
                <w:rFonts w:ascii="Arial" w:hAnsi="Arial" w:cs="Arial"/>
                <w:b/>
                <w:bCs/>
              </w:rPr>
              <w:t>817</w:t>
            </w:r>
          </w:p>
        </w:tc>
        <w:tc>
          <w:tcPr>
            <w:tcW w:w="950" w:type="pct"/>
            <w:tcBorders>
              <w:top w:val="nil"/>
            </w:tcBorders>
            <w:shd w:val="clear" w:color="auto" w:fill="auto"/>
            <w:noWrap/>
            <w:vAlign w:val="center"/>
            <w:hideMark/>
          </w:tcPr>
          <w:p w14:paraId="132AE1E5" w14:textId="0CD58F96"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656</w:t>
            </w:r>
          </w:p>
        </w:tc>
      </w:tr>
      <w:tr w:rsidR="007B76B6" w:rsidRPr="007B76B6" w14:paraId="31280F1C" w14:textId="77777777" w:rsidTr="00DA3F9B">
        <w:trPr>
          <w:trHeight w:val="300"/>
        </w:trPr>
        <w:tc>
          <w:tcPr>
            <w:tcW w:w="1194" w:type="pct"/>
            <w:tcBorders>
              <w:top w:val="nil"/>
            </w:tcBorders>
            <w:shd w:val="clear" w:color="auto" w:fill="auto"/>
            <w:noWrap/>
            <w:vAlign w:val="center"/>
            <w:hideMark/>
          </w:tcPr>
          <w:p w14:paraId="0921D43A" w14:textId="77777777" w:rsidR="007B76B6" w:rsidRPr="007B76B6" w:rsidRDefault="007B76B6" w:rsidP="00DA3F9B">
            <w:pPr>
              <w:pStyle w:val="Body"/>
              <w:spacing w:after="0"/>
              <w:rPr>
                <w:rFonts w:ascii="Arial" w:hAnsi="Arial" w:cs="Arial"/>
              </w:rPr>
            </w:pPr>
            <w:r w:rsidRPr="007B76B6">
              <w:rPr>
                <w:rFonts w:ascii="Arial" w:hAnsi="Arial" w:cs="Arial"/>
              </w:rPr>
              <w:t>X3.3</w:t>
            </w:r>
          </w:p>
        </w:tc>
        <w:tc>
          <w:tcPr>
            <w:tcW w:w="952" w:type="pct"/>
            <w:tcBorders>
              <w:top w:val="nil"/>
            </w:tcBorders>
            <w:shd w:val="clear" w:color="auto" w:fill="auto"/>
            <w:noWrap/>
            <w:vAlign w:val="center"/>
            <w:hideMark/>
          </w:tcPr>
          <w:p w14:paraId="71D77BBA" w14:textId="1DCB0892"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631</w:t>
            </w:r>
          </w:p>
        </w:tc>
        <w:tc>
          <w:tcPr>
            <w:tcW w:w="952" w:type="pct"/>
            <w:tcBorders>
              <w:top w:val="nil"/>
            </w:tcBorders>
            <w:shd w:val="clear" w:color="auto" w:fill="auto"/>
            <w:noWrap/>
            <w:vAlign w:val="center"/>
            <w:hideMark/>
          </w:tcPr>
          <w:p w14:paraId="72B2736C" w14:textId="5D917C3D"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570</w:t>
            </w:r>
          </w:p>
        </w:tc>
        <w:tc>
          <w:tcPr>
            <w:tcW w:w="952" w:type="pct"/>
            <w:tcBorders>
              <w:top w:val="nil"/>
            </w:tcBorders>
            <w:shd w:val="clear" w:color="auto" w:fill="auto"/>
            <w:noWrap/>
            <w:vAlign w:val="center"/>
            <w:hideMark/>
          </w:tcPr>
          <w:p w14:paraId="4302E2F5" w14:textId="1D0B0B11" w:rsidR="007B76B6" w:rsidRPr="007B76B6" w:rsidRDefault="007B76B6" w:rsidP="00DA3F9B">
            <w:pPr>
              <w:pStyle w:val="Body"/>
              <w:spacing w:after="0"/>
              <w:rPr>
                <w:rFonts w:ascii="Arial" w:hAnsi="Arial" w:cs="Arial"/>
                <w:b/>
                <w:bCs/>
              </w:rPr>
            </w:pPr>
            <w:r w:rsidRPr="007B76B6">
              <w:rPr>
                <w:rFonts w:ascii="Arial" w:hAnsi="Arial" w:cs="Arial"/>
                <w:b/>
                <w:bCs/>
              </w:rPr>
              <w:t>0</w:t>
            </w:r>
            <w:r w:rsidR="003D12B6">
              <w:rPr>
                <w:rFonts w:ascii="Arial" w:hAnsi="Arial" w:cs="Arial"/>
                <w:b/>
                <w:bCs/>
              </w:rPr>
              <w:t>.</w:t>
            </w:r>
            <w:r w:rsidRPr="007B76B6">
              <w:rPr>
                <w:rFonts w:ascii="Arial" w:hAnsi="Arial" w:cs="Arial"/>
                <w:b/>
                <w:bCs/>
              </w:rPr>
              <w:t>858</w:t>
            </w:r>
          </w:p>
        </w:tc>
        <w:tc>
          <w:tcPr>
            <w:tcW w:w="950" w:type="pct"/>
            <w:tcBorders>
              <w:top w:val="nil"/>
            </w:tcBorders>
            <w:shd w:val="clear" w:color="auto" w:fill="auto"/>
            <w:noWrap/>
            <w:vAlign w:val="center"/>
            <w:hideMark/>
          </w:tcPr>
          <w:p w14:paraId="60C99A0F" w14:textId="5E4FCD44"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685</w:t>
            </w:r>
          </w:p>
        </w:tc>
      </w:tr>
      <w:tr w:rsidR="007B76B6" w:rsidRPr="007B76B6" w14:paraId="5C7CA15A" w14:textId="77777777" w:rsidTr="00DA3F9B">
        <w:trPr>
          <w:trHeight w:val="300"/>
        </w:trPr>
        <w:tc>
          <w:tcPr>
            <w:tcW w:w="1194" w:type="pct"/>
            <w:tcBorders>
              <w:top w:val="nil"/>
              <w:bottom w:val="single" w:sz="4" w:space="0" w:color="auto"/>
            </w:tcBorders>
            <w:shd w:val="clear" w:color="auto" w:fill="auto"/>
            <w:noWrap/>
            <w:vAlign w:val="center"/>
            <w:hideMark/>
          </w:tcPr>
          <w:p w14:paraId="68D880F5" w14:textId="77777777" w:rsidR="007B76B6" w:rsidRPr="007B76B6" w:rsidRDefault="007B76B6" w:rsidP="00DA3F9B">
            <w:pPr>
              <w:pStyle w:val="Body"/>
              <w:spacing w:after="0"/>
              <w:rPr>
                <w:rFonts w:ascii="Arial" w:hAnsi="Arial" w:cs="Arial"/>
              </w:rPr>
            </w:pPr>
            <w:r w:rsidRPr="007B76B6">
              <w:rPr>
                <w:rFonts w:ascii="Arial" w:hAnsi="Arial" w:cs="Arial"/>
              </w:rPr>
              <w:t>X3.4</w:t>
            </w:r>
          </w:p>
        </w:tc>
        <w:tc>
          <w:tcPr>
            <w:tcW w:w="952" w:type="pct"/>
            <w:tcBorders>
              <w:top w:val="nil"/>
              <w:bottom w:val="single" w:sz="4" w:space="0" w:color="auto"/>
            </w:tcBorders>
            <w:shd w:val="clear" w:color="auto" w:fill="auto"/>
            <w:noWrap/>
            <w:vAlign w:val="center"/>
            <w:hideMark/>
          </w:tcPr>
          <w:p w14:paraId="54D82466" w14:textId="4CA347A0"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584</w:t>
            </w:r>
          </w:p>
        </w:tc>
        <w:tc>
          <w:tcPr>
            <w:tcW w:w="952" w:type="pct"/>
            <w:tcBorders>
              <w:top w:val="nil"/>
              <w:bottom w:val="single" w:sz="4" w:space="0" w:color="auto"/>
            </w:tcBorders>
            <w:shd w:val="clear" w:color="auto" w:fill="auto"/>
            <w:noWrap/>
            <w:vAlign w:val="center"/>
            <w:hideMark/>
          </w:tcPr>
          <w:p w14:paraId="02F93E64" w14:textId="22791943"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560</w:t>
            </w:r>
          </w:p>
        </w:tc>
        <w:tc>
          <w:tcPr>
            <w:tcW w:w="952" w:type="pct"/>
            <w:tcBorders>
              <w:top w:val="nil"/>
              <w:bottom w:val="single" w:sz="4" w:space="0" w:color="auto"/>
            </w:tcBorders>
            <w:shd w:val="clear" w:color="auto" w:fill="auto"/>
            <w:noWrap/>
            <w:vAlign w:val="center"/>
            <w:hideMark/>
          </w:tcPr>
          <w:p w14:paraId="2EDB33EF" w14:textId="75A403F4" w:rsidR="007B76B6" w:rsidRPr="007B76B6" w:rsidRDefault="007B76B6" w:rsidP="00DA3F9B">
            <w:pPr>
              <w:pStyle w:val="Body"/>
              <w:spacing w:after="0"/>
              <w:rPr>
                <w:rFonts w:ascii="Arial" w:hAnsi="Arial" w:cs="Arial"/>
                <w:b/>
                <w:bCs/>
              </w:rPr>
            </w:pPr>
            <w:r w:rsidRPr="007B76B6">
              <w:rPr>
                <w:rFonts w:ascii="Arial" w:hAnsi="Arial" w:cs="Arial"/>
                <w:b/>
                <w:bCs/>
              </w:rPr>
              <w:t>0</w:t>
            </w:r>
            <w:r w:rsidR="003D12B6">
              <w:rPr>
                <w:rFonts w:ascii="Arial" w:hAnsi="Arial" w:cs="Arial"/>
                <w:b/>
                <w:bCs/>
              </w:rPr>
              <w:t>.</w:t>
            </w:r>
            <w:r w:rsidRPr="007B76B6">
              <w:rPr>
                <w:rFonts w:ascii="Arial" w:hAnsi="Arial" w:cs="Arial"/>
                <w:b/>
                <w:bCs/>
              </w:rPr>
              <w:t>868</w:t>
            </w:r>
          </w:p>
        </w:tc>
        <w:tc>
          <w:tcPr>
            <w:tcW w:w="950" w:type="pct"/>
            <w:tcBorders>
              <w:top w:val="nil"/>
              <w:bottom w:val="single" w:sz="4" w:space="0" w:color="auto"/>
            </w:tcBorders>
            <w:shd w:val="clear" w:color="auto" w:fill="auto"/>
            <w:noWrap/>
            <w:vAlign w:val="center"/>
            <w:hideMark/>
          </w:tcPr>
          <w:p w14:paraId="2A6414BF" w14:textId="0516830D" w:rsidR="007B76B6" w:rsidRPr="007B76B6" w:rsidRDefault="007B76B6" w:rsidP="00DA3F9B">
            <w:pPr>
              <w:pStyle w:val="Body"/>
              <w:spacing w:after="0"/>
              <w:rPr>
                <w:rFonts w:ascii="Arial" w:hAnsi="Arial" w:cs="Arial"/>
              </w:rPr>
            </w:pPr>
            <w:r w:rsidRPr="007B76B6">
              <w:rPr>
                <w:rFonts w:ascii="Arial" w:hAnsi="Arial" w:cs="Arial"/>
              </w:rPr>
              <w:t>0</w:t>
            </w:r>
            <w:r w:rsidR="003D12B6">
              <w:rPr>
                <w:rFonts w:ascii="Arial" w:hAnsi="Arial" w:cs="Arial"/>
              </w:rPr>
              <w:t>.</w:t>
            </w:r>
            <w:r w:rsidRPr="007B76B6">
              <w:rPr>
                <w:rFonts w:ascii="Arial" w:hAnsi="Arial" w:cs="Arial"/>
              </w:rPr>
              <w:t>673</w:t>
            </w:r>
          </w:p>
        </w:tc>
      </w:tr>
    </w:tbl>
    <w:p w14:paraId="3446DBDA"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1D6D1217" w14:textId="77777777" w:rsidR="007B76B6" w:rsidRPr="007B76B6" w:rsidRDefault="007B76B6" w:rsidP="00FF03D9">
      <w:pPr>
        <w:pStyle w:val="Body"/>
        <w:ind w:left="709"/>
        <w:rPr>
          <w:rFonts w:ascii="Arial" w:hAnsi="Arial" w:cs="Arial"/>
        </w:rPr>
      </w:pPr>
      <w:r w:rsidRPr="007B76B6">
        <w:rPr>
          <w:rFonts w:ascii="Arial" w:hAnsi="Arial" w:cs="Arial"/>
        </w:rPr>
        <w:t xml:space="preserve">Based on table 5, it can be concluded that each indicator has a higher correlation with the latent variable that should be measured than with other latent variables. This can be seen from the loading factor value of each indicator which is greater on the corresponding latent variable, such as indicators X1.1, X1.2, and X1.3 which </w:t>
      </w:r>
      <w:r w:rsidRPr="007B76B6">
        <w:rPr>
          <w:rFonts w:ascii="Arial" w:hAnsi="Arial" w:cs="Arial"/>
        </w:rPr>
        <w:lastRenderedPageBreak/>
        <w:t>have the highest correlation with Learning Independence (X1), indicators X2.1, X2.2, X2.3, X2.4, and X2.5 which most strongly measure Learning Facilities (X2), indicators X3.1, X3.2, X3.3, and X3.4 which are most correlated with Learning Motivation (X3), and indicator Y which is most closely related to Learning Outcomes (Y).</w:t>
      </w:r>
    </w:p>
    <w:p w14:paraId="7C5BB24D" w14:textId="77777777" w:rsidR="007B76B6" w:rsidRPr="007B76B6" w:rsidRDefault="007B76B6" w:rsidP="00FF03D9">
      <w:pPr>
        <w:pStyle w:val="Body"/>
        <w:ind w:left="709"/>
        <w:rPr>
          <w:rFonts w:ascii="Arial" w:hAnsi="Arial" w:cs="Arial"/>
        </w:rPr>
      </w:pPr>
      <w:r w:rsidRPr="007B76B6">
        <w:rPr>
          <w:rFonts w:ascii="Arial" w:hAnsi="Arial" w:cs="Arial"/>
        </w:rPr>
        <w:t>Discriminant Validity is fulfilled because no indicator has a higher loading factor on another latent variable. In other words, each indicator exclusively measures the latent variable in question without overlapping with other latent variables. This indicates that this research model has good discrimination between latent variables, so it can be used for further analysis.</w:t>
      </w:r>
    </w:p>
    <w:p w14:paraId="64D42BC8" w14:textId="77777777" w:rsidR="00FF03D9" w:rsidRPr="00FF03D9" w:rsidRDefault="00FF03D9" w:rsidP="00FF03D9">
      <w:pPr>
        <w:pStyle w:val="Body"/>
        <w:numPr>
          <w:ilvl w:val="0"/>
          <w:numId w:val="32"/>
        </w:numPr>
        <w:rPr>
          <w:rFonts w:ascii="Arial" w:hAnsi="Arial" w:cs="Arial"/>
        </w:rPr>
      </w:pPr>
      <w:r w:rsidRPr="00FF03D9">
        <w:rPr>
          <w:rFonts w:ascii="Arial" w:hAnsi="Arial" w:cs="Arial"/>
        </w:rPr>
        <w:t>Reliability</w:t>
      </w:r>
    </w:p>
    <w:p w14:paraId="3AA08294" w14:textId="77777777" w:rsidR="00FF03D9" w:rsidRDefault="00FF03D9" w:rsidP="00FF03D9">
      <w:pPr>
        <w:pStyle w:val="Body"/>
        <w:ind w:left="709"/>
        <w:rPr>
          <w:rFonts w:ascii="Arial" w:hAnsi="Arial" w:cs="Arial"/>
        </w:rPr>
      </w:pPr>
      <w:r w:rsidRPr="00FF03D9">
        <w:rPr>
          <w:rFonts w:ascii="Arial" w:hAnsi="Arial" w:cs="Arial"/>
        </w:rPr>
        <w:t>Reliability was tested using Cronbach's Alpha and Composite Reliability. The following are the test results:</w:t>
      </w:r>
    </w:p>
    <w:p w14:paraId="3ABE4953" w14:textId="77777777" w:rsidR="00FF03D9" w:rsidRPr="00DA3F9B" w:rsidRDefault="00FF03D9" w:rsidP="00FF03D9">
      <w:pPr>
        <w:pStyle w:val="Body"/>
        <w:rPr>
          <w:rFonts w:ascii="Arial" w:hAnsi="Arial" w:cs="Arial"/>
          <w:b/>
        </w:rPr>
      </w:pPr>
      <w:r w:rsidRPr="00DA3F9B">
        <w:rPr>
          <w:rFonts w:ascii="Arial" w:hAnsi="Arial" w:cs="Arial"/>
          <w:b/>
        </w:rPr>
        <w:t>Table 6. Reliability Test Results</w:t>
      </w:r>
    </w:p>
    <w:tbl>
      <w:tblPr>
        <w:tblW w:w="5000" w:type="pct"/>
        <w:tblLayout w:type="fixed"/>
        <w:tblLook w:val="04A0" w:firstRow="1" w:lastRow="0" w:firstColumn="1" w:lastColumn="0" w:noHBand="0" w:noVBand="1"/>
      </w:tblPr>
      <w:tblGrid>
        <w:gridCol w:w="1816"/>
        <w:gridCol w:w="2139"/>
        <w:gridCol w:w="1218"/>
        <w:gridCol w:w="2139"/>
        <w:gridCol w:w="3704"/>
      </w:tblGrid>
      <w:tr w:rsidR="00FF03D9" w:rsidRPr="00FF03D9" w14:paraId="1C95B04B" w14:textId="77777777" w:rsidTr="00DA3F9B">
        <w:trPr>
          <w:trHeight w:val="300"/>
        </w:trPr>
        <w:tc>
          <w:tcPr>
            <w:tcW w:w="824" w:type="pct"/>
            <w:tcBorders>
              <w:top w:val="single" w:sz="4" w:space="0" w:color="auto"/>
              <w:bottom w:val="single" w:sz="4" w:space="0" w:color="auto"/>
            </w:tcBorders>
            <w:shd w:val="clear" w:color="auto" w:fill="auto"/>
            <w:noWrap/>
            <w:vAlign w:val="center"/>
            <w:hideMark/>
          </w:tcPr>
          <w:p w14:paraId="310FBBA9" w14:textId="7C8725AB" w:rsidR="00FF03D9" w:rsidRPr="00FF03D9" w:rsidRDefault="00D95D0B" w:rsidP="006148B1">
            <w:pPr>
              <w:pStyle w:val="Body"/>
              <w:spacing w:after="0"/>
              <w:jc w:val="center"/>
              <w:rPr>
                <w:rFonts w:ascii="Arial" w:hAnsi="Arial" w:cs="Arial"/>
                <w:b/>
                <w:bCs/>
              </w:rPr>
            </w:pPr>
            <w:r w:rsidRPr="00D95D0B">
              <w:rPr>
                <w:rFonts w:ascii="Arial" w:hAnsi="Arial" w:cs="Arial"/>
                <w:b/>
                <w:bCs/>
              </w:rPr>
              <w:t>Variable Let</w:t>
            </w:r>
          </w:p>
        </w:tc>
        <w:tc>
          <w:tcPr>
            <w:tcW w:w="971" w:type="pct"/>
            <w:tcBorders>
              <w:top w:val="single" w:sz="4" w:space="0" w:color="auto"/>
              <w:bottom w:val="single" w:sz="4" w:space="0" w:color="auto"/>
            </w:tcBorders>
            <w:shd w:val="clear" w:color="auto" w:fill="auto"/>
            <w:noWrap/>
            <w:vAlign w:val="center"/>
            <w:hideMark/>
          </w:tcPr>
          <w:p w14:paraId="439F1950" w14:textId="77777777" w:rsidR="00FF03D9" w:rsidRPr="00FF03D9" w:rsidRDefault="00FF03D9" w:rsidP="00DA3F9B">
            <w:pPr>
              <w:pStyle w:val="Body"/>
              <w:spacing w:after="0"/>
              <w:jc w:val="center"/>
              <w:rPr>
                <w:rFonts w:ascii="Arial" w:hAnsi="Arial" w:cs="Arial"/>
                <w:b/>
                <w:bCs/>
              </w:rPr>
            </w:pPr>
            <w:r w:rsidRPr="00FF03D9">
              <w:rPr>
                <w:rFonts w:ascii="Arial" w:hAnsi="Arial" w:cs="Arial"/>
                <w:b/>
                <w:bCs/>
              </w:rPr>
              <w:t>Cronbach's Alpha</w:t>
            </w:r>
          </w:p>
        </w:tc>
        <w:tc>
          <w:tcPr>
            <w:tcW w:w="553" w:type="pct"/>
            <w:tcBorders>
              <w:top w:val="single" w:sz="4" w:space="0" w:color="auto"/>
              <w:bottom w:val="single" w:sz="4" w:space="0" w:color="auto"/>
            </w:tcBorders>
            <w:shd w:val="clear" w:color="auto" w:fill="auto"/>
            <w:noWrap/>
            <w:vAlign w:val="center"/>
            <w:hideMark/>
          </w:tcPr>
          <w:p w14:paraId="499AE083" w14:textId="77777777" w:rsidR="00FF03D9" w:rsidRPr="00FF03D9" w:rsidRDefault="00FF03D9" w:rsidP="00DA3F9B">
            <w:pPr>
              <w:pStyle w:val="Body"/>
              <w:spacing w:after="0"/>
              <w:jc w:val="center"/>
              <w:rPr>
                <w:rFonts w:ascii="Arial" w:hAnsi="Arial" w:cs="Arial"/>
                <w:b/>
              </w:rPr>
            </w:pPr>
            <w:proofErr w:type="spellStart"/>
            <w:r w:rsidRPr="00FF03D9">
              <w:rPr>
                <w:rFonts w:ascii="Arial" w:hAnsi="Arial" w:cs="Arial"/>
                <w:b/>
              </w:rPr>
              <w:t>rho_A</w:t>
            </w:r>
            <w:proofErr w:type="spellEnd"/>
          </w:p>
        </w:tc>
        <w:tc>
          <w:tcPr>
            <w:tcW w:w="971" w:type="pct"/>
            <w:tcBorders>
              <w:top w:val="single" w:sz="4" w:space="0" w:color="auto"/>
              <w:bottom w:val="single" w:sz="4" w:space="0" w:color="auto"/>
            </w:tcBorders>
            <w:shd w:val="clear" w:color="auto" w:fill="auto"/>
            <w:noWrap/>
            <w:vAlign w:val="center"/>
            <w:hideMark/>
          </w:tcPr>
          <w:p w14:paraId="55A3E23F" w14:textId="77777777" w:rsidR="00FF03D9" w:rsidRPr="00FF03D9" w:rsidRDefault="00FF03D9" w:rsidP="00DA3F9B">
            <w:pPr>
              <w:pStyle w:val="Body"/>
              <w:spacing w:after="0"/>
              <w:jc w:val="center"/>
              <w:rPr>
                <w:rFonts w:ascii="Arial" w:hAnsi="Arial" w:cs="Arial"/>
                <w:b/>
                <w:bCs/>
              </w:rPr>
            </w:pPr>
            <w:r w:rsidRPr="00FF03D9">
              <w:rPr>
                <w:rFonts w:ascii="Arial" w:hAnsi="Arial" w:cs="Arial"/>
                <w:b/>
                <w:bCs/>
              </w:rPr>
              <w:t>Composite Reliability</w:t>
            </w:r>
          </w:p>
        </w:tc>
        <w:tc>
          <w:tcPr>
            <w:tcW w:w="1681" w:type="pct"/>
            <w:tcBorders>
              <w:top w:val="single" w:sz="4" w:space="0" w:color="auto"/>
              <w:bottom w:val="single" w:sz="4" w:space="0" w:color="auto"/>
            </w:tcBorders>
            <w:shd w:val="clear" w:color="auto" w:fill="auto"/>
            <w:noWrap/>
            <w:vAlign w:val="center"/>
            <w:hideMark/>
          </w:tcPr>
          <w:p w14:paraId="0B2B70DE" w14:textId="77777777" w:rsidR="00FF03D9" w:rsidRPr="00FF03D9" w:rsidRDefault="00FF03D9" w:rsidP="00DA3F9B">
            <w:pPr>
              <w:pStyle w:val="Body"/>
              <w:spacing w:after="0"/>
              <w:jc w:val="center"/>
              <w:rPr>
                <w:rFonts w:ascii="Arial" w:hAnsi="Arial" w:cs="Arial"/>
                <w:b/>
              </w:rPr>
            </w:pPr>
            <w:r w:rsidRPr="00FF03D9">
              <w:rPr>
                <w:rFonts w:ascii="Arial" w:hAnsi="Arial" w:cs="Arial"/>
                <w:b/>
              </w:rPr>
              <w:t>Average Variance Extracted (AVE)</w:t>
            </w:r>
          </w:p>
        </w:tc>
      </w:tr>
      <w:tr w:rsidR="00FF03D9" w:rsidRPr="00FF03D9" w14:paraId="4F804435" w14:textId="77777777" w:rsidTr="00DA3F9B">
        <w:trPr>
          <w:trHeight w:val="300"/>
        </w:trPr>
        <w:tc>
          <w:tcPr>
            <w:tcW w:w="824" w:type="pct"/>
            <w:tcBorders>
              <w:top w:val="single" w:sz="4" w:space="0" w:color="auto"/>
            </w:tcBorders>
            <w:shd w:val="clear" w:color="auto" w:fill="auto"/>
            <w:noWrap/>
            <w:vAlign w:val="center"/>
            <w:hideMark/>
          </w:tcPr>
          <w:p w14:paraId="3598F734"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X1</w:t>
            </w:r>
          </w:p>
        </w:tc>
        <w:tc>
          <w:tcPr>
            <w:tcW w:w="971" w:type="pct"/>
            <w:tcBorders>
              <w:top w:val="single" w:sz="4" w:space="0" w:color="auto"/>
            </w:tcBorders>
            <w:shd w:val="clear" w:color="auto" w:fill="auto"/>
            <w:noWrap/>
            <w:vAlign w:val="center"/>
            <w:hideMark/>
          </w:tcPr>
          <w:p w14:paraId="48504415" w14:textId="08FE423E" w:rsidR="00FF03D9" w:rsidRPr="00FF03D9" w:rsidRDefault="00FF03D9" w:rsidP="00DA3F9B">
            <w:pPr>
              <w:pStyle w:val="Body"/>
              <w:spacing w:after="0"/>
              <w:rPr>
                <w:rFonts w:ascii="Arial" w:hAnsi="Arial" w:cs="Arial"/>
                <w:b/>
                <w:bCs/>
              </w:rPr>
            </w:pPr>
            <w:r w:rsidRPr="00FF03D9">
              <w:rPr>
                <w:rFonts w:ascii="Arial" w:hAnsi="Arial" w:cs="Arial"/>
                <w:b/>
                <w:bCs/>
              </w:rPr>
              <w:t>0</w:t>
            </w:r>
            <w:r w:rsidR="003D12B6">
              <w:rPr>
                <w:rFonts w:ascii="Arial" w:hAnsi="Arial" w:cs="Arial"/>
                <w:b/>
                <w:bCs/>
              </w:rPr>
              <w:t>.</w:t>
            </w:r>
            <w:r w:rsidRPr="00FF03D9">
              <w:rPr>
                <w:rFonts w:ascii="Arial" w:hAnsi="Arial" w:cs="Arial"/>
                <w:b/>
                <w:bCs/>
              </w:rPr>
              <w:t>863</w:t>
            </w:r>
          </w:p>
        </w:tc>
        <w:tc>
          <w:tcPr>
            <w:tcW w:w="553" w:type="pct"/>
            <w:tcBorders>
              <w:top w:val="single" w:sz="4" w:space="0" w:color="auto"/>
            </w:tcBorders>
            <w:shd w:val="clear" w:color="auto" w:fill="auto"/>
            <w:noWrap/>
            <w:vAlign w:val="center"/>
            <w:hideMark/>
          </w:tcPr>
          <w:p w14:paraId="4A50AA54" w14:textId="4D86007A" w:rsidR="00FF03D9" w:rsidRPr="00FF03D9" w:rsidRDefault="003D12B6" w:rsidP="00DA3F9B">
            <w:pPr>
              <w:pStyle w:val="Body"/>
              <w:spacing w:after="0"/>
              <w:rPr>
                <w:rFonts w:ascii="Arial" w:hAnsi="Arial" w:cs="Arial"/>
              </w:rPr>
            </w:pPr>
            <w:r>
              <w:rPr>
                <w:rFonts w:ascii="Arial" w:hAnsi="Arial" w:cs="Arial"/>
              </w:rPr>
              <w:t>0.</w:t>
            </w:r>
            <w:r w:rsidR="00FF03D9" w:rsidRPr="00FF03D9">
              <w:rPr>
                <w:rFonts w:ascii="Arial" w:hAnsi="Arial" w:cs="Arial"/>
              </w:rPr>
              <w:t>870</w:t>
            </w:r>
          </w:p>
        </w:tc>
        <w:tc>
          <w:tcPr>
            <w:tcW w:w="971" w:type="pct"/>
            <w:tcBorders>
              <w:top w:val="single" w:sz="4" w:space="0" w:color="auto"/>
            </w:tcBorders>
            <w:shd w:val="clear" w:color="auto" w:fill="auto"/>
            <w:noWrap/>
            <w:vAlign w:val="center"/>
            <w:hideMark/>
          </w:tcPr>
          <w:p w14:paraId="13A3240C" w14:textId="02A9D03C" w:rsidR="00FF03D9" w:rsidRPr="00FF03D9" w:rsidRDefault="003D12B6" w:rsidP="00DA3F9B">
            <w:pPr>
              <w:pStyle w:val="Body"/>
              <w:spacing w:after="0"/>
              <w:rPr>
                <w:rFonts w:ascii="Arial" w:hAnsi="Arial" w:cs="Arial"/>
                <w:b/>
                <w:bCs/>
              </w:rPr>
            </w:pPr>
            <w:r>
              <w:rPr>
                <w:rFonts w:ascii="Arial" w:hAnsi="Arial" w:cs="Arial"/>
                <w:b/>
                <w:bCs/>
              </w:rPr>
              <w:t>0.</w:t>
            </w:r>
            <w:r w:rsidR="00FF03D9" w:rsidRPr="00FF03D9">
              <w:rPr>
                <w:rFonts w:ascii="Arial" w:hAnsi="Arial" w:cs="Arial"/>
                <w:b/>
                <w:bCs/>
              </w:rPr>
              <w:t>916</w:t>
            </w:r>
          </w:p>
        </w:tc>
        <w:tc>
          <w:tcPr>
            <w:tcW w:w="1681" w:type="pct"/>
            <w:tcBorders>
              <w:top w:val="single" w:sz="4" w:space="0" w:color="auto"/>
            </w:tcBorders>
            <w:shd w:val="clear" w:color="auto" w:fill="auto"/>
            <w:noWrap/>
            <w:vAlign w:val="center"/>
            <w:hideMark/>
          </w:tcPr>
          <w:p w14:paraId="74AA976E" w14:textId="4B80C52E" w:rsidR="00FF03D9" w:rsidRPr="00FF03D9" w:rsidRDefault="003D12B6" w:rsidP="00DA3F9B">
            <w:pPr>
              <w:pStyle w:val="Body"/>
              <w:spacing w:after="0"/>
              <w:rPr>
                <w:rFonts w:ascii="Arial" w:hAnsi="Arial" w:cs="Arial"/>
              </w:rPr>
            </w:pPr>
            <w:r>
              <w:rPr>
                <w:rFonts w:ascii="Arial" w:hAnsi="Arial" w:cs="Arial"/>
              </w:rPr>
              <w:t>0.</w:t>
            </w:r>
            <w:r w:rsidR="00FF03D9" w:rsidRPr="00FF03D9">
              <w:rPr>
                <w:rFonts w:ascii="Arial" w:hAnsi="Arial" w:cs="Arial"/>
              </w:rPr>
              <w:t>785</w:t>
            </w:r>
          </w:p>
        </w:tc>
      </w:tr>
      <w:tr w:rsidR="00FF03D9" w:rsidRPr="00FF03D9" w14:paraId="644A4A15" w14:textId="77777777" w:rsidTr="00DA3F9B">
        <w:trPr>
          <w:trHeight w:val="300"/>
        </w:trPr>
        <w:tc>
          <w:tcPr>
            <w:tcW w:w="824" w:type="pct"/>
            <w:tcBorders>
              <w:top w:val="nil"/>
            </w:tcBorders>
            <w:shd w:val="clear" w:color="auto" w:fill="auto"/>
            <w:noWrap/>
            <w:vAlign w:val="center"/>
            <w:hideMark/>
          </w:tcPr>
          <w:p w14:paraId="06C578CE"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X2</w:t>
            </w:r>
          </w:p>
        </w:tc>
        <w:tc>
          <w:tcPr>
            <w:tcW w:w="971" w:type="pct"/>
            <w:tcBorders>
              <w:top w:val="nil"/>
            </w:tcBorders>
            <w:shd w:val="clear" w:color="auto" w:fill="auto"/>
            <w:noWrap/>
            <w:vAlign w:val="center"/>
            <w:hideMark/>
          </w:tcPr>
          <w:p w14:paraId="60B81841" w14:textId="2D03E202" w:rsidR="00FF03D9" w:rsidRPr="00FF03D9" w:rsidRDefault="003D12B6" w:rsidP="00DA3F9B">
            <w:pPr>
              <w:pStyle w:val="Body"/>
              <w:spacing w:after="0"/>
              <w:rPr>
                <w:rFonts w:ascii="Arial" w:hAnsi="Arial" w:cs="Arial"/>
                <w:b/>
                <w:bCs/>
              </w:rPr>
            </w:pPr>
            <w:r>
              <w:rPr>
                <w:rFonts w:ascii="Arial" w:hAnsi="Arial" w:cs="Arial"/>
                <w:b/>
                <w:bCs/>
              </w:rPr>
              <w:t>0.</w:t>
            </w:r>
            <w:r w:rsidR="00FF03D9" w:rsidRPr="00FF03D9">
              <w:rPr>
                <w:rFonts w:ascii="Arial" w:hAnsi="Arial" w:cs="Arial"/>
                <w:b/>
                <w:bCs/>
              </w:rPr>
              <w:t>895</w:t>
            </w:r>
          </w:p>
        </w:tc>
        <w:tc>
          <w:tcPr>
            <w:tcW w:w="553" w:type="pct"/>
            <w:tcBorders>
              <w:top w:val="nil"/>
            </w:tcBorders>
            <w:shd w:val="clear" w:color="auto" w:fill="auto"/>
            <w:noWrap/>
            <w:vAlign w:val="center"/>
            <w:hideMark/>
          </w:tcPr>
          <w:p w14:paraId="11874FE8" w14:textId="3F6B2D8C" w:rsidR="00FF03D9" w:rsidRPr="00FF03D9" w:rsidRDefault="003D12B6" w:rsidP="00DA3F9B">
            <w:pPr>
              <w:pStyle w:val="Body"/>
              <w:spacing w:after="0"/>
              <w:rPr>
                <w:rFonts w:ascii="Arial" w:hAnsi="Arial" w:cs="Arial"/>
              </w:rPr>
            </w:pPr>
            <w:r>
              <w:rPr>
                <w:rFonts w:ascii="Arial" w:hAnsi="Arial" w:cs="Arial"/>
              </w:rPr>
              <w:t>0.</w:t>
            </w:r>
            <w:r w:rsidR="00FF03D9" w:rsidRPr="00FF03D9">
              <w:rPr>
                <w:rFonts w:ascii="Arial" w:hAnsi="Arial" w:cs="Arial"/>
              </w:rPr>
              <w:t>896</w:t>
            </w:r>
          </w:p>
        </w:tc>
        <w:tc>
          <w:tcPr>
            <w:tcW w:w="971" w:type="pct"/>
            <w:tcBorders>
              <w:top w:val="nil"/>
            </w:tcBorders>
            <w:shd w:val="clear" w:color="auto" w:fill="auto"/>
            <w:noWrap/>
            <w:vAlign w:val="center"/>
            <w:hideMark/>
          </w:tcPr>
          <w:p w14:paraId="0F11260A" w14:textId="104DC192" w:rsidR="00FF03D9" w:rsidRPr="00FF03D9" w:rsidRDefault="003D12B6" w:rsidP="00DA3F9B">
            <w:pPr>
              <w:pStyle w:val="Body"/>
              <w:spacing w:after="0"/>
              <w:rPr>
                <w:rFonts w:ascii="Arial" w:hAnsi="Arial" w:cs="Arial"/>
                <w:b/>
                <w:bCs/>
              </w:rPr>
            </w:pPr>
            <w:r>
              <w:rPr>
                <w:rFonts w:ascii="Arial" w:hAnsi="Arial" w:cs="Arial"/>
                <w:b/>
                <w:bCs/>
              </w:rPr>
              <w:t>0.</w:t>
            </w:r>
            <w:r w:rsidR="00FF03D9" w:rsidRPr="00FF03D9">
              <w:rPr>
                <w:rFonts w:ascii="Arial" w:hAnsi="Arial" w:cs="Arial"/>
                <w:b/>
                <w:bCs/>
              </w:rPr>
              <w:t>923</w:t>
            </w:r>
          </w:p>
        </w:tc>
        <w:tc>
          <w:tcPr>
            <w:tcW w:w="1681" w:type="pct"/>
            <w:tcBorders>
              <w:top w:val="nil"/>
            </w:tcBorders>
            <w:shd w:val="clear" w:color="auto" w:fill="auto"/>
            <w:noWrap/>
            <w:vAlign w:val="center"/>
            <w:hideMark/>
          </w:tcPr>
          <w:p w14:paraId="1FED0E4C" w14:textId="21B30690" w:rsidR="00FF03D9" w:rsidRPr="00FF03D9" w:rsidRDefault="003D12B6" w:rsidP="00DA3F9B">
            <w:pPr>
              <w:pStyle w:val="Body"/>
              <w:spacing w:after="0"/>
              <w:rPr>
                <w:rFonts w:ascii="Arial" w:hAnsi="Arial" w:cs="Arial"/>
              </w:rPr>
            </w:pPr>
            <w:r>
              <w:rPr>
                <w:rFonts w:ascii="Arial" w:hAnsi="Arial" w:cs="Arial"/>
              </w:rPr>
              <w:t>0.</w:t>
            </w:r>
            <w:r w:rsidR="00FF03D9" w:rsidRPr="00FF03D9">
              <w:rPr>
                <w:rFonts w:ascii="Arial" w:hAnsi="Arial" w:cs="Arial"/>
              </w:rPr>
              <w:t>705</w:t>
            </w:r>
          </w:p>
        </w:tc>
      </w:tr>
      <w:tr w:rsidR="00FF03D9" w:rsidRPr="00FF03D9" w14:paraId="40858AE9" w14:textId="77777777" w:rsidTr="00DA3F9B">
        <w:trPr>
          <w:trHeight w:val="300"/>
        </w:trPr>
        <w:tc>
          <w:tcPr>
            <w:tcW w:w="824" w:type="pct"/>
            <w:tcBorders>
              <w:top w:val="nil"/>
            </w:tcBorders>
            <w:shd w:val="clear" w:color="auto" w:fill="auto"/>
            <w:noWrap/>
            <w:vAlign w:val="center"/>
            <w:hideMark/>
          </w:tcPr>
          <w:p w14:paraId="1108E49E"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X3</w:t>
            </w:r>
          </w:p>
        </w:tc>
        <w:tc>
          <w:tcPr>
            <w:tcW w:w="971" w:type="pct"/>
            <w:tcBorders>
              <w:top w:val="nil"/>
            </w:tcBorders>
            <w:shd w:val="clear" w:color="auto" w:fill="auto"/>
            <w:noWrap/>
            <w:vAlign w:val="center"/>
            <w:hideMark/>
          </w:tcPr>
          <w:p w14:paraId="1D3744D6" w14:textId="7DCCD060" w:rsidR="00FF03D9" w:rsidRPr="00FF03D9" w:rsidRDefault="003D12B6" w:rsidP="00DA3F9B">
            <w:pPr>
              <w:pStyle w:val="Body"/>
              <w:spacing w:after="0"/>
              <w:rPr>
                <w:rFonts w:ascii="Arial" w:hAnsi="Arial" w:cs="Arial"/>
                <w:b/>
                <w:bCs/>
              </w:rPr>
            </w:pPr>
            <w:r>
              <w:rPr>
                <w:rFonts w:ascii="Arial" w:hAnsi="Arial" w:cs="Arial"/>
                <w:b/>
                <w:bCs/>
              </w:rPr>
              <w:t>0.</w:t>
            </w:r>
            <w:r w:rsidR="00FF03D9" w:rsidRPr="00FF03D9">
              <w:rPr>
                <w:rFonts w:ascii="Arial" w:hAnsi="Arial" w:cs="Arial"/>
                <w:b/>
                <w:bCs/>
              </w:rPr>
              <w:t>868</w:t>
            </w:r>
          </w:p>
        </w:tc>
        <w:tc>
          <w:tcPr>
            <w:tcW w:w="553" w:type="pct"/>
            <w:tcBorders>
              <w:top w:val="nil"/>
            </w:tcBorders>
            <w:shd w:val="clear" w:color="auto" w:fill="auto"/>
            <w:noWrap/>
            <w:vAlign w:val="center"/>
            <w:hideMark/>
          </w:tcPr>
          <w:p w14:paraId="6C588B80" w14:textId="51307367" w:rsidR="00FF03D9" w:rsidRPr="00FF03D9" w:rsidRDefault="003D12B6" w:rsidP="00DA3F9B">
            <w:pPr>
              <w:pStyle w:val="Body"/>
              <w:spacing w:after="0"/>
              <w:rPr>
                <w:rFonts w:ascii="Arial" w:hAnsi="Arial" w:cs="Arial"/>
              </w:rPr>
            </w:pPr>
            <w:r>
              <w:rPr>
                <w:rFonts w:ascii="Arial" w:hAnsi="Arial" w:cs="Arial"/>
              </w:rPr>
              <w:t>0.</w:t>
            </w:r>
            <w:r w:rsidR="00FF03D9" w:rsidRPr="00FF03D9">
              <w:rPr>
                <w:rFonts w:ascii="Arial" w:hAnsi="Arial" w:cs="Arial"/>
              </w:rPr>
              <w:t>869</w:t>
            </w:r>
          </w:p>
        </w:tc>
        <w:tc>
          <w:tcPr>
            <w:tcW w:w="971" w:type="pct"/>
            <w:tcBorders>
              <w:top w:val="nil"/>
            </w:tcBorders>
            <w:shd w:val="clear" w:color="auto" w:fill="auto"/>
            <w:noWrap/>
            <w:vAlign w:val="center"/>
            <w:hideMark/>
          </w:tcPr>
          <w:p w14:paraId="1BEC8B76" w14:textId="36C0B663" w:rsidR="00FF03D9" w:rsidRPr="00FF03D9" w:rsidRDefault="003D12B6" w:rsidP="00DA3F9B">
            <w:pPr>
              <w:pStyle w:val="Body"/>
              <w:spacing w:after="0"/>
              <w:rPr>
                <w:rFonts w:ascii="Arial" w:hAnsi="Arial" w:cs="Arial"/>
                <w:b/>
                <w:bCs/>
              </w:rPr>
            </w:pPr>
            <w:r>
              <w:rPr>
                <w:rFonts w:ascii="Arial" w:hAnsi="Arial" w:cs="Arial"/>
                <w:b/>
                <w:bCs/>
              </w:rPr>
              <w:t>0.</w:t>
            </w:r>
            <w:r w:rsidR="00FF03D9" w:rsidRPr="00FF03D9">
              <w:rPr>
                <w:rFonts w:ascii="Arial" w:hAnsi="Arial" w:cs="Arial"/>
                <w:b/>
                <w:bCs/>
              </w:rPr>
              <w:t>910</w:t>
            </w:r>
          </w:p>
        </w:tc>
        <w:tc>
          <w:tcPr>
            <w:tcW w:w="1681" w:type="pct"/>
            <w:tcBorders>
              <w:top w:val="nil"/>
            </w:tcBorders>
            <w:shd w:val="clear" w:color="auto" w:fill="auto"/>
            <w:noWrap/>
            <w:vAlign w:val="center"/>
            <w:hideMark/>
          </w:tcPr>
          <w:p w14:paraId="5CAEFF50" w14:textId="00AF145D" w:rsidR="00FF03D9" w:rsidRPr="00FF03D9" w:rsidRDefault="003D12B6" w:rsidP="00DA3F9B">
            <w:pPr>
              <w:pStyle w:val="Body"/>
              <w:spacing w:after="0"/>
              <w:rPr>
                <w:rFonts w:ascii="Arial" w:hAnsi="Arial" w:cs="Arial"/>
              </w:rPr>
            </w:pPr>
            <w:r>
              <w:rPr>
                <w:rFonts w:ascii="Arial" w:hAnsi="Arial" w:cs="Arial"/>
              </w:rPr>
              <w:t>0.</w:t>
            </w:r>
            <w:r w:rsidR="00FF03D9" w:rsidRPr="00FF03D9">
              <w:rPr>
                <w:rFonts w:ascii="Arial" w:hAnsi="Arial" w:cs="Arial"/>
              </w:rPr>
              <w:t>716</w:t>
            </w:r>
          </w:p>
        </w:tc>
      </w:tr>
      <w:tr w:rsidR="00FF03D9" w:rsidRPr="00FF03D9" w14:paraId="785102DD" w14:textId="77777777" w:rsidTr="00DA3F9B">
        <w:trPr>
          <w:trHeight w:val="300"/>
        </w:trPr>
        <w:tc>
          <w:tcPr>
            <w:tcW w:w="824" w:type="pct"/>
            <w:tcBorders>
              <w:top w:val="nil"/>
              <w:bottom w:val="single" w:sz="4" w:space="0" w:color="auto"/>
            </w:tcBorders>
            <w:shd w:val="clear" w:color="auto" w:fill="auto"/>
            <w:noWrap/>
            <w:vAlign w:val="center"/>
            <w:hideMark/>
          </w:tcPr>
          <w:p w14:paraId="5E2EE73B"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Y</w:t>
            </w:r>
          </w:p>
        </w:tc>
        <w:tc>
          <w:tcPr>
            <w:tcW w:w="971" w:type="pct"/>
            <w:tcBorders>
              <w:top w:val="nil"/>
              <w:bottom w:val="single" w:sz="4" w:space="0" w:color="auto"/>
            </w:tcBorders>
            <w:shd w:val="clear" w:color="auto" w:fill="auto"/>
            <w:noWrap/>
            <w:vAlign w:val="center"/>
            <w:hideMark/>
          </w:tcPr>
          <w:p w14:paraId="4869B36D" w14:textId="5D04A5CE" w:rsidR="00FF03D9" w:rsidRPr="00FF03D9" w:rsidRDefault="003D12B6" w:rsidP="00DA3F9B">
            <w:pPr>
              <w:pStyle w:val="Body"/>
              <w:spacing w:after="0"/>
              <w:rPr>
                <w:rFonts w:ascii="Arial" w:hAnsi="Arial" w:cs="Arial"/>
                <w:b/>
                <w:bCs/>
              </w:rPr>
            </w:pPr>
            <w:r>
              <w:rPr>
                <w:rFonts w:ascii="Arial" w:hAnsi="Arial" w:cs="Arial"/>
                <w:b/>
                <w:bCs/>
              </w:rPr>
              <w:t>0.</w:t>
            </w:r>
            <w:r w:rsidR="00FF03D9" w:rsidRPr="00FF03D9">
              <w:rPr>
                <w:rFonts w:ascii="Arial" w:hAnsi="Arial" w:cs="Arial"/>
                <w:b/>
                <w:bCs/>
              </w:rPr>
              <w:t>841</w:t>
            </w:r>
          </w:p>
        </w:tc>
        <w:tc>
          <w:tcPr>
            <w:tcW w:w="553" w:type="pct"/>
            <w:tcBorders>
              <w:top w:val="nil"/>
              <w:bottom w:val="single" w:sz="4" w:space="0" w:color="auto"/>
            </w:tcBorders>
            <w:shd w:val="clear" w:color="auto" w:fill="auto"/>
            <w:noWrap/>
            <w:vAlign w:val="center"/>
            <w:hideMark/>
          </w:tcPr>
          <w:p w14:paraId="1A153324" w14:textId="6E2B54D4" w:rsidR="00FF03D9" w:rsidRPr="00FF03D9" w:rsidRDefault="003D12B6" w:rsidP="00DA3F9B">
            <w:pPr>
              <w:pStyle w:val="Body"/>
              <w:spacing w:after="0"/>
              <w:rPr>
                <w:rFonts w:ascii="Arial" w:hAnsi="Arial" w:cs="Arial"/>
              </w:rPr>
            </w:pPr>
            <w:r>
              <w:rPr>
                <w:rFonts w:ascii="Arial" w:hAnsi="Arial" w:cs="Arial"/>
              </w:rPr>
              <w:t>0.</w:t>
            </w:r>
            <w:r w:rsidR="00FF03D9" w:rsidRPr="00FF03D9">
              <w:rPr>
                <w:rFonts w:ascii="Arial" w:hAnsi="Arial" w:cs="Arial"/>
              </w:rPr>
              <w:t>841</w:t>
            </w:r>
          </w:p>
        </w:tc>
        <w:tc>
          <w:tcPr>
            <w:tcW w:w="971" w:type="pct"/>
            <w:tcBorders>
              <w:top w:val="nil"/>
              <w:bottom w:val="single" w:sz="4" w:space="0" w:color="auto"/>
            </w:tcBorders>
            <w:shd w:val="clear" w:color="auto" w:fill="auto"/>
            <w:noWrap/>
            <w:vAlign w:val="center"/>
            <w:hideMark/>
          </w:tcPr>
          <w:p w14:paraId="3A57BE0D" w14:textId="11996CDD" w:rsidR="00FF03D9" w:rsidRPr="00FF03D9" w:rsidRDefault="003D12B6" w:rsidP="00DA3F9B">
            <w:pPr>
              <w:pStyle w:val="Body"/>
              <w:spacing w:after="0"/>
              <w:rPr>
                <w:rFonts w:ascii="Arial" w:hAnsi="Arial" w:cs="Arial"/>
                <w:b/>
                <w:bCs/>
              </w:rPr>
            </w:pPr>
            <w:r>
              <w:rPr>
                <w:rFonts w:ascii="Arial" w:hAnsi="Arial" w:cs="Arial"/>
                <w:b/>
                <w:bCs/>
              </w:rPr>
              <w:t>0.</w:t>
            </w:r>
            <w:r w:rsidR="00FF03D9" w:rsidRPr="00FF03D9">
              <w:rPr>
                <w:rFonts w:ascii="Arial" w:hAnsi="Arial" w:cs="Arial"/>
                <w:b/>
                <w:bCs/>
              </w:rPr>
              <w:t>904</w:t>
            </w:r>
          </w:p>
        </w:tc>
        <w:tc>
          <w:tcPr>
            <w:tcW w:w="1681" w:type="pct"/>
            <w:tcBorders>
              <w:top w:val="nil"/>
              <w:bottom w:val="single" w:sz="4" w:space="0" w:color="auto"/>
            </w:tcBorders>
            <w:shd w:val="clear" w:color="auto" w:fill="auto"/>
            <w:noWrap/>
            <w:vAlign w:val="center"/>
            <w:hideMark/>
          </w:tcPr>
          <w:p w14:paraId="5322C79F" w14:textId="3AFD36B6" w:rsidR="00FF03D9" w:rsidRPr="00FF03D9" w:rsidRDefault="003D12B6" w:rsidP="00DA3F9B">
            <w:pPr>
              <w:pStyle w:val="Body"/>
              <w:spacing w:after="0"/>
              <w:rPr>
                <w:rFonts w:ascii="Arial" w:hAnsi="Arial" w:cs="Arial"/>
              </w:rPr>
            </w:pPr>
            <w:r>
              <w:rPr>
                <w:rFonts w:ascii="Arial" w:hAnsi="Arial" w:cs="Arial"/>
              </w:rPr>
              <w:t>0.</w:t>
            </w:r>
            <w:r w:rsidR="00FF03D9" w:rsidRPr="00FF03D9">
              <w:rPr>
                <w:rFonts w:ascii="Arial" w:hAnsi="Arial" w:cs="Arial"/>
              </w:rPr>
              <w:t>759</w:t>
            </w:r>
          </w:p>
        </w:tc>
      </w:tr>
    </w:tbl>
    <w:p w14:paraId="56E7CBE6"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15861AE3" w14:textId="77777777" w:rsidR="00FF03D9" w:rsidRPr="00FF03D9" w:rsidRDefault="00FF03D9" w:rsidP="00FF03D9">
      <w:pPr>
        <w:pStyle w:val="Body"/>
        <w:ind w:left="709"/>
        <w:rPr>
          <w:rFonts w:ascii="Arial" w:hAnsi="Arial" w:cs="Arial"/>
        </w:rPr>
      </w:pPr>
      <w:r w:rsidRPr="00FF03D9">
        <w:rPr>
          <w:rFonts w:ascii="Arial" w:hAnsi="Arial" w:cs="Arial"/>
        </w:rPr>
        <w:t>Based on the reliability testing results above, it is evident that all latent variables in this study meet the criteria for good reliability. The Cronbach's Alpha values for each latent variable—Learning Independence (X1) = 0.863, Learning Facilities (X2) = 0.895, Learning Motivation (X3) = 0.868, and Learning Outcomes (Y) = 0.841—are all greater than 0.7. This indicates that the research instruments have high internal consistency. The Composite Reliability values for all latent variables also exceed 0.7, which means that the constructs of the latent variables possess excellent reliability and are consistent in measuring their respective indicators.</w:t>
      </w:r>
    </w:p>
    <w:p w14:paraId="54C23242" w14:textId="77777777" w:rsidR="007B76B6" w:rsidRDefault="00FF03D9" w:rsidP="00FF03D9">
      <w:pPr>
        <w:pStyle w:val="Body"/>
        <w:ind w:left="709"/>
        <w:rPr>
          <w:rFonts w:ascii="Arial" w:hAnsi="Arial" w:cs="Arial"/>
        </w:rPr>
      </w:pPr>
      <w:r w:rsidRPr="00FF03D9">
        <w:rPr>
          <w:rFonts w:ascii="Arial" w:hAnsi="Arial" w:cs="Arial"/>
        </w:rPr>
        <w:t>Based on the results of the Outer Model analysis, it can be concluded that the measurement model in this study meets all the required criteria.</w:t>
      </w:r>
    </w:p>
    <w:p w14:paraId="390EE5DE" w14:textId="77777777" w:rsidR="00FF03D9" w:rsidRPr="00FF03D9" w:rsidRDefault="00FF03D9" w:rsidP="00FF03D9">
      <w:pPr>
        <w:pStyle w:val="Body"/>
        <w:numPr>
          <w:ilvl w:val="0"/>
          <w:numId w:val="33"/>
        </w:numPr>
        <w:ind w:left="1134"/>
        <w:rPr>
          <w:rFonts w:ascii="Arial" w:hAnsi="Arial" w:cs="Arial"/>
        </w:rPr>
      </w:pPr>
      <w:r w:rsidRPr="00FF03D9">
        <w:rPr>
          <w:rFonts w:ascii="Arial" w:hAnsi="Arial" w:cs="Arial"/>
        </w:rPr>
        <w:t xml:space="preserve">Convergent validity is met, indicated by the loading factors of all indicators greater than 0.7 and the Average Variance Extracted (AVE) value exceeding 0.5 for each latent variable. </w:t>
      </w:r>
    </w:p>
    <w:p w14:paraId="0B9551F7" w14:textId="77777777" w:rsidR="00FF03D9" w:rsidRPr="00FF03D9" w:rsidRDefault="00FF03D9" w:rsidP="00FF03D9">
      <w:pPr>
        <w:pStyle w:val="Body"/>
        <w:numPr>
          <w:ilvl w:val="0"/>
          <w:numId w:val="33"/>
        </w:numPr>
        <w:ind w:left="1134"/>
        <w:rPr>
          <w:rFonts w:ascii="Arial" w:hAnsi="Arial" w:cs="Arial"/>
        </w:rPr>
      </w:pPr>
      <w:r w:rsidRPr="00FF03D9">
        <w:rPr>
          <w:rFonts w:ascii="Arial" w:hAnsi="Arial" w:cs="Arial"/>
        </w:rPr>
        <w:t xml:space="preserve">Discriminatory Validity is also met, which is proven through the </w:t>
      </w:r>
      <w:proofErr w:type="gramStart"/>
      <w:r w:rsidRPr="00FF03D9">
        <w:rPr>
          <w:rFonts w:ascii="Arial" w:hAnsi="Arial" w:cs="Arial"/>
        </w:rPr>
        <w:t>Cross Loading</w:t>
      </w:r>
      <w:proofErr w:type="gramEnd"/>
      <w:r w:rsidRPr="00FF03D9">
        <w:rPr>
          <w:rFonts w:ascii="Arial" w:hAnsi="Arial" w:cs="Arial"/>
        </w:rPr>
        <w:t xml:space="preserve"> method. The results show that each latent variable has good discrimination and does not overlap with other latent variables.</w:t>
      </w:r>
    </w:p>
    <w:p w14:paraId="7A761BD0" w14:textId="77777777" w:rsidR="00FF03D9" w:rsidRPr="00FF03D9" w:rsidRDefault="00FF03D9" w:rsidP="00FF03D9">
      <w:pPr>
        <w:pStyle w:val="Body"/>
        <w:numPr>
          <w:ilvl w:val="0"/>
          <w:numId w:val="33"/>
        </w:numPr>
        <w:ind w:left="1134"/>
        <w:rPr>
          <w:rFonts w:ascii="Arial" w:hAnsi="Arial" w:cs="Arial"/>
        </w:rPr>
      </w:pPr>
      <w:r w:rsidRPr="00FF03D9">
        <w:rPr>
          <w:rFonts w:ascii="Arial" w:hAnsi="Arial" w:cs="Arial"/>
        </w:rPr>
        <w:t xml:space="preserve">Instrumental Reliability is met, with Cronbach's Alpha and Composite Reliability values for all latent variables greater than 0.7. </w:t>
      </w:r>
    </w:p>
    <w:p w14:paraId="2015E56A" w14:textId="77777777" w:rsidR="00FF03D9" w:rsidRPr="007B76B6" w:rsidRDefault="00FF03D9" w:rsidP="00FF03D9">
      <w:pPr>
        <w:pStyle w:val="Body"/>
        <w:ind w:left="709"/>
        <w:rPr>
          <w:rFonts w:ascii="Arial" w:hAnsi="Arial" w:cs="Arial"/>
        </w:rPr>
      </w:pPr>
      <w:r w:rsidRPr="00FF03D9">
        <w:rPr>
          <w:rFonts w:ascii="Arial" w:hAnsi="Arial" w:cs="Arial"/>
        </w:rPr>
        <w:t>Thus, the measurement model (Outer Model) in this study is declared valid and reliable, so it is suitable for further analysis, namely the Inner Model or Structural Equation Modeling (SEM).</w:t>
      </w:r>
    </w:p>
    <w:p w14:paraId="030EC7E3" w14:textId="77777777" w:rsidR="00FF03D9" w:rsidRPr="00FF03D9" w:rsidRDefault="00FF03D9" w:rsidP="00FF03D9">
      <w:pPr>
        <w:pStyle w:val="Body"/>
        <w:rPr>
          <w:rFonts w:ascii="Arial" w:hAnsi="Arial" w:cs="Arial"/>
          <w:b/>
          <w:u w:val="single"/>
        </w:rPr>
      </w:pPr>
      <w:r w:rsidRPr="00FF03D9">
        <w:rPr>
          <w:rFonts w:ascii="Arial" w:hAnsi="Arial" w:cs="Arial"/>
          <w:b/>
          <w:u w:val="single"/>
        </w:rPr>
        <w:t>3.1.3 Inner Model</w:t>
      </w:r>
    </w:p>
    <w:p w14:paraId="691701AA" w14:textId="77777777" w:rsidR="00FF03D9" w:rsidRPr="00FF03D9" w:rsidRDefault="00FF03D9" w:rsidP="00FF03D9">
      <w:pPr>
        <w:pStyle w:val="Body"/>
        <w:rPr>
          <w:rFonts w:ascii="Arial" w:hAnsi="Arial" w:cs="Arial"/>
        </w:rPr>
      </w:pPr>
      <w:r w:rsidRPr="00FF03D9">
        <w:rPr>
          <w:rFonts w:ascii="Arial" w:hAnsi="Arial" w:cs="Arial"/>
        </w:rPr>
        <w:t>Inner Model analysis is carried out to predict the causal relationship between the latent variables tested. The following are the results of testing the Coefficient of Determination (R²) and Predictive Relevance (Q²):</w:t>
      </w:r>
    </w:p>
    <w:p w14:paraId="32A7CB6D" w14:textId="77777777" w:rsidR="00FF03D9" w:rsidRPr="00DA3F9B" w:rsidRDefault="00FF03D9" w:rsidP="00FF03D9">
      <w:pPr>
        <w:pStyle w:val="Body"/>
        <w:rPr>
          <w:rFonts w:ascii="Arial" w:hAnsi="Arial" w:cs="Arial"/>
          <w:b/>
        </w:rPr>
      </w:pPr>
      <w:r w:rsidRPr="00DA3F9B">
        <w:rPr>
          <w:rFonts w:ascii="Arial" w:hAnsi="Arial" w:cs="Arial"/>
          <w:b/>
        </w:rPr>
        <w:t>Table 7. Results of the Coefficient of Determination and Predictive Relevance</w:t>
      </w:r>
    </w:p>
    <w:tbl>
      <w:tblPr>
        <w:tblW w:w="5000" w:type="pct"/>
        <w:tblLook w:val="04A0" w:firstRow="1" w:lastRow="0" w:firstColumn="1" w:lastColumn="0" w:noHBand="0" w:noVBand="1"/>
      </w:tblPr>
      <w:tblGrid>
        <w:gridCol w:w="3091"/>
        <w:gridCol w:w="1318"/>
        <w:gridCol w:w="1928"/>
        <w:gridCol w:w="1573"/>
        <w:gridCol w:w="1381"/>
        <w:gridCol w:w="1725"/>
      </w:tblGrid>
      <w:tr w:rsidR="00FF03D9" w:rsidRPr="00FF03D9" w14:paraId="207F2300" w14:textId="77777777" w:rsidTr="00DA3F9B">
        <w:trPr>
          <w:trHeight w:val="577"/>
        </w:trPr>
        <w:tc>
          <w:tcPr>
            <w:tcW w:w="1403" w:type="pct"/>
            <w:tcBorders>
              <w:top w:val="single" w:sz="4" w:space="0" w:color="auto"/>
              <w:bottom w:val="single" w:sz="4" w:space="0" w:color="auto"/>
            </w:tcBorders>
            <w:shd w:val="clear" w:color="auto" w:fill="auto"/>
            <w:vAlign w:val="center"/>
            <w:hideMark/>
          </w:tcPr>
          <w:p w14:paraId="6A33D7F5" w14:textId="158C3CE6" w:rsidR="00FF03D9" w:rsidRPr="00FF03D9" w:rsidRDefault="00D95D0B" w:rsidP="006148B1">
            <w:pPr>
              <w:pStyle w:val="Body"/>
              <w:spacing w:after="0"/>
              <w:jc w:val="center"/>
              <w:rPr>
                <w:rFonts w:ascii="Arial" w:hAnsi="Arial" w:cs="Arial"/>
                <w:b/>
                <w:bCs/>
              </w:rPr>
            </w:pPr>
            <w:r w:rsidRPr="00D95D0B">
              <w:rPr>
                <w:rFonts w:ascii="Arial" w:hAnsi="Arial" w:cs="Arial"/>
                <w:b/>
                <w:bCs/>
              </w:rPr>
              <w:t>Variable Let</w:t>
            </w:r>
          </w:p>
        </w:tc>
        <w:tc>
          <w:tcPr>
            <w:tcW w:w="598" w:type="pct"/>
            <w:tcBorders>
              <w:top w:val="single" w:sz="4" w:space="0" w:color="auto"/>
              <w:bottom w:val="single" w:sz="4" w:space="0" w:color="auto"/>
            </w:tcBorders>
            <w:shd w:val="clear" w:color="auto" w:fill="auto"/>
            <w:vAlign w:val="center"/>
            <w:hideMark/>
          </w:tcPr>
          <w:p w14:paraId="61F0B728"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R Square</w:t>
            </w:r>
          </w:p>
        </w:tc>
        <w:tc>
          <w:tcPr>
            <w:tcW w:w="875" w:type="pct"/>
            <w:tcBorders>
              <w:top w:val="single" w:sz="4" w:space="0" w:color="auto"/>
              <w:bottom w:val="single" w:sz="4" w:space="0" w:color="auto"/>
            </w:tcBorders>
            <w:shd w:val="clear" w:color="auto" w:fill="auto"/>
            <w:vAlign w:val="center"/>
            <w:hideMark/>
          </w:tcPr>
          <w:p w14:paraId="6AAF5B9C"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R Square Adjusted</w:t>
            </w:r>
          </w:p>
        </w:tc>
        <w:tc>
          <w:tcPr>
            <w:tcW w:w="714" w:type="pct"/>
            <w:tcBorders>
              <w:top w:val="single" w:sz="4" w:space="0" w:color="auto"/>
              <w:bottom w:val="single" w:sz="4" w:space="0" w:color="auto"/>
            </w:tcBorders>
            <w:shd w:val="clear" w:color="auto" w:fill="auto"/>
            <w:vAlign w:val="center"/>
            <w:hideMark/>
          </w:tcPr>
          <w:p w14:paraId="645A66F5"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SSO</w:t>
            </w:r>
          </w:p>
        </w:tc>
        <w:tc>
          <w:tcPr>
            <w:tcW w:w="627" w:type="pct"/>
            <w:tcBorders>
              <w:top w:val="single" w:sz="4" w:space="0" w:color="auto"/>
              <w:bottom w:val="single" w:sz="4" w:space="0" w:color="auto"/>
            </w:tcBorders>
            <w:shd w:val="clear" w:color="auto" w:fill="auto"/>
            <w:vAlign w:val="center"/>
            <w:hideMark/>
          </w:tcPr>
          <w:p w14:paraId="7B2CA56F"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SSE</w:t>
            </w:r>
          </w:p>
        </w:tc>
        <w:tc>
          <w:tcPr>
            <w:tcW w:w="783" w:type="pct"/>
            <w:tcBorders>
              <w:top w:val="single" w:sz="4" w:space="0" w:color="auto"/>
              <w:bottom w:val="single" w:sz="4" w:space="0" w:color="auto"/>
            </w:tcBorders>
            <w:shd w:val="clear" w:color="auto" w:fill="auto"/>
            <w:vAlign w:val="center"/>
            <w:hideMark/>
          </w:tcPr>
          <w:p w14:paraId="7AD38AC2"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Q² (=1-SSE/SSO)</w:t>
            </w:r>
          </w:p>
        </w:tc>
      </w:tr>
      <w:tr w:rsidR="006148B1" w:rsidRPr="00FF03D9" w14:paraId="434567DA" w14:textId="77777777" w:rsidTr="002545CE">
        <w:trPr>
          <w:trHeight w:val="690"/>
        </w:trPr>
        <w:tc>
          <w:tcPr>
            <w:tcW w:w="1403" w:type="pct"/>
            <w:tcBorders>
              <w:top w:val="single" w:sz="4" w:space="0" w:color="auto"/>
            </w:tcBorders>
            <w:shd w:val="clear" w:color="auto" w:fill="auto"/>
            <w:hideMark/>
          </w:tcPr>
          <w:p w14:paraId="486E677A" w14:textId="77777777" w:rsidR="006148B1" w:rsidRPr="006D068A" w:rsidRDefault="006148B1" w:rsidP="002545CE">
            <w:r w:rsidRPr="006D068A">
              <w:t>Learning Independence (X1)</w:t>
            </w:r>
          </w:p>
        </w:tc>
        <w:tc>
          <w:tcPr>
            <w:tcW w:w="598" w:type="pct"/>
            <w:tcBorders>
              <w:top w:val="single" w:sz="4" w:space="0" w:color="auto"/>
            </w:tcBorders>
            <w:shd w:val="clear" w:color="auto" w:fill="auto"/>
            <w:vAlign w:val="center"/>
            <w:hideMark/>
          </w:tcPr>
          <w:p w14:paraId="4E84A12A"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875" w:type="pct"/>
            <w:tcBorders>
              <w:top w:val="single" w:sz="4" w:space="0" w:color="auto"/>
            </w:tcBorders>
            <w:shd w:val="clear" w:color="auto" w:fill="auto"/>
            <w:vAlign w:val="center"/>
            <w:hideMark/>
          </w:tcPr>
          <w:p w14:paraId="5127AD09"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714" w:type="pct"/>
            <w:tcBorders>
              <w:top w:val="single" w:sz="4" w:space="0" w:color="auto"/>
            </w:tcBorders>
            <w:shd w:val="clear" w:color="auto" w:fill="auto"/>
            <w:vAlign w:val="center"/>
            <w:hideMark/>
          </w:tcPr>
          <w:p w14:paraId="7A2617DE" w14:textId="77777777" w:rsidR="006148B1" w:rsidRPr="00FF03D9" w:rsidRDefault="006148B1" w:rsidP="00DA3F9B">
            <w:pPr>
              <w:pStyle w:val="Body"/>
              <w:spacing w:after="0"/>
              <w:rPr>
                <w:rFonts w:ascii="Arial" w:hAnsi="Arial" w:cs="Arial"/>
              </w:rPr>
            </w:pPr>
            <w:r w:rsidRPr="00FF03D9">
              <w:rPr>
                <w:rFonts w:ascii="Arial" w:hAnsi="Arial" w:cs="Arial"/>
              </w:rPr>
              <w:t>468,000</w:t>
            </w:r>
          </w:p>
        </w:tc>
        <w:tc>
          <w:tcPr>
            <w:tcW w:w="627" w:type="pct"/>
            <w:tcBorders>
              <w:top w:val="single" w:sz="4" w:space="0" w:color="auto"/>
            </w:tcBorders>
            <w:shd w:val="clear" w:color="auto" w:fill="auto"/>
            <w:vAlign w:val="center"/>
            <w:hideMark/>
          </w:tcPr>
          <w:p w14:paraId="226EAB8B" w14:textId="77777777" w:rsidR="006148B1" w:rsidRPr="00FF03D9" w:rsidRDefault="006148B1" w:rsidP="00DA3F9B">
            <w:pPr>
              <w:pStyle w:val="Body"/>
              <w:spacing w:after="0"/>
              <w:rPr>
                <w:rFonts w:ascii="Arial" w:hAnsi="Arial" w:cs="Arial"/>
              </w:rPr>
            </w:pPr>
            <w:r w:rsidRPr="00FF03D9">
              <w:rPr>
                <w:rFonts w:ascii="Arial" w:hAnsi="Arial" w:cs="Arial"/>
              </w:rPr>
              <w:t>468,000</w:t>
            </w:r>
          </w:p>
        </w:tc>
        <w:tc>
          <w:tcPr>
            <w:tcW w:w="783" w:type="pct"/>
            <w:tcBorders>
              <w:top w:val="single" w:sz="4" w:space="0" w:color="auto"/>
            </w:tcBorders>
            <w:shd w:val="clear" w:color="auto" w:fill="auto"/>
            <w:vAlign w:val="center"/>
            <w:hideMark/>
          </w:tcPr>
          <w:p w14:paraId="0AB7ABC5" w14:textId="77777777" w:rsidR="006148B1" w:rsidRPr="00FF03D9" w:rsidRDefault="006148B1" w:rsidP="00DA3F9B">
            <w:pPr>
              <w:pStyle w:val="Body"/>
              <w:spacing w:after="0"/>
              <w:rPr>
                <w:rFonts w:ascii="Arial" w:hAnsi="Arial" w:cs="Arial"/>
              </w:rPr>
            </w:pPr>
            <w:r w:rsidRPr="00FF03D9">
              <w:rPr>
                <w:rFonts w:ascii="Arial" w:hAnsi="Arial" w:cs="Arial"/>
              </w:rPr>
              <w:t>-</w:t>
            </w:r>
          </w:p>
        </w:tc>
      </w:tr>
      <w:tr w:rsidR="006148B1" w:rsidRPr="00FF03D9" w14:paraId="6B3A31F4" w14:textId="77777777" w:rsidTr="002545CE">
        <w:trPr>
          <w:trHeight w:val="345"/>
        </w:trPr>
        <w:tc>
          <w:tcPr>
            <w:tcW w:w="1403" w:type="pct"/>
            <w:tcBorders>
              <w:top w:val="nil"/>
            </w:tcBorders>
            <w:shd w:val="clear" w:color="auto" w:fill="auto"/>
            <w:hideMark/>
          </w:tcPr>
          <w:p w14:paraId="58ADF461" w14:textId="77777777" w:rsidR="006148B1" w:rsidRPr="006D068A" w:rsidRDefault="006148B1" w:rsidP="002545CE">
            <w:r w:rsidRPr="006D068A">
              <w:lastRenderedPageBreak/>
              <w:t>Learning Facilities (X2)</w:t>
            </w:r>
          </w:p>
        </w:tc>
        <w:tc>
          <w:tcPr>
            <w:tcW w:w="598" w:type="pct"/>
            <w:tcBorders>
              <w:top w:val="nil"/>
            </w:tcBorders>
            <w:shd w:val="clear" w:color="auto" w:fill="auto"/>
            <w:vAlign w:val="center"/>
            <w:hideMark/>
          </w:tcPr>
          <w:p w14:paraId="24851371"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875" w:type="pct"/>
            <w:tcBorders>
              <w:top w:val="nil"/>
            </w:tcBorders>
            <w:shd w:val="clear" w:color="auto" w:fill="auto"/>
            <w:vAlign w:val="center"/>
            <w:hideMark/>
          </w:tcPr>
          <w:p w14:paraId="2047A69A"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714" w:type="pct"/>
            <w:tcBorders>
              <w:top w:val="nil"/>
            </w:tcBorders>
            <w:shd w:val="clear" w:color="auto" w:fill="auto"/>
            <w:vAlign w:val="center"/>
            <w:hideMark/>
          </w:tcPr>
          <w:p w14:paraId="77CF1F89" w14:textId="77777777" w:rsidR="006148B1" w:rsidRPr="00FF03D9" w:rsidRDefault="006148B1" w:rsidP="00DA3F9B">
            <w:pPr>
              <w:pStyle w:val="Body"/>
              <w:spacing w:after="0"/>
              <w:rPr>
                <w:rFonts w:ascii="Arial" w:hAnsi="Arial" w:cs="Arial"/>
              </w:rPr>
            </w:pPr>
            <w:r w:rsidRPr="00FF03D9">
              <w:rPr>
                <w:rFonts w:ascii="Arial" w:hAnsi="Arial" w:cs="Arial"/>
              </w:rPr>
              <w:t>780,000</w:t>
            </w:r>
          </w:p>
        </w:tc>
        <w:tc>
          <w:tcPr>
            <w:tcW w:w="627" w:type="pct"/>
            <w:tcBorders>
              <w:top w:val="nil"/>
            </w:tcBorders>
            <w:shd w:val="clear" w:color="auto" w:fill="auto"/>
            <w:vAlign w:val="center"/>
            <w:hideMark/>
          </w:tcPr>
          <w:p w14:paraId="5FF9B072" w14:textId="77777777" w:rsidR="006148B1" w:rsidRPr="00FF03D9" w:rsidRDefault="006148B1" w:rsidP="00DA3F9B">
            <w:pPr>
              <w:pStyle w:val="Body"/>
              <w:spacing w:after="0"/>
              <w:rPr>
                <w:rFonts w:ascii="Arial" w:hAnsi="Arial" w:cs="Arial"/>
              </w:rPr>
            </w:pPr>
            <w:r w:rsidRPr="00FF03D9">
              <w:rPr>
                <w:rFonts w:ascii="Arial" w:hAnsi="Arial" w:cs="Arial"/>
              </w:rPr>
              <w:t>780,000</w:t>
            </w:r>
          </w:p>
        </w:tc>
        <w:tc>
          <w:tcPr>
            <w:tcW w:w="783" w:type="pct"/>
            <w:tcBorders>
              <w:top w:val="nil"/>
            </w:tcBorders>
            <w:shd w:val="clear" w:color="auto" w:fill="auto"/>
            <w:vAlign w:val="center"/>
            <w:hideMark/>
          </w:tcPr>
          <w:p w14:paraId="08F2F1FD" w14:textId="77777777" w:rsidR="006148B1" w:rsidRPr="00FF03D9" w:rsidRDefault="006148B1" w:rsidP="00DA3F9B">
            <w:pPr>
              <w:pStyle w:val="Body"/>
              <w:spacing w:after="0"/>
              <w:rPr>
                <w:rFonts w:ascii="Arial" w:hAnsi="Arial" w:cs="Arial"/>
              </w:rPr>
            </w:pPr>
            <w:r w:rsidRPr="00FF03D9">
              <w:rPr>
                <w:rFonts w:ascii="Arial" w:hAnsi="Arial" w:cs="Arial"/>
              </w:rPr>
              <w:t>-</w:t>
            </w:r>
          </w:p>
        </w:tc>
      </w:tr>
      <w:tr w:rsidR="006148B1" w:rsidRPr="00FF03D9" w14:paraId="0ADFB0AC" w14:textId="77777777" w:rsidTr="002545CE">
        <w:trPr>
          <w:trHeight w:val="345"/>
        </w:trPr>
        <w:tc>
          <w:tcPr>
            <w:tcW w:w="1403" w:type="pct"/>
            <w:tcBorders>
              <w:top w:val="nil"/>
            </w:tcBorders>
            <w:shd w:val="clear" w:color="auto" w:fill="auto"/>
            <w:hideMark/>
          </w:tcPr>
          <w:p w14:paraId="329B3C93" w14:textId="77777777" w:rsidR="006148B1" w:rsidRPr="006D068A" w:rsidRDefault="006148B1" w:rsidP="002545CE">
            <w:r w:rsidRPr="006D068A">
              <w:t>Learning Motivation (X3)</w:t>
            </w:r>
          </w:p>
        </w:tc>
        <w:tc>
          <w:tcPr>
            <w:tcW w:w="598" w:type="pct"/>
            <w:tcBorders>
              <w:top w:val="nil"/>
            </w:tcBorders>
            <w:shd w:val="clear" w:color="auto" w:fill="auto"/>
            <w:vAlign w:val="center"/>
            <w:hideMark/>
          </w:tcPr>
          <w:p w14:paraId="086FB2A4"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875" w:type="pct"/>
            <w:tcBorders>
              <w:top w:val="nil"/>
            </w:tcBorders>
            <w:shd w:val="clear" w:color="auto" w:fill="auto"/>
            <w:vAlign w:val="center"/>
            <w:hideMark/>
          </w:tcPr>
          <w:p w14:paraId="4024EBE2"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714" w:type="pct"/>
            <w:tcBorders>
              <w:top w:val="nil"/>
            </w:tcBorders>
            <w:shd w:val="clear" w:color="auto" w:fill="auto"/>
            <w:vAlign w:val="center"/>
            <w:hideMark/>
          </w:tcPr>
          <w:p w14:paraId="637A20AE" w14:textId="77777777" w:rsidR="006148B1" w:rsidRPr="00FF03D9" w:rsidRDefault="006148B1" w:rsidP="00DA3F9B">
            <w:pPr>
              <w:pStyle w:val="Body"/>
              <w:spacing w:after="0"/>
              <w:rPr>
                <w:rFonts w:ascii="Arial" w:hAnsi="Arial" w:cs="Arial"/>
              </w:rPr>
            </w:pPr>
            <w:r w:rsidRPr="00FF03D9">
              <w:rPr>
                <w:rFonts w:ascii="Arial" w:hAnsi="Arial" w:cs="Arial"/>
              </w:rPr>
              <w:t>624,000</w:t>
            </w:r>
          </w:p>
        </w:tc>
        <w:tc>
          <w:tcPr>
            <w:tcW w:w="627" w:type="pct"/>
            <w:tcBorders>
              <w:top w:val="nil"/>
            </w:tcBorders>
            <w:shd w:val="clear" w:color="auto" w:fill="auto"/>
            <w:vAlign w:val="center"/>
            <w:hideMark/>
          </w:tcPr>
          <w:p w14:paraId="5F449C69" w14:textId="77777777" w:rsidR="006148B1" w:rsidRPr="00FF03D9" w:rsidRDefault="006148B1" w:rsidP="00DA3F9B">
            <w:pPr>
              <w:pStyle w:val="Body"/>
              <w:spacing w:after="0"/>
              <w:rPr>
                <w:rFonts w:ascii="Arial" w:hAnsi="Arial" w:cs="Arial"/>
              </w:rPr>
            </w:pPr>
            <w:r w:rsidRPr="00FF03D9">
              <w:rPr>
                <w:rFonts w:ascii="Arial" w:hAnsi="Arial" w:cs="Arial"/>
              </w:rPr>
              <w:t>624,000</w:t>
            </w:r>
          </w:p>
        </w:tc>
        <w:tc>
          <w:tcPr>
            <w:tcW w:w="783" w:type="pct"/>
            <w:tcBorders>
              <w:top w:val="nil"/>
            </w:tcBorders>
            <w:shd w:val="clear" w:color="auto" w:fill="auto"/>
            <w:vAlign w:val="center"/>
            <w:hideMark/>
          </w:tcPr>
          <w:p w14:paraId="663142E1" w14:textId="77777777" w:rsidR="006148B1" w:rsidRPr="00FF03D9" w:rsidRDefault="006148B1" w:rsidP="00DA3F9B">
            <w:pPr>
              <w:pStyle w:val="Body"/>
              <w:spacing w:after="0"/>
              <w:rPr>
                <w:rFonts w:ascii="Arial" w:hAnsi="Arial" w:cs="Arial"/>
              </w:rPr>
            </w:pPr>
            <w:r w:rsidRPr="00FF03D9">
              <w:rPr>
                <w:rFonts w:ascii="Arial" w:hAnsi="Arial" w:cs="Arial"/>
              </w:rPr>
              <w:t>-</w:t>
            </w:r>
          </w:p>
        </w:tc>
      </w:tr>
      <w:tr w:rsidR="006148B1" w:rsidRPr="00FF03D9" w14:paraId="5BA8A97B" w14:textId="77777777" w:rsidTr="002545CE">
        <w:trPr>
          <w:trHeight w:val="345"/>
        </w:trPr>
        <w:tc>
          <w:tcPr>
            <w:tcW w:w="1403" w:type="pct"/>
            <w:tcBorders>
              <w:top w:val="nil"/>
              <w:bottom w:val="single" w:sz="4" w:space="0" w:color="auto"/>
            </w:tcBorders>
            <w:shd w:val="clear" w:color="auto" w:fill="auto"/>
            <w:hideMark/>
          </w:tcPr>
          <w:p w14:paraId="42895E6C" w14:textId="77777777" w:rsidR="006148B1" w:rsidRDefault="006148B1" w:rsidP="002545CE">
            <w:r w:rsidRPr="006D068A">
              <w:t>Learning Outcomes (Y)</w:t>
            </w:r>
          </w:p>
        </w:tc>
        <w:tc>
          <w:tcPr>
            <w:tcW w:w="598" w:type="pct"/>
            <w:tcBorders>
              <w:top w:val="nil"/>
              <w:bottom w:val="single" w:sz="4" w:space="0" w:color="auto"/>
            </w:tcBorders>
            <w:shd w:val="clear" w:color="auto" w:fill="auto"/>
            <w:vAlign w:val="center"/>
            <w:hideMark/>
          </w:tcPr>
          <w:p w14:paraId="2AF827F5" w14:textId="7A9D2DE8" w:rsidR="006148B1" w:rsidRPr="00FF03D9" w:rsidRDefault="003D12B6" w:rsidP="00DA3F9B">
            <w:pPr>
              <w:pStyle w:val="Body"/>
              <w:spacing w:after="0"/>
              <w:rPr>
                <w:rFonts w:ascii="Arial" w:hAnsi="Arial" w:cs="Arial"/>
                <w:b/>
                <w:bCs/>
              </w:rPr>
            </w:pPr>
            <w:r>
              <w:rPr>
                <w:rFonts w:ascii="Arial" w:hAnsi="Arial" w:cs="Arial"/>
                <w:b/>
                <w:bCs/>
              </w:rPr>
              <w:t>0.</w:t>
            </w:r>
            <w:r w:rsidR="006148B1" w:rsidRPr="00FF03D9">
              <w:rPr>
                <w:rFonts w:ascii="Arial" w:hAnsi="Arial" w:cs="Arial"/>
                <w:b/>
                <w:bCs/>
              </w:rPr>
              <w:t>694</w:t>
            </w:r>
          </w:p>
        </w:tc>
        <w:tc>
          <w:tcPr>
            <w:tcW w:w="875" w:type="pct"/>
            <w:tcBorders>
              <w:top w:val="nil"/>
              <w:bottom w:val="single" w:sz="4" w:space="0" w:color="auto"/>
            </w:tcBorders>
            <w:shd w:val="clear" w:color="auto" w:fill="auto"/>
            <w:vAlign w:val="center"/>
            <w:hideMark/>
          </w:tcPr>
          <w:p w14:paraId="0D21A9DD" w14:textId="7339068D" w:rsidR="006148B1" w:rsidRPr="00FF03D9" w:rsidRDefault="006148B1" w:rsidP="003D12B6">
            <w:pPr>
              <w:pStyle w:val="Body"/>
              <w:spacing w:after="0"/>
              <w:rPr>
                <w:rFonts w:ascii="Arial" w:hAnsi="Arial" w:cs="Arial"/>
                <w:b/>
                <w:bCs/>
              </w:rPr>
            </w:pPr>
            <w:r w:rsidRPr="00FF03D9">
              <w:rPr>
                <w:rFonts w:ascii="Arial" w:hAnsi="Arial" w:cs="Arial"/>
                <w:b/>
                <w:bCs/>
              </w:rPr>
              <w:t>0</w:t>
            </w:r>
            <w:r w:rsidR="003D12B6">
              <w:rPr>
                <w:rFonts w:ascii="Arial" w:hAnsi="Arial" w:cs="Arial"/>
                <w:b/>
                <w:bCs/>
              </w:rPr>
              <w:t>.</w:t>
            </w:r>
            <w:r w:rsidRPr="00FF03D9">
              <w:rPr>
                <w:rFonts w:ascii="Arial" w:hAnsi="Arial" w:cs="Arial"/>
                <w:b/>
                <w:bCs/>
              </w:rPr>
              <w:t>688</w:t>
            </w:r>
          </w:p>
        </w:tc>
        <w:tc>
          <w:tcPr>
            <w:tcW w:w="714" w:type="pct"/>
            <w:tcBorders>
              <w:top w:val="nil"/>
              <w:bottom w:val="single" w:sz="4" w:space="0" w:color="auto"/>
            </w:tcBorders>
            <w:shd w:val="clear" w:color="auto" w:fill="auto"/>
            <w:vAlign w:val="center"/>
            <w:hideMark/>
          </w:tcPr>
          <w:p w14:paraId="5F7E3E2D" w14:textId="77777777" w:rsidR="006148B1" w:rsidRPr="00FF03D9" w:rsidRDefault="006148B1" w:rsidP="00DA3F9B">
            <w:pPr>
              <w:pStyle w:val="Body"/>
              <w:spacing w:after="0"/>
              <w:rPr>
                <w:rFonts w:ascii="Arial" w:hAnsi="Arial" w:cs="Arial"/>
              </w:rPr>
            </w:pPr>
            <w:r w:rsidRPr="00FF03D9">
              <w:rPr>
                <w:rFonts w:ascii="Arial" w:hAnsi="Arial" w:cs="Arial"/>
              </w:rPr>
              <w:t>468,000</w:t>
            </w:r>
          </w:p>
        </w:tc>
        <w:tc>
          <w:tcPr>
            <w:tcW w:w="627" w:type="pct"/>
            <w:tcBorders>
              <w:top w:val="nil"/>
              <w:bottom w:val="single" w:sz="4" w:space="0" w:color="auto"/>
            </w:tcBorders>
            <w:shd w:val="clear" w:color="auto" w:fill="auto"/>
            <w:vAlign w:val="center"/>
            <w:hideMark/>
          </w:tcPr>
          <w:p w14:paraId="09243BB6" w14:textId="77777777" w:rsidR="006148B1" w:rsidRPr="00FF03D9" w:rsidRDefault="006148B1" w:rsidP="00DA3F9B">
            <w:pPr>
              <w:pStyle w:val="Body"/>
              <w:spacing w:after="0"/>
              <w:rPr>
                <w:rFonts w:ascii="Arial" w:hAnsi="Arial" w:cs="Arial"/>
              </w:rPr>
            </w:pPr>
            <w:r w:rsidRPr="00FF03D9">
              <w:rPr>
                <w:rFonts w:ascii="Arial" w:hAnsi="Arial" w:cs="Arial"/>
              </w:rPr>
              <w:t>230,324</w:t>
            </w:r>
          </w:p>
        </w:tc>
        <w:tc>
          <w:tcPr>
            <w:tcW w:w="783" w:type="pct"/>
            <w:tcBorders>
              <w:top w:val="nil"/>
              <w:bottom w:val="single" w:sz="4" w:space="0" w:color="auto"/>
            </w:tcBorders>
            <w:shd w:val="clear" w:color="auto" w:fill="auto"/>
            <w:vAlign w:val="center"/>
            <w:hideMark/>
          </w:tcPr>
          <w:p w14:paraId="4E137628" w14:textId="6171CE07" w:rsidR="006148B1" w:rsidRPr="00FF03D9" w:rsidRDefault="003D12B6" w:rsidP="00DA3F9B">
            <w:pPr>
              <w:pStyle w:val="Body"/>
              <w:spacing w:after="0"/>
              <w:rPr>
                <w:rFonts w:ascii="Arial" w:hAnsi="Arial" w:cs="Arial"/>
                <w:b/>
                <w:bCs/>
              </w:rPr>
            </w:pPr>
            <w:r>
              <w:rPr>
                <w:rFonts w:ascii="Arial" w:hAnsi="Arial" w:cs="Arial"/>
                <w:b/>
                <w:bCs/>
              </w:rPr>
              <w:t>0.</w:t>
            </w:r>
            <w:r w:rsidR="006148B1" w:rsidRPr="00FF03D9">
              <w:rPr>
                <w:rFonts w:ascii="Arial" w:hAnsi="Arial" w:cs="Arial"/>
                <w:b/>
                <w:bCs/>
              </w:rPr>
              <w:t>508</w:t>
            </w:r>
          </w:p>
        </w:tc>
      </w:tr>
    </w:tbl>
    <w:p w14:paraId="707AC26D"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3081BB45" w14:textId="77777777" w:rsidR="00FF03D9" w:rsidRPr="00FF03D9" w:rsidRDefault="00FF03D9" w:rsidP="00FF03D9">
      <w:pPr>
        <w:pStyle w:val="Body"/>
        <w:rPr>
          <w:rFonts w:ascii="Arial" w:hAnsi="Arial" w:cs="Arial"/>
        </w:rPr>
      </w:pPr>
      <w:r w:rsidRPr="00FF03D9">
        <w:rPr>
          <w:rFonts w:ascii="Arial" w:hAnsi="Arial" w:cs="Arial"/>
        </w:rPr>
        <w:t>Based on the test results above, it can be interpreted that the Learning Outcomes (Y) variable has an R Square value of 0.694 and an Adjusted R Square of 0.688. This shows that 69.4% of the variation in Learning Outcomes (Y) can be explained by the variables of Learning Independence (X1), Learning Facilities (X2), and Learning Motivation (X3). The remaining 30.6% is explained by other variables outside the model. The Adjusted R Square value which is close to the R Square value indicates that this model is quite stable.</w:t>
      </w:r>
    </w:p>
    <w:p w14:paraId="7BFA20A7" w14:textId="77777777" w:rsidR="00FF03D9" w:rsidRPr="00FF03D9" w:rsidRDefault="00FF03D9" w:rsidP="00FF03D9">
      <w:pPr>
        <w:pStyle w:val="Body"/>
        <w:rPr>
          <w:rFonts w:ascii="Arial" w:hAnsi="Arial" w:cs="Arial"/>
        </w:rPr>
      </w:pPr>
      <w:r w:rsidRPr="00FF03D9">
        <w:rPr>
          <w:rFonts w:ascii="Arial" w:hAnsi="Arial" w:cs="Arial"/>
        </w:rPr>
        <w:tab/>
        <w:t>The Predictive Relevance (Q²) value for Learning Outcomes (Y) is 0.508. Because the Q² value&gt; 0, this model has good Predictive Relevance, meaning that the model is able to predict observations accurately. The Q² value of 0.508 indicates that the model has a strong enough predictive ability, so it can be used to predict Learning Outcomes (Y) based on the independent variables included in the model.</w:t>
      </w:r>
    </w:p>
    <w:p w14:paraId="45C397A9" w14:textId="77777777" w:rsidR="00FF03D9" w:rsidRPr="00FF03D9" w:rsidRDefault="00FF03D9" w:rsidP="00FF03D9">
      <w:pPr>
        <w:pStyle w:val="Body"/>
        <w:rPr>
          <w:rFonts w:ascii="Arial" w:hAnsi="Arial" w:cs="Arial"/>
          <w:b/>
          <w:u w:val="single"/>
        </w:rPr>
      </w:pPr>
      <w:r w:rsidRPr="00FF03D9">
        <w:rPr>
          <w:rFonts w:ascii="Arial" w:hAnsi="Arial" w:cs="Arial"/>
          <w:b/>
          <w:u w:val="single"/>
        </w:rPr>
        <w:t>3.1.4. Hypothesis Testing</w:t>
      </w:r>
    </w:p>
    <w:p w14:paraId="7B9E04EF" w14:textId="77777777" w:rsidR="00FF03D9" w:rsidRPr="00FF03D9" w:rsidRDefault="00FF03D9" w:rsidP="00FF03D9">
      <w:pPr>
        <w:pStyle w:val="Body"/>
        <w:rPr>
          <w:rFonts w:ascii="Arial" w:hAnsi="Arial" w:cs="Arial"/>
        </w:rPr>
      </w:pPr>
      <w:r w:rsidRPr="00FF03D9">
        <w:rPr>
          <w:rFonts w:ascii="Arial" w:hAnsi="Arial" w:cs="Arial"/>
        </w:rPr>
        <w:t>Hypothesis testing is carried out to test the causal relationship between the independent variables (X1, X2, X3) and the dependent variable (Y). The following are the results of hypothesis testing using the p-value:</w:t>
      </w:r>
    </w:p>
    <w:p w14:paraId="78303D28" w14:textId="77777777" w:rsidR="00FF03D9" w:rsidRPr="00DA3F9B" w:rsidRDefault="00FF03D9" w:rsidP="00FF03D9">
      <w:pPr>
        <w:pStyle w:val="Body"/>
        <w:rPr>
          <w:rFonts w:ascii="Arial" w:hAnsi="Arial" w:cs="Arial"/>
          <w:b/>
          <w:bCs/>
        </w:rPr>
      </w:pPr>
      <w:bookmarkStart w:id="1" w:name="_GoBack"/>
      <w:r w:rsidRPr="00DA3F9B">
        <w:rPr>
          <w:rFonts w:ascii="Arial" w:hAnsi="Arial" w:cs="Arial"/>
          <w:b/>
          <w:bCs/>
        </w:rPr>
        <w:t>Table</w:t>
      </w:r>
      <w:bookmarkEnd w:id="1"/>
      <w:r w:rsidRPr="00DA3F9B">
        <w:rPr>
          <w:rFonts w:ascii="Arial" w:hAnsi="Arial" w:cs="Arial"/>
          <w:b/>
          <w:bCs/>
        </w:rPr>
        <w:t xml:space="preserve"> 8. Hypothesis Test Results</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1"/>
        <w:gridCol w:w="1580"/>
        <w:gridCol w:w="1388"/>
        <w:gridCol w:w="1586"/>
        <w:gridCol w:w="1765"/>
        <w:gridCol w:w="1386"/>
      </w:tblGrid>
      <w:tr w:rsidR="00FF03D9" w:rsidRPr="00FF03D9" w14:paraId="3975ADA4" w14:textId="77777777" w:rsidTr="00DA3F9B">
        <w:trPr>
          <w:trHeight w:val="300"/>
        </w:trPr>
        <w:tc>
          <w:tcPr>
            <w:tcW w:w="1503" w:type="pct"/>
            <w:tcBorders>
              <w:top w:val="single" w:sz="4" w:space="0" w:color="000000"/>
              <w:bottom w:val="single" w:sz="4" w:space="0" w:color="000000"/>
            </w:tcBorders>
            <w:noWrap/>
            <w:vAlign w:val="center"/>
            <w:hideMark/>
          </w:tcPr>
          <w:p w14:paraId="6DA71CF1" w14:textId="56EA5734" w:rsidR="00FF03D9" w:rsidRPr="00FF03D9" w:rsidRDefault="00B1269E" w:rsidP="00DA3F9B">
            <w:pPr>
              <w:pStyle w:val="Body"/>
              <w:spacing w:after="0"/>
              <w:jc w:val="center"/>
              <w:rPr>
                <w:rFonts w:ascii="Arial" w:hAnsi="Arial" w:cs="Arial"/>
                <w:b/>
                <w:bCs/>
                <w:sz w:val="20"/>
              </w:rPr>
            </w:pPr>
            <w:r w:rsidRPr="00B1269E">
              <w:rPr>
                <w:rFonts w:ascii="Arial" w:hAnsi="Arial" w:cs="Arial"/>
                <w:b/>
                <w:bCs/>
                <w:sz w:val="20"/>
              </w:rPr>
              <w:t>Variables</w:t>
            </w:r>
          </w:p>
        </w:tc>
        <w:tc>
          <w:tcPr>
            <w:tcW w:w="717" w:type="pct"/>
            <w:tcBorders>
              <w:top w:val="single" w:sz="4" w:space="0" w:color="000000"/>
              <w:bottom w:val="single" w:sz="4" w:space="0" w:color="000000"/>
            </w:tcBorders>
            <w:noWrap/>
            <w:vAlign w:val="center"/>
            <w:hideMark/>
          </w:tcPr>
          <w:p w14:paraId="3F0E3BAB" w14:textId="77777777" w:rsidR="00FF03D9" w:rsidRPr="00FF03D9" w:rsidRDefault="00FF03D9" w:rsidP="00DA3F9B">
            <w:pPr>
              <w:pStyle w:val="Body"/>
              <w:spacing w:after="0"/>
              <w:jc w:val="center"/>
              <w:rPr>
                <w:rFonts w:ascii="Arial" w:hAnsi="Arial" w:cs="Arial"/>
                <w:b/>
                <w:bCs/>
                <w:sz w:val="20"/>
              </w:rPr>
            </w:pPr>
            <w:r w:rsidRPr="00FF03D9">
              <w:rPr>
                <w:rFonts w:ascii="Arial" w:hAnsi="Arial" w:cs="Arial"/>
                <w:b/>
                <w:bCs/>
                <w:sz w:val="20"/>
              </w:rPr>
              <w:t>Original Sample (O)</w:t>
            </w:r>
          </w:p>
        </w:tc>
        <w:tc>
          <w:tcPr>
            <w:tcW w:w="630" w:type="pct"/>
            <w:tcBorders>
              <w:top w:val="single" w:sz="4" w:space="0" w:color="000000"/>
              <w:bottom w:val="single" w:sz="4" w:space="0" w:color="000000"/>
            </w:tcBorders>
            <w:noWrap/>
            <w:vAlign w:val="center"/>
            <w:hideMark/>
          </w:tcPr>
          <w:p w14:paraId="2013DB2D" w14:textId="77777777" w:rsidR="00FF03D9" w:rsidRPr="00FF03D9" w:rsidRDefault="00FF03D9" w:rsidP="00DA3F9B">
            <w:pPr>
              <w:pStyle w:val="Body"/>
              <w:spacing w:after="0"/>
              <w:jc w:val="center"/>
              <w:rPr>
                <w:rFonts w:ascii="Arial" w:hAnsi="Arial" w:cs="Arial"/>
                <w:b/>
                <w:sz w:val="20"/>
              </w:rPr>
            </w:pPr>
            <w:r w:rsidRPr="00FF03D9">
              <w:rPr>
                <w:rFonts w:ascii="Arial" w:hAnsi="Arial" w:cs="Arial"/>
                <w:b/>
                <w:sz w:val="20"/>
              </w:rPr>
              <w:t>Sample Mean (M)</w:t>
            </w:r>
          </w:p>
        </w:tc>
        <w:tc>
          <w:tcPr>
            <w:tcW w:w="720" w:type="pct"/>
            <w:tcBorders>
              <w:top w:val="single" w:sz="4" w:space="0" w:color="000000"/>
              <w:bottom w:val="single" w:sz="4" w:space="0" w:color="000000"/>
            </w:tcBorders>
            <w:noWrap/>
            <w:vAlign w:val="center"/>
            <w:hideMark/>
          </w:tcPr>
          <w:p w14:paraId="34CC0ED6" w14:textId="77777777" w:rsidR="00FF03D9" w:rsidRPr="00FF03D9" w:rsidRDefault="00FF03D9" w:rsidP="00DA3F9B">
            <w:pPr>
              <w:pStyle w:val="Body"/>
              <w:spacing w:after="0"/>
              <w:jc w:val="center"/>
              <w:rPr>
                <w:rFonts w:ascii="Arial" w:hAnsi="Arial" w:cs="Arial"/>
                <w:b/>
                <w:sz w:val="20"/>
              </w:rPr>
            </w:pPr>
            <w:r w:rsidRPr="00FF03D9">
              <w:rPr>
                <w:rFonts w:ascii="Arial" w:hAnsi="Arial" w:cs="Arial"/>
                <w:b/>
                <w:sz w:val="20"/>
              </w:rPr>
              <w:t>Standard Deviation (STDEV)</w:t>
            </w:r>
          </w:p>
        </w:tc>
        <w:tc>
          <w:tcPr>
            <w:tcW w:w="801" w:type="pct"/>
            <w:tcBorders>
              <w:top w:val="single" w:sz="4" w:space="0" w:color="000000"/>
              <w:bottom w:val="single" w:sz="4" w:space="0" w:color="000000"/>
            </w:tcBorders>
            <w:noWrap/>
            <w:vAlign w:val="center"/>
            <w:hideMark/>
          </w:tcPr>
          <w:p w14:paraId="1361F825" w14:textId="77777777" w:rsidR="00FF03D9" w:rsidRPr="00FF03D9" w:rsidRDefault="00FF03D9" w:rsidP="00DA3F9B">
            <w:pPr>
              <w:pStyle w:val="Body"/>
              <w:spacing w:after="0"/>
              <w:jc w:val="center"/>
              <w:rPr>
                <w:rFonts w:ascii="Arial" w:hAnsi="Arial" w:cs="Arial"/>
                <w:b/>
                <w:sz w:val="20"/>
              </w:rPr>
            </w:pPr>
            <w:r w:rsidRPr="00FF03D9">
              <w:rPr>
                <w:rFonts w:ascii="Arial" w:hAnsi="Arial" w:cs="Arial"/>
                <w:b/>
                <w:sz w:val="20"/>
              </w:rPr>
              <w:t>T Statistics (|O/STDEV|)</w:t>
            </w:r>
          </w:p>
        </w:tc>
        <w:tc>
          <w:tcPr>
            <w:tcW w:w="629" w:type="pct"/>
            <w:tcBorders>
              <w:top w:val="single" w:sz="4" w:space="0" w:color="000000"/>
              <w:bottom w:val="single" w:sz="4" w:space="0" w:color="000000"/>
            </w:tcBorders>
            <w:noWrap/>
            <w:vAlign w:val="center"/>
            <w:hideMark/>
          </w:tcPr>
          <w:p w14:paraId="30795319" w14:textId="77777777" w:rsidR="00FF03D9" w:rsidRPr="00FF03D9" w:rsidRDefault="00FF03D9" w:rsidP="00DA3F9B">
            <w:pPr>
              <w:pStyle w:val="Body"/>
              <w:spacing w:after="0"/>
              <w:jc w:val="center"/>
              <w:rPr>
                <w:rFonts w:ascii="Arial" w:hAnsi="Arial" w:cs="Arial"/>
                <w:b/>
                <w:bCs/>
                <w:sz w:val="20"/>
              </w:rPr>
            </w:pPr>
            <w:r w:rsidRPr="00FF03D9">
              <w:rPr>
                <w:rFonts w:ascii="Arial" w:hAnsi="Arial" w:cs="Arial"/>
                <w:b/>
                <w:bCs/>
                <w:sz w:val="20"/>
              </w:rPr>
              <w:t>P Values</w:t>
            </w:r>
          </w:p>
        </w:tc>
      </w:tr>
      <w:tr w:rsidR="006148B1" w:rsidRPr="00FF03D9" w14:paraId="2482C5E6" w14:textId="77777777" w:rsidTr="00DA3F9B">
        <w:trPr>
          <w:trHeight w:val="300"/>
        </w:trPr>
        <w:tc>
          <w:tcPr>
            <w:tcW w:w="1503" w:type="pct"/>
            <w:tcBorders>
              <w:top w:val="single" w:sz="4" w:space="0" w:color="000000"/>
            </w:tcBorders>
            <w:noWrap/>
            <w:hideMark/>
          </w:tcPr>
          <w:p w14:paraId="729331F5" w14:textId="77777777" w:rsidR="006148B1" w:rsidRPr="00C130C7" w:rsidRDefault="006148B1" w:rsidP="002545CE">
            <w:r w:rsidRPr="00C130C7">
              <w:t>Learning Independence (X1) → Learning Outcomes (Y)</w:t>
            </w:r>
          </w:p>
        </w:tc>
        <w:tc>
          <w:tcPr>
            <w:tcW w:w="717" w:type="pct"/>
            <w:tcBorders>
              <w:top w:val="single" w:sz="4" w:space="0" w:color="000000"/>
            </w:tcBorders>
            <w:noWrap/>
            <w:hideMark/>
          </w:tcPr>
          <w:p w14:paraId="13F08BDA"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0,193</w:t>
            </w:r>
          </w:p>
        </w:tc>
        <w:tc>
          <w:tcPr>
            <w:tcW w:w="630" w:type="pct"/>
            <w:tcBorders>
              <w:top w:val="single" w:sz="4" w:space="0" w:color="000000"/>
            </w:tcBorders>
            <w:noWrap/>
            <w:hideMark/>
          </w:tcPr>
          <w:p w14:paraId="0E31E9D0" w14:textId="77777777" w:rsidR="006148B1" w:rsidRPr="00FF03D9" w:rsidRDefault="006148B1" w:rsidP="00DA3F9B">
            <w:pPr>
              <w:pStyle w:val="Body"/>
              <w:spacing w:after="0"/>
              <w:rPr>
                <w:rFonts w:ascii="Arial" w:hAnsi="Arial" w:cs="Arial"/>
                <w:sz w:val="20"/>
              </w:rPr>
            </w:pPr>
            <w:r w:rsidRPr="00FF03D9">
              <w:rPr>
                <w:rFonts w:ascii="Arial" w:hAnsi="Arial" w:cs="Arial"/>
                <w:sz w:val="20"/>
              </w:rPr>
              <w:t>0,190</w:t>
            </w:r>
          </w:p>
        </w:tc>
        <w:tc>
          <w:tcPr>
            <w:tcW w:w="720" w:type="pct"/>
            <w:tcBorders>
              <w:top w:val="single" w:sz="4" w:space="0" w:color="000000"/>
            </w:tcBorders>
            <w:noWrap/>
            <w:hideMark/>
          </w:tcPr>
          <w:p w14:paraId="2BE38C35" w14:textId="77777777" w:rsidR="006148B1" w:rsidRPr="00FF03D9" w:rsidRDefault="006148B1" w:rsidP="00DA3F9B">
            <w:pPr>
              <w:pStyle w:val="Body"/>
              <w:spacing w:after="0"/>
              <w:rPr>
                <w:rFonts w:ascii="Arial" w:hAnsi="Arial" w:cs="Arial"/>
                <w:sz w:val="20"/>
              </w:rPr>
            </w:pPr>
            <w:r w:rsidRPr="00FF03D9">
              <w:rPr>
                <w:rFonts w:ascii="Arial" w:hAnsi="Arial" w:cs="Arial"/>
                <w:sz w:val="20"/>
              </w:rPr>
              <w:t>0,089</w:t>
            </w:r>
          </w:p>
        </w:tc>
        <w:tc>
          <w:tcPr>
            <w:tcW w:w="801" w:type="pct"/>
            <w:tcBorders>
              <w:top w:val="single" w:sz="4" w:space="0" w:color="000000"/>
            </w:tcBorders>
            <w:noWrap/>
            <w:hideMark/>
          </w:tcPr>
          <w:p w14:paraId="53869735" w14:textId="77777777" w:rsidR="006148B1" w:rsidRPr="00FF03D9" w:rsidRDefault="006148B1" w:rsidP="00DA3F9B">
            <w:pPr>
              <w:pStyle w:val="Body"/>
              <w:spacing w:after="0"/>
              <w:rPr>
                <w:rFonts w:ascii="Arial" w:hAnsi="Arial" w:cs="Arial"/>
                <w:sz w:val="20"/>
              </w:rPr>
            </w:pPr>
            <w:r w:rsidRPr="00FF03D9">
              <w:rPr>
                <w:rFonts w:ascii="Arial" w:hAnsi="Arial" w:cs="Arial"/>
                <w:sz w:val="20"/>
              </w:rPr>
              <w:t>2,163</w:t>
            </w:r>
          </w:p>
        </w:tc>
        <w:tc>
          <w:tcPr>
            <w:tcW w:w="629" w:type="pct"/>
            <w:tcBorders>
              <w:top w:val="single" w:sz="4" w:space="0" w:color="000000"/>
            </w:tcBorders>
            <w:noWrap/>
            <w:hideMark/>
          </w:tcPr>
          <w:p w14:paraId="6D63B0CE"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0,031</w:t>
            </w:r>
          </w:p>
        </w:tc>
      </w:tr>
      <w:tr w:rsidR="006148B1" w:rsidRPr="00FF03D9" w14:paraId="0B2B96C5" w14:textId="77777777" w:rsidTr="00DA3F9B">
        <w:trPr>
          <w:trHeight w:val="300"/>
        </w:trPr>
        <w:tc>
          <w:tcPr>
            <w:tcW w:w="1503" w:type="pct"/>
            <w:noWrap/>
            <w:hideMark/>
          </w:tcPr>
          <w:p w14:paraId="47EED428" w14:textId="77777777" w:rsidR="006148B1" w:rsidRPr="00C130C7" w:rsidRDefault="006148B1" w:rsidP="002545CE">
            <w:r w:rsidRPr="00C130C7">
              <w:t>Learning Facilities (X2) → Learning Outcomes (Y)</w:t>
            </w:r>
          </w:p>
        </w:tc>
        <w:tc>
          <w:tcPr>
            <w:tcW w:w="717" w:type="pct"/>
            <w:noWrap/>
            <w:hideMark/>
          </w:tcPr>
          <w:p w14:paraId="304DE6F0"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0,328</w:t>
            </w:r>
          </w:p>
        </w:tc>
        <w:tc>
          <w:tcPr>
            <w:tcW w:w="630" w:type="pct"/>
            <w:noWrap/>
            <w:hideMark/>
          </w:tcPr>
          <w:p w14:paraId="37A147F3" w14:textId="77777777" w:rsidR="006148B1" w:rsidRPr="00FF03D9" w:rsidRDefault="006148B1" w:rsidP="00DA3F9B">
            <w:pPr>
              <w:pStyle w:val="Body"/>
              <w:spacing w:after="0"/>
              <w:rPr>
                <w:rFonts w:ascii="Arial" w:hAnsi="Arial" w:cs="Arial"/>
                <w:sz w:val="20"/>
              </w:rPr>
            </w:pPr>
            <w:r w:rsidRPr="00FF03D9">
              <w:rPr>
                <w:rFonts w:ascii="Arial" w:hAnsi="Arial" w:cs="Arial"/>
                <w:sz w:val="20"/>
              </w:rPr>
              <w:t>0,324</w:t>
            </w:r>
          </w:p>
        </w:tc>
        <w:tc>
          <w:tcPr>
            <w:tcW w:w="720" w:type="pct"/>
            <w:noWrap/>
            <w:hideMark/>
          </w:tcPr>
          <w:p w14:paraId="4152090C" w14:textId="77777777" w:rsidR="006148B1" w:rsidRPr="00FF03D9" w:rsidRDefault="006148B1" w:rsidP="00DA3F9B">
            <w:pPr>
              <w:pStyle w:val="Body"/>
              <w:spacing w:after="0"/>
              <w:rPr>
                <w:rFonts w:ascii="Arial" w:hAnsi="Arial" w:cs="Arial"/>
                <w:sz w:val="20"/>
              </w:rPr>
            </w:pPr>
            <w:r w:rsidRPr="00FF03D9">
              <w:rPr>
                <w:rFonts w:ascii="Arial" w:hAnsi="Arial" w:cs="Arial"/>
                <w:sz w:val="20"/>
              </w:rPr>
              <w:t>0,089</w:t>
            </w:r>
          </w:p>
        </w:tc>
        <w:tc>
          <w:tcPr>
            <w:tcW w:w="801" w:type="pct"/>
            <w:noWrap/>
            <w:hideMark/>
          </w:tcPr>
          <w:p w14:paraId="0331EE0D" w14:textId="77777777" w:rsidR="006148B1" w:rsidRPr="00FF03D9" w:rsidRDefault="006148B1" w:rsidP="00DA3F9B">
            <w:pPr>
              <w:pStyle w:val="Body"/>
              <w:spacing w:after="0"/>
              <w:rPr>
                <w:rFonts w:ascii="Arial" w:hAnsi="Arial" w:cs="Arial"/>
                <w:sz w:val="20"/>
              </w:rPr>
            </w:pPr>
            <w:r w:rsidRPr="00FF03D9">
              <w:rPr>
                <w:rFonts w:ascii="Arial" w:hAnsi="Arial" w:cs="Arial"/>
                <w:sz w:val="20"/>
              </w:rPr>
              <w:t>3,708</w:t>
            </w:r>
          </w:p>
        </w:tc>
        <w:tc>
          <w:tcPr>
            <w:tcW w:w="629" w:type="pct"/>
            <w:noWrap/>
            <w:hideMark/>
          </w:tcPr>
          <w:p w14:paraId="2D861049"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0,000</w:t>
            </w:r>
          </w:p>
        </w:tc>
      </w:tr>
      <w:tr w:rsidR="006148B1" w:rsidRPr="00FF03D9" w14:paraId="2A183E10" w14:textId="77777777" w:rsidTr="00DA3F9B">
        <w:trPr>
          <w:trHeight w:val="300"/>
        </w:trPr>
        <w:tc>
          <w:tcPr>
            <w:tcW w:w="1503" w:type="pct"/>
            <w:noWrap/>
            <w:hideMark/>
          </w:tcPr>
          <w:p w14:paraId="2243AA4E" w14:textId="77777777" w:rsidR="006148B1" w:rsidRPr="00C130C7" w:rsidRDefault="006148B1" w:rsidP="002545CE">
            <w:r w:rsidRPr="00C130C7">
              <w:t>Learning Motivation (X3) → Learning Outcomes (Y)</w:t>
            </w:r>
          </w:p>
        </w:tc>
        <w:tc>
          <w:tcPr>
            <w:tcW w:w="717" w:type="pct"/>
            <w:noWrap/>
            <w:hideMark/>
          </w:tcPr>
          <w:p w14:paraId="18E948A8"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0,404</w:t>
            </w:r>
          </w:p>
        </w:tc>
        <w:tc>
          <w:tcPr>
            <w:tcW w:w="630" w:type="pct"/>
            <w:noWrap/>
            <w:hideMark/>
          </w:tcPr>
          <w:p w14:paraId="48951219" w14:textId="77777777" w:rsidR="006148B1" w:rsidRPr="00FF03D9" w:rsidRDefault="006148B1" w:rsidP="00DA3F9B">
            <w:pPr>
              <w:pStyle w:val="Body"/>
              <w:spacing w:after="0"/>
              <w:rPr>
                <w:rFonts w:ascii="Arial" w:hAnsi="Arial" w:cs="Arial"/>
                <w:sz w:val="20"/>
              </w:rPr>
            </w:pPr>
            <w:r w:rsidRPr="00FF03D9">
              <w:rPr>
                <w:rFonts w:ascii="Arial" w:hAnsi="Arial" w:cs="Arial"/>
                <w:sz w:val="20"/>
              </w:rPr>
              <w:t>0,412</w:t>
            </w:r>
          </w:p>
        </w:tc>
        <w:tc>
          <w:tcPr>
            <w:tcW w:w="720" w:type="pct"/>
            <w:noWrap/>
            <w:hideMark/>
          </w:tcPr>
          <w:p w14:paraId="19E42459" w14:textId="77777777" w:rsidR="006148B1" w:rsidRPr="00FF03D9" w:rsidRDefault="006148B1" w:rsidP="00DA3F9B">
            <w:pPr>
              <w:pStyle w:val="Body"/>
              <w:spacing w:after="0"/>
              <w:rPr>
                <w:rFonts w:ascii="Arial" w:hAnsi="Arial" w:cs="Arial"/>
                <w:sz w:val="20"/>
              </w:rPr>
            </w:pPr>
            <w:r w:rsidRPr="00FF03D9">
              <w:rPr>
                <w:rFonts w:ascii="Arial" w:hAnsi="Arial" w:cs="Arial"/>
                <w:sz w:val="20"/>
              </w:rPr>
              <w:t>0,093</w:t>
            </w:r>
          </w:p>
        </w:tc>
        <w:tc>
          <w:tcPr>
            <w:tcW w:w="801" w:type="pct"/>
            <w:noWrap/>
            <w:hideMark/>
          </w:tcPr>
          <w:p w14:paraId="605326F3" w14:textId="77777777" w:rsidR="006148B1" w:rsidRPr="00FF03D9" w:rsidRDefault="006148B1" w:rsidP="00DA3F9B">
            <w:pPr>
              <w:pStyle w:val="Body"/>
              <w:spacing w:after="0"/>
              <w:rPr>
                <w:rFonts w:ascii="Arial" w:hAnsi="Arial" w:cs="Arial"/>
                <w:sz w:val="20"/>
              </w:rPr>
            </w:pPr>
            <w:r w:rsidRPr="00FF03D9">
              <w:rPr>
                <w:rFonts w:ascii="Arial" w:hAnsi="Arial" w:cs="Arial"/>
                <w:sz w:val="20"/>
              </w:rPr>
              <w:t>4,341</w:t>
            </w:r>
          </w:p>
        </w:tc>
        <w:tc>
          <w:tcPr>
            <w:tcW w:w="629" w:type="pct"/>
            <w:noWrap/>
            <w:hideMark/>
          </w:tcPr>
          <w:p w14:paraId="710A1017"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0,000</w:t>
            </w:r>
          </w:p>
        </w:tc>
      </w:tr>
      <w:tr w:rsidR="006148B1" w:rsidRPr="00FF03D9" w14:paraId="69A1ABA4" w14:textId="77777777" w:rsidTr="00DA3F9B">
        <w:tc>
          <w:tcPr>
            <w:tcW w:w="1503" w:type="pct"/>
          </w:tcPr>
          <w:p w14:paraId="7F11C174" w14:textId="77777777" w:rsidR="006148B1" w:rsidRDefault="006148B1" w:rsidP="002545CE">
            <w:r w:rsidRPr="00C130C7">
              <w:t>X1,X2,X3→Learning Outcomes (Y)</w:t>
            </w:r>
          </w:p>
        </w:tc>
        <w:tc>
          <w:tcPr>
            <w:tcW w:w="717" w:type="pct"/>
          </w:tcPr>
          <w:p w14:paraId="67377094" w14:textId="77777777" w:rsidR="006148B1" w:rsidRPr="00FF03D9" w:rsidRDefault="006148B1" w:rsidP="00DA3F9B">
            <w:pPr>
              <w:pStyle w:val="Body"/>
              <w:spacing w:after="0"/>
              <w:rPr>
                <w:rFonts w:ascii="Arial" w:hAnsi="Arial" w:cs="Arial"/>
                <w:iCs/>
                <w:sz w:val="20"/>
              </w:rPr>
            </w:pPr>
            <w:r w:rsidRPr="00FF03D9">
              <w:rPr>
                <w:rFonts w:ascii="Arial" w:hAnsi="Arial" w:cs="Arial"/>
                <w:iCs/>
                <w:sz w:val="20"/>
              </w:rPr>
              <w:t>R²=0,673</w:t>
            </w:r>
          </w:p>
        </w:tc>
        <w:tc>
          <w:tcPr>
            <w:tcW w:w="630" w:type="pct"/>
          </w:tcPr>
          <w:p w14:paraId="54E6DE44" w14:textId="77777777" w:rsidR="006148B1" w:rsidRPr="00FF03D9" w:rsidRDefault="006148B1" w:rsidP="00DA3F9B">
            <w:pPr>
              <w:pStyle w:val="Body"/>
              <w:spacing w:after="0"/>
              <w:rPr>
                <w:rFonts w:ascii="Arial" w:hAnsi="Arial" w:cs="Arial"/>
                <w:iCs/>
                <w:sz w:val="20"/>
              </w:rPr>
            </w:pPr>
            <w:r w:rsidRPr="00FF03D9">
              <w:rPr>
                <w:rFonts w:ascii="Arial" w:hAnsi="Arial" w:cs="Arial"/>
                <w:iCs/>
                <w:sz w:val="20"/>
              </w:rPr>
              <w:t>-</w:t>
            </w:r>
          </w:p>
        </w:tc>
        <w:tc>
          <w:tcPr>
            <w:tcW w:w="720" w:type="pct"/>
          </w:tcPr>
          <w:p w14:paraId="37E9C440" w14:textId="77777777" w:rsidR="006148B1" w:rsidRPr="00FF03D9" w:rsidRDefault="006148B1" w:rsidP="00DA3F9B">
            <w:pPr>
              <w:pStyle w:val="Body"/>
              <w:spacing w:after="0"/>
              <w:rPr>
                <w:rFonts w:ascii="Arial" w:hAnsi="Arial" w:cs="Arial"/>
                <w:iCs/>
                <w:sz w:val="20"/>
              </w:rPr>
            </w:pPr>
            <w:r w:rsidRPr="00FF03D9">
              <w:rPr>
                <w:rFonts w:ascii="Arial" w:hAnsi="Arial" w:cs="Arial"/>
                <w:iCs/>
                <w:sz w:val="20"/>
              </w:rPr>
              <w:t>-</w:t>
            </w:r>
          </w:p>
        </w:tc>
        <w:tc>
          <w:tcPr>
            <w:tcW w:w="801" w:type="pct"/>
          </w:tcPr>
          <w:p w14:paraId="1E1A9428" w14:textId="77777777" w:rsidR="006148B1" w:rsidRPr="00FF03D9" w:rsidRDefault="006148B1" w:rsidP="00DA3F9B">
            <w:pPr>
              <w:pStyle w:val="Body"/>
              <w:spacing w:after="0"/>
              <w:rPr>
                <w:rFonts w:ascii="Arial" w:hAnsi="Arial" w:cs="Arial"/>
                <w:iCs/>
                <w:sz w:val="20"/>
              </w:rPr>
            </w:pPr>
            <w:r w:rsidRPr="00FF03D9">
              <w:rPr>
                <w:rFonts w:ascii="Arial" w:hAnsi="Arial" w:cs="Arial"/>
                <w:iCs/>
                <w:sz w:val="20"/>
              </w:rPr>
              <w:t>-</w:t>
            </w:r>
          </w:p>
        </w:tc>
        <w:tc>
          <w:tcPr>
            <w:tcW w:w="629" w:type="pct"/>
          </w:tcPr>
          <w:p w14:paraId="7CB29240" w14:textId="77777777" w:rsidR="006148B1" w:rsidRPr="00FF03D9" w:rsidRDefault="006148B1" w:rsidP="00DA3F9B">
            <w:pPr>
              <w:pStyle w:val="Body"/>
              <w:spacing w:after="0"/>
              <w:rPr>
                <w:rFonts w:ascii="Arial" w:hAnsi="Arial" w:cs="Arial"/>
                <w:iCs/>
                <w:sz w:val="20"/>
              </w:rPr>
            </w:pPr>
            <w:r w:rsidRPr="00FF03D9">
              <w:rPr>
                <w:rFonts w:ascii="Arial" w:hAnsi="Arial" w:cs="Arial"/>
                <w:iCs/>
                <w:sz w:val="20"/>
              </w:rPr>
              <w:t>&lt;0,05</w:t>
            </w:r>
          </w:p>
        </w:tc>
      </w:tr>
    </w:tbl>
    <w:p w14:paraId="7A429F4C"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68E615F3" w14:textId="77777777" w:rsidR="00FF03D9" w:rsidRPr="00FF03D9" w:rsidRDefault="00FF03D9" w:rsidP="00FF03D9">
      <w:pPr>
        <w:pStyle w:val="Body"/>
        <w:rPr>
          <w:rFonts w:ascii="Arial" w:hAnsi="Arial" w:cs="Arial"/>
        </w:rPr>
      </w:pPr>
      <w:r w:rsidRPr="00FF03D9">
        <w:rPr>
          <w:rFonts w:ascii="Arial" w:hAnsi="Arial" w:cs="Arial"/>
        </w:rPr>
        <w:t xml:space="preserve">Based on the results of hypothesis testing, it can be interpreted that the three independent variables, namely Learning Independence (X1), Learning Facilities (X2), and Learning Motivation (X3), significantly affect Learning Outcomes (Y). </w:t>
      </w:r>
    </w:p>
    <w:p w14:paraId="5DE5087B" w14:textId="77777777" w:rsidR="00FF03D9" w:rsidRPr="00FF03D9" w:rsidRDefault="00FF03D9" w:rsidP="00FF03D9">
      <w:pPr>
        <w:pStyle w:val="Body"/>
        <w:numPr>
          <w:ilvl w:val="0"/>
          <w:numId w:val="34"/>
        </w:numPr>
        <w:rPr>
          <w:rFonts w:ascii="Arial" w:hAnsi="Arial" w:cs="Arial"/>
        </w:rPr>
      </w:pPr>
      <w:r w:rsidRPr="00FF03D9">
        <w:rPr>
          <w:rFonts w:ascii="Arial" w:hAnsi="Arial" w:cs="Arial"/>
        </w:rPr>
        <w:t xml:space="preserve">Learning Independence (X1) has a positive and significant influence on Learning Outcomes (Y) with a path coefficient of 0.193 and p-values of 0.031 &lt;0.05%. This means that the higher the level of student learning independence by 1, the value of learning outcomes will increase by 0.193. </w:t>
      </w:r>
    </w:p>
    <w:p w14:paraId="36834488" w14:textId="77777777" w:rsidR="00FF03D9" w:rsidRPr="00FF03D9" w:rsidRDefault="00FF03D9" w:rsidP="00FF03D9">
      <w:pPr>
        <w:pStyle w:val="Body"/>
        <w:numPr>
          <w:ilvl w:val="0"/>
          <w:numId w:val="34"/>
        </w:numPr>
        <w:rPr>
          <w:rFonts w:ascii="Arial" w:hAnsi="Arial" w:cs="Arial"/>
        </w:rPr>
      </w:pPr>
      <w:r w:rsidRPr="00FF03D9">
        <w:rPr>
          <w:rFonts w:ascii="Arial" w:hAnsi="Arial" w:cs="Arial"/>
        </w:rPr>
        <w:t xml:space="preserve">Learning Facilities (X2) also has a positive and significant effect on Learning Outcomes (Y) with a path coefficient of 0.328 and p-values of 0.000 &lt;0.05%. This means that if the value of learning facilities increases by 1, student learning outcomes will also increase by 0.328. </w:t>
      </w:r>
    </w:p>
    <w:p w14:paraId="64E8D3D2" w14:textId="77777777" w:rsidR="00FF03D9" w:rsidRPr="00FF03D9" w:rsidRDefault="00FF03D9" w:rsidP="00FF03D9">
      <w:pPr>
        <w:pStyle w:val="Body"/>
        <w:numPr>
          <w:ilvl w:val="0"/>
          <w:numId w:val="34"/>
        </w:numPr>
        <w:rPr>
          <w:rFonts w:ascii="Arial" w:hAnsi="Arial" w:cs="Arial"/>
        </w:rPr>
      </w:pPr>
      <w:r w:rsidRPr="00FF03D9">
        <w:rPr>
          <w:rFonts w:ascii="Arial" w:hAnsi="Arial" w:cs="Arial"/>
        </w:rPr>
        <w:t>Learning Motivation (X3) has the greatest influence on Learning Outcomes (Y) with a path coefficient of 0.404 and p-values of 0.000 &lt;0.05%. This means that if learning motivation increases by 1 then student learning outcomes also increase by 0.404.</w:t>
      </w:r>
    </w:p>
    <w:p w14:paraId="531304E4" w14:textId="77777777" w:rsidR="00FF03D9" w:rsidRDefault="00FF03D9" w:rsidP="00FF03D9">
      <w:pPr>
        <w:pStyle w:val="Body"/>
        <w:numPr>
          <w:ilvl w:val="0"/>
          <w:numId w:val="34"/>
        </w:numPr>
        <w:rPr>
          <w:rFonts w:ascii="Arial" w:hAnsi="Arial" w:cs="Arial"/>
        </w:rPr>
      </w:pPr>
      <w:r w:rsidRPr="00FF03D9">
        <w:rPr>
          <w:rFonts w:ascii="Arial" w:hAnsi="Arial" w:cs="Arial"/>
        </w:rPr>
        <w:t>Learning Independence (X1), Learning Facilities (X2), Learning Motivation (X3), has the greatest influence on Learning Outcomes (Y) with a path coefficient of 0.673 and a p-value of 0.000 &lt;0.05 if X1,X2,X3 increases by 1 then student learning outcomes also increase by 0.673.</w:t>
      </w:r>
    </w:p>
    <w:p w14:paraId="1BAF845C" w14:textId="77777777" w:rsidR="006148B1" w:rsidRPr="00FF03D9" w:rsidRDefault="006148B1" w:rsidP="006148B1">
      <w:pPr>
        <w:pStyle w:val="Body"/>
        <w:ind w:left="720"/>
        <w:rPr>
          <w:rFonts w:ascii="Arial" w:hAnsi="Arial" w:cs="Arial"/>
        </w:rPr>
      </w:pPr>
    </w:p>
    <w:p w14:paraId="3775759E" w14:textId="77777777" w:rsidR="007B76B6" w:rsidRPr="0037320A" w:rsidRDefault="0037320A" w:rsidP="007B76B6">
      <w:pPr>
        <w:pStyle w:val="Body"/>
        <w:rPr>
          <w:rFonts w:ascii="Arial" w:hAnsi="Arial" w:cs="Arial"/>
          <w:b/>
        </w:rPr>
      </w:pPr>
      <w:r>
        <w:rPr>
          <w:rFonts w:ascii="Arial" w:hAnsi="Arial" w:cs="Arial"/>
          <w:b/>
        </w:rPr>
        <w:lastRenderedPageBreak/>
        <w:t xml:space="preserve">3.2 </w:t>
      </w:r>
      <w:r w:rsidRPr="0037320A">
        <w:rPr>
          <w:rFonts w:ascii="Arial" w:hAnsi="Arial" w:cs="Arial"/>
          <w:b/>
        </w:rPr>
        <w:t>Discussion</w:t>
      </w:r>
    </w:p>
    <w:p w14:paraId="302E1115" w14:textId="77777777" w:rsidR="0037320A" w:rsidRPr="0037320A" w:rsidRDefault="0037320A" w:rsidP="0037320A">
      <w:pPr>
        <w:pStyle w:val="Body"/>
        <w:rPr>
          <w:rFonts w:ascii="Arial" w:hAnsi="Arial" w:cs="Arial"/>
          <w:b/>
          <w:u w:val="single"/>
        </w:rPr>
      </w:pPr>
      <w:r w:rsidRPr="0037320A">
        <w:rPr>
          <w:rFonts w:ascii="Arial" w:hAnsi="Arial" w:cs="Arial"/>
          <w:b/>
          <w:u w:val="single"/>
        </w:rPr>
        <w:t>3.2.1. The Effect of Learning Independence on Learning Outcomes</w:t>
      </w:r>
    </w:p>
    <w:p w14:paraId="75484047" w14:textId="77777777" w:rsidR="0094744B" w:rsidRDefault="0094744B" w:rsidP="0037320A">
      <w:pPr>
        <w:pStyle w:val="Body"/>
        <w:rPr>
          <w:rFonts w:ascii="Arial" w:hAnsi="Arial" w:cs="Arial"/>
        </w:rPr>
      </w:pPr>
      <w:r w:rsidRPr="0094744B">
        <w:rPr>
          <w:rFonts w:ascii="Arial" w:hAnsi="Arial" w:cs="Arial"/>
        </w:rPr>
        <w:t>Based on the research conducted, it is known that the variable of learning independence has a very positive and significant effect on learning outcomes. These results show that if there is an increase in the value of student learning independence, there will also be an increase in student learning outcomes, especially in economics. Students who tend to be independent in learning have a great responsibility for their academic progress. They possess self-management skills, high initiative, and strong motivation to continue achieving better results.</w:t>
      </w:r>
      <w:r>
        <w:rPr>
          <w:rFonts w:ascii="Arial" w:hAnsi="Arial" w:cs="Arial"/>
        </w:rPr>
        <w:t xml:space="preserve"> </w:t>
      </w:r>
    </w:p>
    <w:p w14:paraId="57EF3C6F" w14:textId="6DD2116D" w:rsidR="00122D5C" w:rsidRDefault="00122D5C" w:rsidP="0037320A">
      <w:pPr>
        <w:pStyle w:val="Body"/>
        <w:rPr>
          <w:rFonts w:ascii="Arial" w:hAnsi="Arial" w:cs="Arial"/>
        </w:rPr>
      </w:pPr>
      <w:r w:rsidRPr="00122D5C">
        <w:rPr>
          <w:rFonts w:ascii="Arial" w:hAnsi="Arial" w:cs="Arial"/>
        </w:rPr>
        <w:t>Learning independence is considered a key factor that greatly influences success in the learning process (</w:t>
      </w:r>
      <w:proofErr w:type="spellStart"/>
      <w:r w:rsidRPr="00122D5C">
        <w:rPr>
          <w:rFonts w:ascii="Arial" w:hAnsi="Arial" w:cs="Arial"/>
        </w:rPr>
        <w:t>Matsani</w:t>
      </w:r>
      <w:proofErr w:type="spellEnd"/>
      <w:r w:rsidRPr="00122D5C">
        <w:rPr>
          <w:rFonts w:ascii="Arial" w:hAnsi="Arial" w:cs="Arial"/>
        </w:rPr>
        <w:t xml:space="preserve"> &amp; Rafsanjani, 2021). Independent learning is a learning method that is active and involves individual participation, with the aim of developing self-potential without depending on the presence of other students, face-to-face meetings in class, or interactions with classmates.</w:t>
      </w:r>
    </w:p>
    <w:p w14:paraId="35087F8A" w14:textId="0FEE5AE6" w:rsidR="00DD2C1E" w:rsidRDefault="00DD2C1E" w:rsidP="0037320A">
      <w:pPr>
        <w:pStyle w:val="Body"/>
        <w:rPr>
          <w:rFonts w:ascii="Arial" w:hAnsi="Arial" w:cs="Arial"/>
        </w:rPr>
      </w:pPr>
      <w:r w:rsidRPr="00DD2C1E">
        <w:rPr>
          <w:rFonts w:ascii="Arial" w:hAnsi="Arial" w:cs="Arial"/>
        </w:rPr>
        <w:t>Based on interviews with students, it was found that students' confidence levels were quite high in terms of their ability to understand lesson material, complete assignments, and take exams independently. This can be seen from the results of th</w:t>
      </w:r>
      <w:r w:rsidR="00420E6B">
        <w:rPr>
          <w:rFonts w:ascii="Arial" w:hAnsi="Arial" w:cs="Arial"/>
        </w:rPr>
        <w:t>e student interviews as follows.</w:t>
      </w:r>
    </w:p>
    <w:p w14:paraId="29E5A254" w14:textId="221199D1" w:rsidR="0037320A" w:rsidRPr="0037320A" w:rsidRDefault="0037320A" w:rsidP="0037320A">
      <w:pPr>
        <w:pStyle w:val="Body"/>
        <w:rPr>
          <w:rFonts w:ascii="Arial" w:hAnsi="Arial" w:cs="Arial"/>
        </w:rPr>
      </w:pPr>
      <w:r w:rsidRPr="0037320A">
        <w:rPr>
          <w:rFonts w:ascii="Arial" w:hAnsi="Arial" w:cs="Arial"/>
        </w:rPr>
        <w:t>“I am confident in my ability to understand the subject matter without help from others.” (Average score: 3.8) and</w:t>
      </w:r>
      <w:r w:rsidRPr="0037320A">
        <w:rPr>
          <w:rFonts w:ascii="Arial" w:hAnsi="Arial" w:cs="Arial"/>
        </w:rPr>
        <w:br/>
        <w:t>“I feel confident completing school assignments through my own efforts.” (Average score: 4.0)</w:t>
      </w:r>
    </w:p>
    <w:p w14:paraId="384F220E" w14:textId="77777777" w:rsidR="003D5CBE" w:rsidRPr="003D5CBE" w:rsidRDefault="003D5CBE" w:rsidP="003D5CBE">
      <w:pPr>
        <w:pStyle w:val="Body"/>
        <w:rPr>
          <w:rFonts w:ascii="Arial" w:hAnsi="Arial" w:cs="Arial"/>
        </w:rPr>
      </w:pPr>
      <w:r w:rsidRPr="003D5CBE">
        <w:rPr>
          <w:rFonts w:ascii="Arial" w:hAnsi="Arial" w:cs="Arial"/>
        </w:rPr>
        <w:t>High scores on the self-efficacy indicator show that students have good confidence in facing academic challenges. This confidence encourages them to be more independent in their learning, which ultimately contributes to improved learning outcomes.</w:t>
      </w:r>
    </w:p>
    <w:p w14:paraId="2897C855" w14:textId="7972DDA5" w:rsidR="003D5CBE" w:rsidRDefault="003D5CBE" w:rsidP="003D5CBE">
      <w:pPr>
        <w:pStyle w:val="Body"/>
        <w:rPr>
          <w:rFonts w:ascii="Arial" w:hAnsi="Arial" w:cs="Arial"/>
        </w:rPr>
      </w:pPr>
      <w:r w:rsidRPr="003D5CBE">
        <w:rPr>
          <w:rFonts w:ascii="Arial" w:hAnsi="Arial" w:cs="Arial"/>
        </w:rPr>
        <w:t>The Motivation indicator is also a strong supporting factor in independent learning. From the interview results, it is known that students have strong motivation to learn, both intrinsic and extrinsic motivation, both of which play an important role in encouraging students to learn independently. This can be seen from the students' interview responses as follows.</w:t>
      </w:r>
    </w:p>
    <w:p w14:paraId="059C39B5" w14:textId="60A3C308" w:rsidR="0037320A" w:rsidRPr="0037320A" w:rsidRDefault="0037320A" w:rsidP="003D5CBE">
      <w:pPr>
        <w:pStyle w:val="Body"/>
        <w:rPr>
          <w:rFonts w:ascii="Arial" w:hAnsi="Arial" w:cs="Arial"/>
        </w:rPr>
      </w:pPr>
      <w:r w:rsidRPr="0037320A">
        <w:rPr>
          <w:rFonts w:ascii="Arial" w:hAnsi="Arial" w:cs="Arial"/>
        </w:rPr>
        <w:t>“I have an inner drive to always understand the subject matter.” (Average score: 4.2) and</w:t>
      </w:r>
      <w:r w:rsidRPr="0037320A">
        <w:rPr>
          <w:rFonts w:ascii="Arial" w:hAnsi="Arial" w:cs="Arial"/>
        </w:rPr>
        <w:br/>
        <w:t>“I study to improve my understanding, not just for grades.” (Average score: 4.1)</w:t>
      </w:r>
    </w:p>
    <w:p w14:paraId="555E99D6" w14:textId="3EAE800A" w:rsidR="0037320A" w:rsidRPr="0037320A" w:rsidRDefault="003D5CBE" w:rsidP="0037320A">
      <w:pPr>
        <w:pStyle w:val="Body"/>
        <w:rPr>
          <w:rFonts w:ascii="Arial" w:hAnsi="Arial" w:cs="Arial"/>
        </w:rPr>
      </w:pPr>
      <w:r w:rsidRPr="003D5CBE">
        <w:rPr>
          <w:rFonts w:ascii="Arial" w:hAnsi="Arial" w:cs="Arial"/>
        </w:rPr>
        <w:t>High motivation will encourage students to be more active in seeking learning resources, managing their time, and overcoming learning difficulties without relying on others.</w:t>
      </w:r>
      <w:r>
        <w:rPr>
          <w:rFonts w:ascii="Arial" w:hAnsi="Arial" w:cs="Arial"/>
        </w:rPr>
        <w:t xml:space="preserve"> </w:t>
      </w:r>
    </w:p>
    <w:p w14:paraId="7175138C" w14:textId="77777777" w:rsidR="005440A1" w:rsidRDefault="005440A1" w:rsidP="0037320A">
      <w:pPr>
        <w:pStyle w:val="Body"/>
        <w:rPr>
          <w:rFonts w:ascii="Arial" w:hAnsi="Arial" w:cs="Arial"/>
        </w:rPr>
      </w:pPr>
      <w:r w:rsidRPr="005440A1">
        <w:rPr>
          <w:rFonts w:ascii="Arial" w:hAnsi="Arial" w:cs="Arial"/>
        </w:rPr>
        <w:t xml:space="preserve">Learning goal indicators are one of the factors that support learning success. Students who have specific learning goals tend to be more motivated and disciplined in managing their learning process. These clear learning goals help students to stay focused and consistent in their learning, so that they can achieve better learning outcomes. This can be seen based on the results of the interview answers, as follows. </w:t>
      </w:r>
    </w:p>
    <w:p w14:paraId="028DEF3D" w14:textId="337BD147" w:rsidR="003D5CBE" w:rsidRDefault="0037320A" w:rsidP="0037320A">
      <w:pPr>
        <w:pStyle w:val="Body"/>
        <w:rPr>
          <w:rFonts w:ascii="Arial" w:hAnsi="Arial" w:cs="Arial"/>
        </w:rPr>
      </w:pPr>
      <w:r w:rsidRPr="0037320A">
        <w:rPr>
          <w:rFonts w:ascii="Arial" w:hAnsi="Arial" w:cs="Arial"/>
        </w:rPr>
        <w:t>“I study to achieve my future aspirations.” (Average score: 4.3) and</w:t>
      </w:r>
      <w:r w:rsidRPr="0037320A">
        <w:rPr>
          <w:rFonts w:ascii="Arial" w:hAnsi="Arial" w:cs="Arial"/>
        </w:rPr>
        <w:br/>
        <w:t>“I create a study plan to achieve my academic goals.” (Average score: 4.0).</w:t>
      </w:r>
    </w:p>
    <w:p w14:paraId="414BD9DC" w14:textId="77777777" w:rsidR="00562B9D" w:rsidRDefault="00562B9D" w:rsidP="0037320A">
      <w:pPr>
        <w:pStyle w:val="Body"/>
        <w:rPr>
          <w:rFonts w:ascii="Arial" w:hAnsi="Arial" w:cs="Arial"/>
        </w:rPr>
      </w:pPr>
      <w:r w:rsidRPr="00562B9D">
        <w:rPr>
          <w:rFonts w:ascii="Arial" w:hAnsi="Arial" w:cs="Arial"/>
        </w:rPr>
        <w:t>Based on the results, it can be concluded that independent learning is the ability to make decisions independently, with or without the support of others, by considering the appropriate relevance without dependence on other parties. This includes initiative in facing and overcoming problems, confidence in completing tasks, and responsibility for all actions taken. Therefore, independent learning can affect the learning outcomes of the students themselves.</w:t>
      </w:r>
    </w:p>
    <w:p w14:paraId="6F229C66" w14:textId="15F1A198" w:rsidR="0037320A" w:rsidRPr="0037320A" w:rsidRDefault="0037320A" w:rsidP="0037320A">
      <w:pPr>
        <w:pStyle w:val="Body"/>
        <w:rPr>
          <w:rFonts w:ascii="Arial" w:hAnsi="Arial" w:cs="Arial"/>
          <w:b/>
          <w:bCs/>
          <w:u w:val="single"/>
        </w:rPr>
      </w:pPr>
      <w:r>
        <w:rPr>
          <w:rFonts w:ascii="Arial" w:hAnsi="Arial" w:cs="Arial"/>
          <w:b/>
          <w:bCs/>
          <w:u w:val="single"/>
        </w:rPr>
        <w:t>3.2.2</w:t>
      </w:r>
      <w:r w:rsidRPr="0037320A">
        <w:rPr>
          <w:rFonts w:ascii="Arial" w:hAnsi="Arial" w:cs="Arial"/>
          <w:b/>
          <w:bCs/>
          <w:u w:val="single"/>
        </w:rPr>
        <w:t xml:space="preserve"> The Influence of Learning Facilities on Learning Outcomes</w:t>
      </w:r>
    </w:p>
    <w:p w14:paraId="4BB970A0" w14:textId="77777777" w:rsidR="0023029F" w:rsidRDefault="0023029F" w:rsidP="0037320A">
      <w:pPr>
        <w:pStyle w:val="Body"/>
        <w:rPr>
          <w:rFonts w:ascii="Arial" w:hAnsi="Arial" w:cs="Arial"/>
        </w:rPr>
      </w:pPr>
      <w:r w:rsidRPr="0023029F">
        <w:rPr>
          <w:rFonts w:ascii="Arial" w:hAnsi="Arial" w:cs="Arial"/>
        </w:rPr>
        <w:t>Based on the results of the study, it is known that learning facilities have a positive and significant effect on learning outcomes. These results show that if the value of learning facilities increases, it will also increase student learning outcomes, especially in economics. This result can occur because complete and adequate learning facilities will have a positive effect on learning outcomes. Comprehensive learning facilities can facilitate the learning process, make it easier to understand the material, and create a comfortable learning environment for students, thereby improving learning efficiency. These learning facilities include learning spaces, learning tools, learning equipment, learning media, and other supporting facilities, which collectively contribute to achieving optimal learning outcomes.</w:t>
      </w:r>
    </w:p>
    <w:p w14:paraId="2CC5D416" w14:textId="06D618A8" w:rsidR="00743EBE" w:rsidRDefault="000F5C06" w:rsidP="0037320A">
      <w:pPr>
        <w:pStyle w:val="Body"/>
        <w:rPr>
          <w:rFonts w:ascii="Arial" w:hAnsi="Arial" w:cs="Arial"/>
        </w:rPr>
      </w:pPr>
      <w:r w:rsidRPr="000F5C06">
        <w:rPr>
          <w:rFonts w:ascii="Arial" w:hAnsi="Arial" w:cs="Arial"/>
        </w:rPr>
        <w:lastRenderedPageBreak/>
        <w:t>Based on interviews with students, the majority of respondents stated that schools provide adequate facilities and infrastructure to support learning. The high scores on this indicator indicate that the availability of facilities such as classrooms, libraries, and technology such as computers or projectors has met the needs of students. These comprehensive facilities enable students to access learning resources easily, thereby facilitating the learning process. This can be seen from the students' responses during the interviews as follows.</w:t>
      </w:r>
    </w:p>
    <w:p w14:paraId="5B2C1FF4" w14:textId="3C66159A" w:rsidR="0037320A" w:rsidRPr="0037320A" w:rsidRDefault="0037320A" w:rsidP="0037320A">
      <w:pPr>
        <w:pStyle w:val="Body"/>
        <w:rPr>
          <w:rFonts w:ascii="Arial" w:hAnsi="Arial" w:cs="Arial"/>
        </w:rPr>
      </w:pPr>
      <w:r w:rsidRPr="0037320A">
        <w:rPr>
          <w:rFonts w:ascii="Arial" w:hAnsi="Arial" w:cs="Arial"/>
        </w:rPr>
        <w:t xml:space="preserve">"I have access to adequate study rooms at school." (Mean score: 4.2) and "The school library provides complete books to support learning." </w:t>
      </w:r>
      <w:r w:rsidRPr="00EB13B8">
        <w:rPr>
          <w:rFonts w:ascii="Arial" w:hAnsi="Arial" w:cs="Arial"/>
        </w:rPr>
        <w:t>(Mean score: 4.1)</w:t>
      </w:r>
    </w:p>
    <w:p w14:paraId="107F6816" w14:textId="77777777" w:rsidR="003A1FF3" w:rsidRDefault="003A1FF3" w:rsidP="0037320A">
      <w:pPr>
        <w:pStyle w:val="Body"/>
        <w:rPr>
          <w:rFonts w:ascii="Arial" w:hAnsi="Arial" w:cs="Arial"/>
        </w:rPr>
      </w:pPr>
      <w:r w:rsidRPr="003A1FF3">
        <w:rPr>
          <w:rFonts w:ascii="Arial" w:hAnsi="Arial" w:cs="Arial"/>
        </w:rPr>
        <w:t>In terms of the quality of learning facilities, the majority of students stated that the learning facilities in their schools were of good quality and functioned optimally. This can be seen from the results of student interviews as follows.</w:t>
      </w:r>
    </w:p>
    <w:p w14:paraId="38B0664B" w14:textId="02C8D136" w:rsidR="0037320A" w:rsidRPr="0037320A" w:rsidRDefault="0037320A" w:rsidP="0037320A">
      <w:pPr>
        <w:pStyle w:val="Body"/>
        <w:rPr>
          <w:rFonts w:ascii="Arial" w:hAnsi="Arial" w:cs="Arial"/>
        </w:rPr>
      </w:pPr>
      <w:r w:rsidRPr="0037320A">
        <w:rPr>
          <w:rFonts w:ascii="Arial" w:hAnsi="Arial" w:cs="Arial"/>
        </w:rPr>
        <w:t>"Textbooks and learning materials at school are of good quality." (Mean score: 4.0) and "Learning facilities at school function well without damage." (Average score: 4.1)</w:t>
      </w:r>
    </w:p>
    <w:p w14:paraId="036389E1" w14:textId="77777777" w:rsidR="00E27C27" w:rsidRPr="00E27C27" w:rsidRDefault="00E27C27" w:rsidP="00E27C27">
      <w:pPr>
        <w:pStyle w:val="Body"/>
        <w:rPr>
          <w:rFonts w:ascii="Arial" w:hAnsi="Arial" w:cs="Arial"/>
        </w:rPr>
      </w:pPr>
      <w:r w:rsidRPr="00E27C27">
        <w:rPr>
          <w:rFonts w:ascii="Arial" w:hAnsi="Arial" w:cs="Arial"/>
        </w:rPr>
        <w:t>Supportive and high-quality facilities, particularly textbooks and comprehensive laboratory equipment, will help students understand the material better.</w:t>
      </w:r>
    </w:p>
    <w:p w14:paraId="3D0B098A" w14:textId="77777777" w:rsidR="00E27C27" w:rsidRDefault="00E27C27" w:rsidP="00E27C27">
      <w:pPr>
        <w:pStyle w:val="Body"/>
        <w:rPr>
          <w:rFonts w:ascii="Arial" w:hAnsi="Arial" w:cs="Arial"/>
        </w:rPr>
      </w:pPr>
      <w:r w:rsidRPr="00E27C27">
        <w:rPr>
          <w:rFonts w:ascii="Arial" w:hAnsi="Arial" w:cs="Arial"/>
        </w:rPr>
        <w:t>In addition, the accessibility of learning facilities is also a significant factor in improving student learning outcomes. The ease of access provided by schools to students to learning facilities such as libraries and laboratories is a determining factor in learning success. As stated by the students in the following interview.</w:t>
      </w:r>
    </w:p>
    <w:p w14:paraId="5C7BE082" w14:textId="6B79BE5C" w:rsidR="0037320A" w:rsidRPr="0037320A" w:rsidRDefault="0037320A" w:rsidP="00E27C27">
      <w:pPr>
        <w:pStyle w:val="Body"/>
        <w:rPr>
          <w:rFonts w:ascii="Arial" w:hAnsi="Arial" w:cs="Arial"/>
        </w:rPr>
      </w:pPr>
      <w:r w:rsidRPr="0037320A">
        <w:rPr>
          <w:rFonts w:ascii="Arial" w:hAnsi="Arial" w:cs="Arial"/>
        </w:rPr>
        <w:t>"I can easily access the library whenever I need it." (Average score: 4.0) and "Learning facilities at school can be used by all students without restrictions." (Mean score: 4.2)</w:t>
      </w:r>
    </w:p>
    <w:p w14:paraId="2C56C440" w14:textId="77777777" w:rsidR="00122D5C" w:rsidRDefault="00122D5C" w:rsidP="0037320A">
      <w:pPr>
        <w:pStyle w:val="Body"/>
        <w:rPr>
          <w:rFonts w:ascii="Arial" w:hAnsi="Arial" w:cs="Arial"/>
        </w:rPr>
      </w:pPr>
      <w:r w:rsidRPr="00122D5C">
        <w:rPr>
          <w:rFonts w:ascii="Arial" w:hAnsi="Arial" w:cs="Arial"/>
        </w:rPr>
        <w:t xml:space="preserve">Easy access to learning facilities allows students to utilize them optimally, both for independent and group learning. </w:t>
      </w:r>
      <w:proofErr w:type="spellStart"/>
      <w:r w:rsidRPr="00122D5C">
        <w:rPr>
          <w:rFonts w:ascii="Arial" w:hAnsi="Arial" w:cs="Arial"/>
        </w:rPr>
        <w:t>Nusi</w:t>
      </w:r>
      <w:proofErr w:type="spellEnd"/>
      <w:r w:rsidRPr="00122D5C">
        <w:rPr>
          <w:rFonts w:ascii="Arial" w:hAnsi="Arial" w:cs="Arial"/>
        </w:rPr>
        <w:t xml:space="preserve"> et al. (2024) stated that the more complete and conducive learning facilities-such as classrooms, textbooks, media, and technology-are, the more motivated and engaged students are in the learning process.</w:t>
      </w:r>
    </w:p>
    <w:p w14:paraId="6D926135" w14:textId="17B3A577" w:rsidR="00E27C27" w:rsidRDefault="00E27C27" w:rsidP="0037320A">
      <w:pPr>
        <w:pStyle w:val="Body"/>
        <w:rPr>
          <w:rFonts w:ascii="Arial" w:hAnsi="Arial" w:cs="Arial"/>
        </w:rPr>
      </w:pPr>
      <w:r w:rsidRPr="00E27C27">
        <w:rPr>
          <w:rFonts w:ascii="Arial" w:hAnsi="Arial" w:cs="Arial"/>
        </w:rPr>
        <w:t>In terms of supportive physical environment indicators, the majority of students stated that their classrooms had good lighting, were comfortable, and had a quiet environment, as shown in the following interview results.</w:t>
      </w:r>
    </w:p>
    <w:p w14:paraId="358B56BD" w14:textId="23A81342" w:rsidR="0037320A" w:rsidRPr="0037320A" w:rsidRDefault="0037320A" w:rsidP="0037320A">
      <w:pPr>
        <w:pStyle w:val="Body"/>
        <w:rPr>
          <w:rFonts w:ascii="Arial" w:hAnsi="Arial" w:cs="Arial"/>
        </w:rPr>
      </w:pPr>
      <w:r w:rsidRPr="0037320A">
        <w:rPr>
          <w:rFonts w:ascii="Arial" w:hAnsi="Arial" w:cs="Arial"/>
        </w:rPr>
        <w:t>"The classroom has good lighting to support learning activities." (Average score: 4.3). "The school environment is quiet and supports learning concentration." (Mean score: 4.2).</w:t>
      </w:r>
    </w:p>
    <w:p w14:paraId="071F5242" w14:textId="77777777" w:rsidR="00EB13B8" w:rsidRDefault="00EB13B8" w:rsidP="00DA3F9B">
      <w:pPr>
        <w:pStyle w:val="Body"/>
        <w:rPr>
          <w:rFonts w:ascii="Arial" w:hAnsi="Arial" w:cs="Arial"/>
        </w:rPr>
      </w:pPr>
      <w:r w:rsidRPr="00EB13B8">
        <w:rPr>
          <w:rFonts w:ascii="Arial" w:hAnsi="Arial" w:cs="Arial"/>
        </w:rPr>
        <w:t xml:space="preserve">Based on the results of the study, it is known that learning facilities have a significant effect on learning outcomes. </w:t>
      </w:r>
      <w:proofErr w:type="spellStart"/>
      <w:r w:rsidRPr="00EB13B8">
        <w:rPr>
          <w:rFonts w:ascii="Arial" w:hAnsi="Arial" w:cs="Arial"/>
        </w:rPr>
        <w:t>Dewi</w:t>
      </w:r>
      <w:proofErr w:type="spellEnd"/>
      <w:r w:rsidRPr="00EB13B8">
        <w:rPr>
          <w:rFonts w:ascii="Arial" w:hAnsi="Arial" w:cs="Arial"/>
        </w:rPr>
        <w:t xml:space="preserve"> et al. (2016) showed that learning facilities have a significant influence on student learning outcomes. Based on interviews, it was found that the availability of complete, high-quality, easily accessible, and student-centered learning facilities can enhance the effectiveness of learning and encourage students to achieve better learning outcomes. Therefore, it is important for schools and policymakers to continue improving the quality and availability of school learning facilities to support student academic success.</w:t>
      </w:r>
    </w:p>
    <w:p w14:paraId="7DDD34B6" w14:textId="57A367BF" w:rsidR="00DA3F9B" w:rsidRPr="00DA3F9B" w:rsidRDefault="00DA3F9B" w:rsidP="00DA3F9B">
      <w:pPr>
        <w:pStyle w:val="Body"/>
        <w:rPr>
          <w:rFonts w:ascii="Arial" w:hAnsi="Arial" w:cs="Arial"/>
          <w:b/>
          <w:u w:val="single"/>
        </w:rPr>
      </w:pPr>
      <w:r w:rsidRPr="00DA3F9B">
        <w:rPr>
          <w:rFonts w:ascii="Arial" w:hAnsi="Arial" w:cs="Arial"/>
          <w:b/>
          <w:u w:val="single"/>
        </w:rPr>
        <w:t>3.2.3 The Effect of Learning Motivation on Learning Outcomes</w:t>
      </w:r>
    </w:p>
    <w:p w14:paraId="5760D96C" w14:textId="77777777" w:rsidR="00D6538C" w:rsidRDefault="00DA3F9B" w:rsidP="00D6538C">
      <w:pPr>
        <w:pStyle w:val="Body"/>
        <w:rPr>
          <w:rFonts w:ascii="Arial" w:hAnsi="Arial" w:cs="Arial"/>
        </w:rPr>
      </w:pPr>
      <w:r w:rsidRPr="00DA3F9B">
        <w:rPr>
          <w:rFonts w:ascii="Arial" w:hAnsi="Arial" w:cs="Arial"/>
        </w:rPr>
        <w:t xml:space="preserve">Based on the results of the study, the learning motivation variable has a positive and significant effect. This means that </w:t>
      </w:r>
      <w:r w:rsidR="00D6538C" w:rsidRPr="00D6538C">
        <w:rPr>
          <w:rFonts w:ascii="Arial" w:hAnsi="Arial" w:cs="Arial"/>
        </w:rPr>
        <w:t>Based on the results of the study, the variable of learning motivation has a positive and significant effect on learning outcomes. Where if the value of learning motivation increases, the learning outcomes of students in economics will also increase. The learning motivation possessed by students will encourage enthusiasm in learning and has the potential to improve their learning outcomes. Good learning motivation is one of the supporting or motivating factors for each student's enthusiasm for learning, which ultimately has a positive effect on learning outcomes. Based on interviews conducted with students, it was found that the majority of students showed high levels of motivation, both in terms of desire to succeed, internal drive, future expectations, and the rewards they received. This can be seen in the following interview results.</w:t>
      </w:r>
    </w:p>
    <w:p w14:paraId="7E21AFAE" w14:textId="3981D861" w:rsidR="00DA3F9B" w:rsidRPr="00DA3F9B" w:rsidRDefault="00DA3F9B" w:rsidP="00D6538C">
      <w:pPr>
        <w:pStyle w:val="Body"/>
        <w:rPr>
          <w:rFonts w:ascii="Arial" w:hAnsi="Arial" w:cs="Arial"/>
        </w:rPr>
      </w:pPr>
      <w:r w:rsidRPr="00DA3F9B">
        <w:rPr>
          <w:rFonts w:ascii="Arial" w:hAnsi="Arial" w:cs="Arial"/>
        </w:rPr>
        <w:t>"I want to achieve good grades in every lesson" and "I study because I want to achieve my goals in the future".</w:t>
      </w:r>
    </w:p>
    <w:p w14:paraId="240E7C0D" w14:textId="77777777" w:rsidR="0093601C" w:rsidRDefault="0093601C" w:rsidP="00DA3F9B">
      <w:pPr>
        <w:pStyle w:val="Body"/>
        <w:rPr>
          <w:rFonts w:ascii="Arial" w:hAnsi="Arial" w:cs="Arial"/>
        </w:rPr>
      </w:pPr>
      <w:r w:rsidRPr="0093601C">
        <w:rPr>
          <w:rFonts w:ascii="Arial" w:hAnsi="Arial" w:cs="Arial"/>
        </w:rPr>
        <w:t>High average scores indicate that students have a strong desire to succeed and are motivated to achieve their academic goals. Intrinsic motivation, such as an inclination to understand the material and achieve goals, is proven to increase student engagement in the learning process and have a positive impact on learning outcomes (</w:t>
      </w:r>
      <w:proofErr w:type="spellStart"/>
      <w:r w:rsidRPr="0093601C">
        <w:rPr>
          <w:rFonts w:ascii="Arial" w:hAnsi="Arial" w:cs="Arial"/>
        </w:rPr>
        <w:t>Wigati</w:t>
      </w:r>
      <w:proofErr w:type="spellEnd"/>
      <w:r w:rsidRPr="0093601C">
        <w:rPr>
          <w:rFonts w:ascii="Arial" w:hAnsi="Arial" w:cs="Arial"/>
        </w:rPr>
        <w:t>, 2023).</w:t>
      </w:r>
    </w:p>
    <w:p w14:paraId="79EF8866" w14:textId="77777777" w:rsidR="00D6538C" w:rsidRDefault="00D6538C" w:rsidP="00DA3F9B">
      <w:pPr>
        <w:pStyle w:val="Body"/>
        <w:rPr>
          <w:rFonts w:ascii="Arial" w:hAnsi="Arial" w:cs="Arial"/>
        </w:rPr>
      </w:pPr>
      <w:r w:rsidRPr="00D6538C">
        <w:rPr>
          <w:rFonts w:ascii="Arial" w:hAnsi="Arial" w:cs="Arial"/>
        </w:rPr>
        <w:lastRenderedPageBreak/>
        <w:t>In addition, encouragement and the need to learn are also important factors that influence student motivation. Students who feel that learning is an important part of achieving success tend to be more motivated to master the subject matter. This is evident from the following interview responses.</w:t>
      </w:r>
    </w:p>
    <w:p w14:paraId="6FFA6910" w14:textId="45BAFE03" w:rsidR="00DA3F9B" w:rsidRPr="00DA3F9B" w:rsidRDefault="00DA3F9B" w:rsidP="00DA3F9B">
      <w:pPr>
        <w:pStyle w:val="Body"/>
        <w:rPr>
          <w:rFonts w:ascii="Arial" w:hAnsi="Arial" w:cs="Arial"/>
        </w:rPr>
      </w:pPr>
      <w:r w:rsidRPr="00DA3F9B">
        <w:rPr>
          <w:rFonts w:ascii="Arial" w:hAnsi="Arial" w:cs="Arial"/>
        </w:rPr>
        <w:t xml:space="preserve">"I feel that learning is an important part of achieving success". the high average score indicates that students realize the importance of learning for their future. This motivation encourages them to be more persistent in facing academic challenges and trying to achieve optimal results. </w:t>
      </w:r>
      <w:r w:rsidR="00337847" w:rsidRPr="00337847">
        <w:rPr>
          <w:rFonts w:ascii="Arial" w:hAnsi="Arial" w:cs="Arial"/>
        </w:rPr>
        <w:t xml:space="preserve">Trevino &amp; </w:t>
      </w:r>
      <w:proofErr w:type="spellStart"/>
      <w:r w:rsidR="00337847" w:rsidRPr="00337847">
        <w:rPr>
          <w:rFonts w:ascii="Arial" w:hAnsi="Arial" w:cs="Arial"/>
        </w:rPr>
        <w:t>DeFreitas</w:t>
      </w:r>
      <w:proofErr w:type="spellEnd"/>
      <w:r w:rsidR="00337847" w:rsidRPr="00337847">
        <w:rPr>
          <w:rFonts w:ascii="Arial" w:hAnsi="Arial" w:cs="Arial"/>
        </w:rPr>
        <w:t xml:space="preserve"> </w:t>
      </w:r>
      <w:r w:rsidR="00E16D11" w:rsidRPr="00E16D11">
        <w:rPr>
          <w:rFonts w:ascii="Arial" w:hAnsi="Arial" w:cs="Arial"/>
        </w:rPr>
        <w:t>(</w:t>
      </w:r>
      <w:r w:rsidR="00337847">
        <w:rPr>
          <w:rFonts w:ascii="Arial" w:hAnsi="Arial" w:cs="Arial"/>
        </w:rPr>
        <w:t>2014</w:t>
      </w:r>
      <w:r w:rsidR="00E16D11" w:rsidRPr="00E16D11">
        <w:rPr>
          <w:rFonts w:ascii="Arial" w:hAnsi="Arial" w:cs="Arial"/>
        </w:rPr>
        <w:t>) showed that intrinsic learning motivation is positively and significantly correlated with student academic achievement, where intrinsically motivated students tend to be more focused, consistent, and achieve better learning outcomes.</w:t>
      </w:r>
      <w:r w:rsidR="00E16D11">
        <w:rPr>
          <w:rFonts w:ascii="Arial" w:hAnsi="Arial" w:cs="Arial"/>
        </w:rPr>
        <w:t xml:space="preserve"> </w:t>
      </w:r>
    </w:p>
    <w:p w14:paraId="749D6EC4" w14:textId="77777777" w:rsidR="00DA3F9B" w:rsidRPr="00DA3F9B" w:rsidRDefault="00DA3F9B" w:rsidP="00DA3F9B">
      <w:pPr>
        <w:pStyle w:val="Body"/>
        <w:rPr>
          <w:rFonts w:ascii="Arial" w:hAnsi="Arial" w:cs="Arial"/>
        </w:rPr>
      </w:pPr>
      <w:r w:rsidRPr="00DA3F9B">
        <w:rPr>
          <w:rFonts w:ascii="Arial" w:hAnsi="Arial" w:cs="Arial"/>
        </w:rPr>
        <w:t xml:space="preserve">Rewards and recognition also play an important role in increasing students' motivation to learn. Students who feel appreciated by teachers or peers for their achievements tend to be more motivated to continue achieving. For example, on the question </w:t>
      </w:r>
    </w:p>
    <w:p w14:paraId="56AF3B08" w14:textId="77777777" w:rsidR="00DA3F9B" w:rsidRPr="00DA3F9B" w:rsidRDefault="00DA3F9B" w:rsidP="00DA3F9B">
      <w:pPr>
        <w:pStyle w:val="Body"/>
        <w:rPr>
          <w:rFonts w:ascii="Arial" w:hAnsi="Arial" w:cs="Arial"/>
        </w:rPr>
      </w:pPr>
      <w:r w:rsidRPr="00DA3F9B">
        <w:rPr>
          <w:rFonts w:ascii="Arial" w:hAnsi="Arial" w:cs="Arial"/>
        </w:rPr>
        <w:t>"I feel motivated when I get rewards for my learning achievements," the high average score indicates that external rewards can be an additional driver for students. This is in line with extrinsic motivation theory which states that rewards and recognition can increase students' enthusiasm for learning, although intrinsic motivation remains the main factor driving long-term success.</w:t>
      </w:r>
    </w:p>
    <w:p w14:paraId="1B78760E" w14:textId="77777777" w:rsidR="00790ADA" w:rsidRPr="00FB3A86" w:rsidRDefault="00DA3F9B" w:rsidP="00DA3F9B">
      <w:pPr>
        <w:pStyle w:val="Body"/>
        <w:rPr>
          <w:rFonts w:ascii="Arial" w:hAnsi="Arial" w:cs="Arial"/>
        </w:rPr>
      </w:pPr>
      <w:r w:rsidRPr="00DA3F9B">
        <w:rPr>
          <w:rFonts w:ascii="Arial" w:hAnsi="Arial" w:cs="Arial"/>
        </w:rPr>
        <w:t>Based on these results, it can be concluded that learning motivation, both from within students (intrinsic) and from the environment (extrinsic), has a crucial role in determining student learning outcomes. High motivation not only encourages students to be more active and disciplined in learning, but also helps them overcome difficulties and achieve their academic goals. Therefore, it is important for educators to continuously nurture and sustain students' learning motivation through various strategies, such as providing positive feedback, creating a supportive learning environment, and helping students set clear learning goals.</w:t>
      </w:r>
      <w:r w:rsidR="00C30A0F">
        <w:rPr>
          <w:rFonts w:ascii="Arial" w:hAnsi="Arial" w:cs="Arial"/>
        </w:rPr>
        <w:t>]</w:t>
      </w:r>
      <w:r w:rsidR="00C30A0F" w:rsidRPr="00FB3A86">
        <w:rPr>
          <w:rFonts w:ascii="Arial" w:hAnsi="Arial" w:cs="Arial"/>
        </w:rPr>
        <w:t xml:space="preserve">  </w:t>
      </w:r>
    </w:p>
    <w:p w14:paraId="7755A9E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C634926" w14:textId="77777777" w:rsidR="00790ADA" w:rsidRPr="00FB3A86" w:rsidRDefault="00790ADA" w:rsidP="00441B6F">
      <w:pPr>
        <w:pStyle w:val="ConcHead"/>
        <w:spacing w:after="0"/>
        <w:jc w:val="both"/>
        <w:rPr>
          <w:rFonts w:ascii="Arial" w:hAnsi="Arial" w:cs="Arial"/>
        </w:rPr>
      </w:pPr>
    </w:p>
    <w:p w14:paraId="77FA0EFE" w14:textId="77777777" w:rsidR="00DA3F9B" w:rsidRPr="00DA3F9B" w:rsidRDefault="00502516" w:rsidP="00DA3F9B">
      <w:pPr>
        <w:pStyle w:val="Body"/>
        <w:rPr>
          <w:rFonts w:ascii="Arial" w:hAnsi="Arial" w:cs="Arial"/>
        </w:rPr>
      </w:pPr>
      <w:r>
        <w:rPr>
          <w:rFonts w:ascii="Arial" w:hAnsi="Arial" w:cs="Arial"/>
        </w:rPr>
        <w:t>[</w:t>
      </w:r>
      <w:r w:rsidR="00DA3F9B" w:rsidRPr="00DA3F9B">
        <w:rPr>
          <w:rFonts w:ascii="Arial" w:hAnsi="Arial" w:cs="Arial"/>
        </w:rPr>
        <w:t>Based on the results of the study, the following conclusions can be drawn:</w:t>
      </w:r>
    </w:p>
    <w:p w14:paraId="4F1E1E75" w14:textId="77777777" w:rsidR="00DA3F9B" w:rsidRPr="00DA3F9B" w:rsidRDefault="00DA3F9B" w:rsidP="00DA0F77">
      <w:pPr>
        <w:pStyle w:val="Body"/>
        <w:numPr>
          <w:ilvl w:val="0"/>
          <w:numId w:val="36"/>
        </w:numPr>
        <w:ind w:left="709" w:hanging="349"/>
        <w:rPr>
          <w:rFonts w:ascii="Arial" w:hAnsi="Arial" w:cs="Arial"/>
        </w:rPr>
      </w:pPr>
      <w:r w:rsidRPr="00DA3F9B">
        <w:rPr>
          <w:rFonts w:ascii="Arial" w:hAnsi="Arial" w:cs="Arial"/>
        </w:rPr>
        <w:t>Learning independence has a positive and significant effect on student learning outcomes. Students who have a high level of learning independence tend to be more responsible, have initiative, and are able to manage their learning process independently. This is in line with the theory which states that learning independence is a key factor in improving student learning outcomes.</w:t>
      </w:r>
    </w:p>
    <w:p w14:paraId="518355D4" w14:textId="77777777" w:rsidR="00DA3F9B" w:rsidRPr="00DA3F9B" w:rsidRDefault="00DA3F9B" w:rsidP="00DA0F77">
      <w:pPr>
        <w:pStyle w:val="Body"/>
        <w:numPr>
          <w:ilvl w:val="0"/>
          <w:numId w:val="36"/>
        </w:numPr>
        <w:ind w:left="709" w:hanging="349"/>
        <w:rPr>
          <w:rFonts w:ascii="Arial" w:hAnsi="Arial" w:cs="Arial"/>
        </w:rPr>
      </w:pPr>
      <w:r w:rsidRPr="00DA3F9B">
        <w:rPr>
          <w:rFonts w:ascii="Arial" w:hAnsi="Arial" w:cs="Arial"/>
        </w:rPr>
        <w:t>Learning facilities also have a positive and significant effect on student learning outcomes. Complete, quality and easily accessible facilities can facilitate the learning process, facilitate understanding of the material, and create a comfortable and conducive learning environment. This supports students to achieve better learning outcomes.</w:t>
      </w:r>
    </w:p>
    <w:p w14:paraId="3680925D" w14:textId="503024FA" w:rsidR="00B01FCD" w:rsidRDefault="00DA3F9B" w:rsidP="00DA0F77">
      <w:pPr>
        <w:pStyle w:val="Body"/>
        <w:numPr>
          <w:ilvl w:val="0"/>
          <w:numId w:val="36"/>
        </w:numPr>
        <w:ind w:left="709" w:hanging="349"/>
        <w:rPr>
          <w:rFonts w:ascii="Arial" w:hAnsi="Arial" w:cs="Arial"/>
        </w:rPr>
      </w:pPr>
      <w:r w:rsidRPr="00DA3F9B">
        <w:rPr>
          <w:rFonts w:ascii="Arial" w:hAnsi="Arial" w:cs="Arial"/>
        </w:rPr>
        <w:t>Learning motivation has the greatest influence on student learning outcomes. High motivation, both from within students (intrinsic) and from the environment (extrinsic), encourages students to be more active, disciplined, and persistent in facing academic challenges. Strong learning motivation also helps students to achieve their academic goals.</w:t>
      </w:r>
      <w:r w:rsidR="00502516">
        <w:rPr>
          <w:rFonts w:ascii="Arial" w:hAnsi="Arial" w:cs="Arial"/>
        </w:rPr>
        <w:t>]</w:t>
      </w:r>
    </w:p>
    <w:p w14:paraId="20DC5FC5" w14:textId="77777777" w:rsidR="009F3EED" w:rsidRPr="00086A8B" w:rsidRDefault="009F3EED" w:rsidP="009F3EED">
      <w:pPr>
        <w:rPr>
          <w:rFonts w:ascii="Calibri" w:eastAsia="Calibri" w:hAnsi="Calibri"/>
          <w:b/>
          <w:kern w:val="2"/>
          <w:highlight w:val="yellow"/>
        </w:rPr>
      </w:pPr>
      <w:bookmarkStart w:id="2" w:name="_Hlk197682619"/>
      <w:bookmarkStart w:id="3" w:name="_Hlk180402183"/>
      <w:bookmarkStart w:id="4" w:name="_Hlk183680988"/>
      <w:r w:rsidRPr="00086A8B">
        <w:rPr>
          <w:rFonts w:ascii="Calibri" w:eastAsia="Calibri" w:hAnsi="Calibri"/>
          <w:b/>
          <w:kern w:val="2"/>
          <w:highlight w:val="yellow"/>
        </w:rPr>
        <w:t>Disclaimer (Artificial intelligence)</w:t>
      </w:r>
    </w:p>
    <w:p w14:paraId="4152BAC5" w14:textId="77777777" w:rsidR="009F3EED" w:rsidRPr="009C5487" w:rsidRDefault="009F3EED" w:rsidP="009F3EED">
      <w:pPr>
        <w:rPr>
          <w:rFonts w:ascii="Calibri" w:eastAsia="Calibri" w:hAnsi="Calibri"/>
          <w:kern w:val="2"/>
          <w:highlight w:val="yellow"/>
        </w:rPr>
      </w:pPr>
      <w:r w:rsidRPr="009C5487">
        <w:rPr>
          <w:rFonts w:ascii="Calibri" w:eastAsia="Calibri" w:hAnsi="Calibri"/>
          <w:kern w:val="2"/>
          <w:highlight w:val="yellow"/>
        </w:rPr>
        <w:t xml:space="preserve">Option 1: </w:t>
      </w:r>
    </w:p>
    <w:p w14:paraId="1DD3E5DE" w14:textId="77777777" w:rsidR="009F3EED" w:rsidRPr="009C5487" w:rsidRDefault="009F3EED" w:rsidP="009F3EED">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6526485E" w14:textId="77777777" w:rsidR="009F3EED" w:rsidRPr="009C5487" w:rsidRDefault="009F3EED" w:rsidP="009F3EED">
      <w:pPr>
        <w:rPr>
          <w:rFonts w:ascii="Calibri" w:eastAsia="Calibri" w:hAnsi="Calibri"/>
          <w:kern w:val="2"/>
          <w:highlight w:val="yellow"/>
        </w:rPr>
      </w:pPr>
      <w:r w:rsidRPr="009C5487">
        <w:rPr>
          <w:rFonts w:ascii="Calibri" w:eastAsia="Calibri" w:hAnsi="Calibri"/>
          <w:kern w:val="2"/>
          <w:highlight w:val="yellow"/>
        </w:rPr>
        <w:t xml:space="preserve">Option 2: </w:t>
      </w:r>
    </w:p>
    <w:p w14:paraId="08B32C5F" w14:textId="77777777" w:rsidR="009F3EED" w:rsidRPr="009C5487" w:rsidRDefault="009F3EED" w:rsidP="009F3EED">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CB9F367" w14:textId="77777777" w:rsidR="009F3EED" w:rsidRPr="009C5487" w:rsidRDefault="009F3EED" w:rsidP="009F3EED">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64BBADC7" w14:textId="77777777" w:rsidR="009F3EED" w:rsidRPr="009C5487" w:rsidRDefault="009F3EED" w:rsidP="009F3EED">
      <w:pPr>
        <w:rPr>
          <w:rFonts w:ascii="Calibri" w:eastAsia="Calibri" w:hAnsi="Calibri"/>
          <w:kern w:val="2"/>
          <w:highlight w:val="yellow"/>
        </w:rPr>
      </w:pPr>
      <w:r w:rsidRPr="009C5487">
        <w:rPr>
          <w:rFonts w:ascii="Calibri" w:eastAsia="Calibri" w:hAnsi="Calibri"/>
          <w:kern w:val="2"/>
          <w:highlight w:val="yellow"/>
        </w:rPr>
        <w:t>1.</w:t>
      </w:r>
    </w:p>
    <w:p w14:paraId="0F0692B3" w14:textId="77777777" w:rsidR="009F3EED" w:rsidRPr="009C5487" w:rsidRDefault="009F3EED" w:rsidP="009F3EED">
      <w:pPr>
        <w:rPr>
          <w:rFonts w:ascii="Calibri" w:eastAsia="Calibri" w:hAnsi="Calibri"/>
          <w:kern w:val="2"/>
          <w:highlight w:val="yellow"/>
        </w:rPr>
      </w:pPr>
      <w:r w:rsidRPr="009C5487">
        <w:rPr>
          <w:rFonts w:ascii="Calibri" w:eastAsia="Calibri" w:hAnsi="Calibri"/>
          <w:kern w:val="2"/>
          <w:highlight w:val="yellow"/>
        </w:rPr>
        <w:t>2.</w:t>
      </w:r>
    </w:p>
    <w:p w14:paraId="0A36839E" w14:textId="77777777" w:rsidR="009F3EED" w:rsidRPr="009C5487" w:rsidRDefault="009F3EED" w:rsidP="009F3EED">
      <w:pPr>
        <w:rPr>
          <w:rFonts w:ascii="Calibri" w:eastAsia="Calibri" w:hAnsi="Calibri"/>
          <w:kern w:val="2"/>
        </w:rPr>
      </w:pPr>
      <w:bookmarkStart w:id="5" w:name="_Hlk197682629"/>
      <w:bookmarkEnd w:id="2"/>
      <w:r w:rsidRPr="009C5487">
        <w:rPr>
          <w:rFonts w:ascii="Calibri" w:eastAsia="Calibri" w:hAnsi="Calibri"/>
          <w:kern w:val="2"/>
          <w:highlight w:val="yellow"/>
        </w:rPr>
        <w:t>3.</w:t>
      </w:r>
    </w:p>
    <w:bookmarkEnd w:id="3"/>
    <w:bookmarkEnd w:id="4"/>
    <w:bookmarkEnd w:id="5"/>
    <w:p w14:paraId="62077CA2" w14:textId="77777777" w:rsidR="003514EB" w:rsidRDefault="003514EB" w:rsidP="003514EB">
      <w:pPr>
        <w:pStyle w:val="Body"/>
        <w:rPr>
          <w:rFonts w:ascii="Arial" w:hAnsi="Arial" w:cs="Arial"/>
        </w:rPr>
      </w:pPr>
    </w:p>
    <w:p w14:paraId="7D7BC649" w14:textId="77777777" w:rsidR="00790ADA" w:rsidRPr="00FB3A86" w:rsidRDefault="00790ADA" w:rsidP="00441B6F">
      <w:pPr>
        <w:pStyle w:val="Body"/>
        <w:spacing w:after="0"/>
        <w:rPr>
          <w:rFonts w:ascii="Arial" w:hAnsi="Arial" w:cs="Arial"/>
        </w:rPr>
      </w:pPr>
    </w:p>
    <w:p w14:paraId="180DDAC9" w14:textId="77777777" w:rsidR="00315186" w:rsidRPr="00315186" w:rsidRDefault="00315186" w:rsidP="00441B6F"/>
    <w:p w14:paraId="668F176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065C1B0" w14:textId="77777777" w:rsidR="00337847" w:rsidRDefault="00337847" w:rsidP="001E22D4">
      <w:pPr>
        <w:pStyle w:val="Body"/>
        <w:rPr>
          <w:highlight w:val="red"/>
        </w:rPr>
      </w:pPr>
      <w:r w:rsidRPr="00337847">
        <w:t>Simkins, S. P. (1999). Promoting active-student learning using the World Wide Web in economics courses. The Journal of Economic Education, 30(3), 278-287.</w:t>
      </w:r>
      <w:r w:rsidRPr="00337847">
        <w:rPr>
          <w:highlight w:val="red"/>
        </w:rPr>
        <w:t xml:space="preserve"> </w:t>
      </w:r>
    </w:p>
    <w:p w14:paraId="2A7F832C" w14:textId="77777777" w:rsidR="00337847" w:rsidRDefault="00337847" w:rsidP="001E22D4">
      <w:pPr>
        <w:pStyle w:val="Body"/>
      </w:pPr>
      <w:r w:rsidRPr="00337847">
        <w:t xml:space="preserve">Trevino, N. N., &amp; </w:t>
      </w:r>
      <w:proofErr w:type="spellStart"/>
      <w:r w:rsidRPr="00337847">
        <w:t>DeFreitas</w:t>
      </w:r>
      <w:proofErr w:type="spellEnd"/>
      <w:r w:rsidRPr="00337847">
        <w:t>, S. C. (2014). The relationship between intrinsic motivation and academic achievement for first generation Latino college students. Social Psychology of Education, 17, 293-306.</w:t>
      </w:r>
    </w:p>
    <w:p w14:paraId="2EFBE625" w14:textId="375A9E81" w:rsidR="001E22D4" w:rsidRDefault="001E22D4" w:rsidP="001E22D4">
      <w:pPr>
        <w:pStyle w:val="Body"/>
      </w:pPr>
      <w:r w:rsidRPr="002E1B4B">
        <w:rPr>
          <w:highlight w:val="yellow"/>
        </w:rPr>
        <w:t>Deci, E. L., &amp; Ryan, R. M. (2017). Intrinsic motivation and self-determination in human behavior. New York: Springer Science &amp; Business Media.</w:t>
      </w:r>
    </w:p>
    <w:p w14:paraId="5617E76B" w14:textId="53A03395" w:rsidR="00287E68" w:rsidRDefault="001E22D4" w:rsidP="001E22D4">
      <w:pPr>
        <w:pStyle w:val="Body"/>
        <w:spacing w:after="0"/>
      </w:pPr>
      <w:proofErr w:type="spellStart"/>
      <w:r w:rsidRPr="00F036EE">
        <w:t>Ginting</w:t>
      </w:r>
      <w:proofErr w:type="spellEnd"/>
      <w:r w:rsidRPr="00F036EE">
        <w:t xml:space="preserve">, R. G. B., &amp; Santi, N. W. A. (2024). The influence of learning facilities and learning motivation on student learning outcomes in economics class XI SMA Negeri 1 </w:t>
      </w:r>
      <w:proofErr w:type="spellStart"/>
      <w:r w:rsidRPr="00F036EE">
        <w:t>Sukasada</w:t>
      </w:r>
      <w:proofErr w:type="spellEnd"/>
      <w:r w:rsidRPr="00F036EE">
        <w:t xml:space="preserve">. Equity: Journal of Economic Education, 12(2), 234-242. </w:t>
      </w:r>
      <w:hyperlink r:id="rId9" w:history="1">
        <w:r w:rsidRPr="00F036EE">
          <w:rPr>
            <w:rStyle w:val="Hyperlink"/>
          </w:rPr>
          <w:t>https://doi.org/10.23887/ekuitas.v12i2.81978</w:t>
        </w:r>
      </w:hyperlink>
    </w:p>
    <w:p w14:paraId="605D289F" w14:textId="77777777" w:rsidR="001E22D4" w:rsidRDefault="001E22D4" w:rsidP="001E22D4">
      <w:pPr>
        <w:pStyle w:val="Body"/>
        <w:spacing w:after="0"/>
      </w:pPr>
    </w:p>
    <w:p w14:paraId="03B160BC" w14:textId="77777777" w:rsidR="001E22D4" w:rsidRDefault="001E22D4" w:rsidP="001E22D4">
      <w:pPr>
        <w:pStyle w:val="Body"/>
      </w:pPr>
      <w:r w:rsidRPr="002E1B4B">
        <w:t xml:space="preserve">Hasan, F. A., </w:t>
      </w:r>
      <w:proofErr w:type="spellStart"/>
      <w:r w:rsidRPr="002E1B4B">
        <w:t>Panigoro</w:t>
      </w:r>
      <w:proofErr w:type="spellEnd"/>
      <w:r w:rsidRPr="002E1B4B">
        <w:t xml:space="preserve">, M., </w:t>
      </w:r>
      <w:proofErr w:type="spellStart"/>
      <w:r w:rsidRPr="002E1B4B">
        <w:t>Maruwae</w:t>
      </w:r>
      <w:proofErr w:type="spellEnd"/>
      <w:r w:rsidRPr="002E1B4B">
        <w:t xml:space="preserve">, A., Mahmud, M., &amp; </w:t>
      </w:r>
      <w:proofErr w:type="spellStart"/>
      <w:r w:rsidRPr="002E1B4B">
        <w:t>Toralawe</w:t>
      </w:r>
      <w:proofErr w:type="spellEnd"/>
      <w:r w:rsidRPr="002E1B4B">
        <w:t xml:space="preserve">, Y. (2025). The influence of the completeness of school facilities on student learning readiness at Madrasah Aliyah </w:t>
      </w:r>
      <w:proofErr w:type="spellStart"/>
      <w:r w:rsidRPr="002E1B4B">
        <w:t>Salafiyah</w:t>
      </w:r>
      <w:proofErr w:type="spellEnd"/>
      <w:r w:rsidRPr="002E1B4B">
        <w:t xml:space="preserve"> </w:t>
      </w:r>
      <w:proofErr w:type="spellStart"/>
      <w:r w:rsidRPr="002E1B4B">
        <w:t>Syafi'iyah</w:t>
      </w:r>
      <w:proofErr w:type="spellEnd"/>
      <w:r w:rsidRPr="002E1B4B">
        <w:t>. Journal of Education, 13(1), 119-132. https://doi.org/10.24090/jk.v13i1.13562</w:t>
      </w:r>
    </w:p>
    <w:p w14:paraId="46D8CF0F" w14:textId="77777777" w:rsidR="001E22D4" w:rsidRDefault="001E22D4" w:rsidP="001E22D4">
      <w:pPr>
        <w:pStyle w:val="Body"/>
      </w:pPr>
      <w:proofErr w:type="spellStart"/>
      <w:r w:rsidRPr="002E1B4B">
        <w:t>Ilmaknun</w:t>
      </w:r>
      <w:proofErr w:type="spellEnd"/>
      <w:r w:rsidRPr="002E1B4B">
        <w:t xml:space="preserve">, L., &amp; </w:t>
      </w:r>
      <w:proofErr w:type="spellStart"/>
      <w:r w:rsidRPr="002E1B4B">
        <w:t>Ulfah</w:t>
      </w:r>
      <w:proofErr w:type="spellEnd"/>
      <w:r w:rsidRPr="002E1B4B">
        <w:t>, M. (2023). The effect of learning independence on learning outcomes. Journal of Science and Technology, 5(1), 416-423. https://doi.org/10.55338/saintek.v5i1.1401</w:t>
      </w:r>
    </w:p>
    <w:p w14:paraId="72C513A1" w14:textId="5E13CDDB" w:rsidR="00F02B22" w:rsidRDefault="00F02B22" w:rsidP="001E22D4">
      <w:pPr>
        <w:pStyle w:val="Body"/>
      </w:pPr>
      <w:proofErr w:type="spellStart"/>
      <w:r w:rsidRPr="002E1B4B">
        <w:t>Mahrufah</w:t>
      </w:r>
      <w:proofErr w:type="spellEnd"/>
      <w:r w:rsidRPr="002E1B4B">
        <w:t xml:space="preserve">, M., &amp; </w:t>
      </w:r>
      <w:proofErr w:type="spellStart"/>
      <w:r w:rsidRPr="002E1B4B">
        <w:t>Rijanto</w:t>
      </w:r>
      <w:proofErr w:type="spellEnd"/>
      <w:r w:rsidRPr="002E1B4B">
        <w:t xml:space="preserve">, T. (2024). The effect of self-regulated learning on critical thinking skills and student learning outcomes. Journal of Madrasah Education, 9(2), 213-218. </w:t>
      </w:r>
      <w:hyperlink r:id="rId10" w:history="1">
        <w:r w:rsidRPr="002E1B4B">
          <w:rPr>
            <w:rStyle w:val="Hyperlink"/>
          </w:rPr>
          <w:t>https://doi.org/10.14421/jpm.2024.213-218</w:t>
        </w:r>
      </w:hyperlink>
    </w:p>
    <w:p w14:paraId="068C4639" w14:textId="0D8F09CB" w:rsidR="001E22D4" w:rsidRDefault="001E22D4" w:rsidP="001E22D4">
      <w:pPr>
        <w:pStyle w:val="Body"/>
      </w:pPr>
      <w:proofErr w:type="spellStart"/>
      <w:r>
        <w:t>Mardiana</w:t>
      </w:r>
      <w:proofErr w:type="spellEnd"/>
      <w:r>
        <w:t>, N., &amp; Faqih, A. (2019). The best SEM-PLS model for evaluation of Discrete Mathematics learning with LMS. BAREKENG: Journal of Mathematics and Applied Sciences, 13(3), 157-170. https://doi.org/10.30598/barekengvol13iss3pp157-170ar898</w:t>
      </w:r>
    </w:p>
    <w:p w14:paraId="4E6EAF08" w14:textId="77777777" w:rsidR="001E22D4" w:rsidRDefault="001E22D4" w:rsidP="001E22D4">
      <w:pPr>
        <w:pStyle w:val="Body"/>
      </w:pPr>
      <w:proofErr w:type="spellStart"/>
      <w:r w:rsidRPr="00F036EE">
        <w:t>Mats</w:t>
      </w:r>
      <w:r>
        <w:t>ani</w:t>
      </w:r>
      <w:proofErr w:type="spellEnd"/>
      <w:r>
        <w:t xml:space="preserve">, N., &amp; Rafsanjani, M. A. (2021). The role of learning independence in mediating the effect of achievement motivation on student learning achievement during online learning. </w:t>
      </w:r>
      <w:proofErr w:type="spellStart"/>
      <w:r>
        <w:t>Undiksha</w:t>
      </w:r>
      <w:proofErr w:type="spellEnd"/>
      <w:r>
        <w:t xml:space="preserve"> Journal of Economic Education, 13(1), 9-21. https://doi.org/10.23887/jjpe.v13i1.33910</w:t>
      </w:r>
    </w:p>
    <w:p w14:paraId="4F48B912" w14:textId="2583C2CC" w:rsidR="001E22D4" w:rsidRDefault="001E22D4" w:rsidP="001E22D4">
      <w:pPr>
        <w:pStyle w:val="Body"/>
        <w:spacing w:after="0"/>
      </w:pPr>
      <w:r>
        <w:t xml:space="preserve">Mustafa, P. S., &amp; </w:t>
      </w:r>
      <w:proofErr w:type="spellStart"/>
      <w:r>
        <w:t>Masgumelar</w:t>
      </w:r>
      <w:proofErr w:type="spellEnd"/>
      <w:r>
        <w:t xml:space="preserve">, N. K. (2022). Development of attitude, knowledge, and skill assessment instruments in physical education. </w:t>
      </w:r>
      <w:proofErr w:type="spellStart"/>
      <w:r>
        <w:t>Biormatics</w:t>
      </w:r>
      <w:proofErr w:type="spellEnd"/>
      <w:r>
        <w:t xml:space="preserve">: Scientific Journal of FETT, 8(1), 31-49. </w:t>
      </w:r>
      <w:hyperlink r:id="rId11" w:history="1">
        <w:r w:rsidR="00476513" w:rsidRPr="00DB2DB6">
          <w:rPr>
            <w:rStyle w:val="Hyperlink"/>
          </w:rPr>
          <w:t>https://doi.org/10.35569/biormatika.v8i1.1093</w:t>
        </w:r>
      </w:hyperlink>
    </w:p>
    <w:p w14:paraId="2726469C" w14:textId="77777777" w:rsidR="00476513" w:rsidRDefault="00476513" w:rsidP="00476513">
      <w:pPr>
        <w:pStyle w:val="Body"/>
      </w:pPr>
    </w:p>
    <w:p w14:paraId="7CE42C25" w14:textId="77777777" w:rsidR="00476513" w:rsidRDefault="00476513" w:rsidP="00476513">
      <w:pPr>
        <w:pStyle w:val="Body"/>
        <w:spacing w:before="240"/>
      </w:pPr>
      <w:proofErr w:type="spellStart"/>
      <w:r>
        <w:t>Nusi</w:t>
      </w:r>
      <w:proofErr w:type="spellEnd"/>
      <w:r>
        <w:t xml:space="preserve">, A., </w:t>
      </w:r>
      <w:proofErr w:type="spellStart"/>
      <w:r>
        <w:t>Hafid</w:t>
      </w:r>
      <w:proofErr w:type="spellEnd"/>
      <w:r>
        <w:t xml:space="preserve">, R., </w:t>
      </w:r>
      <w:proofErr w:type="spellStart"/>
      <w:r>
        <w:t>Bahsoan</w:t>
      </w:r>
      <w:proofErr w:type="spellEnd"/>
      <w:r>
        <w:t xml:space="preserve">, A., Mahmud, M., &amp; </w:t>
      </w:r>
      <w:proofErr w:type="spellStart"/>
      <w:r>
        <w:t>Toralawe</w:t>
      </w:r>
      <w:proofErr w:type="spellEnd"/>
      <w:r>
        <w:t>, Y. (2024). The effect of learning facilities on student learning motivation in integrated social studies subjects. Indonesian Journal of Social Education, 3(1), 50-62. https://doi.org/10.62238/jupsi.v3i1.194</w:t>
      </w:r>
    </w:p>
    <w:p w14:paraId="587E7F40" w14:textId="77777777" w:rsidR="00476513" w:rsidRDefault="00476513" w:rsidP="00476513">
      <w:pPr>
        <w:pStyle w:val="Body"/>
      </w:pPr>
      <w:r>
        <w:t xml:space="preserve">Putri, S., Reza, O. N. L., Adi, I. K. S., Indra, D. I. P., &amp; </w:t>
      </w:r>
      <w:proofErr w:type="spellStart"/>
      <w:r>
        <w:t>Werang</w:t>
      </w:r>
      <w:proofErr w:type="spellEnd"/>
      <w:r>
        <w:t>, W. B. R. (2024). The effect of the availability of school facilities and infrastructure on elementary school students' learning motivation. JPG: Journal of Teacher Education, 5(3), 310-318. https://doi.org/10.32832/jpg.v5i3.15666</w:t>
      </w:r>
    </w:p>
    <w:p w14:paraId="07E4A52D" w14:textId="77777777" w:rsidR="00476513" w:rsidRDefault="00476513" w:rsidP="00476513">
      <w:pPr>
        <w:pStyle w:val="Body"/>
      </w:pPr>
      <w:proofErr w:type="spellStart"/>
      <w:r>
        <w:t>Rahmawati</w:t>
      </w:r>
      <w:proofErr w:type="spellEnd"/>
      <w:r>
        <w:t xml:space="preserve">, A. A., Adelia, A. R., &amp; </w:t>
      </w:r>
      <w:proofErr w:type="spellStart"/>
      <w:r>
        <w:t>Djazilan</w:t>
      </w:r>
      <w:proofErr w:type="spellEnd"/>
      <w:r>
        <w:t xml:space="preserve">, M. S. (2021). The relationship between study habits and learning outcomes in science subjects in elementary school. </w:t>
      </w:r>
      <w:proofErr w:type="spellStart"/>
      <w:r>
        <w:t>Basicedu</w:t>
      </w:r>
      <w:proofErr w:type="spellEnd"/>
      <w:r>
        <w:t xml:space="preserve"> Journal, 5(5), 3390-3398. https://doi.org/10.31004/basicedu.v5i5.1348</w:t>
      </w:r>
    </w:p>
    <w:p w14:paraId="12FA457C" w14:textId="4144DAD9" w:rsidR="00476513" w:rsidRDefault="00476513" w:rsidP="00476513">
      <w:pPr>
        <w:pStyle w:val="Body"/>
        <w:spacing w:after="0"/>
      </w:pPr>
      <w:proofErr w:type="spellStart"/>
      <w:r>
        <w:t>Retnoningrum</w:t>
      </w:r>
      <w:proofErr w:type="spellEnd"/>
      <w:r>
        <w:t xml:space="preserve">, F., </w:t>
      </w:r>
      <w:proofErr w:type="spellStart"/>
      <w:r>
        <w:t>Suryandari</w:t>
      </w:r>
      <w:proofErr w:type="spellEnd"/>
      <w:r>
        <w:t xml:space="preserve">, K. C., &amp; </w:t>
      </w:r>
      <w:proofErr w:type="spellStart"/>
      <w:r>
        <w:t>Rokhmaniyah</w:t>
      </w:r>
      <w:proofErr w:type="spellEnd"/>
      <w:r>
        <w:t xml:space="preserve">, R. (2021). The effect of independence and learning facilities in online learning on the science learning outcomes of fifth grade students of SDN in </w:t>
      </w:r>
      <w:proofErr w:type="spellStart"/>
      <w:r>
        <w:t>Kebumen</w:t>
      </w:r>
      <w:proofErr w:type="spellEnd"/>
      <w:r>
        <w:t xml:space="preserve"> District in the 2020/2021 school year. Kalam </w:t>
      </w:r>
      <w:proofErr w:type="spellStart"/>
      <w:r>
        <w:t>Cendekia</w:t>
      </w:r>
      <w:proofErr w:type="spellEnd"/>
      <w:r>
        <w:t xml:space="preserve">: Scientific Journal of Education, 9(2), 45-55. </w:t>
      </w:r>
      <w:hyperlink r:id="rId12" w:history="1">
        <w:r w:rsidRPr="00DB2DB6">
          <w:rPr>
            <w:rStyle w:val="Hyperlink"/>
          </w:rPr>
          <w:t>https://doi.org/10.20961/jkc.v9i2.52391</w:t>
        </w:r>
      </w:hyperlink>
    </w:p>
    <w:p w14:paraId="4FC25AB7" w14:textId="77777777" w:rsidR="00476513" w:rsidRDefault="00476513" w:rsidP="00476513">
      <w:pPr>
        <w:pStyle w:val="Body"/>
        <w:spacing w:after="0"/>
      </w:pPr>
    </w:p>
    <w:p w14:paraId="3A5137DE" w14:textId="77777777" w:rsidR="00476513" w:rsidRDefault="00476513" w:rsidP="00476513">
      <w:pPr>
        <w:pStyle w:val="Body"/>
      </w:pPr>
      <w:r>
        <w:t xml:space="preserve">Sabrina, S., &amp; </w:t>
      </w:r>
      <w:proofErr w:type="spellStart"/>
      <w:r>
        <w:t>Darmawan</w:t>
      </w:r>
      <w:proofErr w:type="spellEnd"/>
      <w:r>
        <w:t xml:space="preserve">, D. (2024). </w:t>
      </w:r>
      <w:proofErr w:type="spellStart"/>
      <w:r>
        <w:t>Pengaruh</w:t>
      </w:r>
      <w:proofErr w:type="spellEnd"/>
      <w:r>
        <w:t xml:space="preserve"> </w:t>
      </w:r>
      <w:proofErr w:type="spellStart"/>
      <w:r>
        <w:t>fasilitas</w:t>
      </w:r>
      <w:proofErr w:type="spellEnd"/>
      <w:r>
        <w:t xml:space="preserve"> </w:t>
      </w:r>
      <w:proofErr w:type="spellStart"/>
      <w:r>
        <w:t>belajar</w:t>
      </w:r>
      <w:proofErr w:type="spellEnd"/>
      <w:r>
        <w:t xml:space="preserve"> </w:t>
      </w:r>
      <w:proofErr w:type="spellStart"/>
      <w:r>
        <w:t>terhadap</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siswa</w:t>
      </w:r>
      <w:proofErr w:type="spellEnd"/>
      <w:r>
        <w:t xml:space="preserve"> SMP </w:t>
      </w:r>
      <w:proofErr w:type="spellStart"/>
      <w:r>
        <w:t>sederajat</w:t>
      </w:r>
      <w:proofErr w:type="spellEnd"/>
      <w:r>
        <w:t xml:space="preserve">. </w:t>
      </w:r>
      <w:proofErr w:type="spellStart"/>
      <w:r>
        <w:t>Jurnal</w:t>
      </w:r>
      <w:proofErr w:type="spellEnd"/>
      <w:r>
        <w:t xml:space="preserve"> </w:t>
      </w:r>
      <w:proofErr w:type="spellStart"/>
      <w:r>
        <w:t>Penelitian</w:t>
      </w:r>
      <w:proofErr w:type="spellEnd"/>
      <w:r>
        <w:t xml:space="preserve"> Pendidikan Indonesia (JPPI), 2(1), 266-276. </w:t>
      </w:r>
    </w:p>
    <w:p w14:paraId="2DD2F73A" w14:textId="77777777" w:rsidR="00337847" w:rsidRDefault="00337847" w:rsidP="00476513">
      <w:pPr>
        <w:pStyle w:val="Body"/>
      </w:pPr>
      <w:proofErr w:type="spellStart"/>
      <w:r w:rsidRPr="00337847">
        <w:t>Triwiratman</w:t>
      </w:r>
      <w:proofErr w:type="spellEnd"/>
      <w:r w:rsidRPr="00337847">
        <w:t xml:space="preserve">, A., Nusantara, T., &amp; </w:t>
      </w:r>
      <w:proofErr w:type="spellStart"/>
      <w:r w:rsidRPr="00337847">
        <w:t>Hitipeuw</w:t>
      </w:r>
      <w:proofErr w:type="spellEnd"/>
      <w:r w:rsidRPr="00337847">
        <w:t xml:space="preserve">, I. (2023). Level of learning independence in elementary school students: The influence of self-efficacy, motivation, and peer interaction. </w:t>
      </w:r>
      <w:proofErr w:type="spellStart"/>
      <w:r w:rsidRPr="00337847">
        <w:t>Didaktika</w:t>
      </w:r>
      <w:proofErr w:type="spellEnd"/>
      <w:r w:rsidRPr="00337847">
        <w:t xml:space="preserve">: </w:t>
      </w:r>
      <w:proofErr w:type="spellStart"/>
      <w:r w:rsidRPr="00337847">
        <w:t>Jurnal</w:t>
      </w:r>
      <w:proofErr w:type="spellEnd"/>
      <w:r w:rsidRPr="00337847">
        <w:t xml:space="preserve"> </w:t>
      </w:r>
      <w:proofErr w:type="spellStart"/>
      <w:r w:rsidRPr="00337847">
        <w:t>Kependidikan</w:t>
      </w:r>
      <w:proofErr w:type="spellEnd"/>
      <w:r w:rsidRPr="00337847">
        <w:t xml:space="preserve">, 12(4), 705-718. </w:t>
      </w:r>
    </w:p>
    <w:p w14:paraId="1C885884" w14:textId="2FB0D472" w:rsidR="00476513" w:rsidRDefault="00476513" w:rsidP="00476513">
      <w:pPr>
        <w:pStyle w:val="Body"/>
      </w:pPr>
      <w:proofErr w:type="spellStart"/>
      <w:r>
        <w:lastRenderedPageBreak/>
        <w:t>Sulino</w:t>
      </w:r>
      <w:proofErr w:type="spellEnd"/>
      <w:r>
        <w:t xml:space="preserve">, S. (2023). </w:t>
      </w:r>
      <w:proofErr w:type="spellStart"/>
      <w:r>
        <w:t>Peningkatan</w:t>
      </w:r>
      <w:proofErr w:type="spellEnd"/>
      <w:r>
        <w:t xml:space="preserve"> </w:t>
      </w:r>
      <w:proofErr w:type="spellStart"/>
      <w:r>
        <w:t>sikap</w:t>
      </w:r>
      <w:proofErr w:type="spellEnd"/>
      <w:r>
        <w:t xml:space="preserve">, </w:t>
      </w:r>
      <w:proofErr w:type="spellStart"/>
      <w:r>
        <w:t>keterampilan</w:t>
      </w:r>
      <w:proofErr w:type="spellEnd"/>
      <w:r>
        <w:t xml:space="preserve">, dan </w:t>
      </w:r>
      <w:proofErr w:type="spellStart"/>
      <w:r>
        <w:t>hasil</w:t>
      </w:r>
      <w:proofErr w:type="spellEnd"/>
      <w:r>
        <w:t xml:space="preserve"> </w:t>
      </w:r>
      <w:proofErr w:type="spellStart"/>
      <w:r>
        <w:t>belajar</w:t>
      </w:r>
      <w:proofErr w:type="spellEnd"/>
      <w:r>
        <w:t xml:space="preserve"> IPS </w:t>
      </w:r>
      <w:proofErr w:type="spellStart"/>
      <w:r>
        <w:t>melalui</w:t>
      </w:r>
      <w:proofErr w:type="spellEnd"/>
      <w:r>
        <w:t xml:space="preserve"> </w:t>
      </w:r>
      <w:proofErr w:type="spellStart"/>
      <w:r>
        <w:t>pembelajaran</w:t>
      </w:r>
      <w:proofErr w:type="spellEnd"/>
      <w:r>
        <w:t xml:space="preserve"> </w:t>
      </w:r>
      <w:proofErr w:type="spellStart"/>
      <w:r>
        <w:t>observasi</w:t>
      </w:r>
      <w:proofErr w:type="spellEnd"/>
      <w:r>
        <w:t xml:space="preserve">. </w:t>
      </w:r>
      <w:proofErr w:type="spellStart"/>
      <w:r>
        <w:t>Jurnal</w:t>
      </w:r>
      <w:proofErr w:type="spellEnd"/>
      <w:r>
        <w:t xml:space="preserve"> </w:t>
      </w:r>
      <w:proofErr w:type="spellStart"/>
      <w:r>
        <w:t>Ilmiah</w:t>
      </w:r>
      <w:proofErr w:type="spellEnd"/>
      <w:r>
        <w:t xml:space="preserve"> WUNY, 5(1), 13-25. https://doi.org/10.21831/jwuny.v5i1.60887</w:t>
      </w:r>
    </w:p>
    <w:p w14:paraId="35B874EE" w14:textId="77777777" w:rsidR="00476513" w:rsidRDefault="00476513" w:rsidP="00476513">
      <w:pPr>
        <w:pStyle w:val="Body"/>
      </w:pPr>
      <w:r>
        <w:t xml:space="preserve">Uno, H. B. (2016). </w:t>
      </w:r>
      <w:proofErr w:type="spellStart"/>
      <w:r>
        <w:t>Teori</w:t>
      </w:r>
      <w:proofErr w:type="spellEnd"/>
      <w:r>
        <w:t xml:space="preserve"> </w:t>
      </w:r>
      <w:proofErr w:type="spellStart"/>
      <w:r>
        <w:t>motivasi</w:t>
      </w:r>
      <w:proofErr w:type="spellEnd"/>
      <w:r>
        <w:t xml:space="preserve"> dan </w:t>
      </w:r>
      <w:proofErr w:type="spellStart"/>
      <w:r>
        <w:t>pengukurannya</w:t>
      </w:r>
      <w:proofErr w:type="spellEnd"/>
      <w:r>
        <w:t xml:space="preserve">: </w:t>
      </w:r>
      <w:proofErr w:type="spellStart"/>
      <w:r>
        <w:t>Analisis</w:t>
      </w:r>
      <w:proofErr w:type="spellEnd"/>
      <w:r>
        <w:t xml:space="preserve"> di </w:t>
      </w:r>
      <w:proofErr w:type="spellStart"/>
      <w:r>
        <w:t>bidang</w:t>
      </w:r>
      <w:proofErr w:type="spellEnd"/>
      <w:r>
        <w:t xml:space="preserve"> </w:t>
      </w:r>
      <w:proofErr w:type="spellStart"/>
      <w:r>
        <w:t>pendidikan</w:t>
      </w:r>
      <w:proofErr w:type="spellEnd"/>
      <w:r>
        <w:t xml:space="preserve">. Jakarta: </w:t>
      </w:r>
      <w:proofErr w:type="spellStart"/>
      <w:r>
        <w:t>Bumi</w:t>
      </w:r>
      <w:proofErr w:type="spellEnd"/>
      <w:r>
        <w:t xml:space="preserve"> </w:t>
      </w:r>
      <w:proofErr w:type="spellStart"/>
      <w:r>
        <w:t>Aksara</w:t>
      </w:r>
      <w:proofErr w:type="spellEnd"/>
      <w:r>
        <w:t>.</w:t>
      </w:r>
    </w:p>
    <w:p w14:paraId="006A920D" w14:textId="77777777" w:rsidR="00476513" w:rsidRDefault="00476513" w:rsidP="00476513">
      <w:pPr>
        <w:pStyle w:val="Body"/>
      </w:pPr>
      <w:proofErr w:type="spellStart"/>
      <w:r>
        <w:t>Yani</w:t>
      </w:r>
      <w:proofErr w:type="spellEnd"/>
      <w:r>
        <w:t xml:space="preserve">, N. L. S., &amp; </w:t>
      </w:r>
      <w:proofErr w:type="spellStart"/>
      <w:r>
        <w:t>Santoso</w:t>
      </w:r>
      <w:proofErr w:type="spellEnd"/>
      <w:r>
        <w:t xml:space="preserve">, J. T. B. (2023). </w:t>
      </w:r>
      <w:proofErr w:type="spellStart"/>
      <w:r>
        <w:t>Kombinasi</w:t>
      </w:r>
      <w:proofErr w:type="spellEnd"/>
      <w:r>
        <w:t xml:space="preserve"> discovery learning </w:t>
      </w:r>
      <w:proofErr w:type="spellStart"/>
      <w:r>
        <w:t>dengan</w:t>
      </w:r>
      <w:proofErr w:type="spellEnd"/>
      <w:r>
        <w:t xml:space="preserve"> multimedia </w:t>
      </w:r>
      <w:proofErr w:type="spellStart"/>
      <w:r>
        <w:t>interaktif</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daya</w:t>
      </w:r>
      <w:proofErr w:type="spellEnd"/>
      <w:r>
        <w:t xml:space="preserve"> </w:t>
      </w:r>
      <w:proofErr w:type="spellStart"/>
      <w:r>
        <w:t>kritis</w:t>
      </w:r>
      <w:proofErr w:type="spellEnd"/>
      <w:r>
        <w:t xml:space="preserve"> </w:t>
      </w:r>
      <w:proofErr w:type="spellStart"/>
      <w:r>
        <w:t>siswa</w:t>
      </w:r>
      <w:proofErr w:type="spellEnd"/>
      <w:r>
        <w:t xml:space="preserve">. </w:t>
      </w:r>
      <w:proofErr w:type="spellStart"/>
      <w:r>
        <w:t>Jurnal</w:t>
      </w:r>
      <w:proofErr w:type="spellEnd"/>
      <w:r>
        <w:t xml:space="preserve"> Pendidikan </w:t>
      </w:r>
      <w:proofErr w:type="spellStart"/>
      <w:r>
        <w:t>Ekonomi</w:t>
      </w:r>
      <w:proofErr w:type="spellEnd"/>
      <w:r>
        <w:t xml:space="preserve"> </w:t>
      </w:r>
      <w:proofErr w:type="spellStart"/>
      <w:r>
        <w:t>Undiksha</w:t>
      </w:r>
      <w:proofErr w:type="spellEnd"/>
      <w:r>
        <w:t>, 16(1), 1-15. https://doi.org/10.23887/jjpe.v16i1.55154</w:t>
      </w:r>
    </w:p>
    <w:p w14:paraId="098C7F11" w14:textId="62ADC357" w:rsidR="00476513" w:rsidRDefault="00476513" w:rsidP="00476513">
      <w:pPr>
        <w:pStyle w:val="Body"/>
        <w:spacing w:after="0"/>
      </w:pPr>
      <w:proofErr w:type="spellStart"/>
      <w:r>
        <w:t>Wigati</w:t>
      </w:r>
      <w:proofErr w:type="spellEnd"/>
      <w:r>
        <w:t xml:space="preserve">, A. (2023). </w:t>
      </w:r>
      <w:proofErr w:type="spellStart"/>
      <w:r>
        <w:t>Pengaruh</w:t>
      </w:r>
      <w:proofErr w:type="spellEnd"/>
      <w:r>
        <w:t xml:space="preserve"> </w:t>
      </w:r>
      <w:proofErr w:type="spellStart"/>
      <w:r>
        <w:t>motivasi</w:t>
      </w:r>
      <w:proofErr w:type="spellEnd"/>
      <w:r>
        <w:t xml:space="preserve"> </w:t>
      </w:r>
      <w:proofErr w:type="spellStart"/>
      <w:r>
        <w:t>belajar</w:t>
      </w:r>
      <w:proofErr w:type="spellEnd"/>
      <w:r>
        <w:t xml:space="preserve"> </w:t>
      </w:r>
      <w:proofErr w:type="spellStart"/>
      <w:r>
        <w:t>intrinsik</w:t>
      </w:r>
      <w:proofErr w:type="spellEnd"/>
      <w:r>
        <w:t xml:space="preserve"> dan </w:t>
      </w:r>
      <w:proofErr w:type="spellStart"/>
      <w:r>
        <w:t>motivasi</w:t>
      </w:r>
      <w:proofErr w:type="spellEnd"/>
      <w:r>
        <w:t xml:space="preserve"> </w:t>
      </w:r>
      <w:proofErr w:type="spellStart"/>
      <w:r>
        <w:t>belajar</w:t>
      </w:r>
      <w:proofErr w:type="spellEnd"/>
      <w:r>
        <w:t xml:space="preserve"> </w:t>
      </w:r>
      <w:proofErr w:type="spellStart"/>
      <w:r>
        <w:t>ekstrinsik</w:t>
      </w:r>
      <w:proofErr w:type="spellEnd"/>
      <w:r>
        <w:t xml:space="preserve"> </w:t>
      </w:r>
      <w:proofErr w:type="spellStart"/>
      <w:r>
        <w:t>terhadap</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kelas</w:t>
      </w:r>
      <w:proofErr w:type="spellEnd"/>
      <w:r>
        <w:t xml:space="preserve"> X IIS pada </w:t>
      </w:r>
      <w:proofErr w:type="spellStart"/>
      <w:r>
        <w:t>mata</w:t>
      </w:r>
      <w:proofErr w:type="spellEnd"/>
      <w:r>
        <w:t xml:space="preserve"> </w:t>
      </w:r>
      <w:proofErr w:type="spellStart"/>
      <w:r>
        <w:t>pelajaran</w:t>
      </w:r>
      <w:proofErr w:type="spellEnd"/>
      <w:r>
        <w:t xml:space="preserve"> </w:t>
      </w:r>
      <w:proofErr w:type="spellStart"/>
      <w:r>
        <w:t>ekonomi</w:t>
      </w:r>
      <w:proofErr w:type="spellEnd"/>
      <w:r>
        <w:t xml:space="preserve"> di SMA Negeri 1 </w:t>
      </w:r>
      <w:proofErr w:type="spellStart"/>
      <w:r>
        <w:t>Wonoayu</w:t>
      </w:r>
      <w:proofErr w:type="spellEnd"/>
      <w:r>
        <w:t xml:space="preserve">, </w:t>
      </w:r>
      <w:proofErr w:type="spellStart"/>
      <w:r>
        <w:t>Sidoarjo</w:t>
      </w:r>
      <w:proofErr w:type="spellEnd"/>
      <w:r>
        <w:t xml:space="preserve">. </w:t>
      </w:r>
      <w:proofErr w:type="spellStart"/>
      <w:r>
        <w:t>Jurnal</w:t>
      </w:r>
      <w:proofErr w:type="spellEnd"/>
      <w:r>
        <w:t xml:space="preserve"> Pendidikan </w:t>
      </w:r>
      <w:proofErr w:type="spellStart"/>
      <w:r>
        <w:t>Ekonomi</w:t>
      </w:r>
      <w:proofErr w:type="spellEnd"/>
      <w:r>
        <w:t xml:space="preserve"> (JUPE), 4(3), 123-131. https://ejournal.unesa.ac.id/index</w:t>
      </w:r>
      <w:r w:rsidR="006E620A">
        <w:t>.php/jupe/article/view/15854</w:t>
      </w:r>
    </w:p>
    <w:p w14:paraId="6269C5C3" w14:textId="77777777" w:rsidR="00B01FCD" w:rsidRDefault="00B01FCD" w:rsidP="00441B6F">
      <w:pPr>
        <w:pStyle w:val="Appendix"/>
        <w:spacing w:after="0"/>
        <w:jc w:val="both"/>
        <w:rPr>
          <w:rFonts w:ascii="Arial" w:hAnsi="Arial" w:cs="Arial"/>
          <w:b w:val="0"/>
        </w:rPr>
      </w:pPr>
    </w:p>
    <w:p w14:paraId="5DA3CF42" w14:textId="77777777" w:rsidR="00476513" w:rsidRPr="00FB3A86" w:rsidRDefault="00476513" w:rsidP="00441B6F">
      <w:pPr>
        <w:pStyle w:val="Appendix"/>
        <w:spacing w:after="0"/>
        <w:jc w:val="both"/>
        <w:rPr>
          <w:rFonts w:ascii="Arial" w:hAnsi="Arial" w:cs="Arial"/>
          <w:b w:val="0"/>
        </w:rPr>
      </w:pPr>
    </w:p>
    <w:sectPr w:rsidR="00476513" w:rsidRPr="00FB3A86" w:rsidSect="00F82CA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61533" w14:textId="77777777" w:rsidR="00502E3D" w:rsidRDefault="00502E3D" w:rsidP="00C37E61">
      <w:r>
        <w:separator/>
      </w:r>
    </w:p>
  </w:endnote>
  <w:endnote w:type="continuationSeparator" w:id="0">
    <w:p w14:paraId="06DA735C" w14:textId="77777777" w:rsidR="00502E3D" w:rsidRDefault="00502E3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F5AC" w14:textId="77777777" w:rsidR="002E1B4B" w:rsidRDefault="002E1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C5C2" w14:textId="77777777" w:rsidR="002E1B4B" w:rsidRPr="00C37E61" w:rsidRDefault="002E1B4B"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9003" w14:textId="77777777" w:rsidR="002E1B4B" w:rsidRDefault="002E1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1C3DF" w14:textId="77777777" w:rsidR="00502E3D" w:rsidRDefault="00502E3D" w:rsidP="00C37E61">
      <w:r>
        <w:separator/>
      </w:r>
    </w:p>
  </w:footnote>
  <w:footnote w:type="continuationSeparator" w:id="0">
    <w:p w14:paraId="04302157" w14:textId="77777777" w:rsidR="00502E3D" w:rsidRDefault="00502E3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390CC" w14:textId="2C4F5AAD" w:rsidR="002E1B4B" w:rsidRDefault="00502E3D">
    <w:pPr>
      <w:pStyle w:val="Header"/>
    </w:pPr>
    <w:r>
      <w:rPr>
        <w:noProof/>
      </w:rPr>
      <w:pict w14:anchorId="18E1D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85188"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7281" w14:textId="5A210EE9" w:rsidR="002E1B4B" w:rsidRDefault="00502E3D">
    <w:pPr>
      <w:pStyle w:val="Header"/>
    </w:pPr>
    <w:r>
      <w:rPr>
        <w:noProof/>
      </w:rPr>
      <w:pict w14:anchorId="30201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85189"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AE29" w14:textId="5F7B5B3A" w:rsidR="002E1B4B" w:rsidRDefault="00502E3D">
    <w:pPr>
      <w:pStyle w:val="Header"/>
    </w:pPr>
    <w:r>
      <w:rPr>
        <w:noProof/>
      </w:rPr>
      <w:pict w14:anchorId="66FEF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85187"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FA1B0E"/>
    <w:multiLevelType w:val="hybridMultilevel"/>
    <w:tmpl w:val="E4CE5A58"/>
    <w:lvl w:ilvl="0" w:tplc="6D9EA4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433048"/>
    <w:multiLevelType w:val="hybridMultilevel"/>
    <w:tmpl w:val="C980B1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4D3637"/>
    <w:multiLevelType w:val="hybridMultilevel"/>
    <w:tmpl w:val="1278C4E0"/>
    <w:lvl w:ilvl="0" w:tplc="614288F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A14B7"/>
    <w:multiLevelType w:val="hybridMultilevel"/>
    <w:tmpl w:val="D1507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0A1519"/>
    <w:multiLevelType w:val="hybridMultilevel"/>
    <w:tmpl w:val="87146CD8"/>
    <w:lvl w:ilvl="0" w:tplc="9552DEF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CC0484D"/>
    <w:multiLevelType w:val="hybridMultilevel"/>
    <w:tmpl w:val="F036CD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15FFE"/>
    <w:multiLevelType w:val="hybridMultilevel"/>
    <w:tmpl w:val="B07AE266"/>
    <w:lvl w:ilvl="0" w:tplc="60CE52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20A62"/>
    <w:multiLevelType w:val="hybridMultilevel"/>
    <w:tmpl w:val="852A4102"/>
    <w:lvl w:ilvl="0" w:tplc="04090017">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425122"/>
    <w:multiLevelType w:val="hybridMultilevel"/>
    <w:tmpl w:val="91DC48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5B0A64"/>
    <w:multiLevelType w:val="hybridMultilevel"/>
    <w:tmpl w:val="8C4833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E50C1"/>
    <w:multiLevelType w:val="hybridMultilevel"/>
    <w:tmpl w:val="C368F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33D01"/>
    <w:multiLevelType w:val="hybridMultilevel"/>
    <w:tmpl w:val="7676ECFE"/>
    <w:lvl w:ilvl="0" w:tplc="270C5A4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0666CE7"/>
    <w:multiLevelType w:val="hybridMultilevel"/>
    <w:tmpl w:val="4A702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A0F62"/>
    <w:multiLevelType w:val="hybridMultilevel"/>
    <w:tmpl w:val="CCF6B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F14596"/>
    <w:multiLevelType w:val="hybridMultilevel"/>
    <w:tmpl w:val="9C62FB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7"/>
  </w:num>
  <w:num w:numId="9">
    <w:abstractNumId w:val="40"/>
  </w:num>
  <w:num w:numId="10">
    <w:abstractNumId w:val="2"/>
  </w:num>
  <w:num w:numId="11">
    <w:abstractNumId w:val="33"/>
  </w:num>
  <w:num w:numId="12">
    <w:abstractNumId w:val="3"/>
  </w:num>
  <w:num w:numId="13">
    <w:abstractNumId w:val="29"/>
  </w:num>
  <w:num w:numId="14">
    <w:abstractNumId w:val="10"/>
  </w:num>
  <w:num w:numId="15">
    <w:abstractNumId w:val="36"/>
  </w:num>
  <w:num w:numId="16">
    <w:abstractNumId w:val="5"/>
  </w:num>
  <w:num w:numId="17">
    <w:abstractNumId w:val="37"/>
  </w:num>
  <w:num w:numId="18">
    <w:abstractNumId w:val="19"/>
  </w:num>
  <w:num w:numId="19">
    <w:abstractNumId w:val="43"/>
  </w:num>
  <w:num w:numId="20">
    <w:abstractNumId w:val="15"/>
  </w:num>
  <w:num w:numId="21">
    <w:abstractNumId w:val="11"/>
  </w:num>
  <w:num w:numId="22">
    <w:abstractNumId w:val="18"/>
  </w:num>
  <w:num w:numId="23">
    <w:abstractNumId w:val="34"/>
  </w:num>
  <w:num w:numId="24">
    <w:abstractNumId w:val="41"/>
  </w:num>
  <w:num w:numId="25">
    <w:abstractNumId w:val="4"/>
  </w:num>
  <w:num w:numId="26">
    <w:abstractNumId w:val="24"/>
  </w:num>
  <w:num w:numId="27">
    <w:abstractNumId w:val="35"/>
  </w:num>
  <w:num w:numId="28">
    <w:abstractNumId w:val="42"/>
  </w:num>
  <w:num w:numId="29">
    <w:abstractNumId w:val="39"/>
  </w:num>
  <w:num w:numId="30">
    <w:abstractNumId w:val="12"/>
  </w:num>
  <w:num w:numId="31">
    <w:abstractNumId w:val="9"/>
  </w:num>
  <w:num w:numId="32">
    <w:abstractNumId w:val="27"/>
  </w:num>
  <w:num w:numId="33">
    <w:abstractNumId w:val="14"/>
  </w:num>
  <w:num w:numId="34">
    <w:abstractNumId w:val="20"/>
  </w:num>
  <w:num w:numId="35">
    <w:abstractNumId w:val="32"/>
  </w:num>
  <w:num w:numId="36">
    <w:abstractNumId w:val="21"/>
  </w:num>
  <w:num w:numId="37">
    <w:abstractNumId w:val="26"/>
  </w:num>
  <w:num w:numId="38">
    <w:abstractNumId w:val="13"/>
  </w:num>
  <w:num w:numId="39">
    <w:abstractNumId w:val="30"/>
  </w:num>
  <w:num w:numId="40">
    <w:abstractNumId w:val="28"/>
  </w:num>
  <w:num w:numId="41">
    <w:abstractNumId w:val="22"/>
  </w:num>
  <w:num w:numId="42">
    <w:abstractNumId w:val="7"/>
  </w:num>
  <w:num w:numId="43">
    <w:abstractNumId w:val="31"/>
  </w:num>
  <w:num w:numId="44">
    <w:abstractNumId w:val="2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B4A"/>
    <w:rsid w:val="00023A49"/>
    <w:rsid w:val="00030174"/>
    <w:rsid w:val="0004579C"/>
    <w:rsid w:val="00086A8B"/>
    <w:rsid w:val="000A47FA"/>
    <w:rsid w:val="000A65D3"/>
    <w:rsid w:val="000B1E33"/>
    <w:rsid w:val="000D689F"/>
    <w:rsid w:val="000E709E"/>
    <w:rsid w:val="000E7B7B"/>
    <w:rsid w:val="000E7D62"/>
    <w:rsid w:val="000F5C06"/>
    <w:rsid w:val="00103357"/>
    <w:rsid w:val="001217A8"/>
    <w:rsid w:val="00122D5C"/>
    <w:rsid w:val="00123C9F"/>
    <w:rsid w:val="00126190"/>
    <w:rsid w:val="00130F17"/>
    <w:rsid w:val="001320BF"/>
    <w:rsid w:val="00163BC4"/>
    <w:rsid w:val="00191062"/>
    <w:rsid w:val="001910E2"/>
    <w:rsid w:val="00191D6D"/>
    <w:rsid w:val="00192B72"/>
    <w:rsid w:val="001A29D8"/>
    <w:rsid w:val="001A5CAA"/>
    <w:rsid w:val="001B0427"/>
    <w:rsid w:val="001D3A51"/>
    <w:rsid w:val="001E10D2"/>
    <w:rsid w:val="001E22D4"/>
    <w:rsid w:val="001E25B4"/>
    <w:rsid w:val="001E44FE"/>
    <w:rsid w:val="00200595"/>
    <w:rsid w:val="00204835"/>
    <w:rsid w:val="00204926"/>
    <w:rsid w:val="00204C39"/>
    <w:rsid w:val="0023029F"/>
    <w:rsid w:val="00231920"/>
    <w:rsid w:val="0023195C"/>
    <w:rsid w:val="0024282C"/>
    <w:rsid w:val="002460DC"/>
    <w:rsid w:val="00250985"/>
    <w:rsid w:val="002545CE"/>
    <w:rsid w:val="002556F6"/>
    <w:rsid w:val="002813D0"/>
    <w:rsid w:val="00283105"/>
    <w:rsid w:val="00284C4C"/>
    <w:rsid w:val="00287E68"/>
    <w:rsid w:val="00296529"/>
    <w:rsid w:val="002A0025"/>
    <w:rsid w:val="002B27FB"/>
    <w:rsid w:val="002B685A"/>
    <w:rsid w:val="002C57D2"/>
    <w:rsid w:val="002C5F58"/>
    <w:rsid w:val="002E0D56"/>
    <w:rsid w:val="002E1B4B"/>
    <w:rsid w:val="002F62EE"/>
    <w:rsid w:val="002F6D95"/>
    <w:rsid w:val="00315186"/>
    <w:rsid w:val="0033343E"/>
    <w:rsid w:val="00337847"/>
    <w:rsid w:val="003512C2"/>
    <w:rsid w:val="003514EB"/>
    <w:rsid w:val="00351CAF"/>
    <w:rsid w:val="003570CE"/>
    <w:rsid w:val="003629DF"/>
    <w:rsid w:val="00371FB6"/>
    <w:rsid w:val="0037320A"/>
    <w:rsid w:val="003763C1"/>
    <w:rsid w:val="00376BBE"/>
    <w:rsid w:val="0039224F"/>
    <w:rsid w:val="003A1FF3"/>
    <w:rsid w:val="003A43A4"/>
    <w:rsid w:val="003A7E18"/>
    <w:rsid w:val="003C4C86"/>
    <w:rsid w:val="003C6258"/>
    <w:rsid w:val="003D12B6"/>
    <w:rsid w:val="003D5CBE"/>
    <w:rsid w:val="003E197D"/>
    <w:rsid w:val="003E2904"/>
    <w:rsid w:val="00401927"/>
    <w:rsid w:val="0041027F"/>
    <w:rsid w:val="00412475"/>
    <w:rsid w:val="00416CBA"/>
    <w:rsid w:val="00420E6B"/>
    <w:rsid w:val="00423789"/>
    <w:rsid w:val="00440F43"/>
    <w:rsid w:val="00441B6F"/>
    <w:rsid w:val="00446221"/>
    <w:rsid w:val="00450E62"/>
    <w:rsid w:val="004539DB"/>
    <w:rsid w:val="00471A80"/>
    <w:rsid w:val="00476513"/>
    <w:rsid w:val="004D305E"/>
    <w:rsid w:val="004D4277"/>
    <w:rsid w:val="004E3F8F"/>
    <w:rsid w:val="00502516"/>
    <w:rsid w:val="00502E3D"/>
    <w:rsid w:val="00505F06"/>
    <w:rsid w:val="00506828"/>
    <w:rsid w:val="0053056E"/>
    <w:rsid w:val="005361F2"/>
    <w:rsid w:val="0054124A"/>
    <w:rsid w:val="005440A1"/>
    <w:rsid w:val="00554FDA"/>
    <w:rsid w:val="00562B9D"/>
    <w:rsid w:val="00571EF5"/>
    <w:rsid w:val="00584989"/>
    <w:rsid w:val="005C784C"/>
    <w:rsid w:val="005D17F6"/>
    <w:rsid w:val="005E5539"/>
    <w:rsid w:val="005F718B"/>
    <w:rsid w:val="00602BF5"/>
    <w:rsid w:val="006148B1"/>
    <w:rsid w:val="00617FDD"/>
    <w:rsid w:val="00633614"/>
    <w:rsid w:val="00633F68"/>
    <w:rsid w:val="00636EB2"/>
    <w:rsid w:val="006375B8"/>
    <w:rsid w:val="0065711B"/>
    <w:rsid w:val="0066510A"/>
    <w:rsid w:val="00673F9F"/>
    <w:rsid w:val="00686953"/>
    <w:rsid w:val="00687DEA"/>
    <w:rsid w:val="00687E67"/>
    <w:rsid w:val="006967F7"/>
    <w:rsid w:val="006A250C"/>
    <w:rsid w:val="006B21D3"/>
    <w:rsid w:val="006B57D0"/>
    <w:rsid w:val="006D30FF"/>
    <w:rsid w:val="006D6940"/>
    <w:rsid w:val="006E620A"/>
    <w:rsid w:val="006F11EC"/>
    <w:rsid w:val="0070082C"/>
    <w:rsid w:val="007369E6"/>
    <w:rsid w:val="00743EBE"/>
    <w:rsid w:val="00746E59"/>
    <w:rsid w:val="00754C9A"/>
    <w:rsid w:val="0075599A"/>
    <w:rsid w:val="00761D52"/>
    <w:rsid w:val="0077749E"/>
    <w:rsid w:val="00790ADA"/>
    <w:rsid w:val="007A596F"/>
    <w:rsid w:val="007B6966"/>
    <w:rsid w:val="007B76B6"/>
    <w:rsid w:val="007D2288"/>
    <w:rsid w:val="007E088F"/>
    <w:rsid w:val="007F7B32"/>
    <w:rsid w:val="00804BC2"/>
    <w:rsid w:val="0081431A"/>
    <w:rsid w:val="0083216F"/>
    <w:rsid w:val="00860000"/>
    <w:rsid w:val="00863BD3"/>
    <w:rsid w:val="008641ED"/>
    <w:rsid w:val="00866D66"/>
    <w:rsid w:val="008671C6"/>
    <w:rsid w:val="00875803"/>
    <w:rsid w:val="008B459E"/>
    <w:rsid w:val="008C34A4"/>
    <w:rsid w:val="008C71C4"/>
    <w:rsid w:val="008E13AE"/>
    <w:rsid w:val="008E1506"/>
    <w:rsid w:val="008E710C"/>
    <w:rsid w:val="008F0959"/>
    <w:rsid w:val="008F69D6"/>
    <w:rsid w:val="00902823"/>
    <w:rsid w:val="00915CA6"/>
    <w:rsid w:val="00927834"/>
    <w:rsid w:val="0093601C"/>
    <w:rsid w:val="0094744B"/>
    <w:rsid w:val="009500A6"/>
    <w:rsid w:val="00957C18"/>
    <w:rsid w:val="009659BA"/>
    <w:rsid w:val="00983040"/>
    <w:rsid w:val="0098615C"/>
    <w:rsid w:val="009B3FB9"/>
    <w:rsid w:val="009C2465"/>
    <w:rsid w:val="009C69C1"/>
    <w:rsid w:val="009C73A3"/>
    <w:rsid w:val="009D2D11"/>
    <w:rsid w:val="009D35A0"/>
    <w:rsid w:val="009D7EB7"/>
    <w:rsid w:val="009E048A"/>
    <w:rsid w:val="009E08E9"/>
    <w:rsid w:val="009E3DB9"/>
    <w:rsid w:val="009E6E35"/>
    <w:rsid w:val="009F0EDA"/>
    <w:rsid w:val="009F3EED"/>
    <w:rsid w:val="00A03B96"/>
    <w:rsid w:val="00A05B19"/>
    <w:rsid w:val="00A1134E"/>
    <w:rsid w:val="00A24E7E"/>
    <w:rsid w:val="00A258C3"/>
    <w:rsid w:val="00A347C0"/>
    <w:rsid w:val="00A51431"/>
    <w:rsid w:val="00A539AD"/>
    <w:rsid w:val="00A65C7C"/>
    <w:rsid w:val="00A94063"/>
    <w:rsid w:val="00AA1F1C"/>
    <w:rsid w:val="00AA6219"/>
    <w:rsid w:val="00AA74E0"/>
    <w:rsid w:val="00AB703F"/>
    <w:rsid w:val="00AC6BB8"/>
    <w:rsid w:val="00AE008F"/>
    <w:rsid w:val="00AF7E08"/>
    <w:rsid w:val="00B01FCD"/>
    <w:rsid w:val="00B1269E"/>
    <w:rsid w:val="00B1776C"/>
    <w:rsid w:val="00B320A9"/>
    <w:rsid w:val="00B33BA8"/>
    <w:rsid w:val="00B52583"/>
    <w:rsid w:val="00B52896"/>
    <w:rsid w:val="00B649E3"/>
    <w:rsid w:val="00B95236"/>
    <w:rsid w:val="00B96BD9"/>
    <w:rsid w:val="00BA060D"/>
    <w:rsid w:val="00BA1B01"/>
    <w:rsid w:val="00BA2641"/>
    <w:rsid w:val="00BB37AA"/>
    <w:rsid w:val="00BB4DA2"/>
    <w:rsid w:val="00BC53A0"/>
    <w:rsid w:val="00BE62AD"/>
    <w:rsid w:val="00BF121F"/>
    <w:rsid w:val="00BF1F80"/>
    <w:rsid w:val="00C1588C"/>
    <w:rsid w:val="00C166EF"/>
    <w:rsid w:val="00C17EB0"/>
    <w:rsid w:val="00C27F5F"/>
    <w:rsid w:val="00C30A0F"/>
    <w:rsid w:val="00C37E61"/>
    <w:rsid w:val="00C70F1B"/>
    <w:rsid w:val="00C71A47"/>
    <w:rsid w:val="00C7464C"/>
    <w:rsid w:val="00C85588"/>
    <w:rsid w:val="00CA5AC6"/>
    <w:rsid w:val="00CD09BC"/>
    <w:rsid w:val="00CD6755"/>
    <w:rsid w:val="00CD6856"/>
    <w:rsid w:val="00CE0089"/>
    <w:rsid w:val="00CE793C"/>
    <w:rsid w:val="00CF193C"/>
    <w:rsid w:val="00D173F1"/>
    <w:rsid w:val="00D63D12"/>
    <w:rsid w:val="00D6538C"/>
    <w:rsid w:val="00D74CB0"/>
    <w:rsid w:val="00D8295D"/>
    <w:rsid w:val="00D95D0B"/>
    <w:rsid w:val="00DA0F77"/>
    <w:rsid w:val="00DA3F9B"/>
    <w:rsid w:val="00DC2A65"/>
    <w:rsid w:val="00DD2C1E"/>
    <w:rsid w:val="00DE15F0"/>
    <w:rsid w:val="00DE5663"/>
    <w:rsid w:val="00DE78AA"/>
    <w:rsid w:val="00E053D0"/>
    <w:rsid w:val="00E15994"/>
    <w:rsid w:val="00E16D11"/>
    <w:rsid w:val="00E20EB3"/>
    <w:rsid w:val="00E27C27"/>
    <w:rsid w:val="00E3114E"/>
    <w:rsid w:val="00E31A70"/>
    <w:rsid w:val="00E35B02"/>
    <w:rsid w:val="00E66496"/>
    <w:rsid w:val="00E66B35"/>
    <w:rsid w:val="00E66E10"/>
    <w:rsid w:val="00E769F6"/>
    <w:rsid w:val="00E82922"/>
    <w:rsid w:val="00E8407C"/>
    <w:rsid w:val="00E84F3C"/>
    <w:rsid w:val="00E92DCC"/>
    <w:rsid w:val="00EA012C"/>
    <w:rsid w:val="00EB13B8"/>
    <w:rsid w:val="00EC6A55"/>
    <w:rsid w:val="00ED0288"/>
    <w:rsid w:val="00EE52CB"/>
    <w:rsid w:val="00EF581D"/>
    <w:rsid w:val="00EF7FD8"/>
    <w:rsid w:val="00F02B22"/>
    <w:rsid w:val="00F036EE"/>
    <w:rsid w:val="00F06F59"/>
    <w:rsid w:val="00F17988"/>
    <w:rsid w:val="00F26729"/>
    <w:rsid w:val="00F469F0"/>
    <w:rsid w:val="00F53273"/>
    <w:rsid w:val="00F72DA3"/>
    <w:rsid w:val="00F755E4"/>
    <w:rsid w:val="00F77D02"/>
    <w:rsid w:val="00F82CA8"/>
    <w:rsid w:val="00F94AD9"/>
    <w:rsid w:val="00FB3A86"/>
    <w:rsid w:val="00FD36C8"/>
    <w:rsid w:val="00FF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551DAD"/>
  <w15:docId w15:val="{478B4B28-07AB-46F5-8DAB-A35A6620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2813D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5607413">
      <w:bodyDiv w:val="1"/>
      <w:marLeft w:val="0"/>
      <w:marRight w:val="0"/>
      <w:marTop w:val="0"/>
      <w:marBottom w:val="0"/>
      <w:divBdr>
        <w:top w:val="none" w:sz="0" w:space="0" w:color="auto"/>
        <w:left w:val="none" w:sz="0" w:space="0" w:color="auto"/>
        <w:bottom w:val="none" w:sz="0" w:space="0" w:color="auto"/>
        <w:right w:val="none" w:sz="0" w:space="0" w:color="auto"/>
      </w:divBdr>
      <w:divsChild>
        <w:div w:id="1001659188">
          <w:marLeft w:val="0"/>
          <w:marRight w:val="0"/>
          <w:marTop w:val="0"/>
          <w:marBottom w:val="0"/>
          <w:divBdr>
            <w:top w:val="none" w:sz="0" w:space="0" w:color="auto"/>
            <w:left w:val="none" w:sz="0" w:space="0" w:color="auto"/>
            <w:bottom w:val="none" w:sz="0" w:space="0" w:color="auto"/>
            <w:right w:val="none" w:sz="0" w:space="0" w:color="auto"/>
          </w:divBdr>
        </w:div>
      </w:divsChild>
    </w:div>
    <w:div w:id="582223259">
      <w:bodyDiv w:val="1"/>
      <w:marLeft w:val="0"/>
      <w:marRight w:val="0"/>
      <w:marTop w:val="0"/>
      <w:marBottom w:val="0"/>
      <w:divBdr>
        <w:top w:val="none" w:sz="0" w:space="0" w:color="auto"/>
        <w:left w:val="none" w:sz="0" w:space="0" w:color="auto"/>
        <w:bottom w:val="none" w:sz="0" w:space="0" w:color="auto"/>
        <w:right w:val="none" w:sz="0" w:space="0" w:color="auto"/>
      </w:divBdr>
      <w:divsChild>
        <w:div w:id="794450293">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2560801">
      <w:bodyDiv w:val="1"/>
      <w:marLeft w:val="0"/>
      <w:marRight w:val="0"/>
      <w:marTop w:val="0"/>
      <w:marBottom w:val="0"/>
      <w:divBdr>
        <w:top w:val="none" w:sz="0" w:space="0" w:color="auto"/>
        <w:left w:val="none" w:sz="0" w:space="0" w:color="auto"/>
        <w:bottom w:val="none" w:sz="0" w:space="0" w:color="auto"/>
        <w:right w:val="none" w:sz="0" w:space="0" w:color="auto"/>
      </w:divBdr>
      <w:divsChild>
        <w:div w:id="1719160365">
          <w:marLeft w:val="0"/>
          <w:marRight w:val="0"/>
          <w:marTop w:val="0"/>
          <w:marBottom w:val="0"/>
          <w:divBdr>
            <w:top w:val="none" w:sz="0" w:space="0" w:color="auto"/>
            <w:left w:val="none" w:sz="0" w:space="0" w:color="auto"/>
            <w:bottom w:val="none" w:sz="0" w:space="0" w:color="auto"/>
            <w:right w:val="none" w:sz="0" w:space="0" w:color="auto"/>
          </w:divBdr>
          <w:divsChild>
            <w:div w:id="523785882">
              <w:marLeft w:val="0"/>
              <w:marRight w:val="0"/>
              <w:marTop w:val="0"/>
              <w:marBottom w:val="0"/>
              <w:divBdr>
                <w:top w:val="none" w:sz="0" w:space="0" w:color="auto"/>
                <w:left w:val="none" w:sz="0" w:space="0" w:color="auto"/>
                <w:bottom w:val="none" w:sz="0" w:space="0" w:color="auto"/>
                <w:right w:val="none" w:sz="0" w:space="0" w:color="auto"/>
              </w:divBdr>
              <w:divsChild>
                <w:div w:id="496655077">
                  <w:marLeft w:val="0"/>
                  <w:marRight w:val="0"/>
                  <w:marTop w:val="0"/>
                  <w:marBottom w:val="0"/>
                  <w:divBdr>
                    <w:top w:val="none" w:sz="0" w:space="0" w:color="auto"/>
                    <w:left w:val="none" w:sz="0" w:space="0" w:color="auto"/>
                    <w:bottom w:val="none" w:sz="0" w:space="0" w:color="auto"/>
                    <w:right w:val="none" w:sz="0" w:space="0" w:color="auto"/>
                  </w:divBdr>
                  <w:divsChild>
                    <w:div w:id="1447390690">
                      <w:marLeft w:val="0"/>
                      <w:marRight w:val="0"/>
                      <w:marTop w:val="0"/>
                      <w:marBottom w:val="0"/>
                      <w:divBdr>
                        <w:top w:val="none" w:sz="0" w:space="0" w:color="auto"/>
                        <w:left w:val="none" w:sz="0" w:space="0" w:color="auto"/>
                        <w:bottom w:val="none" w:sz="0" w:space="0" w:color="auto"/>
                        <w:right w:val="none" w:sz="0" w:space="0" w:color="auto"/>
                      </w:divBdr>
                      <w:divsChild>
                        <w:div w:id="65228674">
                          <w:marLeft w:val="0"/>
                          <w:marRight w:val="0"/>
                          <w:marTop w:val="0"/>
                          <w:marBottom w:val="0"/>
                          <w:divBdr>
                            <w:top w:val="none" w:sz="0" w:space="0" w:color="auto"/>
                            <w:left w:val="none" w:sz="0" w:space="0" w:color="auto"/>
                            <w:bottom w:val="none" w:sz="0" w:space="0" w:color="auto"/>
                            <w:right w:val="none" w:sz="0" w:space="0" w:color="auto"/>
                          </w:divBdr>
                          <w:divsChild>
                            <w:div w:id="1751610056">
                              <w:marLeft w:val="0"/>
                              <w:marRight w:val="0"/>
                              <w:marTop w:val="0"/>
                              <w:marBottom w:val="0"/>
                              <w:divBdr>
                                <w:top w:val="none" w:sz="0" w:space="0" w:color="auto"/>
                                <w:left w:val="none" w:sz="0" w:space="0" w:color="auto"/>
                                <w:bottom w:val="none" w:sz="0" w:space="0" w:color="auto"/>
                                <w:right w:val="none" w:sz="0" w:space="0" w:color="auto"/>
                              </w:divBdr>
                              <w:divsChild>
                                <w:div w:id="1255744550">
                                  <w:marLeft w:val="0"/>
                                  <w:marRight w:val="0"/>
                                  <w:marTop w:val="0"/>
                                  <w:marBottom w:val="0"/>
                                  <w:divBdr>
                                    <w:top w:val="none" w:sz="0" w:space="0" w:color="auto"/>
                                    <w:left w:val="none" w:sz="0" w:space="0" w:color="auto"/>
                                    <w:bottom w:val="none" w:sz="0" w:space="0" w:color="auto"/>
                                    <w:right w:val="none" w:sz="0" w:space="0" w:color="auto"/>
                                  </w:divBdr>
                                  <w:divsChild>
                                    <w:div w:id="691957369">
                                      <w:marLeft w:val="0"/>
                                      <w:marRight w:val="0"/>
                                      <w:marTop w:val="0"/>
                                      <w:marBottom w:val="0"/>
                                      <w:divBdr>
                                        <w:top w:val="none" w:sz="0" w:space="0" w:color="auto"/>
                                        <w:left w:val="none" w:sz="0" w:space="0" w:color="auto"/>
                                        <w:bottom w:val="none" w:sz="0" w:space="0" w:color="auto"/>
                                        <w:right w:val="none" w:sz="0" w:space="0" w:color="auto"/>
                                      </w:divBdr>
                                      <w:divsChild>
                                        <w:div w:id="303046039">
                                          <w:marLeft w:val="0"/>
                                          <w:marRight w:val="0"/>
                                          <w:marTop w:val="0"/>
                                          <w:marBottom w:val="0"/>
                                          <w:divBdr>
                                            <w:top w:val="none" w:sz="0" w:space="0" w:color="auto"/>
                                            <w:left w:val="none" w:sz="0" w:space="0" w:color="auto"/>
                                            <w:bottom w:val="none" w:sz="0" w:space="0" w:color="auto"/>
                                            <w:right w:val="none" w:sz="0" w:space="0" w:color="auto"/>
                                          </w:divBdr>
                                          <w:divsChild>
                                            <w:div w:id="398328769">
                                              <w:marLeft w:val="0"/>
                                              <w:marRight w:val="0"/>
                                              <w:marTop w:val="0"/>
                                              <w:marBottom w:val="0"/>
                                              <w:divBdr>
                                                <w:top w:val="none" w:sz="0" w:space="0" w:color="auto"/>
                                                <w:left w:val="none" w:sz="0" w:space="0" w:color="auto"/>
                                                <w:bottom w:val="none" w:sz="0" w:space="0" w:color="auto"/>
                                                <w:right w:val="none" w:sz="0" w:space="0" w:color="auto"/>
                                              </w:divBdr>
                                              <w:divsChild>
                                                <w:div w:id="1493791125">
                                                  <w:marLeft w:val="0"/>
                                                  <w:marRight w:val="0"/>
                                                  <w:marTop w:val="0"/>
                                                  <w:marBottom w:val="0"/>
                                                  <w:divBdr>
                                                    <w:top w:val="none" w:sz="0" w:space="0" w:color="auto"/>
                                                    <w:left w:val="none" w:sz="0" w:space="0" w:color="auto"/>
                                                    <w:bottom w:val="none" w:sz="0" w:space="0" w:color="auto"/>
                                                    <w:right w:val="none" w:sz="0" w:space="0" w:color="auto"/>
                                                  </w:divBdr>
                                                  <w:divsChild>
                                                    <w:div w:id="5109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63014">
          <w:marLeft w:val="0"/>
          <w:marRight w:val="0"/>
          <w:marTop w:val="0"/>
          <w:marBottom w:val="0"/>
          <w:divBdr>
            <w:top w:val="none" w:sz="0" w:space="0" w:color="auto"/>
            <w:left w:val="none" w:sz="0" w:space="0" w:color="auto"/>
            <w:bottom w:val="none" w:sz="0" w:space="0" w:color="auto"/>
            <w:right w:val="none" w:sz="0" w:space="0" w:color="auto"/>
          </w:divBdr>
          <w:divsChild>
            <w:div w:id="961494414">
              <w:marLeft w:val="0"/>
              <w:marRight w:val="0"/>
              <w:marTop w:val="0"/>
              <w:marBottom w:val="0"/>
              <w:divBdr>
                <w:top w:val="none" w:sz="0" w:space="0" w:color="auto"/>
                <w:left w:val="none" w:sz="0" w:space="0" w:color="auto"/>
                <w:bottom w:val="none" w:sz="0" w:space="0" w:color="auto"/>
                <w:right w:val="none" w:sz="0" w:space="0" w:color="auto"/>
              </w:divBdr>
              <w:divsChild>
                <w:div w:id="2022587201">
                  <w:marLeft w:val="0"/>
                  <w:marRight w:val="0"/>
                  <w:marTop w:val="0"/>
                  <w:marBottom w:val="0"/>
                  <w:divBdr>
                    <w:top w:val="none" w:sz="0" w:space="0" w:color="auto"/>
                    <w:left w:val="none" w:sz="0" w:space="0" w:color="auto"/>
                    <w:bottom w:val="none" w:sz="0" w:space="0" w:color="auto"/>
                    <w:right w:val="none" w:sz="0" w:space="0" w:color="auto"/>
                  </w:divBdr>
                  <w:divsChild>
                    <w:div w:id="1486313915">
                      <w:marLeft w:val="0"/>
                      <w:marRight w:val="0"/>
                      <w:marTop w:val="0"/>
                      <w:marBottom w:val="0"/>
                      <w:divBdr>
                        <w:top w:val="none" w:sz="0" w:space="0" w:color="auto"/>
                        <w:left w:val="none" w:sz="0" w:space="0" w:color="auto"/>
                        <w:bottom w:val="none" w:sz="0" w:space="0" w:color="auto"/>
                        <w:right w:val="none" w:sz="0" w:space="0" w:color="auto"/>
                      </w:divBdr>
                      <w:divsChild>
                        <w:div w:id="9609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28752373">
      <w:bodyDiv w:val="1"/>
      <w:marLeft w:val="0"/>
      <w:marRight w:val="0"/>
      <w:marTop w:val="0"/>
      <w:marBottom w:val="0"/>
      <w:divBdr>
        <w:top w:val="none" w:sz="0" w:space="0" w:color="auto"/>
        <w:left w:val="none" w:sz="0" w:space="0" w:color="auto"/>
        <w:bottom w:val="none" w:sz="0" w:space="0" w:color="auto"/>
        <w:right w:val="none" w:sz="0" w:space="0" w:color="auto"/>
      </w:divBdr>
      <w:divsChild>
        <w:div w:id="328293233">
          <w:marLeft w:val="0"/>
          <w:marRight w:val="0"/>
          <w:marTop w:val="0"/>
          <w:marBottom w:val="0"/>
          <w:divBdr>
            <w:top w:val="none" w:sz="0" w:space="0" w:color="auto"/>
            <w:left w:val="none" w:sz="0" w:space="0" w:color="auto"/>
            <w:bottom w:val="none" w:sz="0" w:space="0" w:color="auto"/>
            <w:right w:val="none" w:sz="0" w:space="0" w:color="auto"/>
          </w:divBdr>
          <w:divsChild>
            <w:div w:id="1721827592">
              <w:marLeft w:val="0"/>
              <w:marRight w:val="0"/>
              <w:marTop w:val="0"/>
              <w:marBottom w:val="0"/>
              <w:divBdr>
                <w:top w:val="none" w:sz="0" w:space="0" w:color="auto"/>
                <w:left w:val="none" w:sz="0" w:space="0" w:color="auto"/>
                <w:bottom w:val="none" w:sz="0" w:space="0" w:color="auto"/>
                <w:right w:val="none" w:sz="0" w:space="0" w:color="auto"/>
              </w:divBdr>
              <w:divsChild>
                <w:div w:id="1873616604">
                  <w:marLeft w:val="0"/>
                  <w:marRight w:val="0"/>
                  <w:marTop w:val="0"/>
                  <w:marBottom w:val="0"/>
                  <w:divBdr>
                    <w:top w:val="none" w:sz="0" w:space="0" w:color="auto"/>
                    <w:left w:val="none" w:sz="0" w:space="0" w:color="auto"/>
                    <w:bottom w:val="none" w:sz="0" w:space="0" w:color="auto"/>
                    <w:right w:val="none" w:sz="0" w:space="0" w:color="auto"/>
                  </w:divBdr>
                  <w:divsChild>
                    <w:div w:id="983042742">
                      <w:marLeft w:val="0"/>
                      <w:marRight w:val="0"/>
                      <w:marTop w:val="0"/>
                      <w:marBottom w:val="0"/>
                      <w:divBdr>
                        <w:top w:val="none" w:sz="0" w:space="0" w:color="auto"/>
                        <w:left w:val="none" w:sz="0" w:space="0" w:color="auto"/>
                        <w:bottom w:val="none" w:sz="0" w:space="0" w:color="auto"/>
                        <w:right w:val="none" w:sz="0" w:space="0" w:color="auto"/>
                      </w:divBdr>
                      <w:divsChild>
                        <w:div w:id="1915117810">
                          <w:marLeft w:val="0"/>
                          <w:marRight w:val="0"/>
                          <w:marTop w:val="0"/>
                          <w:marBottom w:val="0"/>
                          <w:divBdr>
                            <w:top w:val="none" w:sz="0" w:space="0" w:color="auto"/>
                            <w:left w:val="none" w:sz="0" w:space="0" w:color="auto"/>
                            <w:bottom w:val="none" w:sz="0" w:space="0" w:color="auto"/>
                            <w:right w:val="none" w:sz="0" w:space="0" w:color="auto"/>
                          </w:divBdr>
                          <w:divsChild>
                            <w:div w:id="2133086610">
                              <w:marLeft w:val="0"/>
                              <w:marRight w:val="0"/>
                              <w:marTop w:val="0"/>
                              <w:marBottom w:val="0"/>
                              <w:divBdr>
                                <w:top w:val="none" w:sz="0" w:space="0" w:color="auto"/>
                                <w:left w:val="none" w:sz="0" w:space="0" w:color="auto"/>
                                <w:bottom w:val="none" w:sz="0" w:space="0" w:color="auto"/>
                                <w:right w:val="none" w:sz="0" w:space="0" w:color="auto"/>
                              </w:divBdr>
                              <w:divsChild>
                                <w:div w:id="1049845690">
                                  <w:marLeft w:val="0"/>
                                  <w:marRight w:val="0"/>
                                  <w:marTop w:val="0"/>
                                  <w:marBottom w:val="0"/>
                                  <w:divBdr>
                                    <w:top w:val="none" w:sz="0" w:space="0" w:color="auto"/>
                                    <w:left w:val="none" w:sz="0" w:space="0" w:color="auto"/>
                                    <w:bottom w:val="none" w:sz="0" w:space="0" w:color="auto"/>
                                    <w:right w:val="none" w:sz="0" w:space="0" w:color="auto"/>
                                  </w:divBdr>
                                  <w:divsChild>
                                    <w:div w:id="739715050">
                                      <w:marLeft w:val="0"/>
                                      <w:marRight w:val="0"/>
                                      <w:marTop w:val="0"/>
                                      <w:marBottom w:val="0"/>
                                      <w:divBdr>
                                        <w:top w:val="none" w:sz="0" w:space="0" w:color="auto"/>
                                        <w:left w:val="none" w:sz="0" w:space="0" w:color="auto"/>
                                        <w:bottom w:val="none" w:sz="0" w:space="0" w:color="auto"/>
                                        <w:right w:val="none" w:sz="0" w:space="0" w:color="auto"/>
                                      </w:divBdr>
                                      <w:divsChild>
                                        <w:div w:id="474300281">
                                          <w:marLeft w:val="0"/>
                                          <w:marRight w:val="0"/>
                                          <w:marTop w:val="0"/>
                                          <w:marBottom w:val="0"/>
                                          <w:divBdr>
                                            <w:top w:val="none" w:sz="0" w:space="0" w:color="auto"/>
                                            <w:left w:val="none" w:sz="0" w:space="0" w:color="auto"/>
                                            <w:bottom w:val="none" w:sz="0" w:space="0" w:color="auto"/>
                                            <w:right w:val="none" w:sz="0" w:space="0" w:color="auto"/>
                                          </w:divBdr>
                                          <w:divsChild>
                                            <w:div w:id="228733729">
                                              <w:marLeft w:val="0"/>
                                              <w:marRight w:val="0"/>
                                              <w:marTop w:val="0"/>
                                              <w:marBottom w:val="0"/>
                                              <w:divBdr>
                                                <w:top w:val="none" w:sz="0" w:space="0" w:color="auto"/>
                                                <w:left w:val="none" w:sz="0" w:space="0" w:color="auto"/>
                                                <w:bottom w:val="none" w:sz="0" w:space="0" w:color="auto"/>
                                                <w:right w:val="none" w:sz="0" w:space="0" w:color="auto"/>
                                              </w:divBdr>
                                              <w:divsChild>
                                                <w:div w:id="1294825417">
                                                  <w:marLeft w:val="0"/>
                                                  <w:marRight w:val="0"/>
                                                  <w:marTop w:val="0"/>
                                                  <w:marBottom w:val="0"/>
                                                  <w:divBdr>
                                                    <w:top w:val="none" w:sz="0" w:space="0" w:color="auto"/>
                                                    <w:left w:val="none" w:sz="0" w:space="0" w:color="auto"/>
                                                    <w:bottom w:val="none" w:sz="0" w:space="0" w:color="auto"/>
                                                    <w:right w:val="none" w:sz="0" w:space="0" w:color="auto"/>
                                                  </w:divBdr>
                                                  <w:divsChild>
                                                    <w:div w:id="372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298588">
          <w:marLeft w:val="0"/>
          <w:marRight w:val="0"/>
          <w:marTop w:val="0"/>
          <w:marBottom w:val="0"/>
          <w:divBdr>
            <w:top w:val="none" w:sz="0" w:space="0" w:color="auto"/>
            <w:left w:val="none" w:sz="0" w:space="0" w:color="auto"/>
            <w:bottom w:val="none" w:sz="0" w:space="0" w:color="auto"/>
            <w:right w:val="none" w:sz="0" w:space="0" w:color="auto"/>
          </w:divBdr>
          <w:divsChild>
            <w:div w:id="1510290874">
              <w:marLeft w:val="0"/>
              <w:marRight w:val="0"/>
              <w:marTop w:val="0"/>
              <w:marBottom w:val="0"/>
              <w:divBdr>
                <w:top w:val="none" w:sz="0" w:space="0" w:color="auto"/>
                <w:left w:val="none" w:sz="0" w:space="0" w:color="auto"/>
                <w:bottom w:val="none" w:sz="0" w:space="0" w:color="auto"/>
                <w:right w:val="none" w:sz="0" w:space="0" w:color="auto"/>
              </w:divBdr>
              <w:divsChild>
                <w:div w:id="2108185292">
                  <w:marLeft w:val="0"/>
                  <w:marRight w:val="0"/>
                  <w:marTop w:val="0"/>
                  <w:marBottom w:val="0"/>
                  <w:divBdr>
                    <w:top w:val="none" w:sz="0" w:space="0" w:color="auto"/>
                    <w:left w:val="none" w:sz="0" w:space="0" w:color="auto"/>
                    <w:bottom w:val="none" w:sz="0" w:space="0" w:color="auto"/>
                    <w:right w:val="none" w:sz="0" w:space="0" w:color="auto"/>
                  </w:divBdr>
                  <w:divsChild>
                    <w:div w:id="1122263484">
                      <w:marLeft w:val="0"/>
                      <w:marRight w:val="0"/>
                      <w:marTop w:val="0"/>
                      <w:marBottom w:val="0"/>
                      <w:divBdr>
                        <w:top w:val="none" w:sz="0" w:space="0" w:color="auto"/>
                        <w:left w:val="none" w:sz="0" w:space="0" w:color="auto"/>
                        <w:bottom w:val="none" w:sz="0" w:space="0" w:color="auto"/>
                        <w:right w:val="none" w:sz="0" w:space="0" w:color="auto"/>
                      </w:divBdr>
                      <w:divsChild>
                        <w:div w:id="5761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512660">
      <w:bodyDiv w:val="1"/>
      <w:marLeft w:val="0"/>
      <w:marRight w:val="0"/>
      <w:marTop w:val="0"/>
      <w:marBottom w:val="0"/>
      <w:divBdr>
        <w:top w:val="none" w:sz="0" w:space="0" w:color="auto"/>
        <w:left w:val="none" w:sz="0" w:space="0" w:color="auto"/>
        <w:bottom w:val="none" w:sz="0" w:space="0" w:color="auto"/>
        <w:right w:val="none" w:sz="0" w:space="0" w:color="auto"/>
      </w:divBdr>
      <w:divsChild>
        <w:div w:id="930505947">
          <w:marLeft w:val="0"/>
          <w:marRight w:val="0"/>
          <w:marTop w:val="0"/>
          <w:marBottom w:val="0"/>
          <w:divBdr>
            <w:top w:val="none" w:sz="0" w:space="0" w:color="auto"/>
            <w:left w:val="none" w:sz="0" w:space="0" w:color="auto"/>
            <w:bottom w:val="none" w:sz="0" w:space="0" w:color="auto"/>
            <w:right w:val="none" w:sz="0" w:space="0" w:color="auto"/>
          </w:divBdr>
          <w:divsChild>
            <w:div w:id="1777409187">
              <w:marLeft w:val="0"/>
              <w:marRight w:val="0"/>
              <w:marTop w:val="0"/>
              <w:marBottom w:val="0"/>
              <w:divBdr>
                <w:top w:val="none" w:sz="0" w:space="0" w:color="auto"/>
                <w:left w:val="none" w:sz="0" w:space="0" w:color="auto"/>
                <w:bottom w:val="none" w:sz="0" w:space="0" w:color="auto"/>
                <w:right w:val="none" w:sz="0" w:space="0" w:color="auto"/>
              </w:divBdr>
              <w:divsChild>
                <w:div w:id="157120113">
                  <w:marLeft w:val="0"/>
                  <w:marRight w:val="0"/>
                  <w:marTop w:val="0"/>
                  <w:marBottom w:val="180"/>
                  <w:divBdr>
                    <w:top w:val="none" w:sz="0" w:space="0" w:color="auto"/>
                    <w:left w:val="none" w:sz="0" w:space="0" w:color="auto"/>
                    <w:bottom w:val="none" w:sz="0" w:space="0" w:color="auto"/>
                    <w:right w:val="none" w:sz="0" w:space="0" w:color="auto"/>
                  </w:divBdr>
                  <w:divsChild>
                    <w:div w:id="15637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74345754">
      <w:bodyDiv w:val="1"/>
      <w:marLeft w:val="0"/>
      <w:marRight w:val="0"/>
      <w:marTop w:val="0"/>
      <w:marBottom w:val="0"/>
      <w:divBdr>
        <w:top w:val="none" w:sz="0" w:space="0" w:color="auto"/>
        <w:left w:val="none" w:sz="0" w:space="0" w:color="auto"/>
        <w:bottom w:val="none" w:sz="0" w:space="0" w:color="auto"/>
        <w:right w:val="none" w:sz="0" w:space="0" w:color="auto"/>
      </w:divBdr>
      <w:divsChild>
        <w:div w:id="825169027">
          <w:marLeft w:val="0"/>
          <w:marRight w:val="0"/>
          <w:marTop w:val="0"/>
          <w:marBottom w:val="0"/>
          <w:divBdr>
            <w:top w:val="none" w:sz="0" w:space="0" w:color="auto"/>
            <w:left w:val="none" w:sz="0" w:space="0" w:color="auto"/>
            <w:bottom w:val="none" w:sz="0" w:space="0" w:color="auto"/>
            <w:right w:val="none" w:sz="0" w:space="0" w:color="auto"/>
          </w:divBdr>
          <w:divsChild>
            <w:div w:id="663894675">
              <w:marLeft w:val="0"/>
              <w:marRight w:val="0"/>
              <w:marTop w:val="0"/>
              <w:marBottom w:val="0"/>
              <w:divBdr>
                <w:top w:val="none" w:sz="0" w:space="0" w:color="auto"/>
                <w:left w:val="none" w:sz="0" w:space="0" w:color="auto"/>
                <w:bottom w:val="none" w:sz="0" w:space="0" w:color="auto"/>
                <w:right w:val="none" w:sz="0" w:space="0" w:color="auto"/>
              </w:divBdr>
              <w:divsChild>
                <w:div w:id="1524394419">
                  <w:marLeft w:val="0"/>
                  <w:marRight w:val="0"/>
                  <w:marTop w:val="0"/>
                  <w:marBottom w:val="0"/>
                  <w:divBdr>
                    <w:top w:val="none" w:sz="0" w:space="0" w:color="auto"/>
                    <w:left w:val="none" w:sz="0" w:space="0" w:color="auto"/>
                    <w:bottom w:val="none" w:sz="0" w:space="0" w:color="auto"/>
                    <w:right w:val="none" w:sz="0" w:space="0" w:color="auto"/>
                  </w:divBdr>
                  <w:divsChild>
                    <w:div w:id="2031032587">
                      <w:marLeft w:val="0"/>
                      <w:marRight w:val="0"/>
                      <w:marTop w:val="0"/>
                      <w:marBottom w:val="0"/>
                      <w:divBdr>
                        <w:top w:val="none" w:sz="0" w:space="0" w:color="auto"/>
                        <w:left w:val="none" w:sz="0" w:space="0" w:color="auto"/>
                        <w:bottom w:val="none" w:sz="0" w:space="0" w:color="auto"/>
                        <w:right w:val="none" w:sz="0" w:space="0" w:color="auto"/>
                      </w:divBdr>
                      <w:divsChild>
                        <w:div w:id="602496216">
                          <w:marLeft w:val="0"/>
                          <w:marRight w:val="0"/>
                          <w:marTop w:val="0"/>
                          <w:marBottom w:val="0"/>
                          <w:divBdr>
                            <w:top w:val="none" w:sz="0" w:space="0" w:color="auto"/>
                            <w:left w:val="none" w:sz="0" w:space="0" w:color="auto"/>
                            <w:bottom w:val="none" w:sz="0" w:space="0" w:color="auto"/>
                            <w:right w:val="none" w:sz="0" w:space="0" w:color="auto"/>
                          </w:divBdr>
                          <w:divsChild>
                            <w:div w:id="1330984458">
                              <w:marLeft w:val="0"/>
                              <w:marRight w:val="0"/>
                              <w:marTop w:val="0"/>
                              <w:marBottom w:val="0"/>
                              <w:divBdr>
                                <w:top w:val="none" w:sz="0" w:space="0" w:color="auto"/>
                                <w:left w:val="none" w:sz="0" w:space="0" w:color="auto"/>
                                <w:bottom w:val="none" w:sz="0" w:space="0" w:color="auto"/>
                                <w:right w:val="none" w:sz="0" w:space="0" w:color="auto"/>
                              </w:divBdr>
                              <w:divsChild>
                                <w:div w:id="1611936290">
                                  <w:marLeft w:val="0"/>
                                  <w:marRight w:val="0"/>
                                  <w:marTop w:val="0"/>
                                  <w:marBottom w:val="0"/>
                                  <w:divBdr>
                                    <w:top w:val="none" w:sz="0" w:space="0" w:color="auto"/>
                                    <w:left w:val="none" w:sz="0" w:space="0" w:color="auto"/>
                                    <w:bottom w:val="none" w:sz="0" w:space="0" w:color="auto"/>
                                    <w:right w:val="none" w:sz="0" w:space="0" w:color="auto"/>
                                  </w:divBdr>
                                  <w:divsChild>
                                    <w:div w:id="2142112825">
                                      <w:marLeft w:val="0"/>
                                      <w:marRight w:val="0"/>
                                      <w:marTop w:val="0"/>
                                      <w:marBottom w:val="0"/>
                                      <w:divBdr>
                                        <w:top w:val="none" w:sz="0" w:space="0" w:color="auto"/>
                                        <w:left w:val="none" w:sz="0" w:space="0" w:color="auto"/>
                                        <w:bottom w:val="none" w:sz="0" w:space="0" w:color="auto"/>
                                        <w:right w:val="none" w:sz="0" w:space="0" w:color="auto"/>
                                      </w:divBdr>
                                      <w:divsChild>
                                        <w:div w:id="760955054">
                                          <w:marLeft w:val="0"/>
                                          <w:marRight w:val="0"/>
                                          <w:marTop w:val="0"/>
                                          <w:marBottom w:val="0"/>
                                          <w:divBdr>
                                            <w:top w:val="none" w:sz="0" w:space="0" w:color="auto"/>
                                            <w:left w:val="none" w:sz="0" w:space="0" w:color="auto"/>
                                            <w:bottom w:val="none" w:sz="0" w:space="0" w:color="auto"/>
                                            <w:right w:val="none" w:sz="0" w:space="0" w:color="auto"/>
                                          </w:divBdr>
                                          <w:divsChild>
                                            <w:div w:id="1614246514">
                                              <w:marLeft w:val="0"/>
                                              <w:marRight w:val="0"/>
                                              <w:marTop w:val="0"/>
                                              <w:marBottom w:val="0"/>
                                              <w:divBdr>
                                                <w:top w:val="none" w:sz="0" w:space="0" w:color="auto"/>
                                                <w:left w:val="none" w:sz="0" w:space="0" w:color="auto"/>
                                                <w:bottom w:val="none" w:sz="0" w:space="0" w:color="auto"/>
                                                <w:right w:val="none" w:sz="0" w:space="0" w:color="auto"/>
                                              </w:divBdr>
                                              <w:divsChild>
                                                <w:div w:id="435830427">
                                                  <w:marLeft w:val="0"/>
                                                  <w:marRight w:val="0"/>
                                                  <w:marTop w:val="0"/>
                                                  <w:marBottom w:val="0"/>
                                                  <w:divBdr>
                                                    <w:top w:val="none" w:sz="0" w:space="0" w:color="auto"/>
                                                    <w:left w:val="none" w:sz="0" w:space="0" w:color="auto"/>
                                                    <w:bottom w:val="none" w:sz="0" w:space="0" w:color="auto"/>
                                                    <w:right w:val="none" w:sz="0" w:space="0" w:color="auto"/>
                                                  </w:divBdr>
                                                  <w:divsChild>
                                                    <w:div w:id="9048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303612">
          <w:marLeft w:val="0"/>
          <w:marRight w:val="0"/>
          <w:marTop w:val="0"/>
          <w:marBottom w:val="0"/>
          <w:divBdr>
            <w:top w:val="none" w:sz="0" w:space="0" w:color="auto"/>
            <w:left w:val="none" w:sz="0" w:space="0" w:color="auto"/>
            <w:bottom w:val="none" w:sz="0" w:space="0" w:color="auto"/>
            <w:right w:val="none" w:sz="0" w:space="0" w:color="auto"/>
          </w:divBdr>
          <w:divsChild>
            <w:div w:id="1562516708">
              <w:marLeft w:val="0"/>
              <w:marRight w:val="0"/>
              <w:marTop w:val="0"/>
              <w:marBottom w:val="0"/>
              <w:divBdr>
                <w:top w:val="none" w:sz="0" w:space="0" w:color="auto"/>
                <w:left w:val="none" w:sz="0" w:space="0" w:color="auto"/>
                <w:bottom w:val="none" w:sz="0" w:space="0" w:color="auto"/>
                <w:right w:val="none" w:sz="0" w:space="0" w:color="auto"/>
              </w:divBdr>
              <w:divsChild>
                <w:div w:id="1958295962">
                  <w:marLeft w:val="0"/>
                  <w:marRight w:val="0"/>
                  <w:marTop w:val="0"/>
                  <w:marBottom w:val="0"/>
                  <w:divBdr>
                    <w:top w:val="none" w:sz="0" w:space="0" w:color="auto"/>
                    <w:left w:val="none" w:sz="0" w:space="0" w:color="auto"/>
                    <w:bottom w:val="none" w:sz="0" w:space="0" w:color="auto"/>
                    <w:right w:val="none" w:sz="0" w:space="0" w:color="auto"/>
                  </w:divBdr>
                  <w:divsChild>
                    <w:div w:id="254098896">
                      <w:marLeft w:val="0"/>
                      <w:marRight w:val="0"/>
                      <w:marTop w:val="0"/>
                      <w:marBottom w:val="0"/>
                      <w:divBdr>
                        <w:top w:val="none" w:sz="0" w:space="0" w:color="auto"/>
                        <w:left w:val="none" w:sz="0" w:space="0" w:color="auto"/>
                        <w:bottom w:val="none" w:sz="0" w:space="0" w:color="auto"/>
                        <w:right w:val="none" w:sz="0" w:space="0" w:color="auto"/>
                      </w:divBdr>
                      <w:divsChild>
                        <w:div w:id="16877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9140069">
      <w:bodyDiv w:val="1"/>
      <w:marLeft w:val="0"/>
      <w:marRight w:val="0"/>
      <w:marTop w:val="0"/>
      <w:marBottom w:val="0"/>
      <w:divBdr>
        <w:top w:val="none" w:sz="0" w:space="0" w:color="auto"/>
        <w:left w:val="none" w:sz="0" w:space="0" w:color="auto"/>
        <w:bottom w:val="none" w:sz="0" w:space="0" w:color="auto"/>
        <w:right w:val="none" w:sz="0" w:space="0" w:color="auto"/>
      </w:divBdr>
      <w:divsChild>
        <w:div w:id="48380961">
          <w:marLeft w:val="0"/>
          <w:marRight w:val="0"/>
          <w:marTop w:val="0"/>
          <w:marBottom w:val="0"/>
          <w:divBdr>
            <w:top w:val="none" w:sz="0" w:space="0" w:color="auto"/>
            <w:left w:val="none" w:sz="0" w:space="0" w:color="auto"/>
            <w:bottom w:val="none" w:sz="0" w:space="0" w:color="auto"/>
            <w:right w:val="none" w:sz="0" w:space="0" w:color="auto"/>
          </w:divBdr>
        </w:div>
      </w:divsChild>
    </w:div>
    <w:div w:id="2068801147">
      <w:bodyDiv w:val="1"/>
      <w:marLeft w:val="0"/>
      <w:marRight w:val="0"/>
      <w:marTop w:val="0"/>
      <w:marBottom w:val="0"/>
      <w:divBdr>
        <w:top w:val="none" w:sz="0" w:space="0" w:color="auto"/>
        <w:left w:val="none" w:sz="0" w:space="0" w:color="auto"/>
        <w:bottom w:val="none" w:sz="0" w:space="0" w:color="auto"/>
        <w:right w:val="none" w:sz="0" w:space="0" w:color="auto"/>
      </w:divBdr>
      <w:divsChild>
        <w:div w:id="498079613">
          <w:marLeft w:val="0"/>
          <w:marRight w:val="0"/>
          <w:marTop w:val="0"/>
          <w:marBottom w:val="0"/>
          <w:divBdr>
            <w:top w:val="none" w:sz="0" w:space="0" w:color="auto"/>
            <w:left w:val="none" w:sz="0" w:space="0" w:color="auto"/>
            <w:bottom w:val="none" w:sz="0" w:space="0" w:color="auto"/>
            <w:right w:val="none" w:sz="0" w:space="0" w:color="auto"/>
          </w:divBdr>
          <w:divsChild>
            <w:div w:id="1728841342">
              <w:marLeft w:val="0"/>
              <w:marRight w:val="0"/>
              <w:marTop w:val="0"/>
              <w:marBottom w:val="0"/>
              <w:divBdr>
                <w:top w:val="none" w:sz="0" w:space="0" w:color="auto"/>
                <w:left w:val="none" w:sz="0" w:space="0" w:color="auto"/>
                <w:bottom w:val="none" w:sz="0" w:space="0" w:color="auto"/>
                <w:right w:val="none" w:sz="0" w:space="0" w:color="auto"/>
              </w:divBdr>
              <w:divsChild>
                <w:div w:id="69274277">
                  <w:marLeft w:val="0"/>
                  <w:marRight w:val="0"/>
                  <w:marTop w:val="0"/>
                  <w:marBottom w:val="0"/>
                  <w:divBdr>
                    <w:top w:val="none" w:sz="0" w:space="0" w:color="auto"/>
                    <w:left w:val="none" w:sz="0" w:space="0" w:color="auto"/>
                    <w:bottom w:val="none" w:sz="0" w:space="0" w:color="auto"/>
                    <w:right w:val="none" w:sz="0" w:space="0" w:color="auto"/>
                  </w:divBdr>
                  <w:divsChild>
                    <w:div w:id="955215713">
                      <w:marLeft w:val="0"/>
                      <w:marRight w:val="0"/>
                      <w:marTop w:val="0"/>
                      <w:marBottom w:val="0"/>
                      <w:divBdr>
                        <w:top w:val="none" w:sz="0" w:space="0" w:color="auto"/>
                        <w:left w:val="none" w:sz="0" w:space="0" w:color="auto"/>
                        <w:bottom w:val="none" w:sz="0" w:space="0" w:color="auto"/>
                        <w:right w:val="none" w:sz="0" w:space="0" w:color="auto"/>
                      </w:divBdr>
                      <w:divsChild>
                        <w:div w:id="1798907835">
                          <w:marLeft w:val="0"/>
                          <w:marRight w:val="0"/>
                          <w:marTop w:val="0"/>
                          <w:marBottom w:val="0"/>
                          <w:divBdr>
                            <w:top w:val="none" w:sz="0" w:space="0" w:color="auto"/>
                            <w:left w:val="none" w:sz="0" w:space="0" w:color="auto"/>
                            <w:bottom w:val="none" w:sz="0" w:space="0" w:color="auto"/>
                            <w:right w:val="none" w:sz="0" w:space="0" w:color="auto"/>
                          </w:divBdr>
                          <w:divsChild>
                            <w:div w:id="554120482">
                              <w:marLeft w:val="0"/>
                              <w:marRight w:val="0"/>
                              <w:marTop w:val="0"/>
                              <w:marBottom w:val="0"/>
                              <w:divBdr>
                                <w:top w:val="none" w:sz="0" w:space="0" w:color="auto"/>
                                <w:left w:val="none" w:sz="0" w:space="0" w:color="auto"/>
                                <w:bottom w:val="none" w:sz="0" w:space="0" w:color="auto"/>
                                <w:right w:val="none" w:sz="0" w:space="0" w:color="auto"/>
                              </w:divBdr>
                              <w:divsChild>
                                <w:div w:id="1228489867">
                                  <w:marLeft w:val="0"/>
                                  <w:marRight w:val="0"/>
                                  <w:marTop w:val="0"/>
                                  <w:marBottom w:val="0"/>
                                  <w:divBdr>
                                    <w:top w:val="none" w:sz="0" w:space="0" w:color="auto"/>
                                    <w:left w:val="none" w:sz="0" w:space="0" w:color="auto"/>
                                    <w:bottom w:val="none" w:sz="0" w:space="0" w:color="auto"/>
                                    <w:right w:val="none" w:sz="0" w:space="0" w:color="auto"/>
                                  </w:divBdr>
                                  <w:divsChild>
                                    <w:div w:id="1977251810">
                                      <w:marLeft w:val="0"/>
                                      <w:marRight w:val="0"/>
                                      <w:marTop w:val="0"/>
                                      <w:marBottom w:val="0"/>
                                      <w:divBdr>
                                        <w:top w:val="none" w:sz="0" w:space="0" w:color="auto"/>
                                        <w:left w:val="none" w:sz="0" w:space="0" w:color="auto"/>
                                        <w:bottom w:val="none" w:sz="0" w:space="0" w:color="auto"/>
                                        <w:right w:val="none" w:sz="0" w:space="0" w:color="auto"/>
                                      </w:divBdr>
                                      <w:divsChild>
                                        <w:div w:id="1900087793">
                                          <w:marLeft w:val="0"/>
                                          <w:marRight w:val="0"/>
                                          <w:marTop w:val="0"/>
                                          <w:marBottom w:val="0"/>
                                          <w:divBdr>
                                            <w:top w:val="none" w:sz="0" w:space="0" w:color="auto"/>
                                            <w:left w:val="none" w:sz="0" w:space="0" w:color="auto"/>
                                            <w:bottom w:val="none" w:sz="0" w:space="0" w:color="auto"/>
                                            <w:right w:val="none" w:sz="0" w:space="0" w:color="auto"/>
                                          </w:divBdr>
                                          <w:divsChild>
                                            <w:div w:id="2137213276">
                                              <w:marLeft w:val="0"/>
                                              <w:marRight w:val="0"/>
                                              <w:marTop w:val="0"/>
                                              <w:marBottom w:val="0"/>
                                              <w:divBdr>
                                                <w:top w:val="none" w:sz="0" w:space="0" w:color="auto"/>
                                                <w:left w:val="none" w:sz="0" w:space="0" w:color="auto"/>
                                                <w:bottom w:val="none" w:sz="0" w:space="0" w:color="auto"/>
                                                <w:right w:val="none" w:sz="0" w:space="0" w:color="auto"/>
                                              </w:divBdr>
                                              <w:divsChild>
                                                <w:div w:id="65811600">
                                                  <w:marLeft w:val="0"/>
                                                  <w:marRight w:val="0"/>
                                                  <w:marTop w:val="0"/>
                                                  <w:marBottom w:val="0"/>
                                                  <w:divBdr>
                                                    <w:top w:val="none" w:sz="0" w:space="0" w:color="auto"/>
                                                    <w:left w:val="none" w:sz="0" w:space="0" w:color="auto"/>
                                                    <w:bottom w:val="none" w:sz="0" w:space="0" w:color="auto"/>
                                                    <w:right w:val="none" w:sz="0" w:space="0" w:color="auto"/>
                                                  </w:divBdr>
                                                  <w:divsChild>
                                                    <w:div w:id="10818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212914">
          <w:marLeft w:val="0"/>
          <w:marRight w:val="0"/>
          <w:marTop w:val="0"/>
          <w:marBottom w:val="0"/>
          <w:divBdr>
            <w:top w:val="none" w:sz="0" w:space="0" w:color="auto"/>
            <w:left w:val="none" w:sz="0" w:space="0" w:color="auto"/>
            <w:bottom w:val="none" w:sz="0" w:space="0" w:color="auto"/>
            <w:right w:val="none" w:sz="0" w:space="0" w:color="auto"/>
          </w:divBdr>
          <w:divsChild>
            <w:div w:id="314140117">
              <w:marLeft w:val="0"/>
              <w:marRight w:val="0"/>
              <w:marTop w:val="0"/>
              <w:marBottom w:val="0"/>
              <w:divBdr>
                <w:top w:val="none" w:sz="0" w:space="0" w:color="auto"/>
                <w:left w:val="none" w:sz="0" w:space="0" w:color="auto"/>
                <w:bottom w:val="none" w:sz="0" w:space="0" w:color="auto"/>
                <w:right w:val="none" w:sz="0" w:space="0" w:color="auto"/>
              </w:divBdr>
              <w:divsChild>
                <w:div w:id="126431786">
                  <w:marLeft w:val="0"/>
                  <w:marRight w:val="0"/>
                  <w:marTop w:val="0"/>
                  <w:marBottom w:val="0"/>
                  <w:divBdr>
                    <w:top w:val="none" w:sz="0" w:space="0" w:color="auto"/>
                    <w:left w:val="none" w:sz="0" w:space="0" w:color="auto"/>
                    <w:bottom w:val="none" w:sz="0" w:space="0" w:color="auto"/>
                    <w:right w:val="none" w:sz="0" w:space="0" w:color="auto"/>
                  </w:divBdr>
                  <w:divsChild>
                    <w:div w:id="225066732">
                      <w:marLeft w:val="0"/>
                      <w:marRight w:val="0"/>
                      <w:marTop w:val="0"/>
                      <w:marBottom w:val="0"/>
                      <w:divBdr>
                        <w:top w:val="none" w:sz="0" w:space="0" w:color="auto"/>
                        <w:left w:val="none" w:sz="0" w:space="0" w:color="auto"/>
                        <w:bottom w:val="none" w:sz="0" w:space="0" w:color="auto"/>
                        <w:right w:val="none" w:sz="0" w:space="0" w:color="auto"/>
                      </w:divBdr>
                      <w:divsChild>
                        <w:div w:id="7543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0961/jkc.v9i2.5239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5569/biormatika.v8i1.109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4421/jpm.2024.213-2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3887/ekuitas.v12i2.81978"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BAE12-68E0-4BA4-ACBB-BC8BB65F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1294</TotalTime>
  <Pages>14</Pages>
  <Words>6807</Words>
  <Characters>38803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45519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86</cp:revision>
  <cp:lastPrinted>1999-07-06T11:00:00Z</cp:lastPrinted>
  <dcterms:created xsi:type="dcterms:W3CDTF">2014-10-25T14:34:00Z</dcterms:created>
  <dcterms:modified xsi:type="dcterms:W3CDTF">2025-07-09T09:52:00Z</dcterms:modified>
</cp:coreProperties>
</file>