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236BA" w14:textId="25FD8CA1" w:rsidR="00B66A9C" w:rsidRDefault="00501121">
      <w:pPr>
        <w:pStyle w:val="Title"/>
        <w:spacing w:after="0"/>
        <w:rPr>
          <w:rFonts w:ascii="Arial" w:hAnsi="Arial" w:cs="Arial"/>
          <w:bCs/>
          <w:lang w:val="en-GB"/>
        </w:rPr>
      </w:pPr>
      <w:r>
        <w:rPr>
          <w:rFonts w:ascii="Arial" w:hAnsi="Arial" w:cs="Arial"/>
          <w:bCs/>
          <w:lang w:val="en-GB"/>
        </w:rPr>
        <w:t xml:space="preserve">Heavy metal bioaccumulation by the </w:t>
      </w:r>
      <w:proofErr w:type="spellStart"/>
      <w:r w:rsidR="00E434D5" w:rsidRPr="00E9105E">
        <w:rPr>
          <w:rFonts w:ascii="Arial" w:hAnsi="Arial" w:cs="Arial"/>
          <w:bCs/>
          <w:highlight w:val="yellow"/>
          <w:lang w:val="en-GB"/>
        </w:rPr>
        <w:t>anecic</w:t>
      </w:r>
      <w:proofErr w:type="spellEnd"/>
      <w:r w:rsidR="00E434D5">
        <w:rPr>
          <w:rFonts w:ascii="Arial" w:hAnsi="Arial" w:cs="Arial"/>
          <w:bCs/>
          <w:lang w:val="en-GB"/>
        </w:rPr>
        <w:t xml:space="preserve"> </w:t>
      </w:r>
      <w:r>
        <w:rPr>
          <w:rFonts w:ascii="Arial" w:hAnsi="Arial" w:cs="Arial"/>
          <w:bCs/>
          <w:lang w:val="en-GB"/>
        </w:rPr>
        <w:t xml:space="preserve">earthworm, </w:t>
      </w:r>
      <w:r>
        <w:rPr>
          <w:rFonts w:ascii="Arial" w:hAnsi="Arial" w:cs="Arial"/>
          <w:bCs/>
          <w:i/>
          <w:iCs/>
          <w:szCs w:val="36"/>
          <w:lang w:val="en-GB"/>
        </w:rPr>
        <w:t xml:space="preserve">Alma </w:t>
      </w:r>
      <w:proofErr w:type="spellStart"/>
      <w:r>
        <w:rPr>
          <w:rFonts w:ascii="Arial" w:hAnsi="Arial" w:cs="Arial"/>
          <w:bCs/>
          <w:i/>
          <w:iCs/>
          <w:szCs w:val="36"/>
          <w:lang w:val="en-GB"/>
        </w:rPr>
        <w:t>nilotica</w:t>
      </w:r>
      <w:proofErr w:type="spellEnd"/>
      <w:r>
        <w:rPr>
          <w:rFonts w:ascii="Arial" w:hAnsi="Arial" w:cs="Arial"/>
          <w:bCs/>
          <w:i/>
          <w:iCs/>
          <w:lang w:val="en-GB"/>
        </w:rPr>
        <w:t xml:space="preserve"> </w:t>
      </w:r>
      <w:r>
        <w:rPr>
          <w:rFonts w:ascii="Arial" w:hAnsi="Arial" w:cs="Arial"/>
          <w:bCs/>
          <w:lang w:val="en-GB"/>
        </w:rPr>
        <w:t xml:space="preserve">(Grube 1855) and the pollution level of biochar-amended e-waste-contaminated soil    </w:t>
      </w:r>
    </w:p>
    <w:p w14:paraId="2AFA7828" w14:textId="77777777" w:rsidR="00B66A9C" w:rsidRDefault="00D76DDA">
      <w:pPr>
        <w:pStyle w:val="Copyright"/>
        <w:spacing w:after="0" w:line="240" w:lineRule="auto"/>
        <w:jc w:val="both"/>
        <w:rPr>
          <w:rFonts w:ascii="Arial" w:hAnsi="Arial" w:cs="Arial"/>
        </w:rPr>
        <w:sectPr w:rsidR="00B66A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D156B1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501121">
        <w:rPr>
          <w:rFonts w:ascii="Arial" w:hAnsi="Arial" w:cs="Arial"/>
        </w:rPr>
        <w:t>.</w:t>
      </w:r>
    </w:p>
    <w:p w14:paraId="65E0504D" w14:textId="77777777" w:rsidR="00B66A9C" w:rsidRDefault="00501121">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B66A9C" w14:paraId="6C8F297A" w14:textId="77777777">
        <w:tc>
          <w:tcPr>
            <w:tcW w:w="9576" w:type="dxa"/>
            <w:shd w:val="clear" w:color="auto" w:fill="F2F2F2"/>
          </w:tcPr>
          <w:p w14:paraId="69757588" w14:textId="664C3F7C" w:rsidR="00B66A9C" w:rsidRDefault="00E434D5">
            <w:pPr>
              <w:pStyle w:val="Body"/>
              <w:spacing w:after="0"/>
              <w:rPr>
                <w:rFonts w:ascii="Arial" w:eastAsia="Calibri" w:hAnsi="Arial" w:cs="Arial"/>
                <w:szCs w:val="22"/>
              </w:rPr>
            </w:pPr>
            <w:r w:rsidRPr="00E9105E">
              <w:rPr>
                <w:rFonts w:ascii="Arial" w:eastAsia="Calibri" w:hAnsi="Arial" w:cs="Arial"/>
                <w:b/>
                <w:bCs/>
                <w:szCs w:val="22"/>
                <w:highlight w:val="yellow"/>
              </w:rPr>
              <w:t>Background</w:t>
            </w:r>
            <w:r w:rsidRPr="00E9105E">
              <w:rPr>
                <w:rFonts w:ascii="Arial" w:eastAsia="Calibri" w:hAnsi="Arial" w:cs="Arial"/>
                <w:szCs w:val="22"/>
                <w:highlight w:val="yellow"/>
              </w:rPr>
              <w:t xml:space="preserve">:  Soil heavy metal pollution is a significant environmental challenge that adversely affects soil fertility, food security, and human health, thereby hindering the achievement of global sustainability goals. This pollution arises from overexploitation, uncontrolled waste dumping, informal recycling activities, and improper soil use, primarily through leaching and </w:t>
            </w:r>
            <w:proofErr w:type="spellStart"/>
            <w:r w:rsidRPr="00E9105E">
              <w:rPr>
                <w:rFonts w:ascii="Arial" w:eastAsia="Calibri" w:hAnsi="Arial" w:cs="Arial"/>
                <w:szCs w:val="22"/>
                <w:highlight w:val="yellow"/>
              </w:rPr>
              <w:t>volatilisation</w:t>
            </w:r>
            <w:proofErr w:type="spellEnd"/>
            <w:r w:rsidRPr="00E9105E">
              <w:rPr>
                <w:rFonts w:ascii="Arial" w:eastAsia="Calibri" w:hAnsi="Arial" w:cs="Arial"/>
                <w:szCs w:val="22"/>
                <w:highlight w:val="yellow"/>
              </w:rPr>
              <w:t>. Heavy metals resist organic detoxification and bioaccumulate, leading to prolonged half-lives in soils.</w:t>
            </w:r>
          </w:p>
          <w:p w14:paraId="2A2F038D" w14:textId="77777777" w:rsidR="00E434D5" w:rsidRDefault="00E434D5">
            <w:pPr>
              <w:pStyle w:val="Body"/>
              <w:spacing w:after="0" w:line="360" w:lineRule="auto"/>
              <w:rPr>
                <w:rFonts w:ascii="Arial" w:eastAsia="Calibri" w:hAnsi="Arial" w:cs="Arial"/>
                <w:b/>
                <w:szCs w:val="22"/>
              </w:rPr>
            </w:pPr>
          </w:p>
          <w:p w14:paraId="5A2AE142" w14:textId="2E6D1799" w:rsidR="00B66A9C" w:rsidRDefault="00501121">
            <w:pPr>
              <w:pStyle w:val="Body"/>
              <w:spacing w:after="0" w:line="360" w:lineRule="auto"/>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To investigate the effect of amending e-waste contaminated soils with maize cob-based biochar on heavy metal bioavailability to </w:t>
            </w:r>
            <w:r>
              <w:rPr>
                <w:rFonts w:ascii="Arial" w:eastAsia="Calibri" w:hAnsi="Arial" w:cs="Arial"/>
                <w:i/>
                <w:szCs w:val="22"/>
              </w:rPr>
              <w:t>Alma nilotica</w:t>
            </w:r>
            <w:r>
              <w:rPr>
                <w:rFonts w:ascii="Arial" w:eastAsia="Calibri" w:hAnsi="Arial" w:cs="Arial"/>
                <w:szCs w:val="22"/>
              </w:rPr>
              <w:t xml:space="preserve"> and soil pollution level.</w:t>
            </w:r>
          </w:p>
          <w:p w14:paraId="283E3354" w14:textId="6B373494" w:rsidR="00B66A9C" w:rsidRDefault="00E434D5">
            <w:pPr>
              <w:pStyle w:val="Body"/>
              <w:spacing w:after="0" w:line="360" w:lineRule="auto"/>
              <w:rPr>
                <w:rFonts w:ascii="Arial" w:eastAsia="Calibri" w:hAnsi="Arial" w:cs="Arial"/>
                <w:szCs w:val="22"/>
              </w:rPr>
            </w:pPr>
            <w:r w:rsidRPr="00E434D5">
              <w:rPr>
                <w:rFonts w:ascii="Arial" w:eastAsia="Calibri" w:hAnsi="Arial" w:cs="Arial"/>
                <w:b/>
                <w:szCs w:val="22"/>
              </w:rPr>
              <w:t>Methodology:</w:t>
            </w:r>
            <w:r>
              <w:rPr>
                <w:rFonts w:ascii="Arial" w:eastAsia="Calibri" w:hAnsi="Arial" w:cs="Arial"/>
                <w:b/>
                <w:szCs w:val="22"/>
              </w:rPr>
              <w:t xml:space="preserve"> </w:t>
            </w:r>
            <w:r w:rsidR="00501121">
              <w:rPr>
                <w:rFonts w:ascii="Arial" w:eastAsia="Calibri" w:hAnsi="Arial" w:cs="Arial"/>
                <w:szCs w:val="22"/>
              </w:rPr>
              <w:t>Experimental desi</w:t>
            </w:r>
            <w:r w:rsidRPr="00E9105E">
              <w:rPr>
                <w:rFonts w:ascii="Arial" w:eastAsia="Calibri" w:hAnsi="Arial" w:cs="Arial"/>
                <w:bCs/>
                <w:szCs w:val="22"/>
              </w:rPr>
              <w:t>gn</w:t>
            </w:r>
            <w:r>
              <w:rPr>
                <w:rFonts w:ascii="Arial" w:eastAsia="Calibri" w:hAnsi="Arial" w:cs="Arial"/>
                <w:b/>
                <w:szCs w:val="22"/>
              </w:rPr>
              <w:t xml:space="preserve">. </w:t>
            </w:r>
            <w:r w:rsidR="00501121">
              <w:rPr>
                <w:rFonts w:ascii="Arial" w:eastAsia="Calibri" w:hAnsi="Arial" w:cs="Arial"/>
                <w:szCs w:val="22"/>
              </w:rPr>
              <w:t xml:space="preserve">Laboratory of Applied Biology and Ecology (LABAE) and Laboratory of Soil Science and Environmental Chemistry at the University of </w:t>
            </w:r>
            <w:proofErr w:type="spellStart"/>
            <w:r w:rsidR="00501121">
              <w:rPr>
                <w:rFonts w:ascii="Arial" w:eastAsia="Calibri" w:hAnsi="Arial" w:cs="Arial"/>
                <w:szCs w:val="22"/>
              </w:rPr>
              <w:t>Dschang</w:t>
            </w:r>
            <w:proofErr w:type="spellEnd"/>
            <w:r w:rsidR="00501121">
              <w:rPr>
                <w:rFonts w:ascii="Arial" w:eastAsia="Calibri" w:hAnsi="Arial" w:cs="Arial"/>
                <w:szCs w:val="22"/>
              </w:rPr>
              <w:t>, August 2024 and July 2025.</w:t>
            </w:r>
            <w:r>
              <w:rPr>
                <w:rFonts w:ascii="Arial" w:eastAsia="Calibri" w:hAnsi="Arial" w:cs="Arial"/>
                <w:szCs w:val="22"/>
              </w:rPr>
              <w:t xml:space="preserve"> </w:t>
            </w:r>
            <w:r w:rsidRPr="00E9105E">
              <w:rPr>
                <w:rFonts w:ascii="Arial" w:eastAsia="Calibri" w:hAnsi="Arial" w:cs="Arial"/>
                <w:szCs w:val="22"/>
                <w:highlight w:val="yellow"/>
              </w:rPr>
              <w:t xml:space="preserve">The e-waste-contaminated soil was obtained from an informal e-waste recycling site located in </w:t>
            </w:r>
            <w:proofErr w:type="spellStart"/>
            <w:r w:rsidRPr="00E9105E">
              <w:rPr>
                <w:rFonts w:ascii="Arial" w:eastAsia="Calibri" w:hAnsi="Arial" w:cs="Arial"/>
                <w:szCs w:val="22"/>
                <w:highlight w:val="yellow"/>
              </w:rPr>
              <w:t>Bonaberi</w:t>
            </w:r>
            <w:proofErr w:type="spellEnd"/>
            <w:r w:rsidRPr="00E9105E">
              <w:rPr>
                <w:rFonts w:ascii="Arial" w:eastAsia="Calibri" w:hAnsi="Arial" w:cs="Arial"/>
                <w:szCs w:val="22"/>
                <w:highlight w:val="yellow"/>
              </w:rPr>
              <w:t>, Douala, Cameroon. Surface soil samples were collected from 10 random points using a soil auger to a depth of 20 cm</w:t>
            </w:r>
          </w:p>
          <w:p w14:paraId="7543E4FF" w14:textId="7494615B" w:rsidR="00B66A9C" w:rsidRDefault="00501121">
            <w:pPr>
              <w:pStyle w:val="Body"/>
              <w:spacing w:after="0" w:line="360" w:lineRule="auto"/>
              <w:rPr>
                <w:rFonts w:ascii="Arial" w:eastAsia="Calibri" w:hAnsi="Arial" w:cs="Arial"/>
                <w:szCs w:val="22"/>
              </w:rPr>
            </w:pPr>
            <w:r>
              <w:rPr>
                <w:rFonts w:ascii="Arial" w:eastAsia="Calibri" w:hAnsi="Arial" w:cs="Arial"/>
                <w:b/>
                <w:bCs/>
                <w:szCs w:val="22"/>
              </w:rPr>
              <w:t xml:space="preserve"> </w:t>
            </w:r>
            <w:r>
              <w:rPr>
                <w:rFonts w:ascii="Arial" w:eastAsia="Calibri" w:hAnsi="Arial" w:cs="Arial"/>
                <w:szCs w:val="22"/>
              </w:rPr>
              <w:t xml:space="preserve">The bioaccumulation bioassay followed the OECD (2010) test guidelines No.317 for Bioaccumulation on terrestrial oligochaetes. Soil samples were collected, dried and </w:t>
            </w:r>
            <w:proofErr w:type="spellStart"/>
            <w:r w:rsidR="00942EEC" w:rsidRPr="00E9105E">
              <w:rPr>
                <w:rFonts w:ascii="Arial" w:eastAsia="Calibri" w:hAnsi="Arial" w:cs="Arial"/>
                <w:szCs w:val="22"/>
                <w:highlight w:val="yellow"/>
              </w:rPr>
              <w:t>analysed</w:t>
            </w:r>
            <w:proofErr w:type="spellEnd"/>
            <w:r w:rsidR="00942EEC" w:rsidRPr="00E9105E">
              <w:rPr>
                <w:rFonts w:ascii="Arial" w:eastAsia="Calibri" w:hAnsi="Arial" w:cs="Arial"/>
                <w:szCs w:val="22"/>
                <w:highlight w:val="yellow"/>
              </w:rPr>
              <w:t xml:space="preserve"> </w:t>
            </w:r>
            <w:r>
              <w:rPr>
                <w:rFonts w:ascii="Arial" w:eastAsia="Calibri" w:hAnsi="Arial" w:cs="Arial"/>
                <w:szCs w:val="22"/>
              </w:rPr>
              <w:t>for the studied metals. Earthworms were exposed to both the culture soil, e –</w:t>
            </w:r>
            <w:r w:rsidR="00942EEC" w:rsidRPr="00E9105E">
              <w:rPr>
                <w:rFonts w:ascii="Arial" w:eastAsia="Calibri" w:hAnsi="Arial" w:cs="Arial"/>
                <w:szCs w:val="22"/>
                <w:highlight w:val="yellow"/>
              </w:rPr>
              <w:t xml:space="preserve">e-waste </w:t>
            </w:r>
            <w:r>
              <w:rPr>
                <w:rFonts w:ascii="Arial" w:eastAsia="Calibri" w:hAnsi="Arial" w:cs="Arial"/>
                <w:szCs w:val="22"/>
              </w:rPr>
              <w:t>soil with and without biochar and biochar alone for a period of 35days</w:t>
            </w:r>
            <w:r w:rsidR="00942EEC">
              <w:rPr>
                <w:rFonts w:ascii="Arial" w:eastAsia="Calibri" w:hAnsi="Arial" w:cs="Arial"/>
                <w:szCs w:val="22"/>
              </w:rPr>
              <w:t>.</w:t>
            </w:r>
            <w:r>
              <w:rPr>
                <w:rFonts w:ascii="Arial" w:eastAsia="Calibri" w:hAnsi="Arial" w:cs="Arial"/>
                <w:szCs w:val="22"/>
              </w:rPr>
              <w:t xml:space="preserve"> </w:t>
            </w:r>
            <w:r w:rsidR="00942EEC" w:rsidRPr="00E9105E">
              <w:rPr>
                <w:rFonts w:ascii="Arial" w:eastAsia="Calibri" w:hAnsi="Arial" w:cs="Arial"/>
                <w:szCs w:val="22"/>
                <w:highlight w:val="yellow"/>
              </w:rPr>
              <w:t>A</w:t>
            </w:r>
            <w:r w:rsidRPr="00E9105E">
              <w:rPr>
                <w:rFonts w:ascii="Arial" w:eastAsia="Calibri" w:hAnsi="Arial" w:cs="Arial"/>
                <w:szCs w:val="22"/>
                <w:highlight w:val="yellow"/>
              </w:rPr>
              <w:t xml:space="preserve"> </w:t>
            </w:r>
            <w:r>
              <w:rPr>
                <w:rFonts w:ascii="Arial" w:eastAsia="Calibri" w:hAnsi="Arial" w:cs="Arial"/>
                <w:szCs w:val="22"/>
              </w:rPr>
              <w:t xml:space="preserve">soil sample and an earthworm </w:t>
            </w:r>
            <w:r w:rsidR="00942EEC" w:rsidRPr="00E9105E">
              <w:rPr>
                <w:rFonts w:ascii="Arial" w:eastAsia="Calibri" w:hAnsi="Arial" w:cs="Arial"/>
                <w:szCs w:val="22"/>
                <w:highlight w:val="yellow"/>
              </w:rPr>
              <w:t xml:space="preserve">were </w:t>
            </w:r>
            <w:r>
              <w:rPr>
                <w:rFonts w:ascii="Arial" w:eastAsia="Calibri" w:hAnsi="Arial" w:cs="Arial"/>
                <w:szCs w:val="22"/>
              </w:rPr>
              <w:t>sampled after every 4days.</w:t>
            </w:r>
            <w:r w:rsidR="00942EEC">
              <w:rPr>
                <w:rFonts w:ascii="Arial" w:eastAsia="Calibri" w:hAnsi="Arial" w:cs="Arial"/>
                <w:szCs w:val="22"/>
              </w:rPr>
              <w:t xml:space="preserve"> </w:t>
            </w:r>
            <w:r>
              <w:rPr>
                <w:rFonts w:ascii="Arial" w:eastAsia="Calibri" w:hAnsi="Arial" w:cs="Arial"/>
                <w:szCs w:val="22"/>
              </w:rPr>
              <w:t xml:space="preserve">Each of the </w:t>
            </w:r>
            <w:r w:rsidR="00942EEC" w:rsidRPr="00E9105E">
              <w:rPr>
                <w:rFonts w:ascii="Arial" w:eastAsia="Calibri" w:hAnsi="Arial" w:cs="Arial"/>
                <w:szCs w:val="22"/>
                <w:highlight w:val="yellow"/>
              </w:rPr>
              <w:t xml:space="preserve">samples </w:t>
            </w:r>
            <w:r>
              <w:rPr>
                <w:rFonts w:ascii="Arial" w:eastAsia="Calibri" w:hAnsi="Arial" w:cs="Arial"/>
                <w:szCs w:val="22"/>
              </w:rPr>
              <w:t xml:space="preserve">was </w:t>
            </w:r>
            <w:proofErr w:type="spellStart"/>
            <w:r w:rsidR="00942EEC" w:rsidRPr="00E9105E">
              <w:rPr>
                <w:rFonts w:ascii="Arial" w:eastAsia="Calibri" w:hAnsi="Arial" w:cs="Arial"/>
                <w:szCs w:val="22"/>
                <w:highlight w:val="yellow"/>
              </w:rPr>
              <w:t>analysed</w:t>
            </w:r>
            <w:proofErr w:type="spellEnd"/>
            <w:r w:rsidR="00942EEC" w:rsidRPr="00E9105E">
              <w:rPr>
                <w:rFonts w:ascii="Arial" w:eastAsia="Calibri" w:hAnsi="Arial" w:cs="Arial"/>
                <w:szCs w:val="22"/>
                <w:highlight w:val="yellow"/>
              </w:rPr>
              <w:t xml:space="preserve"> </w:t>
            </w:r>
            <w:r>
              <w:rPr>
                <w:rFonts w:ascii="Arial" w:eastAsia="Calibri" w:hAnsi="Arial" w:cs="Arial"/>
                <w:szCs w:val="22"/>
              </w:rPr>
              <w:t>for Pb, Cu, Cd, Ni, Zn.</w:t>
            </w:r>
          </w:p>
          <w:p w14:paraId="48B4EF6A" w14:textId="217F3689" w:rsidR="00B66A9C" w:rsidRDefault="00501121">
            <w:pPr>
              <w:pStyle w:val="Body"/>
              <w:spacing w:after="0" w:line="360" w:lineRule="auto"/>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Results indicated that the amended soil had improved pH, % organic carbon, and Cation Exchange Capacity. Biochar amendment reduced the heavy metal contamination and pollution levels by 59% and 64% respectively, especially when considering their bioavailable fractions in soil. Exposure of earthworms resulted in continuous Cd, Cu, Ni, Pb, and Zn uptake and simultaneous reduction in soil heavy metal concentrations. The heavy metal uptake by the earthworms </w:t>
            </w:r>
            <w:r w:rsidR="00942EEC" w:rsidRPr="00E9105E">
              <w:rPr>
                <w:rFonts w:ascii="Arial" w:eastAsia="Calibri" w:hAnsi="Arial" w:cs="Arial"/>
                <w:szCs w:val="22"/>
                <w:highlight w:val="yellow"/>
              </w:rPr>
              <w:t xml:space="preserve">was </w:t>
            </w:r>
            <w:r>
              <w:rPr>
                <w:rFonts w:ascii="Arial" w:eastAsia="Calibri" w:hAnsi="Arial" w:cs="Arial"/>
                <w:szCs w:val="22"/>
              </w:rPr>
              <w:t xml:space="preserve">reduced by 51.6% to 68.8% in the amended soil, resulting in higher heavy metal concentrations in the amended soils and indicating reduced metal bioavailability in the </w:t>
            </w:r>
            <w:r w:rsidR="00942EEC" w:rsidRPr="00E9105E">
              <w:rPr>
                <w:rFonts w:ascii="Arial" w:eastAsia="Calibri" w:hAnsi="Arial" w:cs="Arial"/>
                <w:szCs w:val="22"/>
                <w:highlight w:val="yellow"/>
              </w:rPr>
              <w:t>biochar-amended</w:t>
            </w:r>
            <w:r w:rsidRPr="00E9105E">
              <w:rPr>
                <w:rFonts w:ascii="Arial" w:eastAsia="Calibri" w:hAnsi="Arial" w:cs="Arial"/>
                <w:szCs w:val="22"/>
                <w:highlight w:val="yellow"/>
              </w:rPr>
              <w:t xml:space="preserve"> </w:t>
            </w:r>
            <w:r>
              <w:rPr>
                <w:rFonts w:ascii="Arial" w:eastAsia="Calibri" w:hAnsi="Arial" w:cs="Arial"/>
                <w:szCs w:val="22"/>
              </w:rPr>
              <w:t xml:space="preserve">e-waste soil. Consequently, the heavy metal bioaccumulation factors in the amended soil </w:t>
            </w:r>
            <w:r w:rsidR="00942EEC" w:rsidRPr="00E9105E">
              <w:rPr>
                <w:rFonts w:ascii="Arial" w:eastAsia="Calibri" w:hAnsi="Arial" w:cs="Arial"/>
                <w:szCs w:val="22"/>
                <w:highlight w:val="yellow"/>
              </w:rPr>
              <w:t xml:space="preserve">were </w:t>
            </w:r>
            <w:r>
              <w:rPr>
                <w:rFonts w:ascii="Arial" w:eastAsia="Calibri" w:hAnsi="Arial" w:cs="Arial"/>
                <w:szCs w:val="22"/>
              </w:rPr>
              <w:t xml:space="preserve">reduced by between 72.7% and 82.8%. Earthworms proved to be a good indicator of the heavy </w:t>
            </w:r>
            <w:r w:rsidR="00942EEC" w:rsidRPr="00E9105E">
              <w:rPr>
                <w:rFonts w:ascii="Arial" w:eastAsia="Calibri" w:hAnsi="Arial" w:cs="Arial"/>
                <w:szCs w:val="22"/>
                <w:highlight w:val="yellow"/>
              </w:rPr>
              <w:t xml:space="preserve">metals' </w:t>
            </w:r>
            <w:r>
              <w:rPr>
                <w:rFonts w:ascii="Arial" w:eastAsia="Calibri" w:hAnsi="Arial" w:cs="Arial"/>
                <w:szCs w:val="22"/>
              </w:rPr>
              <w:t>bioavailable fraction in soil.</w:t>
            </w:r>
            <w:r w:rsidR="00E9105E">
              <w:rPr>
                <w:rFonts w:ascii="Arial" w:eastAsia="Calibri" w:hAnsi="Arial" w:cs="Arial"/>
                <w:szCs w:val="22"/>
              </w:rPr>
              <w:t xml:space="preserve"> </w:t>
            </w:r>
            <w:r w:rsidR="00E9105E" w:rsidRPr="00E9105E">
              <w:rPr>
                <w:rFonts w:ascii="Arial" w:eastAsia="Calibri" w:hAnsi="Arial" w:cs="Arial"/>
                <w:szCs w:val="22"/>
                <w:highlight w:val="yellow"/>
              </w:rPr>
              <w:t>59% and 64% reductions are for contamination and pollution indices based on bioavailable components.</w:t>
            </w:r>
          </w:p>
          <w:p w14:paraId="60519B2F" w14:textId="29CF90E8" w:rsidR="00B66A9C" w:rsidRDefault="00501121">
            <w:pPr>
              <w:pStyle w:val="Body"/>
              <w:spacing w:after="0" w:line="360" w:lineRule="auto"/>
              <w:rPr>
                <w:rFonts w:ascii="Arial" w:eastAsia="Calibri" w:hAnsi="Arial" w:cs="Arial"/>
                <w:szCs w:val="22"/>
              </w:rPr>
            </w:pPr>
            <w:r>
              <w:rPr>
                <w:rFonts w:ascii="Arial" w:eastAsia="Calibri" w:hAnsi="Arial" w:cs="Arial"/>
                <w:b/>
                <w:bCs/>
                <w:szCs w:val="22"/>
              </w:rPr>
              <w:t>Conclusion:</w:t>
            </w:r>
            <w:r>
              <w:rPr>
                <w:rFonts w:ascii="Arial" w:eastAsia="Calibri" w:hAnsi="Arial" w:cs="Arial"/>
                <w:bCs/>
                <w:szCs w:val="22"/>
              </w:rPr>
              <w:t xml:space="preserve"> These results have important implications for soil remediation using the biochar approach. However, these should be directly linked to earthworm growth and reproduction to ensure long-term protection of soil biota.</w:t>
            </w:r>
            <w:r>
              <w:rPr>
                <w:rFonts w:ascii="Arial" w:eastAsia="Calibri" w:hAnsi="Arial" w:cs="Arial"/>
                <w:szCs w:val="22"/>
              </w:rPr>
              <w:t xml:space="preserve"> </w:t>
            </w:r>
            <w:r w:rsidR="00E434D5" w:rsidRPr="00E9105E">
              <w:rPr>
                <w:rFonts w:ascii="Arial" w:eastAsia="Calibri" w:hAnsi="Arial" w:cs="Arial"/>
                <w:szCs w:val="22"/>
                <w:highlight w:val="yellow"/>
              </w:rPr>
              <w:t xml:space="preserve">The findings advocate for the strategic use of biochar, enhancing soil quality and </w:t>
            </w:r>
            <w:r w:rsidR="00E434D5" w:rsidRPr="00E9105E">
              <w:rPr>
                <w:rFonts w:ascii="Arial" w:eastAsia="Calibri" w:hAnsi="Arial" w:cs="Arial"/>
                <w:szCs w:val="22"/>
                <w:highlight w:val="yellow"/>
              </w:rPr>
              <w:lastRenderedPageBreak/>
              <w:t xml:space="preserve">contributing to sustainable remediation practices in areas affected by e-waste pollution. Overall, this research provides valuable insights into the benefits of biochar as a soil amendment in contaminated environments, while also </w:t>
            </w:r>
            <w:proofErr w:type="spellStart"/>
            <w:r w:rsidR="00E434D5" w:rsidRPr="00E9105E">
              <w:rPr>
                <w:rFonts w:ascii="Arial" w:eastAsia="Calibri" w:hAnsi="Arial" w:cs="Arial"/>
                <w:szCs w:val="22"/>
                <w:highlight w:val="yellow"/>
              </w:rPr>
              <w:t>emphasising</w:t>
            </w:r>
            <w:proofErr w:type="spellEnd"/>
            <w:r w:rsidR="00E434D5" w:rsidRPr="00E9105E">
              <w:rPr>
                <w:rFonts w:ascii="Arial" w:eastAsia="Calibri" w:hAnsi="Arial" w:cs="Arial"/>
                <w:szCs w:val="22"/>
                <w:highlight w:val="yellow"/>
              </w:rPr>
              <w:t xml:space="preserve"> the need for further investigation into its long-term effects on soil biota and the environment.</w:t>
            </w:r>
            <w:r w:rsidR="00E434D5" w:rsidRPr="00E434D5">
              <w:rPr>
                <w:rFonts w:ascii="Arial" w:eastAsia="Calibri" w:hAnsi="Arial" w:cs="Arial"/>
                <w:szCs w:val="22"/>
              </w:rPr>
              <w:t xml:space="preserve"> </w:t>
            </w:r>
          </w:p>
          <w:p w14:paraId="35BB4692" w14:textId="77777777" w:rsidR="00B66A9C" w:rsidRDefault="00B66A9C">
            <w:pPr>
              <w:pStyle w:val="Body"/>
              <w:spacing w:after="0"/>
              <w:rPr>
                <w:rFonts w:ascii="Arial" w:eastAsia="Calibri" w:hAnsi="Arial" w:cs="Arial"/>
                <w:szCs w:val="22"/>
              </w:rPr>
            </w:pPr>
          </w:p>
        </w:tc>
      </w:tr>
    </w:tbl>
    <w:p w14:paraId="4B371060" w14:textId="77777777" w:rsidR="00B66A9C" w:rsidRDefault="00B66A9C">
      <w:pPr>
        <w:pStyle w:val="Body"/>
        <w:spacing w:after="0"/>
        <w:rPr>
          <w:rFonts w:ascii="Arial" w:hAnsi="Arial" w:cs="Arial"/>
          <w:i/>
        </w:rPr>
      </w:pPr>
    </w:p>
    <w:p w14:paraId="1A7C11D0" w14:textId="77777777" w:rsidR="00B66A9C" w:rsidRDefault="00501121">
      <w:pPr>
        <w:pStyle w:val="Body"/>
        <w:spacing w:after="0"/>
        <w:rPr>
          <w:rFonts w:ascii="Arial" w:hAnsi="Arial" w:cs="Arial"/>
          <w:i/>
        </w:rPr>
      </w:pPr>
      <w:r>
        <w:rPr>
          <w:rFonts w:ascii="Arial" w:hAnsi="Arial" w:cs="Arial"/>
          <w:i/>
        </w:rPr>
        <w:t>Keywords: Keywords: Earthworm, Biochar, Heavy Metals, E-waste, Bioaccumulation.</w:t>
      </w:r>
    </w:p>
    <w:p w14:paraId="24C4115C" w14:textId="77777777" w:rsidR="00B66A9C" w:rsidRDefault="00501121">
      <w:pPr>
        <w:pStyle w:val="AbstHead"/>
        <w:numPr>
          <w:ilvl w:val="0"/>
          <w:numId w:val="32"/>
        </w:numPr>
        <w:spacing w:after="0"/>
        <w:jc w:val="both"/>
        <w:rPr>
          <w:rFonts w:ascii="Arial" w:hAnsi="Arial" w:cs="Arial"/>
        </w:rPr>
      </w:pPr>
      <w:r>
        <w:rPr>
          <w:rFonts w:ascii="Arial" w:hAnsi="Arial" w:cs="Arial"/>
        </w:rPr>
        <w:t xml:space="preserve">INTRODUCTION </w:t>
      </w:r>
    </w:p>
    <w:p w14:paraId="10DAC420" w14:textId="77777777" w:rsidR="00B66A9C" w:rsidRDefault="00B66A9C">
      <w:pPr>
        <w:pStyle w:val="AbstHead"/>
        <w:spacing w:after="0"/>
        <w:ind w:left="720"/>
        <w:jc w:val="both"/>
        <w:rPr>
          <w:rFonts w:ascii="Arial" w:hAnsi="Arial" w:cs="Arial"/>
        </w:rPr>
      </w:pPr>
    </w:p>
    <w:p w14:paraId="33A2C0F7" w14:textId="0571B07E" w:rsidR="00B66A9C" w:rsidRDefault="00525982">
      <w:pPr>
        <w:spacing w:line="360" w:lineRule="auto"/>
        <w:jc w:val="both"/>
        <w:rPr>
          <w:rFonts w:ascii="Arial" w:hAnsi="Arial" w:cs="Arial"/>
          <w:lang w:val="en-GB"/>
        </w:rPr>
      </w:pPr>
      <w:r>
        <w:rPr>
          <w:rFonts w:ascii="Arial" w:hAnsi="Arial" w:cs="Arial"/>
          <w:highlight w:val="yellow"/>
          <w:lang w:val="en-GB"/>
        </w:rPr>
        <w:t>“</w:t>
      </w:r>
      <w:r w:rsidR="00942EEC" w:rsidRPr="00E9105E">
        <w:rPr>
          <w:rFonts w:ascii="Arial" w:hAnsi="Arial" w:cs="Arial"/>
          <w:highlight w:val="yellow"/>
          <w:lang w:val="en-GB"/>
        </w:rPr>
        <w:t xml:space="preserve">With globalisation and the rapid advancement of information technology, waste electrical and electronic equipment (WEEE) management has become a significant concern among electronic manufacturers. </w:t>
      </w:r>
      <w:proofErr w:type="gramStart"/>
      <w:r w:rsidR="00942EEC" w:rsidRPr="00E9105E">
        <w:rPr>
          <w:rFonts w:ascii="Arial" w:hAnsi="Arial" w:cs="Arial"/>
          <w:highlight w:val="yellow"/>
          <w:lang w:val="en-GB"/>
        </w:rPr>
        <w:t>It</w:t>
      </w:r>
      <w:proofErr w:type="gramEnd"/>
      <w:r w:rsidR="00942EEC" w:rsidRPr="00E9105E">
        <w:rPr>
          <w:rFonts w:ascii="Arial" w:hAnsi="Arial" w:cs="Arial"/>
          <w:highlight w:val="yellow"/>
          <w:lang w:val="en-GB"/>
        </w:rPr>
        <w:t xml:space="preserve"> motivated researchers to identify barriers and enablers of sustainable WEEE management</w:t>
      </w:r>
      <w:r>
        <w:rPr>
          <w:rFonts w:ascii="Arial" w:hAnsi="Arial" w:cs="Arial"/>
          <w:highlight w:val="yellow"/>
          <w:lang w:val="en-GB"/>
        </w:rPr>
        <w:t>”</w:t>
      </w:r>
      <w:r w:rsidR="00942EEC" w:rsidRPr="00E9105E">
        <w:rPr>
          <w:rFonts w:ascii="Arial" w:hAnsi="Arial" w:cs="Arial"/>
          <w:highlight w:val="yellow"/>
          <w:lang w:val="en-GB"/>
        </w:rPr>
        <w:t xml:space="preserve"> (Kumar et al., 2022).</w:t>
      </w:r>
      <w:r w:rsidR="00942EEC">
        <w:rPr>
          <w:rFonts w:ascii="Arial" w:hAnsi="Arial" w:cs="Arial"/>
          <w:lang w:val="en-GB"/>
        </w:rPr>
        <w:t xml:space="preserve"> </w:t>
      </w:r>
      <w:r>
        <w:rPr>
          <w:rFonts w:ascii="Arial" w:hAnsi="Arial" w:cs="Arial"/>
          <w:lang w:val="en-GB"/>
        </w:rPr>
        <w:t>“</w:t>
      </w:r>
      <w:r w:rsidR="00501121">
        <w:rPr>
          <w:rFonts w:ascii="Arial" w:hAnsi="Arial" w:cs="Arial"/>
          <w:lang w:val="en-GB"/>
        </w:rPr>
        <w:t>Waste Electrical and Electronic Equipment (WEEE), or e-waste, refers to waste from discarded electrical and electronic devices at the end of their life. The electronics industry is the largest and fastest-growing sector</w:t>
      </w:r>
      <w:r>
        <w:rPr>
          <w:rFonts w:ascii="Arial" w:hAnsi="Arial" w:cs="Arial"/>
          <w:lang w:val="en-GB"/>
        </w:rPr>
        <w:t>”</w:t>
      </w:r>
      <w:r w:rsidR="00501121">
        <w:rPr>
          <w:rFonts w:ascii="Arial" w:hAnsi="Arial" w:cs="Arial"/>
          <w:lang w:val="en-GB"/>
        </w:rPr>
        <w:t xml:space="preserve"> (</w:t>
      </w:r>
      <w:proofErr w:type="spellStart"/>
      <w:r w:rsidR="00501121">
        <w:rPr>
          <w:rFonts w:ascii="Arial" w:hAnsi="Arial" w:cs="Arial"/>
          <w:lang w:val="en-GB"/>
        </w:rPr>
        <w:t>Muskan</w:t>
      </w:r>
      <w:proofErr w:type="spellEnd"/>
      <w:r w:rsidR="00501121">
        <w:rPr>
          <w:rFonts w:ascii="Arial" w:hAnsi="Arial" w:cs="Arial"/>
          <w:lang w:val="en-GB"/>
        </w:rPr>
        <w:t xml:space="preserve"> et al., 2023). Due to shorter product lifespans, e-waste is the fastest-growing waste stream, with 62 billion kg generated globally in 2022, of which only 22.3% was recycled properly. Projections estimate that 82 billion kg of e-waste will be generated by 2030 (Balde et al., 2024).</w:t>
      </w:r>
    </w:p>
    <w:p w14:paraId="05D18632" w14:textId="77777777" w:rsidR="00B66A9C" w:rsidRDefault="00501121">
      <w:pPr>
        <w:spacing w:line="360" w:lineRule="auto"/>
        <w:jc w:val="both"/>
        <w:rPr>
          <w:rFonts w:ascii="Arial" w:hAnsi="Arial" w:cs="Arial"/>
          <w:lang w:val="en-GB"/>
        </w:rPr>
      </w:pPr>
      <w:r>
        <w:rPr>
          <w:rFonts w:ascii="Arial" w:hAnsi="Arial" w:cs="Arial"/>
          <w:lang w:val="en-GB"/>
        </w:rPr>
        <w:t xml:space="preserve">E-waste contains hazardous and valuable components, with metals comprising about 50% (31 billion kg) of the total generated in 2022 (Balde et al., 2024). In Africa, e-waste management is inadequate, often relying on crude methods like burning to recover metals (Nfor et al., 2022a; </w:t>
      </w:r>
      <w:proofErr w:type="spellStart"/>
      <w:r>
        <w:rPr>
          <w:rFonts w:ascii="Arial" w:hAnsi="Arial" w:cs="Arial"/>
          <w:lang w:val="en-GB"/>
        </w:rPr>
        <w:t>Moyen</w:t>
      </w:r>
      <w:proofErr w:type="spellEnd"/>
      <w:r>
        <w:rPr>
          <w:rFonts w:ascii="Arial" w:hAnsi="Arial" w:cs="Arial"/>
          <w:lang w:val="en-GB"/>
        </w:rPr>
        <w:t xml:space="preserve"> &amp; </w:t>
      </w:r>
      <w:proofErr w:type="spellStart"/>
      <w:r>
        <w:rPr>
          <w:rFonts w:ascii="Arial" w:hAnsi="Arial" w:cs="Arial"/>
          <w:lang w:val="en-GB"/>
        </w:rPr>
        <w:t>Archodoulaki</w:t>
      </w:r>
      <w:proofErr w:type="spellEnd"/>
      <w:r>
        <w:rPr>
          <w:rFonts w:ascii="Arial" w:hAnsi="Arial" w:cs="Arial"/>
          <w:lang w:val="en-GB"/>
        </w:rPr>
        <w:t>, 2023). Uncontrolled dumping and informal recycling release toxic metals, raising soil heavy metal concentrations beyond critical thresholds for soil health (</w:t>
      </w:r>
      <w:proofErr w:type="spellStart"/>
      <w:r>
        <w:rPr>
          <w:rFonts w:ascii="Arial" w:hAnsi="Arial" w:cs="Arial"/>
          <w:lang w:val="en-GB"/>
        </w:rPr>
        <w:t>Atiemo</w:t>
      </w:r>
      <w:proofErr w:type="spellEnd"/>
      <w:r>
        <w:rPr>
          <w:rFonts w:ascii="Arial" w:hAnsi="Arial" w:cs="Arial"/>
          <w:lang w:val="en-GB"/>
        </w:rPr>
        <w:t xml:space="preserve"> et al., 2012; Kyere, 2016; Fosu-Mensah et al., 2017; Nfor et al., 2022a, b; </w:t>
      </w:r>
      <w:proofErr w:type="spellStart"/>
      <w:r>
        <w:rPr>
          <w:rFonts w:ascii="Arial" w:hAnsi="Arial" w:cs="Arial"/>
          <w:lang w:val="en-GB"/>
        </w:rPr>
        <w:t>Twagirayezu</w:t>
      </w:r>
      <w:proofErr w:type="spellEnd"/>
      <w:r>
        <w:rPr>
          <w:rFonts w:ascii="Arial" w:hAnsi="Arial" w:cs="Arial"/>
          <w:lang w:val="en-GB"/>
        </w:rPr>
        <w:t xml:space="preserve"> et al., 2022).</w:t>
      </w:r>
    </w:p>
    <w:p w14:paraId="5215E40F" w14:textId="4651C627" w:rsidR="00B66A9C" w:rsidRDefault="00525982">
      <w:pPr>
        <w:spacing w:line="360" w:lineRule="auto"/>
        <w:jc w:val="both"/>
        <w:rPr>
          <w:rFonts w:ascii="Arial" w:hAnsi="Arial" w:cs="Arial"/>
        </w:rPr>
      </w:pPr>
      <w:r>
        <w:rPr>
          <w:rFonts w:ascii="Arial" w:hAnsi="Arial" w:cs="Arial"/>
          <w:highlight w:val="yellow"/>
        </w:rPr>
        <w:t>“</w:t>
      </w:r>
      <w:r w:rsidR="00E434D5" w:rsidRPr="00E9105E">
        <w:rPr>
          <w:rFonts w:ascii="Arial" w:hAnsi="Arial" w:cs="Arial"/>
          <w:highlight w:val="yellow"/>
        </w:rPr>
        <w:t xml:space="preserve">The quality and safety of the soil environment are essential for maintaining the rapid development of agriculture, society and the economy and protecting human health. With the rapid development of </w:t>
      </w:r>
      <w:proofErr w:type="spellStart"/>
      <w:r w:rsidR="00E434D5" w:rsidRPr="00E9105E">
        <w:rPr>
          <w:rFonts w:ascii="Arial" w:hAnsi="Arial" w:cs="Arial"/>
          <w:highlight w:val="yellow"/>
        </w:rPr>
        <w:t>urbanisation</w:t>
      </w:r>
      <w:proofErr w:type="spellEnd"/>
      <w:r w:rsidR="00E434D5" w:rsidRPr="00E9105E">
        <w:rPr>
          <w:rFonts w:ascii="Arial" w:hAnsi="Arial" w:cs="Arial"/>
          <w:highlight w:val="yellow"/>
        </w:rPr>
        <w:t xml:space="preserve"> and </w:t>
      </w:r>
      <w:proofErr w:type="spellStart"/>
      <w:r w:rsidR="00E434D5" w:rsidRPr="00E9105E">
        <w:rPr>
          <w:rFonts w:ascii="Arial" w:hAnsi="Arial" w:cs="Arial"/>
          <w:highlight w:val="yellow"/>
        </w:rPr>
        <w:t>industrialisation</w:t>
      </w:r>
      <w:proofErr w:type="spellEnd"/>
      <w:r w:rsidR="00E434D5" w:rsidRPr="00E9105E">
        <w:rPr>
          <w:rFonts w:ascii="Arial" w:hAnsi="Arial" w:cs="Arial"/>
          <w:highlight w:val="yellow"/>
        </w:rPr>
        <w:t>, soil heavy metal pollution caused by industrial activities is also worsening. Heavy metals in soil have strong mobility, high toxicity and are nondegradable, which makes them easily absorbed and enriched by crops in production activities. Therefore, heavy metals seriously affect the yield and quality of crops and accumulate in the human body via the food chain to endanger human health</w:t>
      </w:r>
      <w:r>
        <w:rPr>
          <w:rFonts w:ascii="Arial" w:hAnsi="Arial" w:cs="Arial"/>
          <w:highlight w:val="yellow"/>
        </w:rPr>
        <w:t>”</w:t>
      </w:r>
      <w:r w:rsidR="00E434D5" w:rsidRPr="00E9105E">
        <w:rPr>
          <w:rFonts w:ascii="Arial" w:hAnsi="Arial" w:cs="Arial"/>
          <w:highlight w:val="yellow"/>
        </w:rPr>
        <w:t xml:space="preserve"> (Liu et al., 2022).</w:t>
      </w:r>
      <w:r w:rsidR="00E434D5">
        <w:rPr>
          <w:rFonts w:ascii="Arial" w:hAnsi="Arial" w:cs="Arial"/>
        </w:rPr>
        <w:t xml:space="preserve"> </w:t>
      </w:r>
      <w:r w:rsidR="00501121">
        <w:rPr>
          <w:rFonts w:ascii="Arial" w:hAnsi="Arial" w:cs="Arial"/>
        </w:rPr>
        <w:t xml:space="preserve">Soil heavy metal pollution is a significant environmental challenge that adversely affects soil fertility, food security, and human health, thereby hindering the achievement of global sustainability goals (FAO/UNEP, 2021). This pollution arises from overexploitation, uncontrolled waste dumping, informal recycling activities, and improper soil use, primarily through leaching and </w:t>
      </w:r>
      <w:proofErr w:type="spellStart"/>
      <w:r w:rsidR="00942EEC" w:rsidRPr="00E9105E">
        <w:rPr>
          <w:rFonts w:ascii="Arial" w:hAnsi="Arial" w:cs="Arial"/>
          <w:highlight w:val="yellow"/>
        </w:rPr>
        <w:t>volatilisation</w:t>
      </w:r>
      <w:proofErr w:type="spellEnd"/>
      <w:r w:rsidR="00942EEC" w:rsidRPr="00E9105E">
        <w:rPr>
          <w:rFonts w:ascii="Arial" w:hAnsi="Arial" w:cs="Arial"/>
          <w:highlight w:val="yellow"/>
        </w:rPr>
        <w:t xml:space="preserve"> </w:t>
      </w:r>
      <w:r w:rsidR="00501121">
        <w:rPr>
          <w:rFonts w:ascii="Arial" w:hAnsi="Arial" w:cs="Arial"/>
        </w:rPr>
        <w:t>(</w:t>
      </w:r>
      <w:proofErr w:type="spellStart"/>
      <w:r w:rsidR="00501121">
        <w:rPr>
          <w:rFonts w:ascii="Arial" w:hAnsi="Arial" w:cs="Arial"/>
        </w:rPr>
        <w:t>Taraqqi</w:t>
      </w:r>
      <w:proofErr w:type="spellEnd"/>
      <w:r w:rsidR="00501121">
        <w:rPr>
          <w:rFonts w:ascii="Arial" w:hAnsi="Arial" w:cs="Arial"/>
        </w:rPr>
        <w:t>-A et al., 2021). Heavy metals resist organic detoxification and bioaccumulate, leading to prolonged half-lives in soils (</w:t>
      </w:r>
      <w:proofErr w:type="spellStart"/>
      <w:r w:rsidR="00501121">
        <w:rPr>
          <w:rFonts w:ascii="Arial" w:hAnsi="Arial" w:cs="Arial"/>
        </w:rPr>
        <w:t>Taraqqi</w:t>
      </w:r>
      <w:proofErr w:type="spellEnd"/>
      <w:r w:rsidR="00501121">
        <w:rPr>
          <w:rFonts w:ascii="Arial" w:hAnsi="Arial" w:cs="Arial"/>
        </w:rPr>
        <w:t xml:space="preserve">-A et al., 2021). Contaminated soils often contain elevated levels of lead (Pb), copper (Cu), Nickel (Ni), cadmium (Cd), and zinc (Zn), impacting extensive areas (O’Connor et al., 2018). The persistence and potential toxicity of heavy metals have garnered substantial attention due to their non-biodegradability (Chen et al., 2022). Heavy metal pollution poses a threat to soil-dwelling organisms, including earthworms, which are </w:t>
      </w:r>
      <w:proofErr w:type="spellStart"/>
      <w:r w:rsidR="00942EEC" w:rsidRPr="00E9105E">
        <w:rPr>
          <w:rFonts w:ascii="Arial" w:hAnsi="Arial" w:cs="Arial"/>
          <w:highlight w:val="yellow"/>
        </w:rPr>
        <w:t>recognised</w:t>
      </w:r>
      <w:proofErr w:type="spellEnd"/>
      <w:r w:rsidR="00942EEC" w:rsidRPr="00E9105E">
        <w:rPr>
          <w:rFonts w:ascii="Arial" w:hAnsi="Arial" w:cs="Arial"/>
          <w:highlight w:val="yellow"/>
        </w:rPr>
        <w:t xml:space="preserve"> </w:t>
      </w:r>
      <w:r w:rsidR="00501121">
        <w:rPr>
          <w:rFonts w:ascii="Arial" w:hAnsi="Arial" w:cs="Arial"/>
        </w:rPr>
        <w:t xml:space="preserve">as essential soil ecosystem engineers due to their roles in organic matter decomposition, nutrient cycling, pore creation, and soil formation (Elliston &amp; Oliver, 2020; </w:t>
      </w:r>
      <w:proofErr w:type="spellStart"/>
      <w:r w:rsidR="00501121">
        <w:rPr>
          <w:rFonts w:ascii="Arial" w:hAnsi="Arial" w:cs="Arial"/>
        </w:rPr>
        <w:t>Gałwa-Widera</w:t>
      </w:r>
      <w:proofErr w:type="spellEnd"/>
      <w:r w:rsidR="00501121">
        <w:rPr>
          <w:rFonts w:ascii="Arial" w:hAnsi="Arial" w:cs="Arial"/>
        </w:rPr>
        <w:t>, 2021; Bakht et al., 2022; Nfor et al., 2022b; Fai et al., 2023). Addressing soil pollution is crucial for ensuring a healthy environment and a sustainable future.</w:t>
      </w:r>
    </w:p>
    <w:p w14:paraId="2F110FEB" w14:textId="77777777" w:rsidR="00E9105E" w:rsidRDefault="00501121">
      <w:pPr>
        <w:spacing w:line="360" w:lineRule="auto"/>
        <w:jc w:val="both"/>
        <w:rPr>
          <w:rFonts w:ascii="Arial" w:hAnsi="Arial" w:cs="Arial"/>
        </w:rPr>
      </w:pPr>
      <w:r>
        <w:rPr>
          <w:rFonts w:ascii="Arial" w:hAnsi="Arial" w:cs="Arial"/>
        </w:rPr>
        <w:t>The combined use of earthworms and biochar</w:t>
      </w:r>
    </w:p>
    <w:p w14:paraId="2CDB009F" w14:textId="390C7C80" w:rsidR="00B66A9C" w:rsidRDefault="00501121">
      <w:pPr>
        <w:spacing w:line="360" w:lineRule="auto"/>
        <w:jc w:val="both"/>
        <w:rPr>
          <w:rFonts w:ascii="Arial" w:hAnsi="Arial" w:cs="Arial"/>
        </w:rPr>
      </w:pPr>
      <w:r>
        <w:rPr>
          <w:rFonts w:ascii="Arial" w:hAnsi="Arial" w:cs="Arial"/>
        </w:rPr>
        <w:t xml:space="preserve">, known as </w:t>
      </w:r>
      <w:proofErr w:type="spellStart"/>
      <w:r>
        <w:rPr>
          <w:rFonts w:ascii="Arial" w:hAnsi="Arial" w:cs="Arial"/>
        </w:rPr>
        <w:t>vermibiochar</w:t>
      </w:r>
      <w:proofErr w:type="spellEnd"/>
      <w:r>
        <w:rPr>
          <w:rFonts w:ascii="Arial" w:hAnsi="Arial" w:cs="Arial"/>
        </w:rPr>
        <w:t>, has emerged as an environmentally friendly remediation technique (Rehman et al., 2023). Biochar, produced through the pyrolysis of biomass in a low-oxygen environment, effectively remediates heavy metal-contaminated water and soil (</w:t>
      </w:r>
      <w:proofErr w:type="spellStart"/>
      <w:r>
        <w:rPr>
          <w:rFonts w:ascii="Arial" w:hAnsi="Arial" w:cs="Arial"/>
        </w:rPr>
        <w:t>Sayyadian</w:t>
      </w:r>
      <w:proofErr w:type="spellEnd"/>
      <w:r>
        <w:rPr>
          <w:rFonts w:ascii="Arial" w:hAnsi="Arial" w:cs="Arial"/>
        </w:rPr>
        <w:t xml:space="preserve"> et al., 2018; Guo et al., 2020; </w:t>
      </w:r>
      <w:proofErr w:type="spellStart"/>
      <w:r>
        <w:rPr>
          <w:rFonts w:ascii="Arial" w:hAnsi="Arial" w:cs="Arial"/>
        </w:rPr>
        <w:t>Beusch</w:t>
      </w:r>
      <w:proofErr w:type="spellEnd"/>
      <w:r>
        <w:rPr>
          <w:rFonts w:ascii="Arial" w:hAnsi="Arial" w:cs="Arial"/>
        </w:rPr>
        <w:t>, 2021; Chen et al., 2022).</w:t>
      </w:r>
    </w:p>
    <w:p w14:paraId="68B3A030" w14:textId="1FB98A5B" w:rsidR="00B66A9C" w:rsidRDefault="00525982">
      <w:pPr>
        <w:spacing w:line="360" w:lineRule="auto"/>
        <w:jc w:val="both"/>
        <w:rPr>
          <w:rFonts w:ascii="Arial" w:hAnsi="Arial" w:cs="Arial"/>
        </w:rPr>
      </w:pPr>
      <w:r>
        <w:rPr>
          <w:rFonts w:ascii="Arial" w:hAnsi="Arial" w:cs="Arial"/>
          <w:highlight w:val="yellow"/>
        </w:rPr>
        <w:lastRenderedPageBreak/>
        <w:t>“</w:t>
      </w:r>
      <w:r w:rsidR="00E9105E" w:rsidRPr="00E9105E">
        <w:rPr>
          <w:rFonts w:ascii="Arial" w:hAnsi="Arial" w:cs="Arial"/>
          <w:highlight w:val="yellow"/>
        </w:rPr>
        <w:t>Biochar is a versatile and sustainable tool for agricultural and environmental remediation due to its unique physicochemical properties in terms of soil fertility, nutrient retention, and water holding capacity. As a stable carbon-rich material, biochar promotes plant growth and increases crop yields by enhancing microbial activity. It can also be used as a sorbent for removing pollutants such as heavy metals, organic contaminants, and nutrients from soil and water systems</w:t>
      </w:r>
      <w:r>
        <w:rPr>
          <w:rFonts w:ascii="Arial" w:hAnsi="Arial" w:cs="Arial"/>
          <w:highlight w:val="yellow"/>
        </w:rPr>
        <w:t>”</w:t>
      </w:r>
      <w:r w:rsidR="00E9105E" w:rsidRPr="00E9105E">
        <w:rPr>
          <w:rFonts w:ascii="Arial" w:hAnsi="Arial" w:cs="Arial"/>
          <w:highlight w:val="yellow"/>
        </w:rPr>
        <w:t xml:space="preserve"> (Kabir et al., 2023).</w:t>
      </w:r>
      <w:r w:rsidR="00E9105E" w:rsidRPr="00E9105E">
        <w:rPr>
          <w:rFonts w:ascii="Arial" w:hAnsi="Arial" w:cs="Arial"/>
        </w:rPr>
        <w:t xml:space="preserve"> </w:t>
      </w:r>
      <w:r w:rsidR="00501121">
        <w:rPr>
          <w:rFonts w:ascii="Arial" w:hAnsi="Arial" w:cs="Arial"/>
        </w:rPr>
        <w:t xml:space="preserve">Biochar effectively </w:t>
      </w:r>
      <w:proofErr w:type="spellStart"/>
      <w:r w:rsidR="00942EEC" w:rsidRPr="00E9105E">
        <w:rPr>
          <w:rFonts w:ascii="Arial" w:hAnsi="Arial" w:cs="Arial"/>
          <w:highlight w:val="yellow"/>
        </w:rPr>
        <w:t>immobilises</w:t>
      </w:r>
      <w:proofErr w:type="spellEnd"/>
      <w:r w:rsidR="00942EEC" w:rsidRPr="00E9105E">
        <w:rPr>
          <w:rFonts w:ascii="Arial" w:hAnsi="Arial" w:cs="Arial"/>
          <w:highlight w:val="yellow"/>
        </w:rPr>
        <w:t xml:space="preserve"> </w:t>
      </w:r>
      <w:r w:rsidR="00501121">
        <w:rPr>
          <w:rFonts w:ascii="Arial" w:hAnsi="Arial" w:cs="Arial"/>
        </w:rPr>
        <w:t xml:space="preserve">and reduces the bioavailability of heavy metals (Park et al., 2011; Huang et al., 2020; Garau et al., 2022). It adjusts pH in acidic soils and has high cation exchange and buffering capacity, making it suitable for contaminated soils with </w:t>
      </w:r>
      <w:proofErr w:type="gramStart"/>
      <w:r w:rsidR="00942EEC" w:rsidRPr="00E9105E">
        <w:rPr>
          <w:rFonts w:ascii="Arial" w:hAnsi="Arial" w:cs="Arial"/>
          <w:highlight w:val="yellow"/>
        </w:rPr>
        <w:t>metalloid</w:t>
      </w:r>
      <w:r w:rsidR="00501121">
        <w:rPr>
          <w:rFonts w:ascii="Arial" w:hAnsi="Arial" w:cs="Arial"/>
        </w:rPr>
        <w:t>)s</w:t>
      </w:r>
      <w:proofErr w:type="gramEnd"/>
      <w:r w:rsidR="00501121">
        <w:rPr>
          <w:rFonts w:ascii="Arial" w:hAnsi="Arial" w:cs="Arial"/>
        </w:rPr>
        <w:t xml:space="preserve"> (Nyoka et al., 2021; Graziano et al., 2022). The combined use of earthworms and biochar, known as </w:t>
      </w:r>
      <w:proofErr w:type="spellStart"/>
      <w:r w:rsidR="00501121">
        <w:rPr>
          <w:rFonts w:ascii="Arial" w:hAnsi="Arial" w:cs="Arial"/>
        </w:rPr>
        <w:t>vermibiochar</w:t>
      </w:r>
      <w:proofErr w:type="spellEnd"/>
      <w:r w:rsidR="00501121">
        <w:rPr>
          <w:rFonts w:ascii="Arial" w:hAnsi="Arial" w:cs="Arial"/>
        </w:rPr>
        <w:t>, has emerged as an environmentally friendly remediation technique (Rehman et al., 2023). Produced through biomass pyrolysis in a low-oxygen environment, biochar effectively remediates heavy metal-contaminated water and soil (</w:t>
      </w:r>
      <w:proofErr w:type="spellStart"/>
      <w:r w:rsidR="00501121">
        <w:rPr>
          <w:rFonts w:ascii="Arial" w:hAnsi="Arial" w:cs="Arial"/>
        </w:rPr>
        <w:t>Sayyadian</w:t>
      </w:r>
      <w:proofErr w:type="spellEnd"/>
      <w:r w:rsidR="00501121">
        <w:rPr>
          <w:rFonts w:ascii="Arial" w:hAnsi="Arial" w:cs="Arial"/>
        </w:rPr>
        <w:t xml:space="preserve"> et al., 2018; Guo et al., 2020; </w:t>
      </w:r>
      <w:proofErr w:type="spellStart"/>
      <w:r w:rsidR="00501121">
        <w:rPr>
          <w:rFonts w:ascii="Arial" w:hAnsi="Arial" w:cs="Arial"/>
        </w:rPr>
        <w:t>Beusch</w:t>
      </w:r>
      <w:proofErr w:type="spellEnd"/>
      <w:r w:rsidR="00501121">
        <w:rPr>
          <w:rFonts w:ascii="Arial" w:hAnsi="Arial" w:cs="Arial"/>
        </w:rPr>
        <w:t>, 2021; Chen et al., 2022).</w:t>
      </w:r>
    </w:p>
    <w:p w14:paraId="4E1535C4" w14:textId="273846DF" w:rsidR="00B66A9C" w:rsidRDefault="00525982">
      <w:pPr>
        <w:spacing w:line="360" w:lineRule="auto"/>
        <w:jc w:val="both"/>
        <w:rPr>
          <w:rFonts w:ascii="Arial" w:hAnsi="Arial" w:cs="Arial"/>
        </w:rPr>
      </w:pPr>
      <w:r>
        <w:rPr>
          <w:rFonts w:ascii="Arial" w:hAnsi="Arial" w:cs="Arial"/>
          <w:highlight w:val="yellow"/>
        </w:rPr>
        <w:t>“</w:t>
      </w:r>
      <w:r w:rsidR="00E9105E" w:rsidRPr="00E9105E">
        <w:rPr>
          <w:rFonts w:ascii="Arial" w:hAnsi="Arial" w:cs="Arial"/>
          <w:highlight w:val="yellow"/>
        </w:rPr>
        <w:t xml:space="preserve">Soil micro-organisms comprising bacteria and fungi directly initiate </w:t>
      </w:r>
      <w:r w:rsidR="00E9105E">
        <w:rPr>
          <w:rFonts w:ascii="Arial" w:hAnsi="Arial" w:cs="Arial"/>
          <w:highlight w:val="yellow"/>
        </w:rPr>
        <w:t xml:space="preserve">the </w:t>
      </w:r>
      <w:r w:rsidR="00E9105E" w:rsidRPr="00E9105E">
        <w:rPr>
          <w:rFonts w:ascii="Arial" w:hAnsi="Arial" w:cs="Arial"/>
          <w:highlight w:val="yellow"/>
        </w:rPr>
        <w:t>chemical decomposition process of organic matter</w:t>
      </w:r>
      <w:r w:rsidR="00E9105E">
        <w:rPr>
          <w:rFonts w:ascii="Arial" w:hAnsi="Arial" w:cs="Arial"/>
          <w:highlight w:val="yellow"/>
        </w:rPr>
        <w:t>;</w:t>
      </w:r>
      <w:r w:rsidR="00E9105E" w:rsidRPr="00E9105E">
        <w:rPr>
          <w:rFonts w:ascii="Arial" w:hAnsi="Arial" w:cs="Arial"/>
          <w:highlight w:val="yellow"/>
        </w:rPr>
        <w:t xml:space="preserve"> however, the processes cannot be achieved without the facilitating activities of soil fauna biodiversity</w:t>
      </w:r>
      <w:r w:rsidR="00E9105E">
        <w:rPr>
          <w:rFonts w:ascii="Arial" w:hAnsi="Arial" w:cs="Arial"/>
          <w:highlight w:val="yellow"/>
        </w:rPr>
        <w:t>,</w:t>
      </w:r>
      <w:r w:rsidR="00E9105E" w:rsidRPr="00E9105E">
        <w:rPr>
          <w:rFonts w:ascii="Arial" w:hAnsi="Arial" w:cs="Arial"/>
          <w:highlight w:val="yellow"/>
        </w:rPr>
        <w:t xml:space="preserve"> such as micro arthropods, mainly meso fauna and macro fauna. Soil micro-organisms, particularly bacteria</w:t>
      </w:r>
      <w:r w:rsidR="00E9105E">
        <w:rPr>
          <w:rFonts w:ascii="Arial" w:hAnsi="Arial" w:cs="Arial"/>
          <w:highlight w:val="yellow"/>
        </w:rPr>
        <w:t>,</w:t>
      </w:r>
      <w:r w:rsidR="00E9105E" w:rsidRPr="00E9105E">
        <w:rPr>
          <w:rFonts w:ascii="Arial" w:hAnsi="Arial" w:cs="Arial"/>
          <w:highlight w:val="yellow"/>
        </w:rPr>
        <w:t xml:space="preserve"> have the </w:t>
      </w:r>
      <w:r w:rsidR="00E9105E">
        <w:rPr>
          <w:rFonts w:ascii="Arial" w:hAnsi="Arial" w:cs="Arial"/>
          <w:highlight w:val="yellow"/>
        </w:rPr>
        <w:t>potential</w:t>
      </w:r>
      <w:r w:rsidR="00E9105E" w:rsidRPr="00E9105E">
        <w:rPr>
          <w:rFonts w:ascii="Arial" w:hAnsi="Arial" w:cs="Arial"/>
          <w:highlight w:val="yellow"/>
        </w:rPr>
        <w:t xml:space="preserve"> to bio-remediate the soil ecosystem polluted with hydrocarbon contaminants</w:t>
      </w:r>
      <w:r>
        <w:rPr>
          <w:rFonts w:ascii="Arial" w:hAnsi="Arial" w:cs="Arial"/>
          <w:highlight w:val="yellow"/>
        </w:rPr>
        <w:t>”</w:t>
      </w:r>
      <w:bookmarkStart w:id="0" w:name="_GoBack"/>
      <w:bookmarkEnd w:id="0"/>
      <w:r w:rsidR="00E9105E" w:rsidRPr="00E9105E">
        <w:rPr>
          <w:rFonts w:ascii="Arial" w:hAnsi="Arial" w:cs="Arial"/>
          <w:highlight w:val="yellow"/>
        </w:rPr>
        <w:t>. (</w:t>
      </w:r>
      <w:proofErr w:type="spellStart"/>
      <w:r w:rsidR="00E9105E" w:rsidRPr="00E9105E">
        <w:rPr>
          <w:rFonts w:ascii="Arial" w:hAnsi="Arial" w:cs="Arial"/>
          <w:highlight w:val="yellow"/>
        </w:rPr>
        <w:t>Gbarakoro</w:t>
      </w:r>
      <w:proofErr w:type="spellEnd"/>
      <w:r w:rsidR="00E9105E" w:rsidRPr="00E9105E">
        <w:rPr>
          <w:rFonts w:ascii="Arial" w:hAnsi="Arial" w:cs="Arial"/>
          <w:highlight w:val="yellow"/>
        </w:rPr>
        <w:t xml:space="preserve"> et al., 2023).</w:t>
      </w:r>
      <w:r w:rsidR="00E9105E" w:rsidRPr="00E9105E">
        <w:rPr>
          <w:rFonts w:ascii="Arial" w:hAnsi="Arial" w:cs="Arial"/>
        </w:rPr>
        <w:t xml:space="preserve"> </w:t>
      </w:r>
      <w:r w:rsidR="00501121">
        <w:rPr>
          <w:rFonts w:ascii="Arial" w:hAnsi="Arial" w:cs="Arial"/>
        </w:rPr>
        <w:t xml:space="preserve">Earthworms ingest contaminated soil, </w:t>
      </w:r>
      <w:proofErr w:type="spellStart"/>
      <w:r w:rsidR="00942EEC" w:rsidRPr="00E9105E">
        <w:rPr>
          <w:rFonts w:ascii="Arial" w:hAnsi="Arial" w:cs="Arial"/>
          <w:highlight w:val="yellow"/>
        </w:rPr>
        <w:t>metabolise</w:t>
      </w:r>
      <w:proofErr w:type="spellEnd"/>
      <w:r w:rsidR="00942EEC" w:rsidRPr="00E9105E">
        <w:rPr>
          <w:rFonts w:ascii="Arial" w:hAnsi="Arial" w:cs="Arial"/>
          <w:highlight w:val="yellow"/>
        </w:rPr>
        <w:t xml:space="preserve"> </w:t>
      </w:r>
      <w:r w:rsidR="00501121">
        <w:rPr>
          <w:rFonts w:ascii="Arial" w:hAnsi="Arial" w:cs="Arial"/>
        </w:rPr>
        <w:t xml:space="preserve">the contaminants, and excrete them in a more stable form or accumulate them in their tissues, thereby reducing overall soil contamination (Rehman et al., 2023). However, </w:t>
      </w:r>
      <w:proofErr w:type="spellStart"/>
      <w:r w:rsidR="00501121">
        <w:rPr>
          <w:rFonts w:ascii="Arial" w:hAnsi="Arial" w:cs="Arial"/>
        </w:rPr>
        <w:t>Ukalska-Jaruga</w:t>
      </w:r>
      <w:proofErr w:type="spellEnd"/>
      <w:r w:rsidR="00501121">
        <w:rPr>
          <w:rFonts w:ascii="Arial" w:hAnsi="Arial" w:cs="Arial"/>
        </w:rPr>
        <w:t xml:space="preserve"> et al. (2022) found that various soil amendments, including different compost types, biosolids, and minerals, significantly decreased earthworm biomass and survival in metal-contaminated soils, with some amendments causing 100% mortality.</w:t>
      </w:r>
    </w:p>
    <w:p w14:paraId="1EBC825D" w14:textId="77777777" w:rsidR="00B66A9C" w:rsidRDefault="00501121">
      <w:pPr>
        <w:spacing w:line="360" w:lineRule="auto"/>
        <w:jc w:val="both"/>
        <w:rPr>
          <w:rFonts w:ascii="Arial" w:hAnsi="Arial" w:cs="Arial"/>
        </w:rPr>
      </w:pPr>
      <w:r>
        <w:rPr>
          <w:rFonts w:ascii="Arial" w:hAnsi="Arial" w:cs="Arial"/>
        </w:rPr>
        <w:t xml:space="preserve">Despite these findings, the relationship between earthworm-biochar interactions and their effects on heavy metal bioaccumulation and pollution levels in e-waste-contaminated soils has not been fully established. The present study aims to assess the effect of corn cob-derived biochar amendment on heavy metal bioaccumulation by the </w:t>
      </w:r>
      <w:proofErr w:type="spellStart"/>
      <w:r>
        <w:rPr>
          <w:rFonts w:ascii="Arial" w:hAnsi="Arial" w:cs="Arial"/>
        </w:rPr>
        <w:t>anecic</w:t>
      </w:r>
      <w:proofErr w:type="spellEnd"/>
      <w:r>
        <w:rPr>
          <w:rFonts w:ascii="Arial" w:hAnsi="Arial" w:cs="Arial"/>
        </w:rPr>
        <w:t xml:space="preserve"> earthworm </w:t>
      </w:r>
      <w:r>
        <w:rPr>
          <w:rFonts w:ascii="Arial" w:hAnsi="Arial" w:cs="Arial"/>
          <w:i/>
        </w:rPr>
        <w:t xml:space="preserve">Alma </w:t>
      </w:r>
      <w:proofErr w:type="spellStart"/>
      <w:r>
        <w:rPr>
          <w:rFonts w:ascii="Arial" w:hAnsi="Arial" w:cs="Arial"/>
          <w:i/>
        </w:rPr>
        <w:t>nilotica</w:t>
      </w:r>
      <w:proofErr w:type="spellEnd"/>
      <w:r>
        <w:rPr>
          <w:rFonts w:ascii="Arial" w:hAnsi="Arial" w:cs="Arial"/>
        </w:rPr>
        <w:t xml:space="preserve"> (Grube, 1855) and its influence on contamination and pollution levels in e-waste-contaminated soils.</w:t>
      </w:r>
    </w:p>
    <w:p w14:paraId="40E1DB50" w14:textId="638A1D72" w:rsidR="00B66A9C" w:rsidRDefault="00501121">
      <w:pPr>
        <w:pStyle w:val="AbstHead"/>
        <w:spacing w:after="0"/>
        <w:jc w:val="both"/>
        <w:rPr>
          <w:rFonts w:ascii="Arial" w:hAnsi="Arial" w:cs="Arial"/>
        </w:rPr>
      </w:pPr>
      <w:r>
        <w:rPr>
          <w:rFonts w:ascii="Arial" w:hAnsi="Arial" w:cs="Arial"/>
        </w:rPr>
        <w:t xml:space="preserve">2. </w:t>
      </w:r>
      <w:r w:rsidR="00942EEC" w:rsidRPr="00E9105E">
        <w:rPr>
          <w:rFonts w:ascii="Arial" w:hAnsi="Arial" w:cs="Arial"/>
          <w:i/>
          <w:iCs/>
          <w:highlight w:val="yellow"/>
        </w:rPr>
        <w:t>Materials</w:t>
      </w:r>
      <w:r w:rsidR="00942EEC" w:rsidRPr="00E9105E">
        <w:rPr>
          <w:rFonts w:ascii="Arial" w:hAnsi="Arial" w:cs="Arial"/>
          <w:highlight w:val="yellow"/>
        </w:rPr>
        <w:t xml:space="preserve"> </w:t>
      </w:r>
      <w:r>
        <w:rPr>
          <w:rFonts w:ascii="Arial" w:hAnsi="Arial" w:cs="Arial"/>
        </w:rPr>
        <w:t xml:space="preserve">and </w:t>
      </w:r>
      <w:r w:rsidR="00942EEC" w:rsidRPr="00E9105E">
        <w:rPr>
          <w:rFonts w:ascii="Arial" w:hAnsi="Arial" w:cs="Arial"/>
          <w:i/>
          <w:iCs/>
          <w:highlight w:val="yellow"/>
        </w:rPr>
        <w:t>Methods</w:t>
      </w:r>
      <w:r w:rsidR="00942EEC" w:rsidRPr="00E9105E">
        <w:rPr>
          <w:rFonts w:ascii="Arial" w:hAnsi="Arial" w:cs="Arial"/>
          <w:highlight w:val="yellow"/>
        </w:rPr>
        <w:t xml:space="preserve"> </w:t>
      </w:r>
    </w:p>
    <w:p w14:paraId="33A76860" w14:textId="77777777" w:rsidR="00B66A9C" w:rsidRDefault="00501121">
      <w:pPr>
        <w:keepNext/>
        <w:keepLines/>
        <w:autoSpaceDE w:val="0"/>
        <w:autoSpaceDN w:val="0"/>
        <w:adjustRightInd w:val="0"/>
        <w:spacing w:beforeLines="100" w:before="240" w:line="360" w:lineRule="auto"/>
        <w:jc w:val="both"/>
        <w:outlineLvl w:val="1"/>
        <w:rPr>
          <w:rFonts w:ascii="Arial" w:eastAsia="SimSun" w:hAnsi="Arial" w:cs="Arial"/>
          <w:b/>
          <w:sz w:val="22"/>
          <w:szCs w:val="22"/>
          <w:lang w:val="en-GB" w:eastAsia="fr-FR"/>
        </w:rPr>
      </w:pPr>
      <w:r>
        <w:rPr>
          <w:rFonts w:ascii="Arial" w:eastAsia="SimSun" w:hAnsi="Arial" w:cs="Arial"/>
          <w:b/>
          <w:sz w:val="22"/>
          <w:szCs w:val="22"/>
          <w:lang w:eastAsia="fr-FR"/>
        </w:rPr>
        <w:t>2.</w:t>
      </w:r>
      <w:r>
        <w:rPr>
          <w:rFonts w:ascii="Arial" w:eastAsia="SimSun" w:hAnsi="Arial" w:cs="Arial"/>
          <w:b/>
          <w:sz w:val="22"/>
          <w:szCs w:val="22"/>
          <w:lang w:val="en-GB" w:eastAsia="fr-FR"/>
        </w:rPr>
        <w:t>1</w:t>
      </w:r>
      <w:r>
        <w:rPr>
          <w:rFonts w:ascii="Arial" w:eastAsia="SimSun" w:hAnsi="Arial" w:cs="Arial"/>
          <w:b/>
          <w:sz w:val="22"/>
          <w:szCs w:val="22"/>
          <w:lang w:eastAsia="fr-FR"/>
        </w:rPr>
        <w:t xml:space="preserve"> Collection of soil samples </w:t>
      </w:r>
    </w:p>
    <w:p w14:paraId="385BFC53" w14:textId="2907DEC0" w:rsidR="00B66A9C" w:rsidRDefault="00501121">
      <w:pPr>
        <w:autoSpaceDE w:val="0"/>
        <w:autoSpaceDN w:val="0"/>
        <w:adjustRightInd w:val="0"/>
        <w:spacing w:afterLines="100" w:after="240" w:line="360" w:lineRule="auto"/>
        <w:jc w:val="both"/>
        <w:rPr>
          <w:rFonts w:ascii="Arial" w:eastAsia="SimSun" w:hAnsi="Arial" w:cs="Arial"/>
          <w:lang w:val="en-GB" w:eastAsia="fr-FR"/>
        </w:rPr>
      </w:pPr>
      <w:r>
        <w:rPr>
          <w:rFonts w:ascii="Arial" w:eastAsia="SimSun" w:hAnsi="Arial" w:cs="Arial"/>
          <w:lang w:val="en-GB" w:eastAsia="fr-FR"/>
        </w:rPr>
        <w:t xml:space="preserve">The </w:t>
      </w:r>
      <w:r w:rsidR="00942EEC" w:rsidRPr="00E9105E">
        <w:rPr>
          <w:rFonts w:ascii="Arial" w:eastAsia="SimSun" w:hAnsi="Arial" w:cs="Arial"/>
          <w:highlight w:val="yellow"/>
          <w:lang w:val="en-GB" w:eastAsia="fr-FR"/>
        </w:rPr>
        <w:t>e-waste-contaminated</w:t>
      </w:r>
      <w:r>
        <w:rPr>
          <w:rFonts w:ascii="Arial" w:eastAsia="SimSun" w:hAnsi="Arial" w:cs="Arial"/>
          <w:lang w:val="en-GB" w:eastAsia="fr-FR"/>
        </w:rPr>
        <w:t xml:space="preserve"> soil was obtained from an informal e-waste recycling site located in </w:t>
      </w:r>
      <w:proofErr w:type="spellStart"/>
      <w:r>
        <w:rPr>
          <w:rFonts w:ascii="Arial" w:eastAsia="SimSun" w:hAnsi="Arial" w:cs="Arial"/>
          <w:lang w:val="en-GB" w:eastAsia="fr-FR"/>
        </w:rPr>
        <w:t>Bonaberi</w:t>
      </w:r>
      <w:proofErr w:type="spellEnd"/>
      <w:r>
        <w:rPr>
          <w:rFonts w:ascii="Arial" w:eastAsia="SimSun" w:hAnsi="Arial" w:cs="Arial"/>
          <w:lang w:val="en-GB" w:eastAsia="fr-FR"/>
        </w:rPr>
        <w:t xml:space="preserve">, Douala, Cameroon. Surface soil samples were collected from 10 random points using a soil auger to a depth of 20 cm after clearing all e-waste debris and transported to the Laboratory of Applied Biology and Ecology (Department of Animal Biology, University of </w:t>
      </w:r>
      <w:proofErr w:type="spellStart"/>
      <w:r>
        <w:rPr>
          <w:rFonts w:ascii="Arial" w:eastAsia="SimSun" w:hAnsi="Arial" w:cs="Arial"/>
          <w:lang w:val="en-GB" w:eastAsia="fr-FR"/>
        </w:rPr>
        <w:t>Dschang</w:t>
      </w:r>
      <w:proofErr w:type="spellEnd"/>
      <w:r>
        <w:rPr>
          <w:rFonts w:ascii="Arial" w:eastAsia="SimSun" w:hAnsi="Arial" w:cs="Arial"/>
          <w:lang w:val="en-GB" w:eastAsia="fr-FR"/>
        </w:rPr>
        <w:t>) in high-density polythene bags. On arrival, the samples were air-dried at ambient temperature (25°C) and relative humidity of 76% for 1 week, and then sieved with a 2 mm aperture stainless steel sieve to remove large soil particles and any earthworms or cocoons, as in Nfor et al. (2022a). The soil used to prepare the earthworm culture, which also served as the control soil in the bioaccumulation experiments, was obtained from an uncontaminated school garden.</w:t>
      </w:r>
    </w:p>
    <w:p w14:paraId="3BEBC0A3" w14:textId="77777777" w:rsidR="00B66A9C" w:rsidRDefault="00501121">
      <w:pPr>
        <w:autoSpaceDE w:val="0"/>
        <w:autoSpaceDN w:val="0"/>
        <w:adjustRightInd w:val="0"/>
        <w:spacing w:line="360" w:lineRule="auto"/>
        <w:jc w:val="both"/>
        <w:rPr>
          <w:rFonts w:ascii="Arial" w:eastAsia="SimSun" w:hAnsi="Arial" w:cs="Arial"/>
          <w:b/>
          <w:bCs/>
          <w:sz w:val="22"/>
          <w:szCs w:val="22"/>
        </w:rPr>
      </w:pPr>
      <w:r>
        <w:rPr>
          <w:rFonts w:ascii="Arial" w:eastAsia="SimSun" w:hAnsi="Arial" w:cs="Arial"/>
          <w:b/>
          <w:bCs/>
          <w:sz w:val="22"/>
          <w:szCs w:val="22"/>
        </w:rPr>
        <w:t>2.</w:t>
      </w:r>
      <w:r>
        <w:rPr>
          <w:rFonts w:ascii="Arial" w:eastAsia="SimSun" w:hAnsi="Arial" w:cs="Arial"/>
          <w:b/>
          <w:bCs/>
          <w:sz w:val="22"/>
          <w:szCs w:val="22"/>
          <w:lang w:val="en-GB"/>
        </w:rPr>
        <w:t>2</w:t>
      </w:r>
      <w:r>
        <w:rPr>
          <w:rFonts w:ascii="Arial" w:eastAsia="SimSun" w:hAnsi="Arial" w:cs="Arial"/>
          <w:b/>
          <w:bCs/>
          <w:sz w:val="22"/>
          <w:szCs w:val="22"/>
        </w:rPr>
        <w:t xml:space="preserve"> Earthworm culture</w:t>
      </w:r>
    </w:p>
    <w:p w14:paraId="5E4A07CD" w14:textId="4E5A0A40" w:rsidR="00B66A9C" w:rsidRDefault="00501121">
      <w:pPr>
        <w:autoSpaceDE w:val="0"/>
        <w:autoSpaceDN w:val="0"/>
        <w:adjustRightInd w:val="0"/>
        <w:spacing w:line="360" w:lineRule="auto"/>
        <w:jc w:val="both"/>
        <w:rPr>
          <w:rFonts w:ascii="Arial" w:hAnsi="Arial" w:cs="Arial"/>
          <w:lang w:eastAsia="fr-FR"/>
        </w:rPr>
      </w:pPr>
      <w:r>
        <w:rPr>
          <w:rFonts w:ascii="Arial" w:hAnsi="Arial" w:cs="Arial"/>
          <w:lang w:eastAsia="fr-FR"/>
        </w:rPr>
        <w:t xml:space="preserve">The earthworm culture soil was prepared by combining uncontaminated garden soil with dried avocado leaves and fresh vegetable waste, as in Fai et al. (2023). To maintain appropriate humidity levels and prevent flies from landing on the medium, a layer of shredded cardboard weighing 260 g was used as a cover. The container was equipped with a perforated lid for proper aeration, and a mousseline tissue was employed to prevent moisture loss and the entry of insects into the culture medium (Fai et al., 2023). The prepared culture medium was allowed to </w:t>
      </w:r>
      <w:proofErr w:type="spellStart"/>
      <w:r w:rsidR="00942EEC" w:rsidRPr="00E9105E">
        <w:rPr>
          <w:rFonts w:ascii="Arial" w:hAnsi="Arial" w:cs="Arial"/>
          <w:highlight w:val="yellow"/>
          <w:lang w:eastAsia="fr-FR"/>
        </w:rPr>
        <w:t>stabilise</w:t>
      </w:r>
      <w:proofErr w:type="spellEnd"/>
      <w:r w:rsidR="00942EEC">
        <w:rPr>
          <w:rFonts w:ascii="Arial" w:hAnsi="Arial" w:cs="Arial"/>
          <w:lang w:eastAsia="fr-FR"/>
        </w:rPr>
        <w:t xml:space="preserve"> </w:t>
      </w:r>
      <w:r>
        <w:rPr>
          <w:rFonts w:ascii="Arial" w:hAnsi="Arial" w:cs="Arial"/>
          <w:lang w:eastAsia="fr-FR"/>
        </w:rPr>
        <w:t xml:space="preserve">for 14 days. Roughly 1,000 mature and juvenile earthworms, belonging to the species </w:t>
      </w:r>
      <w:r>
        <w:rPr>
          <w:rFonts w:ascii="Arial" w:hAnsi="Arial" w:cs="Arial"/>
          <w:i/>
          <w:lang w:eastAsia="fr-FR"/>
        </w:rPr>
        <w:t xml:space="preserve">A. </w:t>
      </w:r>
      <w:proofErr w:type="spellStart"/>
      <w:r>
        <w:rPr>
          <w:rFonts w:ascii="Arial" w:hAnsi="Arial" w:cs="Arial"/>
          <w:i/>
          <w:lang w:eastAsia="fr-FR"/>
        </w:rPr>
        <w:t>nilotica</w:t>
      </w:r>
      <w:proofErr w:type="spellEnd"/>
      <w:r>
        <w:rPr>
          <w:rFonts w:ascii="Arial" w:hAnsi="Arial" w:cs="Arial"/>
          <w:lang w:eastAsia="fr-FR"/>
        </w:rPr>
        <w:t xml:space="preserve"> (Order: </w:t>
      </w:r>
      <w:proofErr w:type="spellStart"/>
      <w:r>
        <w:rPr>
          <w:rFonts w:ascii="Arial" w:hAnsi="Arial" w:cs="Arial"/>
          <w:lang w:eastAsia="fr-FR"/>
        </w:rPr>
        <w:t>Opisthopora</w:t>
      </w:r>
      <w:proofErr w:type="spellEnd"/>
      <w:r>
        <w:rPr>
          <w:rFonts w:ascii="Arial" w:hAnsi="Arial" w:cs="Arial"/>
          <w:lang w:eastAsia="fr-FR"/>
        </w:rPr>
        <w:t xml:space="preserve">; Family: </w:t>
      </w:r>
      <w:proofErr w:type="spellStart"/>
      <w:r>
        <w:rPr>
          <w:rFonts w:ascii="Arial" w:hAnsi="Arial" w:cs="Arial"/>
          <w:lang w:eastAsia="fr-FR"/>
        </w:rPr>
        <w:lastRenderedPageBreak/>
        <w:t>Glossoscolecidae</w:t>
      </w:r>
      <w:proofErr w:type="spellEnd"/>
      <w:r>
        <w:rPr>
          <w:rFonts w:ascii="Arial" w:hAnsi="Arial" w:cs="Arial"/>
          <w:lang w:eastAsia="fr-FR"/>
        </w:rPr>
        <w:t xml:space="preserve">), were sourced from CAVYLAND enterprise in Yaoundé, Cameroon. These earthworms, ranging in mass from 0.10 g to 0.21 g, were transported to the laboratory and introduced into a culture bowl containing 40 kg of culture soil (dimensions: 45 × 20 × 25 cm³). Before being used in the bioassays, the earthworms underwent a 14-day </w:t>
      </w:r>
      <w:proofErr w:type="spellStart"/>
      <w:r w:rsidR="00942EEC" w:rsidRPr="00E9105E">
        <w:rPr>
          <w:rFonts w:ascii="Arial" w:hAnsi="Arial" w:cs="Arial"/>
          <w:highlight w:val="yellow"/>
          <w:lang w:eastAsia="fr-FR"/>
        </w:rPr>
        <w:t>acclimatisation</w:t>
      </w:r>
      <w:proofErr w:type="spellEnd"/>
      <w:r w:rsidR="00942EEC" w:rsidRPr="00E9105E">
        <w:rPr>
          <w:rFonts w:ascii="Arial" w:hAnsi="Arial" w:cs="Arial"/>
          <w:highlight w:val="yellow"/>
          <w:lang w:eastAsia="fr-FR"/>
        </w:rPr>
        <w:t xml:space="preserve"> </w:t>
      </w:r>
      <w:r>
        <w:rPr>
          <w:rFonts w:ascii="Arial" w:hAnsi="Arial" w:cs="Arial"/>
          <w:lang w:eastAsia="fr-FR"/>
        </w:rPr>
        <w:t>period during which they were fed with finely ground cow dung obtained from a contamination-free source (cows not subjected to medication). Subsequently, the worms were provided with cow droppings as food and allowed to grow, reproduce, and produce juvenile earthworms for 2 months. The culture soil temperature remained between 21 to 23 °C, and the moisture content was maintained between 75% and 80%.</w:t>
      </w:r>
    </w:p>
    <w:p w14:paraId="591A3477" w14:textId="6F48291E" w:rsidR="00B66A9C" w:rsidRDefault="00501121">
      <w:pPr>
        <w:keepNext/>
        <w:keepLines/>
        <w:spacing w:beforeLines="100" w:before="240" w:line="360" w:lineRule="auto"/>
        <w:jc w:val="both"/>
        <w:outlineLvl w:val="1"/>
        <w:rPr>
          <w:rFonts w:ascii="Arial" w:eastAsia="SimSun" w:hAnsi="Arial" w:cs="Arial"/>
          <w:b/>
          <w:bCs/>
          <w:sz w:val="22"/>
          <w:szCs w:val="22"/>
        </w:rPr>
      </w:pPr>
      <w:r>
        <w:rPr>
          <w:rFonts w:ascii="Arial" w:eastAsia="SimSun" w:hAnsi="Arial" w:cs="Arial"/>
          <w:b/>
          <w:bCs/>
          <w:sz w:val="22"/>
          <w:szCs w:val="22"/>
        </w:rPr>
        <w:t>2.</w:t>
      </w:r>
      <w:r>
        <w:rPr>
          <w:rFonts w:ascii="Arial" w:eastAsia="SimSun" w:hAnsi="Arial" w:cs="Arial"/>
          <w:b/>
          <w:bCs/>
          <w:sz w:val="22"/>
          <w:szCs w:val="22"/>
          <w:lang w:val="en-GB"/>
        </w:rPr>
        <w:t>3</w:t>
      </w:r>
      <w:r>
        <w:rPr>
          <w:rFonts w:ascii="Arial" w:eastAsia="SimSun" w:hAnsi="Arial" w:cs="Arial"/>
          <w:b/>
          <w:bCs/>
          <w:sz w:val="22"/>
          <w:szCs w:val="22"/>
        </w:rPr>
        <w:t xml:space="preserve"> Production </w:t>
      </w:r>
      <w:r>
        <w:rPr>
          <w:rFonts w:ascii="Arial" w:eastAsia="SimSun" w:hAnsi="Arial" w:cs="Arial"/>
          <w:b/>
          <w:bCs/>
          <w:sz w:val="22"/>
          <w:szCs w:val="22"/>
          <w:lang w:val="en-GB"/>
        </w:rPr>
        <w:t xml:space="preserve">and </w:t>
      </w:r>
      <w:r w:rsidR="00942EEC" w:rsidRPr="00E9105E">
        <w:rPr>
          <w:rFonts w:ascii="Arial" w:eastAsia="SimSun" w:hAnsi="Arial" w:cs="Arial"/>
          <w:b/>
          <w:bCs/>
          <w:sz w:val="22"/>
          <w:szCs w:val="22"/>
          <w:highlight w:val="yellow"/>
          <w:lang w:val="en-GB"/>
        </w:rPr>
        <w:t xml:space="preserve">characterisation </w:t>
      </w:r>
      <w:r>
        <w:rPr>
          <w:rFonts w:ascii="Arial" w:eastAsia="SimSun" w:hAnsi="Arial" w:cs="Arial"/>
          <w:b/>
          <w:bCs/>
          <w:sz w:val="22"/>
          <w:szCs w:val="22"/>
          <w:lang w:val="en-GB"/>
        </w:rPr>
        <w:t xml:space="preserve">of </w:t>
      </w:r>
      <w:r>
        <w:rPr>
          <w:rFonts w:ascii="Arial" w:eastAsia="SimSun" w:hAnsi="Arial" w:cs="Arial"/>
          <w:b/>
          <w:bCs/>
          <w:sz w:val="22"/>
          <w:szCs w:val="22"/>
        </w:rPr>
        <w:t>of biochar</w:t>
      </w:r>
    </w:p>
    <w:p w14:paraId="5D5B8FC5" w14:textId="2E65C6E7" w:rsidR="00B66A9C" w:rsidRDefault="00501121">
      <w:pPr>
        <w:autoSpaceDE w:val="0"/>
        <w:autoSpaceDN w:val="0"/>
        <w:adjustRightInd w:val="0"/>
        <w:spacing w:afterLines="100" w:after="240" w:line="360" w:lineRule="auto"/>
        <w:jc w:val="both"/>
        <w:rPr>
          <w:rFonts w:ascii="Arial" w:eastAsia="SimSun" w:hAnsi="Arial" w:cs="Arial"/>
          <w:lang w:val="en-GB" w:eastAsia="fr-FR"/>
        </w:rPr>
      </w:pPr>
      <w:r>
        <w:rPr>
          <w:rFonts w:ascii="Arial" w:eastAsia="SimSun" w:hAnsi="Arial" w:cs="Arial"/>
          <w:lang w:val="en-GB" w:eastAsia="fr-FR"/>
        </w:rPr>
        <w:t>Biochar production from corn cob was done using the closed drum technique</w:t>
      </w:r>
      <w:r w:rsidR="00942EEC">
        <w:rPr>
          <w:rFonts w:ascii="Arial" w:eastAsia="SimSun" w:hAnsi="Arial" w:cs="Arial"/>
          <w:lang w:val="en-GB" w:eastAsia="fr-FR"/>
        </w:rPr>
        <w:t>,</w:t>
      </w:r>
      <w:r>
        <w:rPr>
          <w:rFonts w:ascii="Arial" w:eastAsia="SimSun" w:hAnsi="Arial" w:cs="Arial"/>
          <w:lang w:val="en-GB" w:eastAsia="fr-FR"/>
        </w:rPr>
        <w:t xml:space="preserve"> containing both an inner and an outer chamber (Novak et al., 2022). Approximately 5.4 kg of maize cobs underwent pyrolysis at a temperature of around 500-530°C under controlled oxygen conditions to limit combustion. The contents of the chamber were carefully monitored to prevent complete ash formation. Following pyrolysis, the biochar was treated with water to prevent further oxidation. Subsequently, the biochar was collected, exposed to sunlight for drying, and later finely crushed into particles (Tsamo et al., 2019).</w:t>
      </w:r>
    </w:p>
    <w:p w14:paraId="1CA770E7" w14:textId="77777777" w:rsidR="00B66A9C" w:rsidRDefault="00501121">
      <w:pPr>
        <w:spacing w:line="360" w:lineRule="auto"/>
        <w:jc w:val="both"/>
        <w:rPr>
          <w:rFonts w:ascii="Arial" w:eastAsia="SimSun" w:hAnsi="Arial" w:cs="Arial"/>
          <w:b/>
          <w:bCs/>
          <w:sz w:val="22"/>
          <w:szCs w:val="22"/>
        </w:rPr>
      </w:pPr>
      <w:r>
        <w:rPr>
          <w:rFonts w:ascii="Arial" w:eastAsia="SimSun" w:hAnsi="Arial" w:cs="Arial"/>
          <w:b/>
          <w:bCs/>
          <w:sz w:val="22"/>
          <w:szCs w:val="22"/>
        </w:rPr>
        <w:t>2.</w:t>
      </w:r>
      <w:r>
        <w:rPr>
          <w:rFonts w:ascii="Arial" w:eastAsia="SimSun" w:hAnsi="Arial" w:cs="Arial"/>
          <w:b/>
          <w:bCs/>
          <w:sz w:val="22"/>
          <w:szCs w:val="22"/>
          <w:lang w:val="en-GB"/>
        </w:rPr>
        <w:t>4</w:t>
      </w:r>
      <w:r>
        <w:rPr>
          <w:rFonts w:ascii="Arial" w:eastAsia="SimSun" w:hAnsi="Arial" w:cs="Arial"/>
          <w:b/>
          <w:bCs/>
          <w:sz w:val="22"/>
          <w:szCs w:val="22"/>
        </w:rPr>
        <w:t xml:space="preserve"> Bioaccumulation bioassay</w:t>
      </w:r>
    </w:p>
    <w:p w14:paraId="5EA31CD1" w14:textId="418A20CA" w:rsidR="00B66A9C" w:rsidRDefault="00501121">
      <w:pPr>
        <w:spacing w:line="360" w:lineRule="auto"/>
        <w:jc w:val="both"/>
        <w:rPr>
          <w:rFonts w:ascii="Arial" w:hAnsi="Arial" w:cs="Arial"/>
        </w:rPr>
      </w:pPr>
      <w:r>
        <w:rPr>
          <w:rFonts w:ascii="Arial" w:hAnsi="Arial" w:cs="Arial"/>
        </w:rPr>
        <w:t xml:space="preserve">The bioaccumulation experiment was conducted following the guidelines outlined in the </w:t>
      </w:r>
      <w:proofErr w:type="spellStart"/>
      <w:r w:rsidR="00942EEC" w:rsidRPr="00E9105E">
        <w:rPr>
          <w:rFonts w:ascii="Arial" w:hAnsi="Arial" w:cs="Arial"/>
          <w:highlight w:val="yellow"/>
        </w:rPr>
        <w:t>Organisation</w:t>
      </w:r>
      <w:proofErr w:type="spellEnd"/>
      <w:r w:rsidR="00942EEC" w:rsidRPr="00E9105E">
        <w:rPr>
          <w:rFonts w:ascii="Arial" w:hAnsi="Arial" w:cs="Arial"/>
          <w:highlight w:val="yellow"/>
        </w:rPr>
        <w:t xml:space="preserve"> </w:t>
      </w:r>
      <w:r>
        <w:rPr>
          <w:rFonts w:ascii="Arial" w:hAnsi="Arial" w:cs="Arial"/>
        </w:rPr>
        <w:t xml:space="preserve">for Economic Co-operation and Development (OECD) test 317 (OECD, 2010). Five distinct treatments—culture soil (positive control), e-waste soil, e-waste soil + biochar, and biochar alone (0.5%)—were established in triplicate, resulting in 15 test containers measuring 20 × 15 × 10 cm. The contents of the different treatments were thoroughly mixed and allowed to </w:t>
      </w:r>
      <w:proofErr w:type="spellStart"/>
      <w:r w:rsidR="00942EEC" w:rsidRPr="00E9105E">
        <w:rPr>
          <w:rFonts w:ascii="Arial" w:hAnsi="Arial" w:cs="Arial"/>
          <w:highlight w:val="yellow"/>
        </w:rPr>
        <w:t>stabilise</w:t>
      </w:r>
      <w:proofErr w:type="spellEnd"/>
      <w:r w:rsidR="00942EEC">
        <w:rPr>
          <w:rFonts w:ascii="Arial" w:hAnsi="Arial" w:cs="Arial"/>
        </w:rPr>
        <w:t xml:space="preserve"> </w:t>
      </w:r>
      <w:r>
        <w:rPr>
          <w:rFonts w:ascii="Arial" w:hAnsi="Arial" w:cs="Arial"/>
        </w:rPr>
        <w:t xml:space="preserve">for 24 hours. Subsequently, 15 immature earthworms without a clitellum, with masses of 0.10 g to 0.14 g and lengths of 1.6 cm to 2.4 cm, were randomly selected from the culture population and introduced into each test container. Approximately 3.0 g of sieved cow dung was added to the surface of each container to serve as a food source, with additional servings provided weekly thereafter. Perforated lids were placed on the test containers to enable gaseous exchange between the substrate and atmosphere, as well as to allow sunlight exposure (Lowe &amp; Butt, 2005). The bioaccumulation study consisted of two phases: a 21-day exposure phase followed by a 14-day depuration phase, resulting in </w:t>
      </w:r>
      <w:r w:rsidR="00942EEC" w:rsidRPr="00E9105E">
        <w:rPr>
          <w:rFonts w:ascii="Arial" w:hAnsi="Arial" w:cs="Arial"/>
          <w:highlight w:val="yellow"/>
        </w:rPr>
        <w:t>a</w:t>
      </w:r>
      <w:r w:rsidR="00942EEC">
        <w:rPr>
          <w:rFonts w:ascii="Arial" w:hAnsi="Arial" w:cs="Arial"/>
        </w:rPr>
        <w:t xml:space="preserve"> </w:t>
      </w:r>
      <w:r>
        <w:rPr>
          <w:rFonts w:ascii="Arial" w:hAnsi="Arial" w:cs="Arial"/>
        </w:rPr>
        <w:t>total test duration of 35 days. At the end of the exposure phase, the remaining earthworms were removed from their respective test soils, rinsed quickly in distilled water, and placed in prepared non-e-waste soils in triplicate for post-exposure (depuration) studies. Earthworms and soil samples were collected on days 1, 3, 6, 9, 12, 15, 18, and 21 for the exposure phase and on days 24, 27, 31, and 35 for the depuration phase. During each sampling event, one soil sample and one earthworm were randomly selected from each container, amounting to 3 soil samples and 3 earthworms per treatment. The selected earthworms were rinsed with distilled water, dried on filter paper, and placed in small plastic containers. To ensure accurate determination of heavy metal levels in the earthworm tissues, the dried earthworms were refrigerated for 48 hours to allow purging of gut contents. Next, the purged worms were weighed using an electronic balance, rinsed with distilled water, transferred into 2.0-ml Invitrogen ribonuclease-free microcentrifuge tubes (Thermo Fisher Scientific), and preserved in a freezer at -20 °C until heavy metal analysis (Nfor et al., 2022b).</w:t>
      </w:r>
    </w:p>
    <w:p w14:paraId="32956208" w14:textId="77777777" w:rsidR="00B66A9C" w:rsidRDefault="00501121">
      <w:pPr>
        <w:spacing w:line="360" w:lineRule="auto"/>
        <w:jc w:val="both"/>
        <w:rPr>
          <w:rFonts w:ascii="Arial" w:hAnsi="Arial" w:cs="Arial"/>
          <w:b/>
          <w:sz w:val="22"/>
          <w:szCs w:val="22"/>
          <w:lang w:val="en-GB"/>
        </w:rPr>
      </w:pPr>
      <w:r>
        <w:rPr>
          <w:rFonts w:ascii="Arial" w:hAnsi="Arial" w:cs="Arial"/>
          <w:b/>
          <w:sz w:val="22"/>
          <w:szCs w:val="22"/>
        </w:rPr>
        <w:t>2.</w:t>
      </w:r>
      <w:r>
        <w:rPr>
          <w:rFonts w:ascii="Arial" w:hAnsi="Arial" w:cs="Arial"/>
          <w:b/>
          <w:sz w:val="22"/>
          <w:szCs w:val="22"/>
          <w:lang w:val="en-GB"/>
        </w:rPr>
        <w:t>5</w:t>
      </w:r>
      <w:r>
        <w:rPr>
          <w:rFonts w:ascii="Arial" w:hAnsi="Arial" w:cs="Arial"/>
          <w:b/>
          <w:sz w:val="22"/>
          <w:szCs w:val="22"/>
        </w:rPr>
        <w:t xml:space="preserve"> </w:t>
      </w:r>
      <w:r>
        <w:rPr>
          <w:rFonts w:ascii="Arial" w:hAnsi="Arial" w:cs="Arial"/>
          <w:b/>
          <w:sz w:val="22"/>
          <w:szCs w:val="22"/>
          <w:lang w:val="en-GB"/>
        </w:rPr>
        <w:t>Heavy metal analysis in soils, biochar and earthworms</w:t>
      </w:r>
    </w:p>
    <w:p w14:paraId="27DE9A29" w14:textId="6B18AEA9" w:rsidR="00B66A9C" w:rsidRDefault="00501121">
      <w:pPr>
        <w:spacing w:line="360" w:lineRule="auto"/>
        <w:jc w:val="both"/>
        <w:rPr>
          <w:rFonts w:ascii="Arial" w:eastAsia="SimSun" w:hAnsi="Arial" w:cs="Arial"/>
          <w:lang w:val="en-GB" w:eastAsia="fr-FR"/>
        </w:rPr>
      </w:pPr>
      <w:r>
        <w:rPr>
          <w:rFonts w:ascii="Arial" w:eastAsia="SimSun" w:hAnsi="Arial" w:cs="Arial"/>
          <w:lang w:val="en-GB" w:eastAsia="fr-FR"/>
        </w:rPr>
        <w:t xml:space="preserve">The soil and biochar physicochemical properties (pH, % organic matter, % organic carbon, C/N ratio, and cation exchange capacity) were </w:t>
      </w:r>
      <w:r w:rsidR="00942EEC" w:rsidRPr="00E9105E">
        <w:rPr>
          <w:rFonts w:ascii="Arial" w:eastAsia="SimSun" w:hAnsi="Arial" w:cs="Arial"/>
          <w:highlight w:val="yellow"/>
          <w:lang w:val="en-GB" w:eastAsia="fr-FR"/>
        </w:rPr>
        <w:t>analysed</w:t>
      </w:r>
      <w:r w:rsidR="00942EEC">
        <w:rPr>
          <w:rFonts w:ascii="Arial" w:eastAsia="SimSun" w:hAnsi="Arial" w:cs="Arial"/>
          <w:lang w:val="en-GB" w:eastAsia="fr-FR"/>
        </w:rPr>
        <w:t xml:space="preserve"> </w:t>
      </w:r>
      <w:r>
        <w:rPr>
          <w:rFonts w:ascii="Arial" w:eastAsia="SimSun" w:hAnsi="Arial" w:cs="Arial"/>
          <w:lang w:val="en-GB" w:eastAsia="fr-FR"/>
        </w:rPr>
        <w:t xml:space="preserve">at the Laboratory of Soils and Environmental Chemistry (Faculty of Agronomy and Agricultural Sciences, University of </w:t>
      </w:r>
      <w:proofErr w:type="spellStart"/>
      <w:r>
        <w:rPr>
          <w:rFonts w:ascii="Arial" w:eastAsia="SimSun" w:hAnsi="Arial" w:cs="Arial"/>
          <w:lang w:val="en-GB" w:eastAsia="fr-FR"/>
        </w:rPr>
        <w:t>Dschang</w:t>
      </w:r>
      <w:proofErr w:type="spellEnd"/>
      <w:r>
        <w:rPr>
          <w:rFonts w:ascii="Arial" w:eastAsia="SimSun" w:hAnsi="Arial" w:cs="Arial"/>
          <w:lang w:val="en-GB" w:eastAsia="fr-FR"/>
        </w:rPr>
        <w:t xml:space="preserve">, Cameroon) following the methodologies described in Pauwel et al. (1992). Sample </w:t>
      </w:r>
      <w:r>
        <w:rPr>
          <w:rFonts w:ascii="Arial" w:eastAsia="SimSun" w:hAnsi="Arial" w:cs="Arial"/>
          <w:lang w:val="en-GB" w:eastAsia="fr-FR"/>
        </w:rPr>
        <w:lastRenderedPageBreak/>
        <w:t>preparation and metal analyses (Cd, Cu, Ni, Pb, and Zn) in soil, biochar, and earthworms also followed the methods of Pauwel et al. (1992) as described in Fai et al. (2023).</w:t>
      </w:r>
    </w:p>
    <w:p w14:paraId="21CCD4CA" w14:textId="77777777" w:rsidR="00B66A9C" w:rsidRDefault="00501121">
      <w:pPr>
        <w:spacing w:line="360" w:lineRule="auto"/>
        <w:jc w:val="both"/>
        <w:rPr>
          <w:rFonts w:ascii="Arial" w:hAnsi="Arial" w:cs="Arial"/>
          <w:b/>
          <w:sz w:val="22"/>
          <w:szCs w:val="22"/>
        </w:rPr>
      </w:pPr>
      <w:r>
        <w:rPr>
          <w:rFonts w:ascii="Arial" w:hAnsi="Arial" w:cs="Arial"/>
          <w:b/>
          <w:sz w:val="22"/>
          <w:szCs w:val="22"/>
          <w:lang w:val="en-GB"/>
        </w:rPr>
        <w:t xml:space="preserve">2.6 </w:t>
      </w:r>
      <w:r>
        <w:rPr>
          <w:rFonts w:ascii="Arial" w:hAnsi="Arial" w:cs="Arial"/>
          <w:b/>
          <w:sz w:val="22"/>
          <w:szCs w:val="22"/>
        </w:rPr>
        <w:t>Data analysis</w:t>
      </w:r>
    </w:p>
    <w:p w14:paraId="4A0BFE35" w14:textId="2CF17BF6" w:rsidR="00B66A9C" w:rsidRDefault="00501121">
      <w:pPr>
        <w:spacing w:line="360" w:lineRule="auto"/>
        <w:jc w:val="both"/>
        <w:rPr>
          <w:rFonts w:ascii="Arial" w:hAnsi="Arial" w:cs="Arial"/>
          <w:lang w:val="en-GB"/>
        </w:rPr>
      </w:pPr>
      <w:r>
        <w:rPr>
          <w:rFonts w:ascii="Arial" w:hAnsi="Arial" w:cs="Arial"/>
          <w:lang w:val="en-GB"/>
        </w:rPr>
        <w:t>To determine the level of heavy metal contamination of the biochar and e-waste soil, two indices of pollution (degree of contamination and modified degree of contamination) were calculated (Shirani et al., 2020). The degree of contamination (</w:t>
      </w:r>
      <m:oMath>
        <m:sSub>
          <m:sSubPr>
            <m:ctrlPr>
              <w:rPr>
                <w:rFonts w:ascii="Cambria Math" w:hAnsi="Cambria Math" w:cs="Arial"/>
                <w:i/>
              </w:rPr>
            </m:ctrlPr>
          </m:sSubPr>
          <m:e>
            <m:r>
              <w:rPr>
                <w:rFonts w:ascii="Cambria Math" w:hAnsi="Cambria Math" w:cs="Arial"/>
              </w:rPr>
              <m:t>C</m:t>
            </m:r>
          </m:e>
          <m:sub>
            <m:r>
              <w:rPr>
                <w:rFonts w:ascii="Cambria Math" w:hAnsi="Cambria Math" w:cs="Arial"/>
              </w:rPr>
              <m:t>d</m:t>
            </m:r>
          </m:sub>
        </m:sSub>
      </m:oMath>
      <w:r>
        <w:rPr>
          <w:rFonts w:ascii="Arial" w:hAnsi="Arial" w:cs="Arial"/>
          <w:lang w:val="en-GB"/>
        </w:rPr>
        <w:t xml:space="preserve">) is the comprehensive pollution index for multiple contaminants, i.e., the sum of all contamination factors </w:t>
      </w:r>
      <w:r>
        <w:rPr>
          <w:rFonts w:ascii="Arial" w:hAnsi="Arial" w:cs="Arial"/>
          <w:bCs/>
          <w:iCs/>
          <w:lang w:val="en-GB" w:eastAsia="fr-FR"/>
        </w:rPr>
        <w:t>(</w:t>
      </w:r>
      <m:oMath>
        <m:sSubSup>
          <m:sSubSupPr>
            <m:ctrlPr>
              <w:rPr>
                <w:rFonts w:ascii="Cambria Math" w:hAnsi="Cambria Math" w:cs="Arial"/>
                <w:i/>
              </w:rPr>
            </m:ctrlPr>
          </m:sSubSupPr>
          <m:e>
            <m:r>
              <w:rPr>
                <w:rFonts w:ascii="Cambria Math" w:hAnsi="Cambria Math" w:cs="Arial"/>
              </w:rPr>
              <m:t>C</m:t>
            </m:r>
          </m:e>
          <m:sub>
            <m:r>
              <w:rPr>
                <w:rFonts w:ascii="Cambria Math" w:hAnsi="Cambria Math" w:cs="Arial"/>
              </w:rPr>
              <m:t>f</m:t>
            </m:r>
          </m:sub>
          <m:sup>
            <m:r>
              <w:rPr>
                <w:rFonts w:ascii="Cambria Math" w:hAnsi="Cambria Math" w:cs="Arial"/>
              </w:rPr>
              <m:t>i</m:t>
            </m:r>
          </m:sup>
        </m:sSubSup>
      </m:oMath>
      <w:r>
        <w:rPr>
          <w:rFonts w:ascii="Arial" w:hAnsi="Arial" w:cs="Arial"/>
          <w:bCs/>
          <w:iCs/>
          <w:lang w:val="en-GB" w:eastAsia="fr-FR"/>
        </w:rPr>
        <w:fldChar w:fldCharType="begin"/>
      </w:r>
      <w:r>
        <w:rPr>
          <w:rFonts w:ascii="Arial" w:hAnsi="Arial" w:cs="Arial"/>
          <w:bCs/>
          <w:iCs/>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oMath>
      <w:r>
        <w:rPr>
          <w:rFonts w:ascii="Arial" w:hAnsi="Arial" w:cs="Arial"/>
          <w:bCs/>
          <w:iCs/>
          <w:lang w:val="en-GB" w:eastAsia="fr-FR"/>
        </w:rPr>
        <w:instrText xml:space="preserve"> </w:instrText>
      </w:r>
      <w:r>
        <w:rPr>
          <w:rFonts w:ascii="Arial" w:hAnsi="Arial" w:cs="Arial"/>
          <w:bCs/>
          <w:iCs/>
          <w:lang w:val="en-GB" w:eastAsia="fr-FR"/>
        </w:rPr>
        <w:fldChar w:fldCharType="end"/>
      </w:r>
      <w:r>
        <w:rPr>
          <w:rFonts w:ascii="Arial" w:hAnsi="Arial" w:cs="Arial"/>
          <w:lang w:val="en-GB"/>
        </w:rPr>
        <w:t xml:space="preserve">for various heavy metals for each sample (Sivakumar et al., 2016). </w:t>
      </w:r>
      <w:r>
        <w:rPr>
          <w:rFonts w:ascii="Arial" w:hAnsi="Arial" w:cs="Arial"/>
          <w:lang w:val="en-GB" w:eastAsia="fr-FR"/>
        </w:rPr>
        <w:t>The contamination factor was calculated according to this equation:</w:t>
      </w:r>
    </w:p>
    <w:p w14:paraId="49241344" w14:textId="77777777" w:rsidR="00B66A9C" w:rsidRDefault="00501121">
      <w:pPr>
        <w:spacing w:line="360" w:lineRule="auto"/>
        <w:jc w:val="both"/>
        <w:rPr>
          <w:rFonts w:ascii="Arial" w:hAnsi="Arial" w:cs="Arial"/>
          <w:lang w:val="en-GB" w:eastAsia="fr-FR"/>
        </w:rPr>
      </w:pP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r>
          <m:rPr>
            <m:sty m:val="p"/>
          </m:rPr>
          <w:rPr>
            <w:rFonts w:ascii="Cambria Math" w:hAnsi="Cambria Math" w:cs="Arial"/>
          </w:rPr>
          <m:t>=</m:t>
        </m:r>
        <m:f>
          <m:fPr>
            <m:ctrlPr>
              <w:rPr>
                <w:rFonts w:ascii="Cambria Math" w:hAnsi="Cambria Math" w:cs="Arial"/>
                <w:i/>
              </w:rPr>
            </m:ctrlPr>
          </m:fPr>
          <m:num>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0-1</m:t>
                </m:r>
              </m:sub>
              <m:sup>
                <m:r>
                  <m:rPr>
                    <m:sty m:val="p"/>
                  </m:rPr>
                  <w:rPr>
                    <w:rFonts w:ascii="Cambria Math" w:hAnsi="Cambria Math" w:cs="Arial"/>
                  </w:rPr>
                  <m:t>i</m:t>
                </m:r>
              </m:sup>
            </m:sSubSup>
          </m:num>
          <m:den>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b</m:t>
                </m:r>
              </m:sub>
              <m:sup>
                <m:r>
                  <m:rPr>
                    <m:sty m:val="p"/>
                  </m:rPr>
                  <w:rPr>
                    <w:rFonts w:ascii="Cambria Math" w:hAnsi="Cambria Math" w:cs="Arial"/>
                  </w:rPr>
                  <m:t>i</m:t>
                </m:r>
              </m:sup>
            </m:sSubSup>
          </m:den>
        </m:f>
      </m:oMath>
      <w:r>
        <w:rPr>
          <w:rFonts w:ascii="Arial" w:hAnsi="Arial" w:cs="Arial"/>
          <w:lang w:val="en-GB" w:eastAsia="fr-FR"/>
        </w:rPr>
        <w:instrText xml:space="preserve"> </w:instrText>
      </w:r>
      <w:r>
        <w:rPr>
          <w:rFonts w:ascii="Arial" w:hAnsi="Arial" w:cs="Arial"/>
          <w:lang w:val="en-GB" w:eastAsia="fr-FR"/>
        </w:rPr>
        <w:fldChar w:fldCharType="end"/>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f</m:t>
            </m:r>
          </m:sub>
          <m:sup>
            <m:r>
              <w:rPr>
                <w:rFonts w:ascii="Cambria Math" w:hAnsi="Cambria Math" w:cs="Arial"/>
                <w:lang w:val="en-GB"/>
              </w:rPr>
              <m:t>i</m:t>
            </m:r>
          </m:sup>
        </m:sSubSup>
        <m:r>
          <w:rPr>
            <w:rFonts w:ascii="Cambria Math" w:hAnsi="Cambria Math" w:cs="Arial"/>
            <w:lang w:val="en-GB"/>
          </w:rPr>
          <m:t>=</m:t>
        </m:r>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m</m:t>
                </m:r>
              </m:sub>
              <m:sup>
                <m:r>
                  <w:rPr>
                    <w:rFonts w:ascii="Cambria Math" w:hAnsi="Cambria Math" w:cs="Arial"/>
                    <w:lang w:val="en-GB"/>
                  </w:rPr>
                  <m:t>i</m:t>
                </m:r>
              </m:sup>
            </m:sSubSup>
          </m:num>
          <m:den>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b</m:t>
                </m:r>
              </m:sub>
              <m:sup>
                <m:r>
                  <w:rPr>
                    <w:rFonts w:ascii="Cambria Math" w:hAnsi="Cambria Math" w:cs="Arial"/>
                    <w:lang w:val="en-GB"/>
                  </w:rPr>
                  <m:t>i</m:t>
                </m:r>
              </m:sup>
            </m:sSubSup>
          </m:den>
        </m:f>
      </m:oMath>
      <w:r>
        <w:rPr>
          <w:rFonts w:ascii="Arial" w:hAnsi="Arial" w:cs="Arial"/>
          <w:lang w:val="en-GB"/>
        </w:rPr>
        <w:t xml:space="preserve"> </w:t>
      </w:r>
      <w:r>
        <w:rPr>
          <w:rFonts w:ascii="Arial" w:hAnsi="Arial" w:cs="Arial"/>
          <w:lang w:val="en-GB" w:eastAsia="fr-FR"/>
        </w:rPr>
        <w:t xml:space="preserve">  </w:t>
      </w:r>
    </w:p>
    <w:p w14:paraId="0803F3A5" w14:textId="77777777" w:rsidR="00B66A9C" w:rsidRDefault="00501121">
      <w:pPr>
        <w:spacing w:line="360" w:lineRule="auto"/>
        <w:jc w:val="both"/>
        <w:rPr>
          <w:rFonts w:ascii="Arial" w:hAnsi="Arial" w:cs="Arial"/>
          <w:lang w:val="en-GB" w:eastAsia="fr-FR"/>
        </w:rPr>
      </w:pPr>
      <w:r>
        <w:rPr>
          <w:rFonts w:ascii="Arial" w:hAnsi="Arial" w:cs="Arial"/>
          <w:lang w:val="en-GB" w:eastAsia="fr-FR"/>
        </w:rPr>
        <w:t xml:space="preserve">Where </w:t>
      </w: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separate"/>
      </w:r>
      <w:r>
        <w:rPr>
          <w:rFonts w:ascii="Arial" w:hAnsi="Arial" w:cs="Arial"/>
          <w:lang w:val="en-GB" w:eastAsia="fr-FR"/>
        </w:rPr>
        <w:t>(</w:t>
      </w:r>
      <m:oMath>
        <m:sSubSup>
          <m:sSubSupPr>
            <m:ctrlPr>
              <w:rPr>
                <w:rFonts w:ascii="Cambria Math" w:hAnsi="Cambria Math" w:cs="Arial"/>
                <w:i/>
                <w:iCs/>
                <w:lang w:val="en-GB"/>
              </w:rPr>
            </m:ctrlPr>
          </m:sSubSupPr>
          <m:e>
            <m:r>
              <m:rPr>
                <m:sty m:val="p"/>
              </m:rPr>
              <w:rPr>
                <w:rFonts w:ascii="Cambria Math" w:hAnsi="Cambria Math" w:cs="Arial"/>
                <w:lang w:val="en-GB"/>
              </w:rPr>
              <m:t>C</m:t>
            </m:r>
          </m:e>
          <m:sub>
            <m:r>
              <m:rPr>
                <m:sty m:val="p"/>
              </m:rPr>
              <w:rPr>
                <w:rFonts w:ascii="Cambria Math" w:hAnsi="Cambria Math" w:cs="Arial"/>
                <w:lang w:val="en-GB"/>
              </w:rPr>
              <m:t>f</m:t>
            </m:r>
          </m:sub>
          <m:sup>
            <m:r>
              <m:rPr>
                <m:sty m:val="p"/>
              </m:rPr>
              <w:rPr>
                <w:rFonts w:ascii="Cambria Math" w:hAnsi="Cambria Math" w:cs="Arial"/>
                <w:lang w:val="en-GB"/>
              </w:rPr>
              <m:t>i</m:t>
            </m:r>
          </m:sup>
        </m:sSubSup>
      </m:oMath>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lang w:val="en-GB"/>
              </w:rPr>
            </m:ctrlPr>
          </m:sSubSupPr>
          <m:e>
            <m:r>
              <m:rPr>
                <m:sty m:val="p"/>
              </m:rPr>
              <w:rPr>
                <w:rFonts w:ascii="Cambria Math" w:hAnsi="Cambria Math" w:cs="Arial"/>
                <w:lang w:val="en-GB"/>
              </w:rPr>
              <m:t>C</m:t>
            </m:r>
          </m:e>
          <m:sub>
            <m:r>
              <m:rPr>
                <m:sty m:val="p"/>
              </m:rPr>
              <w:rPr>
                <w:rFonts w:ascii="Cambria Math" w:hAnsi="Cambria Math" w:cs="Arial"/>
                <w:lang w:val="en-GB"/>
              </w:rPr>
              <m:t>f</m:t>
            </m:r>
          </m:sub>
          <m:sup>
            <m:r>
              <m:rPr>
                <m:sty m:val="p"/>
              </m:rPr>
              <w:rPr>
                <w:rFonts w:ascii="Cambria Math" w:hAnsi="Cambria Math" w:cs="Arial"/>
                <w:lang w:val="en-GB"/>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w:t>
      </w:r>
      <w:r>
        <w:rPr>
          <w:rFonts w:ascii="Arial" w:hAnsi="Arial" w:cs="Arial"/>
          <w:lang w:val="en-GB" w:eastAsia="fr-FR"/>
        </w:rPr>
        <w:fldChar w:fldCharType="end"/>
      </w:r>
      <w:r>
        <w:rPr>
          <w:rFonts w:ascii="Arial" w:hAnsi="Arial" w:cs="Arial"/>
          <w:lang w:val="en-GB" w:eastAsia="fr-FR"/>
        </w:rPr>
        <w:t xml:space="preserve"> is the contamination factor of the metal of interest;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m</m:t>
            </m:r>
          </m:sub>
          <m:sup>
            <m:r>
              <w:rPr>
                <w:rFonts w:ascii="Cambria Math" w:hAnsi="Cambria Math" w:cs="Arial"/>
                <w:lang w:val="en-GB"/>
              </w:rPr>
              <m:t>i</m:t>
            </m:r>
          </m:sup>
        </m:sSubSup>
      </m:oMath>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 </w:t>
      </w: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0-1</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is the concentration of the metal </w:t>
      </w:r>
      <w:r>
        <w:rPr>
          <w:rFonts w:ascii="Arial" w:hAnsi="Arial" w:cs="Arial"/>
          <w:i/>
          <w:iCs/>
          <w:lang w:val="en-GB" w:eastAsia="fr-FR"/>
        </w:rPr>
        <w:t>i</w:t>
      </w:r>
      <w:r>
        <w:rPr>
          <w:rFonts w:ascii="Arial" w:hAnsi="Arial" w:cs="Arial"/>
          <w:lang w:val="en-GB" w:eastAsia="fr-FR"/>
        </w:rPr>
        <w:t xml:space="preserve"> in the sample;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b</m:t>
            </m:r>
          </m:sub>
          <m:sup>
            <m:r>
              <w:rPr>
                <w:rFonts w:ascii="Cambria Math" w:hAnsi="Cambria Math" w:cs="Arial"/>
                <w:lang w:val="en-GB"/>
              </w:rPr>
              <m:t>i</m:t>
            </m:r>
          </m:sup>
        </m:sSubSup>
      </m:oMath>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 </w:t>
      </w: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b</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 is the background metal concentration (i.e. metal concentration in the culture soil). </w:t>
      </w:r>
      <w:r>
        <w:rPr>
          <w:rFonts w:ascii="Arial" w:hAnsi="Arial" w:cs="Arial"/>
          <w:lang w:val="en-GB"/>
        </w:rPr>
        <w:t>The degree of contamination (</w:t>
      </w:r>
      <m:oMath>
        <m:sSub>
          <m:sSubPr>
            <m:ctrlPr>
              <w:rPr>
                <w:rFonts w:ascii="Cambria Math" w:hAnsi="Cambria Math" w:cs="Arial"/>
                <w:i/>
              </w:rPr>
            </m:ctrlPr>
          </m:sSubPr>
          <m:e>
            <m:r>
              <w:rPr>
                <w:rFonts w:ascii="Cambria Math" w:hAnsi="Cambria Math" w:cs="Arial"/>
              </w:rPr>
              <m:t>C</m:t>
            </m:r>
          </m:e>
          <m:sub>
            <m:r>
              <w:rPr>
                <w:rFonts w:ascii="Cambria Math" w:hAnsi="Cambria Math" w:cs="Arial"/>
              </w:rPr>
              <m:t>d</m:t>
            </m:r>
          </m:sub>
        </m:sSub>
        <m:r>
          <w:rPr>
            <w:rFonts w:ascii="Cambria Math" w:hAnsi="Cambria Math" w:cs="Arial"/>
          </w:rPr>
          <m:t xml:space="preserve"> </m:t>
        </m:r>
      </m:oMath>
      <w:r>
        <w:rPr>
          <w:rFonts w:ascii="Arial" w:hAnsi="Arial" w:cs="Arial"/>
          <w:lang w:val="en-GB"/>
        </w:rPr>
        <w:t>) was calculated according to this equation:</w:t>
      </w:r>
    </w:p>
    <w:p w14:paraId="1AA6AF8D" w14:textId="77777777" w:rsidR="00B66A9C" w:rsidRDefault="00D76DDA">
      <w:pPr>
        <w:spacing w:line="360" w:lineRule="auto"/>
        <w:jc w:val="both"/>
        <w:rPr>
          <w:rFonts w:ascii="Arial" w:hAnsi="Arial" w:cs="Arial"/>
        </w:rPr>
      </w:pP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d</m:t>
            </m:r>
          </m:sub>
        </m:sSub>
        <m:r>
          <w:rPr>
            <w:rFonts w:ascii="Cambria Math" w:hAnsi="Cambria Math" w:cs="Arial"/>
            <w:lang w:val="en-GB"/>
          </w:rPr>
          <m:t>=</m:t>
        </m:r>
        <m:nary>
          <m:naryPr>
            <m:chr m:val="∑"/>
            <m:limLoc m:val="undOvr"/>
            <m:subHide m:val="1"/>
            <m:supHide m:val="1"/>
            <m:ctrlPr>
              <w:rPr>
                <w:rFonts w:ascii="Cambria Math" w:hAnsi="Cambria Math" w:cs="Arial"/>
                <w:i/>
                <w:iCs/>
                <w:lang w:val="en-GB"/>
              </w:rPr>
            </m:ctrlPr>
          </m:naryPr>
          <m:sub/>
          <m:sup/>
          <m:e>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f</m:t>
                </m:r>
              </m:sub>
              <m:sup>
                <m:r>
                  <w:rPr>
                    <w:rFonts w:ascii="Cambria Math" w:hAnsi="Cambria Math" w:cs="Arial"/>
                    <w:lang w:val="en-GB"/>
                  </w:rPr>
                  <m:t>i</m:t>
                </m:r>
              </m:sup>
            </m:sSubSup>
          </m:e>
        </m:nary>
      </m:oMath>
      <w:r w:rsidR="00501121">
        <w:rPr>
          <w:rFonts w:ascii="Arial" w:hAnsi="Arial" w:cs="Arial"/>
          <w:lang w:val="en-GB"/>
        </w:rPr>
        <w:t xml:space="preserve"> </w:t>
      </w:r>
    </w:p>
    <w:p w14:paraId="07A966F4" w14:textId="472D5BDE" w:rsidR="00B66A9C" w:rsidRDefault="00501121">
      <w:pPr>
        <w:spacing w:line="360" w:lineRule="auto"/>
        <w:jc w:val="both"/>
        <w:rPr>
          <w:rFonts w:ascii="Arial" w:hAnsi="Arial" w:cs="Arial"/>
          <w:lang w:val="en-GB" w:eastAsia="fr-FR"/>
        </w:rPr>
      </w:pPr>
      <w:r>
        <w:rPr>
          <w:rFonts w:ascii="Arial" w:hAnsi="Arial" w:cs="Arial"/>
          <w:lang w:val="en-GB" w:eastAsia="fr-FR"/>
        </w:rPr>
        <w:t xml:space="preserve">The Modified Degree of </w:t>
      </w:r>
      <w:r w:rsidR="00942EEC" w:rsidRPr="00E9105E">
        <w:rPr>
          <w:rFonts w:ascii="Arial" w:hAnsi="Arial" w:cs="Arial"/>
          <w:highlight w:val="yellow"/>
          <w:lang w:val="en-GB" w:eastAsia="fr-FR"/>
        </w:rPr>
        <w:t>Contamination</w:t>
      </w:r>
      <w:r w:rsidR="00942EEC">
        <w:rPr>
          <w:rFonts w:ascii="Arial" w:hAnsi="Arial" w:cs="Arial"/>
          <w:lang w:val="en-GB" w:eastAsia="fr-FR"/>
        </w:rPr>
        <w:t xml:space="preserve"> </w:t>
      </w:r>
      <w:r>
        <w:rPr>
          <w:rFonts w:ascii="Arial" w:hAnsi="Arial" w:cs="Arial"/>
          <w:lang w:val="en-GB" w:eastAsia="fr-FR"/>
        </w:rPr>
        <w:t>(</w:t>
      </w:r>
      <m:oMath>
        <m:sSub>
          <m:sSubPr>
            <m:ctrlPr>
              <w:rPr>
                <w:rFonts w:ascii="Cambria Math" w:hAnsi="Cambria Math" w:cs="Arial"/>
                <w:i/>
                <w:lang w:val="en-GB"/>
              </w:rPr>
            </m:ctrlPr>
          </m:sSubPr>
          <m:e>
            <m:r>
              <w:rPr>
                <w:rFonts w:ascii="Cambria Math" w:hAnsi="Cambria Math" w:cs="Arial"/>
                <w:lang w:val="en-GB"/>
              </w:rPr>
              <m:t>mC</m:t>
            </m:r>
          </m:e>
          <m:sub>
            <m:r>
              <w:rPr>
                <w:rFonts w:ascii="Cambria Math" w:hAnsi="Cambria Math" w:cs="Arial"/>
                <w:lang w:val="en-GB"/>
              </w:rPr>
              <m:t>d</m:t>
            </m:r>
          </m:sub>
        </m:sSub>
      </m:oMath>
      <w:r>
        <w:rPr>
          <w:rFonts w:ascii="Arial" w:hAnsi="Arial" w:cs="Arial"/>
          <w:lang w:val="en-GB" w:eastAsia="fr-FR"/>
        </w:rPr>
        <w:t>) was calculated according to this equation:</w:t>
      </w:r>
    </w:p>
    <w:p w14:paraId="08DF50FF" w14:textId="77777777" w:rsidR="00B66A9C" w:rsidRDefault="00D76DDA">
      <w:pPr>
        <w:spacing w:line="360" w:lineRule="auto"/>
        <w:jc w:val="both"/>
        <w:rPr>
          <w:rFonts w:ascii="Arial" w:hAnsi="Arial" w:cs="Arial"/>
          <w:lang w:val="en-GB" w:eastAsia="fr-FR"/>
        </w:rPr>
      </w:pPr>
      <m:oMath>
        <m:sSub>
          <m:sSubPr>
            <m:ctrlPr>
              <w:rPr>
                <w:rFonts w:ascii="Cambria Math" w:hAnsi="Cambria Math" w:cs="Arial"/>
                <w:i/>
              </w:rPr>
            </m:ctrlPr>
          </m:sSubPr>
          <m:e>
            <m:r>
              <w:rPr>
                <w:rFonts w:ascii="Cambria Math" w:hAnsi="Cambria Math" w:cs="Arial"/>
              </w:rPr>
              <m:t>mC</m:t>
            </m:r>
            <m:ctrlPr>
              <w:rPr>
                <w:rFonts w:ascii="Cambria Math" w:hAnsi="Cambria Math" w:cs="Arial"/>
              </w:rPr>
            </m:ctrlPr>
          </m:e>
          <m:sub>
            <m:r>
              <w:rPr>
                <w:rFonts w:ascii="Cambria Math" w:hAnsi="Cambria Math" w:cs="Arial"/>
              </w:rPr>
              <m:t>d</m:t>
            </m:r>
            <m:ctrlPr>
              <w:rPr>
                <w:rFonts w:ascii="Cambria Math" w:hAnsi="Cambria Math" w:cs="Arial"/>
              </w:rPr>
            </m:ctrlPr>
          </m:sub>
        </m:sSub>
        <m:r>
          <w:rPr>
            <w:rFonts w:ascii="Cambria Math" w:hAnsi="Cambria Math" w:cs="Arial"/>
          </w:rPr>
          <m:t>=</m:t>
        </m:r>
        <m:f>
          <m:fPr>
            <m:ctrlPr>
              <w:rPr>
                <w:rFonts w:ascii="Cambria Math" w:hAnsi="Cambria Math" w:cs="Arial"/>
                <w:i/>
              </w:rPr>
            </m:ctrlPr>
          </m:fPr>
          <m:num>
            <m:nary>
              <m:naryPr>
                <m:chr m:val="∑"/>
                <m:limLoc m:val="undOvr"/>
                <m:subHide m:val="1"/>
                <m:supHide m:val="1"/>
                <m:ctrlPr>
                  <w:rPr>
                    <w:rFonts w:ascii="Cambria Math" w:hAnsi="Cambria Math" w:cs="Arial"/>
                    <w:i/>
                  </w:rPr>
                </m:ctrlPr>
              </m:naryPr>
              <m:sub>
                <m:ctrlPr>
                  <w:rPr>
                    <w:rFonts w:ascii="Cambria Math" w:hAnsi="Cambria Math" w:cs="Arial"/>
                  </w:rPr>
                </m:ctrlPr>
              </m:sub>
              <m:sup>
                <m:ctrlPr>
                  <w:rPr>
                    <w:rFonts w:ascii="Cambria Math" w:hAnsi="Cambria Math" w:cs="Arial"/>
                  </w:rPr>
                </m:ctrlPr>
              </m:sup>
              <m:e>
                <m:sSubSup>
                  <m:sSubSupPr>
                    <m:ctrlPr>
                      <w:rPr>
                        <w:rFonts w:ascii="Cambria Math" w:hAnsi="Cambria Math" w:cs="Arial"/>
                        <w:i/>
                      </w:rPr>
                    </m:ctrlPr>
                  </m:sSubSupPr>
                  <m:e>
                    <m:r>
                      <w:rPr>
                        <w:rFonts w:ascii="Cambria Math" w:hAnsi="Cambria Math" w:cs="Arial"/>
                      </w:rPr>
                      <m:t>C</m:t>
                    </m:r>
                    <m:ctrlPr>
                      <w:rPr>
                        <w:rFonts w:ascii="Cambria Math" w:hAnsi="Cambria Math" w:cs="Arial"/>
                      </w:rPr>
                    </m:ctrlPr>
                  </m:e>
                  <m:sub>
                    <m:r>
                      <w:rPr>
                        <w:rFonts w:ascii="Cambria Math" w:hAnsi="Cambria Math" w:cs="Arial"/>
                      </w:rPr>
                      <m:t>f</m:t>
                    </m:r>
                    <m:ctrlPr>
                      <w:rPr>
                        <w:rFonts w:ascii="Cambria Math" w:hAnsi="Cambria Math" w:cs="Arial"/>
                      </w:rPr>
                    </m:ctrlPr>
                  </m:sub>
                  <m:sup>
                    <m:r>
                      <w:rPr>
                        <w:rFonts w:ascii="Cambria Math" w:hAnsi="Cambria Math" w:cs="Arial"/>
                      </w:rPr>
                      <m:t>i</m:t>
                    </m:r>
                    <m:ctrlPr>
                      <w:rPr>
                        <w:rFonts w:ascii="Cambria Math" w:hAnsi="Cambria Math" w:cs="Arial"/>
                      </w:rPr>
                    </m:ctrlPr>
                  </m:sup>
                </m:sSubSup>
              </m:e>
            </m:nary>
          </m:num>
          <m:den>
            <m:r>
              <w:rPr>
                <w:rFonts w:ascii="Cambria Math" w:hAnsi="Cambria Math" w:cs="Arial"/>
              </w:rPr>
              <m:t>n</m:t>
            </m:r>
          </m:den>
        </m:f>
      </m:oMath>
      <w:r w:rsidR="00501121">
        <w:rPr>
          <w:rFonts w:ascii="Arial" w:hAnsi="Arial" w:cs="Arial"/>
          <w:lang w:val="en-GB"/>
        </w:rPr>
        <w:t xml:space="preserve"> </w:t>
      </w:r>
    </w:p>
    <w:p w14:paraId="7A32FC82" w14:textId="0808CC50" w:rsidR="00B66A9C" w:rsidRDefault="00501121">
      <w:pPr>
        <w:spacing w:line="360" w:lineRule="auto"/>
        <w:jc w:val="both"/>
        <w:rPr>
          <w:rFonts w:ascii="Arial" w:hAnsi="Arial" w:cs="Arial"/>
          <w:lang w:val="en-GB" w:eastAsia="fr-FR"/>
        </w:rPr>
      </w:pPr>
      <w:r>
        <w:rPr>
          <w:rFonts w:ascii="Arial" w:hAnsi="Arial" w:cs="Arial"/>
          <w:lang w:val="en-GB" w:eastAsia="fr-FR"/>
        </w:rPr>
        <w:t xml:space="preserve">Where n was the number of analysed elements, which in the present study was 5; </w:t>
      </w:r>
      <w:proofErr w:type="spellStart"/>
      <w:r>
        <w:rPr>
          <w:rFonts w:ascii="Arial" w:hAnsi="Arial" w:cs="Arial"/>
          <w:lang w:val="en-GB" w:eastAsia="fr-FR"/>
        </w:rPr>
        <w:t>i</w:t>
      </w:r>
      <w:proofErr w:type="spellEnd"/>
      <w:r>
        <w:rPr>
          <w:rFonts w:ascii="Arial" w:hAnsi="Arial" w:cs="Arial"/>
          <w:lang w:val="en-GB" w:eastAsia="fr-FR"/>
        </w:rPr>
        <w:t xml:space="preserve"> = </w:t>
      </w:r>
      <w:proofErr w:type="spellStart"/>
      <w:r>
        <w:rPr>
          <w:rFonts w:ascii="Arial" w:hAnsi="Arial" w:cs="Arial"/>
          <w:lang w:val="en-GB" w:eastAsia="fr-FR"/>
        </w:rPr>
        <w:t>i</w:t>
      </w:r>
      <w:r>
        <w:rPr>
          <w:rFonts w:ascii="Arial" w:hAnsi="Arial" w:cs="Arial"/>
          <w:vertAlign w:val="superscript"/>
          <w:lang w:val="en-GB" w:eastAsia="fr-FR"/>
        </w:rPr>
        <w:t>th</w:t>
      </w:r>
      <w:proofErr w:type="spellEnd"/>
      <w:r>
        <w:rPr>
          <w:rFonts w:ascii="Arial" w:hAnsi="Arial" w:cs="Arial"/>
          <w:lang w:val="en-GB" w:eastAsia="fr-FR"/>
        </w:rPr>
        <w:t xml:space="preserve"> element</w:t>
      </w:r>
      <w:r w:rsidR="00942EEC">
        <w:rPr>
          <w:rFonts w:ascii="Arial" w:hAnsi="Arial" w:cs="Arial"/>
          <w:lang w:val="en-GB" w:eastAsia="fr-FR"/>
        </w:rPr>
        <w:t>,</w:t>
      </w:r>
      <w:r>
        <w:rPr>
          <w:rFonts w:ascii="Arial" w:hAnsi="Arial" w:cs="Arial"/>
          <w:lang w:val="en-GB" w:eastAsia="fr-FR"/>
        </w:rPr>
        <w:t xml:space="preserve"> and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f</m:t>
            </m:r>
          </m:sub>
          <m:sup>
            <m:r>
              <w:rPr>
                <w:rFonts w:ascii="Cambria Math" w:hAnsi="Cambria Math" w:cs="Arial"/>
                <w:lang w:val="en-GB"/>
              </w:rPr>
              <m:t>i</m:t>
            </m:r>
          </m:sup>
        </m:sSubSup>
      </m:oMath>
      <w:r>
        <w:rPr>
          <w:rFonts w:ascii="Arial" w:hAnsi="Arial" w:cs="Arial"/>
          <w:lang w:val="en-GB" w:eastAsia="fr-FR"/>
        </w:rPr>
        <w:t xml:space="preserve"> was the Contamination Factor (Sivakumar et al., 2016; Shirani et al., 2020).</w:t>
      </w:r>
    </w:p>
    <w:p w14:paraId="110DF812" w14:textId="1584D894" w:rsidR="00B66A9C" w:rsidRDefault="00501121">
      <w:pPr>
        <w:spacing w:line="360" w:lineRule="auto"/>
        <w:jc w:val="both"/>
        <w:rPr>
          <w:rFonts w:ascii="Arial" w:hAnsi="Arial" w:cs="Arial"/>
          <w:lang w:val="en-GB" w:eastAsia="fr-FR"/>
        </w:rPr>
      </w:pPr>
      <w:r>
        <w:rPr>
          <w:rFonts w:ascii="Arial" w:hAnsi="Arial" w:cs="Arial"/>
          <w:lang w:val="en-GB" w:eastAsia="fr-FR"/>
        </w:rPr>
        <w:t>The ecological risk (</w:t>
      </w:r>
      <m:oMath>
        <m:sSubSup>
          <m:sSubSupPr>
            <m:ctrlPr>
              <w:rPr>
                <w:rFonts w:ascii="Cambria Math" w:hAnsi="Cambria Math" w:cs="Arial"/>
                <w:i/>
                <w:iCs/>
                <w:lang w:val="en-GB" w:eastAsia="fr-FR"/>
              </w:rPr>
            </m:ctrlPr>
          </m:sSubSupPr>
          <m:e>
            <m:r>
              <w:rPr>
                <w:rFonts w:ascii="Cambria Math" w:hAnsi="Cambria Math" w:cs="Arial"/>
                <w:lang w:val="en-GB" w:eastAsia="fr-FR"/>
              </w:rPr>
              <m:t>E</m:t>
            </m:r>
          </m:e>
          <m:sub>
            <m:r>
              <w:rPr>
                <w:rFonts w:ascii="Cambria Math" w:hAnsi="Cambria Math" w:cs="Arial"/>
                <w:lang w:val="en-GB" w:eastAsia="fr-FR"/>
              </w:rPr>
              <m:t>r</m:t>
            </m:r>
          </m:sub>
          <m:sup>
            <m:r>
              <w:rPr>
                <w:rFonts w:ascii="Cambria Math" w:hAnsi="Cambria Math" w:cs="Arial"/>
                <w:lang w:val="en-GB" w:eastAsia="fr-FR"/>
              </w:rPr>
              <m:t>i</m:t>
            </m:r>
          </m:sup>
        </m:sSubSup>
      </m:oMath>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E</m:t>
            </m:r>
          </m:e>
          <m:sub>
            <m:r>
              <m:rPr>
                <m:sty m:val="p"/>
              </m:rPr>
              <w:rPr>
                <w:rFonts w:ascii="Cambria Math" w:hAnsi="Cambria Math" w:cs="Arial"/>
              </w:rPr>
              <m:t>r</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 posed by each metal was calculated according to this </w:t>
      </w:r>
      <w:r w:rsidR="00942EEC" w:rsidRPr="00E9105E">
        <w:rPr>
          <w:rFonts w:ascii="Arial" w:hAnsi="Arial" w:cs="Arial"/>
          <w:highlight w:val="yellow"/>
          <w:lang w:val="en-GB" w:eastAsia="fr-FR"/>
        </w:rPr>
        <w:t>equation below</w:t>
      </w:r>
      <w:r>
        <w:rPr>
          <w:rFonts w:ascii="Arial" w:hAnsi="Arial" w:cs="Arial"/>
          <w:lang w:val="en-GB" w:eastAsia="fr-FR"/>
        </w:rPr>
        <w:t xml:space="preserve"> (Ahamad et al. 2020):</w:t>
      </w:r>
    </w:p>
    <w:p w14:paraId="5FF2934B" w14:textId="77777777" w:rsidR="00B66A9C" w:rsidRDefault="00D76DDA">
      <w:pPr>
        <w:spacing w:line="360" w:lineRule="auto"/>
        <w:jc w:val="both"/>
        <w:rPr>
          <w:rFonts w:ascii="Arial" w:hAnsi="Arial" w:cs="Arial"/>
          <w:lang w:val="en-GB" w:eastAsia="fr-FR"/>
        </w:rPr>
      </w:pPr>
      <m:oMath>
        <m:sSubSup>
          <m:sSubSupPr>
            <m:ctrlPr>
              <w:rPr>
                <w:rFonts w:ascii="Cambria Math" w:hAnsi="Cambria Math" w:cs="Arial"/>
                <w:i/>
                <w:iCs/>
                <w:lang w:val="en-GB" w:eastAsia="fr-FR"/>
              </w:rPr>
            </m:ctrlPr>
          </m:sSubSupPr>
          <m:e>
            <m:r>
              <w:rPr>
                <w:rFonts w:ascii="Cambria Math" w:hAnsi="Cambria Math" w:cs="Arial"/>
                <w:lang w:val="en-GB" w:eastAsia="fr-FR"/>
              </w:rPr>
              <m:t>E</m:t>
            </m:r>
          </m:e>
          <m:sub>
            <m:r>
              <w:rPr>
                <w:rFonts w:ascii="Cambria Math" w:hAnsi="Cambria Math" w:cs="Arial"/>
                <w:lang w:val="en-GB" w:eastAsia="fr-FR"/>
              </w:rPr>
              <m:t>r</m:t>
            </m:r>
          </m:sub>
          <m:sup>
            <m:r>
              <w:rPr>
                <w:rFonts w:ascii="Cambria Math" w:hAnsi="Cambria Math" w:cs="Arial"/>
                <w:lang w:val="en-GB" w:eastAsia="fr-FR"/>
              </w:rPr>
              <m:t>i</m:t>
            </m:r>
          </m:sup>
        </m:sSubSup>
        <m:r>
          <w:rPr>
            <w:rFonts w:ascii="Cambria Math" w:hAnsi="Cambria Math" w:cs="Arial"/>
            <w:lang w:val="en-GB" w:eastAsia="fr-FR"/>
          </w:rPr>
          <m:t>=</m:t>
        </m:r>
        <m:sSubSup>
          <m:sSubSupPr>
            <m:ctrlPr>
              <w:rPr>
                <w:rFonts w:ascii="Cambria Math" w:hAnsi="Cambria Math" w:cs="Arial"/>
                <w:i/>
                <w:iCs/>
                <w:lang w:val="en-GB" w:eastAsia="fr-FR"/>
              </w:rPr>
            </m:ctrlPr>
          </m:sSubSupPr>
          <m:e>
            <m:r>
              <w:rPr>
                <w:rFonts w:ascii="Cambria Math" w:hAnsi="Cambria Math" w:cs="Arial"/>
                <w:lang w:val="en-GB" w:eastAsia="fr-FR"/>
              </w:rPr>
              <m:t>T</m:t>
            </m:r>
          </m:e>
          <m:sub>
            <m:r>
              <w:rPr>
                <w:rFonts w:ascii="Cambria Math" w:hAnsi="Cambria Math" w:cs="Arial"/>
                <w:lang w:val="en-GB" w:eastAsia="fr-FR"/>
              </w:rPr>
              <m:t>r</m:t>
            </m:r>
          </m:sub>
          <m:sup>
            <m:r>
              <w:rPr>
                <w:rFonts w:ascii="Cambria Math" w:hAnsi="Cambria Math" w:cs="Arial"/>
                <w:lang w:val="en-GB" w:eastAsia="fr-FR"/>
              </w:rPr>
              <m:t>i</m:t>
            </m:r>
          </m:sup>
        </m:sSubSup>
        <m:r>
          <w:rPr>
            <w:rFonts w:ascii="Cambria Math" w:hAnsi="Cambria Math" w:cs="Arial"/>
            <w:lang w:val="en-GB" w:eastAsia="fr-FR"/>
          </w:rPr>
          <m:t>*</m:t>
        </m:r>
        <m:f>
          <m:fPr>
            <m:ctrlPr>
              <w:rPr>
                <w:rFonts w:ascii="Cambria Math" w:hAnsi="Cambria Math" w:cs="Arial"/>
                <w:i/>
                <w:iCs/>
                <w:lang w:val="en-GB" w:eastAsia="fr-FR"/>
              </w:rPr>
            </m:ctrlPr>
          </m:fPr>
          <m:num>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m</m:t>
                </m:r>
              </m:sub>
              <m:sup>
                <m:r>
                  <w:rPr>
                    <w:rFonts w:ascii="Cambria Math" w:hAnsi="Cambria Math" w:cs="Arial"/>
                    <w:lang w:val="en-GB"/>
                  </w:rPr>
                  <m:t>i</m:t>
                </m:r>
              </m:sup>
            </m:sSubSup>
          </m:num>
          <m:den>
            <m:sSub>
              <m:sSubPr>
                <m:ctrlPr>
                  <w:rPr>
                    <w:rFonts w:ascii="Cambria Math" w:hAnsi="Cambria Math" w:cs="Arial"/>
                    <w:i/>
                    <w:iCs/>
                    <w:lang w:val="en-GB" w:eastAsia="fr-FR"/>
                  </w:rPr>
                </m:ctrlPr>
              </m:sSubPr>
              <m:e>
                <m:r>
                  <w:rPr>
                    <w:rFonts w:ascii="Cambria Math" w:hAnsi="Cambria Math" w:cs="Arial"/>
                    <w:lang w:val="en-GB" w:eastAsia="fr-FR"/>
                  </w:rPr>
                  <m:t>C</m:t>
                </m:r>
              </m:e>
              <m:sub>
                <m:r>
                  <w:rPr>
                    <w:rFonts w:ascii="Cambria Math" w:hAnsi="Cambria Math" w:cs="Arial"/>
                    <w:lang w:val="en-GB" w:eastAsia="fr-FR"/>
                  </w:rPr>
                  <m:t>b</m:t>
                </m:r>
              </m:sub>
            </m:sSub>
          </m:den>
        </m:f>
      </m:oMath>
      <w:r w:rsidR="00501121">
        <w:rPr>
          <w:rFonts w:ascii="Arial" w:hAnsi="Arial" w:cs="Arial"/>
          <w:lang w:val="en-GB" w:eastAsia="fr-FR"/>
        </w:rPr>
        <w:t xml:space="preserve"> </w:t>
      </w:r>
    </w:p>
    <w:p w14:paraId="78098C65" w14:textId="247566A8" w:rsidR="00B66A9C" w:rsidRDefault="00501121">
      <w:pPr>
        <w:spacing w:line="360" w:lineRule="auto"/>
        <w:jc w:val="both"/>
        <w:rPr>
          <w:rFonts w:ascii="Arial" w:hAnsi="Arial" w:cs="Arial"/>
          <w:lang w:val="en-GB" w:eastAsia="fr-FR"/>
        </w:rPr>
      </w:pPr>
      <w:r>
        <w:rPr>
          <w:rFonts w:ascii="Arial" w:hAnsi="Arial" w:cs="Arial"/>
          <w:lang w:val="en-GB" w:eastAsia="fr-FR"/>
        </w:rPr>
        <w:t xml:space="preserve">Where: </w:t>
      </w:r>
      <w:r>
        <w:rPr>
          <w:rFonts w:ascii="Arial" w:hAnsi="Arial" w:cs="Arial"/>
          <w:i/>
          <w:iCs/>
          <w:lang w:val="en-GB" w:eastAsia="fr-FR"/>
        </w:rPr>
        <w:fldChar w:fldCharType="begin"/>
      </w:r>
      <w:r>
        <w:rPr>
          <w:rFonts w:ascii="Arial" w:hAnsi="Arial" w:cs="Arial"/>
          <w:i/>
          <w:iCs/>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T</m:t>
            </m:r>
          </m:e>
          <m:sub>
            <m:r>
              <m:rPr>
                <m:sty m:val="p"/>
              </m:rPr>
              <w:rPr>
                <w:rFonts w:ascii="Cambria Math" w:hAnsi="Cambria Math" w:cs="Arial"/>
              </w:rPr>
              <m:t>r</m:t>
            </m:r>
          </m:sub>
          <m:sup>
            <m:r>
              <m:rPr>
                <m:sty m:val="p"/>
              </m:rPr>
              <w:rPr>
                <w:rFonts w:ascii="Cambria Math" w:hAnsi="Cambria Math" w:cs="Arial"/>
              </w:rPr>
              <m:t>i</m:t>
            </m:r>
          </m:sup>
        </m:sSubSup>
      </m:oMath>
      <w:r>
        <w:rPr>
          <w:rFonts w:ascii="Arial" w:hAnsi="Arial" w:cs="Arial"/>
          <w:i/>
          <w:iCs/>
          <w:lang w:val="en-GB" w:eastAsia="fr-FR"/>
        </w:rPr>
        <w:instrText xml:space="preserve"> </w:instrText>
      </w:r>
      <w:r>
        <w:rPr>
          <w:rFonts w:ascii="Arial" w:hAnsi="Arial" w:cs="Arial"/>
          <w:i/>
          <w:iCs/>
          <w:lang w:val="en-GB" w:eastAsia="fr-FR"/>
        </w:rPr>
        <w:fldChar w:fldCharType="separate"/>
      </w:r>
      <m:oMath>
        <m:sSubSup>
          <m:sSubSupPr>
            <m:ctrlPr>
              <w:rPr>
                <w:rFonts w:ascii="Cambria Math" w:hAnsi="Cambria Math" w:cs="Arial"/>
                <w:i/>
                <w:iCs/>
                <w:lang w:val="en-GB" w:eastAsia="fr-FR"/>
              </w:rPr>
            </m:ctrlPr>
          </m:sSubSupPr>
          <m:e>
            <m:r>
              <m:rPr>
                <m:sty m:val="p"/>
              </m:rPr>
              <w:rPr>
                <w:rFonts w:ascii="Cambria Math" w:hAnsi="Cambria Math" w:cs="Arial"/>
                <w:lang w:val="en-GB" w:eastAsia="fr-FR"/>
              </w:rPr>
              <m:t>T</m:t>
            </m:r>
          </m:e>
          <m:sub>
            <m:r>
              <m:rPr>
                <m:sty m:val="p"/>
              </m:rPr>
              <w:rPr>
                <w:rFonts w:ascii="Cambria Math" w:hAnsi="Cambria Math" w:cs="Arial"/>
                <w:lang w:val="en-GB" w:eastAsia="fr-FR"/>
              </w:rPr>
              <m:t>r</m:t>
            </m:r>
          </m:sub>
          <m:sup>
            <m:r>
              <m:rPr>
                <m:sty m:val="p"/>
              </m:rPr>
              <w:rPr>
                <w:rFonts w:ascii="Cambria Math" w:hAnsi="Cambria Math" w:cs="Arial"/>
                <w:lang w:val="en-GB" w:eastAsia="fr-FR"/>
              </w:rPr>
              <m:t>i</m:t>
            </m:r>
          </m:sup>
        </m:sSubSup>
      </m:oMath>
      <w:r>
        <w:rPr>
          <w:rFonts w:ascii="Arial" w:hAnsi="Arial" w:cs="Arial"/>
          <w:i/>
          <w:iCs/>
          <w:lang w:val="en-GB" w:eastAsia="fr-FR"/>
        </w:rPr>
        <w:fldChar w:fldCharType="end"/>
      </w:r>
      <w:r>
        <w:rPr>
          <w:rFonts w:ascii="Arial" w:hAnsi="Arial" w:cs="Arial"/>
          <w:lang w:val="en-GB" w:eastAsia="fr-FR"/>
        </w:rPr>
        <w:t xml:space="preserve"> was the Toxic Response Factor of the metal i which accounts for the toxicity and the sensitivity;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m</m:t>
            </m:r>
          </m:sub>
          <m:sup>
            <m:r>
              <w:rPr>
                <w:rFonts w:ascii="Cambria Math" w:hAnsi="Cambria Math" w:cs="Arial"/>
                <w:lang w:val="en-GB"/>
              </w:rPr>
              <m:t>i</m:t>
            </m:r>
          </m:sup>
        </m:sSubSup>
      </m:oMath>
      <w:r>
        <w:rPr>
          <w:rFonts w:ascii="Arial" w:hAnsi="Arial" w:cs="Arial"/>
          <w:lang w:val="en-GB" w:eastAsia="fr-FR"/>
        </w:rPr>
        <w:t xml:space="preserve"> was the concentration of the metal </w:t>
      </w:r>
      <w:r w:rsidR="00942EEC">
        <w:rPr>
          <w:rFonts w:ascii="Arial" w:hAnsi="Arial" w:cs="Arial"/>
          <w:lang w:val="en-GB" w:eastAsia="fr-FR"/>
        </w:rPr>
        <w:t xml:space="preserve">I </w:t>
      </w:r>
      <w:r>
        <w:rPr>
          <w:rFonts w:ascii="Arial" w:hAnsi="Arial" w:cs="Arial"/>
          <w:lang w:val="en-GB" w:eastAsia="fr-FR"/>
        </w:rPr>
        <w:t xml:space="preserve">in a sample and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b</m:t>
            </m:r>
          </m:sub>
          <m:sup>
            <m:r>
              <w:rPr>
                <w:rFonts w:ascii="Cambria Math" w:hAnsi="Cambria Math" w:cs="Arial"/>
                <w:lang w:val="en-GB"/>
              </w:rPr>
              <m:t>i</m:t>
            </m:r>
          </m:sup>
        </m:sSubSup>
      </m:oMath>
      <w:r>
        <w:rPr>
          <w:rFonts w:ascii="Arial" w:hAnsi="Arial" w:cs="Arial"/>
          <w:lang w:val="en-GB" w:eastAsia="fr-FR"/>
        </w:rPr>
        <w:t xml:space="preserve"> was the </w:t>
      </w:r>
      <w:proofErr w:type="spellStart"/>
      <w:r>
        <w:rPr>
          <w:rFonts w:ascii="Arial" w:hAnsi="Arial" w:cs="Arial"/>
          <w:lang w:val="en-GB" w:eastAsia="fr-FR"/>
        </w:rPr>
        <w:t>i</w:t>
      </w:r>
      <w:r>
        <w:rPr>
          <w:rFonts w:ascii="Arial" w:hAnsi="Arial" w:cs="Arial"/>
          <w:vertAlign w:val="superscript"/>
          <w:lang w:val="en-GB" w:eastAsia="fr-FR"/>
        </w:rPr>
        <w:t>th</w:t>
      </w:r>
      <w:proofErr w:type="spellEnd"/>
      <w:r>
        <w:rPr>
          <w:rFonts w:ascii="Arial" w:hAnsi="Arial" w:cs="Arial"/>
          <w:lang w:val="en-GB" w:eastAsia="fr-FR"/>
        </w:rPr>
        <w:t xml:space="preserve"> metal concentration in the culture soil. </w:t>
      </w: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T</m:t>
            </m:r>
          </m:e>
          <m:sub>
            <m:r>
              <m:rPr>
                <m:sty m:val="p"/>
              </m:rPr>
              <w:rPr>
                <w:rFonts w:ascii="Cambria Math" w:hAnsi="Cambria Math" w:cs="Arial"/>
              </w:rPr>
              <m:t>r</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separate"/>
      </w:r>
      <w:r>
        <w:rPr>
          <w:rFonts w:ascii="Arial" w:hAnsi="Arial" w:cs="Arial"/>
          <w:lang w:val="en-GB" w:eastAsia="fr-FR"/>
        </w:rPr>
        <w:t xml:space="preserve"> </w:t>
      </w:r>
      <w:r>
        <w:rPr>
          <w:rFonts w:ascii="Arial" w:hAnsi="Arial" w:cs="Arial"/>
          <w:i/>
          <w:iCs/>
          <w:lang w:val="en-GB" w:eastAsia="fr-FR"/>
        </w:rPr>
        <w:fldChar w:fldCharType="begin"/>
      </w:r>
      <w:r>
        <w:rPr>
          <w:rFonts w:ascii="Arial" w:hAnsi="Arial" w:cs="Arial"/>
          <w:i/>
          <w:iCs/>
          <w:lang w:val="en-GB" w:eastAsia="fr-FR"/>
        </w:rPr>
        <w:instrText xml:space="preserve"> QUOTE </w:instrText>
      </w:r>
      <m:oMath>
        <m:sSubSup>
          <m:sSubSupPr>
            <m:ctrlPr>
              <w:rPr>
                <w:rFonts w:ascii="Cambria Math" w:hAnsi="Cambria Math" w:cs="Arial"/>
                <w:i/>
                <w:iCs/>
                <w:lang w:val="en-GB" w:eastAsia="fr-FR"/>
              </w:rPr>
            </m:ctrlPr>
          </m:sSubSupPr>
          <m:e>
            <m:r>
              <m:rPr>
                <m:sty m:val="p"/>
              </m:rPr>
              <w:rPr>
                <w:rFonts w:ascii="Cambria Math" w:hAnsi="Cambria Math" w:cs="Arial"/>
                <w:lang w:val="en-GB" w:eastAsia="fr-FR"/>
              </w:rPr>
              <m:t>T</m:t>
            </m:r>
          </m:e>
          <m:sub>
            <m:r>
              <m:rPr>
                <m:sty m:val="p"/>
              </m:rPr>
              <w:rPr>
                <w:rFonts w:ascii="Cambria Math" w:hAnsi="Cambria Math" w:cs="Arial"/>
                <w:lang w:val="en-GB" w:eastAsia="fr-FR"/>
              </w:rPr>
              <m:t>r</m:t>
            </m:r>
          </m:sub>
          <m:sup>
            <m:r>
              <m:rPr>
                <m:sty m:val="p"/>
              </m:rPr>
              <w:rPr>
                <w:rFonts w:ascii="Cambria Math" w:hAnsi="Cambria Math" w:cs="Arial"/>
                <w:lang w:val="en-GB" w:eastAsia="fr-FR"/>
              </w:rPr>
              <m:t>i</m:t>
            </m:r>
          </m:sup>
        </m:sSubSup>
      </m:oMath>
      <w:r>
        <w:rPr>
          <w:rFonts w:ascii="Arial" w:hAnsi="Arial" w:cs="Arial"/>
          <w:i/>
          <w:iCs/>
          <w:lang w:val="en-GB" w:eastAsia="fr-FR"/>
        </w:rPr>
        <w:instrText xml:space="preserve"> </w:instrText>
      </w:r>
      <w:r>
        <w:rPr>
          <w:rFonts w:ascii="Arial" w:hAnsi="Arial" w:cs="Arial"/>
          <w:i/>
          <w:iCs/>
          <w:lang w:val="en-GB" w:eastAsia="fr-FR"/>
        </w:rPr>
        <w:fldChar w:fldCharType="separate"/>
      </w:r>
      <m:oMath>
        <m:sSubSup>
          <m:sSubSupPr>
            <m:ctrlPr>
              <w:rPr>
                <w:rFonts w:ascii="Cambria Math" w:hAnsi="Cambria Math" w:cs="Arial"/>
                <w:i/>
                <w:iCs/>
                <w:lang w:val="en-GB" w:eastAsia="fr-FR"/>
              </w:rPr>
            </m:ctrlPr>
          </m:sSubSupPr>
          <m:e>
            <m:r>
              <m:rPr>
                <m:sty m:val="p"/>
              </m:rPr>
              <w:rPr>
                <w:rFonts w:ascii="Cambria Math" w:hAnsi="Cambria Math" w:cs="Arial"/>
                <w:lang w:val="en-GB" w:eastAsia="fr-FR"/>
              </w:rPr>
              <m:t>T</m:t>
            </m:r>
          </m:e>
          <m:sub>
            <m:r>
              <m:rPr>
                <m:sty m:val="p"/>
              </m:rPr>
              <w:rPr>
                <w:rFonts w:ascii="Cambria Math" w:hAnsi="Cambria Math" w:cs="Arial"/>
                <w:lang w:val="en-GB" w:eastAsia="fr-FR"/>
              </w:rPr>
              <m:t>r</m:t>
            </m:r>
          </m:sub>
          <m:sup>
            <m:r>
              <m:rPr>
                <m:sty m:val="p"/>
              </m:rPr>
              <w:rPr>
                <w:rFonts w:ascii="Cambria Math" w:hAnsi="Cambria Math" w:cs="Arial"/>
                <w:lang w:val="en-GB" w:eastAsia="fr-FR"/>
              </w:rPr>
              <m:t>i</m:t>
            </m:r>
          </m:sup>
        </m:sSubSup>
      </m:oMath>
      <w:r>
        <w:rPr>
          <w:rFonts w:ascii="Arial" w:hAnsi="Arial" w:cs="Arial"/>
          <w:i/>
          <w:iCs/>
          <w:lang w:val="en-GB" w:eastAsia="fr-FR"/>
        </w:rPr>
        <w:fldChar w:fldCharType="end"/>
      </w:r>
      <w:r>
        <w:rPr>
          <w:rFonts w:ascii="Arial" w:hAnsi="Arial" w:cs="Arial"/>
          <w:lang w:val="en-GB" w:eastAsia="fr-FR"/>
        </w:rPr>
        <w:fldChar w:fldCharType="end"/>
      </w:r>
      <w:r>
        <w:rPr>
          <w:rFonts w:ascii="Arial" w:hAnsi="Arial" w:cs="Arial"/>
          <w:lang w:val="en-GB" w:eastAsia="fr-FR"/>
        </w:rPr>
        <w:t xml:space="preserve"> Values for the selected metals were obtained from literature as Zn = 1, Cu = 5, Pb = 5, Ni = 5 and Cd = 30 (Rahman et al., 2014; Xu et al., 2016; and Ahamad et al., 2020). The Potential Ecological Risk Index (RI), which is the potential risk posed by all metals in a given sample (Xu et al., 2016)</w:t>
      </w:r>
      <w:r w:rsidR="00942EEC">
        <w:rPr>
          <w:rFonts w:ascii="Arial" w:hAnsi="Arial" w:cs="Arial"/>
          <w:lang w:val="en-GB" w:eastAsia="fr-FR"/>
        </w:rPr>
        <w:t>,</w:t>
      </w:r>
      <w:r>
        <w:rPr>
          <w:rFonts w:ascii="Arial" w:hAnsi="Arial" w:cs="Arial"/>
          <w:lang w:val="en-GB" w:eastAsia="fr-FR"/>
        </w:rPr>
        <w:t xml:space="preserve"> was calculated from this equation:</w:t>
      </w:r>
    </w:p>
    <w:p w14:paraId="215BEAF7" w14:textId="77777777" w:rsidR="00B66A9C" w:rsidRDefault="00501121">
      <w:pPr>
        <w:spacing w:line="360" w:lineRule="auto"/>
        <w:jc w:val="both"/>
        <w:rPr>
          <w:rFonts w:ascii="Arial" w:hAnsi="Arial" w:cs="Arial"/>
          <w:lang w:val="en-GB" w:eastAsia="fr-FR"/>
        </w:rPr>
      </w:pPr>
      <m:oMathPara>
        <m:oMath>
          <m:r>
            <w:rPr>
              <w:rFonts w:ascii="Cambria Math" w:hAnsi="Cambria Math" w:cs="Arial"/>
            </w:rPr>
            <m:t xml:space="preserve">RI= </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Sup>
                <m:sSubSupPr>
                  <m:ctrlPr>
                    <w:rPr>
                      <w:rFonts w:ascii="Cambria Math" w:hAnsi="Cambria Math" w:cs="Arial"/>
                      <w:i/>
                    </w:rPr>
                  </m:ctrlPr>
                </m:sSubSupPr>
                <m:e>
                  <m:r>
                    <w:rPr>
                      <w:rFonts w:ascii="Cambria Math" w:hAnsi="Cambria Math" w:cs="Arial"/>
                    </w:rPr>
                    <m:t>T</m:t>
                  </m:r>
                </m:e>
                <m:sub>
                  <m:r>
                    <w:rPr>
                      <w:rFonts w:ascii="Cambria Math" w:hAnsi="Cambria Math" w:cs="Arial"/>
                    </w:rPr>
                    <m:t>r</m:t>
                  </m:r>
                </m:sub>
                <m:sup>
                  <m:r>
                    <w:rPr>
                      <w:rFonts w:ascii="Cambria Math" w:hAnsi="Cambria Math" w:cs="Arial"/>
                    </w:rPr>
                    <m:t>i</m:t>
                  </m:r>
                </m:sup>
              </m:sSubSup>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o</m:t>
                      </m:r>
                    </m:sub>
                  </m:sSub>
                </m:den>
              </m:f>
            </m:e>
          </m:nary>
          <m:r>
            <w:rPr>
              <w:rFonts w:ascii="Cambria Math" w:hAnsi="Cambria Math" w:cs="Arial"/>
              <w:lang w:val="en-GB" w:eastAsia="fr-FR"/>
            </w:rPr>
            <m:t xml:space="preserve">RI= </m:t>
          </m:r>
          <m:nary>
            <m:naryPr>
              <m:chr m:val="∑"/>
              <m:limLoc m:val="undOvr"/>
              <m:ctrlPr>
                <w:rPr>
                  <w:rFonts w:ascii="Cambria Math" w:hAnsi="Cambria Math" w:cs="Arial"/>
                  <w:i/>
                  <w:iCs/>
                  <w:lang w:val="en-GB" w:eastAsia="fr-FR"/>
                </w:rPr>
              </m:ctrlPr>
            </m:naryPr>
            <m:sub>
              <m:r>
                <w:rPr>
                  <w:rFonts w:ascii="Cambria Math" w:hAnsi="Cambria Math" w:cs="Arial"/>
                  <w:lang w:val="en-GB" w:eastAsia="fr-FR"/>
                </w:rPr>
                <m:t>i=1</m:t>
              </m:r>
            </m:sub>
            <m:sup>
              <m:r>
                <w:rPr>
                  <w:rFonts w:ascii="Cambria Math" w:hAnsi="Cambria Math" w:cs="Arial"/>
                  <w:lang w:val="en-GB" w:eastAsia="fr-FR"/>
                </w:rPr>
                <m:t>n</m:t>
              </m:r>
            </m:sup>
            <m:e>
              <m:sSubSup>
                <m:sSubSupPr>
                  <m:ctrlPr>
                    <w:rPr>
                      <w:rFonts w:ascii="Cambria Math" w:hAnsi="Cambria Math" w:cs="Arial"/>
                      <w:i/>
                      <w:iCs/>
                      <w:lang w:val="en-GB" w:eastAsia="fr-FR"/>
                    </w:rPr>
                  </m:ctrlPr>
                </m:sSubSupPr>
                <m:e>
                  <m:r>
                    <w:rPr>
                      <w:rFonts w:ascii="Cambria Math" w:hAnsi="Cambria Math" w:cs="Arial"/>
                      <w:lang w:val="en-GB" w:eastAsia="fr-FR"/>
                    </w:rPr>
                    <m:t>T</m:t>
                  </m:r>
                </m:e>
                <m:sub>
                  <m:r>
                    <w:rPr>
                      <w:rFonts w:ascii="Cambria Math" w:hAnsi="Cambria Math" w:cs="Arial"/>
                      <w:lang w:val="en-GB" w:eastAsia="fr-FR"/>
                    </w:rPr>
                    <m:t>r</m:t>
                  </m:r>
                </m:sub>
                <m:sup>
                  <m:r>
                    <w:rPr>
                      <w:rFonts w:ascii="Cambria Math" w:hAnsi="Cambria Math" w:cs="Arial"/>
                      <w:lang w:val="en-GB" w:eastAsia="fr-FR"/>
                    </w:rPr>
                    <m:t>i</m:t>
                  </m:r>
                </m:sup>
              </m:sSubSup>
              <m:r>
                <w:rPr>
                  <w:rFonts w:ascii="Cambria Math" w:hAnsi="Cambria Math" w:cs="Arial"/>
                  <w:lang w:val="en-GB" w:eastAsia="fr-FR"/>
                </w:rPr>
                <m:t>*</m:t>
              </m:r>
              <m:f>
                <m:fPr>
                  <m:ctrlPr>
                    <w:rPr>
                      <w:rFonts w:ascii="Cambria Math" w:hAnsi="Cambria Math" w:cs="Arial"/>
                      <w:i/>
                      <w:iCs/>
                      <w:lang w:val="en-GB" w:eastAsia="fr-FR"/>
                    </w:rPr>
                  </m:ctrlPr>
                </m:fPr>
                <m:num>
                  <m:sSub>
                    <m:sSubPr>
                      <m:ctrlPr>
                        <w:rPr>
                          <w:rFonts w:ascii="Cambria Math" w:hAnsi="Cambria Math" w:cs="Arial"/>
                          <w:i/>
                          <w:iCs/>
                          <w:lang w:val="en-GB" w:eastAsia="fr-FR"/>
                        </w:rPr>
                      </m:ctrlPr>
                    </m:sSubPr>
                    <m:e>
                      <m:r>
                        <w:rPr>
                          <w:rFonts w:ascii="Cambria Math" w:hAnsi="Cambria Math" w:cs="Arial"/>
                          <w:lang w:val="en-GB" w:eastAsia="fr-FR"/>
                        </w:rPr>
                        <m:t>C</m:t>
                      </m:r>
                    </m:e>
                    <m:sub>
                      <m:r>
                        <w:rPr>
                          <w:rFonts w:ascii="Cambria Math" w:hAnsi="Cambria Math" w:cs="Arial"/>
                          <w:lang w:val="en-GB" w:eastAsia="fr-FR"/>
                        </w:rPr>
                        <m:t>i</m:t>
                      </m:r>
                    </m:sub>
                  </m:sSub>
                </m:num>
                <m:den>
                  <m:sSub>
                    <m:sSubPr>
                      <m:ctrlPr>
                        <w:rPr>
                          <w:rFonts w:ascii="Cambria Math" w:hAnsi="Cambria Math" w:cs="Arial"/>
                          <w:i/>
                          <w:iCs/>
                          <w:lang w:val="en-GB" w:eastAsia="fr-FR"/>
                        </w:rPr>
                      </m:ctrlPr>
                    </m:sSubPr>
                    <m:e>
                      <m:r>
                        <w:rPr>
                          <w:rFonts w:ascii="Cambria Math" w:hAnsi="Cambria Math" w:cs="Arial"/>
                          <w:lang w:val="en-GB" w:eastAsia="fr-FR"/>
                        </w:rPr>
                        <m:t>C</m:t>
                      </m:r>
                    </m:e>
                    <m:sub>
                      <m:r>
                        <w:rPr>
                          <w:rFonts w:ascii="Cambria Math" w:hAnsi="Cambria Math" w:cs="Arial"/>
                          <w:lang w:val="en-GB" w:eastAsia="fr-FR"/>
                        </w:rPr>
                        <m:t>o</m:t>
                      </m:r>
                    </m:sub>
                  </m:sSub>
                </m:den>
              </m:f>
            </m:e>
          </m:nary>
        </m:oMath>
      </m:oMathPara>
    </w:p>
    <w:p w14:paraId="5E51CB56" w14:textId="31845A2E" w:rsidR="00B66A9C" w:rsidRDefault="00501121">
      <w:pPr>
        <w:spacing w:line="360" w:lineRule="auto"/>
        <w:jc w:val="both"/>
        <w:rPr>
          <w:rFonts w:ascii="Arial" w:hAnsi="Arial" w:cs="Arial"/>
          <w:lang w:val="en-GB" w:eastAsia="fr-FR"/>
        </w:rPr>
      </w:pPr>
      <w:r>
        <w:rPr>
          <w:rFonts w:ascii="Arial" w:hAnsi="Arial" w:cs="Arial"/>
          <w:lang w:val="en-GB" w:eastAsia="fr-FR"/>
        </w:rPr>
        <w:t>Samples were classified following the scales on Table 1 (Rahman et al., 2014; Zhang &amp;</w:t>
      </w:r>
      <w:r>
        <w:rPr>
          <w:rFonts w:ascii="Arial" w:eastAsia="PalatinoLinotype-Roman" w:hAnsi="Arial" w:cs="Arial"/>
        </w:rPr>
        <w:t xml:space="preserve"> </w:t>
      </w:r>
      <w:r>
        <w:rPr>
          <w:rFonts w:ascii="Arial" w:hAnsi="Arial" w:cs="Arial"/>
          <w:lang w:val="en-GB" w:eastAsia="fr-FR"/>
        </w:rPr>
        <w:t>Liu</w:t>
      </w:r>
      <w:r w:rsidR="00942EEC">
        <w:rPr>
          <w:rFonts w:ascii="Arial" w:hAnsi="Arial" w:cs="Arial"/>
          <w:lang w:val="en-GB" w:eastAsia="fr-FR"/>
        </w:rPr>
        <w:t>,</w:t>
      </w:r>
      <w:r>
        <w:rPr>
          <w:rFonts w:ascii="Arial" w:hAnsi="Arial" w:cs="Arial"/>
          <w:lang w:val="en-GB" w:eastAsia="fr-FR"/>
        </w:rPr>
        <w:t xml:space="preserve"> 2014; Xu et al., 2016; Ahamad et al., 2020).</w:t>
      </w:r>
    </w:p>
    <w:p w14:paraId="02F298A2" w14:textId="77777777" w:rsidR="00B66A9C" w:rsidRDefault="00501121">
      <w:pPr>
        <w:spacing w:line="360" w:lineRule="auto"/>
        <w:jc w:val="both"/>
        <w:rPr>
          <w:rFonts w:ascii="Arial" w:hAnsi="Arial" w:cs="Arial"/>
          <w:b/>
          <w:lang w:val="en-GB" w:eastAsia="fr-FR"/>
        </w:rPr>
      </w:pPr>
      <w:r>
        <w:rPr>
          <w:rFonts w:ascii="Arial" w:hAnsi="Arial" w:cs="Arial"/>
          <w:b/>
          <w:lang w:val="en-GB" w:eastAsia="fr-FR"/>
        </w:rPr>
        <w:t>Table 1: Scales for classification of samples according to their levels of contamination, pollution or ecological risk relative to the culture soil.</w:t>
      </w:r>
    </w:p>
    <w:tbl>
      <w:tblPr>
        <w:tblW w:w="8759" w:type="dxa"/>
        <w:tblInd w:w="96" w:type="dxa"/>
        <w:tblLook w:val="04A0" w:firstRow="1" w:lastRow="0" w:firstColumn="1" w:lastColumn="0" w:noHBand="0" w:noVBand="1"/>
      </w:tblPr>
      <w:tblGrid>
        <w:gridCol w:w="1626"/>
        <w:gridCol w:w="2233"/>
        <w:gridCol w:w="1800"/>
        <w:gridCol w:w="1617"/>
        <w:gridCol w:w="1483"/>
      </w:tblGrid>
      <w:tr w:rsidR="00B66A9C" w14:paraId="4FA43F57" w14:textId="77777777">
        <w:trPr>
          <w:trHeight w:val="624"/>
        </w:trPr>
        <w:tc>
          <w:tcPr>
            <w:tcW w:w="1626" w:type="dxa"/>
            <w:tcBorders>
              <w:top w:val="single" w:sz="4" w:space="0" w:color="auto"/>
              <w:bottom w:val="single" w:sz="4" w:space="0" w:color="auto"/>
            </w:tcBorders>
            <w:shd w:val="clear" w:color="auto" w:fill="auto"/>
            <w:vAlign w:val="center"/>
          </w:tcPr>
          <w:p w14:paraId="2FD63207" w14:textId="77777777" w:rsidR="00B66A9C" w:rsidRDefault="00501121">
            <w:pPr>
              <w:spacing w:line="360" w:lineRule="auto"/>
              <w:jc w:val="both"/>
              <w:rPr>
                <w:rFonts w:ascii="Arial" w:hAnsi="Arial" w:cs="Arial"/>
                <w:b/>
                <w:lang w:val="en-GB" w:eastAsia="fr-FR"/>
              </w:rPr>
            </w:pPr>
            <w:r>
              <w:rPr>
                <w:rFonts w:ascii="Arial" w:hAnsi="Arial" w:cs="Arial"/>
                <w:b/>
                <w:lang w:val="en-GB" w:eastAsia="fr-FR"/>
              </w:rPr>
              <w:t>Degree of contamination</w:t>
            </w:r>
          </w:p>
        </w:tc>
        <w:tc>
          <w:tcPr>
            <w:tcW w:w="2233" w:type="dxa"/>
            <w:tcBorders>
              <w:top w:val="single" w:sz="4" w:space="0" w:color="auto"/>
              <w:bottom w:val="single" w:sz="4" w:space="0" w:color="auto"/>
            </w:tcBorders>
            <w:shd w:val="clear" w:color="auto" w:fill="auto"/>
            <w:vAlign w:val="center"/>
          </w:tcPr>
          <w:p w14:paraId="474A12B5" w14:textId="77777777" w:rsidR="00B66A9C" w:rsidRDefault="00501121">
            <w:pPr>
              <w:spacing w:line="360" w:lineRule="auto"/>
              <w:jc w:val="both"/>
              <w:rPr>
                <w:rFonts w:ascii="Arial" w:hAnsi="Arial" w:cs="Arial"/>
                <w:b/>
                <w:lang w:val="en-GB" w:eastAsia="fr-FR"/>
              </w:rPr>
            </w:pPr>
            <w:r>
              <w:rPr>
                <w:rFonts w:ascii="Arial" w:hAnsi="Arial" w:cs="Arial"/>
                <w:b/>
                <w:lang w:val="en-GB" w:eastAsia="fr-FR"/>
              </w:rPr>
              <w:t>Soil contamination level</w:t>
            </w:r>
          </w:p>
        </w:tc>
        <w:tc>
          <w:tcPr>
            <w:tcW w:w="1800" w:type="dxa"/>
            <w:tcBorders>
              <w:top w:val="single" w:sz="4" w:space="0" w:color="auto"/>
              <w:bottom w:val="single" w:sz="4" w:space="0" w:color="auto"/>
            </w:tcBorders>
            <w:shd w:val="clear" w:color="auto" w:fill="auto"/>
            <w:vAlign w:val="bottom"/>
          </w:tcPr>
          <w:p w14:paraId="7FBC8444" w14:textId="77777777" w:rsidR="00B66A9C" w:rsidRDefault="00501121">
            <w:pPr>
              <w:spacing w:line="360" w:lineRule="auto"/>
              <w:jc w:val="both"/>
              <w:rPr>
                <w:rFonts w:ascii="Arial" w:hAnsi="Arial" w:cs="Arial"/>
                <w:b/>
                <w:lang w:val="en-GB" w:eastAsia="fr-FR"/>
              </w:rPr>
            </w:pPr>
            <w:r>
              <w:rPr>
                <w:rFonts w:ascii="Arial" w:hAnsi="Arial" w:cs="Arial"/>
                <w:b/>
                <w:lang w:val="en-GB" w:eastAsia="fr-FR"/>
              </w:rPr>
              <w:t>Ecological Risk</w:t>
            </w:r>
          </w:p>
        </w:tc>
        <w:tc>
          <w:tcPr>
            <w:tcW w:w="1617" w:type="dxa"/>
            <w:tcBorders>
              <w:top w:val="single" w:sz="4" w:space="0" w:color="auto"/>
              <w:bottom w:val="single" w:sz="4" w:space="0" w:color="auto"/>
            </w:tcBorders>
            <w:shd w:val="clear" w:color="auto" w:fill="auto"/>
            <w:vAlign w:val="bottom"/>
          </w:tcPr>
          <w:p w14:paraId="7E2B0EB9" w14:textId="77777777" w:rsidR="00B66A9C" w:rsidRDefault="00501121">
            <w:pPr>
              <w:spacing w:line="360" w:lineRule="auto"/>
              <w:jc w:val="both"/>
              <w:rPr>
                <w:rFonts w:ascii="Arial" w:hAnsi="Arial" w:cs="Arial"/>
                <w:b/>
                <w:lang w:val="en-GB" w:eastAsia="fr-FR"/>
              </w:rPr>
            </w:pPr>
            <w:r>
              <w:rPr>
                <w:rFonts w:ascii="Arial" w:hAnsi="Arial" w:cs="Arial"/>
                <w:b/>
                <w:lang w:val="en-GB" w:eastAsia="fr-FR"/>
              </w:rPr>
              <w:t>Risk index</w:t>
            </w:r>
          </w:p>
        </w:tc>
        <w:tc>
          <w:tcPr>
            <w:tcW w:w="1483" w:type="dxa"/>
            <w:tcBorders>
              <w:top w:val="single" w:sz="4" w:space="0" w:color="auto"/>
              <w:bottom w:val="single" w:sz="4" w:space="0" w:color="auto"/>
            </w:tcBorders>
            <w:shd w:val="clear" w:color="auto" w:fill="auto"/>
            <w:vAlign w:val="bottom"/>
          </w:tcPr>
          <w:p w14:paraId="54E0D04F" w14:textId="77777777" w:rsidR="00B66A9C" w:rsidRDefault="00501121">
            <w:pPr>
              <w:spacing w:line="360" w:lineRule="auto"/>
              <w:jc w:val="both"/>
              <w:rPr>
                <w:rFonts w:ascii="Arial" w:hAnsi="Arial" w:cs="Arial"/>
                <w:b/>
                <w:lang w:val="en-GB" w:eastAsia="fr-FR"/>
              </w:rPr>
            </w:pPr>
            <w:r>
              <w:rPr>
                <w:rFonts w:ascii="Arial" w:hAnsi="Arial" w:cs="Arial"/>
                <w:b/>
                <w:lang w:val="en-GB" w:eastAsia="fr-FR"/>
              </w:rPr>
              <w:t>Pollution level</w:t>
            </w:r>
          </w:p>
        </w:tc>
      </w:tr>
      <w:tr w:rsidR="00B66A9C" w14:paraId="38FFC374" w14:textId="77777777">
        <w:trPr>
          <w:trHeight w:val="312"/>
        </w:trPr>
        <w:tc>
          <w:tcPr>
            <w:tcW w:w="1626" w:type="dxa"/>
            <w:tcBorders>
              <w:top w:val="single" w:sz="4" w:space="0" w:color="auto"/>
            </w:tcBorders>
            <w:shd w:val="clear" w:color="auto" w:fill="auto"/>
            <w:noWrap/>
            <w:vAlign w:val="center"/>
          </w:tcPr>
          <w:p w14:paraId="6B1EC1DF" w14:textId="77777777" w:rsidR="00B66A9C" w:rsidRDefault="00501121">
            <w:pPr>
              <w:spacing w:line="360" w:lineRule="auto"/>
              <w:jc w:val="both"/>
              <w:rPr>
                <w:rFonts w:ascii="Arial" w:hAnsi="Arial" w:cs="Arial"/>
                <w:lang w:val="en-GB" w:eastAsia="fr-FR"/>
              </w:rPr>
            </w:pPr>
            <w:proofErr w:type="spellStart"/>
            <w:r>
              <w:rPr>
                <w:rFonts w:ascii="Arial" w:hAnsi="Arial" w:cs="Arial"/>
                <w:lang w:val="en-GB" w:eastAsia="fr-FR"/>
              </w:rPr>
              <w:t>mCd</w:t>
            </w:r>
            <w:proofErr w:type="spellEnd"/>
            <w:r>
              <w:rPr>
                <w:rFonts w:ascii="Arial" w:hAnsi="Arial" w:cs="Arial"/>
                <w:lang w:val="en-GB" w:eastAsia="fr-FR"/>
              </w:rPr>
              <w:t> &lt; 1.5</w:t>
            </w:r>
          </w:p>
        </w:tc>
        <w:tc>
          <w:tcPr>
            <w:tcW w:w="2233" w:type="dxa"/>
            <w:tcBorders>
              <w:top w:val="single" w:sz="4" w:space="0" w:color="auto"/>
            </w:tcBorders>
            <w:shd w:val="clear" w:color="auto" w:fill="auto"/>
            <w:noWrap/>
            <w:vAlign w:val="center"/>
          </w:tcPr>
          <w:p w14:paraId="16007CFA" w14:textId="77777777" w:rsidR="00B66A9C" w:rsidRDefault="00501121">
            <w:pPr>
              <w:spacing w:line="360" w:lineRule="auto"/>
              <w:jc w:val="both"/>
              <w:rPr>
                <w:rFonts w:ascii="Arial" w:hAnsi="Arial" w:cs="Arial"/>
                <w:lang w:val="en-GB" w:eastAsia="fr-FR"/>
              </w:rPr>
            </w:pPr>
            <w:r>
              <w:rPr>
                <w:rFonts w:ascii="Arial" w:hAnsi="Arial" w:cs="Arial"/>
                <w:lang w:val="en-GB" w:eastAsia="fr-FR"/>
              </w:rPr>
              <w:t>very low</w:t>
            </w:r>
          </w:p>
        </w:tc>
        <w:tc>
          <w:tcPr>
            <w:tcW w:w="1800" w:type="dxa"/>
            <w:tcBorders>
              <w:top w:val="single" w:sz="4" w:space="0" w:color="auto"/>
            </w:tcBorders>
            <w:shd w:val="clear" w:color="auto" w:fill="auto"/>
            <w:noWrap/>
            <w:vAlign w:val="bottom"/>
          </w:tcPr>
          <w:p w14:paraId="2BC74B21" w14:textId="77777777" w:rsidR="00B66A9C" w:rsidRDefault="00501121">
            <w:pPr>
              <w:spacing w:line="360" w:lineRule="auto"/>
              <w:jc w:val="both"/>
              <w:rPr>
                <w:rFonts w:ascii="Arial" w:hAnsi="Arial" w:cs="Arial"/>
                <w:lang w:val="en-GB" w:eastAsia="fr-FR"/>
              </w:rPr>
            </w:pPr>
            <w:r>
              <w:rPr>
                <w:rFonts w:ascii="Arial" w:hAnsi="Arial" w:cs="Arial"/>
                <w:lang w:val="en-GB" w:eastAsia="fr-FR"/>
              </w:rPr>
              <w:t>ER &lt; 40</w:t>
            </w:r>
          </w:p>
        </w:tc>
        <w:tc>
          <w:tcPr>
            <w:tcW w:w="1617" w:type="dxa"/>
            <w:tcBorders>
              <w:top w:val="single" w:sz="4" w:space="0" w:color="auto"/>
            </w:tcBorders>
            <w:shd w:val="clear" w:color="auto" w:fill="auto"/>
            <w:noWrap/>
            <w:vAlign w:val="bottom"/>
          </w:tcPr>
          <w:p w14:paraId="1799EF55" w14:textId="77777777" w:rsidR="00B66A9C" w:rsidRDefault="00501121">
            <w:pPr>
              <w:spacing w:line="360" w:lineRule="auto"/>
              <w:jc w:val="both"/>
              <w:rPr>
                <w:rFonts w:ascii="Arial" w:hAnsi="Arial" w:cs="Arial"/>
                <w:lang w:val="en-GB" w:eastAsia="fr-FR"/>
              </w:rPr>
            </w:pPr>
            <w:r>
              <w:rPr>
                <w:rFonts w:ascii="Arial" w:hAnsi="Arial" w:cs="Arial"/>
                <w:lang w:val="en-GB" w:eastAsia="fr-FR"/>
              </w:rPr>
              <w:t>RI &lt; 94</w:t>
            </w:r>
          </w:p>
        </w:tc>
        <w:tc>
          <w:tcPr>
            <w:tcW w:w="1483" w:type="dxa"/>
            <w:tcBorders>
              <w:top w:val="single" w:sz="4" w:space="0" w:color="auto"/>
            </w:tcBorders>
            <w:shd w:val="clear" w:color="auto" w:fill="auto"/>
            <w:noWrap/>
            <w:vAlign w:val="bottom"/>
          </w:tcPr>
          <w:p w14:paraId="077F4827" w14:textId="77777777" w:rsidR="00B66A9C" w:rsidRDefault="00501121">
            <w:pPr>
              <w:spacing w:line="360" w:lineRule="auto"/>
              <w:jc w:val="both"/>
              <w:rPr>
                <w:rFonts w:ascii="Arial" w:hAnsi="Arial" w:cs="Arial"/>
                <w:lang w:val="en-GB" w:eastAsia="fr-FR"/>
              </w:rPr>
            </w:pPr>
            <w:r>
              <w:rPr>
                <w:rFonts w:ascii="Arial" w:hAnsi="Arial" w:cs="Arial"/>
                <w:lang w:val="en-GB" w:eastAsia="fr-FR"/>
              </w:rPr>
              <w:t>Low</w:t>
            </w:r>
          </w:p>
        </w:tc>
      </w:tr>
      <w:tr w:rsidR="00B66A9C" w14:paraId="419503F3" w14:textId="77777777">
        <w:trPr>
          <w:trHeight w:val="312"/>
        </w:trPr>
        <w:tc>
          <w:tcPr>
            <w:tcW w:w="1626" w:type="dxa"/>
            <w:shd w:val="clear" w:color="auto" w:fill="auto"/>
            <w:noWrap/>
            <w:vAlign w:val="center"/>
          </w:tcPr>
          <w:p w14:paraId="46FA1753" w14:textId="77777777" w:rsidR="00B66A9C" w:rsidRDefault="00501121">
            <w:pPr>
              <w:spacing w:line="360" w:lineRule="auto"/>
              <w:jc w:val="both"/>
              <w:rPr>
                <w:rFonts w:ascii="Arial" w:hAnsi="Arial" w:cs="Arial"/>
                <w:lang w:val="en-GB" w:eastAsia="fr-FR"/>
              </w:rPr>
            </w:pPr>
            <w:r>
              <w:rPr>
                <w:rFonts w:ascii="Arial" w:hAnsi="Arial" w:cs="Arial"/>
                <w:lang w:val="en-GB" w:eastAsia="fr-FR"/>
              </w:rPr>
              <w:t>1.5 &lt; </w:t>
            </w:r>
            <w:proofErr w:type="spellStart"/>
            <w:r>
              <w:rPr>
                <w:rFonts w:ascii="Arial" w:hAnsi="Arial" w:cs="Arial"/>
                <w:lang w:val="en-GB" w:eastAsia="fr-FR"/>
              </w:rPr>
              <w:t>mCd</w:t>
            </w:r>
            <w:proofErr w:type="spellEnd"/>
            <w:r>
              <w:rPr>
                <w:rFonts w:ascii="Arial" w:hAnsi="Arial" w:cs="Arial"/>
                <w:lang w:val="en-GB" w:eastAsia="fr-FR"/>
              </w:rPr>
              <w:t xml:space="preserve"> &lt; 2</w:t>
            </w:r>
          </w:p>
        </w:tc>
        <w:tc>
          <w:tcPr>
            <w:tcW w:w="2233" w:type="dxa"/>
            <w:shd w:val="clear" w:color="auto" w:fill="auto"/>
            <w:noWrap/>
            <w:vAlign w:val="center"/>
          </w:tcPr>
          <w:p w14:paraId="035DB15C" w14:textId="77777777" w:rsidR="00B66A9C" w:rsidRDefault="00501121">
            <w:pPr>
              <w:spacing w:line="360" w:lineRule="auto"/>
              <w:jc w:val="both"/>
              <w:rPr>
                <w:rFonts w:ascii="Arial" w:hAnsi="Arial" w:cs="Arial"/>
                <w:lang w:val="en-GB" w:eastAsia="fr-FR"/>
              </w:rPr>
            </w:pPr>
            <w:r>
              <w:rPr>
                <w:rFonts w:ascii="Arial" w:hAnsi="Arial" w:cs="Arial"/>
                <w:lang w:val="en-GB" w:eastAsia="fr-FR"/>
              </w:rPr>
              <w:t>Low</w:t>
            </w:r>
          </w:p>
        </w:tc>
        <w:tc>
          <w:tcPr>
            <w:tcW w:w="1800" w:type="dxa"/>
            <w:shd w:val="clear" w:color="auto" w:fill="auto"/>
            <w:noWrap/>
            <w:vAlign w:val="bottom"/>
          </w:tcPr>
          <w:p w14:paraId="3C69C09B" w14:textId="77777777" w:rsidR="00B66A9C" w:rsidRDefault="00501121">
            <w:pPr>
              <w:spacing w:line="360" w:lineRule="auto"/>
              <w:jc w:val="both"/>
              <w:rPr>
                <w:rFonts w:ascii="Arial" w:hAnsi="Arial" w:cs="Arial"/>
                <w:lang w:val="en-GB" w:eastAsia="fr-FR"/>
              </w:rPr>
            </w:pPr>
            <w:r>
              <w:rPr>
                <w:rFonts w:ascii="Arial" w:hAnsi="Arial" w:cs="Arial"/>
                <w:lang w:val="en-GB" w:eastAsia="fr-FR"/>
              </w:rPr>
              <w:t>40&lt; ER&lt; 80</w:t>
            </w:r>
          </w:p>
        </w:tc>
        <w:tc>
          <w:tcPr>
            <w:tcW w:w="1617" w:type="dxa"/>
            <w:shd w:val="clear" w:color="auto" w:fill="auto"/>
            <w:noWrap/>
            <w:vAlign w:val="bottom"/>
          </w:tcPr>
          <w:p w14:paraId="400EDE43" w14:textId="77777777" w:rsidR="00B66A9C" w:rsidRDefault="00501121">
            <w:pPr>
              <w:spacing w:line="360" w:lineRule="auto"/>
              <w:jc w:val="both"/>
              <w:rPr>
                <w:rFonts w:ascii="Arial" w:hAnsi="Arial" w:cs="Arial"/>
                <w:lang w:val="en-GB" w:eastAsia="fr-FR"/>
              </w:rPr>
            </w:pPr>
            <w:r>
              <w:rPr>
                <w:rFonts w:ascii="Arial" w:hAnsi="Arial" w:cs="Arial"/>
                <w:lang w:val="en-GB" w:eastAsia="fr-FR"/>
              </w:rPr>
              <w:t>94&lt; RI&lt; 188</w:t>
            </w:r>
          </w:p>
        </w:tc>
        <w:tc>
          <w:tcPr>
            <w:tcW w:w="1483" w:type="dxa"/>
            <w:shd w:val="clear" w:color="auto" w:fill="auto"/>
            <w:noWrap/>
            <w:vAlign w:val="bottom"/>
          </w:tcPr>
          <w:p w14:paraId="15719605" w14:textId="77777777" w:rsidR="00B66A9C" w:rsidRDefault="00501121">
            <w:pPr>
              <w:spacing w:line="360" w:lineRule="auto"/>
              <w:jc w:val="both"/>
              <w:rPr>
                <w:rFonts w:ascii="Arial" w:hAnsi="Arial" w:cs="Arial"/>
                <w:lang w:val="en-GB" w:eastAsia="fr-FR"/>
              </w:rPr>
            </w:pPr>
            <w:r>
              <w:rPr>
                <w:rFonts w:ascii="Arial" w:hAnsi="Arial" w:cs="Arial"/>
                <w:lang w:val="en-GB" w:eastAsia="fr-FR"/>
              </w:rPr>
              <w:t>Moderate</w:t>
            </w:r>
          </w:p>
        </w:tc>
      </w:tr>
      <w:tr w:rsidR="00B66A9C" w14:paraId="6E916F07" w14:textId="77777777">
        <w:trPr>
          <w:trHeight w:val="312"/>
        </w:trPr>
        <w:tc>
          <w:tcPr>
            <w:tcW w:w="1626" w:type="dxa"/>
            <w:shd w:val="clear" w:color="auto" w:fill="auto"/>
            <w:noWrap/>
            <w:vAlign w:val="center"/>
          </w:tcPr>
          <w:p w14:paraId="0CC55BB8" w14:textId="77777777" w:rsidR="00B66A9C" w:rsidRDefault="00501121">
            <w:pPr>
              <w:spacing w:line="360" w:lineRule="auto"/>
              <w:jc w:val="both"/>
              <w:rPr>
                <w:rFonts w:ascii="Arial" w:hAnsi="Arial" w:cs="Arial"/>
                <w:lang w:val="en-GB" w:eastAsia="fr-FR"/>
              </w:rPr>
            </w:pPr>
            <w:r>
              <w:rPr>
                <w:rFonts w:ascii="Arial" w:hAnsi="Arial" w:cs="Arial"/>
                <w:lang w:val="en-GB" w:eastAsia="fr-FR"/>
              </w:rPr>
              <w:t>2 &lt; </w:t>
            </w:r>
            <w:proofErr w:type="spellStart"/>
            <w:r>
              <w:rPr>
                <w:rFonts w:ascii="Arial" w:hAnsi="Arial" w:cs="Arial"/>
                <w:lang w:val="en-GB" w:eastAsia="fr-FR"/>
              </w:rPr>
              <w:t>mCd</w:t>
            </w:r>
            <w:proofErr w:type="spellEnd"/>
            <w:r>
              <w:rPr>
                <w:rFonts w:ascii="Arial" w:hAnsi="Arial" w:cs="Arial"/>
                <w:lang w:val="en-GB" w:eastAsia="fr-FR"/>
              </w:rPr>
              <w:t> &lt; 4</w:t>
            </w:r>
          </w:p>
        </w:tc>
        <w:tc>
          <w:tcPr>
            <w:tcW w:w="2233" w:type="dxa"/>
            <w:shd w:val="clear" w:color="auto" w:fill="auto"/>
            <w:noWrap/>
            <w:vAlign w:val="center"/>
          </w:tcPr>
          <w:p w14:paraId="0A5C5E8A" w14:textId="77777777" w:rsidR="00B66A9C" w:rsidRDefault="00501121">
            <w:pPr>
              <w:spacing w:line="360" w:lineRule="auto"/>
              <w:jc w:val="both"/>
              <w:rPr>
                <w:rFonts w:ascii="Arial" w:hAnsi="Arial" w:cs="Arial"/>
                <w:lang w:val="en-GB" w:eastAsia="fr-FR"/>
              </w:rPr>
            </w:pPr>
            <w:r>
              <w:rPr>
                <w:rFonts w:ascii="Arial" w:hAnsi="Arial" w:cs="Arial"/>
                <w:lang w:val="en-GB" w:eastAsia="fr-FR"/>
              </w:rPr>
              <w:t>Moderate</w:t>
            </w:r>
          </w:p>
        </w:tc>
        <w:tc>
          <w:tcPr>
            <w:tcW w:w="1800" w:type="dxa"/>
            <w:shd w:val="clear" w:color="auto" w:fill="auto"/>
            <w:noWrap/>
            <w:vAlign w:val="bottom"/>
          </w:tcPr>
          <w:p w14:paraId="14A38C8F" w14:textId="77777777" w:rsidR="00B66A9C" w:rsidRDefault="00501121">
            <w:pPr>
              <w:spacing w:line="360" w:lineRule="auto"/>
              <w:jc w:val="both"/>
              <w:rPr>
                <w:rFonts w:ascii="Arial" w:hAnsi="Arial" w:cs="Arial"/>
                <w:lang w:val="en-GB" w:eastAsia="fr-FR"/>
              </w:rPr>
            </w:pPr>
            <w:r>
              <w:rPr>
                <w:rFonts w:ascii="Arial" w:hAnsi="Arial" w:cs="Arial"/>
                <w:lang w:val="en-GB" w:eastAsia="fr-FR"/>
              </w:rPr>
              <w:t>80&lt; ER&lt; 160</w:t>
            </w:r>
          </w:p>
        </w:tc>
        <w:tc>
          <w:tcPr>
            <w:tcW w:w="1617" w:type="dxa"/>
            <w:shd w:val="clear" w:color="auto" w:fill="auto"/>
            <w:noWrap/>
            <w:vAlign w:val="bottom"/>
          </w:tcPr>
          <w:p w14:paraId="6153F4CE" w14:textId="77777777" w:rsidR="00B66A9C" w:rsidRDefault="00501121">
            <w:pPr>
              <w:spacing w:line="360" w:lineRule="auto"/>
              <w:jc w:val="both"/>
              <w:rPr>
                <w:rFonts w:ascii="Arial" w:hAnsi="Arial" w:cs="Arial"/>
                <w:lang w:val="en-GB" w:eastAsia="fr-FR"/>
              </w:rPr>
            </w:pPr>
            <w:r>
              <w:rPr>
                <w:rFonts w:ascii="Arial" w:hAnsi="Arial" w:cs="Arial"/>
                <w:lang w:val="en-GB" w:eastAsia="fr-FR"/>
              </w:rPr>
              <w:t>188&lt; RI&lt; 376</w:t>
            </w:r>
          </w:p>
        </w:tc>
        <w:tc>
          <w:tcPr>
            <w:tcW w:w="1483" w:type="dxa"/>
            <w:shd w:val="clear" w:color="auto" w:fill="auto"/>
            <w:noWrap/>
            <w:vAlign w:val="bottom"/>
          </w:tcPr>
          <w:p w14:paraId="6CE37F24" w14:textId="77777777" w:rsidR="00B66A9C" w:rsidRDefault="00501121">
            <w:pPr>
              <w:spacing w:line="360" w:lineRule="auto"/>
              <w:jc w:val="both"/>
              <w:rPr>
                <w:rFonts w:ascii="Arial" w:hAnsi="Arial" w:cs="Arial"/>
                <w:lang w:val="en-GB" w:eastAsia="fr-FR"/>
              </w:rPr>
            </w:pPr>
            <w:r>
              <w:rPr>
                <w:rFonts w:ascii="Arial" w:hAnsi="Arial" w:cs="Arial"/>
                <w:lang w:val="en-GB" w:eastAsia="fr-FR"/>
              </w:rPr>
              <w:t>Considerable</w:t>
            </w:r>
          </w:p>
        </w:tc>
      </w:tr>
      <w:tr w:rsidR="00B66A9C" w14:paraId="78BAB8B3" w14:textId="77777777">
        <w:trPr>
          <w:trHeight w:val="312"/>
        </w:trPr>
        <w:tc>
          <w:tcPr>
            <w:tcW w:w="1626" w:type="dxa"/>
            <w:shd w:val="clear" w:color="auto" w:fill="auto"/>
            <w:noWrap/>
            <w:vAlign w:val="center"/>
          </w:tcPr>
          <w:p w14:paraId="5C5D4F8F" w14:textId="77777777" w:rsidR="00B66A9C" w:rsidRDefault="00501121">
            <w:pPr>
              <w:spacing w:line="360" w:lineRule="auto"/>
              <w:jc w:val="both"/>
              <w:rPr>
                <w:rFonts w:ascii="Arial" w:hAnsi="Arial" w:cs="Arial"/>
                <w:lang w:val="en-GB" w:eastAsia="fr-FR"/>
              </w:rPr>
            </w:pPr>
            <w:r>
              <w:rPr>
                <w:rFonts w:ascii="Arial" w:hAnsi="Arial" w:cs="Arial"/>
                <w:lang w:val="en-GB" w:eastAsia="fr-FR"/>
              </w:rPr>
              <w:t>4 &lt; </w:t>
            </w:r>
            <w:proofErr w:type="spellStart"/>
            <w:r>
              <w:rPr>
                <w:rFonts w:ascii="Arial" w:hAnsi="Arial" w:cs="Arial"/>
                <w:lang w:val="en-GB" w:eastAsia="fr-FR"/>
              </w:rPr>
              <w:t>mCd</w:t>
            </w:r>
            <w:proofErr w:type="spellEnd"/>
            <w:r>
              <w:rPr>
                <w:rFonts w:ascii="Arial" w:hAnsi="Arial" w:cs="Arial"/>
                <w:lang w:val="en-GB" w:eastAsia="fr-FR"/>
              </w:rPr>
              <w:t> &lt; 8</w:t>
            </w:r>
          </w:p>
        </w:tc>
        <w:tc>
          <w:tcPr>
            <w:tcW w:w="2233" w:type="dxa"/>
            <w:shd w:val="clear" w:color="auto" w:fill="auto"/>
            <w:noWrap/>
            <w:vAlign w:val="center"/>
          </w:tcPr>
          <w:p w14:paraId="02C21012" w14:textId="77777777" w:rsidR="00B66A9C" w:rsidRDefault="00501121">
            <w:pPr>
              <w:spacing w:line="360" w:lineRule="auto"/>
              <w:jc w:val="both"/>
              <w:rPr>
                <w:rFonts w:ascii="Arial" w:hAnsi="Arial" w:cs="Arial"/>
                <w:lang w:val="en-GB" w:eastAsia="fr-FR"/>
              </w:rPr>
            </w:pPr>
            <w:r>
              <w:rPr>
                <w:rFonts w:ascii="Arial" w:hAnsi="Arial" w:cs="Arial"/>
                <w:lang w:val="en-GB" w:eastAsia="fr-FR"/>
              </w:rPr>
              <w:t>High</w:t>
            </w:r>
          </w:p>
        </w:tc>
        <w:tc>
          <w:tcPr>
            <w:tcW w:w="1800" w:type="dxa"/>
            <w:shd w:val="clear" w:color="auto" w:fill="auto"/>
            <w:noWrap/>
            <w:vAlign w:val="center"/>
          </w:tcPr>
          <w:p w14:paraId="69EF4453" w14:textId="77777777" w:rsidR="00B66A9C" w:rsidRDefault="00501121">
            <w:pPr>
              <w:spacing w:line="360" w:lineRule="auto"/>
              <w:jc w:val="both"/>
              <w:rPr>
                <w:rFonts w:ascii="Arial" w:hAnsi="Arial" w:cs="Arial"/>
                <w:lang w:val="en-GB" w:eastAsia="fr-FR"/>
              </w:rPr>
            </w:pPr>
            <w:r>
              <w:rPr>
                <w:rFonts w:ascii="Arial" w:hAnsi="Arial" w:cs="Arial"/>
                <w:lang w:val="en-GB" w:eastAsia="fr-FR"/>
              </w:rPr>
              <w:t>ER ≥ 160</w:t>
            </w:r>
          </w:p>
        </w:tc>
        <w:tc>
          <w:tcPr>
            <w:tcW w:w="1617" w:type="dxa"/>
            <w:shd w:val="clear" w:color="auto" w:fill="auto"/>
            <w:noWrap/>
            <w:vAlign w:val="center"/>
          </w:tcPr>
          <w:p w14:paraId="1B1D106E" w14:textId="77777777" w:rsidR="00B66A9C" w:rsidRDefault="00501121">
            <w:pPr>
              <w:spacing w:line="360" w:lineRule="auto"/>
              <w:jc w:val="both"/>
              <w:rPr>
                <w:rFonts w:ascii="Arial" w:hAnsi="Arial" w:cs="Arial"/>
                <w:lang w:val="en-GB" w:eastAsia="fr-FR"/>
              </w:rPr>
            </w:pPr>
            <w:r>
              <w:rPr>
                <w:rFonts w:ascii="Arial" w:hAnsi="Arial" w:cs="Arial"/>
                <w:lang w:val="en-GB" w:eastAsia="fr-FR"/>
              </w:rPr>
              <w:t>RI ≥ 376</w:t>
            </w:r>
          </w:p>
        </w:tc>
        <w:tc>
          <w:tcPr>
            <w:tcW w:w="1483" w:type="dxa"/>
            <w:shd w:val="clear" w:color="auto" w:fill="auto"/>
            <w:noWrap/>
            <w:vAlign w:val="bottom"/>
          </w:tcPr>
          <w:p w14:paraId="450C0222" w14:textId="77777777" w:rsidR="00B66A9C" w:rsidRDefault="00501121">
            <w:pPr>
              <w:spacing w:line="360" w:lineRule="auto"/>
              <w:jc w:val="both"/>
              <w:rPr>
                <w:rFonts w:ascii="Arial" w:hAnsi="Arial" w:cs="Arial"/>
                <w:lang w:val="en-GB" w:eastAsia="fr-FR"/>
              </w:rPr>
            </w:pPr>
            <w:r>
              <w:rPr>
                <w:rFonts w:ascii="Arial" w:hAnsi="Arial" w:cs="Arial"/>
                <w:lang w:val="en-GB" w:eastAsia="fr-FR"/>
              </w:rPr>
              <w:t>Very High</w:t>
            </w:r>
          </w:p>
        </w:tc>
      </w:tr>
      <w:tr w:rsidR="00B66A9C" w14:paraId="7494DA31" w14:textId="77777777">
        <w:trPr>
          <w:trHeight w:val="312"/>
        </w:trPr>
        <w:tc>
          <w:tcPr>
            <w:tcW w:w="1626" w:type="dxa"/>
            <w:shd w:val="clear" w:color="auto" w:fill="auto"/>
            <w:noWrap/>
            <w:vAlign w:val="center"/>
          </w:tcPr>
          <w:p w14:paraId="2E4CAFE0" w14:textId="77777777" w:rsidR="00B66A9C" w:rsidRDefault="00501121">
            <w:pPr>
              <w:spacing w:line="360" w:lineRule="auto"/>
              <w:jc w:val="both"/>
              <w:rPr>
                <w:rFonts w:ascii="Arial" w:hAnsi="Arial" w:cs="Arial"/>
                <w:lang w:val="en-GB" w:eastAsia="fr-FR"/>
              </w:rPr>
            </w:pPr>
            <w:r>
              <w:rPr>
                <w:rFonts w:ascii="Arial" w:hAnsi="Arial" w:cs="Arial"/>
                <w:lang w:val="en-GB" w:eastAsia="fr-FR"/>
              </w:rPr>
              <w:t>8 &lt; </w:t>
            </w:r>
            <w:proofErr w:type="spellStart"/>
            <w:r>
              <w:rPr>
                <w:rFonts w:ascii="Arial" w:hAnsi="Arial" w:cs="Arial"/>
                <w:lang w:val="en-GB" w:eastAsia="fr-FR"/>
              </w:rPr>
              <w:t>mCd</w:t>
            </w:r>
            <w:proofErr w:type="spellEnd"/>
            <w:r>
              <w:rPr>
                <w:rFonts w:ascii="Arial" w:hAnsi="Arial" w:cs="Arial"/>
                <w:lang w:val="en-GB" w:eastAsia="fr-FR"/>
              </w:rPr>
              <w:t> &lt; 16</w:t>
            </w:r>
          </w:p>
        </w:tc>
        <w:tc>
          <w:tcPr>
            <w:tcW w:w="2233" w:type="dxa"/>
            <w:shd w:val="clear" w:color="auto" w:fill="auto"/>
            <w:noWrap/>
            <w:vAlign w:val="center"/>
          </w:tcPr>
          <w:p w14:paraId="4F040029" w14:textId="77777777" w:rsidR="00B66A9C" w:rsidRDefault="00501121">
            <w:pPr>
              <w:spacing w:line="360" w:lineRule="auto"/>
              <w:jc w:val="both"/>
              <w:rPr>
                <w:rFonts w:ascii="Arial" w:hAnsi="Arial" w:cs="Arial"/>
                <w:lang w:val="en-GB" w:eastAsia="fr-FR"/>
              </w:rPr>
            </w:pPr>
            <w:r>
              <w:rPr>
                <w:rFonts w:ascii="Arial" w:hAnsi="Arial" w:cs="Arial"/>
                <w:lang w:val="en-GB" w:eastAsia="fr-FR"/>
              </w:rPr>
              <w:t>Very high</w:t>
            </w:r>
          </w:p>
        </w:tc>
        <w:tc>
          <w:tcPr>
            <w:tcW w:w="1800" w:type="dxa"/>
            <w:shd w:val="clear" w:color="auto" w:fill="auto"/>
            <w:noWrap/>
            <w:vAlign w:val="bottom"/>
          </w:tcPr>
          <w:p w14:paraId="6787124A" w14:textId="77777777" w:rsidR="00B66A9C" w:rsidRDefault="00B66A9C">
            <w:pPr>
              <w:spacing w:line="360" w:lineRule="auto"/>
              <w:jc w:val="both"/>
              <w:rPr>
                <w:rFonts w:ascii="Arial" w:hAnsi="Arial" w:cs="Arial"/>
                <w:lang w:val="en-GB" w:eastAsia="fr-FR"/>
              </w:rPr>
            </w:pPr>
          </w:p>
        </w:tc>
        <w:tc>
          <w:tcPr>
            <w:tcW w:w="1617" w:type="dxa"/>
            <w:shd w:val="clear" w:color="auto" w:fill="auto"/>
            <w:noWrap/>
            <w:vAlign w:val="bottom"/>
          </w:tcPr>
          <w:p w14:paraId="43D58237" w14:textId="77777777" w:rsidR="00B66A9C" w:rsidRDefault="00B66A9C">
            <w:pPr>
              <w:spacing w:line="360" w:lineRule="auto"/>
              <w:jc w:val="both"/>
              <w:rPr>
                <w:rFonts w:ascii="Arial" w:hAnsi="Arial" w:cs="Arial"/>
                <w:lang w:val="en-GB" w:eastAsia="fr-FR"/>
              </w:rPr>
            </w:pPr>
          </w:p>
        </w:tc>
        <w:tc>
          <w:tcPr>
            <w:tcW w:w="1483" w:type="dxa"/>
            <w:shd w:val="clear" w:color="auto" w:fill="auto"/>
            <w:noWrap/>
            <w:vAlign w:val="bottom"/>
          </w:tcPr>
          <w:p w14:paraId="70F14FF2" w14:textId="77777777" w:rsidR="00B66A9C" w:rsidRDefault="00B66A9C">
            <w:pPr>
              <w:spacing w:line="360" w:lineRule="auto"/>
              <w:jc w:val="both"/>
              <w:rPr>
                <w:rFonts w:ascii="Arial" w:hAnsi="Arial" w:cs="Arial"/>
                <w:lang w:val="en-GB" w:eastAsia="fr-FR"/>
              </w:rPr>
            </w:pPr>
          </w:p>
        </w:tc>
      </w:tr>
      <w:tr w:rsidR="00B66A9C" w14:paraId="1B7AE8FC" w14:textId="77777777">
        <w:trPr>
          <w:trHeight w:val="312"/>
        </w:trPr>
        <w:tc>
          <w:tcPr>
            <w:tcW w:w="1626" w:type="dxa"/>
            <w:shd w:val="clear" w:color="auto" w:fill="auto"/>
            <w:noWrap/>
            <w:vAlign w:val="center"/>
          </w:tcPr>
          <w:p w14:paraId="0D837D92" w14:textId="77777777" w:rsidR="00B66A9C" w:rsidRDefault="00501121">
            <w:pPr>
              <w:spacing w:line="360" w:lineRule="auto"/>
              <w:jc w:val="both"/>
              <w:rPr>
                <w:rFonts w:ascii="Arial" w:hAnsi="Arial" w:cs="Arial"/>
                <w:lang w:val="en-GB" w:eastAsia="fr-FR"/>
              </w:rPr>
            </w:pPr>
            <w:r>
              <w:rPr>
                <w:rFonts w:ascii="Arial" w:hAnsi="Arial" w:cs="Arial"/>
                <w:lang w:val="en-GB" w:eastAsia="fr-FR"/>
              </w:rPr>
              <w:lastRenderedPageBreak/>
              <w:t>16 &lt; </w:t>
            </w:r>
            <w:proofErr w:type="spellStart"/>
            <w:r>
              <w:rPr>
                <w:rFonts w:ascii="Arial" w:hAnsi="Arial" w:cs="Arial"/>
                <w:lang w:val="en-GB" w:eastAsia="fr-FR"/>
              </w:rPr>
              <w:t>mCd</w:t>
            </w:r>
            <w:proofErr w:type="spellEnd"/>
            <w:r>
              <w:rPr>
                <w:rFonts w:ascii="Arial" w:hAnsi="Arial" w:cs="Arial"/>
                <w:lang w:val="en-GB" w:eastAsia="fr-FR"/>
              </w:rPr>
              <w:t> &lt; 32</w:t>
            </w:r>
          </w:p>
        </w:tc>
        <w:tc>
          <w:tcPr>
            <w:tcW w:w="2233" w:type="dxa"/>
            <w:shd w:val="clear" w:color="auto" w:fill="auto"/>
            <w:noWrap/>
            <w:vAlign w:val="center"/>
          </w:tcPr>
          <w:p w14:paraId="0874EF95" w14:textId="77777777" w:rsidR="00B66A9C" w:rsidRDefault="00501121">
            <w:pPr>
              <w:spacing w:line="360" w:lineRule="auto"/>
              <w:jc w:val="both"/>
              <w:rPr>
                <w:rFonts w:ascii="Arial" w:hAnsi="Arial" w:cs="Arial"/>
                <w:lang w:val="en-GB" w:eastAsia="fr-FR"/>
              </w:rPr>
            </w:pPr>
            <w:r>
              <w:rPr>
                <w:rFonts w:ascii="Arial" w:hAnsi="Arial" w:cs="Arial"/>
                <w:lang w:val="en-GB" w:eastAsia="fr-FR"/>
              </w:rPr>
              <w:t>Extremely high</w:t>
            </w:r>
          </w:p>
        </w:tc>
        <w:tc>
          <w:tcPr>
            <w:tcW w:w="1800" w:type="dxa"/>
            <w:shd w:val="clear" w:color="auto" w:fill="auto"/>
            <w:noWrap/>
            <w:vAlign w:val="bottom"/>
          </w:tcPr>
          <w:p w14:paraId="0917DAAF" w14:textId="77777777" w:rsidR="00B66A9C" w:rsidRDefault="00B66A9C">
            <w:pPr>
              <w:spacing w:line="360" w:lineRule="auto"/>
              <w:jc w:val="both"/>
              <w:rPr>
                <w:rFonts w:ascii="Arial" w:hAnsi="Arial" w:cs="Arial"/>
                <w:lang w:val="en-GB" w:eastAsia="fr-FR"/>
              </w:rPr>
            </w:pPr>
          </w:p>
        </w:tc>
        <w:tc>
          <w:tcPr>
            <w:tcW w:w="1617" w:type="dxa"/>
            <w:shd w:val="clear" w:color="auto" w:fill="auto"/>
            <w:noWrap/>
            <w:vAlign w:val="bottom"/>
          </w:tcPr>
          <w:p w14:paraId="732D1DD9" w14:textId="77777777" w:rsidR="00B66A9C" w:rsidRDefault="00B66A9C">
            <w:pPr>
              <w:spacing w:line="360" w:lineRule="auto"/>
              <w:jc w:val="both"/>
              <w:rPr>
                <w:rFonts w:ascii="Arial" w:hAnsi="Arial" w:cs="Arial"/>
                <w:lang w:val="en-GB" w:eastAsia="fr-FR"/>
              </w:rPr>
            </w:pPr>
          </w:p>
        </w:tc>
        <w:tc>
          <w:tcPr>
            <w:tcW w:w="1483" w:type="dxa"/>
            <w:shd w:val="clear" w:color="auto" w:fill="auto"/>
            <w:noWrap/>
            <w:vAlign w:val="bottom"/>
          </w:tcPr>
          <w:p w14:paraId="24DF0977" w14:textId="77777777" w:rsidR="00B66A9C" w:rsidRDefault="00B66A9C">
            <w:pPr>
              <w:spacing w:line="360" w:lineRule="auto"/>
              <w:jc w:val="both"/>
              <w:rPr>
                <w:rFonts w:ascii="Arial" w:hAnsi="Arial" w:cs="Arial"/>
                <w:lang w:val="en-GB" w:eastAsia="fr-FR"/>
              </w:rPr>
            </w:pPr>
          </w:p>
        </w:tc>
      </w:tr>
      <w:tr w:rsidR="00B66A9C" w14:paraId="3E7E674B" w14:textId="77777777">
        <w:trPr>
          <w:trHeight w:val="312"/>
        </w:trPr>
        <w:tc>
          <w:tcPr>
            <w:tcW w:w="1626" w:type="dxa"/>
            <w:tcBorders>
              <w:bottom w:val="single" w:sz="4" w:space="0" w:color="auto"/>
            </w:tcBorders>
            <w:shd w:val="clear" w:color="auto" w:fill="auto"/>
            <w:noWrap/>
            <w:vAlign w:val="center"/>
          </w:tcPr>
          <w:p w14:paraId="5548BB5A" w14:textId="77777777" w:rsidR="00B66A9C" w:rsidRDefault="00501121">
            <w:pPr>
              <w:spacing w:line="360" w:lineRule="auto"/>
              <w:jc w:val="both"/>
              <w:rPr>
                <w:rFonts w:ascii="Arial" w:hAnsi="Arial" w:cs="Arial"/>
                <w:lang w:val="en-GB" w:eastAsia="fr-FR"/>
              </w:rPr>
            </w:pPr>
            <w:r>
              <w:rPr>
                <w:rFonts w:ascii="Arial" w:hAnsi="Arial" w:cs="Arial"/>
                <w:lang w:val="en-GB" w:eastAsia="fr-FR"/>
              </w:rPr>
              <w:t>32 &lt; </w:t>
            </w:r>
            <w:proofErr w:type="spellStart"/>
            <w:r>
              <w:rPr>
                <w:rFonts w:ascii="Arial" w:hAnsi="Arial" w:cs="Arial"/>
                <w:lang w:val="en-GB" w:eastAsia="fr-FR"/>
              </w:rPr>
              <w:t>mCd</w:t>
            </w:r>
            <w:proofErr w:type="spellEnd"/>
          </w:p>
        </w:tc>
        <w:tc>
          <w:tcPr>
            <w:tcW w:w="2233" w:type="dxa"/>
            <w:tcBorders>
              <w:bottom w:val="single" w:sz="4" w:space="0" w:color="auto"/>
            </w:tcBorders>
            <w:shd w:val="clear" w:color="auto" w:fill="auto"/>
            <w:noWrap/>
            <w:vAlign w:val="center"/>
          </w:tcPr>
          <w:p w14:paraId="62484130" w14:textId="77777777" w:rsidR="00B66A9C" w:rsidRDefault="00501121">
            <w:pPr>
              <w:spacing w:line="360" w:lineRule="auto"/>
              <w:jc w:val="both"/>
              <w:rPr>
                <w:rFonts w:ascii="Arial" w:hAnsi="Arial" w:cs="Arial"/>
                <w:lang w:val="en-GB" w:eastAsia="fr-FR"/>
              </w:rPr>
            </w:pPr>
            <w:r>
              <w:rPr>
                <w:rFonts w:ascii="Arial" w:hAnsi="Arial" w:cs="Arial"/>
                <w:lang w:val="en-GB" w:eastAsia="fr-FR"/>
              </w:rPr>
              <w:t>Ultra high</w:t>
            </w:r>
          </w:p>
        </w:tc>
        <w:tc>
          <w:tcPr>
            <w:tcW w:w="1800" w:type="dxa"/>
            <w:tcBorders>
              <w:bottom w:val="single" w:sz="4" w:space="0" w:color="auto"/>
            </w:tcBorders>
            <w:shd w:val="clear" w:color="auto" w:fill="auto"/>
            <w:noWrap/>
            <w:vAlign w:val="bottom"/>
          </w:tcPr>
          <w:p w14:paraId="08F9B1F2" w14:textId="77777777" w:rsidR="00B66A9C" w:rsidRDefault="00B66A9C">
            <w:pPr>
              <w:spacing w:line="360" w:lineRule="auto"/>
              <w:jc w:val="both"/>
              <w:rPr>
                <w:rFonts w:ascii="Arial" w:hAnsi="Arial" w:cs="Arial"/>
                <w:lang w:val="en-GB" w:eastAsia="fr-FR"/>
              </w:rPr>
            </w:pPr>
          </w:p>
        </w:tc>
        <w:tc>
          <w:tcPr>
            <w:tcW w:w="1617" w:type="dxa"/>
            <w:tcBorders>
              <w:bottom w:val="single" w:sz="4" w:space="0" w:color="auto"/>
            </w:tcBorders>
            <w:shd w:val="clear" w:color="auto" w:fill="auto"/>
            <w:noWrap/>
            <w:vAlign w:val="bottom"/>
          </w:tcPr>
          <w:p w14:paraId="6E2C4CC7" w14:textId="77777777" w:rsidR="00B66A9C" w:rsidRDefault="00B66A9C">
            <w:pPr>
              <w:spacing w:line="360" w:lineRule="auto"/>
              <w:jc w:val="both"/>
              <w:rPr>
                <w:rFonts w:ascii="Arial" w:hAnsi="Arial" w:cs="Arial"/>
                <w:lang w:val="en-GB" w:eastAsia="fr-FR"/>
              </w:rPr>
            </w:pPr>
          </w:p>
        </w:tc>
        <w:tc>
          <w:tcPr>
            <w:tcW w:w="1483" w:type="dxa"/>
            <w:tcBorders>
              <w:bottom w:val="single" w:sz="4" w:space="0" w:color="auto"/>
            </w:tcBorders>
            <w:shd w:val="clear" w:color="auto" w:fill="auto"/>
            <w:noWrap/>
            <w:vAlign w:val="bottom"/>
          </w:tcPr>
          <w:p w14:paraId="348A7384" w14:textId="77777777" w:rsidR="00B66A9C" w:rsidRDefault="00B66A9C">
            <w:pPr>
              <w:spacing w:line="360" w:lineRule="auto"/>
              <w:jc w:val="both"/>
              <w:rPr>
                <w:rFonts w:ascii="Arial" w:hAnsi="Arial" w:cs="Arial"/>
                <w:lang w:val="en-GB" w:eastAsia="fr-FR"/>
              </w:rPr>
            </w:pPr>
          </w:p>
        </w:tc>
      </w:tr>
    </w:tbl>
    <w:p w14:paraId="124D8802" w14:textId="77777777" w:rsidR="00B66A9C" w:rsidRDefault="00501121">
      <w:pPr>
        <w:spacing w:beforeLines="100" w:before="240"/>
        <w:jc w:val="both"/>
        <w:rPr>
          <w:rFonts w:ascii="Arial" w:hAnsi="Arial" w:cs="Arial"/>
          <w:i/>
          <w:sz w:val="18"/>
          <w:szCs w:val="18"/>
        </w:rPr>
      </w:pPr>
      <w:r>
        <w:rPr>
          <w:rFonts w:ascii="Arial" w:hAnsi="Arial" w:cs="Arial"/>
          <w:i/>
          <w:sz w:val="18"/>
          <w:szCs w:val="18"/>
        </w:rPr>
        <w:t>Data represents the average results from three independent experiments conducted under controlled conditions. Significance determined at (P = .05); error bars indicate standard deviation.</w:t>
      </w:r>
    </w:p>
    <w:p w14:paraId="43676D73" w14:textId="7F9ADCF3" w:rsidR="00B66A9C" w:rsidRDefault="00501121">
      <w:pPr>
        <w:spacing w:beforeLines="100" w:before="240" w:line="360" w:lineRule="auto"/>
        <w:jc w:val="both"/>
        <w:rPr>
          <w:rFonts w:ascii="Arial" w:hAnsi="Arial" w:cs="Arial"/>
          <w:i/>
          <w:sz w:val="18"/>
          <w:szCs w:val="18"/>
        </w:rPr>
      </w:pPr>
      <w:r>
        <w:rPr>
          <w:rFonts w:ascii="Arial" w:hAnsi="Arial" w:cs="Arial"/>
        </w:rPr>
        <w:t>The data</w:t>
      </w:r>
      <w:r>
        <w:rPr>
          <w:rFonts w:ascii="Arial" w:hAnsi="Arial" w:cs="Arial"/>
          <w:i/>
          <w:sz w:val="18"/>
          <w:szCs w:val="18"/>
        </w:rPr>
        <w:t xml:space="preserve"> </w:t>
      </w:r>
      <w:r>
        <w:rPr>
          <w:rFonts w:ascii="Arial" w:hAnsi="Arial" w:cs="Arial"/>
        </w:rPr>
        <w:t>collected from the bioassays were recorded in MS Excel spreadsheets</w:t>
      </w:r>
      <w:r>
        <w:rPr>
          <w:rFonts w:ascii="Arial" w:hAnsi="Arial" w:cs="Arial"/>
          <w:lang w:val="en-GB"/>
        </w:rPr>
        <w:t xml:space="preserve"> and analysed using SPSS 14.0 and Sigma Plot 14.0</w:t>
      </w:r>
      <w:r w:rsidR="00942EEC">
        <w:rPr>
          <w:rFonts w:ascii="Arial" w:hAnsi="Arial" w:cs="Arial"/>
          <w:lang w:val="en-GB"/>
        </w:rPr>
        <w:t>,</w:t>
      </w:r>
      <w:r>
        <w:rPr>
          <w:rFonts w:ascii="Arial" w:hAnsi="Arial" w:cs="Arial"/>
          <w:lang w:val="en-GB"/>
        </w:rPr>
        <w:t xml:space="preserve"> with graphs plotted in Sigma Plot 14.0</w:t>
      </w:r>
      <w:r>
        <w:rPr>
          <w:rFonts w:ascii="Arial" w:hAnsi="Arial" w:cs="Arial"/>
        </w:rPr>
        <w:t>.</w:t>
      </w:r>
      <w:r>
        <w:rPr>
          <w:rFonts w:ascii="Arial" w:hAnsi="Arial" w:cs="Arial"/>
          <w:lang w:val="en-GB"/>
        </w:rPr>
        <w:t xml:space="preserve"> Differences in the heavy metal concentrations of treatments in the bioaccumulation bioassays were tested using the paired t-test after checking for normality using the Shapiro-Wilk test. Bioaccumulation Factors (BAFs) were determined at the end of the bioassay from equation 1:     </w:t>
      </w:r>
    </w:p>
    <w:p w14:paraId="71DE9B82" w14:textId="77777777" w:rsidR="00B66A9C" w:rsidRDefault="00501121">
      <w:pPr>
        <w:spacing w:before="100" w:beforeAutospacing="1" w:afterLines="100" w:after="240" w:line="360" w:lineRule="auto"/>
        <w:jc w:val="both"/>
        <w:rPr>
          <w:rFonts w:ascii="Arial" w:hAnsi="Arial" w:cs="Arial"/>
          <w:lang w:val="en-GB"/>
        </w:rPr>
      </w:pPr>
      <w:r>
        <w:rPr>
          <w:rFonts w:ascii="Arial" w:hAnsi="Arial" w:cs="Arial"/>
          <w:lang w:val="en-GB"/>
        </w:rPr>
        <w:t xml:space="preserve">BAF = </w:t>
      </w:r>
      <m:oMath>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earthworm</m:t>
                </m:r>
              </m:sub>
            </m:sSub>
          </m:num>
          <m:den>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soil</m:t>
                </m:r>
              </m:sub>
            </m:sSub>
          </m:den>
        </m:f>
      </m:oMath>
      <w:r>
        <w:rPr>
          <w:rFonts w:ascii="Arial" w:hAnsi="Arial" w:cs="Arial"/>
          <w:lang w:val="en-GB"/>
        </w:rPr>
        <w:t xml:space="preserve"> </w:t>
      </w:r>
    </w:p>
    <w:p w14:paraId="0400B60D" w14:textId="77777777" w:rsidR="00B66A9C" w:rsidRDefault="00501121">
      <w:pPr>
        <w:spacing w:before="100" w:beforeAutospacing="1" w:afterLines="100" w:after="240" w:line="360" w:lineRule="auto"/>
        <w:jc w:val="both"/>
        <w:rPr>
          <w:rFonts w:ascii="Arial" w:hAnsi="Arial" w:cs="Arial"/>
          <w:lang w:val="en-GB"/>
        </w:rPr>
      </w:pPr>
      <w:r>
        <w:rPr>
          <w:rFonts w:ascii="Arial" w:hAnsi="Arial" w:cs="Arial"/>
          <w:lang w:val="en-GB"/>
        </w:rPr>
        <w:t xml:space="preserve">Where: </w:t>
      </w:r>
      <w:proofErr w:type="spellStart"/>
      <w:r>
        <w:rPr>
          <w:rFonts w:ascii="Arial" w:hAnsi="Arial" w:cs="Arial"/>
          <w:lang w:val="en-GB"/>
        </w:rPr>
        <w:t>C</w:t>
      </w:r>
      <w:r>
        <w:rPr>
          <w:rFonts w:ascii="Arial" w:hAnsi="Arial" w:cs="Arial"/>
          <w:vertAlign w:val="subscript"/>
          <w:lang w:val="en-GB"/>
        </w:rPr>
        <w:t>earthworm</w:t>
      </w:r>
      <w:proofErr w:type="spellEnd"/>
      <w:r>
        <w:rPr>
          <w:rFonts w:ascii="Arial" w:hAnsi="Arial" w:cs="Arial"/>
          <w:lang w:val="en-GB"/>
        </w:rPr>
        <w:t xml:space="preserve"> = heavy metal concentration in the earthworm and </w:t>
      </w:r>
      <w:proofErr w:type="spellStart"/>
      <w:r>
        <w:rPr>
          <w:rFonts w:ascii="Arial" w:hAnsi="Arial" w:cs="Arial"/>
          <w:lang w:val="en-GB"/>
        </w:rPr>
        <w:t>C</w:t>
      </w:r>
      <w:r>
        <w:rPr>
          <w:rFonts w:ascii="Arial" w:hAnsi="Arial" w:cs="Arial"/>
          <w:vertAlign w:val="subscript"/>
          <w:lang w:val="en-GB"/>
        </w:rPr>
        <w:t>soil</w:t>
      </w:r>
      <w:proofErr w:type="spellEnd"/>
      <w:r>
        <w:rPr>
          <w:rFonts w:ascii="Arial" w:hAnsi="Arial" w:cs="Arial"/>
          <w:lang w:val="en-GB"/>
        </w:rPr>
        <w:t xml:space="preserve"> = heavy metal concentration in the soil. Linear regression analysis was used to determine the relationship between the BAFs and the respective initial heavy metal concentrations.</w:t>
      </w:r>
    </w:p>
    <w:p w14:paraId="2A54D2E3" w14:textId="77777777" w:rsidR="00B66A9C" w:rsidRDefault="00501121">
      <w:pPr>
        <w:pStyle w:val="Head1"/>
        <w:spacing w:after="0" w:line="360" w:lineRule="auto"/>
        <w:jc w:val="both"/>
        <w:rPr>
          <w:rFonts w:ascii="Arial" w:hAnsi="Arial" w:cs="Arial"/>
          <w:sz w:val="20"/>
        </w:rPr>
      </w:pPr>
      <w:r>
        <w:rPr>
          <w:rFonts w:ascii="Arial" w:hAnsi="Arial" w:cs="Arial"/>
        </w:rPr>
        <w:t>3. results and discussion</w:t>
      </w:r>
    </w:p>
    <w:p w14:paraId="132B10DB" w14:textId="77777777" w:rsidR="00B66A9C" w:rsidRDefault="00501121">
      <w:pPr>
        <w:spacing w:line="360" w:lineRule="auto"/>
        <w:jc w:val="both"/>
        <w:rPr>
          <w:rFonts w:ascii="Arial" w:hAnsi="Arial" w:cs="Arial"/>
          <w:b/>
          <w:sz w:val="22"/>
          <w:szCs w:val="22"/>
          <w:lang w:val="en-GB"/>
        </w:rPr>
      </w:pPr>
      <w:r>
        <w:rPr>
          <w:rFonts w:ascii="Arial" w:hAnsi="Arial" w:cs="Arial"/>
          <w:b/>
          <w:sz w:val="22"/>
          <w:szCs w:val="22"/>
          <w:lang w:val="en-GB"/>
        </w:rPr>
        <w:t>3.1 Results</w:t>
      </w:r>
    </w:p>
    <w:p w14:paraId="7632527C" w14:textId="77777777" w:rsidR="00B66A9C" w:rsidRDefault="00501121">
      <w:pPr>
        <w:spacing w:line="360" w:lineRule="auto"/>
        <w:jc w:val="both"/>
        <w:rPr>
          <w:rFonts w:ascii="Arial" w:hAnsi="Arial" w:cs="Arial"/>
          <w:b/>
          <w:u w:val="single"/>
        </w:rPr>
      </w:pPr>
      <w:r>
        <w:rPr>
          <w:rFonts w:ascii="Arial" w:hAnsi="Arial" w:cs="Arial"/>
          <w:b/>
          <w:u w:val="single"/>
        </w:rPr>
        <w:t>3.1.1 Effect of biochar amendment on the e-waste contaminated soil quality</w:t>
      </w:r>
    </w:p>
    <w:p w14:paraId="03935058" w14:textId="5440B370" w:rsidR="00B66A9C" w:rsidRDefault="00501121">
      <w:pPr>
        <w:spacing w:afterLines="100" w:after="240" w:line="360" w:lineRule="auto"/>
        <w:jc w:val="both"/>
        <w:rPr>
          <w:rFonts w:ascii="Arial" w:hAnsi="Arial" w:cs="Arial"/>
          <w:bCs/>
          <w:iCs/>
          <w:lang w:val="en-GB" w:eastAsia="fr-FR"/>
        </w:rPr>
      </w:pPr>
      <w:r>
        <w:rPr>
          <w:rFonts w:ascii="Arial" w:hAnsi="Arial" w:cs="Arial"/>
          <w:bCs/>
          <w:iCs/>
          <w:lang w:val="en-GB" w:eastAsia="fr-FR"/>
        </w:rPr>
        <w:t xml:space="preserve">Before assessing the effect of biochar on earthworm heavy metal bioaccumulation, it was necessary to </w:t>
      </w:r>
      <w:r w:rsidR="00942EEC" w:rsidRPr="00E9105E">
        <w:rPr>
          <w:rFonts w:ascii="Arial" w:hAnsi="Arial" w:cs="Arial"/>
          <w:bCs/>
          <w:iCs/>
          <w:highlight w:val="yellow"/>
          <w:lang w:val="en-GB" w:eastAsia="fr-FR"/>
        </w:rPr>
        <w:t xml:space="preserve">characterise </w:t>
      </w:r>
      <w:r>
        <w:rPr>
          <w:rFonts w:ascii="Arial" w:hAnsi="Arial" w:cs="Arial"/>
          <w:bCs/>
          <w:iCs/>
          <w:lang w:val="en-GB" w:eastAsia="fr-FR"/>
        </w:rPr>
        <w:t xml:space="preserve">the biochar and establish its effect on the </w:t>
      </w:r>
      <w:r w:rsidR="00942EEC" w:rsidRPr="00E9105E">
        <w:rPr>
          <w:rFonts w:ascii="Arial" w:hAnsi="Arial" w:cs="Arial"/>
          <w:bCs/>
          <w:iCs/>
          <w:highlight w:val="yellow"/>
          <w:lang w:val="en-GB" w:eastAsia="fr-FR"/>
        </w:rPr>
        <w:t>e-waste-contaminated</w:t>
      </w:r>
      <w:r w:rsidRPr="00E9105E">
        <w:rPr>
          <w:rFonts w:ascii="Arial" w:hAnsi="Arial" w:cs="Arial"/>
          <w:bCs/>
          <w:iCs/>
          <w:highlight w:val="yellow"/>
          <w:lang w:val="en-GB" w:eastAsia="fr-FR"/>
        </w:rPr>
        <w:t xml:space="preserve"> </w:t>
      </w:r>
      <w:r>
        <w:rPr>
          <w:rFonts w:ascii="Arial" w:hAnsi="Arial" w:cs="Arial"/>
          <w:bCs/>
          <w:iCs/>
          <w:lang w:val="en-GB" w:eastAsia="fr-FR"/>
        </w:rPr>
        <w:t>(hereafter referred to as e-waste) soil quality. Both the culture and e-waste soils were slightly acidic, while the biochar had an alkaline pH (Table 2). Thus, the pH of the amended e-waste soil increased from 6.1 to 6.5. The biochar organic matter (OM) and organic carbon (OC) contents were respectively 9 and 14 times higher than in the e-waste soil, leading to a greater % OC in the biochar-amended e-waste soil, which increased over 4 times compared to the unamended soil. In addition, the C/N ratio of the biochar was almost 6 times higher than that of the e-waste soil</w:t>
      </w:r>
      <w:r w:rsidR="00942EEC">
        <w:rPr>
          <w:rFonts w:ascii="Arial" w:hAnsi="Arial" w:cs="Arial"/>
          <w:bCs/>
          <w:iCs/>
          <w:lang w:val="en-GB" w:eastAsia="fr-FR"/>
        </w:rPr>
        <w:t xml:space="preserve">; </w:t>
      </w:r>
      <w:r>
        <w:rPr>
          <w:rFonts w:ascii="Arial" w:hAnsi="Arial" w:cs="Arial"/>
          <w:bCs/>
          <w:iCs/>
          <w:lang w:val="en-GB" w:eastAsia="fr-FR"/>
        </w:rPr>
        <w:t>thus</w:t>
      </w:r>
      <w:r w:rsidR="00942EEC">
        <w:rPr>
          <w:rFonts w:ascii="Arial" w:hAnsi="Arial" w:cs="Arial"/>
          <w:bCs/>
          <w:iCs/>
          <w:lang w:val="en-GB" w:eastAsia="fr-FR"/>
        </w:rPr>
        <w:t>,</w:t>
      </w:r>
      <w:r>
        <w:rPr>
          <w:rFonts w:ascii="Arial" w:hAnsi="Arial" w:cs="Arial"/>
          <w:bCs/>
          <w:iCs/>
          <w:lang w:val="en-GB" w:eastAsia="fr-FR"/>
        </w:rPr>
        <w:t xml:space="preserve"> adding biochar to the e-waste soil doubled its C/N ratio. The cation exchange capacity (CEC) of the biochar was almost triple that of the e-waste soil, resulting in a higher CEC of the amended e-waste soil (Table 2).</w:t>
      </w:r>
    </w:p>
    <w:p w14:paraId="457DE5A8" w14:textId="77777777" w:rsidR="00B66A9C" w:rsidRDefault="00501121">
      <w:pPr>
        <w:spacing w:line="360" w:lineRule="auto"/>
        <w:jc w:val="both"/>
        <w:rPr>
          <w:rFonts w:ascii="Arial" w:hAnsi="Arial" w:cs="Arial"/>
          <w:b/>
          <w:lang w:val="en-GB"/>
        </w:rPr>
      </w:pPr>
      <w:r>
        <w:rPr>
          <w:rFonts w:ascii="Arial" w:hAnsi="Arial" w:cs="Arial"/>
          <w:b/>
          <w:lang w:val="en-GB"/>
        </w:rPr>
        <w:t xml:space="preserve">Table 2: </w:t>
      </w:r>
      <w:proofErr w:type="spellStart"/>
      <w:r>
        <w:rPr>
          <w:rFonts w:ascii="Arial" w:hAnsi="Arial" w:cs="Arial"/>
          <w:b/>
          <w:lang w:val="en-GB"/>
        </w:rPr>
        <w:t>Phy</w:t>
      </w:r>
      <w:r>
        <w:rPr>
          <w:rFonts w:ascii="Arial" w:hAnsi="Arial" w:cs="Arial"/>
          <w:b/>
          <w:iCs/>
          <w:lang w:val="en-GB" w:eastAsia="fr-FR"/>
        </w:rPr>
        <w:t>si</w:t>
      </w:r>
      <w:r>
        <w:rPr>
          <w:rFonts w:ascii="Arial" w:hAnsi="Arial" w:cs="Arial"/>
          <w:b/>
          <w:lang w:val="en-GB"/>
        </w:rPr>
        <w:t>co</w:t>
      </w:r>
      <w:proofErr w:type="spellEnd"/>
      <w:r>
        <w:rPr>
          <w:rFonts w:ascii="Arial" w:hAnsi="Arial" w:cs="Arial"/>
          <w:b/>
          <w:lang w:val="en-GB"/>
        </w:rPr>
        <w:t>-chemical characteristics of biochar and e-</w:t>
      </w:r>
      <w:r>
        <w:rPr>
          <w:rFonts w:ascii="Arial" w:hAnsi="Arial" w:cs="Arial"/>
          <w:b/>
          <w:lang w:eastAsia="zh-CN" w:bidi="ar"/>
        </w:rPr>
        <w:t xml:space="preserve">waste </w:t>
      </w:r>
      <w:r>
        <w:rPr>
          <w:rFonts w:ascii="Arial" w:hAnsi="Arial" w:cs="Arial"/>
          <w:b/>
          <w:lang w:val="en-GB"/>
        </w:rPr>
        <w:t>soils (</w:t>
      </w:r>
      <w:r>
        <w:rPr>
          <w:rFonts w:ascii="Arial" w:hAnsi="Arial" w:cs="Arial"/>
          <w:b/>
          <w:lang w:eastAsia="zh-CN" w:bidi="ar"/>
        </w:rPr>
        <w:t>Biochar + E-waste</w:t>
      </w:r>
      <w:r>
        <w:rPr>
          <w:rFonts w:ascii="Arial" w:hAnsi="Arial" w:cs="Arial"/>
          <w:b/>
          <w:lang w:val="en-GB" w:eastAsia="zh-CN" w:bidi="ar"/>
        </w:rPr>
        <w:t xml:space="preserve"> soil refers to the biochar-amended e-waste soil)</w:t>
      </w:r>
    </w:p>
    <w:tbl>
      <w:tblPr>
        <w:tblW w:w="0" w:type="auto"/>
        <w:tblLayout w:type="fixed"/>
        <w:tblLook w:val="04A0" w:firstRow="1" w:lastRow="0" w:firstColumn="1" w:lastColumn="0" w:noHBand="0" w:noVBand="1"/>
      </w:tblPr>
      <w:tblGrid>
        <w:gridCol w:w="2005"/>
        <w:gridCol w:w="636"/>
        <w:gridCol w:w="1746"/>
        <w:gridCol w:w="1887"/>
        <w:gridCol w:w="971"/>
        <w:gridCol w:w="1368"/>
      </w:tblGrid>
      <w:tr w:rsidR="00B66A9C" w14:paraId="732109E7" w14:textId="77777777">
        <w:trPr>
          <w:trHeight w:val="952"/>
        </w:trPr>
        <w:tc>
          <w:tcPr>
            <w:tcW w:w="2005" w:type="dxa"/>
            <w:tcBorders>
              <w:top w:val="single" w:sz="4" w:space="0" w:color="auto"/>
              <w:bottom w:val="single" w:sz="4" w:space="0" w:color="auto"/>
            </w:tcBorders>
            <w:shd w:val="clear" w:color="auto" w:fill="auto"/>
            <w:noWrap/>
            <w:vAlign w:val="bottom"/>
          </w:tcPr>
          <w:p w14:paraId="09E045E3" w14:textId="77777777" w:rsidR="00B66A9C" w:rsidRDefault="00501121">
            <w:pPr>
              <w:spacing w:line="360" w:lineRule="auto"/>
              <w:jc w:val="both"/>
              <w:textAlignment w:val="bottom"/>
              <w:rPr>
                <w:rFonts w:ascii="Arial" w:hAnsi="Arial" w:cs="Arial"/>
                <w:b/>
                <w:bCs/>
              </w:rPr>
            </w:pPr>
            <w:r>
              <w:rPr>
                <w:rFonts w:ascii="Arial" w:hAnsi="Arial" w:cs="Arial"/>
                <w:b/>
                <w:bCs/>
                <w:lang w:eastAsia="zh-CN" w:bidi="ar"/>
              </w:rPr>
              <w:t>Sample</w:t>
            </w:r>
          </w:p>
        </w:tc>
        <w:tc>
          <w:tcPr>
            <w:tcW w:w="636" w:type="dxa"/>
            <w:tcBorders>
              <w:top w:val="single" w:sz="4" w:space="0" w:color="auto"/>
              <w:bottom w:val="single" w:sz="4" w:space="0" w:color="auto"/>
            </w:tcBorders>
            <w:shd w:val="clear" w:color="auto" w:fill="auto"/>
            <w:vAlign w:val="bottom"/>
          </w:tcPr>
          <w:p w14:paraId="7BE5BF7F" w14:textId="77777777" w:rsidR="00B66A9C" w:rsidRDefault="00501121">
            <w:pPr>
              <w:spacing w:line="360" w:lineRule="auto"/>
              <w:jc w:val="both"/>
              <w:textAlignment w:val="bottom"/>
              <w:rPr>
                <w:rFonts w:ascii="Arial" w:hAnsi="Arial" w:cs="Arial"/>
                <w:b/>
                <w:bCs/>
              </w:rPr>
            </w:pPr>
            <w:r>
              <w:rPr>
                <w:rFonts w:ascii="Arial" w:hAnsi="Arial" w:cs="Arial"/>
                <w:b/>
                <w:bCs/>
                <w:lang w:eastAsia="zh-CN" w:bidi="ar"/>
              </w:rPr>
              <w:t>pH</w:t>
            </w:r>
          </w:p>
        </w:tc>
        <w:tc>
          <w:tcPr>
            <w:tcW w:w="1746" w:type="dxa"/>
            <w:tcBorders>
              <w:top w:val="single" w:sz="4" w:space="0" w:color="auto"/>
              <w:bottom w:val="single" w:sz="4" w:space="0" w:color="auto"/>
            </w:tcBorders>
            <w:shd w:val="clear" w:color="auto" w:fill="auto"/>
            <w:vAlign w:val="bottom"/>
          </w:tcPr>
          <w:p w14:paraId="37F06785" w14:textId="77777777" w:rsidR="00B66A9C" w:rsidRDefault="00501121">
            <w:pPr>
              <w:spacing w:line="360" w:lineRule="auto"/>
              <w:jc w:val="both"/>
              <w:textAlignment w:val="bottom"/>
              <w:rPr>
                <w:rFonts w:ascii="Arial" w:hAnsi="Arial" w:cs="Arial"/>
                <w:b/>
                <w:bCs/>
              </w:rPr>
            </w:pPr>
            <w:r>
              <w:rPr>
                <w:rFonts w:ascii="Arial" w:hAnsi="Arial" w:cs="Arial"/>
                <w:b/>
                <w:bCs/>
                <w:lang w:eastAsia="zh-CN" w:bidi="ar"/>
              </w:rPr>
              <w:t>Organic matter (%)</w:t>
            </w:r>
          </w:p>
        </w:tc>
        <w:tc>
          <w:tcPr>
            <w:tcW w:w="1887" w:type="dxa"/>
            <w:tcBorders>
              <w:top w:val="single" w:sz="4" w:space="0" w:color="auto"/>
              <w:bottom w:val="single" w:sz="4" w:space="0" w:color="auto"/>
            </w:tcBorders>
            <w:shd w:val="clear" w:color="auto" w:fill="auto"/>
            <w:vAlign w:val="bottom"/>
          </w:tcPr>
          <w:p w14:paraId="1CC020E0" w14:textId="77777777" w:rsidR="00B66A9C" w:rsidRDefault="00501121">
            <w:pPr>
              <w:spacing w:line="360" w:lineRule="auto"/>
              <w:jc w:val="both"/>
              <w:textAlignment w:val="bottom"/>
              <w:rPr>
                <w:rFonts w:ascii="Arial" w:hAnsi="Arial" w:cs="Arial"/>
                <w:b/>
                <w:bCs/>
              </w:rPr>
            </w:pPr>
            <w:r>
              <w:rPr>
                <w:rFonts w:ascii="Arial" w:hAnsi="Arial" w:cs="Arial"/>
                <w:b/>
                <w:bCs/>
                <w:lang w:eastAsia="zh-CN" w:bidi="ar"/>
              </w:rPr>
              <w:t>Organic carbon (%)</w:t>
            </w:r>
          </w:p>
        </w:tc>
        <w:tc>
          <w:tcPr>
            <w:tcW w:w="971" w:type="dxa"/>
            <w:tcBorders>
              <w:top w:val="single" w:sz="4" w:space="0" w:color="auto"/>
              <w:bottom w:val="single" w:sz="4" w:space="0" w:color="auto"/>
            </w:tcBorders>
            <w:shd w:val="clear" w:color="auto" w:fill="auto"/>
            <w:vAlign w:val="bottom"/>
          </w:tcPr>
          <w:p w14:paraId="11B9F6C3" w14:textId="77777777" w:rsidR="00B66A9C" w:rsidRDefault="00501121">
            <w:pPr>
              <w:spacing w:line="360" w:lineRule="auto"/>
              <w:jc w:val="both"/>
              <w:textAlignment w:val="bottom"/>
              <w:rPr>
                <w:rFonts w:ascii="Arial" w:hAnsi="Arial" w:cs="Arial"/>
                <w:b/>
                <w:bCs/>
              </w:rPr>
            </w:pPr>
            <w:r>
              <w:rPr>
                <w:rFonts w:ascii="Arial" w:hAnsi="Arial" w:cs="Arial"/>
                <w:b/>
                <w:bCs/>
                <w:lang w:eastAsia="zh-CN" w:bidi="ar"/>
              </w:rPr>
              <w:t>C/N</w:t>
            </w:r>
          </w:p>
        </w:tc>
        <w:tc>
          <w:tcPr>
            <w:tcW w:w="1368" w:type="dxa"/>
            <w:tcBorders>
              <w:top w:val="single" w:sz="4" w:space="0" w:color="auto"/>
              <w:bottom w:val="single" w:sz="4" w:space="0" w:color="auto"/>
            </w:tcBorders>
            <w:shd w:val="clear" w:color="auto" w:fill="auto"/>
            <w:vAlign w:val="bottom"/>
          </w:tcPr>
          <w:p w14:paraId="263C51F6" w14:textId="77777777" w:rsidR="00B66A9C" w:rsidRDefault="00501121">
            <w:pPr>
              <w:spacing w:line="360" w:lineRule="auto"/>
              <w:jc w:val="both"/>
              <w:textAlignment w:val="bottom"/>
              <w:rPr>
                <w:rFonts w:ascii="Arial" w:hAnsi="Arial" w:cs="Arial"/>
                <w:b/>
                <w:bCs/>
              </w:rPr>
            </w:pPr>
            <w:r>
              <w:rPr>
                <w:rFonts w:ascii="Arial" w:hAnsi="Arial" w:cs="Arial"/>
                <w:b/>
                <w:bCs/>
                <w:lang w:eastAsia="zh-CN" w:bidi="ar"/>
              </w:rPr>
              <w:t>CEC (</w:t>
            </w:r>
            <w:proofErr w:type="spellStart"/>
            <w:r>
              <w:rPr>
                <w:rFonts w:ascii="Arial" w:hAnsi="Arial" w:cs="Arial"/>
                <w:b/>
                <w:bCs/>
                <w:lang w:eastAsia="zh-CN" w:bidi="ar"/>
              </w:rPr>
              <w:t>cmol</w:t>
            </w:r>
            <w:proofErr w:type="spellEnd"/>
            <w:r>
              <w:rPr>
                <w:rFonts w:ascii="Arial" w:hAnsi="Arial" w:cs="Arial"/>
                <w:b/>
                <w:bCs/>
                <w:lang w:eastAsia="zh-CN" w:bidi="ar"/>
              </w:rPr>
              <w:t>/kg)</w:t>
            </w:r>
          </w:p>
        </w:tc>
      </w:tr>
      <w:tr w:rsidR="00B66A9C" w14:paraId="7B3CABA6" w14:textId="77777777">
        <w:trPr>
          <w:trHeight w:val="247"/>
        </w:trPr>
        <w:tc>
          <w:tcPr>
            <w:tcW w:w="2005" w:type="dxa"/>
            <w:tcBorders>
              <w:top w:val="single" w:sz="4" w:space="0" w:color="auto"/>
            </w:tcBorders>
            <w:shd w:val="clear" w:color="auto" w:fill="auto"/>
            <w:noWrap/>
            <w:vAlign w:val="bottom"/>
          </w:tcPr>
          <w:p w14:paraId="5585E451" w14:textId="77777777" w:rsidR="00B66A9C" w:rsidRDefault="00501121">
            <w:pPr>
              <w:spacing w:line="360" w:lineRule="auto"/>
              <w:jc w:val="both"/>
              <w:textAlignment w:val="bottom"/>
              <w:rPr>
                <w:rFonts w:ascii="Arial" w:hAnsi="Arial" w:cs="Arial"/>
              </w:rPr>
            </w:pPr>
            <w:r>
              <w:rPr>
                <w:rFonts w:ascii="Arial" w:hAnsi="Arial" w:cs="Arial"/>
                <w:lang w:eastAsia="zh-CN" w:bidi="ar"/>
              </w:rPr>
              <w:t>Culture soil</w:t>
            </w:r>
          </w:p>
        </w:tc>
        <w:tc>
          <w:tcPr>
            <w:tcW w:w="636" w:type="dxa"/>
            <w:tcBorders>
              <w:top w:val="single" w:sz="4" w:space="0" w:color="auto"/>
            </w:tcBorders>
            <w:shd w:val="clear" w:color="auto" w:fill="auto"/>
            <w:noWrap/>
            <w:vAlign w:val="bottom"/>
          </w:tcPr>
          <w:p w14:paraId="0C94EBF1" w14:textId="77777777" w:rsidR="00B66A9C" w:rsidRDefault="00501121">
            <w:pPr>
              <w:spacing w:line="360" w:lineRule="auto"/>
              <w:jc w:val="both"/>
              <w:textAlignment w:val="bottom"/>
              <w:rPr>
                <w:rFonts w:ascii="Arial" w:hAnsi="Arial" w:cs="Arial"/>
              </w:rPr>
            </w:pPr>
            <w:r>
              <w:rPr>
                <w:rFonts w:ascii="Arial" w:hAnsi="Arial" w:cs="Arial"/>
                <w:lang w:eastAsia="zh-CN" w:bidi="ar"/>
              </w:rPr>
              <w:t>6.3</w:t>
            </w:r>
          </w:p>
        </w:tc>
        <w:tc>
          <w:tcPr>
            <w:tcW w:w="1746" w:type="dxa"/>
            <w:tcBorders>
              <w:top w:val="single" w:sz="4" w:space="0" w:color="auto"/>
            </w:tcBorders>
            <w:shd w:val="clear" w:color="auto" w:fill="auto"/>
            <w:noWrap/>
            <w:vAlign w:val="bottom"/>
          </w:tcPr>
          <w:p w14:paraId="482C4156" w14:textId="77777777" w:rsidR="00B66A9C" w:rsidRDefault="00501121">
            <w:pPr>
              <w:spacing w:line="360" w:lineRule="auto"/>
              <w:jc w:val="both"/>
              <w:textAlignment w:val="bottom"/>
              <w:rPr>
                <w:rFonts w:ascii="Arial" w:hAnsi="Arial" w:cs="Arial"/>
              </w:rPr>
            </w:pPr>
            <w:r>
              <w:rPr>
                <w:rFonts w:ascii="Arial" w:hAnsi="Arial" w:cs="Arial"/>
                <w:lang w:eastAsia="zh-CN" w:bidi="ar"/>
              </w:rPr>
              <w:t>18.37</w:t>
            </w:r>
          </w:p>
        </w:tc>
        <w:tc>
          <w:tcPr>
            <w:tcW w:w="1887" w:type="dxa"/>
            <w:tcBorders>
              <w:top w:val="single" w:sz="4" w:space="0" w:color="auto"/>
            </w:tcBorders>
            <w:shd w:val="clear" w:color="auto" w:fill="auto"/>
            <w:noWrap/>
            <w:vAlign w:val="bottom"/>
          </w:tcPr>
          <w:p w14:paraId="64D35057" w14:textId="77777777" w:rsidR="00B66A9C" w:rsidRDefault="00501121">
            <w:pPr>
              <w:spacing w:line="360" w:lineRule="auto"/>
              <w:jc w:val="both"/>
              <w:textAlignment w:val="bottom"/>
              <w:rPr>
                <w:rFonts w:ascii="Arial" w:hAnsi="Arial" w:cs="Arial"/>
              </w:rPr>
            </w:pPr>
            <w:r>
              <w:rPr>
                <w:rFonts w:ascii="Arial" w:hAnsi="Arial" w:cs="Arial"/>
                <w:lang w:eastAsia="zh-CN" w:bidi="ar"/>
              </w:rPr>
              <w:t>10.65</w:t>
            </w:r>
          </w:p>
        </w:tc>
        <w:tc>
          <w:tcPr>
            <w:tcW w:w="971" w:type="dxa"/>
            <w:tcBorders>
              <w:top w:val="single" w:sz="4" w:space="0" w:color="auto"/>
            </w:tcBorders>
            <w:shd w:val="clear" w:color="auto" w:fill="auto"/>
            <w:noWrap/>
            <w:vAlign w:val="bottom"/>
          </w:tcPr>
          <w:p w14:paraId="19BDFA1E" w14:textId="77777777" w:rsidR="00B66A9C" w:rsidRDefault="00501121">
            <w:pPr>
              <w:spacing w:line="360" w:lineRule="auto"/>
              <w:jc w:val="both"/>
              <w:textAlignment w:val="bottom"/>
              <w:rPr>
                <w:rFonts w:ascii="Arial" w:hAnsi="Arial" w:cs="Arial"/>
              </w:rPr>
            </w:pPr>
            <w:r>
              <w:rPr>
                <w:rFonts w:ascii="Arial" w:hAnsi="Arial" w:cs="Arial"/>
                <w:lang w:eastAsia="zh-CN" w:bidi="ar"/>
              </w:rPr>
              <w:t>8.058</w:t>
            </w:r>
          </w:p>
        </w:tc>
        <w:tc>
          <w:tcPr>
            <w:tcW w:w="1368" w:type="dxa"/>
            <w:tcBorders>
              <w:top w:val="single" w:sz="4" w:space="0" w:color="auto"/>
            </w:tcBorders>
            <w:shd w:val="clear" w:color="auto" w:fill="auto"/>
            <w:noWrap/>
            <w:vAlign w:val="bottom"/>
          </w:tcPr>
          <w:p w14:paraId="28310294" w14:textId="77777777" w:rsidR="00B66A9C" w:rsidRDefault="00501121">
            <w:pPr>
              <w:spacing w:line="360" w:lineRule="auto"/>
              <w:jc w:val="both"/>
              <w:textAlignment w:val="bottom"/>
              <w:rPr>
                <w:rFonts w:ascii="Arial" w:hAnsi="Arial" w:cs="Arial"/>
              </w:rPr>
            </w:pPr>
            <w:r>
              <w:rPr>
                <w:rFonts w:ascii="Arial" w:hAnsi="Arial" w:cs="Arial"/>
                <w:lang w:eastAsia="zh-CN" w:bidi="ar"/>
              </w:rPr>
              <w:t>9.12</w:t>
            </w:r>
          </w:p>
        </w:tc>
      </w:tr>
      <w:tr w:rsidR="00B66A9C" w14:paraId="35A03C8F" w14:textId="77777777">
        <w:trPr>
          <w:trHeight w:val="247"/>
        </w:trPr>
        <w:tc>
          <w:tcPr>
            <w:tcW w:w="2005" w:type="dxa"/>
            <w:shd w:val="clear" w:color="auto" w:fill="auto"/>
            <w:noWrap/>
            <w:vAlign w:val="bottom"/>
          </w:tcPr>
          <w:p w14:paraId="6191EEDF" w14:textId="77777777" w:rsidR="00B66A9C" w:rsidRDefault="00501121">
            <w:pPr>
              <w:spacing w:line="360" w:lineRule="auto"/>
              <w:jc w:val="both"/>
              <w:textAlignment w:val="bottom"/>
              <w:rPr>
                <w:rFonts w:ascii="Arial" w:hAnsi="Arial" w:cs="Arial"/>
              </w:rPr>
            </w:pPr>
            <w:r>
              <w:rPr>
                <w:rFonts w:ascii="Arial" w:hAnsi="Arial" w:cs="Arial"/>
                <w:lang w:eastAsia="zh-CN" w:bidi="ar"/>
              </w:rPr>
              <w:t>Biochar</w:t>
            </w:r>
          </w:p>
        </w:tc>
        <w:tc>
          <w:tcPr>
            <w:tcW w:w="636" w:type="dxa"/>
            <w:shd w:val="clear" w:color="auto" w:fill="auto"/>
            <w:noWrap/>
            <w:vAlign w:val="bottom"/>
          </w:tcPr>
          <w:p w14:paraId="3685CCAF" w14:textId="77777777" w:rsidR="00B66A9C" w:rsidRDefault="00501121">
            <w:pPr>
              <w:spacing w:line="360" w:lineRule="auto"/>
              <w:jc w:val="both"/>
              <w:textAlignment w:val="bottom"/>
              <w:rPr>
                <w:rFonts w:ascii="Arial" w:hAnsi="Arial" w:cs="Arial"/>
              </w:rPr>
            </w:pPr>
            <w:r>
              <w:rPr>
                <w:rFonts w:ascii="Arial" w:hAnsi="Arial" w:cs="Arial"/>
                <w:lang w:eastAsia="zh-CN" w:bidi="ar"/>
              </w:rPr>
              <w:t>9.03</w:t>
            </w:r>
          </w:p>
        </w:tc>
        <w:tc>
          <w:tcPr>
            <w:tcW w:w="1746" w:type="dxa"/>
            <w:shd w:val="clear" w:color="auto" w:fill="auto"/>
            <w:noWrap/>
            <w:vAlign w:val="bottom"/>
          </w:tcPr>
          <w:p w14:paraId="460A3016" w14:textId="77777777" w:rsidR="00B66A9C" w:rsidRDefault="00501121">
            <w:pPr>
              <w:spacing w:line="360" w:lineRule="auto"/>
              <w:jc w:val="both"/>
              <w:textAlignment w:val="bottom"/>
              <w:rPr>
                <w:rFonts w:ascii="Arial" w:hAnsi="Arial" w:cs="Arial"/>
              </w:rPr>
            </w:pPr>
            <w:r>
              <w:rPr>
                <w:rFonts w:ascii="Arial" w:hAnsi="Arial" w:cs="Arial"/>
                <w:lang w:eastAsia="zh-CN" w:bidi="ar"/>
              </w:rPr>
              <w:t>38.7</w:t>
            </w:r>
          </w:p>
        </w:tc>
        <w:tc>
          <w:tcPr>
            <w:tcW w:w="1887" w:type="dxa"/>
            <w:shd w:val="clear" w:color="auto" w:fill="auto"/>
            <w:noWrap/>
            <w:vAlign w:val="bottom"/>
          </w:tcPr>
          <w:p w14:paraId="0FE3A605" w14:textId="77777777" w:rsidR="00B66A9C" w:rsidRDefault="00501121">
            <w:pPr>
              <w:spacing w:line="360" w:lineRule="auto"/>
              <w:jc w:val="both"/>
              <w:textAlignment w:val="bottom"/>
              <w:rPr>
                <w:rFonts w:ascii="Arial" w:hAnsi="Arial" w:cs="Arial"/>
              </w:rPr>
            </w:pPr>
            <w:r>
              <w:rPr>
                <w:rFonts w:ascii="Arial" w:hAnsi="Arial" w:cs="Arial"/>
                <w:lang w:eastAsia="zh-CN" w:bidi="ar"/>
              </w:rPr>
              <w:t>34.5</w:t>
            </w:r>
          </w:p>
        </w:tc>
        <w:tc>
          <w:tcPr>
            <w:tcW w:w="971" w:type="dxa"/>
            <w:shd w:val="clear" w:color="auto" w:fill="auto"/>
            <w:noWrap/>
            <w:vAlign w:val="bottom"/>
          </w:tcPr>
          <w:p w14:paraId="2B64C21E" w14:textId="77777777" w:rsidR="00B66A9C" w:rsidRDefault="00501121">
            <w:pPr>
              <w:spacing w:line="360" w:lineRule="auto"/>
              <w:jc w:val="both"/>
              <w:textAlignment w:val="bottom"/>
              <w:rPr>
                <w:rFonts w:ascii="Arial" w:hAnsi="Arial" w:cs="Arial"/>
              </w:rPr>
            </w:pPr>
            <w:r>
              <w:rPr>
                <w:rFonts w:ascii="Arial" w:hAnsi="Arial" w:cs="Arial"/>
                <w:lang w:eastAsia="zh-CN" w:bidi="ar"/>
              </w:rPr>
              <w:t>13.69</w:t>
            </w:r>
          </w:p>
        </w:tc>
        <w:tc>
          <w:tcPr>
            <w:tcW w:w="1368" w:type="dxa"/>
            <w:shd w:val="clear" w:color="auto" w:fill="auto"/>
            <w:noWrap/>
            <w:vAlign w:val="bottom"/>
          </w:tcPr>
          <w:p w14:paraId="5377CA7F" w14:textId="77777777" w:rsidR="00B66A9C" w:rsidRDefault="00501121">
            <w:pPr>
              <w:spacing w:line="360" w:lineRule="auto"/>
              <w:jc w:val="both"/>
              <w:textAlignment w:val="bottom"/>
              <w:rPr>
                <w:rFonts w:ascii="Arial" w:hAnsi="Arial" w:cs="Arial"/>
              </w:rPr>
            </w:pPr>
            <w:r>
              <w:rPr>
                <w:rFonts w:ascii="Arial" w:hAnsi="Arial" w:cs="Arial"/>
                <w:lang w:eastAsia="zh-CN" w:bidi="ar"/>
              </w:rPr>
              <w:t>42.11</w:t>
            </w:r>
          </w:p>
        </w:tc>
      </w:tr>
      <w:tr w:rsidR="00B66A9C" w14:paraId="35000787" w14:textId="77777777">
        <w:trPr>
          <w:trHeight w:val="247"/>
        </w:trPr>
        <w:tc>
          <w:tcPr>
            <w:tcW w:w="2005" w:type="dxa"/>
            <w:shd w:val="clear" w:color="auto" w:fill="auto"/>
            <w:noWrap/>
            <w:vAlign w:val="bottom"/>
          </w:tcPr>
          <w:p w14:paraId="5F400C4B" w14:textId="77777777" w:rsidR="00B66A9C" w:rsidRDefault="00501121">
            <w:pPr>
              <w:spacing w:line="360" w:lineRule="auto"/>
              <w:jc w:val="both"/>
              <w:textAlignment w:val="bottom"/>
              <w:rPr>
                <w:rFonts w:ascii="Arial" w:hAnsi="Arial" w:cs="Arial"/>
              </w:rPr>
            </w:pPr>
            <w:r>
              <w:rPr>
                <w:rFonts w:ascii="Arial" w:hAnsi="Arial" w:cs="Arial"/>
                <w:lang w:eastAsia="zh-CN" w:bidi="ar"/>
              </w:rPr>
              <w:t>E-waste soil</w:t>
            </w:r>
          </w:p>
        </w:tc>
        <w:tc>
          <w:tcPr>
            <w:tcW w:w="636" w:type="dxa"/>
            <w:shd w:val="clear" w:color="auto" w:fill="auto"/>
            <w:noWrap/>
            <w:vAlign w:val="bottom"/>
          </w:tcPr>
          <w:p w14:paraId="37248AFD" w14:textId="77777777" w:rsidR="00B66A9C" w:rsidRDefault="00501121">
            <w:pPr>
              <w:spacing w:line="360" w:lineRule="auto"/>
              <w:jc w:val="both"/>
              <w:textAlignment w:val="bottom"/>
              <w:rPr>
                <w:rFonts w:ascii="Arial" w:hAnsi="Arial" w:cs="Arial"/>
              </w:rPr>
            </w:pPr>
            <w:r>
              <w:rPr>
                <w:rFonts w:ascii="Arial" w:hAnsi="Arial" w:cs="Arial"/>
                <w:lang w:eastAsia="zh-CN" w:bidi="ar"/>
              </w:rPr>
              <w:t>6.1</w:t>
            </w:r>
          </w:p>
        </w:tc>
        <w:tc>
          <w:tcPr>
            <w:tcW w:w="1746" w:type="dxa"/>
            <w:shd w:val="clear" w:color="auto" w:fill="auto"/>
            <w:noWrap/>
            <w:vAlign w:val="bottom"/>
          </w:tcPr>
          <w:p w14:paraId="0FF4DB6A" w14:textId="77777777" w:rsidR="00B66A9C" w:rsidRDefault="00501121">
            <w:pPr>
              <w:spacing w:line="360" w:lineRule="auto"/>
              <w:jc w:val="both"/>
              <w:textAlignment w:val="bottom"/>
              <w:rPr>
                <w:rFonts w:ascii="Arial" w:hAnsi="Arial" w:cs="Arial"/>
              </w:rPr>
            </w:pPr>
            <w:r>
              <w:rPr>
                <w:rFonts w:ascii="Arial" w:hAnsi="Arial" w:cs="Arial"/>
                <w:lang w:eastAsia="zh-CN" w:bidi="ar"/>
              </w:rPr>
              <w:t>4.24</w:t>
            </w:r>
          </w:p>
        </w:tc>
        <w:tc>
          <w:tcPr>
            <w:tcW w:w="1887" w:type="dxa"/>
            <w:shd w:val="clear" w:color="auto" w:fill="auto"/>
            <w:noWrap/>
            <w:vAlign w:val="bottom"/>
          </w:tcPr>
          <w:p w14:paraId="3F921A45" w14:textId="77777777" w:rsidR="00B66A9C" w:rsidRDefault="00501121">
            <w:pPr>
              <w:spacing w:line="360" w:lineRule="auto"/>
              <w:jc w:val="both"/>
              <w:textAlignment w:val="bottom"/>
              <w:rPr>
                <w:rFonts w:ascii="Arial" w:hAnsi="Arial" w:cs="Arial"/>
              </w:rPr>
            </w:pPr>
            <w:r>
              <w:rPr>
                <w:rFonts w:ascii="Arial" w:hAnsi="Arial" w:cs="Arial"/>
                <w:lang w:eastAsia="zh-CN" w:bidi="ar"/>
              </w:rPr>
              <w:t>2.46</w:t>
            </w:r>
          </w:p>
        </w:tc>
        <w:tc>
          <w:tcPr>
            <w:tcW w:w="971" w:type="dxa"/>
            <w:shd w:val="clear" w:color="auto" w:fill="auto"/>
            <w:noWrap/>
            <w:vAlign w:val="bottom"/>
          </w:tcPr>
          <w:p w14:paraId="63069BB6" w14:textId="77777777" w:rsidR="00B66A9C" w:rsidRDefault="00501121">
            <w:pPr>
              <w:spacing w:line="360" w:lineRule="auto"/>
              <w:jc w:val="both"/>
              <w:textAlignment w:val="bottom"/>
              <w:rPr>
                <w:rFonts w:ascii="Arial" w:hAnsi="Arial" w:cs="Arial"/>
              </w:rPr>
            </w:pPr>
            <w:r>
              <w:rPr>
                <w:rFonts w:ascii="Arial" w:hAnsi="Arial" w:cs="Arial"/>
                <w:lang w:eastAsia="zh-CN" w:bidi="ar"/>
              </w:rPr>
              <w:t>2.41</w:t>
            </w:r>
          </w:p>
        </w:tc>
        <w:tc>
          <w:tcPr>
            <w:tcW w:w="1368" w:type="dxa"/>
            <w:shd w:val="clear" w:color="auto" w:fill="auto"/>
            <w:noWrap/>
            <w:vAlign w:val="bottom"/>
          </w:tcPr>
          <w:p w14:paraId="0F907C5F" w14:textId="77777777" w:rsidR="00B66A9C" w:rsidRDefault="00501121">
            <w:pPr>
              <w:spacing w:line="360" w:lineRule="auto"/>
              <w:jc w:val="both"/>
              <w:textAlignment w:val="bottom"/>
              <w:rPr>
                <w:rFonts w:ascii="Arial" w:hAnsi="Arial" w:cs="Arial"/>
              </w:rPr>
            </w:pPr>
            <w:r>
              <w:rPr>
                <w:rFonts w:ascii="Arial" w:hAnsi="Arial" w:cs="Arial"/>
                <w:lang w:eastAsia="zh-CN" w:bidi="ar"/>
              </w:rPr>
              <w:t>15</w:t>
            </w:r>
          </w:p>
        </w:tc>
      </w:tr>
      <w:tr w:rsidR="00B66A9C" w14:paraId="5CA0F264" w14:textId="77777777">
        <w:trPr>
          <w:trHeight w:val="458"/>
        </w:trPr>
        <w:tc>
          <w:tcPr>
            <w:tcW w:w="2005" w:type="dxa"/>
            <w:tcBorders>
              <w:bottom w:val="single" w:sz="4" w:space="0" w:color="auto"/>
            </w:tcBorders>
            <w:shd w:val="clear" w:color="auto" w:fill="auto"/>
            <w:vAlign w:val="bottom"/>
          </w:tcPr>
          <w:p w14:paraId="5D2D96AA" w14:textId="77777777" w:rsidR="00B66A9C" w:rsidRDefault="00501121">
            <w:pPr>
              <w:spacing w:line="360" w:lineRule="auto"/>
              <w:jc w:val="both"/>
              <w:textAlignment w:val="bottom"/>
              <w:rPr>
                <w:rFonts w:ascii="Arial" w:hAnsi="Arial" w:cs="Arial"/>
                <w:lang w:val="en-GB"/>
              </w:rPr>
            </w:pPr>
            <w:r>
              <w:rPr>
                <w:rFonts w:ascii="Arial" w:hAnsi="Arial" w:cs="Arial"/>
                <w:lang w:eastAsia="zh-CN" w:bidi="ar"/>
              </w:rPr>
              <w:t>Biochar + E-waste</w:t>
            </w:r>
            <w:r>
              <w:rPr>
                <w:rFonts w:ascii="Arial" w:hAnsi="Arial" w:cs="Arial"/>
                <w:lang w:val="en-GB" w:eastAsia="zh-CN" w:bidi="ar"/>
              </w:rPr>
              <w:t xml:space="preserve"> soil </w:t>
            </w:r>
          </w:p>
        </w:tc>
        <w:tc>
          <w:tcPr>
            <w:tcW w:w="636" w:type="dxa"/>
            <w:tcBorders>
              <w:bottom w:val="single" w:sz="4" w:space="0" w:color="auto"/>
            </w:tcBorders>
            <w:shd w:val="clear" w:color="auto" w:fill="auto"/>
            <w:noWrap/>
            <w:vAlign w:val="bottom"/>
          </w:tcPr>
          <w:p w14:paraId="38F9E2AE" w14:textId="77777777" w:rsidR="00B66A9C" w:rsidRDefault="00501121">
            <w:pPr>
              <w:spacing w:line="360" w:lineRule="auto"/>
              <w:jc w:val="both"/>
              <w:textAlignment w:val="bottom"/>
              <w:rPr>
                <w:rFonts w:ascii="Arial" w:hAnsi="Arial" w:cs="Arial"/>
              </w:rPr>
            </w:pPr>
            <w:r>
              <w:rPr>
                <w:rFonts w:ascii="Arial" w:hAnsi="Arial" w:cs="Arial"/>
                <w:lang w:eastAsia="zh-CN" w:bidi="ar"/>
              </w:rPr>
              <w:t>6.5</w:t>
            </w:r>
          </w:p>
        </w:tc>
        <w:tc>
          <w:tcPr>
            <w:tcW w:w="1746" w:type="dxa"/>
            <w:tcBorders>
              <w:bottom w:val="single" w:sz="4" w:space="0" w:color="auto"/>
            </w:tcBorders>
            <w:shd w:val="clear" w:color="auto" w:fill="auto"/>
            <w:noWrap/>
            <w:vAlign w:val="bottom"/>
          </w:tcPr>
          <w:p w14:paraId="657A0EC4" w14:textId="77777777" w:rsidR="00B66A9C" w:rsidRDefault="00501121">
            <w:pPr>
              <w:spacing w:line="360" w:lineRule="auto"/>
              <w:jc w:val="both"/>
              <w:textAlignment w:val="bottom"/>
              <w:rPr>
                <w:rFonts w:ascii="Arial" w:hAnsi="Arial" w:cs="Arial"/>
              </w:rPr>
            </w:pPr>
            <w:r>
              <w:rPr>
                <w:rFonts w:ascii="Arial" w:hAnsi="Arial" w:cs="Arial"/>
                <w:lang w:eastAsia="zh-CN" w:bidi="ar"/>
              </w:rPr>
              <w:t>4.15</w:t>
            </w:r>
          </w:p>
        </w:tc>
        <w:tc>
          <w:tcPr>
            <w:tcW w:w="1887" w:type="dxa"/>
            <w:tcBorders>
              <w:bottom w:val="single" w:sz="4" w:space="0" w:color="auto"/>
            </w:tcBorders>
            <w:shd w:val="clear" w:color="auto" w:fill="auto"/>
            <w:noWrap/>
            <w:vAlign w:val="bottom"/>
          </w:tcPr>
          <w:p w14:paraId="16956214" w14:textId="77777777" w:rsidR="00B66A9C" w:rsidRDefault="00501121">
            <w:pPr>
              <w:spacing w:line="360" w:lineRule="auto"/>
              <w:jc w:val="both"/>
              <w:textAlignment w:val="bottom"/>
              <w:rPr>
                <w:rFonts w:ascii="Arial" w:hAnsi="Arial" w:cs="Arial"/>
              </w:rPr>
            </w:pPr>
            <w:r>
              <w:rPr>
                <w:rFonts w:ascii="Arial" w:hAnsi="Arial" w:cs="Arial"/>
                <w:lang w:eastAsia="zh-CN" w:bidi="ar"/>
              </w:rPr>
              <w:t>10.47</w:t>
            </w:r>
          </w:p>
        </w:tc>
        <w:tc>
          <w:tcPr>
            <w:tcW w:w="971" w:type="dxa"/>
            <w:tcBorders>
              <w:bottom w:val="single" w:sz="4" w:space="0" w:color="auto"/>
            </w:tcBorders>
            <w:shd w:val="clear" w:color="auto" w:fill="auto"/>
            <w:noWrap/>
            <w:vAlign w:val="bottom"/>
          </w:tcPr>
          <w:p w14:paraId="7BE049D1" w14:textId="77777777" w:rsidR="00B66A9C" w:rsidRDefault="00501121">
            <w:pPr>
              <w:spacing w:line="360" w:lineRule="auto"/>
              <w:jc w:val="both"/>
              <w:textAlignment w:val="bottom"/>
              <w:rPr>
                <w:rFonts w:ascii="Arial" w:hAnsi="Arial" w:cs="Arial"/>
              </w:rPr>
            </w:pPr>
            <w:r>
              <w:rPr>
                <w:rFonts w:ascii="Arial" w:hAnsi="Arial" w:cs="Arial"/>
                <w:lang w:eastAsia="zh-CN" w:bidi="ar"/>
              </w:rPr>
              <w:t>4.65</w:t>
            </w:r>
          </w:p>
        </w:tc>
        <w:tc>
          <w:tcPr>
            <w:tcW w:w="1368" w:type="dxa"/>
            <w:tcBorders>
              <w:bottom w:val="single" w:sz="4" w:space="0" w:color="auto"/>
            </w:tcBorders>
            <w:shd w:val="clear" w:color="auto" w:fill="auto"/>
            <w:noWrap/>
            <w:vAlign w:val="bottom"/>
          </w:tcPr>
          <w:p w14:paraId="667CCBBD" w14:textId="77777777" w:rsidR="00B66A9C" w:rsidRDefault="00501121">
            <w:pPr>
              <w:spacing w:line="360" w:lineRule="auto"/>
              <w:jc w:val="both"/>
              <w:textAlignment w:val="bottom"/>
              <w:rPr>
                <w:rFonts w:ascii="Arial" w:hAnsi="Arial" w:cs="Arial"/>
              </w:rPr>
            </w:pPr>
            <w:r>
              <w:rPr>
                <w:rFonts w:ascii="Arial" w:hAnsi="Arial" w:cs="Arial"/>
                <w:lang w:val="en-GB" w:eastAsia="zh-CN" w:bidi="ar"/>
              </w:rPr>
              <w:t>2</w:t>
            </w:r>
            <w:r>
              <w:rPr>
                <w:rFonts w:ascii="Arial" w:hAnsi="Arial" w:cs="Arial"/>
                <w:lang w:eastAsia="zh-CN" w:bidi="ar"/>
              </w:rPr>
              <w:t>0.3</w:t>
            </w:r>
          </w:p>
        </w:tc>
      </w:tr>
    </w:tbl>
    <w:p w14:paraId="257FD347" w14:textId="77777777" w:rsidR="00B66A9C" w:rsidRDefault="00501121">
      <w:pPr>
        <w:jc w:val="both"/>
        <w:rPr>
          <w:rFonts w:ascii="Arial" w:eastAsia="Calibri" w:hAnsi="Arial" w:cs="Arial"/>
          <w:i/>
          <w:sz w:val="18"/>
          <w:szCs w:val="18"/>
        </w:rPr>
      </w:pPr>
      <w:r>
        <w:rPr>
          <w:rFonts w:ascii="Arial" w:eastAsia="Calibri" w:hAnsi="Arial" w:cs="Arial"/>
          <w:b/>
        </w:rPr>
        <w:t xml:space="preserve">       </w:t>
      </w:r>
      <w:r>
        <w:rPr>
          <w:rFonts w:ascii="Arial" w:eastAsia="Calibri" w:hAnsi="Arial" w:cs="Arial"/>
          <w:i/>
          <w:sz w:val="18"/>
          <w:szCs w:val="18"/>
        </w:rPr>
        <w:t>Data are presented as mean values ± standard deviation (n = 3). All measurements were taken under controlled laboratory conditions to ensure accuracy and reproducibility.</w:t>
      </w:r>
    </w:p>
    <w:p w14:paraId="33D90251" w14:textId="77777777" w:rsidR="00B66A9C" w:rsidRDefault="00B66A9C">
      <w:pPr>
        <w:spacing w:line="360" w:lineRule="auto"/>
        <w:jc w:val="both"/>
        <w:rPr>
          <w:rFonts w:ascii="Arial" w:eastAsia="Calibri" w:hAnsi="Arial" w:cs="Arial"/>
          <w:i/>
          <w:sz w:val="18"/>
          <w:szCs w:val="18"/>
        </w:rPr>
      </w:pPr>
    </w:p>
    <w:p w14:paraId="273AA7C2" w14:textId="388E2502" w:rsidR="00B66A9C" w:rsidRDefault="00501121">
      <w:pPr>
        <w:spacing w:line="360" w:lineRule="auto"/>
        <w:jc w:val="both"/>
        <w:rPr>
          <w:rFonts w:ascii="Arial" w:eastAsia="Calibri" w:hAnsi="Arial" w:cs="Arial"/>
        </w:rPr>
      </w:pPr>
      <w:r>
        <w:rPr>
          <w:rFonts w:ascii="Arial" w:eastAsia="Calibri" w:hAnsi="Arial" w:cs="Arial"/>
        </w:rPr>
        <w:lastRenderedPageBreak/>
        <w:t>The initial heavy metal concentrations in the earthworms, culture soil, and biochar were negligible compared to the corresponding concentrations in the e-waste soil (Figure 1), indicating that they had not been exposed to heavy metal-contaminated soils and were thus appropriate for use in the study. The metal concentrations in the earthworms, culture soil, and biochar were also below their respective Canadian Soil Quality Guideline Values (CSQGVs) for the protection of environmental and human health, as shown in Supplementary Table 1. On the other hand, the heavy metal concentrations in the e-waste soils were at least two orders of magnitude higher and far above their respective CSQGVs for the protection of the environment and human health. In the e-waste soil, the Cd concentration was 45 times higher than the CSQGV, while the Cu and Ni concentrations were respectively 19 and 12 times over the guideline value. The Pb and Zn concentrations were</w:t>
      </w:r>
      <w:r w:rsidR="00942EEC">
        <w:rPr>
          <w:rFonts w:ascii="Arial" w:eastAsia="Calibri" w:hAnsi="Arial" w:cs="Arial"/>
        </w:rPr>
        <w:t>,</w:t>
      </w:r>
      <w:r>
        <w:rPr>
          <w:rFonts w:ascii="Arial" w:eastAsia="Calibri" w:hAnsi="Arial" w:cs="Arial"/>
        </w:rPr>
        <w:t xml:space="preserve"> respectively</w:t>
      </w:r>
      <w:r w:rsidR="00942EEC">
        <w:rPr>
          <w:rFonts w:ascii="Arial" w:eastAsia="Calibri" w:hAnsi="Arial" w:cs="Arial"/>
        </w:rPr>
        <w:t>,</w:t>
      </w:r>
      <w:r>
        <w:rPr>
          <w:rFonts w:ascii="Arial" w:eastAsia="Calibri" w:hAnsi="Arial" w:cs="Arial"/>
        </w:rPr>
        <w:t xml:space="preserve"> 6 and 4 times higher than their guideline values (Table 1). Cu was the most abundant metal in the e-waste soil, followed by Zn &gt; Pb &gt; Ni &gt; Cd, with the heavy metal concentrations ranging from 979.8±4.8 mg/kg for Cd to 1718.03±66.9 mg/kg for Cu, as opposed to 3.04±0.04 mg/kg (Cd) to 26.4±4.6 mg/kg (Cu) in the biochar (Table 1). Biochar amendment did not reduce the total heavy metal concentrations in the contaminated soil. Instead, the total heavy metal concentrations were higher in the amended soil (Figure 1).</w:t>
      </w:r>
    </w:p>
    <w:p w14:paraId="10427826" w14:textId="77777777" w:rsidR="00B66A9C" w:rsidRDefault="00501121">
      <w:pPr>
        <w:spacing w:line="360" w:lineRule="auto"/>
        <w:jc w:val="both"/>
        <w:rPr>
          <w:rFonts w:ascii="Arial" w:eastAsia="Calibri" w:hAnsi="Arial" w:cs="Arial"/>
        </w:rPr>
      </w:pPr>
      <w:r>
        <w:rPr>
          <w:rFonts w:ascii="Arial" w:eastAsia="Calibri" w:hAnsi="Arial" w:cs="Arial"/>
          <w:noProof/>
        </w:rPr>
        <w:drawing>
          <wp:inline distT="0" distB="0" distL="0" distR="0" wp14:anchorId="29B9069A" wp14:editId="3A3F07DB">
            <wp:extent cx="2538374" cy="197433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2348" cy="1977425"/>
                    </a:xfrm>
                    <a:prstGeom prst="rect">
                      <a:avLst/>
                    </a:prstGeom>
                    <a:noFill/>
                  </pic:spPr>
                </pic:pic>
              </a:graphicData>
            </a:graphic>
          </wp:inline>
        </w:drawing>
      </w:r>
    </w:p>
    <w:p w14:paraId="610805E5" w14:textId="7450AC12" w:rsidR="00B66A9C" w:rsidRDefault="00501121">
      <w:pPr>
        <w:spacing w:line="360" w:lineRule="auto"/>
        <w:jc w:val="both"/>
        <w:rPr>
          <w:rFonts w:ascii="Arial" w:eastAsia="Calibri" w:hAnsi="Arial" w:cs="Arial"/>
          <w:b/>
        </w:rPr>
      </w:pPr>
      <w:r>
        <w:rPr>
          <w:rFonts w:ascii="Arial" w:eastAsia="Calibri" w:hAnsi="Arial" w:cs="Arial"/>
          <w:b/>
        </w:rPr>
        <w:t>Fig.1.</w:t>
      </w:r>
      <w:r>
        <w:t xml:space="preserve"> </w:t>
      </w:r>
      <w:r>
        <w:rPr>
          <w:rFonts w:ascii="Arial" w:eastAsia="Calibri" w:hAnsi="Arial" w:cs="Arial"/>
          <w:b/>
        </w:rPr>
        <w:t xml:space="preserve">Initial means </w:t>
      </w:r>
      <w:r w:rsidR="00942EEC" w:rsidRPr="00E9105E">
        <w:rPr>
          <w:rFonts w:ascii="Arial" w:eastAsia="Calibri" w:hAnsi="Arial" w:cs="Arial"/>
          <w:b/>
          <w:highlight w:val="yellow"/>
        </w:rPr>
        <w:t xml:space="preserve">of </w:t>
      </w:r>
      <w:r>
        <w:rPr>
          <w:rFonts w:ascii="Arial" w:eastAsia="Calibri" w:hAnsi="Arial" w:cs="Arial"/>
          <w:b/>
        </w:rPr>
        <w:t>metal concentrations (mg/kg) in the earthworms, biochar and soils</w:t>
      </w:r>
    </w:p>
    <w:p w14:paraId="0BD715F6" w14:textId="56CCC4B5" w:rsidR="00B66A9C" w:rsidRDefault="00501121">
      <w:pPr>
        <w:spacing w:line="360" w:lineRule="auto"/>
        <w:jc w:val="both"/>
        <w:rPr>
          <w:rFonts w:ascii="Arial" w:eastAsia="Calibri" w:hAnsi="Arial" w:cs="Arial"/>
        </w:rPr>
      </w:pPr>
      <w:r>
        <w:rPr>
          <w:rFonts w:ascii="Arial" w:eastAsia="Calibri" w:hAnsi="Arial" w:cs="Arial"/>
        </w:rPr>
        <w:t xml:space="preserve">The heavy metal contamination factors </w:t>
      </w:r>
      <m:oMath>
        <m:sSubSup>
          <m:sSubSupPr>
            <m:ctrlPr>
              <w:rPr>
                <w:rFonts w:ascii="Cambria Math" w:hAnsi="Cambria Math" w:cs="Arial"/>
                <w:i/>
              </w:rPr>
            </m:ctrlPr>
          </m:sSubSupPr>
          <m:e>
            <m:r>
              <w:rPr>
                <w:rFonts w:ascii="Cambria Math" w:hAnsi="Cambria Math" w:cs="Arial"/>
              </w:rPr>
              <m:t>C</m:t>
            </m:r>
          </m:e>
          <m:sub>
            <m:r>
              <w:rPr>
                <w:rFonts w:ascii="Cambria Math" w:hAnsi="Cambria Math" w:cs="Arial"/>
              </w:rPr>
              <m:t>f</m:t>
            </m:r>
          </m:sub>
          <m:sup>
            <m:r>
              <w:rPr>
                <w:rFonts w:ascii="Cambria Math" w:hAnsi="Cambria Math" w:cs="Arial"/>
              </w:rPr>
              <m:t>i</m:t>
            </m:r>
          </m:sup>
        </m:sSubSup>
      </m:oMath>
      <w:r>
        <w:rPr>
          <w:rFonts w:ascii="Arial" w:eastAsia="Calibri" w:hAnsi="Arial" w:cs="Arial"/>
          <w:lang w:val="en-GB"/>
        </w:rPr>
        <w:t xml:space="preserve"> </w:t>
      </w:r>
      <w:r w:rsidR="00942EEC" w:rsidRPr="00E9105E">
        <w:rPr>
          <w:rFonts w:ascii="Arial" w:eastAsia="Calibri" w:hAnsi="Arial" w:cs="Arial"/>
          <w:highlight w:val="yellow"/>
        </w:rPr>
        <w:t>The</w:t>
      </w:r>
      <w:r w:rsidRPr="00E9105E">
        <w:rPr>
          <w:rFonts w:ascii="Arial" w:eastAsia="Calibri" w:hAnsi="Arial" w:cs="Arial"/>
          <w:highlight w:val="yellow"/>
        </w:rPr>
        <w:t xml:space="preserve"> </w:t>
      </w:r>
      <w:r>
        <w:rPr>
          <w:rFonts w:ascii="Arial" w:eastAsia="Calibri" w:hAnsi="Arial" w:cs="Arial"/>
        </w:rPr>
        <w:t xml:space="preserve">biochar ranged from 1.6 (Ni) to 8.9 (Pb), while the e-waste soil  </w:t>
      </w:r>
      <m:oMath>
        <m:sSubSup>
          <m:sSubSupPr>
            <m:ctrlPr>
              <w:rPr>
                <w:rFonts w:ascii="Cambria Math" w:hAnsi="Cambria Math" w:cs="Arial"/>
                <w:i/>
              </w:rPr>
            </m:ctrlPr>
          </m:sSubSupPr>
          <m:e>
            <m:r>
              <w:rPr>
                <w:rFonts w:ascii="Cambria Math" w:hAnsi="Cambria Math" w:cs="Arial"/>
              </w:rPr>
              <m:t>C</m:t>
            </m:r>
          </m:e>
          <m:sub>
            <m:r>
              <w:rPr>
                <w:rFonts w:ascii="Cambria Math" w:hAnsi="Cambria Math" w:cs="Arial"/>
              </w:rPr>
              <m:t>f</m:t>
            </m:r>
          </m:sub>
          <m:sup>
            <m:r>
              <w:rPr>
                <w:rFonts w:ascii="Cambria Math" w:hAnsi="Cambria Math" w:cs="Arial"/>
              </w:rPr>
              <m:t>i</m:t>
            </m:r>
          </m:sup>
        </m:sSubSup>
      </m:oMath>
      <w:r>
        <w:rPr>
          <w:rFonts w:ascii="Arial" w:eastAsia="Calibri" w:hAnsi="Arial" w:cs="Arial"/>
          <w:lang w:val="en-GB"/>
        </w:rPr>
        <w:t xml:space="preserve"> </w:t>
      </w:r>
      <w:r>
        <w:rPr>
          <w:rFonts w:ascii="Arial" w:eastAsia="Calibri" w:hAnsi="Arial" w:cs="Arial"/>
        </w:rPr>
        <w:t xml:space="preserve"> were two orders of magnitude higher, ranging from 342 (Ni) to 846 (Pb) (Figure 2a). The mean degree of contamination of the biochar from all 5 heavy metals based on total heavy metal concentrations was 24.9, as opposed to 2541.7 and 2663.7 for the e-waste contaminated soil. The mean modified degree of contamination (</w:t>
      </w:r>
      <w:proofErr w:type="spellStart"/>
      <w:r>
        <w:rPr>
          <w:rFonts w:ascii="Arial" w:eastAsia="Calibri" w:hAnsi="Arial" w:cs="Arial"/>
        </w:rPr>
        <w:t>mC</w:t>
      </w:r>
      <w:r>
        <w:rPr>
          <w:rFonts w:ascii="Arial" w:eastAsia="Calibri" w:hAnsi="Arial" w:cs="Arial"/>
          <w:vertAlign w:val="subscript"/>
        </w:rPr>
        <w:t>d</w:t>
      </w:r>
      <w:proofErr w:type="spellEnd"/>
      <w:r>
        <w:rPr>
          <w:rFonts w:ascii="Arial" w:eastAsia="Calibri" w:hAnsi="Arial" w:cs="Arial"/>
        </w:rPr>
        <w:t xml:space="preserve"> = 5) showed that the biochar had a high contamination level (Figure 2a; Table 1), despite its relatively low total heavy metal concentrations compared to the e-waste contaminated soil. It was also moderately polluted based on the ecological risk index (RI = 144.5) (Figure 2b; Table 1). However, when the bioavailable fractions of the heavy metals were taken into consideration, the </w:t>
      </w:r>
      <w:proofErr w:type="spellStart"/>
      <w:r>
        <w:rPr>
          <w:rFonts w:ascii="Arial" w:eastAsia="Calibri" w:hAnsi="Arial" w:cs="Arial"/>
        </w:rPr>
        <w:t>mC</w:t>
      </w:r>
      <w:r>
        <w:rPr>
          <w:rFonts w:ascii="Arial" w:eastAsia="Calibri" w:hAnsi="Arial" w:cs="Arial"/>
          <w:vertAlign w:val="subscript"/>
        </w:rPr>
        <w:t>d</w:t>
      </w:r>
      <w:proofErr w:type="spellEnd"/>
      <w:r>
        <w:rPr>
          <w:rFonts w:ascii="Arial" w:eastAsia="Calibri" w:hAnsi="Arial" w:cs="Arial"/>
        </w:rPr>
        <w:t xml:space="preserve"> and RI of the biochar decreased by 82% (</w:t>
      </w:r>
      <w:proofErr w:type="spellStart"/>
      <w:r>
        <w:rPr>
          <w:rFonts w:ascii="Arial" w:eastAsia="Calibri" w:hAnsi="Arial" w:cs="Arial"/>
        </w:rPr>
        <w:t>mC</w:t>
      </w:r>
      <w:r>
        <w:rPr>
          <w:rFonts w:ascii="Arial" w:eastAsia="Calibri" w:hAnsi="Arial" w:cs="Arial"/>
          <w:vertAlign w:val="subscript"/>
        </w:rPr>
        <w:t>d</w:t>
      </w:r>
      <w:proofErr w:type="spellEnd"/>
      <w:r>
        <w:rPr>
          <w:rFonts w:ascii="Arial" w:eastAsia="Calibri" w:hAnsi="Arial" w:cs="Arial"/>
        </w:rPr>
        <w:t xml:space="preserve"> = 0.89±0.1) (Figure 2c) and 77% (RI = 32.6±2.8) (Figure 2d) respectively, falling into the lowest contamination and pollution categories (Table 1). The biochar was therefore considered suitable for use in the bioaccumulation bioassay. The mean </w:t>
      </w:r>
      <w:proofErr w:type="spellStart"/>
      <w:r>
        <w:rPr>
          <w:rFonts w:ascii="Arial" w:eastAsia="Calibri" w:hAnsi="Arial" w:cs="Arial"/>
        </w:rPr>
        <w:t>mC</w:t>
      </w:r>
      <w:r>
        <w:rPr>
          <w:rFonts w:ascii="Arial" w:eastAsia="Calibri" w:hAnsi="Arial" w:cs="Arial"/>
          <w:vertAlign w:val="subscript"/>
        </w:rPr>
        <w:t>d</w:t>
      </w:r>
      <w:proofErr w:type="spellEnd"/>
      <w:r>
        <w:rPr>
          <w:rFonts w:ascii="Arial" w:eastAsia="Calibri" w:hAnsi="Arial" w:cs="Arial"/>
        </w:rPr>
        <w:t xml:space="preserve"> of the unamended e-waste and biochar-amended e-waste soils also decreased by 62% and 85% respectively, while the level of pollution based on the mean ecological risk index (RI) decreased by 81% and 93% respectively (Figures 2c and d).</w:t>
      </w:r>
    </w:p>
    <w:p w14:paraId="557223D5" w14:textId="77777777" w:rsidR="00B66A9C" w:rsidRDefault="00501121">
      <w:pPr>
        <w:spacing w:line="360" w:lineRule="auto"/>
        <w:jc w:val="both"/>
        <w:rPr>
          <w:rFonts w:ascii="Arial" w:eastAsia="Calibri" w:hAnsi="Arial" w:cs="Arial"/>
        </w:rPr>
      </w:pPr>
      <w:r>
        <w:rPr>
          <w:rFonts w:ascii="Arial" w:eastAsia="Calibri" w:hAnsi="Arial" w:cs="Arial"/>
          <w:noProof/>
        </w:rPr>
        <w:lastRenderedPageBreak/>
        <w:drawing>
          <wp:inline distT="0" distB="0" distL="0" distR="0" wp14:anchorId="1F1D2218" wp14:editId="3BB1BBC6">
            <wp:extent cx="3707708" cy="23920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0868" cy="2394109"/>
                    </a:xfrm>
                    <a:prstGeom prst="rect">
                      <a:avLst/>
                    </a:prstGeom>
                    <a:noFill/>
                  </pic:spPr>
                </pic:pic>
              </a:graphicData>
            </a:graphic>
          </wp:inline>
        </w:drawing>
      </w:r>
    </w:p>
    <w:p w14:paraId="16D57554" w14:textId="77777777" w:rsidR="00B66A9C" w:rsidRDefault="00501121">
      <w:pPr>
        <w:spacing w:line="360" w:lineRule="auto"/>
        <w:jc w:val="both"/>
        <w:rPr>
          <w:rFonts w:ascii="Arial" w:eastAsia="Calibri" w:hAnsi="Arial" w:cs="Arial"/>
          <w:b/>
        </w:rPr>
      </w:pPr>
      <w:r>
        <w:rPr>
          <w:rFonts w:ascii="Arial" w:eastAsia="Calibri" w:hAnsi="Arial" w:cs="Arial"/>
          <w:b/>
        </w:rPr>
        <w:t>Fig.2. Soil and Biochar contamination and pollution levels based on total (a and b) and bioavailable (c and d) heavy metal concentrations</w:t>
      </w:r>
    </w:p>
    <w:p w14:paraId="1602CDEB" w14:textId="08A344D3" w:rsidR="00B66A9C" w:rsidRDefault="00501121">
      <w:pPr>
        <w:spacing w:line="360" w:lineRule="auto"/>
        <w:jc w:val="both"/>
        <w:rPr>
          <w:rFonts w:ascii="Arial" w:eastAsia="Calibri" w:hAnsi="Arial" w:cs="Arial"/>
        </w:rPr>
      </w:pPr>
      <w:r>
        <w:rPr>
          <w:rFonts w:ascii="Arial" w:eastAsia="Calibri" w:hAnsi="Arial" w:cs="Arial"/>
        </w:rPr>
        <w:t xml:space="preserve">Amendment of the e-waste soil with maize cob biochar at 5% therefore reduced the heavy metal contamination level by 59% and pollution level by 64%. Despite these significant reductions, the biochar-amended e-waste soil contamination and pollution levels remained </w:t>
      </w:r>
      <w:r w:rsidR="00942EEC" w:rsidRPr="00E9105E">
        <w:rPr>
          <w:rFonts w:ascii="Arial" w:eastAsia="Calibri" w:hAnsi="Arial" w:cs="Arial"/>
          <w:highlight w:val="yellow"/>
        </w:rPr>
        <w:t>ultra</w:t>
      </w:r>
      <w:r w:rsidR="00942EEC">
        <w:rPr>
          <w:rFonts w:ascii="Arial" w:eastAsia="Calibri" w:hAnsi="Arial" w:cs="Arial"/>
        </w:rPr>
        <w:t>-</w:t>
      </w:r>
      <w:r>
        <w:rPr>
          <w:rFonts w:ascii="Arial" w:eastAsia="Calibri" w:hAnsi="Arial" w:cs="Arial"/>
        </w:rPr>
        <w:t>/very high. The amount of heavy metal taken up by the earthworms by the end of the exposure period (day 21) of the bioaccumulation assay was considered the bioavailable fraction.</w:t>
      </w:r>
    </w:p>
    <w:p w14:paraId="04A25EE8" w14:textId="1C48CB53" w:rsidR="00B66A9C" w:rsidRDefault="00501121">
      <w:pPr>
        <w:spacing w:line="360" w:lineRule="auto"/>
        <w:jc w:val="both"/>
        <w:rPr>
          <w:rFonts w:ascii="Arial" w:eastAsia="Calibri" w:hAnsi="Arial" w:cs="Arial"/>
        </w:rPr>
      </w:pPr>
      <w:r>
        <w:rPr>
          <w:rFonts w:ascii="Arial" w:eastAsia="Calibri" w:hAnsi="Arial" w:cs="Arial"/>
        </w:rPr>
        <w:t xml:space="preserve">Pb contributed most to the degree of contamination both in the biochar (35.6%) and e-waste soils (33.3%). In the e-waste soil, this was followed by Cd (21.4%), Cu (18%), Zn (13.5%), and Ni (13.5%). In the biochar, the heavy metal contributions to the degree of contamination were in the order Pb &gt; Cu (28.6%) &gt; Zn (22.3%) &gt; Cd (6.8%) &gt; Ni (6.6%). Therefore, the biochar and e-waste soil had different heavy metal profiles, indicating that the maize cob from which the biochar was prepared did not have previous exposure to </w:t>
      </w:r>
      <w:r w:rsidR="00942EEC" w:rsidRPr="00E9105E">
        <w:rPr>
          <w:rFonts w:ascii="Arial" w:eastAsia="Calibri" w:hAnsi="Arial" w:cs="Arial"/>
          <w:highlight w:val="yellow"/>
        </w:rPr>
        <w:t>e-waste-contaminated</w:t>
      </w:r>
      <w:r>
        <w:rPr>
          <w:rFonts w:ascii="Arial" w:eastAsia="Calibri" w:hAnsi="Arial" w:cs="Arial"/>
        </w:rPr>
        <w:t xml:space="preserve"> soil. Cd contributed most to the ecological risk both in the biochar (35.1%) and in the e-waste soil (65.5%), followed by Pb (30.7% and 17% respectively in biochar and e-waste soil). In reality, the e-waste contamination and pollution levels were off the scale, as the values were respectively 16 and 66 times higher than the lower limits for ultra-high contamination levels and very high pollution levels. These results underscore the significant soil contamination resulting from informal e-waste recycling activities in Douala, Cameroon.                                                                                                                                                                                                                                                                                                                                                                                                                                                                                                                                                                                                                                                                                                                                                                   </w:t>
      </w:r>
    </w:p>
    <w:p w14:paraId="641F960A" w14:textId="77777777" w:rsidR="00B66A9C" w:rsidRDefault="00501121">
      <w:pPr>
        <w:spacing w:line="360" w:lineRule="auto"/>
        <w:jc w:val="both"/>
        <w:rPr>
          <w:rFonts w:ascii="Arial" w:eastAsia="Calibri" w:hAnsi="Arial" w:cs="Arial"/>
        </w:rPr>
      </w:pPr>
      <w:r>
        <w:rPr>
          <w:rFonts w:ascii="Arial" w:eastAsia="Calibri" w:hAnsi="Arial" w:cs="Arial"/>
        </w:rPr>
        <w:t>Our results therefore show that amending the e-waste soil with biochar improved soil physicochemical characteristics like pH, OC, and CEC, as well as significantly reduced the heavy metal contamination and pollution levels. Calculating the contamination and pollution indices based on total heavy metal concentrations gave faulty results, as these estimates do not take into account the bioavailable fraction of the heavy metals, which is the fraction responsible for ecological effects.</w:t>
      </w:r>
    </w:p>
    <w:p w14:paraId="2ACBDA78" w14:textId="77777777" w:rsidR="00B66A9C" w:rsidRDefault="00501121">
      <w:pPr>
        <w:spacing w:line="360" w:lineRule="auto"/>
        <w:jc w:val="both"/>
        <w:rPr>
          <w:rFonts w:ascii="Arial" w:eastAsia="Calibri" w:hAnsi="Arial" w:cs="Arial"/>
          <w:b/>
          <w:u w:val="single"/>
        </w:rPr>
      </w:pPr>
      <w:r>
        <w:rPr>
          <w:rFonts w:ascii="Arial" w:eastAsia="Calibri" w:hAnsi="Arial" w:cs="Arial"/>
          <w:b/>
          <w:u w:val="single"/>
        </w:rPr>
        <w:t>3.1.2 Effect of biochar on heavy metal bioavailability in the soil and uptake by earthworms</w:t>
      </w:r>
    </w:p>
    <w:p w14:paraId="69890974" w14:textId="2D710F45" w:rsidR="00B66A9C" w:rsidRDefault="00501121">
      <w:pPr>
        <w:spacing w:line="360" w:lineRule="auto"/>
        <w:jc w:val="both"/>
        <w:rPr>
          <w:rFonts w:ascii="Arial" w:eastAsia="Calibri" w:hAnsi="Arial" w:cs="Arial"/>
        </w:rPr>
      </w:pPr>
      <w:r>
        <w:rPr>
          <w:rFonts w:ascii="Arial" w:eastAsia="Calibri" w:hAnsi="Arial" w:cs="Arial"/>
        </w:rPr>
        <w:t xml:space="preserve">It can be seen in every case that the metal concentrations in the culture soil and biochar were negligible throughout the </w:t>
      </w:r>
      <w:r>
        <w:rPr>
          <w:rFonts w:ascii="Arial" w:eastAsia="Calibri" w:hAnsi="Arial" w:cs="Arial"/>
          <w:lang w:val="en-GB"/>
        </w:rPr>
        <w:t xml:space="preserve">bioaccumulation </w:t>
      </w:r>
      <w:r>
        <w:rPr>
          <w:rFonts w:ascii="Arial" w:eastAsia="Calibri" w:hAnsi="Arial" w:cs="Arial"/>
        </w:rPr>
        <w:t>test duration (</w:t>
      </w:r>
      <w:r>
        <w:rPr>
          <w:rFonts w:ascii="Arial" w:eastAsia="Calibri" w:hAnsi="Arial" w:cs="Arial"/>
          <w:lang w:val="en-GB"/>
        </w:rPr>
        <w:t>Figure 3)</w:t>
      </w:r>
      <w:r>
        <w:rPr>
          <w:rFonts w:ascii="Arial" w:eastAsia="Calibri" w:hAnsi="Arial" w:cs="Arial"/>
        </w:rPr>
        <w:t>. Also, in every case</w:t>
      </w:r>
      <w:r w:rsidR="00942EEC">
        <w:rPr>
          <w:rFonts w:ascii="Arial" w:eastAsia="Calibri" w:hAnsi="Arial" w:cs="Arial"/>
        </w:rPr>
        <w:t>,</w:t>
      </w:r>
      <w:r>
        <w:rPr>
          <w:rFonts w:ascii="Arial" w:eastAsia="Calibri" w:hAnsi="Arial" w:cs="Arial"/>
        </w:rPr>
        <w:t xml:space="preserve"> the metal concentrations in the unamended and biochar-amended e-waste contaminated </w:t>
      </w:r>
      <w:r>
        <w:rPr>
          <w:rFonts w:ascii="Arial" w:eastAsia="Calibri" w:hAnsi="Arial" w:cs="Arial"/>
          <w:lang w:val="en-GB"/>
        </w:rPr>
        <w:t xml:space="preserve">(e-waste + biochar) </w:t>
      </w:r>
      <w:r>
        <w:rPr>
          <w:rFonts w:ascii="Arial" w:eastAsia="Calibri" w:hAnsi="Arial" w:cs="Arial"/>
        </w:rPr>
        <w:t xml:space="preserve">soils decreased steadily over time (Figures </w:t>
      </w:r>
      <w:r>
        <w:rPr>
          <w:rFonts w:ascii="Arial" w:eastAsia="Calibri" w:hAnsi="Arial" w:cs="Arial"/>
          <w:lang w:val="en-GB"/>
        </w:rPr>
        <w:t xml:space="preserve">3 </w:t>
      </w:r>
      <w:r>
        <w:rPr>
          <w:rFonts w:ascii="Arial" w:eastAsia="Calibri" w:hAnsi="Arial" w:cs="Arial"/>
        </w:rPr>
        <w:t xml:space="preserve">a, c, e, g, and </w:t>
      </w:r>
      <w:proofErr w:type="spellStart"/>
      <w:r>
        <w:rPr>
          <w:rFonts w:ascii="Arial" w:eastAsia="Calibri" w:hAnsi="Arial" w:cs="Arial"/>
        </w:rPr>
        <w:t>i</w:t>
      </w:r>
      <w:proofErr w:type="spellEnd"/>
      <w:r>
        <w:rPr>
          <w:rFonts w:ascii="Arial" w:eastAsia="Calibri" w:hAnsi="Arial" w:cs="Arial"/>
        </w:rPr>
        <w:t>). In contrast, the metal concentrations in the earthworms increased steadily over time up to day 21</w:t>
      </w:r>
      <w:r w:rsidR="00942EEC">
        <w:rPr>
          <w:rFonts w:ascii="Arial" w:eastAsia="Calibri" w:hAnsi="Arial" w:cs="Arial"/>
        </w:rPr>
        <w:t>,</w:t>
      </w:r>
      <w:r>
        <w:rPr>
          <w:rFonts w:ascii="Arial" w:eastAsia="Calibri" w:hAnsi="Arial" w:cs="Arial"/>
        </w:rPr>
        <w:t xml:space="preserve"> which was the exposure period, suggesting uptake and accumulation of metals by earthworms from the soil (Figures </w:t>
      </w:r>
      <w:r>
        <w:rPr>
          <w:rFonts w:ascii="Arial" w:eastAsia="Calibri" w:hAnsi="Arial" w:cs="Arial"/>
          <w:lang w:val="en-GB"/>
        </w:rPr>
        <w:t xml:space="preserve">3 </w:t>
      </w:r>
      <w:r>
        <w:rPr>
          <w:rFonts w:ascii="Arial" w:eastAsia="Calibri" w:hAnsi="Arial" w:cs="Arial"/>
        </w:rPr>
        <w:t xml:space="preserve">b, d, f, h, and j). </w:t>
      </w:r>
      <w:r>
        <w:rPr>
          <w:rFonts w:ascii="Arial" w:eastAsia="Calibri" w:hAnsi="Arial" w:cs="Arial"/>
          <w:lang w:val="en-GB"/>
        </w:rPr>
        <w:t>I</w:t>
      </w:r>
      <w:r>
        <w:rPr>
          <w:rFonts w:ascii="Arial" w:eastAsia="Calibri" w:hAnsi="Arial" w:cs="Arial"/>
        </w:rPr>
        <w:t xml:space="preserve">t was </w:t>
      </w:r>
      <w:r>
        <w:rPr>
          <w:rFonts w:ascii="Arial" w:eastAsia="Calibri" w:hAnsi="Arial" w:cs="Arial"/>
          <w:lang w:val="en-GB"/>
        </w:rPr>
        <w:t xml:space="preserve">also </w:t>
      </w:r>
      <w:r>
        <w:rPr>
          <w:rFonts w:ascii="Arial" w:eastAsia="Calibri" w:hAnsi="Arial" w:cs="Arial"/>
        </w:rPr>
        <w:t xml:space="preserve">observed that the rate of decrease of heavy metal concentrations in the </w:t>
      </w:r>
      <w:r>
        <w:rPr>
          <w:rFonts w:ascii="Arial" w:eastAsia="Calibri" w:hAnsi="Arial" w:cs="Arial"/>
          <w:lang w:val="en-GB"/>
        </w:rPr>
        <w:t xml:space="preserve">unamended </w:t>
      </w:r>
      <w:r>
        <w:rPr>
          <w:rFonts w:ascii="Arial" w:eastAsia="Calibri" w:hAnsi="Arial" w:cs="Arial"/>
        </w:rPr>
        <w:t xml:space="preserve">soil was faster </w:t>
      </w:r>
      <w:r>
        <w:rPr>
          <w:rFonts w:ascii="Arial" w:eastAsia="Calibri" w:hAnsi="Arial" w:cs="Arial"/>
          <w:lang w:val="en-GB"/>
        </w:rPr>
        <w:t xml:space="preserve">than </w:t>
      </w:r>
      <w:r>
        <w:rPr>
          <w:rFonts w:ascii="Arial" w:eastAsia="Calibri" w:hAnsi="Arial" w:cs="Arial"/>
        </w:rPr>
        <w:t xml:space="preserve">in the </w:t>
      </w:r>
      <w:r>
        <w:rPr>
          <w:rFonts w:ascii="Arial" w:eastAsia="Calibri" w:hAnsi="Arial" w:cs="Arial"/>
          <w:lang w:val="en-GB"/>
        </w:rPr>
        <w:t>biochar-</w:t>
      </w:r>
      <w:r>
        <w:rPr>
          <w:rFonts w:ascii="Arial" w:eastAsia="Calibri" w:hAnsi="Arial" w:cs="Arial"/>
        </w:rPr>
        <w:t xml:space="preserve">amended e-waste soil (Figures </w:t>
      </w:r>
      <w:r>
        <w:rPr>
          <w:rFonts w:ascii="Arial" w:eastAsia="Calibri" w:hAnsi="Arial" w:cs="Arial"/>
          <w:lang w:val="en-GB"/>
        </w:rPr>
        <w:t xml:space="preserve">3 </w:t>
      </w:r>
      <w:r>
        <w:rPr>
          <w:rFonts w:ascii="Arial" w:eastAsia="Calibri" w:hAnsi="Arial" w:cs="Arial"/>
        </w:rPr>
        <w:t xml:space="preserve">a, c, e, g, and </w:t>
      </w:r>
      <w:proofErr w:type="spellStart"/>
      <w:r>
        <w:rPr>
          <w:rFonts w:ascii="Arial" w:eastAsia="Calibri" w:hAnsi="Arial" w:cs="Arial"/>
        </w:rPr>
        <w:t>i</w:t>
      </w:r>
      <w:proofErr w:type="spellEnd"/>
      <w:r>
        <w:rPr>
          <w:rFonts w:ascii="Arial" w:eastAsia="Calibri" w:hAnsi="Arial" w:cs="Arial"/>
        </w:rPr>
        <w:t xml:space="preserve">). </w:t>
      </w:r>
      <w:r>
        <w:rPr>
          <w:rFonts w:ascii="Arial" w:eastAsia="Calibri" w:hAnsi="Arial" w:cs="Arial"/>
          <w:lang w:val="en-GB"/>
        </w:rPr>
        <w:t>Concurrently,</w:t>
      </w:r>
      <w:r>
        <w:rPr>
          <w:rFonts w:ascii="Arial" w:eastAsia="Calibri" w:hAnsi="Arial" w:cs="Arial"/>
        </w:rPr>
        <w:t xml:space="preserve"> the uptake of metals by earthworms was higher in the unamended soil </w:t>
      </w:r>
      <w:r>
        <w:rPr>
          <w:rFonts w:ascii="Arial" w:eastAsia="Calibri" w:hAnsi="Arial" w:cs="Arial"/>
          <w:lang w:val="en-GB"/>
        </w:rPr>
        <w:t xml:space="preserve">than </w:t>
      </w:r>
      <w:r>
        <w:rPr>
          <w:rFonts w:ascii="Arial" w:eastAsia="Calibri" w:hAnsi="Arial" w:cs="Arial"/>
        </w:rPr>
        <w:t xml:space="preserve">in the </w:t>
      </w:r>
      <w:r>
        <w:rPr>
          <w:rFonts w:ascii="Arial" w:eastAsia="Calibri" w:hAnsi="Arial" w:cs="Arial"/>
          <w:lang w:val="en-GB"/>
        </w:rPr>
        <w:t>biochar-</w:t>
      </w:r>
      <w:r>
        <w:rPr>
          <w:rFonts w:ascii="Arial" w:eastAsia="Calibri" w:hAnsi="Arial" w:cs="Arial"/>
        </w:rPr>
        <w:t xml:space="preserve">amended e-waste soil (Figures </w:t>
      </w:r>
      <w:r>
        <w:rPr>
          <w:rFonts w:ascii="Arial" w:eastAsia="Calibri" w:hAnsi="Arial" w:cs="Arial"/>
          <w:lang w:val="en-GB"/>
        </w:rPr>
        <w:t xml:space="preserve">3 </w:t>
      </w:r>
      <w:r>
        <w:rPr>
          <w:rFonts w:ascii="Arial" w:eastAsia="Calibri" w:hAnsi="Arial" w:cs="Arial"/>
        </w:rPr>
        <w:t xml:space="preserve">b, d, f, h, and j). This indicated that </w:t>
      </w:r>
      <w:r w:rsidR="00942EEC">
        <w:rPr>
          <w:rFonts w:ascii="Arial" w:eastAsia="Calibri" w:hAnsi="Arial" w:cs="Arial"/>
        </w:rPr>
        <w:t xml:space="preserve">the </w:t>
      </w:r>
      <w:r>
        <w:rPr>
          <w:rFonts w:ascii="Arial" w:eastAsia="Calibri" w:hAnsi="Arial" w:cs="Arial"/>
        </w:rPr>
        <w:t xml:space="preserve">amendment </w:t>
      </w:r>
      <w:r>
        <w:rPr>
          <w:rFonts w:ascii="Arial" w:eastAsia="Calibri" w:hAnsi="Arial" w:cs="Arial"/>
        </w:rPr>
        <w:lastRenderedPageBreak/>
        <w:t>of the e-waste contaminated soil with the biochar reduced the bioavailability of the heavy metals</w:t>
      </w:r>
      <w:r w:rsidR="00942EEC">
        <w:rPr>
          <w:rFonts w:ascii="Arial" w:eastAsia="Calibri" w:hAnsi="Arial" w:cs="Arial"/>
        </w:rPr>
        <w:t>,</w:t>
      </w:r>
      <w:r>
        <w:rPr>
          <w:rFonts w:ascii="Arial" w:eastAsia="Calibri" w:hAnsi="Arial" w:cs="Arial"/>
        </w:rPr>
        <w:t xml:space="preserve"> resulting in lower metal uptake by the exposed earthworms. </w:t>
      </w:r>
    </w:p>
    <w:p w14:paraId="493C9B81" w14:textId="77777777" w:rsidR="00B66A9C" w:rsidRDefault="00501121">
      <w:pPr>
        <w:spacing w:line="360" w:lineRule="auto"/>
        <w:jc w:val="both"/>
        <w:rPr>
          <w:rFonts w:ascii="Arial" w:eastAsia="Calibri" w:hAnsi="Arial" w:cs="Arial"/>
        </w:rPr>
      </w:pPr>
      <w:r>
        <w:rPr>
          <w:rFonts w:ascii="Arial" w:eastAsia="Calibri" w:hAnsi="Arial" w:cs="Arial"/>
          <w:noProof/>
        </w:rPr>
        <w:drawing>
          <wp:inline distT="0" distB="0" distL="0" distR="0" wp14:anchorId="2C7D7897" wp14:editId="648814A4">
            <wp:extent cx="2560320" cy="264078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3551" cy="2644120"/>
                    </a:xfrm>
                    <a:prstGeom prst="rect">
                      <a:avLst/>
                    </a:prstGeom>
                    <a:noFill/>
                  </pic:spPr>
                </pic:pic>
              </a:graphicData>
            </a:graphic>
          </wp:inline>
        </w:drawing>
      </w:r>
      <w:r>
        <w:rPr>
          <w:rFonts w:ascii="Arial" w:eastAsia="Calibri" w:hAnsi="Arial" w:cs="Arial"/>
          <w:noProof/>
        </w:rPr>
        <w:drawing>
          <wp:inline distT="0" distB="0" distL="0" distR="0" wp14:anchorId="538CC4F9" wp14:editId="5A6D65CA">
            <wp:extent cx="2558774" cy="258226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3960" cy="2597592"/>
                    </a:xfrm>
                    <a:prstGeom prst="rect">
                      <a:avLst/>
                    </a:prstGeom>
                    <a:noFill/>
                  </pic:spPr>
                </pic:pic>
              </a:graphicData>
            </a:graphic>
          </wp:inline>
        </w:drawing>
      </w:r>
    </w:p>
    <w:p w14:paraId="35268113" w14:textId="77777777" w:rsidR="00B66A9C" w:rsidRDefault="00501121">
      <w:pPr>
        <w:spacing w:line="360" w:lineRule="auto"/>
        <w:jc w:val="both"/>
        <w:rPr>
          <w:rFonts w:ascii="Arial" w:eastAsia="Calibri" w:hAnsi="Arial" w:cs="Arial"/>
          <w:b/>
        </w:rPr>
      </w:pPr>
      <w:r>
        <w:rPr>
          <w:rFonts w:ascii="Arial" w:eastAsia="Calibri" w:hAnsi="Arial" w:cs="Arial"/>
          <w:b/>
        </w:rPr>
        <w:t>Fig.3.</w:t>
      </w:r>
      <w:r>
        <w:t xml:space="preserve"> </w:t>
      </w:r>
      <w:r>
        <w:rPr>
          <w:rFonts w:ascii="Arial" w:eastAsia="Calibri" w:hAnsi="Arial" w:cs="Arial"/>
          <w:b/>
        </w:rPr>
        <w:t xml:space="preserve">Changes in metal concentrations in the soil and earthworms throughout the duration of the </w:t>
      </w:r>
      <w:proofErr w:type="spellStart"/>
      <w:r>
        <w:rPr>
          <w:rFonts w:ascii="Arial" w:eastAsia="Calibri" w:hAnsi="Arial" w:cs="Arial"/>
          <w:b/>
        </w:rPr>
        <w:t>bioaccummulation</w:t>
      </w:r>
      <w:proofErr w:type="spellEnd"/>
      <w:r>
        <w:rPr>
          <w:rFonts w:ascii="Arial" w:eastAsia="Calibri" w:hAnsi="Arial" w:cs="Arial"/>
          <w:b/>
        </w:rPr>
        <w:t xml:space="preserve"> experiment for Cu (a and b), Zn (c and d), Pb (e and f), Ni (g and h) and Cd (i and j).</w:t>
      </w:r>
    </w:p>
    <w:p w14:paraId="21328E3F" w14:textId="77777777" w:rsidR="00B66A9C" w:rsidRDefault="00501121">
      <w:pPr>
        <w:spacing w:line="360" w:lineRule="auto"/>
        <w:jc w:val="both"/>
        <w:rPr>
          <w:rFonts w:ascii="Arial" w:eastAsia="Calibri" w:hAnsi="Arial" w:cs="Arial"/>
        </w:rPr>
      </w:pPr>
      <w:r>
        <w:rPr>
          <w:rFonts w:ascii="Arial" w:eastAsia="Calibri" w:hAnsi="Arial" w:cs="Arial"/>
        </w:rPr>
        <w:t xml:space="preserve">Figure </w:t>
      </w:r>
      <w:r>
        <w:rPr>
          <w:rFonts w:ascii="Arial" w:eastAsia="Calibri" w:hAnsi="Arial" w:cs="Arial"/>
          <w:lang w:val="en-GB"/>
        </w:rPr>
        <w:t>3</w:t>
      </w:r>
      <w:r>
        <w:rPr>
          <w:rFonts w:ascii="Arial" w:eastAsia="Calibri" w:hAnsi="Arial" w:cs="Arial"/>
        </w:rPr>
        <w:t xml:space="preserve"> also shows that after the earthworms were taken out of the contaminated </w:t>
      </w:r>
      <w:r>
        <w:rPr>
          <w:rFonts w:ascii="Arial" w:eastAsia="Calibri" w:hAnsi="Arial" w:cs="Arial"/>
          <w:lang w:val="en-GB"/>
        </w:rPr>
        <w:t>soil</w:t>
      </w:r>
      <w:r>
        <w:rPr>
          <w:rFonts w:ascii="Arial" w:eastAsia="Calibri" w:hAnsi="Arial" w:cs="Arial"/>
        </w:rPr>
        <w:t xml:space="preserve"> (Day 21) the metal concentrations in the earthworms no longer increased and even reduced </w:t>
      </w:r>
      <w:r>
        <w:rPr>
          <w:rFonts w:ascii="Arial" w:eastAsia="Calibri" w:hAnsi="Arial" w:cs="Arial"/>
          <w:lang w:val="en-GB"/>
        </w:rPr>
        <w:t xml:space="preserve">to varying amounts </w:t>
      </w:r>
      <w:r>
        <w:rPr>
          <w:rFonts w:ascii="Arial" w:eastAsia="Calibri" w:hAnsi="Arial" w:cs="Arial"/>
        </w:rPr>
        <w:t xml:space="preserve">showing some level of Figure 3: Changes in metal concentrations in the soil and earthworms throughout the duration of the </w:t>
      </w:r>
      <w:proofErr w:type="spellStart"/>
      <w:r>
        <w:rPr>
          <w:rFonts w:ascii="Arial" w:eastAsia="Calibri" w:hAnsi="Arial" w:cs="Arial"/>
        </w:rPr>
        <w:t>bioaccummulation</w:t>
      </w:r>
      <w:proofErr w:type="spellEnd"/>
      <w:r>
        <w:rPr>
          <w:rFonts w:ascii="Arial" w:eastAsia="Calibri" w:hAnsi="Arial" w:cs="Arial"/>
        </w:rPr>
        <w:t xml:space="preserve"> experiment for Cu (a and b), Zn (c and d), Pb (e and f), Ni (g and h) and Cd (i and j).deputation. It is worth noting that the Cu concentrations in the earthworms started reducing immediately after the worms were taken out of the contaminated medium (Figure </w:t>
      </w:r>
      <w:r>
        <w:rPr>
          <w:rFonts w:ascii="Arial" w:eastAsia="Calibri" w:hAnsi="Arial" w:cs="Arial"/>
          <w:lang w:val="en-GB"/>
        </w:rPr>
        <w:t>3</w:t>
      </w:r>
      <w:r>
        <w:rPr>
          <w:rFonts w:ascii="Arial" w:eastAsia="Calibri" w:hAnsi="Arial" w:cs="Arial"/>
        </w:rPr>
        <w:t xml:space="preserve">b) while it took a longer period for the earthworms to depurate the other metals (Figures </w:t>
      </w:r>
      <w:r>
        <w:rPr>
          <w:rFonts w:ascii="Arial" w:eastAsia="Calibri" w:hAnsi="Arial" w:cs="Arial"/>
          <w:lang w:val="en-GB"/>
        </w:rPr>
        <w:t>3</w:t>
      </w:r>
      <w:r>
        <w:rPr>
          <w:rFonts w:ascii="Arial" w:eastAsia="Calibri" w:hAnsi="Arial" w:cs="Arial"/>
        </w:rPr>
        <w:t>d, f, h, and j).</w:t>
      </w:r>
    </w:p>
    <w:p w14:paraId="2B87C049" w14:textId="38E09707" w:rsidR="00B66A9C" w:rsidRDefault="00501121">
      <w:pPr>
        <w:spacing w:line="360" w:lineRule="auto"/>
        <w:jc w:val="both"/>
        <w:rPr>
          <w:rFonts w:ascii="Arial" w:eastAsia="Calibri" w:hAnsi="Arial" w:cs="Arial"/>
          <w:lang w:val="en-GB"/>
        </w:rPr>
      </w:pPr>
      <w:r>
        <w:rPr>
          <w:rFonts w:ascii="Arial" w:eastAsia="Calibri" w:hAnsi="Arial" w:cs="Arial"/>
        </w:rPr>
        <w:t xml:space="preserve">By the end of the 35-day period, the concentrations of metals in the earthworms were significantly </w:t>
      </w:r>
      <w:r>
        <w:rPr>
          <w:rFonts w:ascii="Arial" w:eastAsia="Calibri" w:hAnsi="Arial" w:cs="Arial"/>
          <w:lang w:val="en-GB"/>
        </w:rPr>
        <w:t>low</w:t>
      </w:r>
      <w:r>
        <w:rPr>
          <w:rFonts w:ascii="Arial" w:eastAsia="Calibri" w:hAnsi="Arial" w:cs="Arial"/>
        </w:rPr>
        <w:t xml:space="preserve">er in the </w:t>
      </w:r>
      <w:r>
        <w:rPr>
          <w:rFonts w:ascii="Arial" w:eastAsia="Calibri" w:hAnsi="Arial" w:cs="Arial"/>
          <w:lang w:val="en-GB"/>
        </w:rPr>
        <w:t>biochar-</w:t>
      </w:r>
      <w:r>
        <w:rPr>
          <w:rFonts w:ascii="Arial" w:eastAsia="Calibri" w:hAnsi="Arial" w:cs="Arial"/>
        </w:rPr>
        <w:t>amended soil</w:t>
      </w:r>
      <w:r>
        <w:rPr>
          <w:rFonts w:ascii="Arial" w:eastAsia="Calibri" w:hAnsi="Arial" w:cs="Arial"/>
          <w:lang w:val="en-GB"/>
        </w:rPr>
        <w:t>s</w:t>
      </w:r>
      <w:r>
        <w:rPr>
          <w:rFonts w:ascii="Arial" w:eastAsia="Calibri" w:hAnsi="Arial" w:cs="Arial"/>
        </w:rPr>
        <w:t xml:space="preserve"> compared to the </w:t>
      </w:r>
      <w:r>
        <w:rPr>
          <w:rFonts w:ascii="Arial" w:eastAsia="Calibri" w:hAnsi="Arial" w:cs="Arial"/>
          <w:lang w:val="en-GB"/>
        </w:rPr>
        <w:t>un</w:t>
      </w:r>
      <w:r>
        <w:rPr>
          <w:rFonts w:ascii="Arial" w:eastAsia="Calibri" w:hAnsi="Arial" w:cs="Arial"/>
        </w:rPr>
        <w:t>amended soil</w:t>
      </w:r>
      <w:r>
        <w:rPr>
          <w:rFonts w:ascii="Arial" w:eastAsia="Calibri" w:hAnsi="Arial" w:cs="Arial"/>
          <w:lang w:val="en-GB"/>
        </w:rPr>
        <w:t xml:space="preserve"> (Figure 4)</w:t>
      </w:r>
      <w:r w:rsidR="00942EEC">
        <w:rPr>
          <w:rFonts w:ascii="Arial" w:eastAsia="Calibri" w:hAnsi="Arial" w:cs="Arial"/>
          <w:lang w:val="en-GB"/>
        </w:rPr>
        <w:t>,</w:t>
      </w:r>
      <w:r>
        <w:rPr>
          <w:rFonts w:ascii="Arial" w:eastAsia="Calibri" w:hAnsi="Arial" w:cs="Arial"/>
          <w:lang w:val="en-GB"/>
        </w:rPr>
        <w:t xml:space="preserve"> showing that the earthworms bioaccumulated the heavy metals less in the amended soil</w:t>
      </w:r>
      <w:r>
        <w:rPr>
          <w:rFonts w:ascii="Arial" w:eastAsia="Calibri" w:hAnsi="Arial" w:cs="Arial"/>
        </w:rPr>
        <w:t>.</w:t>
      </w:r>
      <w:r>
        <w:rPr>
          <w:rFonts w:ascii="Arial" w:eastAsia="Calibri" w:hAnsi="Arial" w:cs="Arial"/>
          <w:lang w:val="en-GB"/>
        </w:rPr>
        <w:t xml:space="preserve"> The heavy metal uptake by earthworms in the biochar-amended soil </w:t>
      </w:r>
      <w:r w:rsidR="00942EEC" w:rsidRPr="00E9105E">
        <w:rPr>
          <w:rFonts w:ascii="Arial" w:eastAsia="Calibri" w:hAnsi="Arial" w:cs="Arial"/>
          <w:highlight w:val="yellow"/>
          <w:lang w:val="en-GB"/>
        </w:rPr>
        <w:t>was</w:t>
      </w:r>
      <w:r w:rsidR="00942EEC">
        <w:rPr>
          <w:rFonts w:ascii="Arial" w:eastAsia="Calibri" w:hAnsi="Arial" w:cs="Arial"/>
          <w:lang w:val="en-GB"/>
        </w:rPr>
        <w:t xml:space="preserve"> </w:t>
      </w:r>
      <w:r>
        <w:rPr>
          <w:rFonts w:ascii="Arial" w:eastAsia="Calibri" w:hAnsi="Arial" w:cs="Arial"/>
          <w:lang w:val="en-GB"/>
        </w:rPr>
        <w:t>reduced by 68.8% for Cd, 64.4% for Cu, 63.5% for Ni, 60% for Zn and 51.6% for Pb. Conversely, the heavy metal concentrations in the biochar-amended soil were significantly higher than in the unamended e-waste soil, confirming the lower heavy metal uptake by the earthworms in the amended soil.</w:t>
      </w:r>
    </w:p>
    <w:p w14:paraId="11E8693E" w14:textId="77777777" w:rsidR="00B66A9C" w:rsidRDefault="00501121">
      <w:pPr>
        <w:spacing w:line="360" w:lineRule="auto"/>
        <w:jc w:val="both"/>
        <w:rPr>
          <w:rFonts w:ascii="Arial" w:eastAsia="Calibri" w:hAnsi="Arial" w:cs="Arial"/>
          <w:lang w:val="en-GB"/>
        </w:rPr>
      </w:pPr>
      <w:r>
        <w:rPr>
          <w:rFonts w:ascii="Arial" w:eastAsia="Calibri" w:hAnsi="Arial" w:cs="Arial"/>
          <w:noProof/>
        </w:rPr>
        <w:lastRenderedPageBreak/>
        <w:drawing>
          <wp:inline distT="0" distB="0" distL="0" distR="0" wp14:anchorId="31E6CE5A" wp14:editId="7E870F9C">
            <wp:extent cx="3591763" cy="323331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2976" cy="3234410"/>
                    </a:xfrm>
                    <a:prstGeom prst="rect">
                      <a:avLst/>
                    </a:prstGeom>
                    <a:noFill/>
                  </pic:spPr>
                </pic:pic>
              </a:graphicData>
            </a:graphic>
          </wp:inline>
        </w:drawing>
      </w:r>
    </w:p>
    <w:p w14:paraId="1C1A3642" w14:textId="77777777" w:rsidR="00B66A9C" w:rsidRDefault="00501121">
      <w:pPr>
        <w:spacing w:line="360" w:lineRule="auto"/>
        <w:jc w:val="both"/>
        <w:rPr>
          <w:rFonts w:ascii="Arial" w:eastAsia="Calibri" w:hAnsi="Arial" w:cs="Arial"/>
          <w:b/>
          <w:lang w:val="en-GB"/>
        </w:rPr>
      </w:pPr>
      <w:r>
        <w:rPr>
          <w:rFonts w:ascii="Arial" w:eastAsia="Calibri" w:hAnsi="Arial" w:cs="Arial"/>
          <w:lang w:val="en-GB"/>
        </w:rPr>
        <w:t xml:space="preserve">    </w:t>
      </w:r>
      <w:r>
        <w:rPr>
          <w:rFonts w:ascii="Arial" w:eastAsia="Calibri" w:hAnsi="Arial" w:cs="Arial"/>
          <w:b/>
          <w:lang w:val="en-GB"/>
        </w:rPr>
        <w:t xml:space="preserve">Fig.4. Relationship between </w:t>
      </w:r>
      <w:r>
        <w:rPr>
          <w:rFonts w:ascii="Arial" w:eastAsia="Calibri" w:hAnsi="Arial" w:cs="Arial"/>
          <w:b/>
          <w:i/>
          <w:lang w:val="en-GB"/>
        </w:rPr>
        <w:t xml:space="preserve">Alma nilotica </w:t>
      </w:r>
      <w:r>
        <w:rPr>
          <w:rFonts w:ascii="Arial" w:eastAsia="Calibri" w:hAnsi="Arial" w:cs="Arial"/>
          <w:b/>
          <w:lang w:val="en-GB"/>
        </w:rPr>
        <w:t>mass and length in the positive control over 35days.</w:t>
      </w:r>
    </w:p>
    <w:p w14:paraId="34A04770" w14:textId="4630B7FE" w:rsidR="00B66A9C" w:rsidRDefault="00501121">
      <w:pPr>
        <w:spacing w:line="360" w:lineRule="auto"/>
        <w:jc w:val="both"/>
        <w:rPr>
          <w:rFonts w:ascii="Arial" w:eastAsia="Calibri" w:hAnsi="Arial" w:cs="Arial"/>
          <w:lang w:val="en-GB"/>
        </w:rPr>
      </w:pPr>
      <w:r>
        <w:rPr>
          <w:rFonts w:ascii="Arial" w:hAnsi="Arial" w:cs="Arial"/>
          <w:bCs/>
          <w:iCs/>
          <w:lang w:val="en-GB" w:eastAsia="fr-FR"/>
        </w:rPr>
        <w:t>The accumulation of heavy metals in the tissues of earthworms over time, expressed as</w:t>
      </w:r>
      <w:r>
        <w:rPr>
          <w:rFonts w:ascii="Arial" w:eastAsia="Calibri" w:hAnsi="Arial" w:cs="Arial"/>
          <w:lang w:val="en-GB"/>
        </w:rPr>
        <w:t xml:space="preserve"> bioaccumulation factors (BAFs), varied from one metal to the other and ranged from 0.21 for Cd to 0.77 for Pb</w:t>
      </w:r>
      <w:r w:rsidR="00942EEC">
        <w:rPr>
          <w:rFonts w:ascii="Arial" w:eastAsia="Calibri" w:hAnsi="Arial" w:cs="Arial"/>
          <w:lang w:val="en-GB"/>
        </w:rPr>
        <w:t>,</w:t>
      </w:r>
      <w:r>
        <w:rPr>
          <w:rFonts w:ascii="Arial" w:eastAsia="Calibri" w:hAnsi="Arial" w:cs="Arial"/>
          <w:lang w:val="en-GB"/>
        </w:rPr>
        <w:t xml:space="preserve"> with Cu, Zn and Ni having BAFs of 0.67. 0.6 and 0.32</w:t>
      </w:r>
      <w:r w:rsidR="00942EEC">
        <w:rPr>
          <w:rFonts w:ascii="Arial" w:eastAsia="Calibri" w:hAnsi="Arial" w:cs="Arial"/>
          <w:lang w:val="en-GB"/>
        </w:rPr>
        <w:t>,</w:t>
      </w:r>
      <w:r>
        <w:rPr>
          <w:rFonts w:ascii="Arial" w:eastAsia="Calibri" w:hAnsi="Arial" w:cs="Arial"/>
          <w:lang w:val="en-GB"/>
        </w:rPr>
        <w:t xml:space="preserve"> respectively</w:t>
      </w:r>
      <w:r w:rsidR="00942EEC">
        <w:rPr>
          <w:rFonts w:ascii="Arial" w:eastAsia="Calibri" w:hAnsi="Arial" w:cs="Arial"/>
          <w:lang w:val="en-GB"/>
        </w:rPr>
        <w:t>,</w:t>
      </w:r>
      <w:r>
        <w:rPr>
          <w:rFonts w:ascii="Arial" w:eastAsia="Calibri" w:hAnsi="Arial" w:cs="Arial"/>
          <w:lang w:val="en-GB"/>
        </w:rPr>
        <w:t xml:space="preserve"> in the unamended soil (Figure 5)</w:t>
      </w:r>
      <w:r>
        <w:rPr>
          <w:rFonts w:ascii="Arial" w:eastAsia="Calibri" w:hAnsi="Arial" w:cs="Arial"/>
        </w:rPr>
        <w:t xml:space="preserve">. </w:t>
      </w:r>
      <w:r>
        <w:rPr>
          <w:rFonts w:ascii="Arial" w:eastAsia="Calibri" w:hAnsi="Arial" w:cs="Arial"/>
          <w:lang w:val="en-GB"/>
        </w:rPr>
        <w:t>In the biochar-amended soil</w:t>
      </w:r>
      <w:r w:rsidR="00942EEC">
        <w:rPr>
          <w:rFonts w:ascii="Arial" w:eastAsia="Calibri" w:hAnsi="Arial" w:cs="Arial"/>
          <w:lang w:val="en-GB"/>
        </w:rPr>
        <w:t>,</w:t>
      </w:r>
      <w:r>
        <w:rPr>
          <w:rFonts w:ascii="Arial" w:eastAsia="Calibri" w:hAnsi="Arial" w:cs="Arial"/>
          <w:lang w:val="en-GB"/>
        </w:rPr>
        <w:t xml:space="preserve"> the BAFs reduced by between 72.7% for Zn and 82.8% for Cd</w:t>
      </w:r>
      <w:r w:rsidR="00942EEC">
        <w:rPr>
          <w:rFonts w:ascii="Arial" w:eastAsia="Calibri" w:hAnsi="Arial" w:cs="Arial"/>
          <w:lang w:val="en-GB"/>
        </w:rPr>
        <w:t>,</w:t>
      </w:r>
      <w:r>
        <w:rPr>
          <w:rFonts w:ascii="Arial" w:eastAsia="Calibri" w:hAnsi="Arial" w:cs="Arial"/>
          <w:lang w:val="en-GB"/>
        </w:rPr>
        <w:t xml:space="preserve"> with the Pb, Cu and Ni BAFs decreasing by 73.3%, 77.7% and 79.6% respectively. Pb had the highest BAF</w:t>
      </w:r>
      <w:r w:rsidR="00942EEC">
        <w:rPr>
          <w:rFonts w:ascii="Arial" w:eastAsia="Calibri" w:hAnsi="Arial" w:cs="Arial"/>
          <w:lang w:val="en-GB"/>
        </w:rPr>
        <w:t>,</w:t>
      </w:r>
      <w:r>
        <w:rPr>
          <w:rFonts w:ascii="Arial" w:eastAsia="Calibri" w:hAnsi="Arial" w:cs="Arial"/>
          <w:lang w:val="en-GB"/>
        </w:rPr>
        <w:t xml:space="preserve"> followed by Cu and Zn</w:t>
      </w:r>
      <w:r w:rsidR="00942EEC">
        <w:rPr>
          <w:rFonts w:ascii="Arial" w:eastAsia="Calibri" w:hAnsi="Arial" w:cs="Arial"/>
          <w:lang w:val="en-GB"/>
        </w:rPr>
        <w:t>,</w:t>
      </w:r>
      <w:r>
        <w:rPr>
          <w:rFonts w:ascii="Arial" w:eastAsia="Calibri" w:hAnsi="Arial" w:cs="Arial"/>
          <w:lang w:val="en-GB"/>
        </w:rPr>
        <w:t xml:space="preserve"> showing that these heavy metals are more easily taken up and accumulated by </w:t>
      </w:r>
      <w:r>
        <w:rPr>
          <w:rFonts w:ascii="Arial" w:eastAsia="Calibri" w:hAnsi="Arial" w:cs="Arial"/>
          <w:i/>
          <w:iCs/>
          <w:lang w:val="en-GB"/>
        </w:rPr>
        <w:t xml:space="preserve">Alma nilotica </w:t>
      </w:r>
      <w:r>
        <w:rPr>
          <w:rFonts w:ascii="Arial" w:eastAsia="Calibri" w:hAnsi="Arial" w:cs="Arial"/>
          <w:lang w:val="en-GB"/>
        </w:rPr>
        <w:t xml:space="preserve">compared to Cd and Ni. </w:t>
      </w:r>
    </w:p>
    <w:p w14:paraId="03E155C7" w14:textId="77777777" w:rsidR="00B66A9C" w:rsidRDefault="00501121">
      <w:pPr>
        <w:spacing w:line="360" w:lineRule="auto"/>
        <w:jc w:val="both"/>
        <w:rPr>
          <w:rFonts w:ascii="Arial" w:eastAsia="Calibri" w:hAnsi="Arial" w:cs="Arial"/>
          <w:lang w:val="en-GB"/>
        </w:rPr>
      </w:pPr>
      <w:r>
        <w:rPr>
          <w:rFonts w:ascii="Arial" w:eastAsia="Calibri" w:hAnsi="Arial" w:cs="Arial"/>
          <w:noProof/>
        </w:rPr>
        <w:drawing>
          <wp:inline distT="0" distB="0" distL="0" distR="0" wp14:anchorId="1E6EC75D" wp14:editId="1AE2FFA6">
            <wp:extent cx="2807246" cy="189499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8107" cy="1895575"/>
                    </a:xfrm>
                    <a:prstGeom prst="rect">
                      <a:avLst/>
                    </a:prstGeom>
                    <a:noFill/>
                  </pic:spPr>
                </pic:pic>
              </a:graphicData>
            </a:graphic>
          </wp:inline>
        </w:drawing>
      </w:r>
    </w:p>
    <w:p w14:paraId="76A46EB5" w14:textId="77777777" w:rsidR="00B66A9C" w:rsidRDefault="00501121">
      <w:pPr>
        <w:spacing w:line="360" w:lineRule="auto"/>
        <w:jc w:val="both"/>
        <w:rPr>
          <w:rFonts w:ascii="Arial" w:hAnsi="Arial" w:cs="Arial"/>
          <w:b/>
          <w:lang w:val="en-GB"/>
        </w:rPr>
      </w:pPr>
      <w:r>
        <w:rPr>
          <w:rFonts w:ascii="Arial" w:hAnsi="Arial" w:cs="Arial"/>
          <w:b/>
          <w:lang w:val="en-GB"/>
        </w:rPr>
        <w:t>Fig.5.</w:t>
      </w:r>
      <w:r>
        <w:rPr>
          <w:b/>
        </w:rPr>
        <w:t xml:space="preserve"> </w:t>
      </w:r>
      <w:r>
        <w:rPr>
          <w:rFonts w:ascii="Arial" w:hAnsi="Arial" w:cs="Arial"/>
          <w:b/>
          <w:lang w:val="en-GB"/>
        </w:rPr>
        <w:t xml:space="preserve">Bioaccumulation factors of metals in unamended and biochar-amended e-waste soils. </w:t>
      </w:r>
    </w:p>
    <w:p w14:paraId="1D381788" w14:textId="77777777" w:rsidR="00B66A9C" w:rsidRDefault="00501121">
      <w:pPr>
        <w:spacing w:line="360" w:lineRule="auto"/>
        <w:jc w:val="both"/>
        <w:rPr>
          <w:rFonts w:ascii="Arial" w:hAnsi="Arial" w:cs="Arial"/>
          <w:lang w:val="en-GB"/>
        </w:rPr>
      </w:pPr>
      <w:r>
        <w:rPr>
          <w:rFonts w:ascii="Arial" w:hAnsi="Arial" w:cs="Arial"/>
          <w:lang w:val="en-GB"/>
        </w:rPr>
        <w:t xml:space="preserve">The BAFs correlated positively with the initial soil metal concentrations both in the amended and unamended soils (Figure 6). This may imply that the initial heavy metal concentrations are indicative of the relative abundance of the bioavailable fraction of the heavy metals in the sample that can be taken up by organisms. </w:t>
      </w:r>
    </w:p>
    <w:p w14:paraId="0BEB86F7" w14:textId="77777777" w:rsidR="00B66A9C" w:rsidRDefault="00501121">
      <w:pPr>
        <w:spacing w:line="360" w:lineRule="auto"/>
        <w:jc w:val="both"/>
        <w:rPr>
          <w:rFonts w:ascii="Arial" w:eastAsia="Calibri" w:hAnsi="Arial" w:cs="Arial"/>
          <w:lang w:val="en-GB"/>
        </w:rPr>
      </w:pPr>
      <w:r>
        <w:rPr>
          <w:rFonts w:ascii="Arial" w:eastAsia="Calibri" w:hAnsi="Arial" w:cs="Arial"/>
          <w:noProof/>
        </w:rPr>
        <w:lastRenderedPageBreak/>
        <w:drawing>
          <wp:inline distT="0" distB="0" distL="0" distR="0" wp14:anchorId="11763403" wp14:editId="11C8E9FA">
            <wp:extent cx="2450592" cy="190300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56088" cy="1907277"/>
                    </a:xfrm>
                    <a:prstGeom prst="rect">
                      <a:avLst/>
                    </a:prstGeom>
                    <a:noFill/>
                  </pic:spPr>
                </pic:pic>
              </a:graphicData>
            </a:graphic>
          </wp:inline>
        </w:drawing>
      </w:r>
    </w:p>
    <w:p w14:paraId="65A55AF0" w14:textId="77777777" w:rsidR="00B66A9C" w:rsidRDefault="00501121">
      <w:pPr>
        <w:rPr>
          <w:rFonts w:ascii="Arial" w:eastAsia="SimSun" w:hAnsi="Arial" w:cs="Arial"/>
          <w:b/>
          <w:lang w:val="en-GB" w:eastAsia="zh-CN"/>
        </w:rPr>
      </w:pPr>
      <w:r>
        <w:rPr>
          <w:rFonts w:ascii="Arial" w:eastAsia="SimSun" w:hAnsi="Arial" w:cs="Arial"/>
          <w:b/>
          <w:lang w:val="en-GB" w:eastAsia="zh-CN"/>
        </w:rPr>
        <w:t>Fig.6. Relationship between the initial soil heavy metal concentrations and the BAFs</w:t>
      </w:r>
    </w:p>
    <w:p w14:paraId="139EA5A5" w14:textId="77777777" w:rsidR="00B66A9C" w:rsidRDefault="00B66A9C">
      <w:pPr>
        <w:rPr>
          <w:rFonts w:ascii="Arial" w:eastAsia="SimSun" w:hAnsi="Arial" w:cs="Arial"/>
          <w:b/>
          <w:lang w:val="en-GB" w:eastAsia="zh-CN"/>
        </w:rPr>
      </w:pPr>
    </w:p>
    <w:p w14:paraId="48457977" w14:textId="3C9EC619" w:rsidR="00B66A9C" w:rsidRDefault="00501121">
      <w:pPr>
        <w:spacing w:afterLines="100" w:after="240" w:line="360" w:lineRule="auto"/>
        <w:jc w:val="both"/>
        <w:rPr>
          <w:rFonts w:ascii="Arial" w:eastAsia="Calibri" w:hAnsi="Arial" w:cs="Arial"/>
          <w:b/>
          <w:lang w:val="en-GB"/>
        </w:rPr>
      </w:pPr>
      <w:r>
        <w:rPr>
          <w:rFonts w:ascii="Arial" w:eastAsia="SimSun" w:hAnsi="Arial" w:cs="Arial"/>
          <w:lang w:val="en-GB" w:eastAsia="zh-CN"/>
        </w:rPr>
        <w:t>These results</w:t>
      </w:r>
      <w:r>
        <w:rPr>
          <w:rFonts w:ascii="Arial" w:eastAsia="Calibri" w:hAnsi="Arial" w:cs="Arial"/>
        </w:rPr>
        <w:t xml:space="preserve"> underscore the significant soil contamination resulting from informal e-waste recycling activities</w:t>
      </w:r>
      <w:r>
        <w:rPr>
          <w:rFonts w:ascii="Arial" w:eastAsia="Calibri" w:hAnsi="Arial" w:cs="Arial"/>
          <w:lang w:val="en-GB"/>
        </w:rPr>
        <w:t xml:space="preserve"> in Douala, Cameroon and thus the need for soil remediation. Amending the e-waste soil with biochar did not reduce the total heavy metal concentrations</w:t>
      </w:r>
      <w:r w:rsidR="00942EEC">
        <w:rPr>
          <w:rFonts w:ascii="Arial" w:eastAsia="Calibri" w:hAnsi="Arial" w:cs="Arial"/>
          <w:lang w:val="en-GB"/>
        </w:rPr>
        <w:t>,</w:t>
      </w:r>
      <w:r>
        <w:rPr>
          <w:rFonts w:ascii="Arial" w:eastAsia="Calibri" w:hAnsi="Arial" w:cs="Arial"/>
          <w:lang w:val="en-GB"/>
        </w:rPr>
        <w:t xml:space="preserve"> but it significantly reduced the heavy metal bioavailability to </w:t>
      </w:r>
      <w:r>
        <w:rPr>
          <w:rFonts w:ascii="Arial" w:eastAsia="Calibri" w:hAnsi="Arial" w:cs="Arial"/>
          <w:i/>
          <w:iCs/>
          <w:lang w:val="en-GB"/>
        </w:rPr>
        <w:t>Alma nilotica</w:t>
      </w:r>
      <w:r w:rsidR="00942EEC">
        <w:rPr>
          <w:rFonts w:ascii="Arial" w:eastAsia="Calibri" w:hAnsi="Arial" w:cs="Arial"/>
          <w:i/>
          <w:iCs/>
          <w:lang w:val="en-GB"/>
        </w:rPr>
        <w:t>,</w:t>
      </w:r>
      <w:r>
        <w:rPr>
          <w:rFonts w:ascii="Arial" w:eastAsia="Calibri" w:hAnsi="Arial" w:cs="Arial"/>
          <w:i/>
          <w:iCs/>
          <w:lang w:val="en-GB"/>
        </w:rPr>
        <w:t xml:space="preserve"> </w:t>
      </w:r>
      <w:r>
        <w:rPr>
          <w:rFonts w:ascii="Arial" w:eastAsia="Calibri" w:hAnsi="Arial" w:cs="Arial"/>
          <w:lang w:val="en-GB"/>
        </w:rPr>
        <w:t xml:space="preserve">leading to lower soil contamination and pollution levels. </w:t>
      </w:r>
    </w:p>
    <w:p w14:paraId="2C51B1DC" w14:textId="77777777" w:rsidR="00B66A9C" w:rsidRDefault="00501121">
      <w:pPr>
        <w:pStyle w:val="Head1"/>
        <w:spacing w:after="0" w:line="360" w:lineRule="auto"/>
        <w:jc w:val="both"/>
        <w:rPr>
          <w:rFonts w:ascii="Arial" w:hAnsi="Arial" w:cs="Arial"/>
          <w:sz w:val="20"/>
        </w:rPr>
      </w:pPr>
      <w:r>
        <w:rPr>
          <w:rFonts w:ascii="Arial" w:hAnsi="Arial" w:cs="Arial"/>
        </w:rPr>
        <w:t xml:space="preserve">3.2 </w:t>
      </w:r>
      <w:r>
        <w:rPr>
          <w:rFonts w:ascii="Arial" w:hAnsi="Arial" w:cs="Arial"/>
          <w:caps w:val="0"/>
          <w:szCs w:val="22"/>
        </w:rPr>
        <w:t>Discussion</w:t>
      </w:r>
    </w:p>
    <w:p w14:paraId="5521006A" w14:textId="77777777" w:rsidR="00B66A9C" w:rsidRDefault="00501121">
      <w:pPr>
        <w:pStyle w:val="Body"/>
        <w:spacing w:line="360" w:lineRule="auto"/>
        <w:rPr>
          <w:rFonts w:ascii="Arial" w:hAnsi="Arial" w:cs="Arial"/>
          <w:b/>
        </w:rPr>
      </w:pPr>
      <w:r>
        <w:rPr>
          <w:rFonts w:ascii="Arial" w:hAnsi="Arial" w:cs="Arial"/>
          <w:b/>
        </w:rPr>
        <w:t>3.2.1 Effect of biochar amendment on e-waste contaminated soil quality</w:t>
      </w:r>
    </w:p>
    <w:p w14:paraId="6E19C4E3" w14:textId="2FACFE81" w:rsidR="00B66A9C" w:rsidRDefault="00501121">
      <w:pPr>
        <w:pStyle w:val="Body"/>
        <w:spacing w:line="360" w:lineRule="auto"/>
        <w:rPr>
          <w:rFonts w:ascii="Arial" w:hAnsi="Arial" w:cs="Arial"/>
        </w:rPr>
      </w:pPr>
      <w:r>
        <w:rPr>
          <w:rFonts w:ascii="Arial" w:hAnsi="Arial" w:cs="Arial"/>
        </w:rPr>
        <w:t xml:space="preserve">We set out to determine the relationship between biochar amendment to e-waste contaminated soil, heavy metal bioavailability, and bioaccumulation by </w:t>
      </w:r>
      <w:r>
        <w:rPr>
          <w:rFonts w:ascii="Arial" w:hAnsi="Arial" w:cs="Arial"/>
          <w:i/>
        </w:rPr>
        <w:t>A. nilotica,</w:t>
      </w:r>
      <w:r>
        <w:rPr>
          <w:rFonts w:ascii="Arial" w:hAnsi="Arial" w:cs="Arial"/>
        </w:rPr>
        <w:t xml:space="preserve"> and the level of soil contamination/pollution. Feedstock greatly influences biochar characteristics, including porosity, specific surface area, pH, electrical conductivity, cation exchange capacity (CEC), and elemental content (Hou et al., 2023). We found that maize cob-based biochar possessed </w:t>
      </w:r>
      <w:proofErr w:type="spellStart"/>
      <w:r>
        <w:rPr>
          <w:rFonts w:ascii="Arial" w:hAnsi="Arial" w:cs="Arial"/>
        </w:rPr>
        <w:t>favourable</w:t>
      </w:r>
      <w:proofErr w:type="spellEnd"/>
      <w:r>
        <w:rPr>
          <w:rFonts w:ascii="Arial" w:hAnsi="Arial" w:cs="Arial"/>
        </w:rPr>
        <w:t xml:space="preserve"> characteristics that enabled it to improve the soil physicochemical properties. In particular, it increased the pH, % OC, C/N ratio, and the CEC. According to Hou et al. (2023), biochar generally has a high pH due to the presence of salts such as calcite (CaCO3), thus </w:t>
      </w:r>
      <w:proofErr w:type="spellStart"/>
      <w:r w:rsidR="00942EEC" w:rsidRPr="00E9105E">
        <w:rPr>
          <w:rFonts w:ascii="Arial" w:hAnsi="Arial" w:cs="Arial"/>
          <w:highlight w:val="yellow"/>
        </w:rPr>
        <w:t>neutralising</w:t>
      </w:r>
      <w:proofErr w:type="spellEnd"/>
      <w:r w:rsidR="00942EEC">
        <w:rPr>
          <w:rFonts w:ascii="Arial" w:hAnsi="Arial" w:cs="Arial"/>
        </w:rPr>
        <w:t xml:space="preserve"> </w:t>
      </w:r>
      <w:r>
        <w:rPr>
          <w:rFonts w:ascii="Arial" w:hAnsi="Arial" w:cs="Arial"/>
        </w:rPr>
        <w:t>acidic soils and improving the environment for soil microorganisms. Biochar is also known to have a high carbon content and is stable due to its aromatic nature, which makes it resistant to breakdown by biological and environmental factors (Singh et al., 2023; Jin et al., 2024; Pandian et al., 2024), implying that carbon in biochar can remain in the soil for hundreds to thousands of years, making it an excellent soil amendment for improving soil health and fertility over the long term (Jin et al., 2024).</w:t>
      </w:r>
    </w:p>
    <w:p w14:paraId="6DA32542" w14:textId="77777777" w:rsidR="00B66A9C" w:rsidRDefault="00501121">
      <w:pPr>
        <w:pStyle w:val="Body"/>
        <w:spacing w:line="360" w:lineRule="auto"/>
        <w:rPr>
          <w:rFonts w:ascii="Arial" w:hAnsi="Arial" w:cs="Arial"/>
        </w:rPr>
      </w:pPr>
      <w:r>
        <w:rPr>
          <w:rFonts w:ascii="Arial" w:hAnsi="Arial" w:cs="Arial"/>
        </w:rPr>
        <w:t>The heavy metal concentrations in the e-waste soil were far above their respective background concentrations, as well as above the Canadian Soil Quality Guideline Values (CSQGVs) for the protection of environmental and human health (CCME, 1999). In addition, the e-waste soil had an ultra-high metal contamination level, culminating in a very high pollution level. This is in agreement with results obtained by Nfor et al. (2022b), who found all e-waste sites studied in Douala, Cameroon, to have ultra-high heavy metal contamination and pollution levels. Our results also showed that the addition of biochar to the e-waste contaminated soil significantly reduced the contamination and pollution levels, even though the amended soils still remained at ultra-high levels. Biochar has been reported to be a suitable material for heavy metal sequestration due to its substantial specific surface area and high sorption capacity (Hou et al., 2023; Pandian et al., 2024). However, the influence of biochar on the e-waste pollution levels was only possible to obtain after the exposure of earthworms to the amended soil and obtaining the bioavailable fraction of the heavy metals in the soil. Calculation of the pollution indices (</w:t>
      </w:r>
      <w:proofErr w:type="spellStart"/>
      <w:r>
        <w:rPr>
          <w:rFonts w:ascii="Arial" w:hAnsi="Arial" w:cs="Arial"/>
        </w:rPr>
        <w:t>mCd</w:t>
      </w:r>
      <w:proofErr w:type="spellEnd"/>
      <w:r>
        <w:rPr>
          <w:rFonts w:ascii="Arial" w:hAnsi="Arial" w:cs="Arial"/>
        </w:rPr>
        <w:t xml:space="preserve"> and RI) based on the total heavy metal concentrations in the soils indicated a higher level of </w:t>
      </w:r>
      <w:r>
        <w:rPr>
          <w:rFonts w:ascii="Arial" w:hAnsi="Arial" w:cs="Arial"/>
        </w:rPr>
        <w:lastRenderedPageBreak/>
        <w:t xml:space="preserve">contamination and pollution for the biochar-amended e-waste soil, which was faulty. It is therefore more accurate to calculate soil pollution indices using the bioavailable fractions of metal concentrations in the soil. Heavy metal uptake by </w:t>
      </w:r>
      <w:r>
        <w:rPr>
          <w:rFonts w:ascii="Arial" w:hAnsi="Arial" w:cs="Arial"/>
          <w:i/>
        </w:rPr>
        <w:t>A. nilotica</w:t>
      </w:r>
      <w:r>
        <w:rPr>
          <w:rFonts w:ascii="Arial" w:hAnsi="Arial" w:cs="Arial"/>
        </w:rPr>
        <w:t xml:space="preserve"> in the present study gave a good indication of the relative bioavailable heavy metal fractions in the amended and unamended soils.</w:t>
      </w:r>
    </w:p>
    <w:p w14:paraId="26D94B4A" w14:textId="77777777" w:rsidR="00B66A9C" w:rsidRDefault="00501121">
      <w:pPr>
        <w:pStyle w:val="Body"/>
        <w:spacing w:line="360" w:lineRule="auto"/>
        <w:rPr>
          <w:rFonts w:ascii="Arial" w:hAnsi="Arial" w:cs="Arial"/>
          <w:b/>
          <w:u w:val="single"/>
        </w:rPr>
      </w:pPr>
      <w:r>
        <w:rPr>
          <w:rFonts w:ascii="Arial" w:hAnsi="Arial" w:cs="Arial"/>
          <w:b/>
          <w:u w:val="single"/>
        </w:rPr>
        <w:t>3.2.2 Effect of Biochar Amendment on Heavy Metal Accumulation in Earthworms in Unamended and Biochar-Amended E-Waste Soils</w:t>
      </w:r>
    </w:p>
    <w:p w14:paraId="792A2887" w14:textId="1AAC5C0E" w:rsidR="00B66A9C" w:rsidRDefault="00501121">
      <w:pPr>
        <w:pStyle w:val="Body"/>
        <w:spacing w:line="360" w:lineRule="auto"/>
        <w:rPr>
          <w:rFonts w:ascii="Arial" w:hAnsi="Arial" w:cs="Arial"/>
        </w:rPr>
      </w:pPr>
      <w:r>
        <w:rPr>
          <w:rFonts w:ascii="Arial" w:hAnsi="Arial" w:cs="Arial"/>
        </w:rPr>
        <w:t xml:space="preserve">In the present study, earthworms in the e-waste contaminated soil exhibited continuous heavy metal uptake and bioaccumulation throughout the exposure period of 21 days, with a corresponding decrease in soil heavy metal concentrations. Several authors have reported that earthworms are known for their capacity to accumulate heavy metals from the soil, with concentrations typically increasing in the organisms over time while decreasing in the surrounding soil (Parihar et al., 2019; Huang et al., 2021; Xiao et al., 2022; Fai et al., 2023). However, </w:t>
      </w:r>
      <w:r>
        <w:rPr>
          <w:rFonts w:ascii="Arial" w:hAnsi="Arial" w:cs="Arial"/>
          <w:i/>
        </w:rPr>
        <w:t>A. nilotica</w:t>
      </w:r>
      <w:r>
        <w:rPr>
          <w:rFonts w:ascii="Arial" w:hAnsi="Arial" w:cs="Arial"/>
        </w:rPr>
        <w:t xml:space="preserve"> bioaccumulated much fewer heavy metals from the e-waste soil in the presence of biochar compared to when there was no biochar. This indicated that while biochar addition did not reduce the initial total heavy metal concentration in the e-waste contaminated soil, it significantly lowered their bioavailability. Thus, the heavy metal uptake by the earthworms was a good indicator of their bioavailability to soil organisms. Reduced bio-accessibility of heavy metals in polluted soils following biochar amendments has been reported by other authors, including Huang et al. (2020), Wang et al. (2020), Guo et al. (2020), Garau et al. (2022), and Hou et al. (2023), who found that the decreased bioavailability of metals was a result of enhanced sorption due to the high porosity, large specific surface area, elemental content, and high CEC of biochar. The complexation of heavy metals with functional groups in biochar and the exchange with cations like Ca²</w:t>
      </w:r>
      <w:r>
        <w:rPr>
          <w:rFonts w:ascii="Cambria Math" w:hAnsi="Cambria Math" w:cs="Cambria Math"/>
        </w:rPr>
        <w:t>⁺</w:t>
      </w:r>
      <w:r>
        <w:rPr>
          <w:rFonts w:ascii="Arial" w:hAnsi="Arial" w:cs="Arial"/>
        </w:rPr>
        <w:t xml:space="preserve"> and Mg²</w:t>
      </w:r>
      <w:r>
        <w:rPr>
          <w:rFonts w:ascii="Cambria Math" w:hAnsi="Cambria Math" w:cs="Cambria Math"/>
        </w:rPr>
        <w:t>⁺</w:t>
      </w:r>
      <w:r>
        <w:rPr>
          <w:rFonts w:ascii="Arial" w:hAnsi="Arial" w:cs="Arial"/>
        </w:rPr>
        <w:t xml:space="preserve"> further reduced metal availability (Lu et al., 2014). Additionally, the alkalinity of the biochar facilitated lower metal bioavailability by promoting precipitation in soils (Paz-Ferreiro et al., 2013). Earthworms most probably enhanced the interaction between biochar and e-waste soil through their burrowing and feeding activities, which could have increased the biochar's effective surface area and its role as an </w:t>
      </w:r>
      <w:proofErr w:type="spellStart"/>
      <w:r w:rsidR="00942EEC" w:rsidRPr="00E9105E">
        <w:rPr>
          <w:rFonts w:ascii="Arial" w:hAnsi="Arial" w:cs="Arial"/>
          <w:highlight w:val="yellow"/>
        </w:rPr>
        <w:t>immobilising</w:t>
      </w:r>
      <w:proofErr w:type="spellEnd"/>
      <w:r w:rsidR="00942EEC">
        <w:rPr>
          <w:rFonts w:ascii="Arial" w:hAnsi="Arial" w:cs="Arial"/>
        </w:rPr>
        <w:t xml:space="preserve"> </w:t>
      </w:r>
      <w:r>
        <w:rPr>
          <w:rFonts w:ascii="Arial" w:hAnsi="Arial" w:cs="Arial"/>
        </w:rPr>
        <w:t>agent (</w:t>
      </w:r>
      <w:proofErr w:type="spellStart"/>
      <w:r>
        <w:rPr>
          <w:rFonts w:ascii="Arial" w:hAnsi="Arial" w:cs="Arial"/>
        </w:rPr>
        <w:t>Garau</w:t>
      </w:r>
      <w:proofErr w:type="spellEnd"/>
      <w:r>
        <w:rPr>
          <w:rFonts w:ascii="Arial" w:hAnsi="Arial" w:cs="Arial"/>
        </w:rPr>
        <w:t xml:space="preserve"> et al., 2022). Despite these benefits, biochar's inability to completely eliminate metal bioavailability points to limitations in its application (</w:t>
      </w:r>
      <w:proofErr w:type="spellStart"/>
      <w:r>
        <w:rPr>
          <w:rFonts w:ascii="Arial" w:hAnsi="Arial" w:cs="Arial"/>
        </w:rPr>
        <w:t>Taraqqi</w:t>
      </w:r>
      <w:proofErr w:type="spellEnd"/>
      <w:r>
        <w:rPr>
          <w:rFonts w:ascii="Arial" w:hAnsi="Arial" w:cs="Arial"/>
        </w:rPr>
        <w:t>-A-Kamal et al., 2021).</w:t>
      </w:r>
    </w:p>
    <w:p w14:paraId="6161AA4B" w14:textId="77777777" w:rsidR="00B66A9C" w:rsidRDefault="00501121">
      <w:pPr>
        <w:pStyle w:val="Body"/>
        <w:spacing w:line="360" w:lineRule="auto"/>
        <w:rPr>
          <w:rFonts w:ascii="Arial" w:hAnsi="Arial" w:cs="Arial"/>
          <w:b/>
          <w:u w:val="single"/>
        </w:rPr>
      </w:pPr>
      <w:r>
        <w:rPr>
          <w:rFonts w:ascii="Arial" w:hAnsi="Arial" w:cs="Arial"/>
          <w:b/>
          <w:u w:val="single"/>
        </w:rPr>
        <w:t>3.2.3 Bioaccumulation Factors of Metals in Unamended and Biochar-Amended E-Waste Soils</w:t>
      </w:r>
    </w:p>
    <w:p w14:paraId="7ACEE4C5" w14:textId="7732FC2C" w:rsidR="00B66A9C" w:rsidRDefault="00501121">
      <w:pPr>
        <w:pStyle w:val="Body"/>
        <w:spacing w:line="360" w:lineRule="auto"/>
        <w:rPr>
          <w:rFonts w:ascii="Arial" w:hAnsi="Arial" w:cs="Arial"/>
        </w:rPr>
      </w:pPr>
      <w:r>
        <w:rPr>
          <w:rFonts w:ascii="Arial" w:hAnsi="Arial" w:cs="Arial"/>
        </w:rPr>
        <w:t xml:space="preserve">Bioaccumulation is the gradual buildup of a pollutant from the environment in an organism over time, typically through soil or dietary absorption due to faster uptake than elimination rates (Fai et al., 2023). Earthworms are particularly effective at absorbing heavy metals from contaminated soils, largely due to their close contact with the soil matrix (Parihar et al., 2019; Nfor et al., 2022b). Their </w:t>
      </w:r>
      <w:proofErr w:type="spellStart"/>
      <w:r w:rsidR="00942EEC" w:rsidRPr="00E9105E">
        <w:rPr>
          <w:rFonts w:ascii="Arial" w:hAnsi="Arial" w:cs="Arial"/>
          <w:highlight w:val="yellow"/>
        </w:rPr>
        <w:t>behaviour</w:t>
      </w:r>
      <w:proofErr w:type="spellEnd"/>
      <w:r>
        <w:rPr>
          <w:rFonts w:ascii="Arial" w:hAnsi="Arial" w:cs="Arial"/>
        </w:rPr>
        <w:t xml:space="preserve">, such as feeding and burrowing, can influence soil metal levels through bioaccumulation (Huang et al., 2020), and the accumulation of heavy metals in earthworms is associated with detrimental health effects (Sun et al., 2022). Our study revealed variable levels of heavy metal bioaccumulation by A. nilotica. </w:t>
      </w:r>
      <w:proofErr w:type="spellStart"/>
      <w:r>
        <w:rPr>
          <w:rFonts w:ascii="Arial" w:hAnsi="Arial" w:cs="Arial"/>
        </w:rPr>
        <w:t>Ukalska-Jaruga</w:t>
      </w:r>
      <w:proofErr w:type="spellEnd"/>
      <w:r>
        <w:rPr>
          <w:rFonts w:ascii="Arial" w:hAnsi="Arial" w:cs="Arial"/>
        </w:rPr>
        <w:t xml:space="preserve"> et al. (2022) found that Cd posed the highest risk in soils, particularly in the presence of high Zn and Pb concentrations. This is in agreement with our results when the total soil metal concentrations were used. The bioavailable fraction is more important than the total metal concentration because it is responsible for any observed ecological effects. When the bioavailable metal fractions, based on earthworm metal uptake, were considered, Pb contributed most to the contamination level as well as to the pollution level, expressed as the potential ecological risk index (RI) because Pb was taken up by A. nilotica 7 times more than Cd. Heavy metals can interact competitively, with Pb being more readily </w:t>
      </w:r>
      <w:r>
        <w:rPr>
          <w:rFonts w:ascii="Arial" w:hAnsi="Arial" w:cs="Arial"/>
        </w:rPr>
        <w:lastRenderedPageBreak/>
        <w:t xml:space="preserve">absorbed and retained in earthworm tissues than Cd (Bakht et al., 2022). Pb therefore had the highest bioaccumulation factor (BAF) in the present study, followed by Cu and Zn, with Cd having the least BAF. Earthworms can accumulate Pb over time due to their limited detoxification ability, resulting in elevated concentrations within their tissues (Bakht et al., 2022). This is in agreement with Fai et al. (2023), who found Pb to be the highest accumulated by </w:t>
      </w:r>
      <w:r>
        <w:rPr>
          <w:rFonts w:ascii="Arial" w:hAnsi="Arial" w:cs="Arial"/>
          <w:i/>
        </w:rPr>
        <w:t>A. nilotica</w:t>
      </w:r>
      <w:r>
        <w:rPr>
          <w:rFonts w:ascii="Arial" w:hAnsi="Arial" w:cs="Arial"/>
        </w:rPr>
        <w:t xml:space="preserve"> among the four heavy metals studied. Earthworm species differ in their heavy metal uptake, which may explain the differences between our study and that of </w:t>
      </w:r>
      <w:proofErr w:type="spellStart"/>
      <w:r>
        <w:rPr>
          <w:rFonts w:ascii="Arial" w:hAnsi="Arial" w:cs="Arial"/>
        </w:rPr>
        <w:t>Ukalska-Jaruga</w:t>
      </w:r>
      <w:proofErr w:type="spellEnd"/>
      <w:r>
        <w:rPr>
          <w:rFonts w:ascii="Arial" w:hAnsi="Arial" w:cs="Arial"/>
        </w:rPr>
        <w:t xml:space="preserve"> et al. (2022), who used </w:t>
      </w:r>
      <w:r>
        <w:rPr>
          <w:rFonts w:ascii="Arial" w:hAnsi="Arial" w:cs="Arial"/>
          <w:i/>
        </w:rPr>
        <w:t xml:space="preserve">Eisenia </w:t>
      </w:r>
      <w:proofErr w:type="spellStart"/>
      <w:r>
        <w:rPr>
          <w:rFonts w:ascii="Arial" w:hAnsi="Arial" w:cs="Arial"/>
          <w:i/>
        </w:rPr>
        <w:t>veneta</w:t>
      </w:r>
      <w:proofErr w:type="spellEnd"/>
      <w:r>
        <w:rPr>
          <w:rFonts w:ascii="Arial" w:hAnsi="Arial" w:cs="Arial"/>
        </w:rPr>
        <w:t xml:space="preserve">, an </w:t>
      </w:r>
      <w:proofErr w:type="spellStart"/>
      <w:r>
        <w:rPr>
          <w:rFonts w:ascii="Arial" w:hAnsi="Arial" w:cs="Arial"/>
        </w:rPr>
        <w:t>epigeic</w:t>
      </w:r>
      <w:proofErr w:type="spellEnd"/>
      <w:r>
        <w:rPr>
          <w:rFonts w:ascii="Arial" w:hAnsi="Arial" w:cs="Arial"/>
        </w:rPr>
        <w:t xml:space="preserve"> earthworm species, as opposed to </w:t>
      </w:r>
      <w:r>
        <w:rPr>
          <w:rFonts w:ascii="Arial" w:hAnsi="Arial" w:cs="Arial"/>
          <w:i/>
        </w:rPr>
        <w:t xml:space="preserve">A. nilotica, </w:t>
      </w:r>
      <w:r>
        <w:rPr>
          <w:rFonts w:ascii="Arial" w:hAnsi="Arial" w:cs="Arial"/>
        </w:rPr>
        <w:t xml:space="preserve">which is an </w:t>
      </w:r>
      <w:proofErr w:type="spellStart"/>
      <w:r>
        <w:rPr>
          <w:rFonts w:ascii="Arial" w:hAnsi="Arial" w:cs="Arial"/>
        </w:rPr>
        <w:t>anecic</w:t>
      </w:r>
      <w:proofErr w:type="spellEnd"/>
      <w:r>
        <w:rPr>
          <w:rFonts w:ascii="Arial" w:hAnsi="Arial" w:cs="Arial"/>
        </w:rPr>
        <w:t xml:space="preserve"> species. Differences could also result from the type of soil amendment used, meaning that </w:t>
      </w:r>
      <w:proofErr w:type="spellStart"/>
      <w:r>
        <w:rPr>
          <w:rFonts w:ascii="Arial" w:hAnsi="Arial" w:cs="Arial"/>
        </w:rPr>
        <w:t>biochars</w:t>
      </w:r>
      <w:proofErr w:type="spellEnd"/>
      <w:r>
        <w:rPr>
          <w:rFonts w:ascii="Arial" w:hAnsi="Arial" w:cs="Arial"/>
        </w:rPr>
        <w:t xml:space="preserve"> may have different capabilities to reduce the bioavailability of different metals to earthworms (</w:t>
      </w:r>
      <w:proofErr w:type="spellStart"/>
      <w:r>
        <w:rPr>
          <w:rFonts w:ascii="Arial" w:hAnsi="Arial" w:cs="Arial"/>
        </w:rPr>
        <w:t>Ukalska-Jaruga</w:t>
      </w:r>
      <w:proofErr w:type="spellEnd"/>
      <w:r>
        <w:rPr>
          <w:rFonts w:ascii="Arial" w:hAnsi="Arial" w:cs="Arial"/>
        </w:rPr>
        <w:t xml:space="preserve"> et al., 2022). Yang et al. (2016) also found that bamboo and rice straw biochar were more effective at decreasing extractable Cu and Pb than </w:t>
      </w:r>
      <w:r w:rsidR="00942EEC" w:rsidRPr="00E9105E">
        <w:rPr>
          <w:rFonts w:ascii="Arial" w:hAnsi="Arial" w:cs="Arial"/>
          <w:highlight w:val="yellow"/>
        </w:rPr>
        <w:t>at</w:t>
      </w:r>
      <w:r w:rsidR="00942EEC">
        <w:rPr>
          <w:rFonts w:ascii="Arial" w:hAnsi="Arial" w:cs="Arial"/>
        </w:rPr>
        <w:t xml:space="preserve"> </w:t>
      </w:r>
      <w:r>
        <w:rPr>
          <w:rFonts w:ascii="Arial" w:hAnsi="Arial" w:cs="Arial"/>
        </w:rPr>
        <w:t>removing extractable Cd and Zn from the soil. Previous studies have also shown that the bioaccumulation of heavy metals in earthworms is influenced by both soil metal concentrations and physicochemical interactions (</w:t>
      </w:r>
      <w:proofErr w:type="spellStart"/>
      <w:r>
        <w:rPr>
          <w:rFonts w:ascii="Arial" w:hAnsi="Arial" w:cs="Arial"/>
        </w:rPr>
        <w:t>Gaganmeet</w:t>
      </w:r>
      <w:proofErr w:type="spellEnd"/>
      <w:r>
        <w:rPr>
          <w:rFonts w:ascii="Arial" w:hAnsi="Arial" w:cs="Arial"/>
        </w:rPr>
        <w:t xml:space="preserve"> and </w:t>
      </w:r>
      <w:proofErr w:type="spellStart"/>
      <w:r>
        <w:rPr>
          <w:rFonts w:ascii="Arial" w:hAnsi="Arial" w:cs="Arial"/>
        </w:rPr>
        <w:t>Hundal</w:t>
      </w:r>
      <w:proofErr w:type="spellEnd"/>
      <w:r>
        <w:rPr>
          <w:rFonts w:ascii="Arial" w:hAnsi="Arial" w:cs="Arial"/>
        </w:rPr>
        <w:t xml:space="preserve">, 2015; </w:t>
      </w:r>
      <w:proofErr w:type="spellStart"/>
      <w:r>
        <w:rPr>
          <w:rFonts w:ascii="Arial" w:hAnsi="Arial" w:cs="Arial"/>
        </w:rPr>
        <w:t>Lafiti</w:t>
      </w:r>
      <w:proofErr w:type="spellEnd"/>
      <w:r>
        <w:rPr>
          <w:rFonts w:ascii="Arial" w:hAnsi="Arial" w:cs="Arial"/>
        </w:rPr>
        <w:t xml:space="preserve"> et al., 2020). While Cd is known to accumulate in earthworms, it showed the weakest bioaccumulation in this study, likely due to a rise in soil pH (0.4) following biochar application, which favors the formation of insoluble cadmium compounds, thereby reducing its bioavailability (Qi et al., 2017; </w:t>
      </w:r>
      <w:proofErr w:type="spellStart"/>
      <w:r>
        <w:rPr>
          <w:rFonts w:ascii="Arial" w:hAnsi="Arial" w:cs="Arial"/>
        </w:rPr>
        <w:t>Medyńska-Juraszek</w:t>
      </w:r>
      <w:proofErr w:type="spellEnd"/>
      <w:r>
        <w:rPr>
          <w:rFonts w:ascii="Arial" w:hAnsi="Arial" w:cs="Arial"/>
        </w:rPr>
        <w:t xml:space="preserve"> &amp; </w:t>
      </w:r>
      <w:proofErr w:type="spellStart"/>
      <w:r>
        <w:rPr>
          <w:rFonts w:ascii="Arial" w:hAnsi="Arial" w:cs="Arial"/>
        </w:rPr>
        <w:t>Ćwieląg-Piasecka</w:t>
      </w:r>
      <w:proofErr w:type="spellEnd"/>
      <w:r>
        <w:rPr>
          <w:rFonts w:ascii="Arial" w:hAnsi="Arial" w:cs="Arial"/>
        </w:rPr>
        <w:t>, 2019).</w:t>
      </w:r>
    </w:p>
    <w:p w14:paraId="6E2B5E7D" w14:textId="7A011067" w:rsidR="00B66A9C" w:rsidRDefault="00501121">
      <w:pPr>
        <w:pStyle w:val="Body"/>
        <w:spacing w:line="360" w:lineRule="auto"/>
        <w:rPr>
          <w:rFonts w:ascii="Arial" w:hAnsi="Arial" w:cs="Arial"/>
        </w:rPr>
      </w:pPr>
      <w:r>
        <w:rPr>
          <w:rFonts w:ascii="Arial" w:hAnsi="Arial" w:cs="Arial"/>
        </w:rPr>
        <w:t xml:space="preserve">The fluctuations in Ni concentrations in earthworm tissues suggest a limited capacity for Ni accumulation, consistent with findings indicating that </w:t>
      </w:r>
      <w:r>
        <w:rPr>
          <w:rFonts w:ascii="Arial" w:hAnsi="Arial" w:cs="Arial"/>
          <w:i/>
        </w:rPr>
        <w:t xml:space="preserve">E. </w:t>
      </w:r>
      <w:proofErr w:type="spellStart"/>
      <w:r>
        <w:rPr>
          <w:rFonts w:ascii="Arial" w:hAnsi="Arial" w:cs="Arial"/>
          <w:i/>
        </w:rPr>
        <w:t>fetida</w:t>
      </w:r>
      <w:proofErr w:type="spellEnd"/>
      <w:r>
        <w:rPr>
          <w:rFonts w:ascii="Arial" w:hAnsi="Arial" w:cs="Arial"/>
        </w:rPr>
        <w:t xml:space="preserve"> is less sensitive to Ni at lower concentrations (Nfor et al., 2022). During the depuration phase, different elimination rates were observed for the metals, with all metals absorbed by earthworms being expelled </w:t>
      </w:r>
      <w:r w:rsidR="00942EEC" w:rsidRPr="00E9105E">
        <w:rPr>
          <w:rFonts w:ascii="Arial" w:hAnsi="Arial" w:cs="Arial"/>
          <w:highlight w:val="yellow"/>
        </w:rPr>
        <w:t>afterwards</w:t>
      </w:r>
      <w:r>
        <w:rPr>
          <w:rFonts w:ascii="Arial" w:hAnsi="Arial" w:cs="Arial"/>
        </w:rPr>
        <w:t xml:space="preserve">. Among these, Cu was eliminated the fastest, followed closely by Zn. Cu levels in earthworms declined rapidly after removal from the contaminated environment, whereas other metals required longer for depuration. This rapid elimination of Cu suggests that </w:t>
      </w:r>
      <w:r>
        <w:rPr>
          <w:rFonts w:ascii="Arial" w:hAnsi="Arial" w:cs="Arial"/>
          <w:i/>
        </w:rPr>
        <w:t>A. nilotica</w:t>
      </w:r>
      <w:r>
        <w:rPr>
          <w:rFonts w:ascii="Arial" w:hAnsi="Arial" w:cs="Arial"/>
        </w:rPr>
        <w:t xml:space="preserve"> regulates Cu more effectively than other metals (Fai et al., 2023). Studies by Richardson et al. (2020) and Parihar et al. (2019) support this, indicating that earthworms can maintain equilibrium levels of essential metals like Cu and Zn while struggling to do so for non-essential metals such as Pb, Cd, and Ni. Our results demonstrated that</w:t>
      </w:r>
      <w:r>
        <w:rPr>
          <w:rFonts w:ascii="Arial" w:hAnsi="Arial" w:cs="Arial"/>
          <w:i/>
        </w:rPr>
        <w:t xml:space="preserve"> A. nilotica </w:t>
      </w:r>
      <w:r>
        <w:rPr>
          <w:rFonts w:ascii="Arial" w:hAnsi="Arial" w:cs="Arial"/>
        </w:rPr>
        <w:t>consistently accumulated Zn throughout the 21-day exposure period in both biochar-amended and unamended soils, with notable elimination during the depuration phase.</w:t>
      </w:r>
    </w:p>
    <w:p w14:paraId="10D4C43E" w14:textId="77777777" w:rsidR="00B66A9C" w:rsidRDefault="00501121">
      <w:pPr>
        <w:pStyle w:val="Body"/>
        <w:spacing w:line="360" w:lineRule="auto"/>
        <w:rPr>
          <w:rFonts w:ascii="Arial" w:hAnsi="Arial" w:cs="Arial"/>
        </w:rPr>
      </w:pPr>
      <w:r>
        <w:rPr>
          <w:rFonts w:ascii="Arial" w:hAnsi="Arial" w:cs="Arial"/>
        </w:rPr>
        <w:t xml:space="preserve">The positive correlation between initial heavy metal concentrations in both unamended and biochar-amended e-waste soils and earthworm bioaccumulation corroborates findings from </w:t>
      </w:r>
      <w:proofErr w:type="spellStart"/>
      <w:r>
        <w:rPr>
          <w:rFonts w:ascii="Arial" w:hAnsi="Arial" w:cs="Arial"/>
        </w:rPr>
        <w:t>Lafiti</w:t>
      </w:r>
      <w:proofErr w:type="spellEnd"/>
      <w:r>
        <w:rPr>
          <w:rFonts w:ascii="Arial" w:hAnsi="Arial" w:cs="Arial"/>
        </w:rPr>
        <w:t xml:space="preserve"> et al. (2020) and Nfor et al. (2022b). These studies reported that increases in soil heavy metal concentrations are typically associated with greater metal accumulation by earthworms. Biochar amendment mitigates this effect by lowering the BAFs, but the relationship is maintained.</w:t>
      </w:r>
    </w:p>
    <w:p w14:paraId="4D79487A" w14:textId="77777777" w:rsidR="00B66A9C" w:rsidRDefault="00501121">
      <w:pPr>
        <w:pStyle w:val="ConcHead"/>
        <w:spacing w:after="0"/>
        <w:jc w:val="both"/>
        <w:rPr>
          <w:rFonts w:ascii="Arial" w:hAnsi="Arial" w:cs="Arial"/>
        </w:rPr>
      </w:pPr>
      <w:r>
        <w:rPr>
          <w:rFonts w:ascii="Arial" w:hAnsi="Arial" w:cs="Arial"/>
        </w:rPr>
        <w:t>4. Conclusion</w:t>
      </w:r>
    </w:p>
    <w:p w14:paraId="40DE54E0" w14:textId="77777777" w:rsidR="00B66A9C" w:rsidRDefault="00B66A9C">
      <w:pPr>
        <w:pStyle w:val="Body"/>
        <w:spacing w:after="0" w:line="360" w:lineRule="auto"/>
        <w:rPr>
          <w:rFonts w:ascii="Arial" w:hAnsi="Arial" w:cs="Arial"/>
        </w:rPr>
      </w:pPr>
    </w:p>
    <w:p w14:paraId="2C6AE613" w14:textId="379F04C5" w:rsidR="00B66A9C" w:rsidRDefault="00501121">
      <w:pPr>
        <w:pStyle w:val="Body"/>
        <w:spacing w:after="0" w:line="360" w:lineRule="auto"/>
        <w:rPr>
          <w:rFonts w:ascii="Arial" w:hAnsi="Arial" w:cs="Arial"/>
        </w:rPr>
      </w:pPr>
      <w:r>
        <w:rPr>
          <w:rFonts w:ascii="Arial" w:hAnsi="Arial" w:cs="Arial"/>
        </w:rPr>
        <w:t xml:space="preserve">In conclusion, this study highlights the significant role of biochar in improving the quality of </w:t>
      </w:r>
      <w:r w:rsidR="00942EEC" w:rsidRPr="00E9105E">
        <w:rPr>
          <w:rFonts w:ascii="Arial" w:hAnsi="Arial" w:cs="Arial"/>
          <w:highlight w:val="yellow"/>
        </w:rPr>
        <w:t>e-waste-contaminated</w:t>
      </w:r>
      <w:r>
        <w:rPr>
          <w:rFonts w:ascii="Arial" w:hAnsi="Arial" w:cs="Arial"/>
        </w:rPr>
        <w:t xml:space="preserve"> soils while addressing heavy metal accumulation in earthworms. The incorporation of maize cob-based biochar not only enhanced organic carbon and organic matter content but also positively affected soil pH, C/N and CEC, promoting overall soil health. Despite the high concentrations of heavy metals in e-waste soils, biochar demonstrated its potential to significantly reduce the bioavailability of these metals, thereby decreasing their uptake by earthworms. Therefore, the heavy metal uptake by earthworms was a good indicator of the bioavailable fraction of the heavy metals in the soil. Based on this</w:t>
      </w:r>
      <w:r w:rsidR="00942EEC">
        <w:rPr>
          <w:rFonts w:ascii="Arial" w:hAnsi="Arial" w:cs="Arial"/>
        </w:rPr>
        <w:t>,</w:t>
      </w:r>
      <w:r>
        <w:rPr>
          <w:rFonts w:ascii="Arial" w:hAnsi="Arial" w:cs="Arial"/>
        </w:rPr>
        <w:t xml:space="preserve"> our results have shown that maize cob biochar amendment of e-waste contaminated soil results in </w:t>
      </w:r>
      <w:r w:rsidR="00942EEC">
        <w:rPr>
          <w:rFonts w:ascii="Arial" w:hAnsi="Arial" w:cs="Arial"/>
        </w:rPr>
        <w:t xml:space="preserve">a </w:t>
      </w:r>
      <w:r>
        <w:rPr>
          <w:rFonts w:ascii="Arial" w:hAnsi="Arial" w:cs="Arial"/>
        </w:rPr>
        <w:t xml:space="preserve">significant </w:t>
      </w:r>
      <w:r>
        <w:rPr>
          <w:rFonts w:ascii="Arial" w:hAnsi="Arial" w:cs="Arial"/>
        </w:rPr>
        <w:lastRenderedPageBreak/>
        <w:t xml:space="preserve">reduction of the soil contamination and pollution levels. The study also revealed distinct patterns of heavy metal bioaccumulation, with </w:t>
      </w:r>
      <w:r>
        <w:rPr>
          <w:rFonts w:ascii="Arial" w:hAnsi="Arial" w:cs="Arial"/>
          <w:i/>
        </w:rPr>
        <w:t>A. nilotica</w:t>
      </w:r>
      <w:r>
        <w:rPr>
          <w:rFonts w:ascii="Arial" w:hAnsi="Arial" w:cs="Arial"/>
        </w:rPr>
        <w:t xml:space="preserve"> exhibiting varying affinities for different metals</w:t>
      </w:r>
      <w:r w:rsidR="00942EEC">
        <w:rPr>
          <w:rFonts w:ascii="Arial" w:hAnsi="Arial" w:cs="Arial"/>
        </w:rPr>
        <w:t>,</w:t>
      </w:r>
      <w:r>
        <w:rPr>
          <w:rFonts w:ascii="Arial" w:hAnsi="Arial" w:cs="Arial"/>
        </w:rPr>
        <w:t xml:space="preserve"> with Pb being the most highly bioaccumulated heavy metal. Notably, the dynamics of metal uptake and elimination underscore the complex interactions between biochar, soil characteristics, and earthworm physiology. The findings advocate for the strategic use of biochar</w:t>
      </w:r>
      <w:r w:rsidR="00942EEC">
        <w:rPr>
          <w:rFonts w:ascii="Arial" w:hAnsi="Arial" w:cs="Arial"/>
        </w:rPr>
        <w:t>,</w:t>
      </w:r>
      <w:r>
        <w:rPr>
          <w:rFonts w:ascii="Arial" w:hAnsi="Arial" w:cs="Arial"/>
        </w:rPr>
        <w:t xml:space="preserve"> enhancing soil quality and contributing to sustainable remediation practices in areas affected by e-waste pollution. Overall, this research provides valuable insights into the benefits of biochar as a soil amendment in contaminated environments, while also </w:t>
      </w:r>
      <w:proofErr w:type="spellStart"/>
      <w:r w:rsidR="00942EEC" w:rsidRPr="00E9105E">
        <w:rPr>
          <w:rFonts w:ascii="Arial" w:hAnsi="Arial" w:cs="Arial"/>
          <w:highlight w:val="yellow"/>
        </w:rPr>
        <w:t>emphasising</w:t>
      </w:r>
      <w:proofErr w:type="spellEnd"/>
      <w:r w:rsidR="00942EEC">
        <w:rPr>
          <w:rFonts w:ascii="Arial" w:hAnsi="Arial" w:cs="Arial"/>
        </w:rPr>
        <w:t xml:space="preserve"> </w:t>
      </w:r>
      <w:r>
        <w:rPr>
          <w:rFonts w:ascii="Arial" w:hAnsi="Arial" w:cs="Arial"/>
        </w:rPr>
        <w:t xml:space="preserve">the need for further investigation into its long-term effects on soil biota and the environment. </w:t>
      </w:r>
    </w:p>
    <w:p w14:paraId="1C09326F" w14:textId="77777777" w:rsidR="002C698D" w:rsidRDefault="002C698D">
      <w:pPr>
        <w:pStyle w:val="Body"/>
        <w:spacing w:after="0" w:line="360" w:lineRule="auto"/>
        <w:rPr>
          <w:rFonts w:ascii="Arial" w:hAnsi="Arial" w:cs="Arial"/>
        </w:rPr>
      </w:pPr>
    </w:p>
    <w:p w14:paraId="27E08366" w14:textId="77777777" w:rsidR="002C698D" w:rsidRPr="00725527" w:rsidRDefault="002C698D" w:rsidP="002C698D">
      <w:pPr>
        <w:rPr>
          <w:b/>
          <w:highlight w:val="yellow"/>
        </w:rPr>
      </w:pPr>
      <w:r w:rsidRPr="00725527">
        <w:rPr>
          <w:b/>
          <w:highlight w:val="yellow"/>
        </w:rPr>
        <w:t>Disclaimer (Artificial intelligence)</w:t>
      </w:r>
    </w:p>
    <w:p w14:paraId="6B1DA6EF" w14:textId="77777777" w:rsidR="002C698D" w:rsidRPr="00394842" w:rsidRDefault="002C698D" w:rsidP="002C698D">
      <w:pPr>
        <w:rPr>
          <w:highlight w:val="yellow"/>
        </w:rPr>
      </w:pPr>
    </w:p>
    <w:p w14:paraId="6B9A1895" w14:textId="77777777" w:rsidR="002C698D" w:rsidRPr="00394842" w:rsidRDefault="002C698D" w:rsidP="002C698D">
      <w:pPr>
        <w:rPr>
          <w:highlight w:val="yellow"/>
        </w:rPr>
      </w:pPr>
      <w:r w:rsidRPr="00394842">
        <w:rPr>
          <w:highlight w:val="yellow"/>
        </w:rPr>
        <w:t xml:space="preserve">Option 1: </w:t>
      </w:r>
    </w:p>
    <w:p w14:paraId="11ADEC6A" w14:textId="77777777" w:rsidR="002C698D" w:rsidRPr="00394842" w:rsidRDefault="002C698D" w:rsidP="002C698D">
      <w:pPr>
        <w:rPr>
          <w:highlight w:val="yellow"/>
        </w:rPr>
      </w:pPr>
    </w:p>
    <w:p w14:paraId="585361B8" w14:textId="77777777" w:rsidR="002C698D" w:rsidRPr="00394842" w:rsidRDefault="002C698D" w:rsidP="002C698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1D8A710" w14:textId="77777777" w:rsidR="002C698D" w:rsidRPr="00394842" w:rsidRDefault="002C698D" w:rsidP="002C698D">
      <w:pPr>
        <w:rPr>
          <w:highlight w:val="yellow"/>
        </w:rPr>
      </w:pPr>
    </w:p>
    <w:p w14:paraId="3F8DD4C6" w14:textId="77777777" w:rsidR="002C698D" w:rsidRPr="00394842" w:rsidRDefault="002C698D" w:rsidP="002C698D">
      <w:pPr>
        <w:rPr>
          <w:highlight w:val="yellow"/>
        </w:rPr>
      </w:pPr>
      <w:r w:rsidRPr="00394842">
        <w:rPr>
          <w:highlight w:val="yellow"/>
        </w:rPr>
        <w:t xml:space="preserve">Option 2: </w:t>
      </w:r>
    </w:p>
    <w:p w14:paraId="3F28801A" w14:textId="77777777" w:rsidR="002C698D" w:rsidRPr="00394842" w:rsidRDefault="002C698D" w:rsidP="002C698D">
      <w:pPr>
        <w:rPr>
          <w:highlight w:val="yellow"/>
        </w:rPr>
      </w:pPr>
    </w:p>
    <w:p w14:paraId="0FC74CED" w14:textId="77777777" w:rsidR="002C698D" w:rsidRPr="00394842" w:rsidRDefault="002C698D" w:rsidP="002C698D">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DECDA7" w14:textId="77777777" w:rsidR="002C698D" w:rsidRPr="00394842" w:rsidRDefault="002C698D" w:rsidP="002C698D">
      <w:pPr>
        <w:rPr>
          <w:highlight w:val="yellow"/>
        </w:rPr>
      </w:pPr>
    </w:p>
    <w:p w14:paraId="5D846A4A" w14:textId="77777777" w:rsidR="002C698D" w:rsidRPr="00394842" w:rsidRDefault="002C698D" w:rsidP="002C698D">
      <w:pPr>
        <w:rPr>
          <w:highlight w:val="yellow"/>
        </w:rPr>
      </w:pPr>
      <w:r w:rsidRPr="00394842">
        <w:rPr>
          <w:highlight w:val="yellow"/>
        </w:rPr>
        <w:t>Details of the AI usage are given below:</w:t>
      </w:r>
    </w:p>
    <w:p w14:paraId="3BEE8501" w14:textId="77777777" w:rsidR="002C698D" w:rsidRPr="00394842" w:rsidRDefault="002C698D" w:rsidP="002C698D">
      <w:pPr>
        <w:rPr>
          <w:highlight w:val="yellow"/>
        </w:rPr>
      </w:pPr>
      <w:r w:rsidRPr="00394842">
        <w:rPr>
          <w:highlight w:val="yellow"/>
        </w:rPr>
        <w:t>1.</w:t>
      </w:r>
    </w:p>
    <w:p w14:paraId="48715553" w14:textId="77777777" w:rsidR="002C698D" w:rsidRPr="00394842" w:rsidRDefault="002C698D" w:rsidP="002C698D">
      <w:pPr>
        <w:rPr>
          <w:highlight w:val="yellow"/>
        </w:rPr>
      </w:pPr>
      <w:r w:rsidRPr="00394842">
        <w:rPr>
          <w:highlight w:val="yellow"/>
        </w:rPr>
        <w:t>2.</w:t>
      </w:r>
    </w:p>
    <w:p w14:paraId="3EE32273" w14:textId="77777777" w:rsidR="002C698D" w:rsidRPr="00165217" w:rsidRDefault="002C698D" w:rsidP="002C698D">
      <w:r w:rsidRPr="00394842">
        <w:rPr>
          <w:highlight w:val="yellow"/>
        </w:rPr>
        <w:t>3.</w:t>
      </w:r>
    </w:p>
    <w:p w14:paraId="2AAD72B1" w14:textId="77777777" w:rsidR="002C698D" w:rsidRDefault="002C698D">
      <w:pPr>
        <w:pStyle w:val="Body"/>
        <w:spacing w:after="0" w:line="360" w:lineRule="auto"/>
        <w:rPr>
          <w:rFonts w:ascii="Arial" w:hAnsi="Arial" w:cs="Arial"/>
        </w:rPr>
      </w:pPr>
    </w:p>
    <w:p w14:paraId="5B15ACC4" w14:textId="77777777" w:rsidR="00B66A9C" w:rsidRDefault="00501121">
      <w:pPr>
        <w:pStyle w:val="Body"/>
        <w:spacing w:after="0"/>
        <w:rPr>
          <w:rFonts w:ascii="Arial" w:hAnsi="Arial" w:cs="Arial"/>
          <w:b/>
          <w:sz w:val="22"/>
          <w:szCs w:val="22"/>
        </w:rPr>
      </w:pPr>
      <w:r>
        <w:rPr>
          <w:rFonts w:ascii="Arial" w:hAnsi="Arial" w:cs="Arial"/>
          <w:b/>
          <w:sz w:val="22"/>
          <w:szCs w:val="22"/>
        </w:rPr>
        <w:t>REFERENCES</w:t>
      </w:r>
    </w:p>
    <w:p w14:paraId="6991CB72" w14:textId="77777777" w:rsidR="00B66A9C" w:rsidRDefault="00B66A9C">
      <w:pPr>
        <w:pStyle w:val="Body"/>
        <w:spacing w:after="0"/>
        <w:rPr>
          <w:rFonts w:ascii="Arial" w:hAnsi="Arial" w:cs="Arial"/>
          <w:b/>
          <w:sz w:val="22"/>
          <w:szCs w:val="22"/>
        </w:rPr>
      </w:pPr>
    </w:p>
    <w:p w14:paraId="1936B201"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Ahamad, M. I., Song, J., Sun, H., Wang, X., Mehmood, M. S., Sajid, M., Su, P., &amp; Khan, A. J. (2020). Contamination level, ecological risk, and source identification of heavy metals in the hyporheic zone of the Weihe River, China. International Journal of Environmental Research and Public Health, 17(3), 1070–1087.</w:t>
      </w:r>
      <w:r>
        <w:rPr>
          <w:rFonts w:ascii="Arial" w:hAnsi="Arial" w:cs="Arial"/>
          <w:sz w:val="20"/>
          <w:szCs w:val="20"/>
          <w:lang w:val="en-US"/>
        </w:rPr>
        <w:t xml:space="preserve"> </w:t>
      </w:r>
      <w:r>
        <w:rPr>
          <w:rFonts w:ascii="Arial" w:eastAsia="Times New Roman" w:hAnsi="Arial" w:cs="Arial"/>
          <w:sz w:val="20"/>
          <w:szCs w:val="20"/>
          <w:lang w:val="en-US" w:eastAsia="fr-FR"/>
        </w:rPr>
        <w:t>https://doi.org/10.3390/ijerph17031070.</w:t>
      </w:r>
    </w:p>
    <w:p w14:paraId="62577ED1"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proofErr w:type="spellStart"/>
      <w:r>
        <w:rPr>
          <w:rFonts w:ascii="Arial" w:eastAsia="Times New Roman" w:hAnsi="Arial" w:cs="Arial"/>
          <w:sz w:val="20"/>
          <w:szCs w:val="20"/>
          <w:lang w:eastAsia="fr-FR"/>
        </w:rPr>
        <w:t>Atiemo</w:t>
      </w:r>
      <w:proofErr w:type="spellEnd"/>
      <w:r>
        <w:rPr>
          <w:rFonts w:ascii="Arial" w:eastAsia="Times New Roman" w:hAnsi="Arial" w:cs="Arial"/>
          <w:sz w:val="20"/>
          <w:szCs w:val="20"/>
          <w:lang w:eastAsia="fr-FR"/>
        </w:rPr>
        <w:t xml:space="preserve">, S. M., </w:t>
      </w:r>
      <w:proofErr w:type="spellStart"/>
      <w:r>
        <w:rPr>
          <w:rFonts w:ascii="Arial" w:eastAsia="Times New Roman" w:hAnsi="Arial" w:cs="Arial"/>
          <w:sz w:val="20"/>
          <w:szCs w:val="20"/>
          <w:lang w:eastAsia="fr-FR"/>
        </w:rPr>
        <w:t>Ofosu</w:t>
      </w:r>
      <w:proofErr w:type="spellEnd"/>
      <w:r>
        <w:rPr>
          <w:rFonts w:ascii="Arial" w:eastAsia="Times New Roman" w:hAnsi="Arial" w:cs="Arial"/>
          <w:sz w:val="20"/>
          <w:szCs w:val="20"/>
          <w:lang w:eastAsia="fr-FR"/>
        </w:rPr>
        <w:t xml:space="preserve">, F. G., Kwame, A. I. J., &amp; </w:t>
      </w:r>
      <w:proofErr w:type="spellStart"/>
      <w:r>
        <w:rPr>
          <w:rFonts w:ascii="Arial" w:eastAsia="Times New Roman" w:hAnsi="Arial" w:cs="Arial"/>
          <w:sz w:val="20"/>
          <w:szCs w:val="20"/>
          <w:lang w:eastAsia="fr-FR"/>
        </w:rPr>
        <w:t>Kuranchie</w:t>
      </w:r>
      <w:proofErr w:type="spellEnd"/>
      <w:r>
        <w:rPr>
          <w:rFonts w:ascii="Arial" w:eastAsia="Times New Roman" w:hAnsi="Arial" w:cs="Arial"/>
          <w:sz w:val="20"/>
          <w:szCs w:val="20"/>
          <w:lang w:eastAsia="fr-FR"/>
        </w:rPr>
        <w:t xml:space="preserve">, M. H. (2012). </w:t>
      </w:r>
      <w:r>
        <w:rPr>
          <w:rFonts w:ascii="Arial" w:eastAsia="Times New Roman" w:hAnsi="Arial" w:cs="Arial"/>
          <w:sz w:val="20"/>
          <w:szCs w:val="20"/>
          <w:lang w:val="en-US" w:eastAsia="fr-FR"/>
        </w:rPr>
        <w:t>Assessing the heavy metals contamination of surface dust from waste electrical and electronic equipment (e-waste) recycling site in Accra, Ghana. Resource Journal of Environmental and Earth Sciences,</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4(5), 605-611.</w:t>
      </w:r>
      <w:r>
        <w:rPr>
          <w:rFonts w:ascii="Arial" w:eastAsia="SimSun" w:hAnsi="Arial" w:cs="Arial"/>
          <w:sz w:val="20"/>
          <w:szCs w:val="20"/>
          <w:lang w:val="en-US" w:eastAsia="en-GB"/>
        </w:rPr>
        <w:t xml:space="preserve"> </w:t>
      </w:r>
      <w:r>
        <w:rPr>
          <w:rFonts w:ascii="Arial" w:eastAsia="Times New Roman" w:hAnsi="Arial" w:cs="Arial"/>
          <w:sz w:val="20"/>
          <w:szCs w:val="20"/>
          <w:lang w:val="en-US" w:eastAsia="fr-FR"/>
        </w:rPr>
        <w:t>https://www.researchgate.net/publication/236545075.</w:t>
      </w:r>
    </w:p>
    <w:p w14:paraId="51A90971" w14:textId="77777777" w:rsidR="00B66A9C" w:rsidRDefault="00501121">
      <w:pPr>
        <w:pStyle w:val="ListParagraph"/>
        <w:numPr>
          <w:ilvl w:val="0"/>
          <w:numId w:val="31"/>
        </w:numPr>
        <w:spacing w:after="0" w:line="360" w:lineRule="auto"/>
        <w:jc w:val="both"/>
        <w:rPr>
          <w:rFonts w:ascii="Arial" w:eastAsia="Helvetica" w:hAnsi="Arial" w:cs="Arial"/>
          <w:sz w:val="20"/>
          <w:szCs w:val="20"/>
          <w:shd w:val="clear" w:color="auto" w:fill="FFFFFF"/>
          <w:lang w:val="en-US" w:eastAsia="fr-FR"/>
        </w:rPr>
      </w:pPr>
      <w:r>
        <w:rPr>
          <w:rFonts w:ascii="Arial" w:eastAsia="Helvetica" w:hAnsi="Arial" w:cs="Arial"/>
          <w:sz w:val="20"/>
          <w:szCs w:val="20"/>
          <w:shd w:val="clear" w:color="auto" w:fill="FFFFFF"/>
          <w:lang w:val="en-US" w:eastAsia="fr-FR"/>
        </w:rPr>
        <w:t>Bakht, F., Khan, S., &amp; Muhammad, S. </w:t>
      </w:r>
      <w:r>
        <w:rPr>
          <w:rFonts w:ascii="Arial" w:eastAsia="Helvetica" w:hAnsi="Arial" w:cs="Arial"/>
          <w:iCs/>
          <w:sz w:val="20"/>
          <w:szCs w:val="20"/>
          <w:shd w:val="clear" w:color="auto" w:fill="FFFFFF"/>
          <w:lang w:val="en-US" w:eastAsia="fr-FR"/>
        </w:rPr>
        <w:t>(2022).</w:t>
      </w:r>
      <w:r>
        <w:rPr>
          <w:rFonts w:ascii="Arial" w:eastAsia="Helvetica" w:hAnsi="Arial" w:cs="Arial"/>
          <w:sz w:val="20"/>
          <w:szCs w:val="20"/>
          <w:shd w:val="clear" w:color="auto" w:fill="FFFFFF"/>
          <w:lang w:val="en-US" w:eastAsia="fr-FR"/>
        </w:rPr>
        <w:t xml:space="preserve"> Heavy metal bioavailability in the earthworm-assisted soils of different land types of Pakistan. </w:t>
      </w:r>
      <w:r>
        <w:rPr>
          <w:rFonts w:ascii="Arial" w:eastAsia="Helvetica" w:hAnsi="Arial" w:cs="Arial"/>
          <w:iCs/>
          <w:sz w:val="20"/>
          <w:szCs w:val="20"/>
          <w:shd w:val="clear" w:color="auto" w:fill="FFFFFF"/>
          <w:lang w:val="en-US" w:eastAsia="fr-FR"/>
        </w:rPr>
        <w:t>Arabian Journal of Geosci</w:t>
      </w:r>
      <w:r>
        <w:rPr>
          <w:rFonts w:ascii="Arial" w:eastAsia="Helvetica" w:hAnsi="Arial" w:cs="Arial"/>
          <w:sz w:val="20"/>
          <w:szCs w:val="20"/>
          <w:shd w:val="clear" w:color="auto" w:fill="FFFFFF"/>
          <w:lang w:val="en-US" w:eastAsia="fr-FR"/>
        </w:rPr>
        <w:t>ences,</w:t>
      </w:r>
      <w:r>
        <w:rPr>
          <w:rFonts w:ascii="Arial" w:eastAsia="Helvetica" w:hAnsi="Arial" w:cs="Arial"/>
          <w:bCs/>
          <w:sz w:val="20"/>
          <w:szCs w:val="20"/>
          <w:shd w:val="clear" w:color="auto" w:fill="FFFFFF"/>
          <w:lang w:val="en-US" w:eastAsia="fr-FR"/>
        </w:rPr>
        <w:t xml:space="preserve"> 15</w:t>
      </w:r>
      <w:r>
        <w:rPr>
          <w:rFonts w:ascii="Arial" w:eastAsia="Helvetica" w:hAnsi="Arial" w:cs="Arial"/>
          <w:sz w:val="20"/>
          <w:szCs w:val="20"/>
          <w:shd w:val="clear" w:color="auto" w:fill="FFFFFF"/>
          <w:lang w:val="en-US" w:eastAsia="fr-FR"/>
        </w:rPr>
        <w:t>, 186. https://doi.org/10.1007/s12517-022-09512-6.</w:t>
      </w:r>
    </w:p>
    <w:p w14:paraId="5CDC1502" w14:textId="77777777" w:rsidR="00B66A9C" w:rsidRDefault="00501121">
      <w:pPr>
        <w:pStyle w:val="ListParagraph"/>
        <w:numPr>
          <w:ilvl w:val="0"/>
          <w:numId w:val="31"/>
        </w:numPr>
        <w:autoSpaceDE w:val="0"/>
        <w:autoSpaceDN w:val="0"/>
        <w:adjustRightInd w:val="0"/>
        <w:spacing w:after="0" w:line="360" w:lineRule="auto"/>
        <w:jc w:val="both"/>
        <w:rPr>
          <w:rStyle w:val="Hyperlink"/>
          <w:rFonts w:ascii="Arial" w:eastAsia="Arial" w:hAnsi="Arial" w:cs="Arial"/>
          <w:sz w:val="20"/>
          <w:szCs w:val="20"/>
          <w:lang w:val="en-US"/>
        </w:rPr>
      </w:pPr>
      <w:r>
        <w:rPr>
          <w:rFonts w:ascii="Arial" w:hAnsi="Arial" w:cs="Arial"/>
          <w:sz w:val="20"/>
          <w:szCs w:val="20"/>
          <w:lang w:val="en-GB"/>
        </w:rPr>
        <w:t xml:space="preserve">Baldé, C. P., Ruediger, K., Tales, Y., Rosie, M., Elena, D., Shahana, A., Garam, B., Otmar, D., Elena, F., Vanessa, F., Vanessa, G., Sunil, H., Shunichi, H., Giulia, I., Deepali, S. K., Vittoria, L. D., Yuliya, L., Innocent, N., </w:t>
      </w:r>
      <w:proofErr w:type="spellStart"/>
      <w:r>
        <w:rPr>
          <w:rFonts w:ascii="Arial" w:hAnsi="Arial" w:cs="Arial"/>
          <w:sz w:val="20"/>
          <w:szCs w:val="20"/>
          <w:lang w:val="en-GB"/>
        </w:rPr>
        <w:t>Noémie</w:t>
      </w:r>
      <w:proofErr w:type="spellEnd"/>
      <w:r>
        <w:rPr>
          <w:rFonts w:ascii="Arial" w:hAnsi="Arial" w:cs="Arial"/>
          <w:sz w:val="20"/>
          <w:szCs w:val="20"/>
          <w:lang w:val="en-GB"/>
        </w:rPr>
        <w:t xml:space="preserve">, </w:t>
      </w:r>
      <w:proofErr w:type="spellStart"/>
      <w:r>
        <w:rPr>
          <w:rFonts w:ascii="Arial" w:hAnsi="Arial" w:cs="Arial"/>
          <w:sz w:val="20"/>
          <w:szCs w:val="20"/>
          <w:lang w:val="en-GB"/>
        </w:rPr>
        <w:t>Pralat</w:t>
      </w:r>
      <w:proofErr w:type="spellEnd"/>
      <w:r>
        <w:rPr>
          <w:rFonts w:ascii="Arial" w:hAnsi="Arial" w:cs="Arial"/>
          <w:sz w:val="20"/>
          <w:szCs w:val="20"/>
          <w:lang w:val="en-GB"/>
        </w:rPr>
        <w:t xml:space="preserve">., Michelle, W. (2024). </w:t>
      </w:r>
      <w:r>
        <w:rPr>
          <w:rFonts w:ascii="Arial" w:hAnsi="Arial" w:cs="Arial"/>
          <w:sz w:val="20"/>
          <w:szCs w:val="20"/>
          <w:lang w:val="en-US"/>
        </w:rPr>
        <w:t>The Global E-waste Monitor 2024</w:t>
      </w:r>
      <w:r>
        <w:rPr>
          <w:rFonts w:ascii="Arial" w:hAnsi="Arial" w:cs="Arial"/>
          <w:sz w:val="20"/>
          <w:szCs w:val="20"/>
          <w:lang w:val="en-GB"/>
        </w:rPr>
        <w:t>. A publication by the International Telecommunication Union (ITU) and United Nations Institute for Training and Research (UNITAR). Geneva/Bonn.</w:t>
      </w:r>
      <w:r>
        <w:rPr>
          <w:rFonts w:ascii="Arial" w:hAnsi="Arial" w:cs="Arial"/>
          <w:sz w:val="20"/>
          <w:szCs w:val="20"/>
          <w:lang w:val="en-US"/>
        </w:rPr>
        <w:t xml:space="preserve"> </w:t>
      </w:r>
      <w:r>
        <w:rPr>
          <w:rFonts w:ascii="Arial" w:hAnsi="Arial" w:cs="Arial"/>
          <w:sz w:val="20"/>
          <w:szCs w:val="20"/>
          <w:lang w:val="en-GB"/>
        </w:rPr>
        <w:t xml:space="preserve">https://api.globalewaste.org/publications/file/297/Global-E-waste-Monitor-2024. </w:t>
      </w:r>
    </w:p>
    <w:p w14:paraId="021EC938" w14:textId="77777777" w:rsidR="00B66A9C" w:rsidRDefault="00501121">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proofErr w:type="spellStart"/>
      <w:r>
        <w:rPr>
          <w:rFonts w:ascii="Arial" w:eastAsia="PalatinoLinotype-Roman" w:hAnsi="Arial" w:cs="Arial"/>
          <w:sz w:val="20"/>
          <w:szCs w:val="20"/>
          <w:lang w:val="en-US"/>
        </w:rPr>
        <w:t>Beusch</w:t>
      </w:r>
      <w:proofErr w:type="spellEnd"/>
      <w:r>
        <w:rPr>
          <w:rFonts w:ascii="Arial" w:eastAsia="PalatinoLinotype-Roman" w:hAnsi="Arial" w:cs="Arial"/>
          <w:sz w:val="20"/>
          <w:szCs w:val="20"/>
          <w:lang w:val="en-US"/>
        </w:rPr>
        <w:t>, C. (2021). Biochar as a Soil Ameliorant: How Biochar Properties Benefit Soil Fertility—A Review. Journal of Geoscience and Environment Protection, 9:28-46.</w:t>
      </w:r>
      <w:r>
        <w:rPr>
          <w:rFonts w:ascii="Arial" w:hAnsi="Arial" w:cs="Arial"/>
          <w:sz w:val="20"/>
          <w:szCs w:val="20"/>
          <w:lang w:val="en-US"/>
        </w:rPr>
        <w:t xml:space="preserve"> </w:t>
      </w:r>
      <w:r>
        <w:rPr>
          <w:rFonts w:ascii="Arial" w:eastAsia="PalatinoLinotype-Roman" w:hAnsi="Arial" w:cs="Arial"/>
          <w:sz w:val="20"/>
          <w:szCs w:val="20"/>
          <w:lang w:val="en-US"/>
        </w:rPr>
        <w:t>https://doi.org/10.4236/gep.2021.910003.</w:t>
      </w:r>
    </w:p>
    <w:p w14:paraId="721A1480" w14:textId="77777777" w:rsidR="00B66A9C" w:rsidRDefault="00501121">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GB"/>
        </w:rPr>
        <w:lastRenderedPageBreak/>
        <w:t xml:space="preserve">CCME (1999). </w:t>
      </w:r>
      <w:r>
        <w:rPr>
          <w:rFonts w:ascii="Arial" w:hAnsi="Arial" w:cs="Arial"/>
          <w:sz w:val="20"/>
          <w:szCs w:val="20"/>
          <w:lang w:val="en-US"/>
        </w:rPr>
        <w:t xml:space="preserve">Canadian </w:t>
      </w:r>
      <w:r>
        <w:rPr>
          <w:rFonts w:ascii="Arial" w:hAnsi="Arial" w:cs="Arial"/>
          <w:sz w:val="20"/>
          <w:szCs w:val="20"/>
          <w:lang w:val="en-GB"/>
        </w:rPr>
        <w:t>S</w:t>
      </w:r>
      <w:r>
        <w:rPr>
          <w:rFonts w:ascii="Arial" w:hAnsi="Arial" w:cs="Arial"/>
          <w:sz w:val="20"/>
          <w:szCs w:val="20"/>
          <w:lang w:val="en-US"/>
        </w:rPr>
        <w:t>oil Quality Guideline Value</w:t>
      </w:r>
      <w:r>
        <w:rPr>
          <w:rFonts w:ascii="Arial" w:hAnsi="Arial" w:cs="Arial"/>
          <w:sz w:val="20"/>
          <w:szCs w:val="20"/>
          <w:lang w:val="en-GB"/>
        </w:rPr>
        <w:t>s</w:t>
      </w:r>
      <w:r>
        <w:rPr>
          <w:rFonts w:ascii="Arial" w:hAnsi="Arial" w:cs="Arial"/>
          <w:sz w:val="20"/>
          <w:szCs w:val="20"/>
          <w:lang w:val="en-US"/>
        </w:rPr>
        <w:t xml:space="preserve"> </w:t>
      </w:r>
      <w:r>
        <w:rPr>
          <w:rFonts w:ascii="Arial" w:hAnsi="Arial" w:cs="Arial"/>
          <w:sz w:val="20"/>
          <w:szCs w:val="20"/>
          <w:lang w:val="en-GB"/>
        </w:rPr>
        <w:t>(</w:t>
      </w:r>
      <w:r>
        <w:rPr>
          <w:rFonts w:ascii="Arial" w:hAnsi="Arial" w:cs="Arial"/>
          <w:sz w:val="20"/>
          <w:szCs w:val="20"/>
          <w:lang w:val="en-US"/>
        </w:rPr>
        <w:t>CSQGV</w:t>
      </w:r>
      <w:r>
        <w:rPr>
          <w:rFonts w:ascii="Arial" w:hAnsi="Arial" w:cs="Arial"/>
          <w:sz w:val="20"/>
          <w:szCs w:val="20"/>
          <w:lang w:val="en-GB"/>
        </w:rPr>
        <w:t xml:space="preserve">s) </w:t>
      </w:r>
      <w:r>
        <w:rPr>
          <w:rFonts w:ascii="Arial" w:hAnsi="Arial" w:cs="Arial"/>
          <w:sz w:val="20"/>
          <w:szCs w:val="20"/>
          <w:lang w:val="en-US"/>
        </w:rPr>
        <w:t>for the Protection of Environmental and Human Health</w:t>
      </w:r>
      <w:r>
        <w:rPr>
          <w:rFonts w:ascii="Arial" w:hAnsi="Arial" w:cs="Arial"/>
          <w:sz w:val="20"/>
          <w:szCs w:val="20"/>
          <w:lang w:val="en-GB"/>
        </w:rPr>
        <w:t>.</w:t>
      </w:r>
      <w:r>
        <w:rPr>
          <w:rFonts w:ascii="Arial" w:hAnsi="Arial" w:cs="Arial"/>
          <w:sz w:val="20"/>
          <w:szCs w:val="20"/>
          <w:lang w:val="en-US"/>
        </w:rPr>
        <w:t xml:space="preserve"> In: Canadian environmental quality guidelines.</w:t>
      </w:r>
      <w:r>
        <w:rPr>
          <w:rFonts w:ascii="Arial" w:hAnsi="Arial" w:cs="Arial"/>
          <w:sz w:val="20"/>
          <w:szCs w:val="20"/>
          <w:lang w:val="en-GB"/>
        </w:rPr>
        <w:t xml:space="preserve"> </w:t>
      </w:r>
      <w:r>
        <w:rPr>
          <w:rFonts w:ascii="Arial" w:hAnsi="Arial" w:cs="Arial"/>
          <w:sz w:val="20"/>
          <w:szCs w:val="20"/>
          <w:lang w:val="en-US"/>
        </w:rPr>
        <w:t>Canadian Council of Ministers of the Environment</w:t>
      </w:r>
      <w:r>
        <w:rPr>
          <w:rFonts w:ascii="Arial" w:hAnsi="Arial" w:cs="Arial"/>
          <w:sz w:val="20"/>
          <w:szCs w:val="20"/>
          <w:lang w:val="en-GB"/>
        </w:rPr>
        <w:t xml:space="preserve"> (CCME).</w:t>
      </w:r>
      <w:r>
        <w:rPr>
          <w:rFonts w:ascii="Arial" w:hAnsi="Arial" w:cs="Arial"/>
          <w:sz w:val="20"/>
          <w:szCs w:val="20"/>
          <w:lang w:val="en-US"/>
        </w:rPr>
        <w:t xml:space="preserve"> </w:t>
      </w:r>
      <w:r>
        <w:rPr>
          <w:rFonts w:ascii="Arial" w:hAnsi="Arial" w:cs="Arial"/>
          <w:sz w:val="20"/>
          <w:szCs w:val="20"/>
          <w:lang w:val="en-GB"/>
        </w:rPr>
        <w:t>https://www.ccme.ca/en.%20Accessed%20on%2025/11/2023.</w:t>
      </w:r>
    </w:p>
    <w:p w14:paraId="6D916451" w14:textId="77777777" w:rsidR="00B66A9C" w:rsidRDefault="00501121">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Cheng, Y., Wang, B., Shen, J., Yan, P., Kang, J., Wang, W., Bi, L., Zhu, X., Li, Y., Wang, S., Shen, L., </w:t>
      </w:r>
      <w:r>
        <w:rPr>
          <w:rFonts w:ascii="Arial" w:eastAsia="PalatinoLinotype-Roman" w:hAnsi="Arial" w:cs="Arial"/>
          <w:sz w:val="20"/>
          <w:szCs w:val="20"/>
          <w:lang w:val="en-US" w:eastAsia="fr-FR"/>
        </w:rPr>
        <w:t>&amp;</w:t>
      </w:r>
      <w:r>
        <w:rPr>
          <w:rFonts w:ascii="Arial" w:hAnsi="Arial" w:cs="Arial"/>
          <w:sz w:val="20"/>
          <w:szCs w:val="20"/>
          <w:lang w:val="en-US"/>
        </w:rPr>
        <w:t xml:space="preserve"> Chen, Z. (2022). Preparation of novel N-doped biochar and its high adsorption capacity for atrazine based on π–π electron donor-acceptor interaction. Journal of Hazardous Materials, 432,128757. https://doi.org/10.1016/j.jhazmat.2022.128757</w:t>
      </w:r>
      <w:r>
        <w:rPr>
          <w:rFonts w:ascii="Arial" w:hAnsi="Arial" w:cs="Arial"/>
          <w:sz w:val="20"/>
          <w:szCs w:val="20"/>
        </w:rPr>
        <w:t>.</w:t>
      </w:r>
    </w:p>
    <w:p w14:paraId="7DC264E4" w14:textId="77777777" w:rsidR="00B66A9C" w:rsidRDefault="00501121">
      <w:pPr>
        <w:pStyle w:val="ListParagraph"/>
        <w:numPr>
          <w:ilvl w:val="0"/>
          <w:numId w:val="31"/>
        </w:numPr>
        <w:autoSpaceDE w:val="0"/>
        <w:autoSpaceDN w:val="0"/>
        <w:adjustRightInd w:val="0"/>
        <w:spacing w:after="0" w:line="360" w:lineRule="auto"/>
        <w:jc w:val="both"/>
        <w:rPr>
          <w:rFonts w:ascii="Arial" w:eastAsia="SimSun" w:hAnsi="Arial" w:cs="Arial"/>
          <w:sz w:val="20"/>
          <w:szCs w:val="20"/>
          <w:lang w:val="en-US" w:eastAsia="en-GB"/>
        </w:rPr>
      </w:pPr>
      <w:proofErr w:type="spellStart"/>
      <w:r>
        <w:rPr>
          <w:rFonts w:ascii="Arial" w:eastAsia="SimSun" w:hAnsi="Arial" w:cs="Arial"/>
          <w:sz w:val="20"/>
          <w:szCs w:val="20"/>
          <w:lang w:val="en-US" w:eastAsia="en-GB"/>
        </w:rPr>
        <w:t>Eliston</w:t>
      </w:r>
      <w:proofErr w:type="spellEnd"/>
      <w:r>
        <w:rPr>
          <w:rFonts w:ascii="Arial" w:eastAsia="SimSun" w:hAnsi="Arial" w:cs="Arial"/>
          <w:sz w:val="20"/>
          <w:szCs w:val="20"/>
          <w:lang w:val="en-US" w:eastAsia="en-GB"/>
        </w:rPr>
        <w:t xml:space="preserve">, T., &amp; Oliver, I. W. (2020). Ecotoxicological assessments of biochar additions to soil employing earthworm species </w:t>
      </w:r>
      <w:r>
        <w:rPr>
          <w:rFonts w:ascii="Arial" w:eastAsia="SimSun" w:hAnsi="Arial" w:cs="Arial"/>
          <w:i/>
          <w:sz w:val="20"/>
          <w:szCs w:val="20"/>
          <w:lang w:val="en-US" w:eastAsia="en-GB"/>
        </w:rPr>
        <w:t xml:space="preserve">Eisenia </w:t>
      </w:r>
      <w:proofErr w:type="spellStart"/>
      <w:r>
        <w:rPr>
          <w:rFonts w:ascii="Arial" w:eastAsia="SimSun" w:hAnsi="Arial" w:cs="Arial"/>
          <w:i/>
          <w:sz w:val="20"/>
          <w:szCs w:val="20"/>
          <w:lang w:val="en-US" w:eastAsia="en-GB"/>
        </w:rPr>
        <w:t>fetida</w:t>
      </w:r>
      <w:proofErr w:type="spellEnd"/>
      <w:r>
        <w:rPr>
          <w:rFonts w:ascii="Arial" w:eastAsia="SimSun" w:hAnsi="Arial" w:cs="Arial"/>
          <w:sz w:val="20"/>
          <w:szCs w:val="20"/>
          <w:lang w:val="en-US" w:eastAsia="en-GB"/>
        </w:rPr>
        <w:t xml:space="preserve"> and </w:t>
      </w:r>
      <w:proofErr w:type="spellStart"/>
      <w:r>
        <w:rPr>
          <w:rFonts w:ascii="Arial" w:eastAsia="SimSun" w:hAnsi="Arial" w:cs="Arial"/>
          <w:i/>
          <w:sz w:val="20"/>
          <w:szCs w:val="20"/>
          <w:lang w:val="en-US" w:eastAsia="en-GB"/>
        </w:rPr>
        <w:t>Lumbricus</w:t>
      </w:r>
      <w:proofErr w:type="spellEnd"/>
      <w:r>
        <w:rPr>
          <w:rFonts w:ascii="Arial" w:eastAsia="SimSun" w:hAnsi="Arial" w:cs="Arial"/>
          <w:i/>
          <w:sz w:val="20"/>
          <w:szCs w:val="20"/>
          <w:lang w:val="en-US" w:eastAsia="en-GB"/>
        </w:rPr>
        <w:t xml:space="preserve"> </w:t>
      </w:r>
      <w:proofErr w:type="spellStart"/>
      <w:r>
        <w:rPr>
          <w:rFonts w:ascii="Arial" w:eastAsia="SimSun" w:hAnsi="Arial" w:cs="Arial"/>
          <w:i/>
          <w:sz w:val="20"/>
          <w:szCs w:val="20"/>
          <w:lang w:val="en-US" w:eastAsia="en-GB"/>
        </w:rPr>
        <w:t>terrestris</w:t>
      </w:r>
      <w:proofErr w:type="spellEnd"/>
      <w:r>
        <w:rPr>
          <w:rFonts w:ascii="Arial" w:eastAsia="SimSun" w:hAnsi="Arial" w:cs="Arial"/>
          <w:sz w:val="20"/>
          <w:szCs w:val="20"/>
          <w:lang w:val="en-US" w:eastAsia="en-GB"/>
        </w:rPr>
        <w:t>. Environmental Science and Pollution Research, 27, 33410-33418. https://doi.org/10.1007/s11356-019-04542-2.</w:t>
      </w:r>
    </w:p>
    <w:p w14:paraId="25A58D92" w14:textId="77777777" w:rsidR="00B66A9C" w:rsidRDefault="00501121">
      <w:pPr>
        <w:pStyle w:val="ListParagraph"/>
        <w:numPr>
          <w:ilvl w:val="0"/>
          <w:numId w:val="31"/>
        </w:numPr>
        <w:spacing w:after="0" w:line="360" w:lineRule="auto"/>
        <w:jc w:val="both"/>
        <w:rPr>
          <w:rFonts w:ascii="Arial" w:eastAsia="PalatinoLinotype-Roman" w:hAnsi="Arial" w:cs="Arial"/>
          <w:sz w:val="20"/>
          <w:szCs w:val="20"/>
          <w:lang w:val="en-GB" w:eastAsia="fr-FR"/>
        </w:rPr>
      </w:pPr>
      <w:r>
        <w:rPr>
          <w:rFonts w:ascii="Arial" w:eastAsia="PalatinoLinotype-Roman" w:hAnsi="Arial" w:cs="Arial"/>
          <w:sz w:val="20"/>
          <w:szCs w:val="20"/>
          <w:lang w:val="en-US" w:eastAsia="fr-FR"/>
        </w:rPr>
        <w:t xml:space="preserve">Fai, P. B. A., </w:t>
      </w:r>
      <w:proofErr w:type="spellStart"/>
      <w:r>
        <w:rPr>
          <w:rFonts w:ascii="Arial" w:eastAsia="PalatinoLinotype-Roman" w:hAnsi="Arial" w:cs="Arial"/>
          <w:sz w:val="20"/>
          <w:szCs w:val="20"/>
          <w:lang w:val="en-US" w:eastAsia="fr-FR"/>
        </w:rPr>
        <w:t>Ngogang</w:t>
      </w:r>
      <w:proofErr w:type="spellEnd"/>
      <w:r>
        <w:rPr>
          <w:rFonts w:ascii="Arial" w:eastAsia="PalatinoLinotype-Roman" w:hAnsi="Arial" w:cs="Arial"/>
          <w:sz w:val="20"/>
          <w:szCs w:val="20"/>
          <w:lang w:val="en-US" w:eastAsia="fr-FR"/>
        </w:rPr>
        <w:t xml:space="preserve">, J. N., </w:t>
      </w:r>
      <w:proofErr w:type="spellStart"/>
      <w:r>
        <w:rPr>
          <w:rFonts w:ascii="Arial" w:eastAsia="PalatinoLinotype-Roman" w:hAnsi="Arial" w:cs="Arial"/>
          <w:sz w:val="20"/>
          <w:szCs w:val="20"/>
          <w:lang w:val="en-US" w:eastAsia="fr-FR"/>
        </w:rPr>
        <w:t>Djeukam</w:t>
      </w:r>
      <w:proofErr w:type="spellEnd"/>
      <w:r>
        <w:rPr>
          <w:rFonts w:ascii="Arial" w:eastAsia="PalatinoLinotype-Roman" w:hAnsi="Arial" w:cs="Arial"/>
          <w:sz w:val="20"/>
          <w:szCs w:val="20"/>
          <w:lang w:val="en-US" w:eastAsia="fr-FR"/>
        </w:rPr>
        <w:t xml:space="preserve">, M. K., Nfor, B., Julius, N. F., &amp; </w:t>
      </w:r>
      <w:proofErr w:type="spellStart"/>
      <w:r>
        <w:rPr>
          <w:rFonts w:ascii="Arial" w:eastAsia="PalatinoLinotype-Roman" w:hAnsi="Arial" w:cs="Arial"/>
          <w:sz w:val="20"/>
          <w:szCs w:val="20"/>
          <w:lang w:val="en-US" w:eastAsia="fr-FR"/>
        </w:rPr>
        <w:t>Basud</w:t>
      </w:r>
      <w:proofErr w:type="spellEnd"/>
      <w:r>
        <w:rPr>
          <w:rFonts w:ascii="Arial" w:eastAsia="PalatinoLinotype-Roman" w:hAnsi="Arial" w:cs="Arial"/>
          <w:sz w:val="20"/>
          <w:szCs w:val="20"/>
          <w:lang w:val="en-US" w:eastAsia="fr-FR"/>
        </w:rPr>
        <w:t xml:space="preserve">., N. (2023). </w:t>
      </w:r>
      <w:r>
        <w:rPr>
          <w:rFonts w:ascii="Arial" w:eastAsia="PalatinoLinotype-Roman" w:hAnsi="Arial" w:cs="Arial"/>
          <w:sz w:val="20"/>
          <w:szCs w:val="20"/>
          <w:lang w:val="en-GB" w:eastAsia="fr-FR"/>
        </w:rPr>
        <w:t xml:space="preserve">Association between heavy metal uptake and growth and reproduction in the </w:t>
      </w:r>
      <w:proofErr w:type="spellStart"/>
      <w:r>
        <w:rPr>
          <w:rFonts w:ascii="Arial" w:eastAsia="PalatinoLinotype-Roman" w:hAnsi="Arial" w:cs="Arial"/>
          <w:sz w:val="20"/>
          <w:szCs w:val="20"/>
          <w:lang w:val="en-GB" w:eastAsia="fr-FR"/>
        </w:rPr>
        <w:t>anecic</w:t>
      </w:r>
      <w:proofErr w:type="spellEnd"/>
      <w:r>
        <w:rPr>
          <w:rFonts w:ascii="Arial" w:eastAsia="PalatinoLinotype-Roman" w:hAnsi="Arial" w:cs="Arial"/>
          <w:sz w:val="20"/>
          <w:szCs w:val="20"/>
          <w:lang w:val="en-GB" w:eastAsia="fr-FR"/>
        </w:rPr>
        <w:t xml:space="preserve"> earthworm, </w:t>
      </w:r>
      <w:r>
        <w:rPr>
          <w:rFonts w:ascii="Arial" w:eastAsia="PalatinoLinotype-Roman" w:hAnsi="Arial" w:cs="Arial"/>
          <w:i/>
          <w:iCs/>
          <w:sz w:val="20"/>
          <w:szCs w:val="20"/>
          <w:lang w:val="en-GB" w:eastAsia="fr-FR"/>
        </w:rPr>
        <w:t xml:space="preserve">Alma </w:t>
      </w:r>
      <w:proofErr w:type="spellStart"/>
      <w:r>
        <w:rPr>
          <w:rFonts w:ascii="Arial" w:eastAsia="PalatinoLinotype-Roman" w:hAnsi="Arial" w:cs="Arial"/>
          <w:i/>
          <w:iCs/>
          <w:sz w:val="20"/>
          <w:szCs w:val="20"/>
          <w:lang w:val="en-GB" w:eastAsia="fr-FR"/>
        </w:rPr>
        <w:t>nilotica</w:t>
      </w:r>
      <w:proofErr w:type="spellEnd"/>
      <w:r>
        <w:rPr>
          <w:rFonts w:ascii="Arial" w:eastAsia="PalatinoLinotype-Roman" w:hAnsi="Arial" w:cs="Arial"/>
          <w:sz w:val="20"/>
          <w:szCs w:val="20"/>
          <w:lang w:val="en-GB" w:eastAsia="fr-FR"/>
        </w:rPr>
        <w:t xml:space="preserve"> (Grube 1855). </w:t>
      </w:r>
      <w:r>
        <w:rPr>
          <w:rFonts w:ascii="Arial" w:eastAsia="PalatinoLinotype-Roman" w:hAnsi="Arial" w:cs="Arial"/>
          <w:i/>
          <w:sz w:val="20"/>
          <w:szCs w:val="20"/>
          <w:lang w:val="en-GB" w:eastAsia="fr-FR"/>
        </w:rPr>
        <w:t>Ecotoxicology,</w:t>
      </w:r>
      <w:r>
        <w:rPr>
          <w:rFonts w:ascii="Arial" w:eastAsia="PalatinoLinotype-Roman" w:hAnsi="Arial" w:cs="Arial"/>
          <w:sz w:val="20"/>
          <w:szCs w:val="20"/>
          <w:lang w:val="en-GB" w:eastAsia="fr-FR"/>
        </w:rPr>
        <w:t xml:space="preserve"> 32 (9), 1162-1173. </w:t>
      </w:r>
      <w:r>
        <w:rPr>
          <w:rFonts w:ascii="Arial" w:eastAsia="Times New Roman" w:hAnsi="Arial" w:cs="Arial"/>
          <w:sz w:val="20"/>
          <w:szCs w:val="20"/>
          <w:lang w:val="en-US" w:eastAsia="fr-FR"/>
        </w:rPr>
        <w:t>https://doi.org/10.1007/s10646-023-02707-x.</w:t>
      </w:r>
    </w:p>
    <w:p w14:paraId="5B34CE90" w14:textId="77777777" w:rsidR="00B66A9C" w:rsidRDefault="00501121">
      <w:pPr>
        <w:pStyle w:val="ListParagraph"/>
        <w:numPr>
          <w:ilvl w:val="0"/>
          <w:numId w:val="31"/>
        </w:numPr>
        <w:autoSpaceDE w:val="0"/>
        <w:autoSpaceDN w:val="0"/>
        <w:adjustRightInd w:val="0"/>
        <w:spacing w:after="0" w:line="360" w:lineRule="auto"/>
        <w:jc w:val="both"/>
        <w:rPr>
          <w:rFonts w:ascii="Arial" w:eastAsia="SimSun" w:hAnsi="Arial" w:cs="Arial"/>
          <w:color w:val="000000" w:themeColor="text1"/>
          <w:sz w:val="20"/>
          <w:szCs w:val="20"/>
          <w:lang w:val="en-US" w:eastAsia="en-GB"/>
        </w:rPr>
      </w:pPr>
      <w:r>
        <w:rPr>
          <w:rFonts w:ascii="Arial" w:eastAsia="SimSun" w:hAnsi="Arial" w:cs="Arial"/>
          <w:color w:val="000000" w:themeColor="text1"/>
          <w:sz w:val="20"/>
          <w:szCs w:val="20"/>
          <w:lang w:val="en-US" w:eastAsia="en-GB"/>
        </w:rPr>
        <w:t>FAO &amp; UNEP. (2021). Global assessment of soil pollution – Summary for policy makers. Rome, FAO, 1, 84. https://doi.org/10.4060/cb4827en.</w:t>
      </w:r>
    </w:p>
    <w:p w14:paraId="13E550D1"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Fosu</w:t>
      </w:r>
      <w:r>
        <w:rPr>
          <w:rFonts w:ascii="Cambria Math" w:eastAsia="Times New Roman" w:hAnsi="Cambria Math" w:cs="Cambria Math"/>
          <w:sz w:val="20"/>
          <w:szCs w:val="20"/>
          <w:lang w:val="en-US" w:eastAsia="fr-FR"/>
        </w:rPr>
        <w:t>‐</w:t>
      </w:r>
      <w:r>
        <w:rPr>
          <w:rFonts w:ascii="Arial" w:eastAsia="Times New Roman" w:hAnsi="Arial" w:cs="Arial"/>
          <w:sz w:val="20"/>
          <w:szCs w:val="20"/>
          <w:lang w:val="en-US" w:eastAsia="fr-FR"/>
        </w:rPr>
        <w:t xml:space="preserve">Mensah, B. Y., Addae, E., </w:t>
      </w:r>
      <w:proofErr w:type="spellStart"/>
      <w:r>
        <w:rPr>
          <w:rFonts w:ascii="Arial" w:eastAsia="Times New Roman" w:hAnsi="Arial" w:cs="Arial"/>
          <w:sz w:val="20"/>
          <w:szCs w:val="20"/>
          <w:lang w:val="en-US" w:eastAsia="fr-FR"/>
        </w:rPr>
        <w:t>Yirenya</w:t>
      </w:r>
      <w:r>
        <w:rPr>
          <w:rFonts w:ascii="Cambria Math" w:eastAsia="Times New Roman" w:hAnsi="Cambria Math" w:cs="Cambria Math"/>
          <w:sz w:val="20"/>
          <w:szCs w:val="20"/>
          <w:lang w:val="en-US" w:eastAsia="fr-FR"/>
        </w:rPr>
        <w:t>‐</w:t>
      </w:r>
      <w:r>
        <w:rPr>
          <w:rFonts w:ascii="Arial" w:eastAsia="Times New Roman" w:hAnsi="Arial" w:cs="Arial"/>
          <w:sz w:val="20"/>
          <w:szCs w:val="20"/>
          <w:lang w:val="en-US" w:eastAsia="fr-FR"/>
        </w:rPr>
        <w:t>Tawiah</w:t>
      </w:r>
      <w:proofErr w:type="spellEnd"/>
      <w:r>
        <w:rPr>
          <w:rFonts w:ascii="Arial" w:eastAsia="Times New Roman" w:hAnsi="Arial" w:cs="Arial"/>
          <w:sz w:val="20"/>
          <w:szCs w:val="20"/>
          <w:lang w:val="en-US" w:eastAsia="fr-FR"/>
        </w:rPr>
        <w:t>, D., &amp; Nyame, F. (2017). Heavy metals concentration and distribution in soils and vegetation at Korle Lagoon area in Accra,</w:t>
      </w:r>
      <w:r>
        <w:rPr>
          <w:rFonts w:ascii="Arial" w:eastAsia="Times New Roman" w:hAnsi="Arial" w:cs="Arial"/>
          <w:sz w:val="20"/>
          <w:szCs w:val="20"/>
          <w:lang w:val="en-US" w:eastAsia="fr-FR"/>
        </w:rPr>
        <w:tab/>
      </w:r>
      <w:proofErr w:type="spellStart"/>
      <w:r>
        <w:rPr>
          <w:rFonts w:ascii="Arial" w:eastAsia="Times New Roman" w:hAnsi="Arial" w:cs="Arial"/>
          <w:sz w:val="20"/>
          <w:szCs w:val="20"/>
          <w:lang w:val="en-US" w:eastAsia="fr-FR"/>
        </w:rPr>
        <w:t>Ghana.Cogent</w:t>
      </w:r>
      <w:proofErr w:type="spellEnd"/>
      <w:r>
        <w:rPr>
          <w:rFonts w:ascii="Arial" w:eastAsia="Times New Roman" w:hAnsi="Arial" w:cs="Arial"/>
          <w:sz w:val="20"/>
          <w:szCs w:val="20"/>
          <w:lang w:val="en-US" w:eastAsia="fr-FR"/>
        </w:rPr>
        <w:t xml:space="preserve"> Environmental Science, 3(1), 1-14. https://doi.org/10.1080/23311843.2017.1405887.</w:t>
      </w:r>
    </w:p>
    <w:p w14:paraId="5F5A27FB"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eastAsia="fr-FR"/>
        </w:rPr>
      </w:pPr>
      <w:proofErr w:type="spellStart"/>
      <w:r>
        <w:rPr>
          <w:rFonts w:ascii="Arial" w:eastAsia="Times New Roman" w:hAnsi="Arial" w:cs="Arial"/>
          <w:sz w:val="20"/>
          <w:szCs w:val="20"/>
          <w:lang w:val="en-US" w:eastAsia="fr-FR"/>
        </w:rPr>
        <w:t>Gałwa-Widera</w:t>
      </w:r>
      <w:proofErr w:type="spellEnd"/>
      <w:r>
        <w:rPr>
          <w:rFonts w:ascii="Arial" w:eastAsia="Times New Roman" w:hAnsi="Arial" w:cs="Arial"/>
          <w:sz w:val="20"/>
          <w:szCs w:val="20"/>
          <w:lang w:val="en-US" w:eastAsia="fr-FR"/>
        </w:rPr>
        <w:t xml:space="preserve">, M. (2021). Biochar-Production, Properties, and Service to Environmental Protection against Toxic Metals. Handbook of Assisted and Amendment: Enhanced Sustainable Remediation Technology, 53–75. https:// doi.org/ 10. </w:t>
      </w:r>
      <w:r>
        <w:rPr>
          <w:rFonts w:ascii="Arial" w:eastAsia="Times New Roman" w:hAnsi="Arial" w:cs="Arial"/>
          <w:sz w:val="20"/>
          <w:szCs w:val="20"/>
          <w:lang w:eastAsia="fr-FR"/>
        </w:rPr>
        <w:t>1002/ 97811.</w:t>
      </w:r>
    </w:p>
    <w:p w14:paraId="20BCC205" w14:textId="77777777" w:rsidR="00B66A9C" w:rsidRDefault="00501121">
      <w:pPr>
        <w:pStyle w:val="ListParagraph"/>
        <w:numPr>
          <w:ilvl w:val="0"/>
          <w:numId w:val="31"/>
        </w:numPr>
        <w:autoSpaceDE w:val="0"/>
        <w:autoSpaceDN w:val="0"/>
        <w:adjustRightInd w:val="0"/>
        <w:spacing w:after="0" w:line="360" w:lineRule="auto"/>
        <w:jc w:val="both"/>
        <w:rPr>
          <w:rFonts w:ascii="Arial" w:eastAsia="SimSun" w:hAnsi="Arial" w:cs="Arial"/>
          <w:i/>
          <w:sz w:val="20"/>
          <w:szCs w:val="20"/>
          <w:lang w:val="en-US" w:eastAsia="en-GB"/>
        </w:rPr>
      </w:pPr>
      <w:proofErr w:type="spellStart"/>
      <w:r>
        <w:rPr>
          <w:rFonts w:ascii="Arial" w:eastAsia="Times New Roman" w:hAnsi="Arial" w:cs="Arial"/>
          <w:sz w:val="20"/>
          <w:szCs w:val="20"/>
          <w:lang w:eastAsia="fr-FR"/>
        </w:rPr>
        <w:t>Garau</w:t>
      </w:r>
      <w:proofErr w:type="spellEnd"/>
      <w:r>
        <w:rPr>
          <w:rFonts w:ascii="Arial" w:eastAsia="Times New Roman" w:hAnsi="Arial" w:cs="Arial"/>
          <w:sz w:val="20"/>
          <w:szCs w:val="20"/>
          <w:lang w:eastAsia="fr-FR"/>
        </w:rPr>
        <w:t xml:space="preserve">, M., </w:t>
      </w:r>
      <w:proofErr w:type="spellStart"/>
      <w:r>
        <w:rPr>
          <w:rFonts w:ascii="Arial" w:eastAsia="Times New Roman" w:hAnsi="Arial" w:cs="Arial"/>
          <w:sz w:val="20"/>
          <w:szCs w:val="20"/>
          <w:lang w:eastAsia="fr-FR"/>
        </w:rPr>
        <w:t>Sizmur</w:t>
      </w:r>
      <w:proofErr w:type="spellEnd"/>
      <w:r>
        <w:rPr>
          <w:rFonts w:ascii="Arial" w:eastAsia="Times New Roman" w:hAnsi="Arial" w:cs="Arial"/>
          <w:sz w:val="20"/>
          <w:szCs w:val="20"/>
          <w:lang w:eastAsia="fr-FR"/>
        </w:rPr>
        <w:t xml:space="preserve">, T., Sean, C., </w:t>
      </w:r>
      <w:proofErr w:type="spellStart"/>
      <w:r>
        <w:rPr>
          <w:rFonts w:ascii="Arial" w:eastAsia="Times New Roman" w:hAnsi="Arial" w:cs="Arial"/>
          <w:sz w:val="20"/>
          <w:szCs w:val="20"/>
          <w:lang w:eastAsia="fr-FR"/>
        </w:rPr>
        <w:t>Castaldi</w:t>
      </w:r>
      <w:proofErr w:type="spellEnd"/>
      <w:r>
        <w:rPr>
          <w:rFonts w:ascii="Arial" w:eastAsia="Times New Roman" w:hAnsi="Arial" w:cs="Arial"/>
          <w:sz w:val="20"/>
          <w:szCs w:val="20"/>
          <w:lang w:eastAsia="fr-FR"/>
        </w:rPr>
        <w:t xml:space="preserve">, P., &amp; </w:t>
      </w:r>
      <w:proofErr w:type="spellStart"/>
      <w:r>
        <w:rPr>
          <w:rFonts w:ascii="Arial" w:eastAsia="Times New Roman" w:hAnsi="Arial" w:cs="Arial"/>
          <w:sz w:val="20"/>
          <w:szCs w:val="20"/>
          <w:lang w:eastAsia="fr-FR"/>
        </w:rPr>
        <w:t>Garau</w:t>
      </w:r>
      <w:proofErr w:type="spellEnd"/>
      <w:r>
        <w:rPr>
          <w:rFonts w:ascii="Arial" w:eastAsia="Times New Roman" w:hAnsi="Arial" w:cs="Arial"/>
          <w:sz w:val="20"/>
          <w:szCs w:val="20"/>
          <w:lang w:eastAsia="fr-FR"/>
        </w:rPr>
        <w:t xml:space="preserve">, G. </w:t>
      </w:r>
      <w:r>
        <w:rPr>
          <w:rFonts w:ascii="Arial" w:eastAsia="SimSun" w:hAnsi="Arial" w:cs="Arial"/>
          <w:sz w:val="20"/>
          <w:szCs w:val="20"/>
          <w:lang w:eastAsia="en-GB"/>
        </w:rPr>
        <w:t xml:space="preserve">(2022). </w:t>
      </w:r>
      <w:r>
        <w:rPr>
          <w:rFonts w:ascii="Arial" w:eastAsia="SimSun" w:hAnsi="Arial" w:cs="Arial"/>
          <w:sz w:val="20"/>
          <w:szCs w:val="20"/>
          <w:lang w:val="en-US" w:eastAsia="en-GB"/>
        </w:rPr>
        <w:t xml:space="preserve">Impact of </w:t>
      </w:r>
      <w:r>
        <w:rPr>
          <w:rFonts w:ascii="Arial" w:eastAsia="SimSun" w:hAnsi="Arial" w:cs="Arial"/>
          <w:i/>
          <w:sz w:val="20"/>
          <w:szCs w:val="20"/>
          <w:lang w:val="en-US" w:eastAsia="en-GB"/>
        </w:rPr>
        <w:t xml:space="preserve">Eisenia </w:t>
      </w:r>
      <w:proofErr w:type="spellStart"/>
      <w:r>
        <w:rPr>
          <w:rFonts w:ascii="Arial" w:eastAsia="SimSun" w:hAnsi="Arial" w:cs="Arial"/>
          <w:i/>
          <w:sz w:val="20"/>
          <w:szCs w:val="20"/>
          <w:lang w:val="en-US" w:eastAsia="en-GB"/>
        </w:rPr>
        <w:t>fetida</w:t>
      </w:r>
      <w:proofErr w:type="spellEnd"/>
      <w:r>
        <w:rPr>
          <w:rFonts w:ascii="Arial" w:eastAsia="SimSun" w:hAnsi="Arial" w:cs="Arial"/>
          <w:i/>
          <w:sz w:val="20"/>
          <w:szCs w:val="20"/>
          <w:lang w:val="en-US" w:eastAsia="en-GB"/>
        </w:rPr>
        <w:t xml:space="preserve"> </w:t>
      </w:r>
      <w:r>
        <w:rPr>
          <w:rFonts w:ascii="Arial" w:eastAsia="SimSun" w:hAnsi="Arial" w:cs="Arial"/>
          <w:sz w:val="20"/>
          <w:szCs w:val="20"/>
          <w:lang w:val="en-US" w:eastAsia="en-GB"/>
        </w:rPr>
        <w:t>earthworms and biochar on potentially toxic element mobility and health of a contaminated soil. Science of the Total Environment, 806(3), 151-255. https://doi.org/10.1016/j.scitotenv.2021.151255.</w:t>
      </w:r>
    </w:p>
    <w:p w14:paraId="046BFAA2"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Graziano, M., Martín-Peinado, F. J., &amp; Delgado-Moreno, L. (</w:t>
      </w:r>
      <w:r>
        <w:rPr>
          <w:rFonts w:ascii="Arial" w:eastAsia="Times New Roman" w:hAnsi="Arial" w:cs="Arial"/>
          <w:bCs/>
          <w:sz w:val="20"/>
          <w:szCs w:val="20"/>
          <w:lang w:val="en-US" w:eastAsia="fr-FR"/>
        </w:rPr>
        <w:t>2022</w:t>
      </w:r>
      <w:r>
        <w:rPr>
          <w:rFonts w:ascii="Arial" w:eastAsia="Times New Roman" w:hAnsi="Arial" w:cs="Arial"/>
          <w:sz w:val="20"/>
          <w:szCs w:val="20"/>
          <w:lang w:val="en-US" w:eastAsia="fr-FR"/>
        </w:rPr>
        <w:t>). Application of Biochar for the Restoration of Metalloids Contaminated Soils. Applied Sciences, 12(4), 1918. https://doi.org/10.3390/app12041918.</w:t>
      </w:r>
    </w:p>
    <w:p w14:paraId="3D7AD0E6"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Guo, M., Song, W., &amp; Tian, J. (2020). Biochar-Facilitated Soil Remediation: Mechanisms and Efficacy Variations. Frontiers in Environmental Science</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8, 521-512.</w:t>
      </w:r>
      <w:r>
        <w:rPr>
          <w:rFonts w:ascii="Arial" w:eastAsia="SimSun" w:hAnsi="Arial" w:cs="Arial"/>
          <w:sz w:val="20"/>
          <w:szCs w:val="20"/>
          <w:lang w:val="en-US" w:eastAsia="en-GB"/>
        </w:rPr>
        <w:t xml:space="preserve"> https://doi.org/</w:t>
      </w:r>
      <w:r>
        <w:rPr>
          <w:rFonts w:ascii="Arial" w:eastAsia="Times New Roman" w:hAnsi="Arial" w:cs="Arial"/>
          <w:sz w:val="20"/>
          <w:szCs w:val="20"/>
          <w:lang w:val="en-US" w:eastAsia="fr-FR"/>
        </w:rPr>
        <w:t>doi: 10.3389/fenvs.2020.521512.</w:t>
      </w:r>
    </w:p>
    <w:p w14:paraId="2BACDC4D" w14:textId="77777777" w:rsidR="00B66A9C" w:rsidRDefault="00501121">
      <w:pPr>
        <w:pStyle w:val="ListParagraph"/>
        <w:numPr>
          <w:ilvl w:val="0"/>
          <w:numId w:val="31"/>
        </w:numPr>
        <w:spacing w:after="0" w:line="360" w:lineRule="auto"/>
        <w:jc w:val="both"/>
        <w:rPr>
          <w:rFonts w:ascii="Arial" w:hAnsi="Arial" w:cs="Arial"/>
          <w:sz w:val="20"/>
          <w:szCs w:val="20"/>
          <w:lang w:val="en-US"/>
        </w:rPr>
      </w:pPr>
      <w:r>
        <w:rPr>
          <w:rFonts w:ascii="Arial" w:eastAsia="PalatinoLinotype-Roman" w:hAnsi="Arial" w:cs="Arial"/>
          <w:sz w:val="20"/>
          <w:szCs w:val="20"/>
          <w:lang w:val="en-US"/>
        </w:rPr>
        <w:t xml:space="preserve">Hou, S., Wang, J., Dai, J., </w:t>
      </w:r>
      <w:proofErr w:type="spellStart"/>
      <w:r>
        <w:rPr>
          <w:rFonts w:ascii="Arial" w:eastAsia="PalatinoLinotype-Roman" w:hAnsi="Arial" w:cs="Arial"/>
          <w:sz w:val="20"/>
          <w:szCs w:val="20"/>
          <w:lang w:val="en-US" w:eastAsia="zh-CN"/>
        </w:rPr>
        <w:t>Boussafir</w:t>
      </w:r>
      <w:proofErr w:type="spellEnd"/>
      <w:r>
        <w:rPr>
          <w:rFonts w:ascii="Arial" w:eastAsia="PalatinoLinotype-Roman" w:hAnsi="Arial" w:cs="Arial"/>
          <w:sz w:val="20"/>
          <w:szCs w:val="20"/>
          <w:lang w:val="en-US" w:eastAsia="zh-CN"/>
        </w:rPr>
        <w:t xml:space="preserve">, M., </w:t>
      </w:r>
      <w:r>
        <w:rPr>
          <w:rFonts w:ascii="Arial" w:eastAsia="Times New Roman" w:hAnsi="Arial" w:cs="Arial"/>
          <w:sz w:val="20"/>
          <w:szCs w:val="20"/>
          <w:lang w:val="en-US" w:eastAsia="fr-FR"/>
        </w:rPr>
        <w:t>&amp;</w:t>
      </w:r>
      <w:r>
        <w:rPr>
          <w:rFonts w:ascii="Arial" w:eastAsia="PalatinoLinotype-Roman" w:hAnsi="Arial" w:cs="Arial"/>
          <w:sz w:val="20"/>
          <w:szCs w:val="20"/>
          <w:lang w:val="en-US" w:eastAsia="zh-CN"/>
        </w:rPr>
        <w:t xml:space="preserve"> Zhang, C. (2023).</w:t>
      </w:r>
      <w:r>
        <w:rPr>
          <w:rFonts w:ascii="Arial" w:eastAsia="PalatinoLinotype-Roman" w:hAnsi="Arial" w:cs="Arial"/>
          <w:sz w:val="20"/>
          <w:szCs w:val="20"/>
          <w:lang w:val="en-US"/>
        </w:rPr>
        <w:t xml:space="preserve"> Combined effects of earthworms and biochar on PAHs-contaminated soil remediation: A review. Soil </w:t>
      </w:r>
      <w:proofErr w:type="spellStart"/>
      <w:r>
        <w:rPr>
          <w:rFonts w:ascii="Arial" w:eastAsia="PalatinoLinotype-Roman" w:hAnsi="Arial" w:cs="Arial"/>
          <w:sz w:val="20"/>
          <w:szCs w:val="20"/>
          <w:lang w:val="en-US"/>
        </w:rPr>
        <w:t>Ecol</w:t>
      </w:r>
      <w:r>
        <w:rPr>
          <w:rFonts w:ascii="Arial" w:eastAsia="PalatinoLinotype-Roman" w:hAnsi="Arial" w:cs="Arial"/>
          <w:sz w:val="20"/>
          <w:szCs w:val="20"/>
          <w:lang w:val="en-GB"/>
        </w:rPr>
        <w:t>ogy</w:t>
      </w:r>
      <w:proofErr w:type="spellEnd"/>
      <w:r>
        <w:rPr>
          <w:rFonts w:ascii="Arial" w:eastAsia="PalatinoLinotype-Roman" w:hAnsi="Arial" w:cs="Arial"/>
          <w:i/>
          <w:sz w:val="20"/>
          <w:szCs w:val="20"/>
          <w:lang w:val="en-US"/>
        </w:rPr>
        <w:t xml:space="preserve"> </w:t>
      </w:r>
      <w:r>
        <w:rPr>
          <w:rFonts w:ascii="Arial" w:eastAsia="PalatinoLinotype-Roman" w:hAnsi="Arial" w:cs="Arial"/>
          <w:sz w:val="20"/>
          <w:szCs w:val="20"/>
          <w:lang w:val="en-US"/>
        </w:rPr>
        <w:t>Lett</w:t>
      </w:r>
      <w:proofErr w:type="spellStart"/>
      <w:r>
        <w:rPr>
          <w:rFonts w:ascii="Arial" w:eastAsia="PalatinoLinotype-Roman" w:hAnsi="Arial" w:cs="Arial"/>
          <w:sz w:val="20"/>
          <w:szCs w:val="20"/>
          <w:lang w:val="en-GB"/>
        </w:rPr>
        <w:t>ers</w:t>
      </w:r>
      <w:proofErr w:type="spellEnd"/>
      <w:r>
        <w:rPr>
          <w:rFonts w:ascii="Arial" w:eastAsia="PalatinoLinotype-Roman" w:hAnsi="Arial" w:cs="Arial"/>
          <w:sz w:val="20"/>
          <w:szCs w:val="20"/>
          <w:lang w:val="en-US"/>
        </w:rPr>
        <w:t>, 5, 220158.</w:t>
      </w:r>
      <w:r>
        <w:rPr>
          <w:rFonts w:ascii="Arial" w:hAnsi="Arial" w:cs="Arial"/>
          <w:sz w:val="20"/>
          <w:szCs w:val="20"/>
          <w:lang w:val="en-US"/>
        </w:rPr>
        <w:t xml:space="preserve"> </w:t>
      </w:r>
      <w:r>
        <w:rPr>
          <w:rFonts w:ascii="Arial" w:eastAsia="PalatinoLinotype-Roman" w:hAnsi="Arial" w:cs="Arial"/>
          <w:sz w:val="20"/>
          <w:szCs w:val="20"/>
          <w:lang w:val="en-US"/>
        </w:rPr>
        <w:t>https://doi.org/10.1007/s42832-022-0158-y.</w:t>
      </w:r>
    </w:p>
    <w:p w14:paraId="218C3A29"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PalatinoLinotype-Roman" w:hAnsi="Arial" w:cs="Arial"/>
          <w:color w:val="000000"/>
          <w:sz w:val="20"/>
          <w:szCs w:val="20"/>
          <w:lang w:val="en-US"/>
        </w:rPr>
        <w:t>Huang, C. D., Ge, Y., Yue, S. Z., Qiao, Y. H., &amp; Liu, L. S. (2021). Impact of soil metals on earthworm communities from the perspectives of earthworm ecotypes and metal bioaccumulation. Journal of Hazardous Materials</w:t>
      </w:r>
      <w:r>
        <w:rPr>
          <w:rFonts w:ascii="Arial" w:eastAsia="PalatinoLinotype-Roman" w:hAnsi="Arial" w:cs="Arial"/>
          <w:i/>
          <w:color w:val="000000"/>
          <w:sz w:val="20"/>
          <w:szCs w:val="20"/>
          <w:lang w:val="en-US"/>
        </w:rPr>
        <w:t xml:space="preserve">, </w:t>
      </w:r>
      <w:r>
        <w:rPr>
          <w:rFonts w:ascii="Arial" w:eastAsia="PalatinoLinotype-Roman" w:hAnsi="Arial" w:cs="Arial"/>
          <w:color w:val="000000"/>
          <w:sz w:val="20"/>
          <w:szCs w:val="20"/>
          <w:lang w:val="en-US"/>
        </w:rPr>
        <w:t xml:space="preserve">406, </w:t>
      </w:r>
      <w:r>
        <w:rPr>
          <w:rFonts w:ascii="Arial" w:eastAsia="Times New Roman" w:hAnsi="Arial" w:cs="Arial"/>
          <w:color w:val="000000"/>
          <w:sz w:val="20"/>
          <w:szCs w:val="20"/>
          <w:lang w:val="en-US" w:eastAsia="fr-FR"/>
        </w:rPr>
        <w:t xml:space="preserve">124738. </w:t>
      </w:r>
      <w:r>
        <w:rPr>
          <w:rFonts w:ascii="Arial" w:eastAsia="PalatinoLinotype-Roman" w:hAnsi="Arial" w:cs="Arial"/>
          <w:color w:val="000000"/>
          <w:sz w:val="20"/>
          <w:szCs w:val="20"/>
          <w:lang w:val="en-US"/>
        </w:rPr>
        <w:t>http://dx.doi.org/10.1016/j.jhazmat.2020.124738.</w:t>
      </w:r>
    </w:p>
    <w:p w14:paraId="1B9FF59D" w14:textId="77777777" w:rsidR="00B66A9C" w:rsidRDefault="00501121">
      <w:pPr>
        <w:pStyle w:val="ListParagraph"/>
        <w:numPr>
          <w:ilvl w:val="0"/>
          <w:numId w:val="31"/>
        </w:numPr>
        <w:spacing w:after="0" w:line="360" w:lineRule="auto"/>
        <w:jc w:val="both"/>
        <w:rPr>
          <w:rFonts w:ascii="Arial" w:hAnsi="Arial" w:cs="Arial"/>
          <w:sz w:val="20"/>
          <w:szCs w:val="20"/>
        </w:rPr>
      </w:pPr>
      <w:r>
        <w:rPr>
          <w:rFonts w:ascii="Arial" w:eastAsia="Times New Roman" w:hAnsi="Arial" w:cs="Arial"/>
          <w:sz w:val="20"/>
          <w:szCs w:val="20"/>
          <w:lang w:val="en-US" w:eastAsia="fr-FR"/>
        </w:rPr>
        <w:t xml:space="preserve">Huang, C., Wang, W., Yue, S., Adeel, M., &amp; Qiao, Y. (2020). Role of biochar and </w:t>
      </w:r>
      <w:r>
        <w:rPr>
          <w:rFonts w:ascii="Arial" w:eastAsia="Times New Roman" w:hAnsi="Arial" w:cs="Arial"/>
          <w:i/>
          <w:sz w:val="20"/>
          <w:szCs w:val="20"/>
          <w:lang w:val="en-US" w:eastAsia="fr-FR"/>
        </w:rPr>
        <w:t xml:space="preserve">Eisenia   </w:t>
      </w:r>
      <w:proofErr w:type="spellStart"/>
      <w:r>
        <w:rPr>
          <w:rFonts w:ascii="Arial" w:eastAsia="Times New Roman" w:hAnsi="Arial" w:cs="Arial"/>
          <w:i/>
          <w:sz w:val="20"/>
          <w:szCs w:val="20"/>
          <w:lang w:val="en-US" w:eastAsia="fr-FR"/>
        </w:rPr>
        <w:t>fetida</w:t>
      </w:r>
      <w:proofErr w:type="spellEnd"/>
      <w:r>
        <w:rPr>
          <w:rFonts w:ascii="Arial" w:eastAsia="Times New Roman" w:hAnsi="Arial" w:cs="Arial"/>
          <w:sz w:val="20"/>
          <w:szCs w:val="20"/>
          <w:lang w:val="en-US" w:eastAsia="fr-FR"/>
        </w:rPr>
        <w:t xml:space="preserve"> on metal bioavailability and biochar effects on earthworm fitness. Environmental</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Pollution</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263, 114586.</w:t>
      </w:r>
      <w:r>
        <w:rPr>
          <w:rFonts w:ascii="Arial" w:hAnsi="Arial" w:cs="Arial"/>
          <w:sz w:val="20"/>
          <w:szCs w:val="20"/>
          <w:lang w:val="en-US"/>
        </w:rPr>
        <w:t xml:space="preserve"> </w:t>
      </w:r>
      <w:r>
        <w:rPr>
          <w:rFonts w:ascii="Arial" w:eastAsia="Times New Roman" w:hAnsi="Arial" w:cs="Arial"/>
          <w:sz w:val="20"/>
          <w:szCs w:val="20"/>
          <w:lang w:val="en-US" w:eastAsia="fr-FR"/>
        </w:rPr>
        <w:t xml:space="preserve">https://doi.org/10.1016/j.envpol.2020.1145. </w:t>
      </w:r>
    </w:p>
    <w:p w14:paraId="629E3CC8" w14:textId="77777777" w:rsidR="00B66A9C" w:rsidRDefault="00501121">
      <w:pPr>
        <w:pStyle w:val="ListParagraph"/>
        <w:numPr>
          <w:ilvl w:val="0"/>
          <w:numId w:val="31"/>
        </w:numPr>
        <w:spacing w:after="0" w:line="360" w:lineRule="auto"/>
        <w:ind w:right="-170"/>
        <w:jc w:val="both"/>
        <w:rPr>
          <w:rFonts w:ascii="Arial" w:eastAsia="PalatinoLinotype-Roman" w:hAnsi="Arial" w:cs="Arial"/>
          <w:sz w:val="20"/>
          <w:szCs w:val="20"/>
          <w:lang w:val="en-US"/>
        </w:rPr>
      </w:pPr>
      <w:r>
        <w:rPr>
          <w:rFonts w:ascii="Arial" w:eastAsia="PalatinoLinotype-Roman" w:hAnsi="Arial" w:cs="Arial"/>
          <w:sz w:val="20"/>
          <w:szCs w:val="20"/>
        </w:rPr>
        <w:t>Jin, X., Zhang, T., Hou., Y. et al (2024). </w:t>
      </w:r>
      <w:r>
        <w:rPr>
          <w:rFonts w:ascii="Arial" w:eastAsia="PalatinoLinotype-Roman" w:hAnsi="Arial" w:cs="Arial"/>
          <w:sz w:val="20"/>
          <w:szCs w:val="20"/>
          <w:lang w:val="en-US"/>
        </w:rPr>
        <w:t>Review on the effects of biochar amendment on soil microorganisms and enzyme activity. Journal of Soils and Sediments, 24, 2599-2612. https://doi.org/10.1007/s11368-024-03841-7.</w:t>
      </w:r>
    </w:p>
    <w:p w14:paraId="6B8EC010"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val="en-US" w:eastAsia="fr-FR"/>
        </w:rPr>
        <w:lastRenderedPageBreak/>
        <w:t>Kyere, V. N. (2016). Environmental and health impacts of informal e</w:t>
      </w:r>
      <w:r>
        <w:rPr>
          <w:rFonts w:ascii="Cambria Math" w:eastAsia="Times New Roman" w:hAnsi="Cambria Math" w:cs="Cambria Math"/>
          <w:sz w:val="20"/>
          <w:szCs w:val="20"/>
          <w:lang w:val="en-US" w:eastAsia="fr-FR"/>
        </w:rPr>
        <w:t>‐</w:t>
      </w:r>
      <w:r>
        <w:rPr>
          <w:rFonts w:ascii="Arial" w:eastAsia="Times New Roman" w:hAnsi="Arial" w:cs="Arial"/>
          <w:sz w:val="20"/>
          <w:szCs w:val="20"/>
          <w:lang w:val="en-US" w:eastAsia="fr-FR"/>
        </w:rPr>
        <w:t xml:space="preserve">waste recycling in Agbogbloshie, Accra, Ghana: Recommendations for sustainable management. </w:t>
      </w:r>
      <w:proofErr w:type="spellStart"/>
      <w:r>
        <w:rPr>
          <w:rFonts w:ascii="Arial" w:eastAsia="Times New Roman" w:hAnsi="Arial" w:cs="Arial"/>
          <w:sz w:val="20"/>
          <w:szCs w:val="20"/>
          <w:lang w:eastAsia="fr-FR"/>
        </w:rPr>
        <w:t>Environmental</w:t>
      </w:r>
      <w:proofErr w:type="spellEnd"/>
      <w:r>
        <w:rPr>
          <w:rFonts w:ascii="Arial" w:eastAsia="Times New Roman" w:hAnsi="Arial" w:cs="Arial"/>
          <w:sz w:val="20"/>
          <w:szCs w:val="20"/>
          <w:lang w:eastAsia="fr-FR"/>
        </w:rPr>
        <w:t xml:space="preserve"> Pollution Centers.</w:t>
      </w:r>
      <w:r>
        <w:rPr>
          <w:rFonts w:ascii="Arial" w:eastAsia="Times New Roman" w:hAnsi="Arial" w:cs="Arial"/>
          <w:i/>
          <w:sz w:val="20"/>
          <w:szCs w:val="20"/>
          <w:lang w:eastAsia="fr-FR"/>
        </w:rPr>
        <w:t xml:space="preserve"> </w:t>
      </w:r>
      <w:r>
        <w:rPr>
          <w:rFonts w:ascii="Arial" w:eastAsia="Times New Roman" w:hAnsi="Arial" w:cs="Arial"/>
          <w:sz w:val="20"/>
          <w:szCs w:val="20"/>
          <w:lang w:eastAsia="fr-FR"/>
        </w:rPr>
        <w:t>http://hss.ulb.uni-bonn.de/2016/4325/432.5.</w:t>
      </w:r>
    </w:p>
    <w:p w14:paraId="5E6B05DE" w14:textId="77777777" w:rsidR="00B66A9C" w:rsidRDefault="00501121">
      <w:pPr>
        <w:pStyle w:val="ListParagraph"/>
        <w:numPr>
          <w:ilvl w:val="0"/>
          <w:numId w:val="31"/>
        </w:numPr>
        <w:autoSpaceDE w:val="0"/>
        <w:autoSpaceDN w:val="0"/>
        <w:adjustRightInd w:val="0"/>
        <w:spacing w:after="0" w:line="360" w:lineRule="auto"/>
        <w:jc w:val="both"/>
        <w:rPr>
          <w:rFonts w:ascii="Arial" w:eastAsia="Times New Roman" w:hAnsi="Arial" w:cs="Arial"/>
          <w:sz w:val="20"/>
          <w:szCs w:val="20"/>
          <w:lang w:val="en-US" w:eastAsia="fr-FR"/>
        </w:rPr>
      </w:pPr>
      <w:proofErr w:type="spellStart"/>
      <w:r>
        <w:rPr>
          <w:rFonts w:ascii="Arial" w:eastAsia="Times New Roman" w:hAnsi="Arial" w:cs="Arial"/>
          <w:sz w:val="20"/>
          <w:szCs w:val="20"/>
          <w:lang w:eastAsia="fr-FR"/>
        </w:rPr>
        <w:t>Latifi</w:t>
      </w:r>
      <w:proofErr w:type="spellEnd"/>
      <w:r>
        <w:rPr>
          <w:rFonts w:ascii="Arial" w:eastAsia="Times New Roman" w:hAnsi="Arial" w:cs="Arial"/>
          <w:sz w:val="20"/>
          <w:szCs w:val="20"/>
          <w:lang w:eastAsia="fr-FR"/>
        </w:rPr>
        <w:t xml:space="preserve">, F., Musa, F., &amp; Musa, A. (2020). </w:t>
      </w:r>
      <w:r>
        <w:rPr>
          <w:rFonts w:ascii="Arial" w:eastAsia="Times New Roman" w:hAnsi="Arial" w:cs="Arial"/>
          <w:sz w:val="20"/>
          <w:szCs w:val="20"/>
          <w:lang w:val="en-US" w:eastAsia="fr-FR"/>
        </w:rPr>
        <w:t>Heavy metal content in soil and their bioaccumulation in earthworms (</w:t>
      </w:r>
      <w:proofErr w:type="spellStart"/>
      <w:r>
        <w:rPr>
          <w:rFonts w:ascii="Arial" w:eastAsia="Times New Roman" w:hAnsi="Arial" w:cs="Arial"/>
          <w:i/>
          <w:sz w:val="20"/>
          <w:szCs w:val="20"/>
          <w:lang w:val="en-US" w:eastAsia="fr-FR"/>
        </w:rPr>
        <w:t>Lumbricus</w:t>
      </w:r>
      <w:proofErr w:type="spellEnd"/>
      <w:r>
        <w:rPr>
          <w:rFonts w:ascii="Arial" w:eastAsia="Times New Roman" w:hAnsi="Arial" w:cs="Arial"/>
          <w:i/>
          <w:sz w:val="20"/>
          <w:szCs w:val="20"/>
          <w:lang w:val="en-US" w:eastAsia="fr-FR"/>
        </w:rPr>
        <w:t xml:space="preserve"> </w:t>
      </w:r>
      <w:proofErr w:type="spellStart"/>
      <w:r>
        <w:rPr>
          <w:rFonts w:ascii="Arial" w:eastAsia="Times New Roman" w:hAnsi="Arial" w:cs="Arial"/>
          <w:i/>
          <w:sz w:val="20"/>
          <w:szCs w:val="20"/>
          <w:lang w:val="en-US" w:eastAsia="fr-FR"/>
        </w:rPr>
        <w:t>terrestris</w:t>
      </w:r>
      <w:proofErr w:type="spellEnd"/>
      <w:r>
        <w:rPr>
          <w:rFonts w:ascii="Arial" w:eastAsia="Times New Roman" w:hAnsi="Arial" w:cs="Arial"/>
          <w:i/>
          <w:sz w:val="20"/>
          <w:szCs w:val="20"/>
          <w:lang w:val="en-US" w:eastAsia="fr-FR"/>
        </w:rPr>
        <w:t xml:space="preserve"> L</w:t>
      </w:r>
      <w:r>
        <w:rPr>
          <w:rFonts w:ascii="Arial" w:eastAsia="Times New Roman" w:hAnsi="Arial" w:cs="Arial"/>
          <w:sz w:val="20"/>
          <w:szCs w:val="20"/>
          <w:lang w:val="en-US" w:eastAsia="fr-FR"/>
        </w:rPr>
        <w:t>.). Agriculture and Forestry, 66 (1), 57-67. https://doi.org/:10.17707/AgricultForest.66.1.07.</w:t>
      </w:r>
    </w:p>
    <w:p w14:paraId="4ACD10C1"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 xml:space="preserve">Lowe, C., &amp; Butt, R. (2005). Culture techniques for soil dwelling earth worms: </w:t>
      </w:r>
      <w:r>
        <w:rPr>
          <w:rFonts w:ascii="Arial" w:eastAsia="Times New Roman" w:hAnsi="Arial" w:cs="Arial"/>
          <w:i/>
          <w:sz w:val="20"/>
          <w:szCs w:val="20"/>
          <w:lang w:val="en-US" w:eastAsia="fr-FR"/>
        </w:rPr>
        <w:t xml:space="preserve">A review. </w:t>
      </w:r>
      <w:r>
        <w:rPr>
          <w:rFonts w:ascii="Arial" w:eastAsia="Times New Roman" w:hAnsi="Arial" w:cs="Arial"/>
          <w:sz w:val="20"/>
          <w:szCs w:val="20"/>
          <w:lang w:val="en-US" w:eastAsia="fr-FR"/>
        </w:rPr>
        <w:t xml:space="preserve">Journal of </w:t>
      </w:r>
      <w:proofErr w:type="spellStart"/>
      <w:r>
        <w:rPr>
          <w:rFonts w:ascii="Arial" w:eastAsia="Times New Roman" w:hAnsi="Arial" w:cs="Arial"/>
          <w:sz w:val="20"/>
          <w:szCs w:val="20"/>
          <w:lang w:val="en-US" w:eastAsia="fr-FR"/>
        </w:rPr>
        <w:t>Pedobiologia</w:t>
      </w:r>
      <w:proofErr w:type="spellEnd"/>
      <w:r>
        <w:rPr>
          <w:rFonts w:ascii="Arial" w:eastAsia="Times New Roman" w:hAnsi="Arial" w:cs="Arial"/>
          <w:sz w:val="20"/>
          <w:szCs w:val="20"/>
          <w:lang w:val="en-US" w:eastAsia="fr-FR"/>
        </w:rPr>
        <w:t xml:space="preserve">, 49,401-413. https://doi.org/10.1016/J.PEDOBI.2005.04.005. </w:t>
      </w:r>
    </w:p>
    <w:p w14:paraId="3808A6AA" w14:textId="77777777" w:rsidR="00B66A9C" w:rsidRDefault="00501121">
      <w:pPr>
        <w:pStyle w:val="ListParagraph"/>
        <w:numPr>
          <w:ilvl w:val="0"/>
          <w:numId w:val="31"/>
        </w:numPr>
        <w:spacing w:after="0" w:line="360" w:lineRule="auto"/>
        <w:jc w:val="both"/>
        <w:rPr>
          <w:rFonts w:ascii="Arial" w:eastAsia="PalatinoLinotype-Roman" w:hAnsi="Arial" w:cs="Arial"/>
          <w:sz w:val="20"/>
          <w:szCs w:val="20"/>
          <w:lang w:val="en-US"/>
        </w:rPr>
      </w:pPr>
      <w:r>
        <w:rPr>
          <w:rFonts w:ascii="Arial" w:eastAsia="PalatinoLinotype-Roman" w:hAnsi="Arial" w:cs="Arial"/>
          <w:sz w:val="20"/>
          <w:szCs w:val="20"/>
          <w:lang w:val="en-US"/>
        </w:rPr>
        <w:t>Lu P., Nuhfer N.T., Kelly S., Li Q., Konishi H., Elswick E., Zhu C. (2011): Lead coprecipitation with iron oxyhydroxide nano-parti</w:t>
      </w:r>
      <w:r>
        <w:rPr>
          <w:rFonts w:ascii="Arial" w:eastAsia="PalatinoLinotype-Roman" w:hAnsi="Arial" w:cs="Arial"/>
          <w:sz w:val="20"/>
          <w:szCs w:val="20"/>
          <w:lang w:val="en-US"/>
        </w:rPr>
        <w:softHyphen/>
        <w:t xml:space="preserve">cles. </w:t>
      </w:r>
      <w:proofErr w:type="spellStart"/>
      <w:r>
        <w:rPr>
          <w:rFonts w:ascii="Arial" w:eastAsia="PalatinoLinotype-Roman" w:hAnsi="Arial" w:cs="Arial"/>
          <w:sz w:val="20"/>
          <w:szCs w:val="20"/>
          <w:lang w:val="en-US"/>
        </w:rPr>
        <w:t>Geochimica</w:t>
      </w:r>
      <w:proofErr w:type="spellEnd"/>
      <w:r>
        <w:rPr>
          <w:rFonts w:ascii="Arial" w:eastAsia="PalatinoLinotype-Roman" w:hAnsi="Arial" w:cs="Arial"/>
          <w:sz w:val="20"/>
          <w:szCs w:val="20"/>
          <w:lang w:val="en-US"/>
        </w:rPr>
        <w:t xml:space="preserve"> et </w:t>
      </w:r>
      <w:proofErr w:type="spellStart"/>
      <w:r>
        <w:rPr>
          <w:rFonts w:ascii="Arial" w:eastAsia="PalatinoLinotype-Roman" w:hAnsi="Arial" w:cs="Arial"/>
          <w:sz w:val="20"/>
          <w:szCs w:val="20"/>
          <w:lang w:val="en-US"/>
        </w:rPr>
        <w:t>Cosmochimica</w:t>
      </w:r>
      <w:proofErr w:type="spellEnd"/>
      <w:r>
        <w:rPr>
          <w:rFonts w:ascii="Arial" w:eastAsia="PalatinoLinotype-Roman" w:hAnsi="Arial" w:cs="Arial"/>
          <w:sz w:val="20"/>
          <w:szCs w:val="20"/>
          <w:lang w:val="en-US"/>
        </w:rPr>
        <w:t xml:space="preserve"> Acta, 75(16): 4547–4561.</w:t>
      </w:r>
      <w:r>
        <w:rPr>
          <w:rFonts w:ascii="Arial" w:hAnsi="Arial" w:cs="Arial"/>
          <w:sz w:val="20"/>
          <w:szCs w:val="20"/>
          <w:lang w:val="en-US"/>
        </w:rPr>
        <w:t xml:space="preserve"> </w:t>
      </w:r>
      <w:r>
        <w:rPr>
          <w:rFonts w:ascii="Arial" w:eastAsia="PalatinoLinotype-Roman" w:hAnsi="Arial" w:cs="Arial"/>
          <w:sz w:val="20"/>
          <w:szCs w:val="20"/>
          <w:lang w:val="en-US"/>
        </w:rPr>
        <w:t>https://doi.org/10.1016/j.gca.2011.05.035.</w:t>
      </w:r>
    </w:p>
    <w:p w14:paraId="3EEE8679"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iCs/>
          <w:sz w:val="20"/>
          <w:szCs w:val="20"/>
          <w:lang w:eastAsia="fr-FR"/>
        </w:rPr>
        <w:t xml:space="preserve">Lu, </w:t>
      </w:r>
      <w:r>
        <w:rPr>
          <w:rFonts w:ascii="Arial" w:eastAsia="Times New Roman" w:hAnsi="Arial" w:cs="Arial"/>
          <w:sz w:val="20"/>
          <w:szCs w:val="20"/>
          <w:lang w:eastAsia="fr-FR"/>
        </w:rPr>
        <w:t xml:space="preserve">K., Yang, X., Shen, J., </w:t>
      </w:r>
      <w:proofErr w:type="spellStart"/>
      <w:r>
        <w:rPr>
          <w:rFonts w:ascii="Arial" w:eastAsia="Times New Roman" w:hAnsi="Arial" w:cs="Arial"/>
          <w:sz w:val="20"/>
          <w:szCs w:val="20"/>
          <w:lang w:eastAsia="fr-FR"/>
        </w:rPr>
        <w:t>Robinsonc</w:t>
      </w:r>
      <w:proofErr w:type="spellEnd"/>
      <w:r>
        <w:rPr>
          <w:rFonts w:ascii="Arial" w:eastAsia="Times New Roman" w:hAnsi="Arial" w:cs="Arial"/>
          <w:sz w:val="20"/>
          <w:szCs w:val="20"/>
          <w:lang w:eastAsia="fr-FR"/>
        </w:rPr>
        <w:t xml:space="preserve">, B., Huang, H., Liu, D., </w:t>
      </w:r>
      <w:proofErr w:type="spellStart"/>
      <w:r>
        <w:rPr>
          <w:rFonts w:ascii="Arial" w:eastAsia="Times New Roman" w:hAnsi="Arial" w:cs="Arial"/>
          <w:sz w:val="20"/>
          <w:szCs w:val="20"/>
          <w:lang w:eastAsia="fr-FR"/>
        </w:rPr>
        <w:t>Bolane</w:t>
      </w:r>
      <w:proofErr w:type="spellEnd"/>
      <w:r>
        <w:rPr>
          <w:rFonts w:ascii="Arial" w:eastAsia="Times New Roman" w:hAnsi="Arial" w:cs="Arial"/>
          <w:sz w:val="20"/>
          <w:szCs w:val="20"/>
          <w:lang w:eastAsia="fr-FR"/>
        </w:rPr>
        <w:t xml:space="preserve">, N., </w:t>
      </w:r>
      <w:proofErr w:type="spellStart"/>
      <w:r>
        <w:rPr>
          <w:rFonts w:ascii="Arial" w:eastAsia="Times New Roman" w:hAnsi="Arial" w:cs="Arial"/>
          <w:sz w:val="20"/>
          <w:szCs w:val="20"/>
          <w:lang w:eastAsia="fr-FR"/>
        </w:rPr>
        <w:t>Peib</w:t>
      </w:r>
      <w:proofErr w:type="spellEnd"/>
      <w:r>
        <w:rPr>
          <w:rFonts w:ascii="Arial" w:eastAsia="Times New Roman" w:hAnsi="Arial" w:cs="Arial"/>
          <w:sz w:val="20"/>
          <w:szCs w:val="20"/>
          <w:lang w:eastAsia="fr-FR"/>
        </w:rPr>
        <w:t xml:space="preserve">, J., &amp; Wang, H. (2014). </w:t>
      </w:r>
      <w:r>
        <w:rPr>
          <w:rFonts w:ascii="Arial" w:eastAsia="Times New Roman" w:hAnsi="Arial" w:cs="Arial"/>
          <w:sz w:val="20"/>
          <w:szCs w:val="20"/>
          <w:lang w:val="en-US" w:eastAsia="fr-FR"/>
        </w:rPr>
        <w:t xml:space="preserve">Effect of bamboo and rice straw </w:t>
      </w:r>
      <w:proofErr w:type="spellStart"/>
      <w:r>
        <w:rPr>
          <w:rFonts w:ascii="Arial" w:eastAsia="Times New Roman" w:hAnsi="Arial" w:cs="Arial"/>
          <w:sz w:val="20"/>
          <w:szCs w:val="20"/>
          <w:lang w:val="en-US" w:eastAsia="fr-FR"/>
        </w:rPr>
        <w:t>biochars</w:t>
      </w:r>
      <w:proofErr w:type="spellEnd"/>
      <w:r>
        <w:rPr>
          <w:rFonts w:ascii="Arial" w:eastAsia="Times New Roman" w:hAnsi="Arial" w:cs="Arial"/>
          <w:sz w:val="20"/>
          <w:szCs w:val="20"/>
          <w:lang w:val="en-US" w:eastAsia="fr-FR"/>
        </w:rPr>
        <w:t xml:space="preserve"> on the bioavailability of Cd, Cu, Pb and Zn to Sedum </w:t>
      </w:r>
      <w:proofErr w:type="spellStart"/>
      <w:r>
        <w:rPr>
          <w:rFonts w:ascii="Arial" w:eastAsia="Times New Roman" w:hAnsi="Arial" w:cs="Arial"/>
          <w:sz w:val="20"/>
          <w:szCs w:val="20"/>
          <w:lang w:val="en-US" w:eastAsia="fr-FR"/>
        </w:rPr>
        <w:t>plumbizincicola</w:t>
      </w:r>
      <w:proofErr w:type="spellEnd"/>
      <w:r>
        <w:rPr>
          <w:rFonts w:ascii="Arial" w:eastAsia="SimSun" w:hAnsi="Arial" w:cs="Arial"/>
          <w:sz w:val="20"/>
          <w:szCs w:val="20"/>
          <w:lang w:val="en-US" w:eastAsia="en-GB"/>
        </w:rPr>
        <w:t>. Agriculture, Ecosystems and Environment</w:t>
      </w:r>
      <w:r>
        <w:rPr>
          <w:rFonts w:ascii="Arial" w:eastAsia="SimSun" w:hAnsi="Arial" w:cs="Arial"/>
          <w:i/>
          <w:sz w:val="20"/>
          <w:szCs w:val="20"/>
          <w:lang w:val="en-US" w:eastAsia="en-GB"/>
        </w:rPr>
        <w:t xml:space="preserve">, </w:t>
      </w:r>
      <w:r>
        <w:rPr>
          <w:rFonts w:ascii="Arial" w:eastAsia="SimSun" w:hAnsi="Arial" w:cs="Arial"/>
          <w:sz w:val="20"/>
          <w:szCs w:val="20"/>
          <w:lang w:val="en-US" w:eastAsia="en-GB"/>
        </w:rPr>
        <w:t>191, 124-132. https://doi.org/10.1016/j.agee.2014.04.010.</w:t>
      </w:r>
    </w:p>
    <w:p w14:paraId="5FA9AB11" w14:textId="77777777" w:rsidR="00B66A9C" w:rsidRDefault="00501121">
      <w:pPr>
        <w:pStyle w:val="ListParagraph"/>
        <w:numPr>
          <w:ilvl w:val="0"/>
          <w:numId w:val="31"/>
        </w:numPr>
        <w:spacing w:after="0" w:line="360" w:lineRule="auto"/>
        <w:ind w:right="-170"/>
        <w:jc w:val="both"/>
        <w:rPr>
          <w:rFonts w:ascii="Arial" w:eastAsia="PalatinoLinotype-Roman" w:hAnsi="Arial" w:cs="Arial"/>
          <w:sz w:val="20"/>
          <w:szCs w:val="20"/>
          <w:lang w:val="en-US"/>
        </w:rPr>
      </w:pPr>
      <w:r>
        <w:rPr>
          <w:rFonts w:ascii="Arial" w:eastAsia="Times New Roman" w:hAnsi="Arial" w:cs="Arial"/>
          <w:sz w:val="20"/>
          <w:szCs w:val="20"/>
          <w:lang w:val="en-US" w:eastAsia="fr-FR"/>
        </w:rPr>
        <w:t xml:space="preserve">Mahipal, S. S., Mayuri, K., Manisha, N., </w:t>
      </w:r>
      <w:proofErr w:type="spellStart"/>
      <w:r>
        <w:rPr>
          <w:rFonts w:ascii="Arial" w:eastAsia="Times New Roman" w:hAnsi="Arial" w:cs="Arial"/>
          <w:sz w:val="20"/>
          <w:szCs w:val="20"/>
          <w:lang w:val="en-US" w:eastAsia="fr-FR"/>
        </w:rPr>
        <w:t>Shriyash</w:t>
      </w:r>
      <w:proofErr w:type="spellEnd"/>
      <w:r>
        <w:rPr>
          <w:rFonts w:ascii="Arial" w:eastAsia="Times New Roman" w:hAnsi="Arial" w:cs="Arial"/>
          <w:sz w:val="20"/>
          <w:szCs w:val="20"/>
          <w:lang w:val="en-US" w:eastAsia="fr-FR"/>
        </w:rPr>
        <w:t>, M., Gaurav, P. S., &amp; Bhaskar, C. (2016). Effect of Electronic waste on Environmental and Human health.</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Journal of Environmental Science, Toxicology and Food Technology,</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10, 98-104.</w:t>
      </w:r>
      <w:r>
        <w:rPr>
          <w:rFonts w:ascii="Arial" w:eastAsia="SimSun" w:hAnsi="Arial" w:cs="Arial"/>
          <w:sz w:val="20"/>
          <w:szCs w:val="20"/>
          <w:lang w:val="en-US" w:eastAsia="en-GB"/>
        </w:rPr>
        <w:t xml:space="preserve"> https://doi.org/</w:t>
      </w:r>
      <w:r>
        <w:rPr>
          <w:rFonts w:ascii="Arial" w:eastAsia="Times New Roman" w:hAnsi="Arial" w:cs="Arial"/>
          <w:sz w:val="20"/>
          <w:szCs w:val="20"/>
          <w:lang w:val="en-US" w:eastAsia="fr-FR"/>
        </w:rPr>
        <w:t>10.9790/2402-10090198104.</w:t>
      </w:r>
    </w:p>
    <w:p w14:paraId="0B14A696" w14:textId="77777777" w:rsidR="00B66A9C" w:rsidRDefault="00501121">
      <w:pPr>
        <w:pStyle w:val="ListParagraph"/>
        <w:numPr>
          <w:ilvl w:val="0"/>
          <w:numId w:val="31"/>
        </w:numPr>
        <w:autoSpaceDE w:val="0"/>
        <w:autoSpaceDN w:val="0"/>
        <w:adjustRightInd w:val="0"/>
        <w:spacing w:after="0" w:line="360" w:lineRule="auto"/>
        <w:jc w:val="both"/>
        <w:rPr>
          <w:rFonts w:ascii="Arial" w:hAnsi="Arial" w:cs="Arial"/>
          <w:sz w:val="20"/>
          <w:szCs w:val="20"/>
        </w:rPr>
      </w:pPr>
      <w:proofErr w:type="spellStart"/>
      <w:r>
        <w:rPr>
          <w:rFonts w:ascii="Arial" w:hAnsi="Arial" w:cs="Arial"/>
          <w:sz w:val="20"/>
          <w:szCs w:val="20"/>
          <w:lang w:val="en-US"/>
        </w:rPr>
        <w:t>Medynska-Juraszek</w:t>
      </w:r>
      <w:proofErr w:type="spellEnd"/>
      <w:r>
        <w:rPr>
          <w:rFonts w:ascii="Arial" w:hAnsi="Arial" w:cs="Arial"/>
          <w:sz w:val="20"/>
          <w:szCs w:val="20"/>
          <w:lang w:val="en-US"/>
        </w:rPr>
        <w:t xml:space="preserve">, A., Rivier, P., </w:t>
      </w:r>
      <w:proofErr w:type="spellStart"/>
      <w:r>
        <w:rPr>
          <w:rFonts w:ascii="Arial" w:hAnsi="Arial" w:cs="Arial"/>
          <w:sz w:val="20"/>
          <w:szCs w:val="20"/>
          <w:lang w:val="en-US"/>
        </w:rPr>
        <w:t>Rasse</w:t>
      </w:r>
      <w:proofErr w:type="spellEnd"/>
      <w:r>
        <w:rPr>
          <w:rFonts w:ascii="Arial" w:hAnsi="Arial" w:cs="Arial"/>
          <w:sz w:val="20"/>
          <w:szCs w:val="20"/>
          <w:lang w:val="en-US"/>
        </w:rPr>
        <w:t xml:space="preserve">, D., </w:t>
      </w:r>
      <w:r>
        <w:rPr>
          <w:rFonts w:ascii="Arial" w:eastAsia="PalatinoLinotype-Roman" w:hAnsi="Arial" w:cs="Arial"/>
          <w:sz w:val="20"/>
          <w:szCs w:val="20"/>
          <w:lang w:val="en-US"/>
        </w:rPr>
        <w:t>&amp;</w:t>
      </w:r>
      <w:r>
        <w:rPr>
          <w:rFonts w:ascii="Arial" w:hAnsi="Arial" w:cs="Arial"/>
          <w:sz w:val="20"/>
          <w:szCs w:val="20"/>
          <w:lang w:val="en-US"/>
        </w:rPr>
        <w:t xml:space="preserve"> Joner, E. J. (</w:t>
      </w:r>
      <w:r>
        <w:rPr>
          <w:rFonts w:ascii="Arial" w:hAnsi="Arial" w:cs="Arial"/>
          <w:bCs/>
          <w:sz w:val="20"/>
          <w:szCs w:val="20"/>
          <w:lang w:val="en-US"/>
        </w:rPr>
        <w:t>2020).</w:t>
      </w:r>
      <w:r>
        <w:rPr>
          <w:rFonts w:ascii="Arial" w:hAnsi="Arial" w:cs="Arial"/>
          <w:sz w:val="20"/>
          <w:szCs w:val="20"/>
          <w:lang w:val="en-US"/>
        </w:rPr>
        <w:t xml:space="preserve"> Biochar Affects Heavy Metal Uptake in Plants through Interactions in the Rhizosphere. Applied Sciences, 10, 5105. https://doi.org/10.3390/app10155105.</w:t>
      </w:r>
      <w:r>
        <w:rPr>
          <w:rFonts w:ascii="Arial" w:hAnsi="Arial" w:cs="Arial"/>
          <w:sz w:val="20"/>
          <w:szCs w:val="20"/>
          <w:lang w:val="en-US"/>
        </w:rPr>
        <w:tab/>
        <w:t xml:space="preserve"> </w:t>
      </w:r>
    </w:p>
    <w:p w14:paraId="32478230" w14:textId="77777777" w:rsidR="00B66A9C" w:rsidRDefault="00501121">
      <w:pPr>
        <w:pStyle w:val="ListParagraph"/>
        <w:numPr>
          <w:ilvl w:val="0"/>
          <w:numId w:val="31"/>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Moyen, M.G.,</w:t>
      </w:r>
      <w:r>
        <w:rPr>
          <w:rFonts w:ascii="Arial" w:eastAsia="PalatinoLinotype-Roman" w:hAnsi="Arial" w:cs="Arial"/>
          <w:sz w:val="20"/>
          <w:szCs w:val="20"/>
        </w:rPr>
        <w:t xml:space="preserve"> &amp;</w:t>
      </w:r>
      <w:r>
        <w:rPr>
          <w:rFonts w:ascii="Arial" w:hAnsi="Arial" w:cs="Arial"/>
          <w:sz w:val="20"/>
          <w:szCs w:val="20"/>
        </w:rPr>
        <w:t xml:space="preserve"> </w:t>
      </w:r>
      <w:proofErr w:type="spellStart"/>
      <w:r>
        <w:rPr>
          <w:rFonts w:ascii="Arial" w:hAnsi="Arial" w:cs="Arial"/>
          <w:sz w:val="20"/>
          <w:szCs w:val="20"/>
        </w:rPr>
        <w:t>Archodoulaki</w:t>
      </w:r>
      <w:proofErr w:type="spellEnd"/>
      <w:r>
        <w:rPr>
          <w:rFonts w:ascii="Arial" w:hAnsi="Arial" w:cs="Arial"/>
          <w:sz w:val="20"/>
          <w:szCs w:val="20"/>
        </w:rPr>
        <w:t xml:space="preserve">, V. M.  </w:t>
      </w:r>
      <w:r>
        <w:rPr>
          <w:rFonts w:ascii="Arial" w:hAnsi="Arial" w:cs="Arial"/>
          <w:sz w:val="20"/>
          <w:szCs w:val="20"/>
          <w:lang w:val="en-US"/>
        </w:rPr>
        <w:t xml:space="preserve">(2023). </w:t>
      </w:r>
      <w:r>
        <w:rPr>
          <w:rFonts w:ascii="Arial" w:hAnsi="Arial" w:cs="Arial"/>
          <w:sz w:val="20"/>
          <w:szCs w:val="20"/>
          <w:lang w:val="en-GB"/>
        </w:rPr>
        <w:t>Electrical and Electronic Waste Management Problems in Africa: Deficits and Solution Approach. Environments</w:t>
      </w:r>
      <w:r>
        <w:rPr>
          <w:rFonts w:ascii="Arial" w:hAnsi="Arial" w:cs="Arial"/>
          <w:i/>
          <w:sz w:val="20"/>
          <w:szCs w:val="20"/>
          <w:lang w:val="en-GB"/>
        </w:rPr>
        <w:t>,</w:t>
      </w:r>
      <w:r>
        <w:rPr>
          <w:rFonts w:ascii="Arial" w:hAnsi="Arial" w:cs="Arial"/>
          <w:sz w:val="20"/>
          <w:szCs w:val="20"/>
          <w:lang w:val="en-GB"/>
        </w:rPr>
        <w:t xml:space="preserve"> 10, 44.</w:t>
      </w:r>
      <w:r>
        <w:rPr>
          <w:rFonts w:ascii="Arial" w:hAnsi="Arial" w:cs="Arial"/>
          <w:sz w:val="20"/>
          <w:szCs w:val="20"/>
          <w:lang w:val="en-US"/>
        </w:rPr>
        <w:t xml:space="preserve"> </w:t>
      </w:r>
      <w:r>
        <w:rPr>
          <w:rFonts w:ascii="Arial" w:hAnsi="Arial" w:cs="Arial"/>
          <w:sz w:val="20"/>
          <w:szCs w:val="20"/>
          <w:lang w:val="en-GB"/>
        </w:rPr>
        <w:t xml:space="preserve">https://doi.org/10.3390/environments10030044. </w:t>
      </w:r>
    </w:p>
    <w:p w14:paraId="7C5A4007" w14:textId="77777777" w:rsidR="00B66A9C" w:rsidRDefault="00501121">
      <w:pPr>
        <w:pStyle w:val="ListParagraph"/>
        <w:numPr>
          <w:ilvl w:val="0"/>
          <w:numId w:val="31"/>
        </w:numPr>
        <w:autoSpaceDE w:val="0"/>
        <w:autoSpaceDN w:val="0"/>
        <w:adjustRightInd w:val="0"/>
        <w:spacing w:after="0" w:line="360" w:lineRule="auto"/>
        <w:jc w:val="both"/>
        <w:rPr>
          <w:rStyle w:val="Hyperlink"/>
          <w:rFonts w:ascii="Arial" w:eastAsia="Arial" w:hAnsi="Arial" w:cs="Arial"/>
          <w:sz w:val="20"/>
          <w:szCs w:val="20"/>
          <w:lang w:val="en-GB"/>
        </w:rPr>
      </w:pPr>
      <w:r>
        <w:rPr>
          <w:rFonts w:ascii="Arial" w:hAnsi="Arial" w:cs="Arial"/>
          <w:sz w:val="20"/>
          <w:szCs w:val="20"/>
          <w:lang w:val="en-GB"/>
        </w:rPr>
        <w:t xml:space="preserve">Muskan </w:t>
      </w:r>
      <w:r>
        <w:rPr>
          <w:rFonts w:ascii="Arial" w:hAnsi="Arial" w:cs="Arial"/>
          <w:sz w:val="20"/>
          <w:szCs w:val="20"/>
          <w:lang w:val="en-US"/>
        </w:rPr>
        <w:t>J</w:t>
      </w:r>
      <w:r>
        <w:rPr>
          <w:rFonts w:ascii="Arial" w:hAnsi="Arial" w:cs="Arial"/>
          <w:sz w:val="20"/>
          <w:szCs w:val="20"/>
          <w:lang w:val="en-GB"/>
        </w:rPr>
        <w:t>.</w:t>
      </w:r>
      <w:r>
        <w:rPr>
          <w:rFonts w:ascii="Arial" w:hAnsi="Arial" w:cs="Arial"/>
          <w:sz w:val="20"/>
          <w:szCs w:val="20"/>
          <w:lang w:val="en-US"/>
        </w:rPr>
        <w:t>, Kumar, D., Chaudhary, J., Kumar, S., Sharma, S., &amp; Singh Verma, A. (2023). Review on E-waste management and its impact on the environment and society. Waste Management Bulletin,</w:t>
      </w:r>
      <w:r>
        <w:rPr>
          <w:rFonts w:ascii="Arial" w:hAnsi="Arial" w:cs="Arial"/>
          <w:sz w:val="20"/>
          <w:szCs w:val="20"/>
          <w:lang w:val="en-GB"/>
        </w:rPr>
        <w:t xml:space="preserve"> 1(3), 34-44.</w:t>
      </w:r>
      <w:r>
        <w:rPr>
          <w:rFonts w:ascii="Arial" w:hAnsi="Arial" w:cs="Arial"/>
          <w:sz w:val="20"/>
          <w:szCs w:val="20"/>
          <w:lang w:val="en-US"/>
        </w:rPr>
        <w:t xml:space="preserve"> </w:t>
      </w:r>
      <w:r>
        <w:rPr>
          <w:rFonts w:ascii="Arial" w:hAnsi="Arial" w:cs="Arial"/>
          <w:sz w:val="20"/>
          <w:szCs w:val="20"/>
          <w:lang w:val="en-GB"/>
        </w:rPr>
        <w:t>https://doi.org/10.1016/j.wmb.2023.06.004</w:t>
      </w:r>
      <w:r>
        <w:rPr>
          <w:rFonts w:ascii="Arial" w:hAnsi="Arial" w:cs="Arial"/>
          <w:sz w:val="20"/>
          <w:szCs w:val="20"/>
          <w:lang w:val="en-US"/>
        </w:rPr>
        <w:t>.</w:t>
      </w:r>
    </w:p>
    <w:p w14:paraId="2D574F85" w14:textId="77777777" w:rsidR="00B66A9C" w:rsidRDefault="00501121">
      <w:pPr>
        <w:pStyle w:val="ListParagraph"/>
        <w:numPr>
          <w:ilvl w:val="0"/>
          <w:numId w:val="31"/>
        </w:numPr>
        <w:spacing w:after="0" w:line="360" w:lineRule="auto"/>
        <w:jc w:val="both"/>
        <w:rPr>
          <w:rFonts w:ascii="Arial" w:eastAsia="PalatinoLinotype-Roman" w:hAnsi="Arial" w:cs="Arial"/>
          <w:sz w:val="20"/>
          <w:szCs w:val="20"/>
          <w:lang w:val="en-US"/>
        </w:rPr>
      </w:pPr>
      <w:r>
        <w:rPr>
          <w:rFonts w:ascii="Arial" w:eastAsia="PalatinoLinotype-Roman" w:hAnsi="Arial" w:cs="Arial"/>
          <w:sz w:val="20"/>
          <w:szCs w:val="20"/>
          <w:lang w:val="en-US"/>
        </w:rPr>
        <w:t xml:space="preserve">Nfor, B., Fai, P. B. A., </w:t>
      </w:r>
      <w:proofErr w:type="spellStart"/>
      <w:r>
        <w:rPr>
          <w:rFonts w:ascii="Arial" w:eastAsia="PalatinoLinotype-Roman" w:hAnsi="Arial" w:cs="Arial"/>
          <w:sz w:val="20"/>
          <w:szCs w:val="20"/>
          <w:lang w:val="en-US"/>
        </w:rPr>
        <w:t>Fobil</w:t>
      </w:r>
      <w:proofErr w:type="spellEnd"/>
      <w:r>
        <w:rPr>
          <w:rFonts w:ascii="Arial" w:eastAsia="PalatinoLinotype-Roman" w:hAnsi="Arial" w:cs="Arial"/>
          <w:sz w:val="20"/>
          <w:szCs w:val="20"/>
          <w:lang w:val="en-US"/>
        </w:rPr>
        <w:t>, J. N., &amp; Basu, N. (2022a). Effects of Electronic and Electrical Waste-Contaminated Soils on Growth and Reproduction of Earthworm (</w:t>
      </w:r>
      <w:r>
        <w:rPr>
          <w:rFonts w:ascii="Arial" w:eastAsia="PalatinoLinotype-Roman" w:hAnsi="Arial" w:cs="Arial"/>
          <w:i/>
          <w:sz w:val="20"/>
          <w:szCs w:val="20"/>
          <w:lang w:val="en-US"/>
        </w:rPr>
        <w:t>Alma nilotica</w:t>
      </w:r>
      <w:r>
        <w:rPr>
          <w:rFonts w:ascii="Arial" w:eastAsia="PalatinoLinotype-Roman" w:hAnsi="Arial" w:cs="Arial"/>
          <w:sz w:val="20"/>
          <w:szCs w:val="20"/>
          <w:lang w:val="en-US"/>
        </w:rPr>
        <w:t>).Environmental Toxicology and Chemistry,</w:t>
      </w:r>
      <w:r>
        <w:rPr>
          <w:rFonts w:ascii="Arial" w:eastAsia="PalatinoLinotype-Roman" w:hAnsi="Arial" w:cs="Arial"/>
          <w:i/>
          <w:sz w:val="20"/>
          <w:szCs w:val="20"/>
          <w:lang w:val="en-US"/>
        </w:rPr>
        <w:t xml:space="preserve"> </w:t>
      </w:r>
      <w:r>
        <w:rPr>
          <w:rFonts w:ascii="Arial" w:eastAsia="PalatinoLinotype-Roman" w:hAnsi="Arial" w:cs="Arial"/>
          <w:sz w:val="20"/>
          <w:szCs w:val="20"/>
          <w:lang w:val="en-US"/>
        </w:rPr>
        <w:t>41(2), 287-297. http://dx.doi.org/10.1002/etc.5198.</w:t>
      </w:r>
    </w:p>
    <w:p w14:paraId="09926847"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zh-CN" w:bidi="ar"/>
        </w:rPr>
      </w:pPr>
      <w:proofErr w:type="spellStart"/>
      <w:r>
        <w:rPr>
          <w:rFonts w:ascii="Arial" w:eastAsia="Times New Roman" w:hAnsi="Arial" w:cs="Arial"/>
          <w:sz w:val="20"/>
          <w:szCs w:val="20"/>
          <w:lang w:eastAsia="zh-CN" w:bidi="ar"/>
        </w:rPr>
        <w:t>Nfor</w:t>
      </w:r>
      <w:proofErr w:type="spellEnd"/>
      <w:r>
        <w:rPr>
          <w:rFonts w:ascii="Arial" w:eastAsia="Times New Roman" w:hAnsi="Arial" w:cs="Arial"/>
          <w:sz w:val="20"/>
          <w:szCs w:val="20"/>
          <w:lang w:eastAsia="zh-CN" w:bidi="ar"/>
        </w:rPr>
        <w:t xml:space="preserve">, B., Fai, P. B. A., </w:t>
      </w:r>
      <w:proofErr w:type="spellStart"/>
      <w:r>
        <w:rPr>
          <w:rFonts w:ascii="Arial" w:eastAsia="Times New Roman" w:hAnsi="Arial" w:cs="Arial"/>
          <w:sz w:val="20"/>
          <w:szCs w:val="20"/>
          <w:lang w:eastAsia="zh-CN" w:bidi="ar"/>
        </w:rPr>
        <w:t>Tamungang</w:t>
      </w:r>
      <w:proofErr w:type="spellEnd"/>
      <w:r>
        <w:rPr>
          <w:rFonts w:ascii="Arial" w:eastAsia="Times New Roman" w:hAnsi="Arial" w:cs="Arial"/>
          <w:sz w:val="20"/>
          <w:szCs w:val="20"/>
          <w:lang w:eastAsia="zh-CN" w:bidi="ar"/>
        </w:rPr>
        <w:t xml:space="preserve">, S. A., </w:t>
      </w:r>
      <w:proofErr w:type="spellStart"/>
      <w:r>
        <w:rPr>
          <w:rFonts w:ascii="Arial" w:eastAsia="Times New Roman" w:hAnsi="Arial" w:cs="Arial"/>
          <w:sz w:val="20"/>
          <w:szCs w:val="20"/>
          <w:lang w:eastAsia="zh-CN" w:bidi="ar"/>
        </w:rPr>
        <w:t>Fobil</w:t>
      </w:r>
      <w:proofErr w:type="spellEnd"/>
      <w:r>
        <w:rPr>
          <w:rFonts w:ascii="Arial" w:eastAsia="Times New Roman" w:hAnsi="Arial" w:cs="Arial"/>
          <w:sz w:val="20"/>
          <w:szCs w:val="20"/>
          <w:lang w:eastAsia="zh-CN" w:bidi="ar"/>
        </w:rPr>
        <w:t xml:space="preserve">., J. N., &amp; Basu, J. (2022b). </w:t>
      </w:r>
      <w:r>
        <w:rPr>
          <w:rFonts w:ascii="Arial" w:eastAsia="Times New Roman" w:hAnsi="Arial" w:cs="Arial"/>
          <w:sz w:val="20"/>
          <w:szCs w:val="20"/>
          <w:lang w:val="en-US" w:eastAsia="zh-CN" w:bidi="ar"/>
        </w:rPr>
        <w:t>Soil Contamination and Bioaccumulation of Heavy Metals by a Tropical Earthworm Species (</w:t>
      </w:r>
      <w:r>
        <w:rPr>
          <w:rFonts w:ascii="Arial" w:eastAsia="Times New Roman" w:hAnsi="Arial" w:cs="Arial"/>
          <w:i/>
          <w:sz w:val="20"/>
          <w:szCs w:val="20"/>
          <w:lang w:val="en-US" w:eastAsia="zh-CN" w:bidi="ar"/>
        </w:rPr>
        <w:t>Alma nilotica</w:t>
      </w:r>
      <w:r>
        <w:rPr>
          <w:rFonts w:ascii="Arial" w:eastAsia="Times New Roman" w:hAnsi="Arial" w:cs="Arial"/>
          <w:sz w:val="20"/>
          <w:szCs w:val="20"/>
          <w:lang w:val="en-US" w:eastAsia="zh-CN" w:bidi="ar"/>
        </w:rPr>
        <w:t>) at Informal E-Waste Recycling Sites in Douala, Cameroon." Environmental Toxicology and Chemistry, 41(2), 356-368.</w:t>
      </w:r>
      <w:r>
        <w:rPr>
          <w:rFonts w:ascii="Arial" w:eastAsia="PalatinoLinotype-Roman" w:hAnsi="Arial" w:cs="Arial"/>
          <w:sz w:val="20"/>
          <w:szCs w:val="20"/>
          <w:lang w:val="en-US"/>
        </w:rPr>
        <w:t xml:space="preserve"> http://dx.doi.org/10.1002/etc.5264.</w:t>
      </w:r>
    </w:p>
    <w:p w14:paraId="50B71FCB" w14:textId="77777777" w:rsidR="00B66A9C" w:rsidRDefault="00501121">
      <w:pPr>
        <w:pStyle w:val="ListParagraph"/>
        <w:numPr>
          <w:ilvl w:val="0"/>
          <w:numId w:val="31"/>
        </w:numPr>
        <w:autoSpaceDE w:val="0"/>
        <w:autoSpaceDN w:val="0"/>
        <w:adjustRightInd w:val="0"/>
        <w:spacing w:after="0" w:line="360" w:lineRule="auto"/>
        <w:jc w:val="both"/>
        <w:rPr>
          <w:rFonts w:ascii="Arial" w:eastAsia="SimSun" w:hAnsi="Arial" w:cs="Arial"/>
          <w:sz w:val="20"/>
          <w:szCs w:val="20"/>
          <w:lang w:val="en-US" w:eastAsia="en-GB"/>
        </w:rPr>
      </w:pPr>
      <w:r>
        <w:rPr>
          <w:rFonts w:ascii="Arial" w:eastAsia="Times New Roman" w:hAnsi="Arial" w:cs="Arial"/>
          <w:sz w:val="20"/>
          <w:szCs w:val="20"/>
          <w:lang w:val="en-US" w:eastAsia="fr-FR"/>
        </w:rPr>
        <w:t xml:space="preserve">Novak, J. M., Busscher, W. J., Laird, D. L., </w:t>
      </w:r>
      <w:proofErr w:type="spellStart"/>
      <w:r>
        <w:rPr>
          <w:rFonts w:ascii="Arial" w:eastAsia="Times New Roman" w:hAnsi="Arial" w:cs="Arial"/>
          <w:sz w:val="20"/>
          <w:szCs w:val="20"/>
          <w:lang w:val="en-US" w:eastAsia="fr-FR"/>
        </w:rPr>
        <w:t>Ahmedna</w:t>
      </w:r>
      <w:proofErr w:type="spellEnd"/>
      <w:r>
        <w:rPr>
          <w:rFonts w:ascii="Arial" w:eastAsia="Times New Roman" w:hAnsi="Arial" w:cs="Arial"/>
          <w:sz w:val="20"/>
          <w:szCs w:val="20"/>
          <w:lang w:val="en-US" w:eastAsia="fr-FR"/>
        </w:rPr>
        <w:t xml:space="preserve">, M., Watts, D. W., &amp; Mohamed, A. S. </w:t>
      </w:r>
      <w:r>
        <w:rPr>
          <w:rFonts w:ascii="Arial" w:eastAsia="SimSun" w:hAnsi="Arial" w:cs="Arial"/>
          <w:sz w:val="20"/>
          <w:szCs w:val="20"/>
          <w:lang w:val="en-US" w:eastAsia="en-GB"/>
        </w:rPr>
        <w:t xml:space="preserve">(2021). </w:t>
      </w:r>
      <w:r>
        <w:rPr>
          <w:rFonts w:ascii="Arial" w:eastAsia="Times New Roman" w:hAnsi="Arial" w:cs="Arial"/>
          <w:sz w:val="20"/>
          <w:szCs w:val="20"/>
          <w:lang w:val="en-US" w:eastAsia="fr-FR"/>
        </w:rPr>
        <w:t>Impact of Biochar Amendment on Fertility of a Southeastern Coastal Plain Soil.</w:t>
      </w:r>
      <w:r>
        <w:rPr>
          <w:rFonts w:ascii="Arial" w:eastAsia="SimSun" w:hAnsi="Arial" w:cs="Arial"/>
          <w:sz w:val="20"/>
          <w:szCs w:val="20"/>
          <w:lang w:val="en-US" w:eastAsia="en-GB"/>
        </w:rPr>
        <w:t xml:space="preserve"> Biochar,</w:t>
      </w:r>
      <w:r>
        <w:rPr>
          <w:rFonts w:ascii="Arial" w:eastAsia="SimSun" w:hAnsi="Arial" w:cs="Arial"/>
          <w:i/>
          <w:sz w:val="20"/>
          <w:szCs w:val="20"/>
          <w:lang w:val="en-US" w:eastAsia="en-GB"/>
        </w:rPr>
        <w:t xml:space="preserve"> </w:t>
      </w:r>
      <w:r>
        <w:rPr>
          <w:rFonts w:ascii="Arial" w:eastAsia="SimSun" w:hAnsi="Arial" w:cs="Arial"/>
          <w:sz w:val="20"/>
          <w:szCs w:val="20"/>
          <w:lang w:val="en-US" w:eastAsia="en-GB"/>
        </w:rPr>
        <w:t>3, 615-624.</w:t>
      </w:r>
      <w:r>
        <w:rPr>
          <w:rFonts w:ascii="Arial" w:hAnsi="Arial" w:cs="Arial"/>
          <w:sz w:val="20"/>
          <w:szCs w:val="20"/>
          <w:lang w:val="en-US"/>
        </w:rPr>
        <w:t xml:space="preserve"> </w:t>
      </w:r>
      <w:r>
        <w:rPr>
          <w:rFonts w:ascii="Arial" w:eastAsia="SimSun" w:hAnsi="Arial" w:cs="Arial"/>
          <w:sz w:val="20"/>
          <w:szCs w:val="20"/>
          <w:lang w:val="en-US" w:eastAsia="en-GB"/>
        </w:rPr>
        <w:t>https://doi.org/10.1007/s42773-021-00103-4.</w:t>
      </w:r>
    </w:p>
    <w:p w14:paraId="1C4B8AD6" w14:textId="77777777" w:rsidR="00B66A9C" w:rsidRDefault="00501121">
      <w:pPr>
        <w:pStyle w:val="ListParagraph"/>
        <w:numPr>
          <w:ilvl w:val="0"/>
          <w:numId w:val="31"/>
        </w:numPr>
        <w:autoSpaceDE w:val="0"/>
        <w:autoSpaceDN w:val="0"/>
        <w:adjustRightInd w:val="0"/>
        <w:spacing w:after="0" w:line="360" w:lineRule="auto"/>
        <w:jc w:val="both"/>
        <w:rPr>
          <w:rFonts w:ascii="Arial" w:eastAsia="SimSun" w:hAnsi="Arial" w:cs="Arial"/>
          <w:sz w:val="20"/>
          <w:szCs w:val="20"/>
          <w:lang w:val="en-US" w:eastAsia="en-GB"/>
        </w:rPr>
      </w:pPr>
      <w:r>
        <w:rPr>
          <w:rFonts w:ascii="Arial" w:eastAsia="SimSun" w:hAnsi="Arial" w:cs="Arial"/>
          <w:sz w:val="20"/>
          <w:szCs w:val="20"/>
          <w:lang w:val="en-US" w:eastAsia="en-GB"/>
        </w:rPr>
        <w:t xml:space="preserve">Nyoka, N., Ogbeide, O., &amp; Otomo, P. V. (2021). Reproduction and biomarker responses of </w:t>
      </w:r>
      <w:r>
        <w:rPr>
          <w:rFonts w:ascii="Arial" w:eastAsia="SimSun" w:hAnsi="Arial" w:cs="Arial"/>
          <w:i/>
          <w:sz w:val="20"/>
          <w:szCs w:val="20"/>
          <w:lang w:val="en-US" w:eastAsia="en-GB"/>
        </w:rPr>
        <w:t xml:space="preserve">Eisenia </w:t>
      </w:r>
      <w:proofErr w:type="spellStart"/>
      <w:r>
        <w:rPr>
          <w:rFonts w:ascii="Arial" w:eastAsia="SimSun" w:hAnsi="Arial" w:cs="Arial"/>
          <w:i/>
          <w:sz w:val="20"/>
          <w:szCs w:val="20"/>
          <w:lang w:val="en-US" w:eastAsia="en-GB"/>
        </w:rPr>
        <w:t>fetida</w:t>
      </w:r>
      <w:proofErr w:type="spellEnd"/>
      <w:r>
        <w:rPr>
          <w:rFonts w:ascii="Arial" w:eastAsia="SimSun" w:hAnsi="Arial" w:cs="Arial"/>
          <w:sz w:val="20"/>
          <w:szCs w:val="20"/>
          <w:lang w:val="en-US" w:eastAsia="en-GB"/>
        </w:rPr>
        <w:t xml:space="preserve"> after exposure to imidacloprid in biochar-amended soil. Biochar, 3, 615-624.</w:t>
      </w:r>
      <w:r>
        <w:rPr>
          <w:rFonts w:ascii="Arial" w:hAnsi="Arial" w:cs="Arial"/>
          <w:sz w:val="20"/>
          <w:szCs w:val="20"/>
          <w:lang w:val="en-US"/>
        </w:rPr>
        <w:t xml:space="preserve"> </w:t>
      </w:r>
      <w:r>
        <w:rPr>
          <w:rFonts w:ascii="Arial" w:eastAsia="SimSun" w:hAnsi="Arial" w:cs="Arial"/>
          <w:sz w:val="20"/>
          <w:szCs w:val="20"/>
          <w:lang w:val="en-US" w:eastAsia="en-GB"/>
        </w:rPr>
        <w:t xml:space="preserve">https://doi.org/10.1007/s42773-021-00103-4. </w:t>
      </w:r>
    </w:p>
    <w:p w14:paraId="1919F049" w14:textId="77777777" w:rsidR="00B66A9C" w:rsidRDefault="00501121">
      <w:pPr>
        <w:pStyle w:val="ListParagraph"/>
        <w:numPr>
          <w:ilvl w:val="0"/>
          <w:numId w:val="31"/>
        </w:numPr>
        <w:spacing w:after="0" w:line="360" w:lineRule="auto"/>
        <w:jc w:val="both"/>
        <w:rPr>
          <w:rFonts w:ascii="Arial" w:eastAsia="PalatinoLinotype-Roman" w:hAnsi="Arial" w:cs="Arial"/>
          <w:sz w:val="20"/>
          <w:szCs w:val="20"/>
          <w:lang w:val="en-US"/>
        </w:rPr>
      </w:pPr>
      <w:r>
        <w:rPr>
          <w:rFonts w:ascii="Arial" w:eastAsia="PalatinoLinotype-Roman" w:hAnsi="Arial" w:cs="Arial"/>
          <w:sz w:val="20"/>
          <w:szCs w:val="20"/>
          <w:lang w:val="en-US"/>
        </w:rPr>
        <w:t xml:space="preserve">O’Connor D., Peng T., Zhang J., Tsang D.C.W., Alessi D.S., Shen Z., Bolan N.S., Hou D. (2018b): Biochar application for the remediation of heavy metal polluted land: a review of in situ field trials. </w:t>
      </w:r>
      <w:r>
        <w:rPr>
          <w:rFonts w:ascii="Arial" w:eastAsia="PalatinoLinotype-Roman" w:hAnsi="Arial" w:cs="Arial"/>
          <w:i/>
          <w:sz w:val="20"/>
          <w:szCs w:val="20"/>
          <w:lang w:val="en-US"/>
        </w:rPr>
        <w:t>Science of the Total Environment</w:t>
      </w:r>
      <w:r>
        <w:rPr>
          <w:rFonts w:ascii="Arial" w:eastAsia="PalatinoLinotype-Roman" w:hAnsi="Arial" w:cs="Arial"/>
          <w:sz w:val="20"/>
          <w:szCs w:val="20"/>
          <w:lang w:val="en-US"/>
        </w:rPr>
        <w:t>, 619–620: 815–826.https://</w:t>
      </w:r>
      <w:r>
        <w:rPr>
          <w:rFonts w:ascii="Arial" w:hAnsi="Arial" w:cs="Arial"/>
          <w:sz w:val="20"/>
          <w:szCs w:val="20"/>
          <w:lang w:val="en-US"/>
        </w:rPr>
        <w:t xml:space="preserve"> </w:t>
      </w:r>
      <w:r>
        <w:rPr>
          <w:rFonts w:ascii="Arial" w:eastAsia="PalatinoLinotype-Roman" w:hAnsi="Arial" w:cs="Arial"/>
          <w:sz w:val="20"/>
          <w:szCs w:val="20"/>
          <w:lang w:val="en-US"/>
        </w:rPr>
        <w:t xml:space="preserve">doi.org/ 10.1016/j.scitotenv.2017.11.132. </w:t>
      </w:r>
    </w:p>
    <w:p w14:paraId="1323F15F" w14:textId="77777777" w:rsidR="00B66A9C" w:rsidRDefault="00501121">
      <w:pPr>
        <w:pStyle w:val="ListParagraph"/>
        <w:numPr>
          <w:ilvl w:val="0"/>
          <w:numId w:val="31"/>
        </w:numPr>
        <w:spacing w:after="0" w:line="360" w:lineRule="auto"/>
        <w:jc w:val="both"/>
        <w:rPr>
          <w:rFonts w:ascii="Arial" w:eastAsia="Times New Roman" w:hAnsi="Arial" w:cs="Arial"/>
          <w:i/>
          <w:sz w:val="20"/>
          <w:szCs w:val="20"/>
          <w:lang w:val="en-US" w:eastAsia="fr-FR"/>
        </w:rPr>
      </w:pPr>
      <w:r>
        <w:rPr>
          <w:rFonts w:ascii="Arial" w:eastAsia="Times New Roman" w:hAnsi="Arial" w:cs="Arial"/>
          <w:sz w:val="20"/>
          <w:szCs w:val="20"/>
          <w:lang w:val="en-US" w:eastAsia="fr-FR"/>
        </w:rPr>
        <w:t>OECD (2010). Test guideline 317:</w:t>
      </w:r>
      <w:r>
        <w:rPr>
          <w:rFonts w:ascii="Arial" w:eastAsia="Times New Roman" w:hAnsi="Arial" w:cs="Arial"/>
          <w:sz w:val="20"/>
          <w:szCs w:val="20"/>
          <w:lang w:val="en-US" w:eastAsia="fr-FR"/>
        </w:rPr>
        <w:tab/>
        <w:t xml:space="preserve">Bioaccumulation in terrestrial Oligochaetes. </w:t>
      </w:r>
      <w:r>
        <w:rPr>
          <w:rFonts w:ascii="Arial" w:eastAsia="Times New Roman" w:hAnsi="Arial" w:cs="Arial"/>
          <w:i/>
          <w:sz w:val="20"/>
          <w:szCs w:val="20"/>
          <w:lang w:val="en-US" w:eastAsia="fr-FR"/>
        </w:rPr>
        <w:t xml:space="preserve">Guidelines </w:t>
      </w:r>
      <w:r>
        <w:rPr>
          <w:rFonts w:ascii="Arial" w:eastAsia="Times New Roman" w:hAnsi="Arial" w:cs="Arial"/>
          <w:i/>
          <w:sz w:val="20"/>
          <w:szCs w:val="20"/>
          <w:lang w:val="en-US" w:eastAsia="fr-FR"/>
        </w:rPr>
        <w:tab/>
        <w:t>for the testing of chemicals.</w:t>
      </w:r>
      <w:r>
        <w:rPr>
          <w:rFonts w:ascii="Arial" w:hAnsi="Arial" w:cs="Arial"/>
          <w:sz w:val="20"/>
          <w:szCs w:val="20"/>
          <w:lang w:val="en-US"/>
        </w:rPr>
        <w:t xml:space="preserve"> </w:t>
      </w:r>
      <w:r>
        <w:rPr>
          <w:rFonts w:ascii="Arial" w:eastAsia="Times New Roman" w:hAnsi="Arial" w:cs="Arial"/>
          <w:sz w:val="20"/>
          <w:szCs w:val="20"/>
          <w:lang w:val="en-US" w:eastAsia="fr-FR"/>
        </w:rPr>
        <w:t>https://doi.org/10.1787/2074577x</w:t>
      </w:r>
      <w:r>
        <w:rPr>
          <w:rFonts w:ascii="Arial" w:eastAsia="Times New Roman" w:hAnsi="Arial" w:cs="Arial"/>
          <w:i/>
          <w:sz w:val="20"/>
          <w:szCs w:val="20"/>
          <w:lang w:val="en-US" w:eastAsia="fr-FR"/>
        </w:rPr>
        <w:t>.</w:t>
      </w:r>
    </w:p>
    <w:p w14:paraId="64EF7C9C" w14:textId="77777777" w:rsidR="00B66A9C" w:rsidRDefault="00501121">
      <w:pPr>
        <w:pStyle w:val="ListParagraph"/>
        <w:numPr>
          <w:ilvl w:val="0"/>
          <w:numId w:val="31"/>
        </w:numPr>
        <w:spacing w:after="0" w:line="360" w:lineRule="auto"/>
        <w:jc w:val="both"/>
        <w:rPr>
          <w:rFonts w:ascii="Arial" w:eastAsia="Calibri" w:hAnsi="Arial" w:cs="Arial"/>
          <w:sz w:val="20"/>
          <w:szCs w:val="20"/>
          <w:lang w:val="en-US"/>
        </w:rPr>
      </w:pPr>
      <w:r>
        <w:rPr>
          <w:rFonts w:ascii="Arial" w:eastAsia="Calibri" w:hAnsi="Arial" w:cs="Arial"/>
          <w:sz w:val="20"/>
          <w:szCs w:val="20"/>
          <w:lang w:val="en-US"/>
        </w:rPr>
        <w:lastRenderedPageBreak/>
        <w:t xml:space="preserve">Pandian, K., Vijayakumar, S., Mustaffa, M. R. A. F., Subramanian, P., &amp; </w:t>
      </w:r>
      <w:proofErr w:type="spellStart"/>
      <w:r>
        <w:rPr>
          <w:rFonts w:ascii="Arial" w:eastAsia="Calibri" w:hAnsi="Arial" w:cs="Arial"/>
          <w:sz w:val="20"/>
          <w:szCs w:val="20"/>
          <w:lang w:val="en-US"/>
        </w:rPr>
        <w:t>Chitraputhirapillai</w:t>
      </w:r>
      <w:proofErr w:type="spellEnd"/>
      <w:r>
        <w:rPr>
          <w:rFonts w:ascii="Arial" w:eastAsia="Calibri" w:hAnsi="Arial" w:cs="Arial"/>
          <w:sz w:val="20"/>
          <w:szCs w:val="20"/>
          <w:lang w:val="en-US"/>
        </w:rPr>
        <w:t>, S. (2024). "Biochar-a sustainable soil conditioner for improving soil health, crop production and environment under changing climate: a review. Frontiers in</w:t>
      </w:r>
      <w:r>
        <w:rPr>
          <w:rFonts w:ascii="Arial" w:eastAsia="Calibri" w:hAnsi="Arial" w:cs="Arial"/>
          <w:i/>
          <w:sz w:val="20"/>
          <w:szCs w:val="20"/>
          <w:lang w:val="en-US"/>
        </w:rPr>
        <w:t xml:space="preserve"> </w:t>
      </w:r>
      <w:r>
        <w:rPr>
          <w:rFonts w:ascii="Arial" w:eastAsia="Calibri" w:hAnsi="Arial" w:cs="Arial"/>
          <w:sz w:val="20"/>
          <w:szCs w:val="20"/>
          <w:lang w:val="en-US"/>
        </w:rPr>
        <w:t>Soil Science, 4, 1376159. https://doi.org/10.3389/fsoil.2024.1376159.</w:t>
      </w:r>
    </w:p>
    <w:p w14:paraId="528C683A" w14:textId="77777777" w:rsidR="00B66A9C" w:rsidRDefault="00501121">
      <w:pPr>
        <w:pStyle w:val="ListParagraph"/>
        <w:numPr>
          <w:ilvl w:val="0"/>
          <w:numId w:val="31"/>
        </w:numPr>
        <w:autoSpaceDE w:val="0"/>
        <w:autoSpaceDN w:val="0"/>
        <w:adjustRightInd w:val="0"/>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Parihar, K., Kumar, R., &amp; Sankhla, M.S. (2019). Impact of heavy metals on survivability of earthworms. International medico-legal reporter journal, 2 (3), 7. https://ssrn.com/abstract=3497689.</w:t>
      </w:r>
    </w:p>
    <w:p w14:paraId="6F876710"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val="en-US" w:eastAsia="fr-FR"/>
        </w:rPr>
        <w:t xml:space="preserve">Park, J. H., </w:t>
      </w:r>
      <w:proofErr w:type="spellStart"/>
      <w:r>
        <w:rPr>
          <w:rFonts w:ascii="Arial" w:eastAsia="Times New Roman" w:hAnsi="Arial" w:cs="Arial"/>
          <w:sz w:val="20"/>
          <w:szCs w:val="20"/>
          <w:lang w:val="en-US" w:eastAsia="fr-FR"/>
        </w:rPr>
        <w:t>Choppala</w:t>
      </w:r>
      <w:proofErr w:type="spellEnd"/>
      <w:r>
        <w:rPr>
          <w:rFonts w:ascii="Arial" w:eastAsia="Times New Roman" w:hAnsi="Arial" w:cs="Arial"/>
          <w:sz w:val="20"/>
          <w:szCs w:val="20"/>
          <w:lang w:val="en-US" w:eastAsia="fr-FR"/>
        </w:rPr>
        <w:t xml:space="preserve">, G. K., Bolan, N. S., Chaung, J. W., &amp; </w:t>
      </w:r>
      <w:proofErr w:type="spellStart"/>
      <w:r>
        <w:rPr>
          <w:rFonts w:ascii="Arial" w:eastAsia="Times New Roman" w:hAnsi="Arial" w:cs="Arial"/>
          <w:sz w:val="20"/>
          <w:szCs w:val="20"/>
          <w:lang w:val="en-US" w:eastAsia="fr-FR"/>
        </w:rPr>
        <w:t>Chuasavathi</w:t>
      </w:r>
      <w:proofErr w:type="spellEnd"/>
      <w:r>
        <w:rPr>
          <w:rFonts w:ascii="Arial" w:eastAsia="Times New Roman" w:hAnsi="Arial" w:cs="Arial"/>
          <w:sz w:val="20"/>
          <w:szCs w:val="20"/>
          <w:lang w:val="en-US" w:eastAsia="fr-FR"/>
        </w:rPr>
        <w:t xml:space="preserve">, T. (2011). Biochar reduces the bioavailability and phytotoxicity of heavy metals. </w:t>
      </w:r>
      <w:r>
        <w:rPr>
          <w:rFonts w:ascii="Arial" w:eastAsia="Times New Roman" w:hAnsi="Arial" w:cs="Arial"/>
          <w:sz w:val="20"/>
          <w:szCs w:val="20"/>
          <w:lang w:eastAsia="fr-FR"/>
        </w:rPr>
        <w:t xml:space="preserve">Plant </w:t>
      </w:r>
      <w:proofErr w:type="spellStart"/>
      <w:r>
        <w:rPr>
          <w:rFonts w:ascii="Arial" w:eastAsia="Times New Roman" w:hAnsi="Arial" w:cs="Arial"/>
          <w:sz w:val="20"/>
          <w:szCs w:val="20"/>
          <w:lang w:eastAsia="fr-FR"/>
        </w:rPr>
        <w:t>Soil</w:t>
      </w:r>
      <w:proofErr w:type="spellEnd"/>
      <w:r>
        <w:rPr>
          <w:rFonts w:ascii="Arial" w:eastAsia="Times New Roman" w:hAnsi="Arial" w:cs="Arial"/>
          <w:sz w:val="20"/>
          <w:szCs w:val="20"/>
          <w:lang w:eastAsia="fr-FR"/>
        </w:rPr>
        <w:t>, 348, 439-45.</w:t>
      </w:r>
      <w:r>
        <w:rPr>
          <w:rFonts w:ascii="Arial" w:hAnsi="Arial" w:cs="Arial"/>
          <w:sz w:val="20"/>
          <w:szCs w:val="20"/>
        </w:rPr>
        <w:t xml:space="preserve"> </w:t>
      </w:r>
      <w:r>
        <w:rPr>
          <w:rFonts w:ascii="Arial" w:eastAsia="Times New Roman" w:hAnsi="Arial" w:cs="Arial"/>
          <w:sz w:val="20"/>
          <w:szCs w:val="20"/>
          <w:lang w:eastAsia="fr-FR"/>
        </w:rPr>
        <w:t xml:space="preserve">https://doi.org/:.10.1007/s11104-011. </w:t>
      </w:r>
    </w:p>
    <w:p w14:paraId="3889C387" w14:textId="77777777" w:rsidR="00B66A9C" w:rsidRDefault="00501121">
      <w:pPr>
        <w:pStyle w:val="ListParagraph"/>
        <w:numPr>
          <w:ilvl w:val="0"/>
          <w:numId w:val="31"/>
        </w:numPr>
        <w:autoSpaceDE w:val="0"/>
        <w:autoSpaceDN w:val="0"/>
        <w:adjustRightInd w:val="0"/>
        <w:spacing w:after="0" w:line="360" w:lineRule="auto"/>
        <w:jc w:val="both"/>
        <w:rPr>
          <w:rFonts w:ascii="Arial" w:eastAsia="SimSun" w:hAnsi="Arial" w:cs="Arial"/>
          <w:sz w:val="20"/>
          <w:szCs w:val="20"/>
          <w:lang w:eastAsia="en-GB"/>
        </w:rPr>
      </w:pPr>
      <w:r>
        <w:rPr>
          <w:rFonts w:ascii="Arial" w:eastAsia="SimSun" w:hAnsi="Arial" w:cs="Arial"/>
          <w:sz w:val="20"/>
          <w:szCs w:val="20"/>
          <w:lang w:val="en-US" w:eastAsia="en-GB"/>
        </w:rPr>
        <w:t xml:space="preserve">Pauwel, J., </w:t>
      </w:r>
      <w:proofErr w:type="spellStart"/>
      <w:r>
        <w:rPr>
          <w:rFonts w:ascii="Arial" w:eastAsia="SimSun" w:hAnsi="Arial" w:cs="Arial"/>
          <w:sz w:val="20"/>
          <w:szCs w:val="20"/>
          <w:lang w:val="en-US" w:eastAsia="en-GB"/>
        </w:rPr>
        <w:t>VanraRanst</w:t>
      </w:r>
      <w:proofErr w:type="spellEnd"/>
      <w:r>
        <w:rPr>
          <w:rFonts w:ascii="Arial" w:eastAsia="SimSun" w:hAnsi="Arial" w:cs="Arial"/>
          <w:sz w:val="20"/>
          <w:szCs w:val="20"/>
          <w:lang w:val="en-US" w:eastAsia="en-GB"/>
        </w:rPr>
        <w:t xml:space="preserve">, E., </w:t>
      </w:r>
      <w:proofErr w:type="spellStart"/>
      <w:r>
        <w:rPr>
          <w:rFonts w:ascii="Arial" w:eastAsia="SimSun" w:hAnsi="Arial" w:cs="Arial"/>
          <w:sz w:val="20"/>
          <w:szCs w:val="20"/>
          <w:lang w:val="en-US" w:eastAsia="en-GB"/>
        </w:rPr>
        <w:t>Verloo</w:t>
      </w:r>
      <w:proofErr w:type="spellEnd"/>
      <w:r>
        <w:rPr>
          <w:rFonts w:ascii="Arial" w:eastAsia="SimSun" w:hAnsi="Arial" w:cs="Arial"/>
          <w:sz w:val="20"/>
          <w:szCs w:val="20"/>
          <w:lang w:val="en-US" w:eastAsia="en-GB"/>
        </w:rPr>
        <w:t xml:space="preserve">, M., &amp; Mvondo, Z. (1992). </w:t>
      </w:r>
      <w:r>
        <w:rPr>
          <w:rFonts w:ascii="Arial" w:eastAsia="SimSun" w:hAnsi="Arial" w:cs="Arial"/>
          <w:sz w:val="20"/>
          <w:szCs w:val="20"/>
          <w:lang w:eastAsia="en-GB"/>
        </w:rPr>
        <w:t>Manuel de laboratoire de</w:t>
      </w:r>
      <w:r>
        <w:rPr>
          <w:rFonts w:ascii="Arial" w:eastAsia="SimSun" w:hAnsi="Arial" w:cs="Arial"/>
          <w:sz w:val="20"/>
          <w:szCs w:val="20"/>
          <w:lang w:eastAsia="en-GB"/>
        </w:rPr>
        <w:tab/>
      </w:r>
      <w:proofErr w:type="spellStart"/>
      <w:r>
        <w:rPr>
          <w:rFonts w:ascii="Arial" w:eastAsia="SimSun" w:hAnsi="Arial" w:cs="Arial"/>
          <w:sz w:val="20"/>
          <w:szCs w:val="20"/>
          <w:lang w:eastAsia="en-GB"/>
        </w:rPr>
        <w:t>pedologie</w:t>
      </w:r>
      <w:proofErr w:type="spellEnd"/>
      <w:r>
        <w:rPr>
          <w:rFonts w:ascii="Arial" w:eastAsia="SimSun" w:hAnsi="Arial" w:cs="Arial"/>
          <w:sz w:val="20"/>
          <w:szCs w:val="20"/>
          <w:lang w:eastAsia="en-GB"/>
        </w:rPr>
        <w:t xml:space="preserve">. Publications </w:t>
      </w:r>
      <w:proofErr w:type="spellStart"/>
      <w:r>
        <w:rPr>
          <w:rFonts w:ascii="Arial" w:eastAsia="SimSun" w:hAnsi="Arial" w:cs="Arial"/>
          <w:sz w:val="20"/>
          <w:szCs w:val="20"/>
          <w:lang w:eastAsia="en-GB"/>
        </w:rPr>
        <w:t>Agricol</w:t>
      </w:r>
      <w:proofErr w:type="spellEnd"/>
      <w:r>
        <w:rPr>
          <w:rFonts w:ascii="Arial" w:eastAsia="SimSun" w:hAnsi="Arial" w:cs="Arial"/>
          <w:sz w:val="20"/>
          <w:szCs w:val="20"/>
          <w:lang w:eastAsia="en-GB"/>
        </w:rPr>
        <w:t xml:space="preserve"> N0 28. AGCD Bruxelles, 265.</w:t>
      </w:r>
      <w:r>
        <w:rPr>
          <w:rFonts w:ascii="Arial" w:hAnsi="Arial" w:cs="Arial"/>
          <w:sz w:val="20"/>
          <w:szCs w:val="20"/>
        </w:rPr>
        <w:t xml:space="preserve"> </w:t>
      </w:r>
      <w:r>
        <w:rPr>
          <w:rFonts w:ascii="Arial" w:eastAsia="SimSun" w:hAnsi="Arial" w:cs="Arial"/>
          <w:sz w:val="20"/>
          <w:szCs w:val="20"/>
          <w:lang w:eastAsia="en-GB"/>
        </w:rPr>
        <w:t>https://biblio.ugent.be/publication/240233.</w:t>
      </w:r>
      <w:r>
        <w:rPr>
          <w:rFonts w:ascii="Arial" w:eastAsia="SimSun" w:hAnsi="Arial" w:cs="Arial"/>
          <w:sz w:val="20"/>
          <w:szCs w:val="20"/>
          <w:lang w:eastAsia="en-GB"/>
        </w:rPr>
        <w:tab/>
        <w:t>.</w:t>
      </w:r>
    </w:p>
    <w:p w14:paraId="181EEF7B" w14:textId="77777777" w:rsidR="00B66A9C" w:rsidRDefault="00501121">
      <w:pPr>
        <w:pStyle w:val="ListParagraph"/>
        <w:numPr>
          <w:ilvl w:val="0"/>
          <w:numId w:val="31"/>
        </w:numPr>
        <w:spacing w:after="0" w:line="360" w:lineRule="auto"/>
        <w:jc w:val="both"/>
        <w:rPr>
          <w:rFonts w:ascii="Arial" w:eastAsia="SimSun" w:hAnsi="Arial" w:cs="Arial"/>
          <w:sz w:val="20"/>
          <w:szCs w:val="20"/>
          <w:lang w:val="en-US" w:eastAsia="en-GB"/>
        </w:rPr>
      </w:pPr>
      <w:r>
        <w:rPr>
          <w:rFonts w:ascii="Arial" w:eastAsia="Times New Roman" w:hAnsi="Arial" w:cs="Arial"/>
          <w:sz w:val="20"/>
          <w:szCs w:val="20"/>
          <w:lang w:eastAsia="fr-FR"/>
        </w:rPr>
        <w:t>Paz-</w:t>
      </w:r>
      <w:proofErr w:type="spellStart"/>
      <w:r>
        <w:rPr>
          <w:rFonts w:ascii="Arial" w:eastAsia="Times New Roman" w:hAnsi="Arial" w:cs="Arial"/>
          <w:sz w:val="20"/>
          <w:szCs w:val="20"/>
          <w:lang w:eastAsia="fr-FR"/>
        </w:rPr>
        <w:t>Ferreiro</w:t>
      </w:r>
      <w:proofErr w:type="spellEnd"/>
      <w:r>
        <w:rPr>
          <w:rFonts w:ascii="Arial" w:eastAsia="Times New Roman" w:hAnsi="Arial" w:cs="Arial"/>
          <w:sz w:val="20"/>
          <w:szCs w:val="20"/>
          <w:lang w:eastAsia="fr-FR"/>
        </w:rPr>
        <w:t xml:space="preserve">, J., Lu, H., Fu, S., Méndez, A., &amp; </w:t>
      </w:r>
      <w:proofErr w:type="spellStart"/>
      <w:r>
        <w:rPr>
          <w:rFonts w:ascii="Arial" w:eastAsia="Times New Roman" w:hAnsi="Arial" w:cs="Arial"/>
          <w:sz w:val="20"/>
          <w:szCs w:val="20"/>
          <w:lang w:eastAsia="fr-FR"/>
        </w:rPr>
        <w:t>Gascó</w:t>
      </w:r>
      <w:proofErr w:type="spellEnd"/>
      <w:r>
        <w:rPr>
          <w:rFonts w:ascii="Arial" w:eastAsia="Times New Roman" w:hAnsi="Arial" w:cs="Arial"/>
          <w:sz w:val="20"/>
          <w:szCs w:val="20"/>
          <w:lang w:eastAsia="fr-FR"/>
        </w:rPr>
        <w:t xml:space="preserve">, G. (2014). </w:t>
      </w:r>
      <w:r>
        <w:rPr>
          <w:rFonts w:ascii="Arial" w:eastAsia="Times New Roman" w:hAnsi="Arial" w:cs="Arial"/>
          <w:sz w:val="20"/>
          <w:szCs w:val="20"/>
          <w:lang w:val="en-US" w:eastAsia="fr-FR"/>
        </w:rPr>
        <w:t>Use of phytoremediation and biochar to remediate heavy metal polluted soils: A review. Solid Earth, 5, 65-75. https://doi.org/</w:t>
      </w:r>
      <w:r>
        <w:rPr>
          <w:rFonts w:ascii="Arial" w:eastAsia="SimSun" w:hAnsi="Arial" w:cs="Arial"/>
          <w:sz w:val="20"/>
          <w:szCs w:val="20"/>
          <w:lang w:val="en-US" w:eastAsia="en-GB"/>
        </w:rPr>
        <w:t>10.5194/se-5-65-2014.</w:t>
      </w:r>
    </w:p>
    <w:p w14:paraId="75D60890"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 xml:space="preserve">Qi, F., Dong, Z., Lamb, D., Naidu, R., Bolan, N., Ok, Y., Liu, C., Khan, N., Johir M., &amp; Semple K. (2017). Effects of acidic and neutral </w:t>
      </w:r>
      <w:proofErr w:type="spellStart"/>
      <w:r>
        <w:rPr>
          <w:rFonts w:ascii="Arial" w:eastAsia="Times New Roman" w:hAnsi="Arial" w:cs="Arial"/>
          <w:sz w:val="20"/>
          <w:szCs w:val="20"/>
          <w:lang w:val="en-US" w:eastAsia="fr-FR"/>
        </w:rPr>
        <w:t>biochars</w:t>
      </w:r>
      <w:proofErr w:type="spellEnd"/>
      <w:r>
        <w:rPr>
          <w:rFonts w:ascii="Arial" w:eastAsia="Times New Roman" w:hAnsi="Arial" w:cs="Arial"/>
          <w:sz w:val="20"/>
          <w:szCs w:val="20"/>
          <w:lang w:val="en-US" w:eastAsia="fr-FR"/>
        </w:rPr>
        <w:t xml:space="preserve"> on properties and Cadmium</w:t>
      </w:r>
      <w:r>
        <w:rPr>
          <w:rFonts w:ascii="Arial" w:eastAsia="Times New Roman" w:hAnsi="Arial" w:cs="Arial"/>
          <w:sz w:val="20"/>
          <w:szCs w:val="20"/>
          <w:lang w:val="en-US" w:eastAsia="fr-FR"/>
        </w:rPr>
        <w:tab/>
        <w:t>retention of soils. Chemosphere,</w:t>
      </w:r>
      <w:r>
        <w:rPr>
          <w:rFonts w:ascii="Arial" w:eastAsia="Times New Roman" w:hAnsi="Arial" w:cs="Arial"/>
          <w:i/>
          <w:sz w:val="20"/>
          <w:szCs w:val="20"/>
          <w:lang w:val="en-US" w:eastAsia="fr-FR"/>
        </w:rPr>
        <w:t xml:space="preserve"> </w:t>
      </w:r>
      <w:r>
        <w:rPr>
          <w:rFonts w:ascii="Arial" w:eastAsia="Times New Roman" w:hAnsi="Arial" w:cs="Arial"/>
          <w:bCs/>
          <w:sz w:val="20"/>
          <w:szCs w:val="20"/>
          <w:lang w:val="en-US" w:eastAsia="fr-FR"/>
        </w:rPr>
        <w:t>180</w:t>
      </w:r>
      <w:r>
        <w:rPr>
          <w:rFonts w:ascii="Arial" w:eastAsia="Times New Roman" w:hAnsi="Arial" w:cs="Arial"/>
          <w:sz w:val="20"/>
          <w:szCs w:val="20"/>
          <w:lang w:val="en-US" w:eastAsia="fr-FR"/>
        </w:rPr>
        <w:t xml:space="preserve">, 564-573. https://doi.org/10.1016/j.chemosphere.2017.04.014. </w:t>
      </w:r>
    </w:p>
    <w:p w14:paraId="2F137613"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 xml:space="preserve">Rahman, M. S., Saha, N., &amp; Molla, A. H. (2014). Potential ecological risk assessment of heavy metal contamination in sediment and water body around Dhaka export </w:t>
      </w:r>
      <w:r>
        <w:rPr>
          <w:rFonts w:ascii="Arial" w:eastAsia="Times New Roman" w:hAnsi="Arial" w:cs="Arial"/>
          <w:color w:val="000000" w:themeColor="text1"/>
          <w:sz w:val="20"/>
          <w:szCs w:val="20"/>
          <w:lang w:val="en-US" w:eastAsia="fr-FR"/>
        </w:rPr>
        <w:t>processing zone, Bangladesh. Environmental Earth Sciences, 71, 2293–2308.</w:t>
      </w:r>
      <w:r>
        <w:rPr>
          <w:rFonts w:ascii="Arial" w:hAnsi="Arial" w:cs="Arial"/>
          <w:sz w:val="20"/>
          <w:szCs w:val="20"/>
          <w:lang w:val="en-US"/>
        </w:rPr>
        <w:t xml:space="preserve"> </w:t>
      </w:r>
      <w:r>
        <w:rPr>
          <w:rFonts w:ascii="Arial" w:eastAsia="Times New Roman" w:hAnsi="Arial" w:cs="Arial"/>
          <w:color w:val="000000" w:themeColor="text1"/>
          <w:sz w:val="20"/>
          <w:szCs w:val="20"/>
          <w:lang w:val="en-US" w:eastAsia="fr-FR"/>
        </w:rPr>
        <w:t>https://doi.org/10.1007/s12665-013-2631-5</w:t>
      </w:r>
      <w:r>
        <w:rPr>
          <w:rFonts w:ascii="Arial" w:hAnsi="Arial" w:cs="Arial"/>
          <w:color w:val="000000" w:themeColor="text1"/>
          <w:sz w:val="20"/>
          <w:szCs w:val="20"/>
          <w:lang w:val="en-US"/>
        </w:rPr>
        <w:t>.</w:t>
      </w:r>
    </w:p>
    <w:p w14:paraId="18A570D3"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Rehman, S. U., De Castro, F., Marini, P., Aprile, A., Benedetti, M., &amp; Fanizzi, F. P. (</w:t>
      </w:r>
      <w:r>
        <w:rPr>
          <w:rFonts w:ascii="Arial" w:eastAsia="Times New Roman" w:hAnsi="Arial" w:cs="Arial"/>
          <w:bCs/>
          <w:sz w:val="20"/>
          <w:szCs w:val="20"/>
          <w:lang w:val="en-US" w:eastAsia="fr-FR"/>
        </w:rPr>
        <w:t xml:space="preserve">2023). </w:t>
      </w:r>
      <w:proofErr w:type="spellStart"/>
      <w:r>
        <w:rPr>
          <w:rFonts w:ascii="Arial" w:eastAsia="Times New Roman" w:hAnsi="Arial" w:cs="Arial"/>
          <w:sz w:val="20"/>
          <w:szCs w:val="20"/>
          <w:lang w:val="en-US" w:eastAsia="fr-FR"/>
        </w:rPr>
        <w:t>Vermibiochar</w:t>
      </w:r>
      <w:proofErr w:type="spellEnd"/>
      <w:r>
        <w:rPr>
          <w:rFonts w:ascii="Arial" w:eastAsia="Times New Roman" w:hAnsi="Arial" w:cs="Arial"/>
          <w:sz w:val="20"/>
          <w:szCs w:val="20"/>
          <w:lang w:val="en-US" w:eastAsia="fr-FR"/>
        </w:rPr>
        <w:t>: A Novel Approach for Reducing the Environmental Impact of Heavy Metals Contamination in Agricultural Land. Sustainability, 15(12), 9380.</w:t>
      </w:r>
      <w:r>
        <w:rPr>
          <w:rFonts w:ascii="Arial" w:hAnsi="Arial" w:cs="Arial"/>
          <w:sz w:val="20"/>
          <w:szCs w:val="20"/>
          <w:lang w:val="en-US"/>
        </w:rPr>
        <w:t xml:space="preserve"> </w:t>
      </w:r>
      <w:r>
        <w:rPr>
          <w:rFonts w:ascii="Arial" w:eastAsia="Times New Roman" w:hAnsi="Arial" w:cs="Arial"/>
          <w:sz w:val="20"/>
          <w:szCs w:val="20"/>
          <w:lang w:val="en-US" w:eastAsia="fr-FR"/>
        </w:rPr>
        <w:t>https://doi.org/10.3390/su15129380.</w:t>
      </w:r>
    </w:p>
    <w:p w14:paraId="1DE611CA"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eastAsia="fr-FR"/>
        </w:rPr>
      </w:pPr>
      <w:r>
        <w:rPr>
          <w:rFonts w:ascii="Arial" w:eastAsia="PalatinoLinotype-Roman" w:hAnsi="Arial" w:cs="Arial"/>
          <w:color w:val="000000"/>
          <w:sz w:val="20"/>
          <w:szCs w:val="20"/>
          <w:lang w:val="en-US"/>
        </w:rPr>
        <w:t xml:space="preserve">Richardson, J. B., Görres, J. H., &amp; </w:t>
      </w:r>
      <w:proofErr w:type="spellStart"/>
      <w:r>
        <w:rPr>
          <w:rFonts w:ascii="Arial" w:eastAsia="PalatinoLinotype-Roman" w:hAnsi="Arial" w:cs="Arial"/>
          <w:color w:val="000000"/>
          <w:sz w:val="20"/>
          <w:szCs w:val="20"/>
          <w:lang w:val="en-US"/>
        </w:rPr>
        <w:t>Sizmur</w:t>
      </w:r>
      <w:proofErr w:type="spellEnd"/>
      <w:r>
        <w:rPr>
          <w:rFonts w:ascii="Arial" w:eastAsia="PalatinoLinotype-Roman" w:hAnsi="Arial" w:cs="Arial"/>
          <w:color w:val="000000"/>
          <w:sz w:val="20"/>
          <w:szCs w:val="20"/>
          <w:lang w:val="en-US"/>
        </w:rPr>
        <w:t xml:space="preserve">, T. (2020). Synthesis of earthworm trace metal uptake and bioaccumulation data: role of soil concentration, earthworm ecophysiology, and experimental design. </w:t>
      </w:r>
      <w:proofErr w:type="spellStart"/>
      <w:r>
        <w:rPr>
          <w:rFonts w:ascii="Arial" w:eastAsia="PalatinoLinotype-Roman" w:hAnsi="Arial" w:cs="Arial"/>
          <w:color w:val="000000"/>
          <w:sz w:val="20"/>
          <w:szCs w:val="20"/>
        </w:rPr>
        <w:t>Environmental</w:t>
      </w:r>
      <w:proofErr w:type="spellEnd"/>
      <w:r>
        <w:rPr>
          <w:rFonts w:ascii="Arial" w:eastAsia="PalatinoLinotype-Roman" w:hAnsi="Arial" w:cs="Arial"/>
          <w:color w:val="000000"/>
          <w:sz w:val="20"/>
          <w:szCs w:val="20"/>
        </w:rPr>
        <w:t xml:space="preserve"> Pollution, 262, 114-126. https://doi.org/10.1016/j.envpol.2020.114126. </w:t>
      </w:r>
    </w:p>
    <w:p w14:paraId="1E4542A2" w14:textId="77777777" w:rsidR="00B66A9C" w:rsidRDefault="00501121">
      <w:pPr>
        <w:pStyle w:val="ListParagraph"/>
        <w:numPr>
          <w:ilvl w:val="0"/>
          <w:numId w:val="31"/>
        </w:numPr>
        <w:autoSpaceDE w:val="0"/>
        <w:autoSpaceDN w:val="0"/>
        <w:adjustRightInd w:val="0"/>
        <w:spacing w:after="0" w:line="360" w:lineRule="auto"/>
        <w:jc w:val="both"/>
        <w:rPr>
          <w:rFonts w:ascii="Arial" w:eastAsia="Times New Roman" w:hAnsi="Arial" w:cs="Arial"/>
          <w:sz w:val="20"/>
          <w:szCs w:val="20"/>
          <w:lang w:val="en-US" w:eastAsia="fr-FR"/>
        </w:rPr>
      </w:pPr>
      <w:proofErr w:type="spellStart"/>
      <w:r>
        <w:rPr>
          <w:rFonts w:ascii="Arial" w:eastAsia="SimSun" w:hAnsi="Arial" w:cs="Arial"/>
          <w:sz w:val="20"/>
          <w:szCs w:val="20"/>
          <w:lang w:eastAsia="en-GB"/>
        </w:rPr>
        <w:t>Sayyadian</w:t>
      </w:r>
      <w:proofErr w:type="spellEnd"/>
      <w:r>
        <w:rPr>
          <w:rFonts w:ascii="Arial" w:eastAsia="SimSun" w:hAnsi="Arial" w:cs="Arial"/>
          <w:sz w:val="20"/>
          <w:szCs w:val="20"/>
          <w:lang w:eastAsia="en-GB"/>
        </w:rPr>
        <w:t xml:space="preserve">, K., </w:t>
      </w:r>
      <w:proofErr w:type="spellStart"/>
      <w:r>
        <w:rPr>
          <w:rFonts w:ascii="Arial" w:eastAsia="SimSun" w:hAnsi="Arial" w:cs="Arial"/>
          <w:sz w:val="20"/>
          <w:szCs w:val="20"/>
          <w:lang w:eastAsia="en-GB"/>
        </w:rPr>
        <w:t>Moezzi</w:t>
      </w:r>
      <w:proofErr w:type="spellEnd"/>
      <w:r>
        <w:rPr>
          <w:rFonts w:ascii="Arial" w:eastAsia="SimSun" w:hAnsi="Arial" w:cs="Arial"/>
          <w:sz w:val="20"/>
          <w:szCs w:val="20"/>
          <w:lang w:eastAsia="en-GB"/>
        </w:rPr>
        <w:t xml:space="preserve">, A., </w:t>
      </w:r>
      <w:proofErr w:type="spellStart"/>
      <w:r>
        <w:rPr>
          <w:rFonts w:ascii="Arial" w:eastAsia="SimSun" w:hAnsi="Arial" w:cs="Arial"/>
          <w:sz w:val="20"/>
          <w:szCs w:val="20"/>
          <w:lang w:eastAsia="en-GB"/>
        </w:rPr>
        <w:t>Gholami</w:t>
      </w:r>
      <w:proofErr w:type="spellEnd"/>
      <w:r>
        <w:rPr>
          <w:rFonts w:ascii="Arial" w:eastAsia="SimSun" w:hAnsi="Arial" w:cs="Arial"/>
          <w:sz w:val="20"/>
          <w:szCs w:val="20"/>
          <w:lang w:eastAsia="en-GB"/>
        </w:rPr>
        <w:t xml:space="preserve">, A., </w:t>
      </w:r>
      <w:proofErr w:type="spellStart"/>
      <w:r>
        <w:rPr>
          <w:rFonts w:ascii="Arial" w:eastAsia="SimSun" w:hAnsi="Arial" w:cs="Arial"/>
          <w:sz w:val="20"/>
          <w:szCs w:val="20"/>
          <w:lang w:eastAsia="en-GB"/>
        </w:rPr>
        <w:t>Panahpour</w:t>
      </w:r>
      <w:proofErr w:type="spellEnd"/>
      <w:r>
        <w:rPr>
          <w:rFonts w:ascii="Arial" w:eastAsia="SimSun" w:hAnsi="Arial" w:cs="Arial"/>
          <w:sz w:val="20"/>
          <w:szCs w:val="20"/>
          <w:lang w:eastAsia="en-GB"/>
        </w:rPr>
        <w:t xml:space="preserve">, E., &amp; </w:t>
      </w:r>
      <w:proofErr w:type="spellStart"/>
      <w:r>
        <w:rPr>
          <w:rFonts w:ascii="Arial" w:eastAsia="SimSun" w:hAnsi="Arial" w:cs="Arial"/>
          <w:sz w:val="20"/>
          <w:szCs w:val="20"/>
          <w:lang w:eastAsia="en-GB"/>
        </w:rPr>
        <w:t>Mohsenifar</w:t>
      </w:r>
      <w:proofErr w:type="spellEnd"/>
      <w:r>
        <w:rPr>
          <w:rFonts w:ascii="Arial" w:eastAsia="SimSun" w:hAnsi="Arial" w:cs="Arial"/>
          <w:sz w:val="20"/>
          <w:szCs w:val="20"/>
          <w:lang w:eastAsia="en-GB"/>
        </w:rPr>
        <w:t xml:space="preserve">, K. (2018). </w:t>
      </w:r>
      <w:r>
        <w:rPr>
          <w:rFonts w:ascii="Arial" w:eastAsia="SimSun" w:hAnsi="Arial" w:cs="Arial"/>
          <w:bCs/>
          <w:sz w:val="20"/>
          <w:szCs w:val="20"/>
          <w:lang w:val="en-US" w:eastAsia="en-GB"/>
        </w:rPr>
        <w:t>Effect of biochar on Cadmium, nickel and lead uptake and translocation in maize irrigated with heavy metal contaminated water.</w:t>
      </w:r>
      <w:r>
        <w:rPr>
          <w:rFonts w:ascii="Arial" w:eastAsia="SimSun" w:hAnsi="Arial" w:cs="Arial"/>
          <w:sz w:val="20"/>
          <w:szCs w:val="20"/>
          <w:lang w:val="en-US" w:eastAsia="en-GB"/>
        </w:rPr>
        <w:t xml:space="preserve"> </w:t>
      </w:r>
      <w:r>
        <w:rPr>
          <w:rFonts w:ascii="Arial" w:eastAsia="Times New Roman" w:hAnsi="Arial" w:cs="Arial"/>
          <w:sz w:val="20"/>
          <w:szCs w:val="20"/>
          <w:lang w:val="en-US" w:eastAsia="fr-FR"/>
        </w:rPr>
        <w:t>Applied Ecology and Environmental Research, 17(1), 969-982.</w:t>
      </w:r>
      <w:r>
        <w:rPr>
          <w:rFonts w:ascii="Arial" w:hAnsi="Arial" w:cs="Arial"/>
          <w:sz w:val="20"/>
          <w:szCs w:val="20"/>
          <w:lang w:val="en-US"/>
        </w:rPr>
        <w:t xml:space="preserve"> </w:t>
      </w:r>
      <w:r>
        <w:rPr>
          <w:rFonts w:ascii="Arial" w:eastAsia="Times New Roman" w:hAnsi="Arial" w:cs="Arial"/>
          <w:sz w:val="20"/>
          <w:szCs w:val="20"/>
          <w:lang w:val="en-US" w:eastAsia="fr-FR"/>
        </w:rPr>
        <w:t>http://dx.doi.org/10.15666/aeer/1701_969982.</w:t>
      </w:r>
    </w:p>
    <w:p w14:paraId="621A08EE" w14:textId="77777777" w:rsidR="00B66A9C" w:rsidRDefault="00501121">
      <w:pPr>
        <w:pStyle w:val="ListParagraph"/>
        <w:numPr>
          <w:ilvl w:val="0"/>
          <w:numId w:val="31"/>
        </w:numPr>
        <w:spacing w:after="0" w:line="360" w:lineRule="auto"/>
        <w:jc w:val="both"/>
        <w:rPr>
          <w:rFonts w:ascii="Arial" w:eastAsia="Times New Roman" w:hAnsi="Arial" w:cs="Arial"/>
          <w:sz w:val="20"/>
          <w:szCs w:val="20"/>
          <w:lang w:val="en-US" w:eastAsia="fr-FR"/>
        </w:rPr>
      </w:pPr>
      <w:proofErr w:type="spellStart"/>
      <w:r>
        <w:rPr>
          <w:rFonts w:ascii="Arial" w:eastAsia="Times New Roman" w:hAnsi="Arial" w:cs="Arial"/>
          <w:sz w:val="20"/>
          <w:szCs w:val="20"/>
          <w:lang w:eastAsia="fr-FR"/>
        </w:rPr>
        <w:t>Shirani</w:t>
      </w:r>
      <w:proofErr w:type="spellEnd"/>
      <w:r>
        <w:rPr>
          <w:rFonts w:ascii="Arial" w:eastAsia="Times New Roman" w:hAnsi="Arial" w:cs="Arial"/>
          <w:sz w:val="20"/>
          <w:szCs w:val="20"/>
          <w:lang w:eastAsia="fr-FR"/>
        </w:rPr>
        <w:t xml:space="preserve">, M., </w:t>
      </w:r>
      <w:proofErr w:type="spellStart"/>
      <w:r>
        <w:rPr>
          <w:rFonts w:ascii="Arial" w:eastAsia="Times New Roman" w:hAnsi="Arial" w:cs="Arial"/>
          <w:sz w:val="20"/>
          <w:szCs w:val="20"/>
          <w:lang w:eastAsia="fr-FR"/>
        </w:rPr>
        <w:t>Afzali</w:t>
      </w:r>
      <w:proofErr w:type="spellEnd"/>
      <w:r>
        <w:rPr>
          <w:rFonts w:ascii="Arial" w:eastAsia="Times New Roman" w:hAnsi="Arial" w:cs="Arial"/>
          <w:sz w:val="20"/>
          <w:szCs w:val="20"/>
          <w:lang w:eastAsia="fr-FR"/>
        </w:rPr>
        <w:t xml:space="preserve">, K. N., Jahan, S., </w:t>
      </w:r>
      <w:proofErr w:type="spellStart"/>
      <w:r>
        <w:rPr>
          <w:rFonts w:ascii="Arial" w:eastAsia="Times New Roman" w:hAnsi="Arial" w:cs="Arial"/>
          <w:sz w:val="20"/>
          <w:szCs w:val="20"/>
          <w:lang w:eastAsia="fr-FR"/>
        </w:rPr>
        <w:t>Strezov</w:t>
      </w:r>
      <w:proofErr w:type="spellEnd"/>
      <w:r>
        <w:rPr>
          <w:rFonts w:ascii="Arial" w:eastAsia="Times New Roman" w:hAnsi="Arial" w:cs="Arial"/>
          <w:sz w:val="20"/>
          <w:szCs w:val="20"/>
          <w:lang w:eastAsia="fr-FR"/>
        </w:rPr>
        <w:t xml:space="preserve">, J., &amp; </w:t>
      </w:r>
      <w:proofErr w:type="spellStart"/>
      <w:r>
        <w:rPr>
          <w:rFonts w:ascii="Arial" w:eastAsia="Times New Roman" w:hAnsi="Arial" w:cs="Arial"/>
          <w:sz w:val="20"/>
          <w:szCs w:val="20"/>
          <w:lang w:eastAsia="fr-FR"/>
        </w:rPr>
        <w:t>Soleimani</w:t>
      </w:r>
      <w:r>
        <w:rPr>
          <w:rFonts w:ascii="Cambria Math" w:eastAsia="Times New Roman" w:hAnsi="Cambria Math" w:cs="Cambria Math"/>
          <w:sz w:val="20"/>
          <w:szCs w:val="20"/>
          <w:lang w:eastAsia="fr-FR"/>
        </w:rPr>
        <w:t>‐</w:t>
      </w:r>
      <w:r>
        <w:rPr>
          <w:rFonts w:ascii="Arial" w:eastAsia="Times New Roman" w:hAnsi="Arial" w:cs="Arial"/>
          <w:sz w:val="20"/>
          <w:szCs w:val="20"/>
          <w:lang w:eastAsia="fr-FR"/>
        </w:rPr>
        <w:t>Sardo</w:t>
      </w:r>
      <w:proofErr w:type="spellEnd"/>
      <w:r>
        <w:rPr>
          <w:rFonts w:ascii="Arial" w:eastAsia="Times New Roman" w:hAnsi="Arial" w:cs="Arial"/>
          <w:sz w:val="20"/>
          <w:szCs w:val="20"/>
          <w:lang w:eastAsia="fr-FR"/>
        </w:rPr>
        <w:t xml:space="preserve">, M. (2020). </w:t>
      </w:r>
      <w:r>
        <w:rPr>
          <w:rFonts w:ascii="Arial" w:eastAsia="Times New Roman" w:hAnsi="Arial" w:cs="Arial"/>
          <w:sz w:val="20"/>
          <w:szCs w:val="20"/>
          <w:lang w:val="en-US" w:eastAsia="fr-FR"/>
        </w:rPr>
        <w:t xml:space="preserve">Pollution and contamination assessment of heavy metals in the sediments of </w:t>
      </w:r>
      <w:proofErr w:type="spellStart"/>
      <w:r>
        <w:rPr>
          <w:rFonts w:ascii="Arial" w:eastAsia="Times New Roman" w:hAnsi="Arial" w:cs="Arial"/>
          <w:sz w:val="20"/>
          <w:szCs w:val="20"/>
          <w:lang w:val="en-US" w:eastAsia="fr-FR"/>
        </w:rPr>
        <w:t>Jazmurian</w:t>
      </w:r>
      <w:proofErr w:type="spellEnd"/>
      <w:r>
        <w:rPr>
          <w:rFonts w:ascii="Arial" w:eastAsia="Times New Roman" w:hAnsi="Arial" w:cs="Arial"/>
          <w:sz w:val="20"/>
          <w:szCs w:val="20"/>
          <w:lang w:val="en-US" w:eastAsia="fr-FR"/>
        </w:rPr>
        <w:t xml:space="preserve"> plays in southeast Iran. Scientific Reports, 10, 4775.</w:t>
      </w:r>
      <w:r>
        <w:rPr>
          <w:rFonts w:ascii="Arial" w:hAnsi="Arial" w:cs="Arial"/>
          <w:sz w:val="20"/>
          <w:szCs w:val="20"/>
          <w:lang w:val="en-US"/>
        </w:rPr>
        <w:t xml:space="preserve"> </w:t>
      </w:r>
      <w:r>
        <w:rPr>
          <w:rFonts w:ascii="Arial" w:eastAsia="Times New Roman" w:hAnsi="Arial" w:cs="Arial"/>
          <w:sz w:val="20"/>
          <w:szCs w:val="20"/>
          <w:lang w:val="en-US" w:eastAsia="fr-FR"/>
        </w:rPr>
        <w:t>https://doi.org/10.1038/s41598-020-61838-x.</w:t>
      </w:r>
    </w:p>
    <w:p w14:paraId="1BD588A0" w14:textId="77777777" w:rsidR="00B66A9C" w:rsidRDefault="00501121">
      <w:pPr>
        <w:pStyle w:val="ListParagraph"/>
        <w:numPr>
          <w:ilvl w:val="0"/>
          <w:numId w:val="31"/>
        </w:numPr>
        <w:spacing w:after="0" w:line="360" w:lineRule="auto"/>
        <w:jc w:val="both"/>
        <w:rPr>
          <w:rFonts w:ascii="Arial" w:eastAsia="SimSun" w:hAnsi="Arial" w:cs="Arial"/>
          <w:sz w:val="20"/>
          <w:szCs w:val="20"/>
          <w:lang w:val="en-US" w:eastAsia="en-GB"/>
        </w:rPr>
      </w:pPr>
      <w:r>
        <w:rPr>
          <w:rFonts w:ascii="Arial" w:eastAsia="SimSun" w:hAnsi="Arial" w:cs="Arial"/>
          <w:sz w:val="20"/>
          <w:szCs w:val="20"/>
          <w:lang w:val="en-US" w:eastAsia="en-GB"/>
        </w:rPr>
        <w:t>Singh, O., Singh, S., Singh, V. K., &amp; Singh, A. (2023). Biochar: An Organic Amendment for Sustainable Soil Health. In: Baskar, C., Ramakrishna, S., Daniela La Rosa, A. (eds) Encyclopedia of Green Materials. Springer</w:t>
      </w:r>
      <w:r>
        <w:rPr>
          <w:rFonts w:ascii="Arial" w:eastAsia="SimSun" w:hAnsi="Arial" w:cs="Arial"/>
          <w:i/>
          <w:sz w:val="20"/>
          <w:szCs w:val="20"/>
          <w:lang w:val="en-US" w:eastAsia="en-GB"/>
        </w:rPr>
        <w:t>, Singapore.</w:t>
      </w:r>
      <w:r>
        <w:rPr>
          <w:rFonts w:ascii="Arial" w:eastAsia="SimSun" w:hAnsi="Arial" w:cs="Arial"/>
          <w:sz w:val="20"/>
          <w:szCs w:val="20"/>
          <w:lang w:val="en-US" w:eastAsia="en-GB"/>
        </w:rPr>
        <w:t xml:space="preserve"> https://doi.org/10.1007/978-981-16-4921-9-265-1.</w:t>
      </w:r>
    </w:p>
    <w:p w14:paraId="69E726C2" w14:textId="77777777" w:rsidR="00B66A9C" w:rsidRDefault="00501121">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r>
        <w:rPr>
          <w:rFonts w:ascii="Arial" w:eastAsia="Times New Roman" w:hAnsi="Arial" w:cs="Arial"/>
          <w:sz w:val="20"/>
          <w:szCs w:val="20"/>
          <w:lang w:val="en-US" w:eastAsia="fr-FR"/>
        </w:rPr>
        <w:t xml:space="preserve">Sivakumar, S., Chandrasekaran, A., Balaji, G., &amp; Ravisankar, R. (2016). Assessment of heavy metal enrichment and the degree of contamination in coastal sediment from south east coast of </w:t>
      </w:r>
      <w:proofErr w:type="spellStart"/>
      <w:r>
        <w:rPr>
          <w:rFonts w:ascii="Arial" w:eastAsia="Times New Roman" w:hAnsi="Arial" w:cs="Arial"/>
          <w:sz w:val="20"/>
          <w:szCs w:val="20"/>
          <w:lang w:val="en-US" w:eastAsia="fr-FR"/>
        </w:rPr>
        <w:t>Tamilnadu</w:t>
      </w:r>
      <w:proofErr w:type="spellEnd"/>
      <w:r>
        <w:rPr>
          <w:rFonts w:ascii="Arial" w:eastAsia="Times New Roman" w:hAnsi="Arial" w:cs="Arial"/>
          <w:sz w:val="20"/>
          <w:szCs w:val="20"/>
          <w:lang w:val="en-US" w:eastAsia="fr-FR"/>
        </w:rPr>
        <w:t>, India. Journal of Heavy Metal Toxicity and Diseases</w:t>
      </w:r>
      <w:r>
        <w:rPr>
          <w:rFonts w:ascii="Arial" w:eastAsia="Times New Roman" w:hAnsi="Arial" w:cs="Arial"/>
          <w:i/>
          <w:sz w:val="20"/>
          <w:szCs w:val="20"/>
          <w:lang w:val="en-US" w:eastAsia="fr-FR"/>
        </w:rPr>
        <w:t>,</w:t>
      </w:r>
      <w:r>
        <w:rPr>
          <w:rFonts w:ascii="Arial" w:eastAsia="Times New Roman" w:hAnsi="Arial" w:cs="Arial"/>
          <w:sz w:val="20"/>
          <w:szCs w:val="20"/>
          <w:lang w:val="en-US" w:eastAsia="fr-FR"/>
        </w:rPr>
        <w:t xml:space="preserve"> 1(2), 11–19</w:t>
      </w:r>
      <w:r>
        <w:rPr>
          <w:rFonts w:ascii="Arial" w:eastAsia="Times New Roman" w:hAnsi="Arial" w:cs="Arial"/>
          <w:color w:val="000000" w:themeColor="text1"/>
          <w:sz w:val="20"/>
          <w:szCs w:val="20"/>
          <w:lang w:val="en-US" w:eastAsia="fr-FR"/>
        </w:rPr>
        <w:t>.</w:t>
      </w:r>
      <w:r>
        <w:rPr>
          <w:rFonts w:ascii="Arial" w:hAnsi="Arial" w:cs="Arial"/>
          <w:sz w:val="20"/>
          <w:szCs w:val="20"/>
          <w:lang w:val="en-US"/>
        </w:rPr>
        <w:t xml:space="preserve"> </w:t>
      </w:r>
      <w:r>
        <w:rPr>
          <w:rFonts w:ascii="Arial" w:eastAsia="Times New Roman" w:hAnsi="Arial" w:cs="Arial"/>
          <w:color w:val="000000" w:themeColor="text1"/>
          <w:sz w:val="20"/>
          <w:szCs w:val="20"/>
          <w:lang w:val="en-US" w:eastAsia="fr-FR"/>
        </w:rPr>
        <w:t>https://doi.org/10.21767/2473-6457.100011.</w:t>
      </w:r>
      <w:r>
        <w:rPr>
          <w:rFonts w:ascii="Arial" w:hAnsi="Arial" w:cs="Arial"/>
          <w:color w:val="000000" w:themeColor="text1"/>
          <w:sz w:val="20"/>
          <w:szCs w:val="20"/>
          <w:lang w:val="en-US"/>
        </w:rPr>
        <w:t xml:space="preserve"> </w:t>
      </w:r>
    </w:p>
    <w:p w14:paraId="63C6C900" w14:textId="77777777" w:rsidR="00B66A9C" w:rsidRDefault="00501121">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proofErr w:type="spellStart"/>
      <w:r>
        <w:rPr>
          <w:rFonts w:ascii="Arial" w:eastAsia="Times New Roman" w:hAnsi="Arial" w:cs="Arial"/>
          <w:color w:val="000000" w:themeColor="text1"/>
          <w:sz w:val="20"/>
          <w:szCs w:val="20"/>
          <w:lang w:val="en-US" w:eastAsia="fr-FR"/>
        </w:rPr>
        <w:t>Taraqqi</w:t>
      </w:r>
      <w:proofErr w:type="spellEnd"/>
      <w:r>
        <w:rPr>
          <w:rFonts w:ascii="Arial" w:eastAsia="Times New Roman" w:hAnsi="Arial" w:cs="Arial"/>
          <w:color w:val="000000" w:themeColor="text1"/>
          <w:sz w:val="20"/>
          <w:szCs w:val="20"/>
          <w:lang w:val="en-US" w:eastAsia="fr-FR"/>
        </w:rPr>
        <w:t>-A-Kamal, A., Atkinson, C. J., Khan, A., Zhang, K. K., Sun, P., Akther, S., &amp; Zhang, Y. R. (2021). Biochar remediation of soil: linking biochar production with function in heavy metal contaminated soils. Plant and Soil Environment, 67(4), 183-201.</w:t>
      </w:r>
      <w:r>
        <w:rPr>
          <w:rFonts w:ascii="Arial" w:hAnsi="Arial" w:cs="Arial"/>
          <w:sz w:val="20"/>
          <w:szCs w:val="20"/>
          <w:lang w:val="en-US"/>
        </w:rPr>
        <w:t xml:space="preserve"> </w:t>
      </w:r>
      <w:r>
        <w:rPr>
          <w:rFonts w:ascii="Arial" w:eastAsia="Times New Roman" w:hAnsi="Arial" w:cs="Arial"/>
          <w:color w:val="000000" w:themeColor="text1"/>
          <w:sz w:val="20"/>
          <w:szCs w:val="20"/>
          <w:lang w:val="en-US" w:eastAsia="fr-FR"/>
        </w:rPr>
        <w:t>https://doi.org/10.17221/544/2020-PSE.</w:t>
      </w:r>
    </w:p>
    <w:p w14:paraId="5C19EDC0" w14:textId="77777777" w:rsidR="00B66A9C" w:rsidRDefault="00501121">
      <w:pPr>
        <w:pStyle w:val="ListParagraph"/>
        <w:numPr>
          <w:ilvl w:val="0"/>
          <w:numId w:val="31"/>
        </w:numPr>
        <w:spacing w:after="0" w:line="360" w:lineRule="auto"/>
        <w:jc w:val="both"/>
        <w:rPr>
          <w:rFonts w:ascii="Arial" w:eastAsia="PalatinoLinotype-Roman" w:hAnsi="Arial" w:cs="Arial"/>
          <w:sz w:val="20"/>
          <w:szCs w:val="20"/>
          <w:lang w:val="en-US"/>
        </w:rPr>
      </w:pPr>
      <w:proofErr w:type="spellStart"/>
      <w:r>
        <w:rPr>
          <w:rFonts w:ascii="Arial" w:eastAsia="PalatinoLinotype-Roman" w:hAnsi="Arial" w:cs="Arial"/>
          <w:sz w:val="20"/>
          <w:szCs w:val="20"/>
          <w:lang w:val="en-US"/>
        </w:rPr>
        <w:lastRenderedPageBreak/>
        <w:t>Taraqqi</w:t>
      </w:r>
      <w:proofErr w:type="spellEnd"/>
      <w:r>
        <w:rPr>
          <w:rFonts w:ascii="Arial" w:eastAsia="PalatinoLinotype-Roman" w:hAnsi="Arial" w:cs="Arial"/>
          <w:sz w:val="20"/>
          <w:szCs w:val="20"/>
          <w:lang w:val="en-US"/>
        </w:rPr>
        <w:t xml:space="preserve">-A-Kamal, A., Atkinson, C. J., Khan, A., Zhang, K. K., Sun, P., Akther, S. &amp; Zhang, Y. R. (2021). Biochar remediation of soil: linking biochar production with function in </w:t>
      </w:r>
      <w:proofErr w:type="spellStart"/>
      <w:r>
        <w:rPr>
          <w:rFonts w:ascii="Arial" w:eastAsia="PalatinoLinotype-Roman" w:hAnsi="Arial" w:cs="Arial"/>
          <w:sz w:val="20"/>
          <w:szCs w:val="20"/>
          <w:lang w:val="en-US"/>
        </w:rPr>
        <w:t>heavymetal</w:t>
      </w:r>
      <w:proofErr w:type="spellEnd"/>
      <w:r>
        <w:rPr>
          <w:rFonts w:ascii="Arial" w:eastAsia="PalatinoLinotype-Roman" w:hAnsi="Arial" w:cs="Arial"/>
          <w:sz w:val="20"/>
          <w:szCs w:val="20"/>
          <w:lang w:val="en-US"/>
        </w:rPr>
        <w:t xml:space="preserve"> contaminated soils. Plant and Soil Environment, 67(4), 183-201. https://doi.org/10.17221/544/2020-PSE.</w:t>
      </w:r>
    </w:p>
    <w:p w14:paraId="69C2B60A" w14:textId="77777777" w:rsidR="00B66A9C" w:rsidRDefault="00501121">
      <w:pPr>
        <w:pStyle w:val="ListParagraph"/>
        <w:numPr>
          <w:ilvl w:val="0"/>
          <w:numId w:val="31"/>
        </w:numPr>
        <w:autoSpaceDE w:val="0"/>
        <w:autoSpaceDN w:val="0"/>
        <w:adjustRightInd w:val="0"/>
        <w:spacing w:after="0" w:line="360" w:lineRule="auto"/>
        <w:jc w:val="both"/>
        <w:rPr>
          <w:rFonts w:ascii="Arial" w:eastAsia="Times New Roman" w:hAnsi="Arial" w:cs="Arial"/>
          <w:color w:val="000000" w:themeColor="text1"/>
          <w:sz w:val="20"/>
          <w:szCs w:val="20"/>
          <w:lang w:val="en-US" w:eastAsia="fr-FR"/>
        </w:rPr>
      </w:pPr>
      <w:r>
        <w:rPr>
          <w:rFonts w:ascii="Arial" w:eastAsia="SimSun" w:hAnsi="Arial" w:cs="Arial"/>
          <w:color w:val="000000" w:themeColor="text1"/>
          <w:sz w:val="20"/>
          <w:szCs w:val="20"/>
          <w:lang w:val="en-US" w:eastAsia="en-GB"/>
        </w:rPr>
        <w:t>Tsamo, C.</w:t>
      </w:r>
      <w:r>
        <w:rPr>
          <w:rFonts w:ascii="Arial" w:eastAsia="HDCAD L+ MTSY" w:hAnsi="Arial" w:cs="Arial"/>
          <w:color w:val="000000" w:themeColor="text1"/>
          <w:sz w:val="20"/>
          <w:szCs w:val="20"/>
          <w:lang w:val="en-US" w:eastAsia="en-GB"/>
        </w:rPr>
        <w:t xml:space="preserve">, </w:t>
      </w:r>
      <w:proofErr w:type="spellStart"/>
      <w:r>
        <w:rPr>
          <w:rFonts w:ascii="Arial" w:eastAsia="HDCAD L+ MTSY" w:hAnsi="Arial" w:cs="Arial"/>
          <w:color w:val="000000" w:themeColor="text1"/>
          <w:sz w:val="20"/>
          <w:szCs w:val="20"/>
          <w:lang w:val="en-US" w:eastAsia="en-GB"/>
        </w:rPr>
        <w:t>Assabe</w:t>
      </w:r>
      <w:proofErr w:type="spellEnd"/>
      <w:r>
        <w:rPr>
          <w:rFonts w:ascii="Arial" w:eastAsia="HDCAD L+ MTSY" w:hAnsi="Arial" w:cs="Arial"/>
          <w:color w:val="000000" w:themeColor="text1"/>
          <w:sz w:val="20"/>
          <w:szCs w:val="20"/>
          <w:lang w:val="en-US" w:eastAsia="en-GB"/>
        </w:rPr>
        <w:t xml:space="preserve">, M., Argue J., &amp; Ihimbru, S. O. (2019). </w:t>
      </w:r>
      <w:r>
        <w:rPr>
          <w:rFonts w:ascii="Arial" w:eastAsia="SimSun" w:hAnsi="Arial" w:cs="Arial"/>
          <w:color w:val="000000" w:themeColor="text1"/>
          <w:sz w:val="20"/>
          <w:szCs w:val="20"/>
          <w:lang w:val="en-US" w:eastAsia="en-GB"/>
        </w:rPr>
        <w:t>Discoloration of methylene blue and slaughter house wastewater using maize cob biochar produced using a constructed burning chamber: A comparative study</w:t>
      </w:r>
      <w:r>
        <w:rPr>
          <w:rFonts w:ascii="Arial" w:eastAsia="SimSun" w:hAnsi="Arial" w:cs="Arial"/>
          <w:i/>
          <w:color w:val="000000" w:themeColor="text1"/>
          <w:sz w:val="20"/>
          <w:szCs w:val="20"/>
          <w:lang w:val="en-US" w:eastAsia="en-GB"/>
        </w:rPr>
        <w:t>.</w:t>
      </w:r>
      <w:r>
        <w:rPr>
          <w:rFonts w:ascii="Arial" w:eastAsia="SimSun" w:hAnsi="Arial" w:cs="Arial"/>
          <w:i/>
          <w:iCs/>
          <w:color w:val="000000" w:themeColor="text1"/>
          <w:sz w:val="20"/>
          <w:szCs w:val="20"/>
          <w:lang w:val="en-US" w:eastAsia="en-GB"/>
        </w:rPr>
        <w:t xml:space="preserve"> </w:t>
      </w:r>
      <w:r>
        <w:rPr>
          <w:rFonts w:ascii="Arial" w:eastAsia="SimSun" w:hAnsi="Arial" w:cs="Arial"/>
          <w:iCs/>
          <w:color w:val="000000" w:themeColor="text1"/>
          <w:sz w:val="20"/>
          <w:szCs w:val="20"/>
          <w:lang w:val="en-US" w:eastAsia="en-GB"/>
        </w:rPr>
        <w:t>Scientific African</w:t>
      </w:r>
      <w:r>
        <w:rPr>
          <w:rFonts w:ascii="Arial" w:eastAsia="SimSun" w:hAnsi="Arial" w:cs="Arial"/>
          <w:i/>
          <w:iCs/>
          <w:color w:val="000000" w:themeColor="text1"/>
          <w:sz w:val="20"/>
          <w:szCs w:val="20"/>
          <w:lang w:val="en-US" w:eastAsia="en-GB"/>
        </w:rPr>
        <w:t xml:space="preserve">, </w:t>
      </w:r>
      <w:r>
        <w:rPr>
          <w:rFonts w:ascii="Arial" w:eastAsia="SimSun" w:hAnsi="Arial" w:cs="Arial"/>
          <w:iCs/>
          <w:color w:val="000000" w:themeColor="text1"/>
          <w:sz w:val="20"/>
          <w:szCs w:val="20"/>
          <w:lang w:val="en-US" w:eastAsia="en-GB"/>
        </w:rPr>
        <w:t>3, 2468</w:t>
      </w:r>
      <w:r>
        <w:rPr>
          <w:rFonts w:ascii="Arial" w:eastAsia="Times New Roman" w:hAnsi="Arial" w:cs="Arial"/>
          <w:color w:val="000000" w:themeColor="text1"/>
          <w:sz w:val="20"/>
          <w:szCs w:val="20"/>
          <w:lang w:val="en-US" w:eastAsia="fr-FR"/>
        </w:rPr>
        <w:t>-2276. https://doi.org/10.1016/j.sciaf.2019.e00 078.</w:t>
      </w:r>
    </w:p>
    <w:p w14:paraId="6DCE8EEC" w14:textId="77777777" w:rsidR="00B66A9C" w:rsidRDefault="00501121">
      <w:pPr>
        <w:pStyle w:val="ListParagraph"/>
        <w:numPr>
          <w:ilvl w:val="0"/>
          <w:numId w:val="31"/>
        </w:numPr>
        <w:spacing w:after="0" w:line="360" w:lineRule="auto"/>
        <w:jc w:val="both"/>
        <w:rPr>
          <w:rFonts w:ascii="Arial" w:eastAsia="Times New Roman" w:hAnsi="Arial" w:cs="Arial"/>
          <w:color w:val="000000" w:themeColor="text1"/>
          <w:sz w:val="20"/>
          <w:szCs w:val="20"/>
          <w:lang w:val="en-US" w:eastAsia="fr-FR"/>
        </w:rPr>
      </w:pPr>
      <w:proofErr w:type="spellStart"/>
      <w:r>
        <w:rPr>
          <w:rFonts w:ascii="Arial" w:eastAsia="Times New Roman" w:hAnsi="Arial" w:cs="Arial"/>
          <w:color w:val="000000" w:themeColor="text1"/>
          <w:sz w:val="20"/>
          <w:szCs w:val="20"/>
          <w:lang w:val="en-US" w:eastAsia="fr-FR"/>
        </w:rPr>
        <w:t>Twagirayezu</w:t>
      </w:r>
      <w:proofErr w:type="spellEnd"/>
      <w:r>
        <w:rPr>
          <w:rFonts w:ascii="Arial" w:eastAsia="Times New Roman" w:hAnsi="Arial" w:cs="Arial"/>
          <w:color w:val="000000" w:themeColor="text1"/>
          <w:sz w:val="20"/>
          <w:szCs w:val="20"/>
          <w:lang w:val="en-US" w:eastAsia="fr-FR"/>
        </w:rPr>
        <w:t xml:space="preserve">, G., Olivier, I., Kui, H., Hui, X., Abias, U., Jean, C. N., </w:t>
      </w:r>
      <w:proofErr w:type="spellStart"/>
      <w:r>
        <w:rPr>
          <w:rFonts w:ascii="Arial" w:eastAsia="Times New Roman" w:hAnsi="Arial" w:cs="Arial"/>
          <w:color w:val="000000" w:themeColor="text1"/>
          <w:sz w:val="20"/>
          <w:szCs w:val="20"/>
          <w:lang w:val="en-US" w:eastAsia="fr-FR"/>
        </w:rPr>
        <w:t>Habasi</w:t>
      </w:r>
      <w:proofErr w:type="spellEnd"/>
      <w:r>
        <w:rPr>
          <w:rFonts w:ascii="Arial" w:eastAsia="Times New Roman" w:hAnsi="Arial" w:cs="Arial"/>
          <w:color w:val="000000" w:themeColor="text1"/>
          <w:sz w:val="20"/>
          <w:szCs w:val="20"/>
          <w:lang w:val="en-US" w:eastAsia="fr-FR"/>
        </w:rPr>
        <w:t xml:space="preserve">, P. M., </w:t>
      </w:r>
      <w:proofErr w:type="spellStart"/>
      <w:r>
        <w:rPr>
          <w:rFonts w:ascii="Arial" w:eastAsia="Times New Roman" w:hAnsi="Arial" w:cs="Arial"/>
          <w:color w:val="000000" w:themeColor="text1"/>
          <w:sz w:val="20"/>
          <w:szCs w:val="20"/>
          <w:lang w:val="en-US" w:eastAsia="fr-FR"/>
        </w:rPr>
        <w:t>Febronie</w:t>
      </w:r>
      <w:proofErr w:type="spellEnd"/>
      <w:r>
        <w:rPr>
          <w:rFonts w:ascii="Arial" w:eastAsia="Times New Roman" w:hAnsi="Arial" w:cs="Arial"/>
          <w:color w:val="000000" w:themeColor="text1"/>
          <w:sz w:val="20"/>
          <w:szCs w:val="20"/>
          <w:lang w:val="en-US" w:eastAsia="fr-FR"/>
        </w:rPr>
        <w:t>, N., &amp; Auguste. C. I. (2022). Environmental Effects of Electrical and Electronic Waste on Water and Soil. Pollution. Journal of Environmental Studies</w:t>
      </w:r>
      <w:r>
        <w:rPr>
          <w:rFonts w:ascii="Arial" w:eastAsia="Times New Roman" w:hAnsi="Arial" w:cs="Arial"/>
          <w:i/>
          <w:color w:val="000000" w:themeColor="text1"/>
          <w:sz w:val="20"/>
          <w:szCs w:val="20"/>
          <w:lang w:val="en-US" w:eastAsia="fr-FR"/>
        </w:rPr>
        <w:t xml:space="preserve">, </w:t>
      </w:r>
      <w:r>
        <w:rPr>
          <w:rFonts w:ascii="Arial" w:eastAsia="Times New Roman" w:hAnsi="Arial" w:cs="Arial"/>
          <w:color w:val="000000" w:themeColor="text1"/>
          <w:sz w:val="20"/>
          <w:szCs w:val="20"/>
          <w:lang w:val="en-US" w:eastAsia="fr-FR"/>
        </w:rPr>
        <w:t>31(3), 2507-2525. https://doi.org/10.15244/pjoes/144194.</w:t>
      </w:r>
    </w:p>
    <w:p w14:paraId="284DE627" w14:textId="77777777" w:rsidR="00B66A9C" w:rsidRDefault="00501121">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proofErr w:type="spellStart"/>
      <w:r>
        <w:rPr>
          <w:rFonts w:ascii="Arial" w:eastAsia="SimSun" w:hAnsi="Arial" w:cs="Arial"/>
          <w:color w:val="000000" w:themeColor="text1"/>
          <w:sz w:val="20"/>
          <w:szCs w:val="20"/>
          <w:lang w:val="en-US" w:eastAsia="en-GB"/>
        </w:rPr>
        <w:t>Ukalska-Jaruga</w:t>
      </w:r>
      <w:proofErr w:type="spellEnd"/>
      <w:r>
        <w:rPr>
          <w:rFonts w:ascii="Arial" w:eastAsia="SimSun" w:hAnsi="Arial" w:cs="Arial"/>
          <w:color w:val="000000" w:themeColor="text1"/>
          <w:sz w:val="20"/>
          <w:szCs w:val="20"/>
          <w:lang w:val="en-US" w:eastAsia="en-GB"/>
        </w:rPr>
        <w:t xml:space="preserve">, A., </w:t>
      </w:r>
      <w:proofErr w:type="spellStart"/>
      <w:r>
        <w:rPr>
          <w:rFonts w:ascii="Arial" w:eastAsia="SimSun" w:hAnsi="Arial" w:cs="Arial"/>
          <w:color w:val="000000" w:themeColor="text1"/>
          <w:sz w:val="20"/>
          <w:szCs w:val="20"/>
          <w:lang w:val="en-US" w:eastAsia="en-GB"/>
        </w:rPr>
        <w:t>Siebielec</w:t>
      </w:r>
      <w:proofErr w:type="spellEnd"/>
      <w:r>
        <w:rPr>
          <w:rFonts w:ascii="Arial" w:eastAsia="SimSun" w:hAnsi="Arial" w:cs="Arial"/>
          <w:color w:val="000000" w:themeColor="text1"/>
          <w:sz w:val="20"/>
          <w:szCs w:val="20"/>
          <w:lang w:val="en-US" w:eastAsia="en-GB"/>
        </w:rPr>
        <w:t xml:space="preserve">, G., </w:t>
      </w:r>
      <w:proofErr w:type="spellStart"/>
      <w:r>
        <w:rPr>
          <w:rFonts w:ascii="Arial" w:eastAsia="SimSun" w:hAnsi="Arial" w:cs="Arial"/>
          <w:color w:val="000000" w:themeColor="text1"/>
          <w:sz w:val="20"/>
          <w:szCs w:val="20"/>
          <w:lang w:val="en-US" w:eastAsia="en-GB"/>
        </w:rPr>
        <w:t>Siebielec</w:t>
      </w:r>
      <w:proofErr w:type="spellEnd"/>
      <w:r>
        <w:rPr>
          <w:rFonts w:ascii="Arial" w:eastAsia="SimSun" w:hAnsi="Arial" w:cs="Arial"/>
          <w:color w:val="000000" w:themeColor="text1"/>
          <w:sz w:val="20"/>
          <w:szCs w:val="20"/>
          <w:lang w:val="en-US" w:eastAsia="en-GB"/>
        </w:rPr>
        <w:t xml:space="preserve">, S., &amp; </w:t>
      </w:r>
      <w:proofErr w:type="spellStart"/>
      <w:r>
        <w:rPr>
          <w:rFonts w:ascii="Arial" w:eastAsia="SimSun" w:hAnsi="Arial" w:cs="Arial"/>
          <w:color w:val="000000" w:themeColor="text1"/>
          <w:sz w:val="20"/>
          <w:szCs w:val="20"/>
          <w:lang w:val="en-US" w:eastAsia="en-GB"/>
        </w:rPr>
        <w:t>Pecio</w:t>
      </w:r>
      <w:proofErr w:type="spellEnd"/>
      <w:r>
        <w:rPr>
          <w:rFonts w:ascii="Arial" w:eastAsia="SimSun" w:hAnsi="Arial" w:cs="Arial"/>
          <w:color w:val="000000" w:themeColor="text1"/>
          <w:sz w:val="20"/>
          <w:szCs w:val="20"/>
          <w:lang w:val="en-US" w:eastAsia="en-GB"/>
        </w:rPr>
        <w:t>, M. (2022). The Effect of Soil Amendments on Trace Elements’ Bioavailability and Toxicity to Earthworms in Contaminated Soils. Applied Sciences, 12, 62-80.</w:t>
      </w:r>
      <w:r>
        <w:rPr>
          <w:rFonts w:ascii="Arial" w:hAnsi="Arial" w:cs="Arial"/>
          <w:sz w:val="20"/>
          <w:szCs w:val="20"/>
          <w:lang w:val="en-US"/>
        </w:rPr>
        <w:t xml:space="preserve"> </w:t>
      </w:r>
      <w:r>
        <w:rPr>
          <w:rFonts w:ascii="Arial" w:eastAsia="SimSun" w:hAnsi="Arial" w:cs="Arial"/>
          <w:color w:val="000000" w:themeColor="text1"/>
          <w:sz w:val="20"/>
          <w:szCs w:val="20"/>
          <w:lang w:val="en-US" w:eastAsia="en-GB"/>
        </w:rPr>
        <w:t xml:space="preserve">https://doi.org/10.3390/app12126280. </w:t>
      </w:r>
    </w:p>
    <w:p w14:paraId="4F8327BB" w14:textId="77777777" w:rsidR="00B66A9C" w:rsidRDefault="00501121">
      <w:pPr>
        <w:pStyle w:val="ListParagraph"/>
        <w:numPr>
          <w:ilvl w:val="0"/>
          <w:numId w:val="31"/>
        </w:numPr>
        <w:spacing w:after="0" w:line="360" w:lineRule="auto"/>
        <w:jc w:val="both"/>
        <w:rPr>
          <w:rFonts w:ascii="Arial" w:eastAsia="PalatinoLinotype-Roman" w:hAnsi="Arial" w:cs="Arial"/>
          <w:sz w:val="20"/>
          <w:szCs w:val="20"/>
        </w:rPr>
      </w:pPr>
      <w:r>
        <w:rPr>
          <w:rFonts w:ascii="Arial" w:eastAsia="PalatinoLinotype-Roman" w:hAnsi="Arial" w:cs="Arial"/>
          <w:color w:val="000000" w:themeColor="text1"/>
          <w:sz w:val="20"/>
          <w:szCs w:val="20"/>
          <w:lang w:val="en-US"/>
        </w:rPr>
        <w:t xml:space="preserve">Xiao, R., Ali, A., Xu, Y. Q., Abdelrahman, H., Li, R. H., Lin, Y. B., Bolan, N., Shaheen, S.  M., </w:t>
      </w:r>
      <w:proofErr w:type="spellStart"/>
      <w:r>
        <w:rPr>
          <w:rFonts w:ascii="Arial" w:eastAsia="PalatinoLinotype-Roman" w:hAnsi="Arial" w:cs="Arial"/>
          <w:color w:val="000000" w:themeColor="text1"/>
          <w:sz w:val="20"/>
          <w:szCs w:val="20"/>
          <w:lang w:val="en-US"/>
        </w:rPr>
        <w:t>Rinklebe</w:t>
      </w:r>
      <w:proofErr w:type="spellEnd"/>
      <w:r>
        <w:rPr>
          <w:rFonts w:ascii="Arial" w:eastAsia="PalatinoLinotype-Roman" w:hAnsi="Arial" w:cs="Arial"/>
          <w:color w:val="000000" w:themeColor="text1"/>
          <w:sz w:val="20"/>
          <w:szCs w:val="20"/>
          <w:lang w:val="en-US"/>
        </w:rPr>
        <w:t xml:space="preserve">, J., &amp; Zhang, Z.Q. (2022). Earthworms as candidates for remediation of potentially toxic elements contaminated soils and mitigating the environmental and human health risks: A review. </w:t>
      </w:r>
      <w:proofErr w:type="spellStart"/>
      <w:r>
        <w:rPr>
          <w:rFonts w:ascii="Arial" w:eastAsia="PalatinoLinotype-Roman" w:hAnsi="Arial" w:cs="Arial"/>
          <w:color w:val="000000" w:themeColor="text1"/>
          <w:sz w:val="20"/>
          <w:szCs w:val="20"/>
        </w:rPr>
        <w:t>Environment</w:t>
      </w:r>
      <w:proofErr w:type="spellEnd"/>
      <w:r>
        <w:rPr>
          <w:rFonts w:ascii="Arial" w:eastAsia="PalatinoLinotype-Roman" w:hAnsi="Arial" w:cs="Arial"/>
          <w:color w:val="000000" w:themeColor="text1"/>
          <w:sz w:val="20"/>
          <w:szCs w:val="20"/>
        </w:rPr>
        <w:t xml:space="preserve"> International</w:t>
      </w:r>
      <w:r>
        <w:rPr>
          <w:rFonts w:ascii="Arial" w:eastAsia="PalatinoLinotype-Roman" w:hAnsi="Arial" w:cs="Arial"/>
          <w:i/>
          <w:color w:val="000000" w:themeColor="text1"/>
          <w:sz w:val="20"/>
          <w:szCs w:val="20"/>
        </w:rPr>
        <w:t>,</w:t>
      </w:r>
      <w:r>
        <w:rPr>
          <w:rFonts w:ascii="Arial" w:eastAsia="PalatinoLinotype-Roman" w:hAnsi="Arial" w:cs="Arial"/>
          <w:color w:val="000000" w:themeColor="text1"/>
          <w:sz w:val="20"/>
          <w:szCs w:val="20"/>
        </w:rPr>
        <w:t xml:space="preserve"> 158, 106-924.</w:t>
      </w:r>
      <w:r>
        <w:rPr>
          <w:rFonts w:ascii="Arial" w:hAnsi="Arial" w:cs="Arial"/>
          <w:sz w:val="20"/>
          <w:szCs w:val="20"/>
        </w:rPr>
        <w:t xml:space="preserve"> </w:t>
      </w:r>
      <w:r>
        <w:rPr>
          <w:rFonts w:ascii="Arial" w:eastAsia="PalatinoLinotype-Roman" w:hAnsi="Arial" w:cs="Arial"/>
          <w:color w:val="000000" w:themeColor="text1"/>
          <w:sz w:val="20"/>
          <w:szCs w:val="20"/>
        </w:rPr>
        <w:t>https://dx.doi.org/10.1016/j.envint.2021.106924.</w:t>
      </w:r>
    </w:p>
    <w:p w14:paraId="7598084C" w14:textId="77777777" w:rsidR="00B66A9C" w:rsidRDefault="00501121">
      <w:pPr>
        <w:pStyle w:val="ListParagraph"/>
        <w:numPr>
          <w:ilvl w:val="0"/>
          <w:numId w:val="31"/>
        </w:numPr>
        <w:spacing w:line="360" w:lineRule="auto"/>
        <w:jc w:val="both"/>
        <w:rPr>
          <w:rFonts w:ascii="Arial" w:eastAsia="PalatinoLinotype-Roman" w:hAnsi="Arial" w:cs="Arial"/>
          <w:sz w:val="20"/>
          <w:szCs w:val="20"/>
          <w:lang w:val="en-US"/>
        </w:rPr>
      </w:pPr>
      <w:r>
        <w:rPr>
          <w:rFonts w:ascii="Arial" w:eastAsia="PalatinoLinotype-Roman" w:hAnsi="Arial" w:cs="Arial"/>
          <w:sz w:val="20"/>
          <w:szCs w:val="20"/>
        </w:rPr>
        <w:t xml:space="preserve">Xu, J., Wang, H., Liu, Y., Ma, M., Zhang, T., Zheng, X., &amp; </w:t>
      </w:r>
      <w:proofErr w:type="spellStart"/>
      <w:r>
        <w:rPr>
          <w:rFonts w:ascii="Arial" w:eastAsia="PalatinoLinotype-Roman" w:hAnsi="Arial" w:cs="Arial"/>
          <w:sz w:val="20"/>
          <w:szCs w:val="20"/>
        </w:rPr>
        <w:t>Zong</w:t>
      </w:r>
      <w:proofErr w:type="spellEnd"/>
      <w:r>
        <w:rPr>
          <w:rFonts w:ascii="Arial" w:eastAsia="PalatinoLinotype-Roman" w:hAnsi="Arial" w:cs="Arial"/>
          <w:sz w:val="20"/>
          <w:szCs w:val="20"/>
        </w:rPr>
        <w:t xml:space="preserve">, M. (2016).  </w:t>
      </w:r>
      <w:r>
        <w:rPr>
          <w:rFonts w:ascii="Arial" w:eastAsia="PalatinoLinotype-Roman" w:hAnsi="Arial" w:cs="Arial"/>
          <w:sz w:val="20"/>
          <w:szCs w:val="20"/>
        </w:rPr>
        <w:tab/>
      </w:r>
      <w:r>
        <w:rPr>
          <w:rFonts w:ascii="Arial" w:eastAsia="PalatinoLinotype-Roman" w:hAnsi="Arial" w:cs="Arial"/>
          <w:sz w:val="20"/>
          <w:szCs w:val="20"/>
          <w:lang w:val="en-US"/>
        </w:rPr>
        <w:t xml:space="preserve">Ecological risk assessment of heavy metals in soils surrounding oil waste </w:t>
      </w:r>
      <w:r>
        <w:rPr>
          <w:rFonts w:ascii="Arial" w:eastAsia="PalatinoLinotype-Roman" w:hAnsi="Arial" w:cs="Arial"/>
          <w:sz w:val="20"/>
          <w:szCs w:val="20"/>
          <w:lang w:val="en-US"/>
        </w:rPr>
        <w:tab/>
        <w:t>disposal areas. Environmental Monitoring and Assessment, 188, 125.        https://dx.doi.org/10.1007/s10661-016-5093.</w:t>
      </w:r>
    </w:p>
    <w:p w14:paraId="648343DE" w14:textId="77777777" w:rsidR="00B66A9C" w:rsidRDefault="00501121">
      <w:pPr>
        <w:pStyle w:val="ListParagraph"/>
        <w:numPr>
          <w:ilvl w:val="0"/>
          <w:numId w:val="31"/>
        </w:numPr>
        <w:spacing w:after="0" w:line="360" w:lineRule="auto"/>
        <w:jc w:val="both"/>
        <w:rPr>
          <w:rFonts w:ascii="Arial" w:hAnsi="Arial" w:cs="Arial"/>
          <w:sz w:val="20"/>
          <w:szCs w:val="20"/>
        </w:rPr>
      </w:pPr>
      <w:r>
        <w:rPr>
          <w:rFonts w:ascii="Arial" w:eastAsia="PalatinoLinotype-Roman" w:hAnsi="Arial" w:cs="Arial"/>
          <w:sz w:val="20"/>
          <w:szCs w:val="20"/>
          <w:lang w:val="en-US"/>
        </w:rPr>
        <w:t xml:space="preserve">Yang, X., Liu, J., </w:t>
      </w:r>
      <w:proofErr w:type="spellStart"/>
      <w:r>
        <w:rPr>
          <w:rFonts w:ascii="Arial" w:eastAsia="PalatinoLinotype-Roman" w:hAnsi="Arial" w:cs="Arial"/>
          <w:sz w:val="20"/>
          <w:szCs w:val="20"/>
          <w:lang w:val="en-US"/>
        </w:rPr>
        <w:t>McGrouther</w:t>
      </w:r>
      <w:proofErr w:type="spellEnd"/>
      <w:r>
        <w:rPr>
          <w:rFonts w:ascii="Arial" w:eastAsia="PalatinoLinotype-Roman" w:hAnsi="Arial" w:cs="Arial"/>
          <w:sz w:val="20"/>
          <w:szCs w:val="20"/>
          <w:lang w:val="en-US"/>
        </w:rPr>
        <w:t>, K., Huang, H., Lu, K., Guo, X., He, L., Lin, X., Che, L., Ye, Z., &amp; Wang, H. (2016). Effect of biochar on the extractability of heavy metals (Cd, Cu, Pb, and Zn) and enzyme activity in soil. Environmental science and pollution research</w:t>
      </w:r>
      <w:r>
        <w:rPr>
          <w:rFonts w:ascii="Arial" w:eastAsia="PalatinoLinotype-Roman" w:hAnsi="Arial" w:cs="Arial"/>
          <w:i/>
          <w:sz w:val="20"/>
          <w:szCs w:val="20"/>
          <w:lang w:val="en-US"/>
        </w:rPr>
        <w:t xml:space="preserve"> </w:t>
      </w:r>
      <w:r>
        <w:rPr>
          <w:rFonts w:ascii="Arial" w:eastAsia="PalatinoLinotype-Roman" w:hAnsi="Arial" w:cs="Arial"/>
          <w:sz w:val="20"/>
          <w:szCs w:val="20"/>
          <w:lang w:val="en-US"/>
        </w:rPr>
        <w:t>international, 23(2), 974–984.</w:t>
      </w:r>
      <w:r>
        <w:rPr>
          <w:rFonts w:ascii="Arial" w:hAnsi="Arial" w:cs="Arial"/>
          <w:sz w:val="20"/>
          <w:szCs w:val="20"/>
          <w:lang w:val="en-US"/>
        </w:rPr>
        <w:t xml:space="preserve"> </w:t>
      </w:r>
      <w:r>
        <w:rPr>
          <w:rFonts w:ascii="Arial" w:eastAsia="PalatinoLinotype-Roman" w:hAnsi="Arial" w:cs="Arial"/>
          <w:sz w:val="20"/>
          <w:szCs w:val="20"/>
          <w:lang w:val="en-US"/>
        </w:rPr>
        <w:t xml:space="preserve">https://doi.org/10.1007/s11356-015-4233-0. </w:t>
      </w:r>
    </w:p>
    <w:p w14:paraId="1ACF8A05" w14:textId="77777777" w:rsidR="00B66A9C" w:rsidRDefault="00501121">
      <w:pPr>
        <w:pStyle w:val="ListParagraph"/>
        <w:numPr>
          <w:ilvl w:val="0"/>
          <w:numId w:val="31"/>
        </w:numPr>
        <w:spacing w:after="0" w:line="360" w:lineRule="auto"/>
        <w:jc w:val="both"/>
        <w:rPr>
          <w:rFonts w:ascii="Arial" w:eastAsia="PalatinoLinotype-Roman" w:hAnsi="Arial" w:cs="Arial"/>
          <w:sz w:val="20"/>
          <w:szCs w:val="20"/>
          <w:lang w:val="en-US"/>
        </w:rPr>
      </w:pPr>
      <w:r>
        <w:rPr>
          <w:rFonts w:ascii="Arial" w:eastAsia="PalatinoLinotype-Roman" w:hAnsi="Arial" w:cs="Arial"/>
          <w:sz w:val="20"/>
          <w:szCs w:val="20"/>
          <w:lang w:val="en-US"/>
        </w:rPr>
        <w:t>Zhang, L., &amp; Liu, J. (2014). In situ relationships between spatial–temporal variations in potential ecological risk indexes for metals and the short term effects on periphyton in a macrophyte</w:t>
      </w:r>
      <w:r>
        <w:rPr>
          <w:rFonts w:ascii="Cambria Math" w:eastAsia="PalatinoLinotype-Roman" w:hAnsi="Cambria Math" w:cs="Cambria Math"/>
          <w:sz w:val="20"/>
          <w:szCs w:val="20"/>
          <w:lang w:val="en-US"/>
        </w:rPr>
        <w:t>‐</w:t>
      </w:r>
      <w:r>
        <w:rPr>
          <w:rFonts w:ascii="Arial" w:eastAsia="PalatinoLinotype-Roman" w:hAnsi="Arial" w:cs="Arial"/>
          <w:sz w:val="20"/>
          <w:szCs w:val="20"/>
          <w:lang w:val="en-US"/>
        </w:rPr>
        <w:t>dominated lake: A comparison of structural and functional metrics. Ecotoxicology, 23(4):553-66.</w:t>
      </w:r>
      <w:r>
        <w:rPr>
          <w:rFonts w:ascii="Arial" w:hAnsi="Arial" w:cs="Arial"/>
          <w:sz w:val="20"/>
          <w:szCs w:val="20"/>
          <w:lang w:val="en-US"/>
        </w:rPr>
        <w:t xml:space="preserve"> </w:t>
      </w:r>
      <w:r>
        <w:rPr>
          <w:rFonts w:ascii="Arial" w:eastAsia="PalatinoLinotype-Roman" w:hAnsi="Arial" w:cs="Arial"/>
          <w:sz w:val="20"/>
          <w:szCs w:val="20"/>
          <w:lang w:val="en-US"/>
        </w:rPr>
        <w:t>https://doi: 10.1007/s10646-014-1175-0.</w:t>
      </w:r>
    </w:p>
    <w:p w14:paraId="4679B4B7" w14:textId="28921002" w:rsidR="00942EEC" w:rsidRDefault="00942EEC">
      <w:pPr>
        <w:pStyle w:val="ListParagraph"/>
        <w:numPr>
          <w:ilvl w:val="0"/>
          <w:numId w:val="31"/>
        </w:numPr>
        <w:spacing w:after="0" w:line="360" w:lineRule="auto"/>
        <w:jc w:val="both"/>
        <w:rPr>
          <w:rFonts w:ascii="Arial" w:eastAsia="PalatinoLinotype-Roman" w:hAnsi="Arial" w:cs="Arial"/>
          <w:sz w:val="20"/>
          <w:szCs w:val="20"/>
          <w:highlight w:val="yellow"/>
          <w:lang w:val="en-US"/>
        </w:rPr>
      </w:pPr>
      <w:r w:rsidRPr="00E9105E">
        <w:rPr>
          <w:rFonts w:ascii="Arial" w:eastAsia="PalatinoLinotype-Roman" w:hAnsi="Arial" w:cs="Arial"/>
          <w:sz w:val="20"/>
          <w:szCs w:val="20"/>
          <w:highlight w:val="yellow"/>
          <w:lang w:val="en-US"/>
        </w:rPr>
        <w:t xml:space="preserve">Kumar, A., Gaur, D., Liu, Y., &amp; Sharma, D. (2022). Sustainable waste electrical and electronic equipment management guide in emerging economies context: A structural model approach. Journal of Cleaner Production, 336, 130391. </w:t>
      </w:r>
    </w:p>
    <w:p w14:paraId="5804033D" w14:textId="47B37ABC" w:rsidR="00E434D5" w:rsidRDefault="00E434D5" w:rsidP="00E434D5">
      <w:pPr>
        <w:pStyle w:val="ListParagraph"/>
        <w:numPr>
          <w:ilvl w:val="0"/>
          <w:numId w:val="31"/>
        </w:numPr>
        <w:spacing w:after="0" w:line="360" w:lineRule="auto"/>
        <w:jc w:val="both"/>
        <w:rPr>
          <w:rFonts w:ascii="Arial" w:eastAsia="PalatinoLinotype-Roman" w:hAnsi="Arial" w:cs="Arial"/>
          <w:sz w:val="20"/>
          <w:szCs w:val="20"/>
          <w:highlight w:val="yellow"/>
          <w:lang w:val="en-US"/>
        </w:rPr>
      </w:pPr>
      <w:r w:rsidRPr="00E9105E">
        <w:rPr>
          <w:rFonts w:ascii="Arial" w:eastAsia="PalatinoLinotype-Roman" w:hAnsi="Arial" w:cs="Arial"/>
          <w:sz w:val="20"/>
          <w:szCs w:val="20"/>
          <w:highlight w:val="yellow"/>
          <w:lang w:val="en-US"/>
        </w:rPr>
        <w:t xml:space="preserve">Liu, Z., Fei, Y., Shi, H., Mo, L., &amp; Qi, J. (2022). Prediction of high-risk areas of soil heavy metal pollution with multiple factors on a large scale in industrial agglomeration areas. Science of the Total Environment, 808, 151874. </w:t>
      </w:r>
    </w:p>
    <w:p w14:paraId="38233602" w14:textId="64F5AC28" w:rsidR="00E9105E" w:rsidRDefault="00E9105E" w:rsidP="00FD7BF6">
      <w:pPr>
        <w:pStyle w:val="ListParagraph"/>
        <w:numPr>
          <w:ilvl w:val="0"/>
          <w:numId w:val="31"/>
        </w:numPr>
        <w:spacing w:after="0" w:line="360" w:lineRule="auto"/>
        <w:jc w:val="both"/>
        <w:rPr>
          <w:rFonts w:ascii="Arial" w:eastAsia="PalatinoLinotype-Roman" w:hAnsi="Arial" w:cs="Arial"/>
          <w:sz w:val="20"/>
          <w:szCs w:val="20"/>
          <w:highlight w:val="yellow"/>
          <w:lang w:val="en-US"/>
        </w:rPr>
      </w:pPr>
      <w:r w:rsidRPr="00E9105E">
        <w:rPr>
          <w:rFonts w:ascii="Arial" w:eastAsia="PalatinoLinotype-Roman" w:hAnsi="Arial" w:cs="Arial"/>
          <w:sz w:val="20"/>
          <w:szCs w:val="20"/>
          <w:highlight w:val="yellow"/>
          <w:lang w:val="en-US"/>
        </w:rPr>
        <w:t xml:space="preserve">Kabir, E., Kim, K. H., &amp; Kwon, E. E. (2023). Biochar as a tool for the improvement of soil and environment. Frontiers in Environmental Science, 11, 1324533.   </w:t>
      </w:r>
    </w:p>
    <w:p w14:paraId="2D8261B1" w14:textId="31738743" w:rsidR="00E9105E" w:rsidRPr="00E9105E" w:rsidRDefault="00E9105E" w:rsidP="00184DF1">
      <w:pPr>
        <w:pStyle w:val="ListParagraph"/>
        <w:numPr>
          <w:ilvl w:val="0"/>
          <w:numId w:val="31"/>
        </w:numPr>
        <w:spacing w:after="0" w:line="360" w:lineRule="auto"/>
        <w:jc w:val="both"/>
        <w:rPr>
          <w:rFonts w:ascii="Arial" w:eastAsia="PalatinoLinotype-Roman" w:hAnsi="Arial" w:cs="Arial"/>
          <w:sz w:val="20"/>
          <w:szCs w:val="20"/>
          <w:highlight w:val="yellow"/>
          <w:lang w:val="en-US"/>
        </w:rPr>
      </w:pPr>
      <w:proofErr w:type="spellStart"/>
      <w:r w:rsidRPr="00E9105E">
        <w:rPr>
          <w:rFonts w:ascii="Arial" w:eastAsia="PalatinoLinotype-Roman" w:hAnsi="Arial" w:cs="Arial"/>
          <w:sz w:val="20"/>
          <w:szCs w:val="20"/>
          <w:highlight w:val="yellow"/>
          <w:lang w:val="en-US"/>
        </w:rPr>
        <w:t>Gbarakoro</w:t>
      </w:r>
      <w:proofErr w:type="spellEnd"/>
      <w:r w:rsidRPr="00E9105E">
        <w:rPr>
          <w:rFonts w:ascii="Arial" w:eastAsia="PalatinoLinotype-Roman" w:hAnsi="Arial" w:cs="Arial"/>
          <w:sz w:val="20"/>
          <w:szCs w:val="20"/>
          <w:highlight w:val="yellow"/>
          <w:lang w:val="en-US"/>
        </w:rPr>
        <w:t xml:space="preserve">, T. N., </w:t>
      </w:r>
      <w:proofErr w:type="spellStart"/>
      <w:r w:rsidRPr="00E9105E">
        <w:rPr>
          <w:rFonts w:ascii="Arial" w:eastAsia="PalatinoLinotype-Roman" w:hAnsi="Arial" w:cs="Arial"/>
          <w:sz w:val="20"/>
          <w:szCs w:val="20"/>
          <w:highlight w:val="yellow"/>
          <w:lang w:val="en-US"/>
        </w:rPr>
        <w:t>Koshoffa</w:t>
      </w:r>
      <w:proofErr w:type="spellEnd"/>
      <w:r w:rsidRPr="00E9105E">
        <w:rPr>
          <w:rFonts w:ascii="Arial" w:eastAsia="PalatinoLinotype-Roman" w:hAnsi="Arial" w:cs="Arial"/>
          <w:sz w:val="20"/>
          <w:szCs w:val="20"/>
          <w:highlight w:val="yellow"/>
          <w:lang w:val="en-US"/>
        </w:rPr>
        <w:t xml:space="preserve">, V. O., &amp; Sikoki, F. D. (2023). Assessing Earthworm Influence on Remediating Potentials of Soil Micro-Organisms, and Bioavailable Hydrocarbon Pollutant in the Niger Delta, Nigeria. Journal of Geoscience and Environment Protection, 11(3), 277-292. </w:t>
      </w:r>
    </w:p>
    <w:sectPr w:rsidR="00E9105E" w:rsidRPr="00E9105E">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EBF3" w14:textId="77777777" w:rsidR="00D76DDA" w:rsidRDefault="00D76DDA">
      <w:r>
        <w:separator/>
      </w:r>
    </w:p>
  </w:endnote>
  <w:endnote w:type="continuationSeparator" w:id="0">
    <w:p w14:paraId="54CCB103" w14:textId="77777777" w:rsidR="00D76DDA" w:rsidRDefault="00D7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Linotype-Roman">
    <w:altName w:val="MS Mincho"/>
    <w:charset w:val="80"/>
    <w:family w:val="auto"/>
    <w:pitch w:val="default"/>
    <w:sig w:usb0="00000000" w:usb1="00000000" w:usb2="00000010" w:usb3="00000000" w:csb0="00020000" w:csb1="00000000"/>
  </w:font>
  <w:font w:name="HDCAD L+ MTSY">
    <w:altName w:val="Malgun Gothic"/>
    <w:charset w:val="81"/>
    <w:family w:val="swiss"/>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5D1A" w14:textId="77777777" w:rsidR="00B66A9C" w:rsidRDefault="00B66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B82A" w14:textId="77777777" w:rsidR="00B66A9C" w:rsidRDefault="00B66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6C05" w14:textId="77777777" w:rsidR="00B66A9C" w:rsidRDefault="00B66A9C">
    <w:pPr>
      <w:pStyle w:val="Footer"/>
      <w:rPr>
        <w:rFonts w:ascii="Arial" w:hAnsi="Arial" w:cs="Arial"/>
        <w:sz w:val="16"/>
      </w:rPr>
    </w:pPr>
  </w:p>
  <w:p w14:paraId="1FAEE578" w14:textId="77777777" w:rsidR="00B66A9C" w:rsidRDefault="00501121">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A5E46B" w14:textId="77777777" w:rsidR="00B66A9C" w:rsidRDefault="00B66A9C">
    <w:pPr>
      <w:pStyle w:val="Footer"/>
      <w:rPr>
        <w:rFonts w:ascii="Arial" w:hAnsi="Arial" w:cs="Arial"/>
        <w:sz w:val="16"/>
      </w:rPr>
    </w:pPr>
  </w:p>
  <w:p w14:paraId="5E389CB5" w14:textId="77777777" w:rsidR="00B66A9C" w:rsidRDefault="00501121">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E4A6D" w14:textId="77777777" w:rsidR="00B66A9C" w:rsidRDefault="00B6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F221" w14:textId="77777777" w:rsidR="00D76DDA" w:rsidRDefault="00D76DDA">
      <w:r>
        <w:separator/>
      </w:r>
    </w:p>
  </w:footnote>
  <w:footnote w:type="continuationSeparator" w:id="0">
    <w:p w14:paraId="7F1DD2EA" w14:textId="77777777" w:rsidR="00D76DDA" w:rsidRDefault="00D7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586E" w14:textId="77777777" w:rsidR="00B66A9C" w:rsidRDefault="00D76DDA">
    <w:pPr>
      <w:pStyle w:val="Header"/>
    </w:pPr>
    <w:r>
      <w:rPr>
        <w:noProof/>
      </w:rPr>
      <w:pict w14:anchorId="79284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DC1F" w14:textId="77777777" w:rsidR="00B66A9C" w:rsidRDefault="00D76DDA">
    <w:pPr>
      <w:pStyle w:val="Header"/>
    </w:pPr>
    <w:r>
      <w:rPr>
        <w:noProof/>
      </w:rPr>
      <w:pict w14:anchorId="192EC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1722" w14:textId="77777777" w:rsidR="00B66A9C" w:rsidRDefault="00D76DDA">
    <w:pPr>
      <w:ind w:left="2160"/>
      <w:jc w:val="center"/>
      <w:rPr>
        <w:rFonts w:ascii="Times New Roman" w:eastAsia="Calibri" w:hAnsi="Times New Roman"/>
        <w:i/>
        <w:sz w:val="18"/>
        <w:szCs w:val="22"/>
      </w:rPr>
    </w:pPr>
    <w:r>
      <w:rPr>
        <w:noProof/>
      </w:rPr>
      <w:pict w14:anchorId="3233A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D7A20E9" w14:textId="77777777" w:rsidR="00B66A9C" w:rsidRDefault="0050112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14D4EE8" w14:textId="77777777" w:rsidR="00B66A9C" w:rsidRDefault="00501121">
    <w:pPr>
      <w:jc w:val="center"/>
      <w:rPr>
        <w:rFonts w:ascii="Times New Roman" w:eastAsia="Calibri" w:hAnsi="Times New Roman"/>
        <w:i/>
        <w:sz w:val="18"/>
        <w:szCs w:val="22"/>
      </w:rPr>
    </w:pPr>
    <w:r>
      <w:rPr>
        <w:rFonts w:ascii="Times New Roman" w:eastAsia="Calibri" w:hAnsi="Times New Roman"/>
        <w:i/>
        <w:sz w:val="18"/>
        <w:szCs w:val="22"/>
      </w:rPr>
      <w:t>.</w:t>
    </w:r>
  </w:p>
  <w:p w14:paraId="2DD8DFF7" w14:textId="77777777" w:rsidR="00B66A9C" w:rsidRDefault="0050112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414DDB8" w14:textId="77777777" w:rsidR="00B66A9C" w:rsidRDefault="0050112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F8AD7A0" w14:textId="77777777" w:rsidR="00B66A9C" w:rsidRDefault="0050112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C7EF1A9" w14:textId="77777777" w:rsidR="00B66A9C" w:rsidRDefault="0050112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D7B7" w14:textId="77777777" w:rsidR="00B66A9C" w:rsidRDefault="00D76DDA">
    <w:pPr>
      <w:pStyle w:val="Header"/>
    </w:pPr>
    <w:r>
      <w:rPr>
        <w:noProof/>
      </w:rPr>
      <w:pict w14:anchorId="0306D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C63F" w14:textId="77777777" w:rsidR="00B66A9C" w:rsidRDefault="00D76DDA">
    <w:pPr>
      <w:pStyle w:val="Header"/>
    </w:pPr>
    <w:r>
      <w:rPr>
        <w:noProof/>
      </w:rPr>
      <w:pict w14:anchorId="39801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CC8B" w14:textId="77777777" w:rsidR="00B66A9C" w:rsidRDefault="00D76DDA">
    <w:pPr>
      <w:pStyle w:val="Header"/>
    </w:pPr>
    <w:r>
      <w:rPr>
        <w:noProof/>
      </w:rPr>
      <w:pict w14:anchorId="02AD6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AB77A6"/>
    <w:multiLevelType w:val="hybridMultilevel"/>
    <w:tmpl w:val="49EEA28A"/>
    <w:lvl w:ilvl="0" w:tplc="F4D667D2">
      <w:start w:val="1"/>
      <w:numFmt w:val="decimal"/>
      <w:lvlText w:val="%1."/>
      <w:lvlJc w:val="left"/>
      <w:pPr>
        <w:ind w:left="360" w:hanging="360"/>
      </w:pPr>
      <w:rPr>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5E7157C"/>
    <w:multiLevelType w:val="hybridMultilevel"/>
    <w:tmpl w:val="2D5808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3sDQ3NbI0MTAG0ko6SsGpxcWZ+XkgBYa1ABp9pGgsAAAA"/>
  </w:docVars>
  <w:rsids>
    <w:rsidRoot w:val="00B66A9C"/>
    <w:rsid w:val="002C698D"/>
    <w:rsid w:val="003076B9"/>
    <w:rsid w:val="003325A7"/>
    <w:rsid w:val="00501121"/>
    <w:rsid w:val="00525982"/>
    <w:rsid w:val="00725527"/>
    <w:rsid w:val="00867903"/>
    <w:rsid w:val="00942EEC"/>
    <w:rsid w:val="00B66A9C"/>
    <w:rsid w:val="00D76DDA"/>
    <w:rsid w:val="00E434D5"/>
    <w:rsid w:val="00E9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CA53072"/>
  <w15:docId w15:val="{6BE1BBC2-8857-43D2-80B5-5893F4A0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99"/>
    <w:qFormat/>
    <w:pPr>
      <w:spacing w:after="160" w:line="259" w:lineRule="auto"/>
      <w:ind w:left="720"/>
      <w:contextualSpacing/>
    </w:pPr>
    <w:rPr>
      <w:rFonts w:asciiTheme="minorHAnsi" w:eastAsiaTheme="minorHAnsi" w:hAnsiTheme="minorHAnsi" w:cstheme="minorBidi"/>
      <w:sz w:val="22"/>
      <w:szCs w:val="22"/>
      <w:lang w:val="fr-FR"/>
    </w:rPr>
  </w:style>
  <w:style w:type="paragraph" w:styleId="Revision">
    <w:name w:val="Revision"/>
    <w:hidden/>
    <w:uiPriority w:val="99"/>
    <w:semiHidden/>
    <w:rsid w:val="00942EE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2665-11B0-4313-9B8A-76A6DB5A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556</TotalTime>
  <Pages>18</Pages>
  <Words>8943</Words>
  <Characters>50978</Characters>
  <Application>Microsoft Office Word</Application>
  <DocSecurity>0</DocSecurity>
  <Lines>424</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59802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31</cp:revision>
  <cp:lastPrinted>1999-07-06T11:00:00Z</cp:lastPrinted>
  <dcterms:created xsi:type="dcterms:W3CDTF">2014-10-25T14:34:00Z</dcterms:created>
  <dcterms:modified xsi:type="dcterms:W3CDTF">2025-07-12T09:47:00Z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41ee25cf-1d67-48aa-b03c-b84ddb25f638</vt:lpwstr>
  </property>
</Properties>
</file>