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138A" w14:textId="27AADDB9" w:rsidR="00C37780" w:rsidRDefault="00535B60" w:rsidP="00535B60">
      <w:pPr>
        <w:rPr>
          <w:rFonts w:ascii="Times New Roman" w:hAnsi="Times New Roman" w:cs="Times New Roman"/>
          <w:sz w:val="24"/>
          <w:szCs w:val="24"/>
        </w:rPr>
      </w:pPr>
      <w:r w:rsidRPr="007273E9">
        <w:rPr>
          <w:rFonts w:ascii="Times New Roman" w:hAnsi="Times New Roman" w:cs="Times New Roman"/>
          <w:sz w:val="24"/>
          <w:szCs w:val="24"/>
        </w:rPr>
        <w:t xml:space="preserve">                                                </w:t>
      </w:r>
    </w:p>
    <w:p w14:paraId="26E9A3D7" w14:textId="52E6DD32" w:rsidR="00AD5450" w:rsidRDefault="00AD5450" w:rsidP="00DE1F9D">
      <w:bookmarkStart w:id="0" w:name="_Hlk201918991"/>
    </w:p>
    <w:p w14:paraId="0AFF6C23" w14:textId="2BA2BAFF" w:rsidR="004B37CE" w:rsidRPr="00DE1F9D" w:rsidRDefault="00576C1E" w:rsidP="00DE1F9D">
      <w:pPr>
        <w:spacing w:line="480" w:lineRule="auto"/>
        <w:jc w:val="both"/>
        <w:rPr>
          <w:rFonts w:ascii="Times New Roman" w:eastAsia="TimesNewRomanPSMT" w:hAnsi="Times New Roman" w:cs="Times New Roman"/>
          <w:b/>
          <w:bCs/>
          <w:sz w:val="24"/>
          <w:szCs w:val="24"/>
        </w:rPr>
      </w:pPr>
      <w:r w:rsidRPr="00DE1F9D">
        <w:rPr>
          <w:rFonts w:ascii="Times New Roman" w:eastAsia="TimesNewRomanPSMT" w:hAnsi="Times New Roman" w:cs="Times New Roman"/>
          <w:sz w:val="24"/>
          <w:szCs w:val="24"/>
        </w:rPr>
        <w:t>Comparative studies of chlorophyll concentration on different varieties of soybeans treated with different levels of salinity in salt mi</w:t>
      </w:r>
      <w:r w:rsidR="00A715F4" w:rsidRPr="00DE1F9D">
        <w:rPr>
          <w:rFonts w:ascii="Times New Roman" w:eastAsia="TimesNewRomanPSMT" w:hAnsi="Times New Roman" w:cs="Times New Roman"/>
          <w:sz w:val="24"/>
          <w:szCs w:val="24"/>
        </w:rPr>
        <w:t>n</w:t>
      </w:r>
      <w:r w:rsidRPr="00DE1F9D">
        <w:rPr>
          <w:rFonts w:ascii="Times New Roman" w:eastAsia="TimesNewRomanPSMT" w:hAnsi="Times New Roman" w:cs="Times New Roman"/>
          <w:sz w:val="24"/>
          <w:szCs w:val="24"/>
        </w:rPr>
        <w:t>ing</w:t>
      </w:r>
      <w:r w:rsidR="009E1001" w:rsidRPr="00DE1F9D">
        <w:rPr>
          <w:rFonts w:ascii="Times New Roman" w:eastAsia="TimesNewRomanPSMT" w:hAnsi="Times New Roman" w:cs="Times New Roman"/>
          <w:sz w:val="24"/>
          <w:szCs w:val="24"/>
        </w:rPr>
        <w:t xml:space="preserve"> site</w:t>
      </w:r>
      <w:r w:rsidR="004D1053" w:rsidRPr="00DE1F9D">
        <w:rPr>
          <w:rFonts w:ascii="Times New Roman" w:eastAsia="TimesNewRomanPSMT" w:hAnsi="Times New Roman" w:cs="Times New Roman"/>
          <w:sz w:val="24"/>
          <w:szCs w:val="24"/>
        </w:rPr>
        <w:t xml:space="preserve">, </w:t>
      </w:r>
      <w:r w:rsidR="004B37CE" w:rsidRPr="00DE1F9D">
        <w:rPr>
          <w:rFonts w:ascii="Times New Roman" w:eastAsia="TimesNewRomanPSMT" w:hAnsi="Times New Roman" w:cs="Times New Roman"/>
          <w:sz w:val="24"/>
          <w:szCs w:val="24"/>
        </w:rPr>
        <w:t>in Yala Local Government Area, Cross River State, Nigeria</w:t>
      </w:r>
    </w:p>
    <w:p w14:paraId="495392AD" w14:textId="77777777" w:rsidR="00DC71E0" w:rsidRDefault="00DC71E0" w:rsidP="00DE1F9D">
      <w:pPr>
        <w:spacing w:line="480" w:lineRule="auto"/>
        <w:jc w:val="both"/>
        <w:rPr>
          <w:rFonts w:ascii="Times New Roman" w:hAnsi="Times New Roman" w:cs="Times New Roman"/>
          <w:sz w:val="24"/>
          <w:szCs w:val="24"/>
        </w:rPr>
      </w:pPr>
    </w:p>
    <w:p w14:paraId="382A424C" w14:textId="7BE2DD5F" w:rsidR="00F14A88" w:rsidRPr="00DE1F9D" w:rsidRDefault="00F14A88" w:rsidP="00DE1F9D">
      <w:pPr>
        <w:spacing w:line="480" w:lineRule="auto"/>
        <w:jc w:val="both"/>
        <w:rPr>
          <w:rFonts w:ascii="Times New Roman" w:hAnsi="Times New Roman" w:cs="Times New Roman"/>
          <w:b/>
          <w:bCs/>
          <w:sz w:val="24"/>
          <w:szCs w:val="24"/>
        </w:rPr>
      </w:pPr>
      <w:r w:rsidRPr="00DE1F9D">
        <w:rPr>
          <w:rFonts w:ascii="Times New Roman" w:hAnsi="Times New Roman" w:cs="Times New Roman"/>
          <w:b/>
          <w:bCs/>
          <w:sz w:val="24"/>
          <w:szCs w:val="24"/>
        </w:rPr>
        <w:t xml:space="preserve">Abstract </w:t>
      </w:r>
    </w:p>
    <w:p w14:paraId="374AA20F" w14:textId="68543B48" w:rsidR="00C37780" w:rsidRPr="00DE1F9D" w:rsidRDefault="00AD5450" w:rsidP="00962353">
      <w:pPr>
        <w:spacing w:after="0" w:line="480" w:lineRule="auto"/>
        <w:jc w:val="both"/>
        <w:rPr>
          <w:rFonts w:ascii="Times New Roman" w:hAnsi="Times New Roman" w:cs="Times New Roman"/>
          <w:sz w:val="24"/>
          <w:szCs w:val="24"/>
        </w:rPr>
      </w:pPr>
      <w:r w:rsidRPr="00DE1F9D">
        <w:rPr>
          <w:rFonts w:ascii="Times New Roman" w:hAnsi="Times New Roman" w:cs="Times New Roman"/>
          <w:sz w:val="24"/>
          <w:szCs w:val="24"/>
        </w:rPr>
        <w:t xml:space="preserve">Salinity is a major abiotic stress limiting soybean productivity, </w:t>
      </w:r>
      <w:proofErr w:type="spellStart"/>
      <w:r w:rsidRPr="00DE1F9D">
        <w:rPr>
          <w:rFonts w:ascii="Times New Roman" w:hAnsi="Times New Roman" w:cs="Times New Roman"/>
          <w:sz w:val="24"/>
          <w:szCs w:val="24"/>
        </w:rPr>
        <w:t>particulary</w:t>
      </w:r>
      <w:proofErr w:type="spellEnd"/>
      <w:r w:rsidRPr="00DE1F9D">
        <w:rPr>
          <w:rFonts w:ascii="Times New Roman" w:hAnsi="Times New Roman" w:cs="Times New Roman"/>
          <w:sz w:val="24"/>
          <w:szCs w:val="24"/>
        </w:rPr>
        <w:t xml:space="preserve"> in salt-affected regions. </w:t>
      </w:r>
      <w:r w:rsidR="00840891" w:rsidRPr="00DE1F9D">
        <w:rPr>
          <w:rFonts w:ascii="Times New Roman" w:hAnsi="Times New Roman" w:cs="Times New Roman"/>
          <w:sz w:val="24"/>
          <w:szCs w:val="24"/>
        </w:rPr>
        <w:t xml:space="preserve">A pot experiment was conducted in </w:t>
      </w:r>
      <w:proofErr w:type="spellStart"/>
      <w:r w:rsidR="00840891" w:rsidRPr="00DE1F9D">
        <w:rPr>
          <w:rFonts w:ascii="Times New Roman" w:hAnsi="Times New Roman" w:cs="Times New Roman"/>
          <w:sz w:val="24"/>
          <w:szCs w:val="24"/>
        </w:rPr>
        <w:t>Okpoma</w:t>
      </w:r>
      <w:proofErr w:type="spellEnd"/>
      <w:r w:rsidR="00840891" w:rsidRPr="00DE1F9D">
        <w:rPr>
          <w:rFonts w:ascii="Times New Roman" w:hAnsi="Times New Roman" w:cs="Times New Roman"/>
          <w:sz w:val="24"/>
          <w:szCs w:val="24"/>
        </w:rPr>
        <w:t xml:space="preserve">, </w:t>
      </w:r>
      <w:proofErr w:type="spellStart"/>
      <w:r w:rsidR="00840891" w:rsidRPr="00DE1F9D">
        <w:rPr>
          <w:rFonts w:ascii="Times New Roman" w:hAnsi="Times New Roman" w:cs="Times New Roman"/>
          <w:sz w:val="24"/>
          <w:szCs w:val="24"/>
        </w:rPr>
        <w:t>Yala</w:t>
      </w:r>
      <w:proofErr w:type="spellEnd"/>
      <w:r w:rsidR="00840891" w:rsidRPr="00DE1F9D">
        <w:rPr>
          <w:rFonts w:ascii="Times New Roman" w:hAnsi="Times New Roman" w:cs="Times New Roman"/>
          <w:sz w:val="24"/>
          <w:szCs w:val="24"/>
        </w:rPr>
        <w:t xml:space="preserve"> Local Government Area of Cross River State, to </w:t>
      </w:r>
      <w:r w:rsidR="00B7371E" w:rsidRPr="00DE1F9D">
        <w:rPr>
          <w:rFonts w:ascii="Times New Roman" w:hAnsi="Times New Roman" w:cs="Times New Roman"/>
          <w:sz w:val="24"/>
          <w:szCs w:val="24"/>
        </w:rPr>
        <w:t xml:space="preserve">compare </w:t>
      </w:r>
      <w:r w:rsidRPr="00DE1F9D">
        <w:rPr>
          <w:rFonts w:ascii="Times New Roman" w:hAnsi="Times New Roman" w:cs="Times New Roman"/>
          <w:sz w:val="24"/>
          <w:szCs w:val="24"/>
        </w:rPr>
        <w:t xml:space="preserve">the impact of increasing salinity levels (0, 4, 6 and </w:t>
      </w:r>
      <w:r w:rsidRPr="00F02B1B">
        <w:rPr>
          <w:rFonts w:ascii="Times New Roman" w:hAnsi="Times New Roman" w:cs="Times New Roman"/>
          <w:sz w:val="24"/>
          <w:szCs w:val="24"/>
          <w:highlight w:val="yellow"/>
        </w:rPr>
        <w:t xml:space="preserve">8 </w:t>
      </w:r>
      <w:proofErr w:type="spellStart"/>
      <w:r w:rsidRPr="00F02B1B">
        <w:rPr>
          <w:rFonts w:ascii="Times New Roman" w:hAnsi="Times New Roman" w:cs="Times New Roman"/>
          <w:sz w:val="24"/>
          <w:szCs w:val="24"/>
          <w:highlight w:val="yellow"/>
        </w:rPr>
        <w:t>dS</w:t>
      </w:r>
      <w:proofErr w:type="spellEnd"/>
      <w:r w:rsidRPr="00F02B1B">
        <w:rPr>
          <w:rFonts w:ascii="Times New Roman" w:hAnsi="Times New Roman" w:cs="Times New Roman"/>
          <w:sz w:val="24"/>
          <w:szCs w:val="24"/>
          <w:highlight w:val="yellow"/>
        </w:rPr>
        <w:t>/</w:t>
      </w:r>
      <w:r w:rsidRPr="00F02B1B">
        <w:rPr>
          <w:rFonts w:ascii="Times New Roman" w:hAnsi="Times New Roman" w:cs="Times New Roman"/>
          <w:sz w:val="24"/>
          <w:szCs w:val="24"/>
          <w:highlight w:val="yellow"/>
          <w:vertAlign w:val="superscript"/>
        </w:rPr>
        <w:t>m</w:t>
      </w:r>
      <w:r w:rsidR="003F1FBA" w:rsidRPr="00F02B1B">
        <w:rPr>
          <w:rFonts w:ascii="Times New Roman" w:hAnsi="Times New Roman" w:cs="Times New Roman"/>
          <w:sz w:val="24"/>
          <w:szCs w:val="24"/>
          <w:highlight w:val="yellow"/>
          <w:vertAlign w:val="superscript"/>
        </w:rPr>
        <w:t>-1</w:t>
      </w:r>
      <w:r w:rsidR="003F1FBA" w:rsidRPr="00DE1F9D">
        <w:rPr>
          <w:rFonts w:ascii="Times New Roman" w:hAnsi="Times New Roman" w:cs="Times New Roman"/>
          <w:sz w:val="24"/>
          <w:szCs w:val="24"/>
        </w:rPr>
        <w:t>)</w:t>
      </w:r>
      <w:r w:rsidRPr="00DE1F9D">
        <w:rPr>
          <w:rFonts w:ascii="Times New Roman" w:hAnsi="Times New Roman" w:cs="Times New Roman"/>
          <w:sz w:val="24"/>
          <w:szCs w:val="24"/>
        </w:rPr>
        <w:t xml:space="preserve"> on </w:t>
      </w:r>
      <w:r w:rsidR="00B7371E" w:rsidRPr="00DE1F9D">
        <w:rPr>
          <w:rFonts w:ascii="Times New Roman" w:hAnsi="Times New Roman" w:cs="Times New Roman"/>
          <w:sz w:val="24"/>
          <w:szCs w:val="24"/>
        </w:rPr>
        <w:t xml:space="preserve">chlorophyll concentration of different varieties </w:t>
      </w:r>
      <w:r w:rsidR="00840891" w:rsidRPr="00DE1F9D">
        <w:rPr>
          <w:rFonts w:ascii="Times New Roman" w:hAnsi="Times New Roman" w:cs="Times New Roman"/>
          <w:sz w:val="24"/>
          <w:szCs w:val="24"/>
        </w:rPr>
        <w:t>of soybeans cultivated in salt mining site</w:t>
      </w:r>
      <w:r w:rsidRPr="00DE1F9D">
        <w:rPr>
          <w:rFonts w:ascii="Times New Roman" w:hAnsi="Times New Roman" w:cs="Times New Roman"/>
          <w:sz w:val="24"/>
          <w:szCs w:val="24"/>
        </w:rPr>
        <w:t xml:space="preserve"> over a</w:t>
      </w:r>
      <w:r w:rsidR="00196E59">
        <w:rPr>
          <w:rFonts w:ascii="Times New Roman" w:hAnsi="Times New Roman" w:cs="Times New Roman"/>
          <w:sz w:val="24"/>
          <w:szCs w:val="24"/>
        </w:rPr>
        <w:t>t</w:t>
      </w:r>
      <w:r w:rsidRPr="00DE1F9D">
        <w:rPr>
          <w:rFonts w:ascii="Times New Roman" w:hAnsi="Times New Roman" w:cs="Times New Roman"/>
          <w:sz w:val="24"/>
          <w:szCs w:val="24"/>
        </w:rPr>
        <w:t xml:space="preserve"> </w:t>
      </w:r>
      <w:r w:rsidR="00C218D9" w:rsidRPr="00DE1F9D">
        <w:rPr>
          <w:rFonts w:ascii="Times New Roman" w:hAnsi="Times New Roman" w:cs="Times New Roman"/>
          <w:sz w:val="24"/>
          <w:szCs w:val="24"/>
        </w:rPr>
        <w:t>12-week</w:t>
      </w:r>
      <w:r w:rsidRPr="00DE1F9D">
        <w:rPr>
          <w:rFonts w:ascii="Times New Roman" w:hAnsi="Times New Roman" w:cs="Times New Roman"/>
          <w:sz w:val="24"/>
          <w:szCs w:val="24"/>
        </w:rPr>
        <w:t xml:space="preserve"> period.</w:t>
      </w:r>
      <w:r w:rsidR="00840891" w:rsidRPr="00DE1F9D">
        <w:rPr>
          <w:rFonts w:ascii="Times New Roman" w:hAnsi="Times New Roman" w:cs="Times New Roman"/>
          <w:sz w:val="24"/>
          <w:szCs w:val="24"/>
        </w:rPr>
        <w:t xml:space="preserve"> The experiment was laid in a Completely Randomized Design (CRD), with three replicates for each variety. Data collected was subjected to statistical analysis using Analysis of Variance (ANOVA) and means were compared using Duncan’s New Multiple Range Test (DNMRT). The result</w:t>
      </w:r>
      <w:r w:rsidR="009D2CE3" w:rsidRPr="00DE1F9D">
        <w:rPr>
          <w:rFonts w:ascii="Times New Roman" w:hAnsi="Times New Roman" w:cs="Times New Roman"/>
          <w:sz w:val="24"/>
          <w:szCs w:val="24"/>
        </w:rPr>
        <w:t xml:space="preserve">s revealed a significant decline in chlorophyll content with rising salinity, with sensitive varieties </w:t>
      </w:r>
      <w:r w:rsidR="001A3266" w:rsidRPr="00DE1F9D">
        <w:rPr>
          <w:rFonts w:ascii="Times New Roman" w:hAnsi="Times New Roman" w:cs="Times New Roman"/>
          <w:sz w:val="24"/>
          <w:szCs w:val="24"/>
        </w:rPr>
        <w:t>such as TGX 1904-6F and TGX 1905-2F showing early and severe pigment degradation. In contrast, salt-tolerant varieties like TGX 1987-10F</w:t>
      </w:r>
      <w:r w:rsidR="00AB4CF6" w:rsidRPr="00DE1F9D">
        <w:rPr>
          <w:rFonts w:ascii="Times New Roman" w:hAnsi="Times New Roman" w:cs="Times New Roman"/>
          <w:sz w:val="24"/>
          <w:szCs w:val="24"/>
        </w:rPr>
        <w:t xml:space="preserve"> and TGX 1448-2E retained higher chlorophyll levels, suggesting presence of adaptive physiological mechanisms</w:t>
      </w:r>
      <w:r w:rsidR="00092C2E" w:rsidRPr="00DE1F9D">
        <w:rPr>
          <w:rFonts w:ascii="Times New Roman" w:hAnsi="Times New Roman" w:cs="Times New Roman"/>
          <w:sz w:val="24"/>
          <w:szCs w:val="24"/>
        </w:rPr>
        <w:t xml:space="preserve"> including osmotic adjustment, ion homeostasis, and antioxidant </w:t>
      </w:r>
      <w:proofErr w:type="spellStart"/>
      <w:r w:rsidR="00092C2E" w:rsidRPr="00DE1F9D">
        <w:rPr>
          <w:rFonts w:ascii="Times New Roman" w:hAnsi="Times New Roman" w:cs="Times New Roman"/>
          <w:sz w:val="24"/>
          <w:szCs w:val="24"/>
        </w:rPr>
        <w:t>defense</w:t>
      </w:r>
      <w:proofErr w:type="spellEnd"/>
      <w:r w:rsidR="00092C2E" w:rsidRPr="00DE1F9D">
        <w:rPr>
          <w:rFonts w:ascii="Times New Roman" w:hAnsi="Times New Roman" w:cs="Times New Roman"/>
          <w:sz w:val="24"/>
          <w:szCs w:val="24"/>
        </w:rPr>
        <w:t>.</w:t>
      </w:r>
      <w:r w:rsidR="00853B1A" w:rsidRPr="00DE1F9D">
        <w:rPr>
          <w:rFonts w:ascii="Times New Roman" w:hAnsi="Times New Roman" w:cs="Times New Roman"/>
          <w:sz w:val="24"/>
          <w:szCs w:val="24"/>
        </w:rPr>
        <w:t xml:space="preserve"> </w:t>
      </w:r>
      <w:r w:rsidR="000B749D" w:rsidRPr="00DE1F9D">
        <w:rPr>
          <w:rFonts w:ascii="Times New Roman" w:hAnsi="Times New Roman" w:cs="Times New Roman"/>
          <w:sz w:val="24"/>
          <w:szCs w:val="24"/>
        </w:rPr>
        <w:t>Th</w:t>
      </w:r>
      <w:r w:rsidR="00853B1A" w:rsidRPr="00DE1F9D">
        <w:rPr>
          <w:rFonts w:ascii="Times New Roman" w:hAnsi="Times New Roman" w:cs="Times New Roman"/>
          <w:sz w:val="24"/>
          <w:szCs w:val="24"/>
        </w:rPr>
        <w:t>e</w:t>
      </w:r>
      <w:r w:rsidR="000B749D" w:rsidRPr="00DE1F9D">
        <w:rPr>
          <w:rFonts w:ascii="Times New Roman" w:hAnsi="Times New Roman" w:cs="Times New Roman"/>
          <w:sz w:val="24"/>
          <w:szCs w:val="24"/>
        </w:rPr>
        <w:t xml:space="preserve">se </w:t>
      </w:r>
      <w:r w:rsidR="00853B1A" w:rsidRPr="00DE1F9D">
        <w:rPr>
          <w:rFonts w:ascii="Times New Roman" w:hAnsi="Times New Roman" w:cs="Times New Roman"/>
          <w:sz w:val="24"/>
          <w:szCs w:val="24"/>
        </w:rPr>
        <w:t xml:space="preserve">findings </w:t>
      </w:r>
      <w:r w:rsidR="00C92AA1" w:rsidRPr="00DE1F9D">
        <w:rPr>
          <w:rFonts w:ascii="Times New Roman" w:hAnsi="Times New Roman" w:cs="Times New Roman"/>
          <w:sz w:val="24"/>
          <w:szCs w:val="24"/>
        </w:rPr>
        <w:t xml:space="preserve">highlight chlorophyll content as a reliable physiological indicator for salt stress tolerance and support its inclusion in breeding programs aimed at improving soybean resilience in saline </w:t>
      </w:r>
      <w:r w:rsidR="00782481" w:rsidRPr="00DE1F9D">
        <w:rPr>
          <w:rFonts w:ascii="Times New Roman" w:hAnsi="Times New Roman" w:cs="Times New Roman"/>
          <w:sz w:val="24"/>
          <w:szCs w:val="24"/>
        </w:rPr>
        <w:t>environments</w:t>
      </w:r>
      <w:r w:rsidR="00332365" w:rsidRPr="00DE1F9D">
        <w:rPr>
          <w:rFonts w:ascii="Times New Roman" w:hAnsi="Times New Roman" w:cs="Times New Roman"/>
          <w:sz w:val="24"/>
          <w:szCs w:val="24"/>
        </w:rPr>
        <w:t>.</w:t>
      </w:r>
    </w:p>
    <w:p w14:paraId="0C0A8BC0" w14:textId="4BD407EA" w:rsidR="00C37780" w:rsidRPr="00B854C6" w:rsidRDefault="0069292F" w:rsidP="00962353">
      <w:pPr>
        <w:spacing w:after="0" w:line="480" w:lineRule="auto"/>
        <w:jc w:val="both"/>
        <w:rPr>
          <w:rFonts w:ascii="Times New Roman" w:hAnsi="Times New Roman" w:cs="Times New Roman"/>
          <w:b/>
          <w:bCs/>
          <w:sz w:val="24"/>
          <w:szCs w:val="24"/>
        </w:rPr>
      </w:pPr>
      <w:r w:rsidRPr="00DE1F9D">
        <w:rPr>
          <w:rFonts w:ascii="Times New Roman" w:hAnsi="Times New Roman" w:cs="Times New Roman"/>
          <w:b/>
          <w:bCs/>
          <w:sz w:val="24"/>
          <w:szCs w:val="24"/>
        </w:rPr>
        <w:t>Keywords: Soybeans, Concentration, Chlorophyll, Varieties.</w:t>
      </w:r>
    </w:p>
    <w:p w14:paraId="470F2AD9" w14:textId="240B9161" w:rsidR="00535B60" w:rsidRPr="00DE1F9D" w:rsidRDefault="00535B60" w:rsidP="00DE1F9D">
      <w:pPr>
        <w:spacing w:line="480" w:lineRule="auto"/>
        <w:jc w:val="both"/>
        <w:rPr>
          <w:rFonts w:ascii="Times New Roman" w:hAnsi="Times New Roman" w:cs="Times New Roman"/>
          <w:sz w:val="24"/>
          <w:szCs w:val="24"/>
        </w:rPr>
      </w:pPr>
      <w:r w:rsidRPr="00DE1F9D">
        <w:rPr>
          <w:rFonts w:ascii="Times New Roman" w:hAnsi="Times New Roman" w:cs="Times New Roman"/>
          <w:sz w:val="24"/>
          <w:szCs w:val="24"/>
        </w:rPr>
        <w:t xml:space="preserve">  </w:t>
      </w:r>
      <w:r w:rsidR="00750A0C" w:rsidRPr="00DE1F9D">
        <w:rPr>
          <w:rFonts w:ascii="Times New Roman" w:hAnsi="Times New Roman" w:cs="Times New Roman"/>
          <w:sz w:val="24"/>
          <w:szCs w:val="24"/>
        </w:rPr>
        <w:t xml:space="preserve"> 1.0 </w:t>
      </w:r>
      <w:r w:rsidRPr="00DE1F9D">
        <w:rPr>
          <w:rFonts w:ascii="Times New Roman" w:hAnsi="Times New Roman" w:cs="Times New Roman"/>
          <w:b/>
          <w:bCs/>
          <w:sz w:val="24"/>
          <w:szCs w:val="24"/>
        </w:rPr>
        <w:t>Introduction</w:t>
      </w:r>
      <w:r w:rsidRPr="00DE1F9D">
        <w:rPr>
          <w:rFonts w:ascii="Times New Roman" w:hAnsi="Times New Roman" w:cs="Times New Roman"/>
          <w:sz w:val="24"/>
          <w:szCs w:val="24"/>
        </w:rPr>
        <w:t xml:space="preserve"> </w:t>
      </w:r>
    </w:p>
    <w:p w14:paraId="2BEB985B" w14:textId="082C8A7E" w:rsidR="00535B60" w:rsidRPr="00DE1F9D" w:rsidRDefault="00535B60" w:rsidP="00DE1F9D">
      <w:pPr>
        <w:spacing w:line="480" w:lineRule="auto"/>
        <w:jc w:val="both"/>
        <w:rPr>
          <w:rFonts w:ascii="Times New Roman" w:hAnsi="Times New Roman" w:cs="Times New Roman"/>
          <w:sz w:val="24"/>
          <w:szCs w:val="24"/>
        </w:rPr>
      </w:pPr>
      <w:r w:rsidRPr="00DE1F9D">
        <w:rPr>
          <w:rFonts w:ascii="Times New Roman" w:hAnsi="Times New Roman" w:cs="Times New Roman"/>
          <w:sz w:val="24"/>
          <w:szCs w:val="24"/>
        </w:rPr>
        <w:lastRenderedPageBreak/>
        <w:t>Soybeans (</w:t>
      </w:r>
      <w:r w:rsidRPr="00DE1F9D">
        <w:rPr>
          <w:rFonts w:ascii="Times New Roman" w:hAnsi="Times New Roman" w:cs="Times New Roman"/>
          <w:i/>
          <w:iCs/>
          <w:sz w:val="24"/>
          <w:szCs w:val="24"/>
        </w:rPr>
        <w:t>Glycine max</w:t>
      </w:r>
      <w:r w:rsidRPr="00DE1F9D">
        <w:rPr>
          <w:rFonts w:ascii="Times New Roman" w:hAnsi="Times New Roman" w:cs="Times New Roman"/>
          <w:sz w:val="24"/>
          <w:szCs w:val="24"/>
        </w:rPr>
        <w:t xml:space="preserve"> L.)  is a vital leguminous crop globally recognized for its rich protein and oil content, contributing significantly to food security and economic development (Lia</w:t>
      </w:r>
      <w:r w:rsidRPr="00DE1F9D">
        <w:rPr>
          <w:rFonts w:ascii="Times New Roman" w:hAnsi="Times New Roman" w:cs="Times New Roman"/>
          <w:i/>
          <w:iCs/>
          <w:sz w:val="24"/>
          <w:szCs w:val="24"/>
        </w:rPr>
        <w:t xml:space="preserve"> et al</w:t>
      </w:r>
      <w:r w:rsidRPr="00DE1F9D">
        <w:rPr>
          <w:rFonts w:ascii="Times New Roman" w:hAnsi="Times New Roman" w:cs="Times New Roman"/>
          <w:sz w:val="24"/>
          <w:szCs w:val="24"/>
        </w:rPr>
        <w:t>., 2018). As a leguminous crop, soybeans are also valued for their nitrogen fixing ability, which improves soil fertility and reduces the need for synthetic fertilizers (</w:t>
      </w:r>
      <w:r w:rsidR="005634D5" w:rsidRPr="005634D5">
        <w:rPr>
          <w:rFonts w:ascii="Times New Roman" w:hAnsi="Times New Roman" w:cs="Times New Roman"/>
          <w:sz w:val="24"/>
          <w:szCs w:val="24"/>
          <w:highlight w:val="yellow"/>
        </w:rPr>
        <w:t>McNeil</w:t>
      </w:r>
      <w:r w:rsidRPr="005634D5">
        <w:rPr>
          <w:rFonts w:ascii="Times New Roman" w:hAnsi="Times New Roman" w:cs="Times New Roman"/>
          <w:sz w:val="24"/>
          <w:szCs w:val="24"/>
          <w:highlight w:val="yellow"/>
        </w:rPr>
        <w:t>, 201</w:t>
      </w:r>
      <w:r w:rsidR="005634D5" w:rsidRPr="005634D5">
        <w:rPr>
          <w:rFonts w:ascii="Times New Roman" w:hAnsi="Times New Roman" w:cs="Times New Roman"/>
          <w:sz w:val="24"/>
          <w:szCs w:val="24"/>
          <w:highlight w:val="yellow"/>
        </w:rPr>
        <w:t>0</w:t>
      </w:r>
      <w:r w:rsidRPr="00DE1F9D">
        <w:rPr>
          <w:rFonts w:ascii="Times New Roman" w:hAnsi="Times New Roman" w:cs="Times New Roman"/>
          <w:sz w:val="24"/>
          <w:szCs w:val="24"/>
        </w:rPr>
        <w:t xml:space="preserve">). However, soybean cultivation faces numerous abiotic stresses, among which soil salinity is a prominent limiting factor affecting crop growth, yield and quality (Munns </w:t>
      </w:r>
      <w:r w:rsidR="004D31A3" w:rsidRPr="00DE1F9D">
        <w:rPr>
          <w:rFonts w:ascii="Times New Roman" w:hAnsi="Times New Roman" w:cs="Times New Roman"/>
          <w:sz w:val="24"/>
          <w:szCs w:val="24"/>
        </w:rPr>
        <w:t>&amp;</w:t>
      </w:r>
      <w:r w:rsidRPr="00DE1F9D">
        <w:rPr>
          <w:rFonts w:ascii="Times New Roman" w:hAnsi="Times New Roman" w:cs="Times New Roman"/>
          <w:sz w:val="24"/>
          <w:szCs w:val="24"/>
        </w:rPr>
        <w:t xml:space="preserve"> Tester, 2008).</w:t>
      </w:r>
    </w:p>
    <w:p w14:paraId="0840A684" w14:textId="7AA37DF5" w:rsidR="00535B60" w:rsidRPr="00DE1F9D" w:rsidRDefault="00535B60" w:rsidP="00DE1F9D">
      <w:pPr>
        <w:spacing w:line="480" w:lineRule="auto"/>
        <w:jc w:val="both"/>
        <w:rPr>
          <w:rFonts w:ascii="Times New Roman" w:hAnsi="Times New Roman" w:cs="Times New Roman"/>
          <w:sz w:val="24"/>
          <w:szCs w:val="24"/>
        </w:rPr>
      </w:pPr>
      <w:r w:rsidRPr="00DE1F9D">
        <w:rPr>
          <w:rFonts w:ascii="Times New Roman" w:hAnsi="Times New Roman" w:cs="Times New Roman"/>
          <w:sz w:val="24"/>
          <w:szCs w:val="24"/>
        </w:rPr>
        <w:t xml:space="preserve">Soil salinity is a growing concern worldwide, especially in arid and semi-arid regions, due to natural processes and human activities such as mining, irrigation practices, and degradation (Shahid </w:t>
      </w:r>
      <w:r w:rsidRPr="00DE1F9D">
        <w:rPr>
          <w:rFonts w:ascii="Times New Roman" w:hAnsi="Times New Roman" w:cs="Times New Roman"/>
          <w:i/>
          <w:iCs/>
          <w:sz w:val="24"/>
          <w:szCs w:val="24"/>
        </w:rPr>
        <w:t>et al</w:t>
      </w:r>
      <w:r w:rsidRPr="00DE1F9D">
        <w:rPr>
          <w:rFonts w:ascii="Times New Roman" w:hAnsi="Times New Roman" w:cs="Times New Roman"/>
          <w:sz w:val="24"/>
          <w:szCs w:val="24"/>
        </w:rPr>
        <w:t xml:space="preserve">., 2019). Salt-affected soils impose osmotic stress, ion toxicity, and nutritional imbalances on plants, leading to reduced photosynthetic efficiency and chlorophyll degradation (Parida </w:t>
      </w:r>
      <w:r w:rsidR="008407C0" w:rsidRPr="00DE1F9D">
        <w:rPr>
          <w:rFonts w:ascii="Times New Roman" w:hAnsi="Times New Roman" w:cs="Times New Roman"/>
          <w:sz w:val="24"/>
          <w:szCs w:val="24"/>
        </w:rPr>
        <w:t>&amp;</w:t>
      </w:r>
      <w:r w:rsidRPr="00DE1F9D">
        <w:rPr>
          <w:rFonts w:ascii="Times New Roman" w:hAnsi="Times New Roman" w:cs="Times New Roman"/>
          <w:sz w:val="24"/>
          <w:szCs w:val="24"/>
        </w:rPr>
        <w:t xml:space="preserve"> Das, 2005). Chlorophyll content serves as a reliable indicator of plant health and photosynthetic capacity under salinity </w:t>
      </w:r>
      <w:r w:rsidRPr="00087D05">
        <w:rPr>
          <w:rFonts w:ascii="Times New Roman" w:hAnsi="Times New Roman" w:cs="Times New Roman"/>
          <w:b/>
          <w:bCs/>
          <w:sz w:val="24"/>
          <w:szCs w:val="24"/>
        </w:rPr>
        <w:t>stress</w:t>
      </w:r>
      <w:r w:rsidRPr="00AB111B">
        <w:rPr>
          <w:rFonts w:ascii="Times New Roman" w:hAnsi="Times New Roman" w:cs="Times New Roman"/>
          <w:sz w:val="24"/>
          <w:szCs w:val="24"/>
          <w:highlight w:val="yellow"/>
        </w:rPr>
        <w:t>.</w:t>
      </w:r>
      <w:r w:rsidR="00087D05">
        <w:rPr>
          <w:rFonts w:ascii="Times New Roman" w:hAnsi="Times New Roman" w:cs="Times New Roman"/>
          <w:sz w:val="24"/>
          <w:szCs w:val="24"/>
        </w:rPr>
        <w:t xml:space="preserve"> </w:t>
      </w:r>
    </w:p>
    <w:p w14:paraId="3340C60F" w14:textId="77777777" w:rsidR="00535B60" w:rsidRPr="00DE1F9D" w:rsidRDefault="00535B60" w:rsidP="00DE1F9D">
      <w:pPr>
        <w:spacing w:line="480" w:lineRule="auto"/>
        <w:jc w:val="both"/>
        <w:rPr>
          <w:rFonts w:ascii="Times New Roman" w:hAnsi="Times New Roman" w:cs="Times New Roman"/>
          <w:sz w:val="24"/>
          <w:szCs w:val="24"/>
        </w:rPr>
      </w:pPr>
      <w:r w:rsidRPr="00DE1F9D">
        <w:rPr>
          <w:rFonts w:ascii="Times New Roman" w:hAnsi="Times New Roman" w:cs="Times New Roman"/>
          <w:sz w:val="24"/>
          <w:szCs w:val="24"/>
        </w:rPr>
        <w:t xml:space="preserve">Understanding the response of different soybean varieties to salinity, </w:t>
      </w:r>
      <w:r w:rsidRPr="00DE1F9D">
        <w:rPr>
          <w:rFonts w:ascii="Times New Roman" w:hAnsi="Times New Roman" w:cs="Times New Roman"/>
          <w:sz w:val="24"/>
          <w:szCs w:val="24"/>
          <w:highlight w:val="yellow"/>
        </w:rPr>
        <w:t>particularly</w:t>
      </w:r>
      <w:r w:rsidRPr="00DE1F9D">
        <w:rPr>
          <w:rFonts w:ascii="Times New Roman" w:hAnsi="Times New Roman" w:cs="Times New Roman"/>
          <w:sz w:val="24"/>
          <w:szCs w:val="24"/>
        </w:rPr>
        <w:t xml:space="preserve"> in terms of chlorophyll concentration, can inform breeding programs and management strategies aimed at enhancing salt tolerance. </w:t>
      </w:r>
    </w:p>
    <w:p w14:paraId="56FAF874" w14:textId="77777777" w:rsidR="00535B60" w:rsidRPr="00DE1F9D" w:rsidRDefault="00535B60" w:rsidP="00DE1F9D">
      <w:pPr>
        <w:spacing w:line="480" w:lineRule="auto"/>
        <w:jc w:val="both"/>
        <w:rPr>
          <w:rFonts w:ascii="Times New Roman" w:hAnsi="Times New Roman" w:cs="Times New Roman"/>
          <w:sz w:val="24"/>
          <w:szCs w:val="24"/>
        </w:rPr>
      </w:pPr>
      <w:r w:rsidRPr="00DE1F9D">
        <w:rPr>
          <w:rFonts w:ascii="Times New Roman" w:hAnsi="Times New Roman" w:cs="Times New Roman"/>
          <w:sz w:val="24"/>
          <w:szCs w:val="24"/>
        </w:rPr>
        <w:t>Yala Local Government Area in Cross River State, Nigeria, hosts salt mining activities that contribute to soil salinization in the region (</w:t>
      </w:r>
      <w:proofErr w:type="spellStart"/>
      <w:r w:rsidRPr="00DE1F9D">
        <w:rPr>
          <w:rFonts w:ascii="Times New Roman" w:hAnsi="Times New Roman" w:cs="Times New Roman"/>
          <w:sz w:val="24"/>
          <w:szCs w:val="24"/>
        </w:rPr>
        <w:t>Nsowu</w:t>
      </w:r>
      <w:proofErr w:type="spellEnd"/>
      <w:r w:rsidRPr="00DE1F9D">
        <w:rPr>
          <w:rFonts w:ascii="Times New Roman" w:hAnsi="Times New Roman" w:cs="Times New Roman"/>
          <w:sz w:val="24"/>
          <w:szCs w:val="24"/>
        </w:rPr>
        <w:t xml:space="preserve"> </w:t>
      </w:r>
      <w:r w:rsidRPr="00DE1F9D">
        <w:rPr>
          <w:rFonts w:ascii="Times New Roman" w:hAnsi="Times New Roman" w:cs="Times New Roman"/>
          <w:i/>
          <w:iCs/>
          <w:sz w:val="24"/>
          <w:szCs w:val="24"/>
        </w:rPr>
        <w:t>et al</w:t>
      </w:r>
      <w:r w:rsidRPr="00DE1F9D">
        <w:rPr>
          <w:rFonts w:ascii="Times New Roman" w:hAnsi="Times New Roman" w:cs="Times New Roman"/>
          <w:sz w:val="24"/>
          <w:szCs w:val="24"/>
        </w:rPr>
        <w:t>., 2020). Despite the economic importance of soybeans and the increasing salinity challenges, limited research has been conducted on the comparative effects of soil on different soybean varieties in this locale.</w:t>
      </w:r>
    </w:p>
    <w:p w14:paraId="086E24A6" w14:textId="77777777" w:rsidR="001C49ED" w:rsidRPr="00DE1F9D" w:rsidRDefault="00535B60" w:rsidP="00DE1F9D">
      <w:pPr>
        <w:spacing w:line="480" w:lineRule="auto"/>
        <w:jc w:val="both"/>
        <w:rPr>
          <w:rFonts w:ascii="Times New Roman" w:hAnsi="Times New Roman" w:cs="Times New Roman"/>
          <w:sz w:val="24"/>
          <w:szCs w:val="24"/>
        </w:rPr>
      </w:pPr>
      <w:r w:rsidRPr="00DE1F9D">
        <w:rPr>
          <w:rFonts w:ascii="Times New Roman" w:hAnsi="Times New Roman" w:cs="Times New Roman"/>
          <w:sz w:val="24"/>
          <w:szCs w:val="24"/>
        </w:rPr>
        <w:t>Investigating how varying levels of salinity influence chlorophyll concentration across different soybean varieties can shed light on their relative tolerance and potential for cultivation in salt-affected soils.</w:t>
      </w:r>
    </w:p>
    <w:p w14:paraId="13009E56" w14:textId="2C0BE189" w:rsidR="008D1BF8" w:rsidRPr="00DE1F9D" w:rsidRDefault="00535B60" w:rsidP="00DE1F9D">
      <w:pPr>
        <w:spacing w:line="480" w:lineRule="auto"/>
        <w:jc w:val="both"/>
        <w:rPr>
          <w:rFonts w:ascii="Times New Roman" w:hAnsi="Times New Roman" w:cs="Times New Roman"/>
          <w:sz w:val="24"/>
          <w:szCs w:val="24"/>
        </w:rPr>
      </w:pPr>
      <w:r w:rsidRPr="00DE1F9D">
        <w:rPr>
          <w:rFonts w:ascii="Times New Roman" w:hAnsi="Times New Roman" w:cs="Times New Roman"/>
          <w:sz w:val="24"/>
          <w:szCs w:val="24"/>
        </w:rPr>
        <w:t xml:space="preserve">This study aims to compare the chlorophyll concentrations of selected soybean varieties subjected to different salinity levels at salt mining site in Yala Local Government Area, Cross </w:t>
      </w:r>
      <w:r w:rsidRPr="00DE1F9D">
        <w:rPr>
          <w:rFonts w:ascii="Times New Roman" w:hAnsi="Times New Roman" w:cs="Times New Roman"/>
          <w:sz w:val="24"/>
          <w:szCs w:val="24"/>
        </w:rPr>
        <w:lastRenderedPageBreak/>
        <w:t>River State, Nigeria. The findings will contribute to understanding varietal tolerance mechanisms and support the development of salt -resilient soybean cultivars suitable for saline environments.</w:t>
      </w:r>
    </w:p>
    <w:p w14:paraId="5ED81FCE" w14:textId="5DB20F35" w:rsidR="008D1BF8" w:rsidRPr="00DE1F9D" w:rsidRDefault="008D1BF8" w:rsidP="00DE1F9D">
      <w:pPr>
        <w:spacing w:line="480" w:lineRule="auto"/>
        <w:jc w:val="both"/>
        <w:rPr>
          <w:rFonts w:ascii="Times New Roman" w:hAnsi="Times New Roman" w:cs="Times New Roman"/>
          <w:sz w:val="24"/>
          <w:szCs w:val="24"/>
        </w:rPr>
      </w:pPr>
      <w:r w:rsidRPr="00DE1F9D">
        <w:rPr>
          <w:rFonts w:ascii="Times New Roman" w:hAnsi="Times New Roman" w:cs="Times New Roman"/>
          <w:sz w:val="24"/>
          <w:szCs w:val="24"/>
          <w:highlight w:val="yellow"/>
        </w:rPr>
        <w:t xml:space="preserve">We hypothesize that salt-tolerant soybean varieties will retain higher chlorophyll concentrations </w:t>
      </w:r>
      <w:r w:rsidR="00E514E3" w:rsidRPr="00DE1F9D">
        <w:rPr>
          <w:rFonts w:ascii="Times New Roman" w:hAnsi="Times New Roman" w:cs="Times New Roman"/>
          <w:sz w:val="24"/>
          <w:szCs w:val="24"/>
          <w:highlight w:val="yellow"/>
        </w:rPr>
        <w:t>under salinity stress compared to salt-sensitive varieties</w:t>
      </w:r>
      <w:r w:rsidR="00433B10" w:rsidRPr="00DE1F9D">
        <w:rPr>
          <w:rFonts w:ascii="Times New Roman" w:hAnsi="Times New Roman" w:cs="Times New Roman"/>
          <w:sz w:val="24"/>
          <w:szCs w:val="24"/>
        </w:rPr>
        <w:t>.</w:t>
      </w:r>
    </w:p>
    <w:p w14:paraId="31BA0020" w14:textId="77777777" w:rsidR="000E1EAB" w:rsidRPr="00AD0BA3" w:rsidRDefault="000E1EAB" w:rsidP="00AD0BA3">
      <w:pPr>
        <w:spacing w:line="480" w:lineRule="auto"/>
        <w:jc w:val="both"/>
        <w:rPr>
          <w:rFonts w:ascii="Times New Roman" w:hAnsi="Times New Roman" w:cs="Times New Roman"/>
          <w:b/>
          <w:bCs/>
          <w:sz w:val="24"/>
          <w:szCs w:val="24"/>
        </w:rPr>
      </w:pPr>
      <w:r w:rsidRPr="00AD0BA3">
        <w:rPr>
          <w:rFonts w:ascii="Times New Roman" w:hAnsi="Times New Roman" w:cs="Times New Roman"/>
          <w:b/>
          <w:bCs/>
          <w:sz w:val="24"/>
          <w:szCs w:val="24"/>
        </w:rPr>
        <w:t>2.0 Materials and Method.</w:t>
      </w:r>
    </w:p>
    <w:p w14:paraId="47A3ABAF" w14:textId="03773DCB" w:rsidR="000E1EAB" w:rsidRPr="00AD0BA3" w:rsidRDefault="000E1EAB" w:rsidP="00AD0BA3">
      <w:pPr>
        <w:spacing w:line="480" w:lineRule="auto"/>
        <w:jc w:val="both"/>
        <w:rPr>
          <w:rFonts w:ascii="Times New Roman" w:hAnsi="Times New Roman" w:cs="Times New Roman"/>
          <w:b/>
          <w:sz w:val="24"/>
          <w:szCs w:val="24"/>
        </w:rPr>
      </w:pPr>
      <w:r w:rsidRPr="00AD0BA3">
        <w:rPr>
          <w:rFonts w:ascii="Times New Roman" w:hAnsi="Times New Roman" w:cs="Times New Roman"/>
          <w:b/>
          <w:sz w:val="24"/>
          <w:szCs w:val="24"/>
        </w:rPr>
        <w:t>2.1</w:t>
      </w:r>
      <w:r w:rsidR="00812F09" w:rsidRPr="00AD0BA3">
        <w:rPr>
          <w:rFonts w:ascii="Times New Roman" w:hAnsi="Times New Roman" w:cs="Times New Roman"/>
          <w:b/>
          <w:sz w:val="24"/>
          <w:szCs w:val="24"/>
        </w:rPr>
        <w:t xml:space="preserve"> </w:t>
      </w:r>
      <w:r w:rsidRPr="00AD0BA3">
        <w:rPr>
          <w:rFonts w:ascii="Times New Roman" w:hAnsi="Times New Roman" w:cs="Times New Roman"/>
          <w:b/>
          <w:sz w:val="24"/>
          <w:szCs w:val="24"/>
        </w:rPr>
        <w:t>Study Area</w:t>
      </w:r>
    </w:p>
    <w:p w14:paraId="6CFE2D2A" w14:textId="5AAFEDC0" w:rsidR="000E1EAB" w:rsidRPr="00AD0BA3" w:rsidRDefault="000E1EAB" w:rsidP="00AD0BA3">
      <w:pPr>
        <w:spacing w:line="480" w:lineRule="auto"/>
        <w:jc w:val="both"/>
        <w:rPr>
          <w:rFonts w:ascii="Times New Roman" w:hAnsi="Times New Roman" w:cs="Times New Roman"/>
          <w:sz w:val="24"/>
          <w:szCs w:val="24"/>
        </w:rPr>
      </w:pPr>
      <w:r w:rsidRPr="00AD0BA3">
        <w:rPr>
          <w:rFonts w:ascii="Times New Roman" w:hAnsi="Times New Roman" w:cs="Times New Roman"/>
          <w:sz w:val="24"/>
          <w:szCs w:val="24"/>
          <w:lang w:val="en-US"/>
        </w:rPr>
        <w:t xml:space="preserve">The study area was Yala Local Government Area of Cross River State, Nigeria. It is located in the northern part of the </w:t>
      </w:r>
      <w:proofErr w:type="gramStart"/>
      <w:r w:rsidRPr="00AD0BA3">
        <w:rPr>
          <w:rFonts w:ascii="Times New Roman" w:hAnsi="Times New Roman" w:cs="Times New Roman"/>
          <w:sz w:val="24"/>
          <w:szCs w:val="24"/>
          <w:lang w:val="en-US"/>
        </w:rPr>
        <w:t>State,</w:t>
      </w:r>
      <w:proofErr w:type="gramEnd"/>
      <w:r w:rsidRPr="00AD0BA3">
        <w:rPr>
          <w:rFonts w:ascii="Times New Roman" w:hAnsi="Times New Roman" w:cs="Times New Roman"/>
          <w:sz w:val="24"/>
          <w:szCs w:val="24"/>
          <w:lang w:val="en-US"/>
        </w:rPr>
        <w:t xml:space="preserve"> its headquarters is in </w:t>
      </w:r>
      <w:proofErr w:type="spellStart"/>
      <w:r w:rsidRPr="00AD0BA3">
        <w:rPr>
          <w:rFonts w:ascii="Times New Roman" w:hAnsi="Times New Roman" w:cs="Times New Roman"/>
          <w:sz w:val="24"/>
          <w:szCs w:val="24"/>
          <w:lang w:val="en-US"/>
        </w:rPr>
        <w:t>Okpoma</w:t>
      </w:r>
      <w:proofErr w:type="spellEnd"/>
      <w:r w:rsidRPr="00AD0BA3">
        <w:rPr>
          <w:rFonts w:ascii="Times New Roman" w:hAnsi="Times New Roman" w:cs="Times New Roman"/>
          <w:sz w:val="24"/>
          <w:szCs w:val="24"/>
          <w:lang w:val="en-US"/>
        </w:rPr>
        <w:t xml:space="preserve">.  It is between </w:t>
      </w:r>
      <w:r w:rsidRPr="00AD0BA3">
        <w:rPr>
          <w:rFonts w:ascii="Times New Roman" w:hAnsi="Times New Roman" w:cs="Times New Roman"/>
          <w:sz w:val="24"/>
          <w:szCs w:val="24"/>
        </w:rPr>
        <w:t>6</w:t>
      </w:r>
      <w:r w:rsidRPr="00AD0BA3">
        <w:rPr>
          <w:rFonts w:ascii="Times New Roman" w:hAnsi="Times New Roman" w:cs="Times New Roman"/>
          <w:sz w:val="24"/>
          <w:szCs w:val="24"/>
          <w:vertAlign w:val="superscript"/>
        </w:rPr>
        <w:t xml:space="preserve">0 </w:t>
      </w:r>
      <w:r w:rsidRPr="00AD0BA3">
        <w:rPr>
          <w:rFonts w:ascii="Times New Roman" w:hAnsi="Times New Roman" w:cs="Times New Roman"/>
          <w:sz w:val="24"/>
          <w:szCs w:val="24"/>
        </w:rPr>
        <w:t>42’ N 8</w:t>
      </w:r>
      <w:r w:rsidRPr="00AD0BA3">
        <w:rPr>
          <w:rFonts w:ascii="Times New Roman" w:hAnsi="Times New Roman" w:cs="Times New Roman"/>
          <w:sz w:val="24"/>
          <w:szCs w:val="24"/>
          <w:vertAlign w:val="superscript"/>
        </w:rPr>
        <w:t xml:space="preserve">0 </w:t>
      </w:r>
      <w:r w:rsidRPr="00AD0BA3">
        <w:rPr>
          <w:rFonts w:ascii="Times New Roman" w:hAnsi="Times New Roman" w:cs="Times New Roman"/>
          <w:sz w:val="24"/>
          <w:szCs w:val="24"/>
        </w:rPr>
        <w:t>36’</w:t>
      </w:r>
      <w:r w:rsidRPr="00AD0BA3">
        <w:rPr>
          <w:rFonts w:ascii="Times New Roman" w:hAnsi="Times New Roman" w:cs="Times New Roman"/>
          <w:sz w:val="24"/>
          <w:szCs w:val="24"/>
          <w:vertAlign w:val="superscript"/>
        </w:rPr>
        <w:t xml:space="preserve"> </w:t>
      </w:r>
      <w:r w:rsidRPr="00AD0BA3">
        <w:rPr>
          <w:rFonts w:ascii="Times New Roman" w:hAnsi="Times New Roman" w:cs="Times New Roman"/>
          <w:sz w:val="24"/>
          <w:szCs w:val="24"/>
        </w:rPr>
        <w:t>E with altitude of 144m and annual rainfall estimated between the range of 2000mm and 3000mm. It has a temperature range between 18</w:t>
      </w:r>
      <w:r w:rsidRPr="00AD0BA3">
        <w:rPr>
          <w:rFonts w:ascii="Times New Roman" w:hAnsi="Times New Roman" w:cs="Times New Roman"/>
          <w:sz w:val="24"/>
          <w:szCs w:val="24"/>
          <w:vertAlign w:val="superscript"/>
        </w:rPr>
        <w:t>0</w:t>
      </w:r>
      <w:r w:rsidRPr="00AD0BA3">
        <w:rPr>
          <w:rFonts w:ascii="Times New Roman" w:hAnsi="Times New Roman" w:cs="Times New Roman"/>
          <w:sz w:val="24"/>
          <w:szCs w:val="24"/>
          <w:highlight w:val="yellow"/>
          <w:vertAlign w:val="superscript"/>
        </w:rPr>
        <w:t>C</w:t>
      </w:r>
      <w:r w:rsidRPr="00AD0BA3">
        <w:rPr>
          <w:rFonts w:ascii="Times New Roman" w:hAnsi="Times New Roman" w:cs="Times New Roman"/>
          <w:sz w:val="24"/>
          <w:szCs w:val="24"/>
        </w:rPr>
        <w:t xml:space="preserve"> to 40</w:t>
      </w:r>
      <w:r w:rsidRPr="00AD0BA3">
        <w:rPr>
          <w:rFonts w:ascii="Times New Roman" w:hAnsi="Times New Roman" w:cs="Times New Roman"/>
          <w:sz w:val="24"/>
          <w:szCs w:val="24"/>
          <w:vertAlign w:val="superscript"/>
        </w:rPr>
        <w:t>0</w:t>
      </w:r>
      <w:r w:rsidRPr="00AD0BA3">
        <w:rPr>
          <w:rFonts w:ascii="Times New Roman" w:hAnsi="Times New Roman" w:cs="Times New Roman"/>
          <w:sz w:val="24"/>
          <w:szCs w:val="24"/>
          <w:highlight w:val="yellow"/>
          <w:vertAlign w:val="superscript"/>
        </w:rPr>
        <w:t>C</w:t>
      </w:r>
      <w:r w:rsidRPr="00AD0BA3">
        <w:rPr>
          <w:rFonts w:ascii="Times New Roman" w:hAnsi="Times New Roman" w:cs="Times New Roman"/>
          <w:sz w:val="24"/>
          <w:szCs w:val="24"/>
        </w:rPr>
        <w:t xml:space="preserve"> with optimum temperature of 29</w:t>
      </w:r>
      <w:r w:rsidRPr="00AD0BA3">
        <w:rPr>
          <w:rFonts w:ascii="Times New Roman" w:hAnsi="Times New Roman" w:cs="Times New Roman"/>
          <w:sz w:val="24"/>
          <w:szCs w:val="24"/>
          <w:vertAlign w:val="superscript"/>
        </w:rPr>
        <w:t>0</w:t>
      </w:r>
      <w:r w:rsidRPr="00AD0BA3">
        <w:rPr>
          <w:rFonts w:ascii="Times New Roman" w:hAnsi="Times New Roman" w:cs="Times New Roman"/>
          <w:sz w:val="24"/>
          <w:szCs w:val="24"/>
        </w:rPr>
        <w:t>C, and a total area of 1,739</w:t>
      </w:r>
      <w:r w:rsidR="000A251E" w:rsidRPr="00AD0BA3">
        <w:rPr>
          <w:rFonts w:ascii="Times New Roman" w:hAnsi="Times New Roman" w:cs="Times New Roman"/>
          <w:sz w:val="24"/>
          <w:szCs w:val="24"/>
        </w:rPr>
        <w:t>K</w:t>
      </w:r>
      <w:r w:rsidRPr="00AD0BA3">
        <w:rPr>
          <w:rFonts w:ascii="Times New Roman" w:hAnsi="Times New Roman" w:cs="Times New Roman"/>
          <w:sz w:val="24"/>
          <w:szCs w:val="24"/>
        </w:rPr>
        <w:t>m</w:t>
      </w:r>
      <w:r w:rsidRPr="00AD0BA3">
        <w:rPr>
          <w:rFonts w:ascii="Times New Roman" w:hAnsi="Times New Roman" w:cs="Times New Roman"/>
          <w:sz w:val="24"/>
          <w:szCs w:val="24"/>
          <w:highlight w:val="yellow"/>
          <w:vertAlign w:val="superscript"/>
        </w:rPr>
        <w:t>2</w:t>
      </w:r>
      <w:r w:rsidRPr="00AD0BA3">
        <w:rPr>
          <w:rFonts w:ascii="Times New Roman" w:hAnsi="Times New Roman" w:cs="Times New Roman"/>
          <w:sz w:val="24"/>
          <w:szCs w:val="24"/>
          <w:vertAlign w:val="superscript"/>
        </w:rPr>
        <w:t xml:space="preserve"> </w:t>
      </w:r>
      <w:r w:rsidRPr="00AD0BA3">
        <w:rPr>
          <w:rFonts w:ascii="Times New Roman" w:hAnsi="Times New Roman" w:cs="Times New Roman"/>
          <w:sz w:val="24"/>
          <w:szCs w:val="24"/>
        </w:rPr>
        <w:t>with a population of 210,843 as the second most populated Local Government in the State. It has abundant salt deposits which are mined locally and can sustain any small to medium scale industry, their major economic activities are farming, mining, and trading. The people of Yala are historically and predominantly subsistence farmers and traders. They cultivate white yams, water yam, black yam and cassava as their main crops for home consumption and sell the surplus in the village market. They also plant other crops like Bambara nuts, groundnut, sesame, maize, pepper, vegetables and African yam bean (NPC, 2006).</w:t>
      </w:r>
    </w:p>
    <w:p w14:paraId="6E17A73B" w14:textId="3F076C78" w:rsidR="000E1EAB" w:rsidRPr="00AD0BA3" w:rsidRDefault="000E1EAB" w:rsidP="00AD0BA3">
      <w:pPr>
        <w:spacing w:line="480" w:lineRule="auto"/>
        <w:jc w:val="both"/>
        <w:rPr>
          <w:rFonts w:ascii="Times New Roman" w:hAnsi="Times New Roman" w:cs="Times New Roman"/>
          <w:b/>
          <w:bCs/>
          <w:sz w:val="24"/>
          <w:szCs w:val="24"/>
        </w:rPr>
      </w:pPr>
      <w:r w:rsidRPr="00AD0BA3">
        <w:rPr>
          <w:rFonts w:ascii="Times New Roman" w:hAnsi="Times New Roman" w:cs="Times New Roman"/>
          <w:b/>
          <w:bCs/>
          <w:sz w:val="24"/>
          <w:szCs w:val="24"/>
        </w:rPr>
        <w:t xml:space="preserve"> </w:t>
      </w:r>
      <w:r w:rsidR="002A09B7" w:rsidRPr="00AD0BA3">
        <w:rPr>
          <w:rFonts w:ascii="Times New Roman" w:hAnsi="Times New Roman" w:cs="Times New Roman"/>
          <w:b/>
          <w:bCs/>
          <w:sz w:val="24"/>
          <w:szCs w:val="24"/>
        </w:rPr>
        <w:t xml:space="preserve">2.2 </w:t>
      </w:r>
      <w:r w:rsidRPr="00AD0BA3">
        <w:rPr>
          <w:rFonts w:ascii="Times New Roman" w:hAnsi="Times New Roman" w:cs="Times New Roman"/>
          <w:b/>
          <w:bCs/>
          <w:sz w:val="24"/>
          <w:szCs w:val="24"/>
        </w:rPr>
        <w:t>Planting Material</w:t>
      </w:r>
    </w:p>
    <w:p w14:paraId="1C776FC2" w14:textId="77777777" w:rsidR="000E1EAB" w:rsidRPr="00AD0BA3" w:rsidRDefault="000E1EAB" w:rsidP="00AD0BA3">
      <w:pPr>
        <w:spacing w:line="480" w:lineRule="auto"/>
        <w:jc w:val="both"/>
        <w:rPr>
          <w:rFonts w:ascii="Times New Roman" w:hAnsi="Times New Roman" w:cs="Times New Roman"/>
          <w:sz w:val="24"/>
          <w:szCs w:val="24"/>
        </w:rPr>
      </w:pPr>
      <w:r w:rsidRPr="00AD0BA3">
        <w:rPr>
          <w:rFonts w:ascii="Times New Roman" w:hAnsi="Times New Roman" w:cs="Times New Roman"/>
          <w:sz w:val="24"/>
          <w:szCs w:val="24"/>
        </w:rPr>
        <w:t xml:space="preserve">Ten different varieties of soybeans seeds </w:t>
      </w:r>
      <w:r w:rsidRPr="00AD0BA3">
        <w:rPr>
          <w:rFonts w:ascii="Times New Roman" w:hAnsi="Times New Roman" w:cs="Times New Roman"/>
          <w:i/>
          <w:sz w:val="24"/>
          <w:szCs w:val="24"/>
        </w:rPr>
        <w:t>(</w:t>
      </w:r>
      <w:r w:rsidRPr="00AD0BA3">
        <w:rPr>
          <w:rFonts w:ascii="Times New Roman" w:hAnsi="Times New Roman" w:cs="Times New Roman"/>
          <w:sz w:val="24"/>
          <w:szCs w:val="24"/>
        </w:rPr>
        <w:t>(</w:t>
      </w:r>
      <w:r w:rsidRPr="00AD0BA3">
        <w:rPr>
          <w:rFonts w:ascii="Times New Roman" w:hAnsi="Times New Roman" w:cs="Times New Roman"/>
          <w:i/>
          <w:iCs/>
          <w:sz w:val="24"/>
          <w:szCs w:val="24"/>
        </w:rPr>
        <w:t xml:space="preserve">Glycine max </w:t>
      </w:r>
      <w:r w:rsidRPr="00AD0BA3">
        <w:rPr>
          <w:rFonts w:ascii="Times New Roman" w:hAnsi="Times New Roman" w:cs="Times New Roman"/>
          <w:sz w:val="24"/>
          <w:szCs w:val="24"/>
        </w:rPr>
        <w:t xml:space="preserve">(L.) </w:t>
      </w:r>
      <w:proofErr w:type="spellStart"/>
      <w:r w:rsidRPr="00AD0BA3">
        <w:rPr>
          <w:rFonts w:ascii="Times New Roman" w:hAnsi="Times New Roman" w:cs="Times New Roman"/>
          <w:sz w:val="24"/>
          <w:szCs w:val="24"/>
        </w:rPr>
        <w:t>Merill</w:t>
      </w:r>
      <w:proofErr w:type="spellEnd"/>
      <w:r w:rsidRPr="00AD0BA3">
        <w:rPr>
          <w:rFonts w:ascii="Times New Roman" w:hAnsi="Times New Roman" w:cs="Times New Roman"/>
          <w:sz w:val="24"/>
          <w:szCs w:val="24"/>
        </w:rPr>
        <w:t xml:space="preserve">)) which included TGX 1910-11F, TGX 1485-1D, TGX 1951-3F, TGX 1835-10E, TGX 1445-2E, TGX 1905-2F, TGX 1904-6F, TGX 1987-10F, TGX 1448-2E and TGX 1987-62F were obtained from the </w:t>
      </w:r>
      <w:r w:rsidRPr="00AD0BA3">
        <w:rPr>
          <w:rFonts w:ascii="Times New Roman" w:hAnsi="Times New Roman" w:cs="Times New Roman"/>
          <w:sz w:val="24"/>
          <w:szCs w:val="24"/>
        </w:rPr>
        <w:lastRenderedPageBreak/>
        <w:t xml:space="preserve">International Institute of Tropical Agriculture (IITA), Ibadan Nigeria, and used for the research. </w:t>
      </w:r>
    </w:p>
    <w:p w14:paraId="2D07198E" w14:textId="77777777" w:rsidR="000E1EAB" w:rsidRPr="00AD0BA3" w:rsidRDefault="000E1EAB" w:rsidP="00AD0BA3">
      <w:pPr>
        <w:spacing w:line="480" w:lineRule="auto"/>
        <w:jc w:val="both"/>
        <w:rPr>
          <w:rFonts w:ascii="Times New Roman" w:hAnsi="Times New Roman" w:cs="Times New Roman"/>
          <w:sz w:val="24"/>
          <w:szCs w:val="24"/>
        </w:rPr>
      </w:pPr>
      <w:r w:rsidRPr="00AD0BA3">
        <w:rPr>
          <w:rFonts w:ascii="Times New Roman" w:hAnsi="Times New Roman" w:cs="Times New Roman"/>
          <w:sz w:val="24"/>
          <w:szCs w:val="24"/>
        </w:rPr>
        <w:t xml:space="preserve">The salt (NaCl) used for the experiment was procured from a commercial laboratory in Calabar, Cross River State Nigeria. Thirty polybags (30) of equal sizes were procured from the Ministry of Agriculture, Cross River State Nigeria, for the experiment. </w:t>
      </w:r>
    </w:p>
    <w:p w14:paraId="046C1948" w14:textId="77777777" w:rsidR="000E1EAB" w:rsidRPr="00AD0BA3" w:rsidRDefault="000E1EAB" w:rsidP="00AD0BA3">
      <w:pPr>
        <w:spacing w:line="480" w:lineRule="auto"/>
        <w:jc w:val="both"/>
        <w:rPr>
          <w:rFonts w:ascii="Times New Roman" w:hAnsi="Times New Roman" w:cs="Times New Roman"/>
          <w:b/>
          <w:bCs/>
          <w:sz w:val="24"/>
          <w:szCs w:val="24"/>
        </w:rPr>
      </w:pPr>
      <w:r w:rsidRPr="00AD0BA3">
        <w:rPr>
          <w:rFonts w:ascii="Times New Roman" w:hAnsi="Times New Roman" w:cs="Times New Roman"/>
          <w:b/>
          <w:bCs/>
          <w:sz w:val="24"/>
          <w:szCs w:val="24"/>
        </w:rPr>
        <w:t>2.3 Soil sampling</w:t>
      </w:r>
    </w:p>
    <w:p w14:paraId="42129794" w14:textId="430BAFD2" w:rsidR="000E1EAB" w:rsidRPr="00AD0BA3" w:rsidRDefault="000E1EAB" w:rsidP="00AD0BA3">
      <w:pPr>
        <w:spacing w:line="480" w:lineRule="auto"/>
        <w:jc w:val="both"/>
        <w:rPr>
          <w:rFonts w:ascii="Times New Roman" w:hAnsi="Times New Roman" w:cs="Times New Roman"/>
          <w:sz w:val="24"/>
          <w:szCs w:val="24"/>
        </w:rPr>
      </w:pPr>
      <w:r w:rsidRPr="00AD0BA3">
        <w:rPr>
          <w:rFonts w:ascii="Times New Roman" w:hAnsi="Times New Roman" w:cs="Times New Roman"/>
          <w:sz w:val="24"/>
          <w:szCs w:val="24"/>
        </w:rPr>
        <w:t xml:space="preserve">Soil samples were collected at different points in the experimental site after clearing of the experimental site, at a depth of 0 – 25cm using soil auger for pre – planting and post – harvest soil analysis. For the post – harvest soil analysis, samples were taken from all. The soil samples were bulked, air – dried and sieved through a 2mm mesh sieve before </w:t>
      </w:r>
      <w:proofErr w:type="spellStart"/>
      <w:r w:rsidRPr="00AD0BA3">
        <w:rPr>
          <w:rFonts w:ascii="Times New Roman" w:hAnsi="Times New Roman" w:cs="Times New Roman"/>
          <w:sz w:val="24"/>
          <w:szCs w:val="24"/>
        </w:rPr>
        <w:t>analyzing</w:t>
      </w:r>
      <w:proofErr w:type="spellEnd"/>
      <w:r w:rsidRPr="00AD0BA3">
        <w:rPr>
          <w:rFonts w:ascii="Times New Roman" w:hAnsi="Times New Roman" w:cs="Times New Roman"/>
          <w:sz w:val="24"/>
          <w:szCs w:val="24"/>
        </w:rPr>
        <w:t xml:space="preserve"> for physical and chemical properties. The soil particle sizes were determined by the hydrometer method (</w:t>
      </w:r>
      <w:proofErr w:type="spellStart"/>
      <w:r w:rsidRPr="00AD0BA3">
        <w:rPr>
          <w:rFonts w:ascii="Times New Roman" w:hAnsi="Times New Roman" w:cs="Times New Roman"/>
          <w:sz w:val="24"/>
          <w:szCs w:val="24"/>
        </w:rPr>
        <w:t>Bouyocos</w:t>
      </w:r>
      <w:proofErr w:type="spellEnd"/>
      <w:r w:rsidRPr="00AD0BA3">
        <w:rPr>
          <w:rFonts w:ascii="Times New Roman" w:hAnsi="Times New Roman" w:cs="Times New Roman"/>
          <w:sz w:val="24"/>
          <w:szCs w:val="24"/>
        </w:rPr>
        <w:t>, 1962), textural class (USDA, 1960), phosphorus (Trough, 1930) cation exchangeable bases were also estimated (A.O.A.C., 2005).</w:t>
      </w:r>
    </w:p>
    <w:p w14:paraId="5E4DD9FD" w14:textId="02E9E46F" w:rsidR="000E1EAB" w:rsidRPr="00AD0BA3" w:rsidRDefault="001D78A5" w:rsidP="00AD0BA3">
      <w:pPr>
        <w:spacing w:line="480" w:lineRule="auto"/>
        <w:jc w:val="both"/>
        <w:rPr>
          <w:rFonts w:ascii="Times New Roman" w:hAnsi="Times New Roman" w:cs="Times New Roman"/>
          <w:sz w:val="24"/>
          <w:szCs w:val="24"/>
        </w:rPr>
      </w:pPr>
      <w:r w:rsidRPr="00AD0BA3">
        <w:rPr>
          <w:rFonts w:ascii="Times New Roman" w:hAnsi="Times New Roman" w:cs="Times New Roman"/>
          <w:b/>
          <w:bCs/>
          <w:sz w:val="24"/>
          <w:szCs w:val="24"/>
          <w:highlight w:val="yellow"/>
        </w:rPr>
        <w:t xml:space="preserve">2.4 </w:t>
      </w:r>
      <w:r w:rsidR="004C1EE7" w:rsidRPr="00AD0BA3">
        <w:rPr>
          <w:rFonts w:ascii="Times New Roman" w:hAnsi="Times New Roman" w:cs="Times New Roman"/>
          <w:b/>
          <w:bCs/>
          <w:sz w:val="24"/>
          <w:szCs w:val="24"/>
          <w:highlight w:val="yellow"/>
        </w:rPr>
        <w:t>Experimental Design</w:t>
      </w:r>
      <w:r w:rsidR="00693FD0" w:rsidRPr="00AD0BA3">
        <w:rPr>
          <w:rFonts w:ascii="Times New Roman" w:hAnsi="Times New Roman" w:cs="Times New Roman"/>
          <w:b/>
          <w:bCs/>
          <w:sz w:val="24"/>
          <w:szCs w:val="24"/>
          <w:highlight w:val="yellow"/>
        </w:rPr>
        <w:t xml:space="preserve"> and Replication: </w:t>
      </w:r>
      <w:r w:rsidR="00C34E0A" w:rsidRPr="00AD0BA3">
        <w:rPr>
          <w:rFonts w:ascii="Times New Roman" w:hAnsi="Times New Roman" w:cs="Times New Roman"/>
          <w:sz w:val="24"/>
          <w:szCs w:val="24"/>
          <w:highlight w:val="yellow"/>
        </w:rPr>
        <w:t>The experiment was laid out in a Completely Randomized Design (CRD) with three replicate</w:t>
      </w:r>
      <w:r w:rsidR="009108E8" w:rsidRPr="00AD0BA3">
        <w:rPr>
          <w:rFonts w:ascii="Times New Roman" w:hAnsi="Times New Roman" w:cs="Times New Roman"/>
          <w:sz w:val="24"/>
          <w:szCs w:val="24"/>
          <w:highlight w:val="yellow"/>
        </w:rPr>
        <w:t xml:space="preserve">s per soybean variety. Each replicate consisted of a pot containing three </w:t>
      </w:r>
      <w:r w:rsidR="00E41225" w:rsidRPr="00AD0BA3">
        <w:rPr>
          <w:rFonts w:ascii="Times New Roman" w:hAnsi="Times New Roman" w:cs="Times New Roman"/>
          <w:sz w:val="24"/>
          <w:szCs w:val="24"/>
          <w:highlight w:val="yellow"/>
        </w:rPr>
        <w:t>soybeans’</w:t>
      </w:r>
      <w:r w:rsidR="009108E8" w:rsidRPr="00AD0BA3">
        <w:rPr>
          <w:rFonts w:ascii="Times New Roman" w:hAnsi="Times New Roman" w:cs="Times New Roman"/>
          <w:sz w:val="24"/>
          <w:szCs w:val="24"/>
          <w:highlight w:val="yellow"/>
        </w:rPr>
        <w:t xml:space="preserve"> plants, making a total of nine plants per variety per treatment. </w:t>
      </w:r>
      <w:r w:rsidR="00DD67AD" w:rsidRPr="00AD0BA3">
        <w:rPr>
          <w:rFonts w:ascii="Times New Roman" w:hAnsi="Times New Roman" w:cs="Times New Roman"/>
          <w:sz w:val="24"/>
          <w:szCs w:val="24"/>
          <w:highlight w:val="yellow"/>
        </w:rPr>
        <w:t>Three fully expanded leaves per pot (n= 3leaves per pot per replicate) were sampled and measured to obtain mean values for each replicate.</w:t>
      </w:r>
      <w:r w:rsidR="00C55117" w:rsidRPr="00AD0BA3">
        <w:rPr>
          <w:rFonts w:ascii="Times New Roman" w:hAnsi="Times New Roman" w:cs="Times New Roman"/>
          <w:sz w:val="24"/>
          <w:szCs w:val="24"/>
        </w:rPr>
        <w:t xml:space="preserve"> </w:t>
      </w:r>
    </w:p>
    <w:p w14:paraId="0E4A231E" w14:textId="2A9927CA" w:rsidR="00C55117" w:rsidRPr="00AD0BA3" w:rsidRDefault="00C55117" w:rsidP="00AD0BA3">
      <w:pPr>
        <w:spacing w:line="480" w:lineRule="auto"/>
        <w:jc w:val="both"/>
        <w:rPr>
          <w:rFonts w:ascii="Times New Roman" w:hAnsi="Times New Roman" w:cs="Times New Roman"/>
          <w:sz w:val="24"/>
          <w:szCs w:val="24"/>
        </w:rPr>
      </w:pPr>
      <w:r w:rsidRPr="00AD0BA3">
        <w:rPr>
          <w:rFonts w:ascii="Times New Roman" w:hAnsi="Times New Roman" w:cs="Times New Roman"/>
          <w:sz w:val="24"/>
          <w:szCs w:val="24"/>
          <w:highlight w:val="yellow"/>
        </w:rPr>
        <w:t xml:space="preserve">Salinity levels of 4, 6 and 8dS/m were selected to present mild, moderate and severe salt stress conditions based </w:t>
      </w:r>
      <w:r w:rsidR="004C5B81" w:rsidRPr="00AD0BA3">
        <w:rPr>
          <w:rFonts w:ascii="Times New Roman" w:hAnsi="Times New Roman" w:cs="Times New Roman"/>
          <w:sz w:val="24"/>
          <w:szCs w:val="24"/>
          <w:highlight w:val="yellow"/>
        </w:rPr>
        <w:t>on literature</w:t>
      </w:r>
      <w:r w:rsidRPr="00AD0BA3">
        <w:rPr>
          <w:rFonts w:ascii="Times New Roman" w:hAnsi="Times New Roman" w:cs="Times New Roman"/>
          <w:sz w:val="24"/>
          <w:szCs w:val="24"/>
          <w:highlight w:val="yellow"/>
        </w:rPr>
        <w:t xml:space="preserve"> </w:t>
      </w:r>
      <w:r w:rsidR="004C5B81" w:rsidRPr="00AD0BA3">
        <w:rPr>
          <w:rFonts w:ascii="Times New Roman" w:hAnsi="Times New Roman" w:cs="Times New Roman"/>
          <w:sz w:val="24"/>
          <w:szCs w:val="24"/>
          <w:highlight w:val="yellow"/>
        </w:rPr>
        <w:t>of (</w:t>
      </w:r>
      <w:r w:rsidRPr="00AD0BA3">
        <w:rPr>
          <w:rFonts w:ascii="Times New Roman" w:hAnsi="Times New Roman" w:cs="Times New Roman"/>
          <w:sz w:val="24"/>
          <w:szCs w:val="24"/>
          <w:highlight w:val="yellow"/>
        </w:rPr>
        <w:t xml:space="preserve">Sofy, </w:t>
      </w:r>
      <w:r w:rsidR="00AE64F3" w:rsidRPr="00AD0BA3">
        <w:rPr>
          <w:rFonts w:ascii="Times New Roman" w:hAnsi="Times New Roman" w:cs="Times New Roman"/>
          <w:sz w:val="24"/>
          <w:szCs w:val="24"/>
          <w:highlight w:val="yellow"/>
        </w:rPr>
        <w:t>20</w:t>
      </w:r>
      <w:r w:rsidR="00FA31C2">
        <w:rPr>
          <w:rFonts w:ascii="Times New Roman" w:hAnsi="Times New Roman" w:cs="Times New Roman"/>
          <w:sz w:val="24"/>
          <w:szCs w:val="24"/>
          <w:highlight w:val="yellow"/>
        </w:rPr>
        <w:t>20</w:t>
      </w:r>
      <w:r w:rsidR="00AE64F3" w:rsidRPr="00AD0BA3">
        <w:rPr>
          <w:rFonts w:ascii="Times New Roman" w:hAnsi="Times New Roman" w:cs="Times New Roman"/>
          <w:sz w:val="24"/>
          <w:szCs w:val="24"/>
          <w:highlight w:val="yellow"/>
        </w:rPr>
        <w:t xml:space="preserve">). </w:t>
      </w:r>
      <w:r w:rsidR="007B5103" w:rsidRPr="00AD0BA3">
        <w:rPr>
          <w:rFonts w:ascii="Times New Roman" w:hAnsi="Times New Roman" w:cs="Times New Roman"/>
          <w:sz w:val="24"/>
          <w:szCs w:val="24"/>
          <w:highlight w:val="yellow"/>
        </w:rPr>
        <w:t>EC levels reported in the salt-affected soils of Yala Local Government, Cross River State (</w:t>
      </w:r>
      <w:proofErr w:type="spellStart"/>
      <w:r w:rsidR="00B3687B" w:rsidRPr="00B3687B">
        <w:rPr>
          <w:rFonts w:ascii="Times New Roman" w:hAnsi="Times New Roman" w:cs="Times New Roman"/>
          <w:sz w:val="24"/>
          <w:szCs w:val="24"/>
          <w:highlight w:val="yellow"/>
        </w:rPr>
        <w:t>Nsowu</w:t>
      </w:r>
      <w:proofErr w:type="spellEnd"/>
      <w:r w:rsidR="00B3687B" w:rsidRPr="00B3687B">
        <w:rPr>
          <w:rFonts w:ascii="Times New Roman" w:hAnsi="Times New Roman" w:cs="Times New Roman"/>
          <w:sz w:val="24"/>
          <w:szCs w:val="24"/>
          <w:highlight w:val="yellow"/>
        </w:rPr>
        <w:t xml:space="preserve"> </w:t>
      </w:r>
      <w:r w:rsidR="00B3687B" w:rsidRPr="00B3687B">
        <w:rPr>
          <w:rFonts w:ascii="Times New Roman" w:hAnsi="Times New Roman" w:cs="Times New Roman"/>
          <w:i/>
          <w:iCs/>
          <w:sz w:val="24"/>
          <w:szCs w:val="24"/>
          <w:highlight w:val="yellow"/>
        </w:rPr>
        <w:t>et al</w:t>
      </w:r>
      <w:r w:rsidR="00B3687B" w:rsidRPr="00B3687B">
        <w:rPr>
          <w:rFonts w:ascii="Times New Roman" w:hAnsi="Times New Roman" w:cs="Times New Roman"/>
          <w:sz w:val="24"/>
          <w:szCs w:val="24"/>
          <w:highlight w:val="yellow"/>
        </w:rPr>
        <w:t>., 2020</w:t>
      </w:r>
      <w:r w:rsidR="00B3687B">
        <w:rPr>
          <w:rFonts w:ascii="Times New Roman" w:hAnsi="Times New Roman" w:cs="Times New Roman"/>
          <w:sz w:val="24"/>
          <w:szCs w:val="24"/>
        </w:rPr>
        <w:t>).</w:t>
      </w:r>
    </w:p>
    <w:p w14:paraId="4C2F0DFB" w14:textId="21982D13" w:rsidR="00EC79DE" w:rsidRPr="00AD0BA3" w:rsidRDefault="00CA038B" w:rsidP="00AD0BA3">
      <w:pPr>
        <w:spacing w:line="480" w:lineRule="auto"/>
        <w:jc w:val="both"/>
        <w:rPr>
          <w:rFonts w:ascii="Times New Roman" w:hAnsi="Times New Roman" w:cs="Times New Roman"/>
          <w:sz w:val="24"/>
          <w:szCs w:val="24"/>
        </w:rPr>
      </w:pPr>
      <w:r w:rsidRPr="00AD0BA3">
        <w:rPr>
          <w:rFonts w:ascii="Times New Roman" w:hAnsi="Times New Roman" w:cs="Times New Roman"/>
          <w:b/>
          <w:bCs/>
          <w:sz w:val="24"/>
          <w:szCs w:val="24"/>
          <w:highlight w:val="yellow"/>
        </w:rPr>
        <w:t xml:space="preserve">2.5. </w:t>
      </w:r>
      <w:r w:rsidR="00EC79DE" w:rsidRPr="00AD0BA3">
        <w:rPr>
          <w:rFonts w:ascii="Times New Roman" w:hAnsi="Times New Roman" w:cs="Times New Roman"/>
          <w:b/>
          <w:bCs/>
          <w:sz w:val="24"/>
          <w:szCs w:val="24"/>
          <w:highlight w:val="yellow"/>
        </w:rPr>
        <w:t>Treatment application</w:t>
      </w:r>
      <w:r w:rsidR="00EC79DE" w:rsidRPr="00AD0BA3">
        <w:rPr>
          <w:rFonts w:ascii="Times New Roman" w:hAnsi="Times New Roman" w:cs="Times New Roman"/>
          <w:sz w:val="24"/>
          <w:szCs w:val="24"/>
          <w:highlight w:val="yellow"/>
        </w:rPr>
        <w:t xml:space="preserve">: </w:t>
      </w:r>
      <w:r w:rsidR="00310738" w:rsidRPr="00AD0BA3">
        <w:rPr>
          <w:rFonts w:ascii="Times New Roman" w:hAnsi="Times New Roman" w:cs="Times New Roman"/>
          <w:sz w:val="24"/>
          <w:szCs w:val="24"/>
          <w:highlight w:val="yellow"/>
        </w:rPr>
        <w:t xml:space="preserve">Salinity was imposed by irrigating the pots with </w:t>
      </w:r>
      <w:proofErr w:type="spellStart"/>
      <w:r w:rsidR="00310738" w:rsidRPr="00AD0BA3">
        <w:rPr>
          <w:rFonts w:ascii="Times New Roman" w:hAnsi="Times New Roman" w:cs="Times New Roman"/>
          <w:sz w:val="24"/>
          <w:szCs w:val="24"/>
          <w:highlight w:val="yellow"/>
        </w:rPr>
        <w:t>Nacl</w:t>
      </w:r>
      <w:proofErr w:type="spellEnd"/>
      <w:r w:rsidR="00310738" w:rsidRPr="00AD0BA3">
        <w:rPr>
          <w:rFonts w:ascii="Times New Roman" w:hAnsi="Times New Roman" w:cs="Times New Roman"/>
          <w:sz w:val="24"/>
          <w:szCs w:val="24"/>
          <w:highlight w:val="yellow"/>
        </w:rPr>
        <w:t xml:space="preserve"> solutions prepared at different concentrations equivalent to electrical conductivity (EC) values of 4 </w:t>
      </w:r>
      <w:proofErr w:type="spellStart"/>
      <w:r w:rsidR="00310738" w:rsidRPr="00AD0BA3">
        <w:rPr>
          <w:rFonts w:ascii="Times New Roman" w:hAnsi="Times New Roman" w:cs="Times New Roman"/>
          <w:sz w:val="24"/>
          <w:szCs w:val="24"/>
          <w:highlight w:val="yellow"/>
        </w:rPr>
        <w:t>dS</w:t>
      </w:r>
      <w:proofErr w:type="spellEnd"/>
      <w:r w:rsidR="00310738" w:rsidRPr="00AD0BA3">
        <w:rPr>
          <w:rFonts w:ascii="Times New Roman" w:hAnsi="Times New Roman" w:cs="Times New Roman"/>
          <w:sz w:val="24"/>
          <w:szCs w:val="24"/>
          <w:highlight w:val="yellow"/>
        </w:rPr>
        <w:t xml:space="preserve">/m and 8 </w:t>
      </w:r>
      <w:proofErr w:type="spellStart"/>
      <w:r w:rsidR="00310738" w:rsidRPr="00AD0BA3">
        <w:rPr>
          <w:rFonts w:ascii="Times New Roman" w:hAnsi="Times New Roman" w:cs="Times New Roman"/>
          <w:sz w:val="24"/>
          <w:szCs w:val="24"/>
          <w:highlight w:val="yellow"/>
        </w:rPr>
        <w:t>dS</w:t>
      </w:r>
      <w:proofErr w:type="spellEnd"/>
      <w:r w:rsidR="00310738" w:rsidRPr="00AD0BA3">
        <w:rPr>
          <w:rFonts w:ascii="Times New Roman" w:hAnsi="Times New Roman" w:cs="Times New Roman"/>
          <w:sz w:val="24"/>
          <w:szCs w:val="24"/>
          <w:highlight w:val="yellow"/>
        </w:rPr>
        <w:t>/</w:t>
      </w:r>
      <w:r w:rsidR="00310738" w:rsidRPr="00AD0BA3">
        <w:rPr>
          <w:rFonts w:ascii="Times New Roman" w:hAnsi="Times New Roman" w:cs="Times New Roman"/>
          <w:sz w:val="24"/>
          <w:szCs w:val="24"/>
          <w:highlight w:val="yellow"/>
          <w:vertAlign w:val="superscript"/>
        </w:rPr>
        <w:t>m</w:t>
      </w:r>
      <w:r w:rsidR="004F7133" w:rsidRPr="00AD0BA3">
        <w:rPr>
          <w:rFonts w:ascii="Times New Roman" w:hAnsi="Times New Roman" w:cs="Times New Roman"/>
          <w:sz w:val="24"/>
          <w:szCs w:val="24"/>
          <w:highlight w:val="yellow"/>
          <w:vertAlign w:val="superscript"/>
        </w:rPr>
        <w:t>-1</w:t>
      </w:r>
      <w:r w:rsidR="00310738" w:rsidRPr="00AD0BA3">
        <w:rPr>
          <w:rFonts w:ascii="Times New Roman" w:hAnsi="Times New Roman" w:cs="Times New Roman"/>
          <w:sz w:val="24"/>
          <w:szCs w:val="24"/>
          <w:highlight w:val="yellow"/>
        </w:rPr>
        <w:t>. Solutions were applied thrice a week, using 200 mL per pot, staring</w:t>
      </w:r>
      <w:r w:rsidR="008724E3" w:rsidRPr="00AD0BA3">
        <w:rPr>
          <w:rFonts w:ascii="Times New Roman" w:hAnsi="Times New Roman" w:cs="Times New Roman"/>
          <w:sz w:val="24"/>
          <w:szCs w:val="24"/>
          <w:highlight w:val="yellow"/>
        </w:rPr>
        <w:t xml:space="preserve"> at</w:t>
      </w:r>
      <w:r w:rsidR="00310738" w:rsidRPr="00AD0BA3">
        <w:rPr>
          <w:rFonts w:ascii="Times New Roman" w:hAnsi="Times New Roman" w:cs="Times New Roman"/>
          <w:sz w:val="24"/>
          <w:szCs w:val="24"/>
          <w:highlight w:val="yellow"/>
        </w:rPr>
        <w:t xml:space="preserve"> 7 </w:t>
      </w:r>
      <w:r w:rsidR="00310738" w:rsidRPr="00AD0BA3">
        <w:rPr>
          <w:rFonts w:ascii="Times New Roman" w:hAnsi="Times New Roman" w:cs="Times New Roman"/>
          <w:sz w:val="24"/>
          <w:szCs w:val="24"/>
          <w:highlight w:val="yellow"/>
        </w:rPr>
        <w:lastRenderedPageBreak/>
        <w:t>days after sowing.</w:t>
      </w:r>
      <w:r w:rsidR="004549A4" w:rsidRPr="00AD0BA3">
        <w:rPr>
          <w:rFonts w:ascii="Times New Roman" w:hAnsi="Times New Roman" w:cs="Times New Roman"/>
          <w:sz w:val="24"/>
          <w:szCs w:val="24"/>
          <w:highlight w:val="yellow"/>
        </w:rPr>
        <w:t xml:space="preserve"> Soil EC</w:t>
      </w:r>
      <w:r w:rsidR="00EC3570" w:rsidRPr="00AD0BA3">
        <w:rPr>
          <w:rFonts w:ascii="Times New Roman" w:hAnsi="Times New Roman" w:cs="Times New Roman"/>
          <w:sz w:val="24"/>
          <w:szCs w:val="24"/>
          <w:highlight w:val="yellow"/>
        </w:rPr>
        <w:t xml:space="preserve"> </w:t>
      </w:r>
      <w:r w:rsidR="004549A4" w:rsidRPr="00AD0BA3">
        <w:rPr>
          <w:rFonts w:ascii="Times New Roman" w:hAnsi="Times New Roman" w:cs="Times New Roman"/>
          <w:sz w:val="24"/>
          <w:szCs w:val="24"/>
          <w:highlight w:val="yellow"/>
        </w:rPr>
        <w:t>was monitored weekly using a portable EC meter</w:t>
      </w:r>
      <w:r w:rsidR="00EC3570" w:rsidRPr="00AD0BA3">
        <w:rPr>
          <w:rFonts w:ascii="Times New Roman" w:hAnsi="Times New Roman" w:cs="Times New Roman"/>
          <w:sz w:val="24"/>
          <w:szCs w:val="24"/>
          <w:highlight w:val="yellow"/>
        </w:rPr>
        <w:t xml:space="preserve"> (Hanna H198331 Soil Test </w:t>
      </w:r>
      <w:r w:rsidR="00F93D95" w:rsidRPr="00AD0BA3">
        <w:rPr>
          <w:rFonts w:ascii="Times New Roman" w:hAnsi="Times New Roman" w:cs="Times New Roman"/>
          <w:sz w:val="24"/>
          <w:szCs w:val="24"/>
          <w:highlight w:val="yellow"/>
        </w:rPr>
        <w:t>Direct) to</w:t>
      </w:r>
      <w:r w:rsidR="004549A4" w:rsidRPr="00AD0BA3">
        <w:rPr>
          <w:rFonts w:ascii="Times New Roman" w:hAnsi="Times New Roman" w:cs="Times New Roman"/>
          <w:sz w:val="24"/>
          <w:szCs w:val="24"/>
          <w:highlight w:val="yellow"/>
        </w:rPr>
        <w:t xml:space="preserve"> ensure treatment uniformity.</w:t>
      </w:r>
    </w:p>
    <w:p w14:paraId="5513FBCB" w14:textId="009B48CC" w:rsidR="00115CC2" w:rsidRPr="00AD0BA3" w:rsidRDefault="0040757F" w:rsidP="00AD0BA3">
      <w:pPr>
        <w:spacing w:line="480" w:lineRule="auto"/>
        <w:jc w:val="both"/>
        <w:rPr>
          <w:rFonts w:ascii="Times New Roman" w:hAnsi="Times New Roman" w:cs="Times New Roman"/>
          <w:b/>
          <w:bCs/>
          <w:sz w:val="24"/>
          <w:szCs w:val="24"/>
        </w:rPr>
      </w:pPr>
      <w:r w:rsidRPr="00AD0BA3">
        <w:rPr>
          <w:rFonts w:ascii="Times New Roman" w:hAnsi="Times New Roman" w:cs="Times New Roman"/>
          <w:b/>
          <w:bCs/>
          <w:sz w:val="24"/>
          <w:szCs w:val="24"/>
        </w:rPr>
        <w:t xml:space="preserve">2.6. </w:t>
      </w:r>
      <w:r w:rsidR="00115CC2" w:rsidRPr="00AD0BA3">
        <w:rPr>
          <w:rFonts w:ascii="Times New Roman" w:hAnsi="Times New Roman" w:cs="Times New Roman"/>
          <w:b/>
          <w:bCs/>
          <w:sz w:val="24"/>
          <w:szCs w:val="24"/>
        </w:rPr>
        <w:t>Estimation of chlorophyll content</w:t>
      </w:r>
      <w:r w:rsidR="008F2695" w:rsidRPr="00AD0BA3">
        <w:rPr>
          <w:rFonts w:ascii="Times New Roman" w:hAnsi="Times New Roman" w:cs="Times New Roman"/>
          <w:b/>
          <w:bCs/>
          <w:sz w:val="24"/>
          <w:szCs w:val="24"/>
        </w:rPr>
        <w:t xml:space="preserve">: </w:t>
      </w:r>
      <w:r w:rsidR="00CC009D" w:rsidRPr="00AD0BA3">
        <w:rPr>
          <w:rFonts w:ascii="Times New Roman" w:hAnsi="Times New Roman" w:cs="Times New Roman"/>
          <w:b/>
          <w:bCs/>
          <w:sz w:val="24"/>
          <w:szCs w:val="24"/>
        </w:rPr>
        <w:t xml:space="preserve"> </w:t>
      </w:r>
    </w:p>
    <w:p w14:paraId="44F7B41C" w14:textId="77777777" w:rsidR="005416E7" w:rsidRPr="00AD0BA3" w:rsidRDefault="00C8628D" w:rsidP="00AD0BA3">
      <w:pPr>
        <w:spacing w:line="480" w:lineRule="auto"/>
        <w:jc w:val="both"/>
        <w:rPr>
          <w:rFonts w:ascii="Times New Roman" w:hAnsi="Times New Roman" w:cs="Times New Roman"/>
          <w:sz w:val="24"/>
          <w:szCs w:val="24"/>
        </w:rPr>
      </w:pPr>
      <w:r w:rsidRPr="00AD0BA3">
        <w:rPr>
          <w:rFonts w:ascii="Times New Roman" w:hAnsi="Times New Roman" w:cs="Times New Roman"/>
          <w:sz w:val="24"/>
          <w:szCs w:val="24"/>
        </w:rPr>
        <w:t xml:space="preserve">0.1g of fresh soybeans leaves was collected at different salinity levels and placed in a test tube filled with 10ml of acetone and was incubated in a dark room for 24 hours at </w:t>
      </w:r>
      <w:r w:rsidRPr="00AD0BA3">
        <w:rPr>
          <w:rFonts w:ascii="Times New Roman" w:hAnsi="Times New Roman" w:cs="Times New Roman"/>
          <w:sz w:val="24"/>
          <w:szCs w:val="24"/>
          <w:highlight w:val="yellow"/>
        </w:rPr>
        <w:t>40</w:t>
      </w:r>
      <w:r w:rsidRPr="00AD0BA3">
        <w:rPr>
          <w:rFonts w:ascii="Times New Roman" w:hAnsi="Times New Roman" w:cs="Times New Roman"/>
          <w:sz w:val="24"/>
          <w:szCs w:val="24"/>
          <w:highlight w:val="yellow"/>
          <w:vertAlign w:val="superscript"/>
        </w:rPr>
        <w:t>C</w:t>
      </w:r>
      <w:r w:rsidRPr="00AD0BA3">
        <w:rPr>
          <w:rFonts w:ascii="Times New Roman" w:hAnsi="Times New Roman" w:cs="Times New Roman"/>
          <w:sz w:val="24"/>
          <w:szCs w:val="24"/>
        </w:rPr>
        <w:t xml:space="preserve"> to obtain a green extract. The green extract was collected into a cuvette for spectrophotometric measurement to measure the absorbance of the chlorophyll extract at 663nm for chlorophyll a and 645nm for chlorophyll b. The chlorophyll content was determined using the formular:</w:t>
      </w:r>
    </w:p>
    <w:p w14:paraId="0556BB1F" w14:textId="782A8F88" w:rsidR="00CC009D" w:rsidRPr="00132047" w:rsidRDefault="00CC009D" w:rsidP="00AD0BA3">
      <w:pPr>
        <w:spacing w:line="480" w:lineRule="auto"/>
        <w:jc w:val="both"/>
        <w:rPr>
          <w:rFonts w:ascii="Times New Roman" w:hAnsi="Times New Roman" w:cs="Times New Roman"/>
          <w:sz w:val="24"/>
          <w:szCs w:val="24"/>
          <w:highlight w:val="yellow"/>
        </w:rPr>
      </w:pPr>
      <w:r w:rsidRPr="00AD0BA3">
        <w:rPr>
          <w:rFonts w:ascii="Times New Roman" w:hAnsi="Times New Roman" w:cs="Times New Roman"/>
          <w:sz w:val="24"/>
          <w:szCs w:val="24"/>
          <w:highlight w:val="yellow"/>
        </w:rPr>
        <w:t xml:space="preserve">The concentrations of Chlorophyll a, chlorophyll b and total chlorophyll were calculated using the following </w:t>
      </w:r>
      <w:r w:rsidRPr="00132047">
        <w:rPr>
          <w:rFonts w:ascii="Times New Roman" w:hAnsi="Times New Roman" w:cs="Times New Roman"/>
          <w:sz w:val="24"/>
          <w:szCs w:val="24"/>
          <w:highlight w:val="yellow"/>
        </w:rPr>
        <w:t xml:space="preserve">equation (Arnon, 1949): </w:t>
      </w:r>
    </w:p>
    <w:p w14:paraId="13D15D9A" w14:textId="6BF3FA4B" w:rsidR="007D7C15" w:rsidRPr="00132047" w:rsidRDefault="007D7C15" w:rsidP="00AD0BA3">
      <w:pPr>
        <w:spacing w:line="480" w:lineRule="auto"/>
        <w:jc w:val="both"/>
        <w:rPr>
          <w:rFonts w:ascii="Times New Roman" w:hAnsi="Times New Roman" w:cs="Times New Roman"/>
          <w:sz w:val="24"/>
          <w:szCs w:val="24"/>
          <w:highlight w:val="yellow"/>
        </w:rPr>
      </w:pPr>
      <w:r w:rsidRPr="00132047">
        <w:rPr>
          <w:rFonts w:ascii="Times New Roman" w:hAnsi="Times New Roman" w:cs="Times New Roman"/>
          <w:sz w:val="24"/>
          <w:szCs w:val="24"/>
          <w:highlight w:val="yellow"/>
        </w:rPr>
        <w:t xml:space="preserve">Chlorophyll a </w:t>
      </w:r>
      <w:r w:rsidR="001870A3" w:rsidRPr="00132047">
        <w:rPr>
          <w:rFonts w:ascii="Times New Roman" w:hAnsi="Times New Roman" w:cs="Times New Roman"/>
          <w:sz w:val="24"/>
          <w:szCs w:val="24"/>
          <w:highlight w:val="yellow"/>
        </w:rPr>
        <w:t xml:space="preserve">(mg/gm tissue): </w:t>
      </w:r>
      <w:r w:rsidR="00606118" w:rsidRPr="00132047">
        <w:rPr>
          <w:rFonts w:ascii="Times New Roman" w:hAnsi="Times New Roman" w:cs="Times New Roman"/>
          <w:sz w:val="24"/>
          <w:szCs w:val="24"/>
          <w:highlight w:val="yellow"/>
        </w:rPr>
        <w:t>[12.7(A663) -2.69 (A645)]</w:t>
      </w:r>
      <w:r w:rsidR="002F5F0D" w:rsidRPr="00132047">
        <w:rPr>
          <w:rFonts w:ascii="Times New Roman" w:hAnsi="Times New Roman" w:cs="Times New Roman"/>
          <w:sz w:val="24"/>
          <w:szCs w:val="24"/>
          <w:highlight w:val="yellow"/>
        </w:rPr>
        <w:t xml:space="preserve"> *V/100*W</w:t>
      </w:r>
    </w:p>
    <w:p w14:paraId="09D5ED96" w14:textId="3B1DCF26" w:rsidR="002F5F0D" w:rsidRPr="00132047" w:rsidRDefault="003B3875" w:rsidP="00AD0BA3">
      <w:pPr>
        <w:spacing w:line="480" w:lineRule="auto"/>
        <w:jc w:val="both"/>
        <w:rPr>
          <w:rFonts w:ascii="Times New Roman" w:hAnsi="Times New Roman" w:cs="Times New Roman"/>
          <w:sz w:val="24"/>
          <w:szCs w:val="24"/>
          <w:highlight w:val="yellow"/>
        </w:rPr>
      </w:pPr>
      <w:r w:rsidRPr="00132047">
        <w:rPr>
          <w:rFonts w:ascii="Times New Roman" w:hAnsi="Times New Roman" w:cs="Times New Roman"/>
          <w:sz w:val="24"/>
          <w:szCs w:val="24"/>
          <w:highlight w:val="yellow"/>
        </w:rPr>
        <w:t>Chlorophyll b</w:t>
      </w:r>
      <w:r w:rsidR="00A31E33" w:rsidRPr="00132047">
        <w:rPr>
          <w:rFonts w:ascii="Times New Roman" w:hAnsi="Times New Roman" w:cs="Times New Roman"/>
          <w:sz w:val="24"/>
          <w:szCs w:val="24"/>
          <w:highlight w:val="yellow"/>
        </w:rPr>
        <w:t xml:space="preserve"> (mg/gm tissue): [22.9(A645) -4.68</w:t>
      </w:r>
      <w:r w:rsidR="00466294" w:rsidRPr="00132047">
        <w:rPr>
          <w:rFonts w:ascii="Times New Roman" w:hAnsi="Times New Roman" w:cs="Times New Roman"/>
          <w:sz w:val="24"/>
          <w:szCs w:val="24"/>
          <w:highlight w:val="yellow"/>
        </w:rPr>
        <w:t xml:space="preserve"> (A663)]</w:t>
      </w:r>
      <w:r w:rsidR="000542CC" w:rsidRPr="00132047">
        <w:rPr>
          <w:rFonts w:ascii="Times New Roman" w:hAnsi="Times New Roman" w:cs="Times New Roman"/>
          <w:sz w:val="24"/>
          <w:szCs w:val="24"/>
          <w:highlight w:val="yellow"/>
        </w:rPr>
        <w:t xml:space="preserve"> * V/1000*W</w:t>
      </w:r>
    </w:p>
    <w:p w14:paraId="5E605C18" w14:textId="16338E7A" w:rsidR="000E1EAB" w:rsidRPr="00132047" w:rsidRDefault="005416E7" w:rsidP="00AD0BA3">
      <w:pPr>
        <w:spacing w:line="480" w:lineRule="auto"/>
        <w:jc w:val="both"/>
        <w:rPr>
          <w:rFonts w:ascii="Times New Roman" w:hAnsi="Times New Roman" w:cs="Times New Roman"/>
          <w:sz w:val="24"/>
          <w:szCs w:val="24"/>
          <w:highlight w:val="yellow"/>
        </w:rPr>
      </w:pPr>
      <w:r w:rsidRPr="00132047">
        <w:rPr>
          <w:rFonts w:ascii="Times New Roman" w:hAnsi="Times New Roman" w:cs="Times New Roman"/>
          <w:sz w:val="24"/>
          <w:szCs w:val="24"/>
          <w:highlight w:val="yellow"/>
        </w:rPr>
        <w:t xml:space="preserve">Total Chlorophyll content: </w:t>
      </w:r>
      <w:r w:rsidR="00455A76" w:rsidRPr="00132047">
        <w:rPr>
          <w:rFonts w:ascii="Times New Roman" w:hAnsi="Times New Roman" w:cs="Times New Roman"/>
          <w:sz w:val="24"/>
          <w:szCs w:val="24"/>
          <w:highlight w:val="yellow"/>
        </w:rPr>
        <w:t>(</w:t>
      </w:r>
      <w:proofErr w:type="spellStart"/>
      <w:r w:rsidR="00455A76" w:rsidRPr="00132047">
        <w:rPr>
          <w:rFonts w:ascii="Times New Roman" w:hAnsi="Times New Roman" w:cs="Times New Roman"/>
          <w:sz w:val="24"/>
          <w:szCs w:val="24"/>
          <w:highlight w:val="yellow"/>
        </w:rPr>
        <w:t>a+b</w:t>
      </w:r>
      <w:proofErr w:type="spellEnd"/>
      <w:r w:rsidR="00455A76" w:rsidRPr="00132047">
        <w:rPr>
          <w:rFonts w:ascii="Times New Roman" w:hAnsi="Times New Roman" w:cs="Times New Roman"/>
          <w:sz w:val="24"/>
          <w:szCs w:val="24"/>
          <w:highlight w:val="yellow"/>
        </w:rPr>
        <w:t xml:space="preserve">) </w:t>
      </w:r>
      <w:r w:rsidRPr="00132047">
        <w:rPr>
          <w:rFonts w:ascii="Times New Roman" w:hAnsi="Times New Roman" w:cs="Times New Roman"/>
          <w:sz w:val="24"/>
          <w:szCs w:val="24"/>
          <w:highlight w:val="yellow"/>
        </w:rPr>
        <w:t>(mg/</w:t>
      </w:r>
      <w:r w:rsidR="00C40D63" w:rsidRPr="00132047">
        <w:rPr>
          <w:rFonts w:ascii="Times New Roman" w:hAnsi="Times New Roman" w:cs="Times New Roman"/>
          <w:sz w:val="24"/>
          <w:szCs w:val="24"/>
          <w:highlight w:val="yellow"/>
        </w:rPr>
        <w:t>g</w:t>
      </w:r>
      <w:r w:rsidR="00455A76" w:rsidRPr="00132047">
        <w:rPr>
          <w:rFonts w:ascii="Times New Roman" w:hAnsi="Times New Roman" w:cs="Times New Roman"/>
          <w:sz w:val="24"/>
          <w:szCs w:val="24"/>
          <w:highlight w:val="yellow"/>
        </w:rPr>
        <w:t xml:space="preserve">m </w:t>
      </w:r>
      <w:r w:rsidR="002E4BC7" w:rsidRPr="00132047">
        <w:rPr>
          <w:rFonts w:ascii="Times New Roman" w:hAnsi="Times New Roman" w:cs="Times New Roman"/>
          <w:sz w:val="24"/>
          <w:szCs w:val="24"/>
          <w:highlight w:val="yellow"/>
        </w:rPr>
        <w:t>tissue):</w:t>
      </w:r>
      <w:r w:rsidR="00CD00E3" w:rsidRPr="00132047">
        <w:rPr>
          <w:rFonts w:ascii="Times New Roman" w:hAnsi="Times New Roman" w:cs="Times New Roman"/>
          <w:sz w:val="24"/>
          <w:szCs w:val="24"/>
          <w:highlight w:val="yellow"/>
        </w:rPr>
        <w:t xml:space="preserve"> </w:t>
      </w:r>
      <w:r w:rsidR="0040197E" w:rsidRPr="00132047">
        <w:rPr>
          <w:rFonts w:ascii="Times New Roman" w:hAnsi="Times New Roman" w:cs="Times New Roman"/>
          <w:sz w:val="24"/>
          <w:szCs w:val="24"/>
          <w:highlight w:val="yellow"/>
        </w:rPr>
        <w:t>[</w:t>
      </w:r>
      <w:r w:rsidR="002E4BC7" w:rsidRPr="00132047">
        <w:rPr>
          <w:rFonts w:ascii="Times New Roman" w:hAnsi="Times New Roman" w:cs="Times New Roman"/>
          <w:sz w:val="24"/>
          <w:szCs w:val="24"/>
          <w:highlight w:val="yellow"/>
        </w:rPr>
        <w:t>20.21 (</w:t>
      </w:r>
      <w:r w:rsidRPr="00132047">
        <w:rPr>
          <w:rFonts w:ascii="Times New Roman" w:hAnsi="Times New Roman" w:cs="Times New Roman"/>
          <w:sz w:val="24"/>
          <w:szCs w:val="24"/>
          <w:highlight w:val="yellow"/>
        </w:rPr>
        <w:t>A645)</w:t>
      </w:r>
      <w:r w:rsidR="00A344DE" w:rsidRPr="00132047">
        <w:rPr>
          <w:rFonts w:ascii="Times New Roman" w:hAnsi="Times New Roman" w:cs="Times New Roman"/>
          <w:sz w:val="24"/>
          <w:szCs w:val="24"/>
          <w:highlight w:val="yellow"/>
        </w:rPr>
        <w:t xml:space="preserve"> + 8.02(A663</w:t>
      </w:r>
      <w:r w:rsidR="00A0622E" w:rsidRPr="00132047">
        <w:rPr>
          <w:rFonts w:ascii="Times New Roman" w:hAnsi="Times New Roman" w:cs="Times New Roman"/>
          <w:sz w:val="24"/>
          <w:szCs w:val="24"/>
          <w:highlight w:val="yellow"/>
        </w:rPr>
        <w:t>)] *</w:t>
      </w:r>
      <w:r w:rsidR="00A344DE" w:rsidRPr="00132047">
        <w:rPr>
          <w:rFonts w:ascii="Times New Roman" w:hAnsi="Times New Roman" w:cs="Times New Roman"/>
          <w:sz w:val="24"/>
          <w:szCs w:val="24"/>
          <w:highlight w:val="yellow"/>
        </w:rPr>
        <w:t>V/1000*W</w:t>
      </w:r>
    </w:p>
    <w:p w14:paraId="20455802" w14:textId="19ABFBF8" w:rsidR="003637DD" w:rsidRPr="00132047" w:rsidRDefault="003637DD" w:rsidP="00AD0BA3">
      <w:pPr>
        <w:spacing w:line="480" w:lineRule="auto"/>
        <w:jc w:val="both"/>
        <w:rPr>
          <w:rFonts w:ascii="Times New Roman" w:hAnsi="Times New Roman" w:cs="Times New Roman"/>
          <w:sz w:val="24"/>
          <w:szCs w:val="24"/>
        </w:rPr>
      </w:pPr>
      <w:r w:rsidRPr="00132047">
        <w:rPr>
          <w:rFonts w:ascii="Times New Roman" w:hAnsi="Times New Roman" w:cs="Times New Roman"/>
          <w:sz w:val="24"/>
          <w:szCs w:val="24"/>
          <w:highlight w:val="yellow"/>
        </w:rPr>
        <w:t xml:space="preserve">A= Absorbance of specific </w:t>
      </w:r>
      <w:r w:rsidR="002E4BC7" w:rsidRPr="00132047">
        <w:rPr>
          <w:rFonts w:ascii="Times New Roman" w:hAnsi="Times New Roman" w:cs="Times New Roman"/>
          <w:sz w:val="24"/>
          <w:szCs w:val="24"/>
          <w:highlight w:val="yellow"/>
        </w:rPr>
        <w:t>wavelength;</w:t>
      </w:r>
      <w:r w:rsidRPr="00132047">
        <w:rPr>
          <w:rFonts w:ascii="Times New Roman" w:hAnsi="Times New Roman" w:cs="Times New Roman"/>
          <w:sz w:val="24"/>
          <w:szCs w:val="24"/>
          <w:highlight w:val="yellow"/>
        </w:rPr>
        <w:t xml:space="preserve"> V= Final volume of chlorophyll extract in 80% </w:t>
      </w:r>
      <w:r w:rsidR="004E0DE7" w:rsidRPr="00132047">
        <w:rPr>
          <w:rFonts w:ascii="Times New Roman" w:hAnsi="Times New Roman" w:cs="Times New Roman"/>
          <w:sz w:val="24"/>
          <w:szCs w:val="24"/>
          <w:highlight w:val="yellow"/>
        </w:rPr>
        <w:t>Acetone;</w:t>
      </w:r>
      <w:r w:rsidRPr="00132047">
        <w:rPr>
          <w:rFonts w:ascii="Times New Roman" w:hAnsi="Times New Roman" w:cs="Times New Roman"/>
          <w:sz w:val="24"/>
          <w:szCs w:val="24"/>
          <w:highlight w:val="yellow"/>
        </w:rPr>
        <w:t xml:space="preserve"> W= Fresh weight </w:t>
      </w:r>
      <w:r w:rsidR="007837AC" w:rsidRPr="00132047">
        <w:rPr>
          <w:rFonts w:ascii="Times New Roman" w:hAnsi="Times New Roman" w:cs="Times New Roman"/>
          <w:sz w:val="24"/>
          <w:szCs w:val="24"/>
          <w:highlight w:val="yellow"/>
        </w:rPr>
        <w:t>of tissue extract.</w:t>
      </w:r>
    </w:p>
    <w:p w14:paraId="6A7037B3" w14:textId="6AFBFBCE" w:rsidR="000E1EAB" w:rsidRPr="00132047" w:rsidRDefault="006331FB" w:rsidP="00AD0BA3">
      <w:pPr>
        <w:spacing w:line="480" w:lineRule="auto"/>
        <w:jc w:val="both"/>
        <w:rPr>
          <w:rFonts w:ascii="Times New Roman" w:eastAsiaTheme="minorHAnsi" w:hAnsi="Times New Roman" w:cs="Times New Roman"/>
          <w:sz w:val="24"/>
          <w:szCs w:val="24"/>
          <w:lang w:eastAsia="en-US"/>
        </w:rPr>
      </w:pPr>
      <w:r w:rsidRPr="00132047">
        <w:rPr>
          <w:rFonts w:ascii="Times New Roman" w:eastAsiaTheme="minorHAnsi" w:hAnsi="Times New Roman" w:cs="Times New Roman"/>
          <w:b/>
          <w:bCs/>
          <w:sz w:val="24"/>
          <w:szCs w:val="24"/>
          <w:lang w:eastAsia="en-US"/>
        </w:rPr>
        <w:t xml:space="preserve">Data analysis: </w:t>
      </w:r>
      <w:r w:rsidRPr="00132047">
        <w:rPr>
          <w:rFonts w:ascii="Times New Roman" w:eastAsiaTheme="minorHAnsi" w:hAnsi="Times New Roman" w:cs="Times New Roman"/>
          <w:sz w:val="24"/>
          <w:szCs w:val="24"/>
          <w:highlight w:val="yellow"/>
          <w:lang w:eastAsia="en-US"/>
        </w:rPr>
        <w:t>The data were analysed with SPSS version 20 software and all data collected were subjected to Analysis of Variance (ANOVA) according to Gomez and Gomez, (1984) and treatments were compared using</w:t>
      </w:r>
      <w:r w:rsidRPr="00132047">
        <w:rPr>
          <w:rFonts w:ascii="Times New Roman" w:eastAsiaTheme="minorHAnsi" w:hAnsi="Times New Roman" w:cs="Times New Roman"/>
          <w:sz w:val="24"/>
          <w:szCs w:val="24"/>
          <w:lang w:eastAsia="en-US"/>
        </w:rPr>
        <w:t xml:space="preserve"> </w:t>
      </w:r>
      <w:r w:rsidRPr="00132047">
        <w:rPr>
          <w:rFonts w:ascii="Times New Roman" w:eastAsiaTheme="minorHAnsi" w:hAnsi="Times New Roman" w:cs="Times New Roman"/>
          <w:sz w:val="24"/>
          <w:szCs w:val="24"/>
          <w:highlight w:val="yellow"/>
          <w:lang w:eastAsia="en-US"/>
        </w:rPr>
        <w:t xml:space="preserve">Duncan </w:t>
      </w:r>
      <w:r w:rsidR="00EC53B9" w:rsidRPr="00132047">
        <w:rPr>
          <w:rFonts w:ascii="Times New Roman" w:eastAsiaTheme="minorHAnsi" w:hAnsi="Times New Roman" w:cs="Times New Roman"/>
          <w:sz w:val="24"/>
          <w:szCs w:val="24"/>
          <w:highlight w:val="yellow"/>
          <w:lang w:eastAsia="en-US"/>
        </w:rPr>
        <w:t xml:space="preserve">New </w:t>
      </w:r>
      <w:r w:rsidRPr="00132047">
        <w:rPr>
          <w:rFonts w:ascii="Times New Roman" w:eastAsiaTheme="minorHAnsi" w:hAnsi="Times New Roman" w:cs="Times New Roman"/>
          <w:sz w:val="24"/>
          <w:szCs w:val="24"/>
          <w:highlight w:val="yellow"/>
          <w:lang w:eastAsia="en-US"/>
        </w:rPr>
        <w:t>Multiple Range</w:t>
      </w:r>
      <w:r w:rsidRPr="00132047">
        <w:rPr>
          <w:rFonts w:ascii="Times New Roman" w:eastAsiaTheme="minorHAnsi" w:hAnsi="Times New Roman" w:cs="Times New Roman"/>
          <w:sz w:val="24"/>
          <w:szCs w:val="24"/>
          <w:lang w:eastAsia="en-US"/>
        </w:rPr>
        <w:t xml:space="preserve"> </w:t>
      </w:r>
      <w:r w:rsidR="00A027A1" w:rsidRPr="00132047">
        <w:rPr>
          <w:rFonts w:ascii="Times New Roman" w:eastAsiaTheme="minorHAnsi" w:hAnsi="Times New Roman" w:cs="Times New Roman"/>
          <w:sz w:val="24"/>
          <w:szCs w:val="24"/>
          <w:highlight w:val="yellow"/>
          <w:lang w:eastAsia="en-US"/>
        </w:rPr>
        <w:t xml:space="preserve">Test </w:t>
      </w:r>
      <w:r w:rsidRPr="00132047">
        <w:rPr>
          <w:rFonts w:ascii="Times New Roman" w:eastAsiaTheme="minorHAnsi" w:hAnsi="Times New Roman" w:cs="Times New Roman"/>
          <w:sz w:val="24"/>
          <w:szCs w:val="24"/>
          <w:highlight w:val="yellow"/>
          <w:lang w:eastAsia="en-US"/>
        </w:rPr>
        <w:t>(D</w:t>
      </w:r>
      <w:r w:rsidR="0051022B" w:rsidRPr="00132047">
        <w:rPr>
          <w:rFonts w:ascii="Times New Roman" w:eastAsiaTheme="minorHAnsi" w:hAnsi="Times New Roman" w:cs="Times New Roman"/>
          <w:sz w:val="24"/>
          <w:szCs w:val="24"/>
          <w:highlight w:val="yellow"/>
          <w:lang w:eastAsia="en-US"/>
        </w:rPr>
        <w:t>N</w:t>
      </w:r>
      <w:r w:rsidR="00C92628" w:rsidRPr="00132047">
        <w:rPr>
          <w:rFonts w:ascii="Times New Roman" w:eastAsiaTheme="minorHAnsi" w:hAnsi="Times New Roman" w:cs="Times New Roman"/>
          <w:sz w:val="24"/>
          <w:szCs w:val="24"/>
          <w:highlight w:val="yellow"/>
          <w:lang w:eastAsia="en-US"/>
        </w:rPr>
        <w:t>M</w:t>
      </w:r>
      <w:r w:rsidRPr="00132047">
        <w:rPr>
          <w:rFonts w:ascii="Times New Roman" w:eastAsiaTheme="minorHAnsi" w:hAnsi="Times New Roman" w:cs="Times New Roman"/>
          <w:sz w:val="24"/>
          <w:szCs w:val="24"/>
          <w:highlight w:val="yellow"/>
          <w:lang w:eastAsia="en-US"/>
        </w:rPr>
        <w:t xml:space="preserve">RT) </w:t>
      </w:r>
      <w:r w:rsidR="002A1429" w:rsidRPr="00132047">
        <w:rPr>
          <w:rFonts w:ascii="Times New Roman" w:eastAsiaTheme="minorHAnsi" w:hAnsi="Times New Roman" w:cs="Times New Roman"/>
          <w:sz w:val="24"/>
          <w:szCs w:val="24"/>
          <w:highlight w:val="yellow"/>
          <w:lang w:eastAsia="en-US"/>
        </w:rPr>
        <w:t>19</w:t>
      </w:r>
      <w:r w:rsidR="00C524E6" w:rsidRPr="00132047">
        <w:rPr>
          <w:rFonts w:ascii="Times New Roman" w:eastAsiaTheme="minorHAnsi" w:hAnsi="Times New Roman" w:cs="Times New Roman"/>
          <w:sz w:val="24"/>
          <w:szCs w:val="24"/>
          <w:highlight w:val="yellow"/>
          <w:lang w:eastAsia="en-US"/>
        </w:rPr>
        <w:t>5</w:t>
      </w:r>
      <w:r w:rsidR="002A1429" w:rsidRPr="00132047">
        <w:rPr>
          <w:rFonts w:ascii="Times New Roman" w:eastAsiaTheme="minorHAnsi" w:hAnsi="Times New Roman" w:cs="Times New Roman"/>
          <w:sz w:val="24"/>
          <w:szCs w:val="24"/>
          <w:highlight w:val="yellow"/>
          <w:lang w:eastAsia="en-US"/>
        </w:rPr>
        <w:t>5 at 5% probability level performed with SPSS version 20</w:t>
      </w:r>
      <w:r w:rsidRPr="00132047">
        <w:rPr>
          <w:rFonts w:ascii="Times New Roman" w:eastAsiaTheme="minorHAnsi" w:hAnsi="Times New Roman" w:cs="Times New Roman"/>
          <w:sz w:val="24"/>
          <w:szCs w:val="24"/>
          <w:highlight w:val="yellow"/>
          <w:lang w:eastAsia="en-US"/>
        </w:rPr>
        <w:t>.</w:t>
      </w:r>
    </w:p>
    <w:p w14:paraId="3FCD7F6A" w14:textId="075CCB6D" w:rsidR="00456789" w:rsidRPr="00132047" w:rsidRDefault="004D1A21" w:rsidP="00AD0BA3">
      <w:pPr>
        <w:spacing w:line="480" w:lineRule="auto"/>
        <w:jc w:val="both"/>
        <w:rPr>
          <w:rFonts w:ascii="Times New Roman" w:eastAsiaTheme="minorHAnsi" w:hAnsi="Times New Roman" w:cs="Times New Roman"/>
          <w:b/>
          <w:bCs/>
          <w:sz w:val="24"/>
          <w:szCs w:val="24"/>
          <w:lang w:eastAsia="en-US"/>
        </w:rPr>
      </w:pPr>
      <w:r w:rsidRPr="00132047">
        <w:rPr>
          <w:rFonts w:ascii="Times New Roman" w:eastAsiaTheme="minorHAnsi" w:hAnsi="Times New Roman" w:cs="Times New Roman"/>
          <w:b/>
          <w:bCs/>
          <w:sz w:val="24"/>
          <w:szCs w:val="24"/>
          <w:lang w:eastAsia="en-US"/>
        </w:rPr>
        <w:t xml:space="preserve">3.0 </w:t>
      </w:r>
      <w:r w:rsidR="00456789" w:rsidRPr="00132047">
        <w:rPr>
          <w:rFonts w:ascii="Times New Roman" w:eastAsiaTheme="minorHAnsi" w:hAnsi="Times New Roman" w:cs="Times New Roman"/>
          <w:b/>
          <w:bCs/>
          <w:sz w:val="24"/>
          <w:szCs w:val="24"/>
          <w:lang w:eastAsia="en-US"/>
        </w:rPr>
        <w:t>Results</w:t>
      </w:r>
    </w:p>
    <w:p w14:paraId="2B87EF5D" w14:textId="7DB26C3D" w:rsidR="00FB489E" w:rsidRPr="00132047" w:rsidRDefault="00FB489E" w:rsidP="00AD0BA3">
      <w:pPr>
        <w:spacing w:line="480" w:lineRule="auto"/>
        <w:jc w:val="both"/>
        <w:rPr>
          <w:rFonts w:ascii="Times New Roman" w:hAnsi="Times New Roman" w:cs="Times New Roman"/>
          <w:sz w:val="24"/>
          <w:szCs w:val="24"/>
        </w:rPr>
      </w:pPr>
      <w:r w:rsidRPr="00132047">
        <w:rPr>
          <w:rFonts w:ascii="Times New Roman" w:hAnsi="Times New Roman" w:cs="Times New Roman"/>
          <w:sz w:val="24"/>
          <w:szCs w:val="24"/>
          <w:lang w:val="en-US"/>
        </w:rPr>
        <w:t xml:space="preserve">The </w:t>
      </w:r>
      <w:r w:rsidR="00271870" w:rsidRPr="00132047">
        <w:rPr>
          <w:rFonts w:ascii="Times New Roman" w:hAnsi="Times New Roman" w:cs="Times New Roman"/>
          <w:sz w:val="24"/>
          <w:szCs w:val="24"/>
          <w:lang w:val="en-US"/>
        </w:rPr>
        <w:t>data in</w:t>
      </w:r>
      <w:r w:rsidR="00D62BC8" w:rsidRPr="00132047">
        <w:rPr>
          <w:rFonts w:ascii="Times New Roman" w:hAnsi="Times New Roman" w:cs="Times New Roman"/>
          <w:sz w:val="24"/>
          <w:szCs w:val="24"/>
          <w:lang w:val="en-US"/>
        </w:rPr>
        <w:t xml:space="preserve"> the</w:t>
      </w:r>
      <w:r w:rsidR="004D2506" w:rsidRPr="00132047">
        <w:rPr>
          <w:rFonts w:ascii="Times New Roman" w:hAnsi="Times New Roman" w:cs="Times New Roman"/>
          <w:sz w:val="24"/>
          <w:szCs w:val="24"/>
          <w:lang w:val="en-US"/>
        </w:rPr>
        <w:t xml:space="preserve"> </w:t>
      </w:r>
      <w:r w:rsidR="00271870" w:rsidRPr="00132047">
        <w:rPr>
          <w:rFonts w:ascii="Times New Roman" w:hAnsi="Times New Roman" w:cs="Times New Roman"/>
          <w:sz w:val="24"/>
          <w:szCs w:val="24"/>
          <w:lang w:val="en-US"/>
        </w:rPr>
        <w:t>Table below</w:t>
      </w:r>
      <w:r w:rsidR="00E536EE" w:rsidRPr="00132047">
        <w:rPr>
          <w:rFonts w:ascii="Times New Roman" w:hAnsi="Times New Roman" w:cs="Times New Roman"/>
          <w:sz w:val="24"/>
          <w:szCs w:val="24"/>
          <w:lang w:val="en-US"/>
        </w:rPr>
        <w:t>,</w:t>
      </w:r>
      <w:r w:rsidRPr="00132047">
        <w:rPr>
          <w:rFonts w:ascii="Times New Roman" w:hAnsi="Times New Roman" w:cs="Times New Roman"/>
          <w:sz w:val="24"/>
          <w:szCs w:val="24"/>
          <w:lang w:val="en-US"/>
        </w:rPr>
        <w:t xml:space="preserve"> demonstrate</w:t>
      </w:r>
      <w:r w:rsidR="006F7399" w:rsidRPr="00132047">
        <w:rPr>
          <w:rFonts w:ascii="Times New Roman" w:hAnsi="Times New Roman" w:cs="Times New Roman"/>
          <w:sz w:val="24"/>
          <w:szCs w:val="24"/>
          <w:lang w:val="en-US"/>
        </w:rPr>
        <w:t>d</w:t>
      </w:r>
      <w:r w:rsidRPr="00132047">
        <w:rPr>
          <w:rFonts w:ascii="Times New Roman" w:hAnsi="Times New Roman" w:cs="Times New Roman"/>
          <w:sz w:val="24"/>
          <w:szCs w:val="24"/>
          <w:lang w:val="en-US"/>
        </w:rPr>
        <w:t xml:space="preserve"> the effects of increasing salinity levels (0, 4, 6, and </w:t>
      </w:r>
      <w:r w:rsidRPr="00132047">
        <w:rPr>
          <w:rFonts w:ascii="Times New Roman" w:hAnsi="Times New Roman" w:cs="Times New Roman"/>
          <w:sz w:val="24"/>
          <w:szCs w:val="24"/>
          <w:highlight w:val="yellow"/>
          <w:lang w:val="en-US"/>
        </w:rPr>
        <w:t xml:space="preserve">8 </w:t>
      </w:r>
      <w:proofErr w:type="spellStart"/>
      <w:r w:rsidRPr="00132047">
        <w:rPr>
          <w:rFonts w:ascii="Times New Roman" w:hAnsi="Times New Roman" w:cs="Times New Roman"/>
          <w:sz w:val="24"/>
          <w:szCs w:val="24"/>
          <w:highlight w:val="yellow"/>
          <w:lang w:val="en-US"/>
        </w:rPr>
        <w:t>dS</w:t>
      </w:r>
      <w:proofErr w:type="spellEnd"/>
      <w:r w:rsidRPr="00132047">
        <w:rPr>
          <w:rFonts w:ascii="Times New Roman" w:hAnsi="Times New Roman" w:cs="Times New Roman"/>
          <w:sz w:val="24"/>
          <w:szCs w:val="24"/>
          <w:highlight w:val="yellow"/>
          <w:lang w:val="en-US"/>
        </w:rPr>
        <w:t>/m</w:t>
      </w:r>
      <w:r w:rsidR="007A7C4A" w:rsidRPr="00132047">
        <w:rPr>
          <w:rFonts w:ascii="Times New Roman" w:hAnsi="Times New Roman" w:cs="Times New Roman"/>
          <w:sz w:val="24"/>
          <w:szCs w:val="24"/>
          <w:highlight w:val="yellow"/>
          <w:vertAlign w:val="superscript"/>
          <w:lang w:val="en-US"/>
        </w:rPr>
        <w:t>-1</w:t>
      </w:r>
      <w:r w:rsidRPr="00132047">
        <w:rPr>
          <w:rFonts w:ascii="Times New Roman" w:hAnsi="Times New Roman" w:cs="Times New Roman"/>
          <w:sz w:val="24"/>
          <w:szCs w:val="24"/>
          <w:lang w:val="en-US"/>
        </w:rPr>
        <w:t>) on the chlorophyll content of various soybean (</w:t>
      </w:r>
      <w:r w:rsidRPr="00132047">
        <w:rPr>
          <w:rFonts w:ascii="Times New Roman" w:hAnsi="Times New Roman" w:cs="Times New Roman"/>
          <w:i/>
          <w:iCs/>
          <w:sz w:val="24"/>
          <w:szCs w:val="24"/>
          <w:lang w:val="en-US"/>
        </w:rPr>
        <w:t>Glycine max</w:t>
      </w:r>
      <w:r w:rsidRPr="00132047">
        <w:rPr>
          <w:rFonts w:ascii="Times New Roman" w:hAnsi="Times New Roman" w:cs="Times New Roman"/>
          <w:sz w:val="24"/>
          <w:szCs w:val="24"/>
          <w:lang w:val="en-US"/>
        </w:rPr>
        <w:t xml:space="preserve">) varieties over </w:t>
      </w:r>
      <w:r w:rsidR="0026527B" w:rsidRPr="00132047">
        <w:rPr>
          <w:rFonts w:ascii="Times New Roman" w:hAnsi="Times New Roman" w:cs="Times New Roman"/>
          <w:sz w:val="24"/>
          <w:szCs w:val="24"/>
          <w:lang w:val="en-US"/>
        </w:rPr>
        <w:lastRenderedPageBreak/>
        <w:t xml:space="preserve">twelve </w:t>
      </w:r>
      <w:r w:rsidRPr="00132047">
        <w:rPr>
          <w:rFonts w:ascii="Times New Roman" w:hAnsi="Times New Roman" w:cs="Times New Roman"/>
          <w:sz w:val="24"/>
          <w:szCs w:val="24"/>
          <w:lang w:val="en-US"/>
        </w:rPr>
        <w:t>weeks (Week 4, 8, and 12). Chlorophyll content is a critical indicator of photosynthetic capacity and overall plant health, thus providing insight into the plant’s physiological response to salt stress.</w:t>
      </w:r>
    </w:p>
    <w:p w14:paraId="18F692D0" w14:textId="4EE81393" w:rsidR="00FB489E" w:rsidRPr="00132047" w:rsidRDefault="00FB489E" w:rsidP="00AD0BA3">
      <w:pPr>
        <w:spacing w:line="480" w:lineRule="auto"/>
        <w:jc w:val="both"/>
        <w:rPr>
          <w:rFonts w:ascii="Times New Roman" w:hAnsi="Times New Roman" w:cs="Times New Roman"/>
          <w:sz w:val="24"/>
          <w:szCs w:val="24"/>
        </w:rPr>
      </w:pPr>
      <w:r w:rsidRPr="00132047">
        <w:rPr>
          <w:rFonts w:ascii="Times New Roman" w:hAnsi="Times New Roman" w:cs="Times New Roman"/>
          <w:sz w:val="24"/>
          <w:szCs w:val="24"/>
          <w:lang w:val="en-US"/>
        </w:rPr>
        <w:t>At week 4, all varieties generally exhibit high chlorophyll content under control conditions (</w:t>
      </w:r>
      <w:r w:rsidR="00CA6CDB" w:rsidRPr="00132047">
        <w:rPr>
          <w:rFonts w:ascii="Times New Roman" w:hAnsi="Times New Roman" w:cs="Times New Roman"/>
          <w:sz w:val="24"/>
          <w:szCs w:val="24"/>
          <w:lang w:val="en-US"/>
        </w:rPr>
        <w:t xml:space="preserve">0 </w:t>
      </w:r>
      <w:proofErr w:type="spellStart"/>
      <w:r w:rsidR="00CA6CDB" w:rsidRPr="00132047">
        <w:rPr>
          <w:rFonts w:ascii="Times New Roman" w:hAnsi="Times New Roman" w:cs="Times New Roman"/>
          <w:sz w:val="24"/>
          <w:szCs w:val="24"/>
          <w:highlight w:val="yellow"/>
          <w:lang w:val="en-US"/>
        </w:rPr>
        <w:t>dS</w:t>
      </w:r>
      <w:proofErr w:type="spellEnd"/>
      <w:r w:rsidR="00363B89" w:rsidRPr="00132047">
        <w:rPr>
          <w:rFonts w:ascii="Times New Roman" w:hAnsi="Times New Roman" w:cs="Times New Roman"/>
          <w:sz w:val="24"/>
          <w:szCs w:val="24"/>
          <w:highlight w:val="yellow"/>
          <w:lang w:val="en-US"/>
        </w:rPr>
        <w:t>/m</w:t>
      </w:r>
      <w:r w:rsidR="00363B89" w:rsidRPr="00132047">
        <w:rPr>
          <w:rFonts w:ascii="Times New Roman" w:hAnsi="Times New Roman" w:cs="Times New Roman"/>
          <w:sz w:val="24"/>
          <w:szCs w:val="24"/>
          <w:highlight w:val="yellow"/>
          <w:vertAlign w:val="superscript"/>
          <w:lang w:val="en-US"/>
        </w:rPr>
        <w:t>-1</w:t>
      </w:r>
      <w:r w:rsidRPr="00132047">
        <w:rPr>
          <w:rFonts w:ascii="Times New Roman" w:hAnsi="Times New Roman" w:cs="Times New Roman"/>
          <w:sz w:val="24"/>
          <w:szCs w:val="24"/>
          <w:lang w:val="en-US"/>
        </w:rPr>
        <w:t>), with TGX 1448-2E and TGX 1987-10F showing the highest values (7.47 and 7.44, respectively)</w:t>
      </w:r>
      <w:r w:rsidR="00AD31E2" w:rsidRPr="00132047">
        <w:rPr>
          <w:rFonts w:ascii="Times New Roman" w:hAnsi="Times New Roman" w:cs="Times New Roman"/>
          <w:sz w:val="24"/>
          <w:szCs w:val="24"/>
          <w:lang w:val="en-US"/>
        </w:rPr>
        <w:t xml:space="preserve"> which were significantly different</w:t>
      </w:r>
      <w:r w:rsidRPr="00132047">
        <w:rPr>
          <w:rFonts w:ascii="Times New Roman" w:hAnsi="Times New Roman" w:cs="Times New Roman"/>
          <w:sz w:val="24"/>
          <w:szCs w:val="24"/>
          <w:lang w:val="en-US"/>
        </w:rPr>
        <w:t xml:space="preserve">. As salinity levels increase to </w:t>
      </w:r>
      <w:r w:rsidR="0096301D" w:rsidRPr="00132047">
        <w:rPr>
          <w:rFonts w:ascii="Times New Roman" w:hAnsi="Times New Roman" w:cs="Times New Roman"/>
          <w:sz w:val="24"/>
          <w:szCs w:val="24"/>
          <w:highlight w:val="yellow"/>
          <w:lang w:val="en-US"/>
        </w:rPr>
        <w:t xml:space="preserve">8 </w:t>
      </w:r>
      <w:proofErr w:type="spellStart"/>
      <w:r w:rsidR="0096301D" w:rsidRPr="00132047">
        <w:rPr>
          <w:rFonts w:ascii="Times New Roman" w:hAnsi="Times New Roman" w:cs="Times New Roman"/>
          <w:sz w:val="24"/>
          <w:szCs w:val="24"/>
          <w:highlight w:val="yellow"/>
          <w:lang w:val="en-US"/>
        </w:rPr>
        <w:t>dS</w:t>
      </w:r>
      <w:proofErr w:type="spellEnd"/>
      <w:r w:rsidR="0096301D" w:rsidRPr="00132047">
        <w:rPr>
          <w:rFonts w:ascii="Times New Roman" w:hAnsi="Times New Roman" w:cs="Times New Roman"/>
          <w:sz w:val="24"/>
          <w:szCs w:val="24"/>
          <w:highlight w:val="yellow"/>
          <w:lang w:val="en-US"/>
        </w:rPr>
        <w:t>/m</w:t>
      </w:r>
      <w:r w:rsidR="0096301D" w:rsidRPr="00132047">
        <w:rPr>
          <w:rFonts w:ascii="Times New Roman" w:hAnsi="Times New Roman" w:cs="Times New Roman"/>
          <w:sz w:val="24"/>
          <w:szCs w:val="24"/>
          <w:highlight w:val="yellow"/>
          <w:vertAlign w:val="superscript"/>
          <w:lang w:val="en-US"/>
        </w:rPr>
        <w:t>-1</w:t>
      </w:r>
      <w:r w:rsidRPr="00132047">
        <w:rPr>
          <w:rFonts w:ascii="Times New Roman" w:hAnsi="Times New Roman" w:cs="Times New Roman"/>
          <w:sz w:val="24"/>
          <w:szCs w:val="24"/>
          <w:lang w:val="en-US"/>
        </w:rPr>
        <w:t>, a significant decline in chlorophyll content is evident across all genotypes</w:t>
      </w:r>
      <w:r w:rsidR="00F57833" w:rsidRPr="00132047">
        <w:rPr>
          <w:rFonts w:ascii="Times New Roman" w:hAnsi="Times New Roman" w:cs="Times New Roman"/>
          <w:sz w:val="24"/>
          <w:szCs w:val="24"/>
          <w:lang w:val="en-US"/>
        </w:rPr>
        <w:t xml:space="preserve"> </w:t>
      </w:r>
      <w:r w:rsidR="00F57833" w:rsidRPr="00132047">
        <w:rPr>
          <w:rFonts w:ascii="Times New Roman" w:hAnsi="Times New Roman" w:cs="Times New Roman"/>
          <w:sz w:val="24"/>
          <w:szCs w:val="24"/>
          <w:highlight w:val="yellow"/>
          <w:lang w:val="en-US"/>
        </w:rPr>
        <w:t>(</w:t>
      </w:r>
      <w:r w:rsidR="00EE6A0F" w:rsidRPr="00132047">
        <w:rPr>
          <w:rFonts w:ascii="Times New Roman" w:hAnsi="Times New Roman" w:cs="Times New Roman"/>
          <w:sz w:val="24"/>
          <w:szCs w:val="24"/>
          <w:highlight w:val="yellow"/>
          <w:lang w:val="en-US"/>
        </w:rPr>
        <w:t>F (</w:t>
      </w:r>
      <w:r w:rsidR="00F57833" w:rsidRPr="00132047">
        <w:rPr>
          <w:rFonts w:ascii="Times New Roman" w:hAnsi="Times New Roman" w:cs="Times New Roman"/>
          <w:sz w:val="24"/>
          <w:szCs w:val="24"/>
          <w:highlight w:val="yellow"/>
          <w:lang w:val="en-US"/>
        </w:rPr>
        <w:t xml:space="preserve">6, </w:t>
      </w:r>
      <w:r w:rsidR="00EE6A0F" w:rsidRPr="00132047">
        <w:rPr>
          <w:rFonts w:ascii="Times New Roman" w:hAnsi="Times New Roman" w:cs="Times New Roman"/>
          <w:sz w:val="24"/>
          <w:szCs w:val="24"/>
          <w:highlight w:val="yellow"/>
          <w:lang w:val="en-US"/>
        </w:rPr>
        <w:t>42, =</w:t>
      </w:r>
      <w:r w:rsidR="00F57833" w:rsidRPr="00132047">
        <w:rPr>
          <w:rFonts w:ascii="Times New Roman" w:hAnsi="Times New Roman" w:cs="Times New Roman"/>
          <w:sz w:val="24"/>
          <w:szCs w:val="24"/>
          <w:highlight w:val="yellow"/>
          <w:lang w:val="en-US"/>
        </w:rPr>
        <w:t>48.73, P &lt; 0.05</w:t>
      </w:r>
      <w:r w:rsidR="00F57833" w:rsidRPr="00132047">
        <w:rPr>
          <w:rFonts w:ascii="Times New Roman" w:hAnsi="Times New Roman" w:cs="Times New Roman"/>
          <w:sz w:val="24"/>
          <w:szCs w:val="24"/>
          <w:lang w:val="en-US"/>
        </w:rPr>
        <w:t xml:space="preserve">) </w:t>
      </w:r>
      <w:r w:rsidRPr="00132047">
        <w:rPr>
          <w:rFonts w:ascii="Times New Roman" w:hAnsi="Times New Roman" w:cs="Times New Roman"/>
          <w:sz w:val="24"/>
          <w:szCs w:val="24"/>
          <w:lang w:val="en-US"/>
        </w:rPr>
        <w:t>with the most pronounced reductions observed in sensitive varieties such as TGX 1904-6F and TGX 1905-2F, where chlorophyll content drops below 1.5. Conversely, more tolerant varieties like TGX 1987-10F and TGX 1448-2E maintain relatively higher chlorophyll levels even at higher salinity, indicating better preservation of photosynthetic pigment under stress.</w:t>
      </w:r>
    </w:p>
    <w:p w14:paraId="4327B392" w14:textId="5373F7FA" w:rsidR="005A2F0E" w:rsidRPr="00132047" w:rsidRDefault="009E62F7" w:rsidP="00AD0BA3">
      <w:pPr>
        <w:spacing w:line="480" w:lineRule="auto"/>
        <w:jc w:val="both"/>
        <w:rPr>
          <w:rFonts w:ascii="Times New Roman" w:hAnsi="Times New Roman" w:cs="Times New Roman"/>
          <w:sz w:val="24"/>
          <w:szCs w:val="24"/>
        </w:rPr>
      </w:pPr>
      <w:r w:rsidRPr="00132047">
        <w:rPr>
          <w:rFonts w:ascii="Times New Roman" w:hAnsi="Times New Roman" w:cs="Times New Roman"/>
          <w:sz w:val="24"/>
          <w:szCs w:val="24"/>
          <w:lang w:val="en-US"/>
        </w:rPr>
        <w:t>At</w:t>
      </w:r>
      <w:r w:rsidR="00FB489E" w:rsidRPr="00132047">
        <w:rPr>
          <w:rFonts w:ascii="Times New Roman" w:hAnsi="Times New Roman" w:cs="Times New Roman"/>
          <w:sz w:val="24"/>
          <w:szCs w:val="24"/>
          <w:lang w:val="en-US"/>
        </w:rPr>
        <w:t xml:space="preserve"> week 8, the decline in chlorophyll content becomes more evident. For example, TGX 1987-62F's chlorophyll levels decrease from approximately 6.13 at </w:t>
      </w:r>
      <w:r w:rsidR="007D6F66" w:rsidRPr="00132047">
        <w:rPr>
          <w:rFonts w:ascii="Times New Roman" w:hAnsi="Times New Roman" w:cs="Times New Roman"/>
          <w:sz w:val="24"/>
          <w:szCs w:val="24"/>
          <w:lang w:val="en-US"/>
        </w:rPr>
        <w:t xml:space="preserve">0 </w:t>
      </w:r>
      <w:proofErr w:type="spellStart"/>
      <w:r w:rsidR="007D6F66" w:rsidRPr="00132047">
        <w:rPr>
          <w:rFonts w:ascii="Times New Roman" w:hAnsi="Times New Roman" w:cs="Times New Roman"/>
          <w:sz w:val="24"/>
          <w:szCs w:val="24"/>
          <w:highlight w:val="yellow"/>
          <w:lang w:val="en-US"/>
        </w:rPr>
        <w:t>dS</w:t>
      </w:r>
      <w:proofErr w:type="spellEnd"/>
      <w:r w:rsidR="002025B4" w:rsidRPr="00132047">
        <w:rPr>
          <w:rFonts w:ascii="Times New Roman" w:hAnsi="Times New Roman" w:cs="Times New Roman"/>
          <w:sz w:val="24"/>
          <w:szCs w:val="24"/>
          <w:highlight w:val="yellow"/>
          <w:lang w:val="en-US"/>
        </w:rPr>
        <w:t>/m</w:t>
      </w:r>
      <w:r w:rsidR="002025B4" w:rsidRPr="00132047">
        <w:rPr>
          <w:rFonts w:ascii="Times New Roman" w:hAnsi="Times New Roman" w:cs="Times New Roman"/>
          <w:sz w:val="24"/>
          <w:szCs w:val="24"/>
          <w:highlight w:val="yellow"/>
          <w:vertAlign w:val="superscript"/>
          <w:lang w:val="en-US"/>
        </w:rPr>
        <w:t>-1</w:t>
      </w:r>
      <w:r w:rsidR="00FB489E" w:rsidRPr="00132047">
        <w:rPr>
          <w:rFonts w:ascii="Times New Roman" w:hAnsi="Times New Roman" w:cs="Times New Roman"/>
          <w:sz w:val="24"/>
          <w:szCs w:val="24"/>
          <w:lang w:val="en-US"/>
        </w:rPr>
        <w:t xml:space="preserve">to about 5.13 at </w:t>
      </w:r>
      <w:r w:rsidR="00FB489E" w:rsidRPr="00132047">
        <w:rPr>
          <w:rFonts w:ascii="Times New Roman" w:hAnsi="Times New Roman" w:cs="Times New Roman"/>
          <w:sz w:val="24"/>
          <w:szCs w:val="24"/>
          <w:highlight w:val="yellow"/>
          <w:lang w:val="en-US"/>
        </w:rPr>
        <w:t>8</w:t>
      </w:r>
      <w:r w:rsidR="00FB489E" w:rsidRPr="00132047">
        <w:rPr>
          <w:rFonts w:ascii="Times New Roman" w:hAnsi="Times New Roman" w:cs="Times New Roman"/>
          <w:sz w:val="24"/>
          <w:szCs w:val="24"/>
          <w:lang w:val="en-US"/>
        </w:rPr>
        <w:t xml:space="preserve"> </w:t>
      </w:r>
      <w:proofErr w:type="spellStart"/>
      <w:r w:rsidR="001C53E3" w:rsidRPr="00132047">
        <w:rPr>
          <w:rFonts w:ascii="Times New Roman" w:hAnsi="Times New Roman" w:cs="Times New Roman"/>
          <w:sz w:val="24"/>
          <w:szCs w:val="24"/>
          <w:highlight w:val="yellow"/>
          <w:lang w:val="en-US"/>
        </w:rPr>
        <w:t>dS</w:t>
      </w:r>
      <w:proofErr w:type="spellEnd"/>
      <w:r w:rsidR="001C53E3" w:rsidRPr="00132047">
        <w:rPr>
          <w:rFonts w:ascii="Times New Roman" w:hAnsi="Times New Roman" w:cs="Times New Roman"/>
          <w:sz w:val="24"/>
          <w:szCs w:val="24"/>
          <w:highlight w:val="yellow"/>
          <w:lang w:val="en-US"/>
        </w:rPr>
        <w:t>/m</w:t>
      </w:r>
      <w:r w:rsidR="001C53E3" w:rsidRPr="00132047">
        <w:rPr>
          <w:rFonts w:ascii="Times New Roman" w:hAnsi="Times New Roman" w:cs="Times New Roman"/>
          <w:sz w:val="24"/>
          <w:szCs w:val="24"/>
          <w:highlight w:val="yellow"/>
          <w:vertAlign w:val="superscript"/>
          <w:lang w:val="en-US"/>
        </w:rPr>
        <w:t>-1</w:t>
      </w:r>
      <w:r w:rsidR="001C53E3" w:rsidRPr="00132047">
        <w:rPr>
          <w:rFonts w:ascii="Times New Roman" w:hAnsi="Times New Roman" w:cs="Times New Roman"/>
          <w:sz w:val="24"/>
          <w:szCs w:val="24"/>
          <w:lang w:val="en-US"/>
        </w:rPr>
        <w:t>to</w:t>
      </w:r>
      <w:r w:rsidR="00FB489E" w:rsidRPr="00132047">
        <w:rPr>
          <w:rFonts w:ascii="Times New Roman" w:hAnsi="Times New Roman" w:cs="Times New Roman"/>
          <w:sz w:val="24"/>
          <w:szCs w:val="24"/>
          <w:lang w:val="en-US"/>
        </w:rPr>
        <w:t xml:space="preserve">, while TGX 1904-6F exhibits a sharper reduction from around 7.43 to below 1.5 at the highest salt concentration. </w:t>
      </w:r>
      <w:r w:rsidR="009F7D95" w:rsidRPr="00132047">
        <w:rPr>
          <w:rFonts w:ascii="Times New Roman" w:hAnsi="Times New Roman" w:cs="Times New Roman"/>
          <w:sz w:val="24"/>
          <w:szCs w:val="24"/>
          <w:lang w:val="en-US"/>
        </w:rPr>
        <w:t xml:space="preserve"> </w:t>
      </w:r>
      <w:r w:rsidR="009F7D95" w:rsidRPr="00132047">
        <w:rPr>
          <w:rFonts w:ascii="Times New Roman" w:hAnsi="Times New Roman" w:cs="Times New Roman"/>
          <w:sz w:val="24"/>
          <w:szCs w:val="24"/>
          <w:highlight w:val="yellow"/>
          <w:lang w:val="en-US"/>
        </w:rPr>
        <w:t xml:space="preserve">The analysis of variance revealed a significant effect of salinity on chlorophyll content </w:t>
      </w:r>
      <w:r w:rsidR="008628BB" w:rsidRPr="00132047">
        <w:rPr>
          <w:rFonts w:ascii="Times New Roman" w:hAnsi="Times New Roman" w:cs="Times New Roman"/>
          <w:sz w:val="24"/>
          <w:szCs w:val="24"/>
          <w:highlight w:val="yellow"/>
          <w:lang w:val="en-US"/>
        </w:rPr>
        <w:t>(</w:t>
      </w:r>
      <w:r w:rsidR="00CB6D5C" w:rsidRPr="00132047">
        <w:rPr>
          <w:rFonts w:ascii="Times New Roman" w:hAnsi="Times New Roman" w:cs="Times New Roman"/>
          <w:sz w:val="24"/>
          <w:szCs w:val="24"/>
          <w:highlight w:val="yellow"/>
          <w:lang w:val="en-US"/>
        </w:rPr>
        <w:t>F (</w:t>
      </w:r>
      <w:r w:rsidR="008628BB" w:rsidRPr="00132047">
        <w:rPr>
          <w:rFonts w:ascii="Times New Roman" w:hAnsi="Times New Roman" w:cs="Times New Roman"/>
          <w:sz w:val="24"/>
          <w:szCs w:val="24"/>
          <w:highlight w:val="yellow"/>
          <w:lang w:val="en-US"/>
        </w:rPr>
        <w:t>3, 48) = 3.89, P &lt; 0.05).</w:t>
      </w:r>
      <w:r w:rsidR="008628BB" w:rsidRPr="00132047">
        <w:rPr>
          <w:rFonts w:ascii="Times New Roman" w:hAnsi="Times New Roman" w:cs="Times New Roman"/>
          <w:sz w:val="24"/>
          <w:szCs w:val="24"/>
          <w:lang w:val="en-US"/>
        </w:rPr>
        <w:t xml:space="preserve"> </w:t>
      </w:r>
      <w:r w:rsidR="00FB489E" w:rsidRPr="00132047">
        <w:rPr>
          <w:rFonts w:ascii="Times New Roman" w:hAnsi="Times New Roman" w:cs="Times New Roman"/>
          <w:sz w:val="24"/>
          <w:szCs w:val="24"/>
          <w:lang w:val="en-US"/>
        </w:rPr>
        <w:t xml:space="preserve">The data suggest that salt stress progressively impairs chlorophyll synthesis and stability, likely due to ionic toxicity and osmotic imbalance </w:t>
      </w:r>
      <w:r w:rsidR="00661014" w:rsidRPr="00132047">
        <w:rPr>
          <w:rFonts w:ascii="Times New Roman" w:hAnsi="Times New Roman" w:cs="Times New Roman"/>
          <w:sz w:val="24"/>
          <w:szCs w:val="24"/>
          <w:lang w:val="en-US"/>
        </w:rPr>
        <w:t>disrupting chloroplast</w:t>
      </w:r>
      <w:r w:rsidR="005A2F0E" w:rsidRPr="00132047">
        <w:rPr>
          <w:rFonts w:ascii="Times New Roman" w:hAnsi="Times New Roman" w:cs="Times New Roman"/>
          <w:sz w:val="24"/>
          <w:szCs w:val="24"/>
          <w:lang w:val="en-US"/>
        </w:rPr>
        <w:t xml:space="preserve"> function. These effects are more severe in susceptible varieties, which show the lowest chlorophyll levels at high salinity.</w:t>
      </w:r>
    </w:p>
    <w:p w14:paraId="07065395" w14:textId="42D11EC7" w:rsidR="00C211F5" w:rsidRPr="00132047" w:rsidRDefault="005A2F0E" w:rsidP="005E6EC7">
      <w:pPr>
        <w:spacing w:line="360" w:lineRule="auto"/>
        <w:jc w:val="both"/>
        <w:rPr>
          <w:rFonts w:ascii="Times New Roman" w:hAnsi="Times New Roman" w:cs="Times New Roman"/>
          <w:sz w:val="24"/>
          <w:szCs w:val="24"/>
          <w:lang w:val="en-US"/>
        </w:rPr>
        <w:sectPr w:rsidR="00C211F5" w:rsidRPr="00132047" w:rsidSect="00305F7F">
          <w:pgSz w:w="11906" w:h="16838"/>
          <w:pgMar w:top="1440" w:right="1440" w:bottom="1440" w:left="1440" w:header="708" w:footer="708" w:gutter="0"/>
          <w:cols w:space="708"/>
          <w:docGrid w:linePitch="360"/>
        </w:sectPr>
      </w:pPr>
      <w:r w:rsidRPr="00132047">
        <w:rPr>
          <w:rFonts w:ascii="Times New Roman" w:hAnsi="Times New Roman" w:cs="Times New Roman"/>
          <w:sz w:val="24"/>
          <w:szCs w:val="24"/>
          <w:lang w:val="en-US"/>
        </w:rPr>
        <w:t xml:space="preserve">At week 12, the trend of declining chlorophyll content persists, with most varieties showing drastic reductions at </w:t>
      </w:r>
      <w:r w:rsidR="0031124E" w:rsidRPr="00132047">
        <w:rPr>
          <w:rFonts w:ascii="Times New Roman" w:hAnsi="Times New Roman" w:cs="Times New Roman"/>
          <w:sz w:val="24"/>
          <w:szCs w:val="24"/>
          <w:highlight w:val="yellow"/>
          <w:lang w:val="en-US"/>
        </w:rPr>
        <w:t xml:space="preserve">8 </w:t>
      </w:r>
      <w:proofErr w:type="spellStart"/>
      <w:r w:rsidR="0031124E" w:rsidRPr="00132047">
        <w:rPr>
          <w:rFonts w:ascii="Times New Roman" w:hAnsi="Times New Roman" w:cs="Times New Roman"/>
          <w:sz w:val="24"/>
          <w:szCs w:val="24"/>
          <w:highlight w:val="yellow"/>
          <w:lang w:val="en-US"/>
        </w:rPr>
        <w:t>dS</w:t>
      </w:r>
      <w:proofErr w:type="spellEnd"/>
      <w:r w:rsidR="0031124E" w:rsidRPr="00132047">
        <w:rPr>
          <w:rFonts w:ascii="Times New Roman" w:hAnsi="Times New Roman" w:cs="Times New Roman"/>
          <w:sz w:val="24"/>
          <w:szCs w:val="24"/>
          <w:highlight w:val="yellow"/>
          <w:lang w:val="en-US"/>
        </w:rPr>
        <w:t>/m</w:t>
      </w:r>
      <w:r w:rsidR="0031124E" w:rsidRPr="00132047">
        <w:rPr>
          <w:rFonts w:ascii="Times New Roman" w:hAnsi="Times New Roman" w:cs="Times New Roman"/>
          <w:sz w:val="24"/>
          <w:szCs w:val="24"/>
          <w:highlight w:val="yellow"/>
          <w:vertAlign w:val="superscript"/>
          <w:lang w:val="en-US"/>
        </w:rPr>
        <w:t>-</w:t>
      </w:r>
      <w:r w:rsidR="00516800" w:rsidRPr="00132047">
        <w:rPr>
          <w:rFonts w:ascii="Times New Roman" w:hAnsi="Times New Roman" w:cs="Times New Roman"/>
          <w:sz w:val="24"/>
          <w:szCs w:val="24"/>
          <w:highlight w:val="yellow"/>
          <w:vertAlign w:val="superscript"/>
          <w:lang w:val="en-US"/>
        </w:rPr>
        <w:t>1</w:t>
      </w:r>
      <w:r w:rsidR="00516800" w:rsidRPr="00132047">
        <w:rPr>
          <w:rFonts w:ascii="Times New Roman" w:hAnsi="Times New Roman" w:cs="Times New Roman"/>
          <w:sz w:val="24"/>
          <w:szCs w:val="24"/>
          <w:vertAlign w:val="superscript"/>
          <w:lang w:val="en-US"/>
        </w:rPr>
        <w:t xml:space="preserve">. </w:t>
      </w:r>
      <w:r w:rsidR="00516800" w:rsidRPr="00132047">
        <w:rPr>
          <w:rFonts w:ascii="Times New Roman" w:hAnsi="Times New Roman" w:cs="Times New Roman"/>
          <w:sz w:val="24"/>
          <w:szCs w:val="24"/>
          <w:lang w:val="en-US"/>
        </w:rPr>
        <w:t>For</w:t>
      </w:r>
      <w:r w:rsidRPr="00132047">
        <w:rPr>
          <w:rFonts w:ascii="Times New Roman" w:hAnsi="Times New Roman" w:cs="Times New Roman"/>
          <w:sz w:val="24"/>
          <w:szCs w:val="24"/>
          <w:lang w:val="en-US"/>
        </w:rPr>
        <w:t xml:space="preserve"> instance, TGX 1904-6F’s chlorophyll content drops to nearly zero, indicating severe impairment of photosynthesis and potential plant senescence.</w:t>
      </w:r>
    </w:p>
    <w:p w14:paraId="193D0363" w14:textId="77777777" w:rsidR="00C211F5" w:rsidRPr="005E6EC7" w:rsidRDefault="005A2F0E"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sz w:val="18"/>
          <w:szCs w:val="18"/>
          <w:lang w:val="en-US"/>
        </w:rPr>
        <w:lastRenderedPageBreak/>
        <w:t xml:space="preserve"> </w:t>
      </w:r>
      <w:r w:rsidR="00C211F5" w:rsidRPr="005E6EC7">
        <w:rPr>
          <w:rFonts w:ascii="Times New Roman" w:hAnsi="Times New Roman" w:cs="Times New Roman"/>
          <w:b/>
          <w:bCs/>
          <w:sz w:val="18"/>
          <w:szCs w:val="18"/>
          <w:highlight w:val="yellow"/>
        </w:rPr>
        <w:t>Table 1. Chlorophyll as affected by different salt concentration rates</w:t>
      </w:r>
    </w:p>
    <w:tbl>
      <w:tblPr>
        <w:tblW w:w="14173" w:type="dxa"/>
        <w:tblBorders>
          <w:top w:val="single" w:sz="4" w:space="0" w:color="auto"/>
          <w:bottom w:val="single" w:sz="4" w:space="0" w:color="auto"/>
        </w:tblBorders>
        <w:tblLayout w:type="fixed"/>
        <w:tblLook w:val="0000" w:firstRow="0" w:lastRow="0" w:firstColumn="0" w:lastColumn="0" w:noHBand="0" w:noVBand="0"/>
      </w:tblPr>
      <w:tblGrid>
        <w:gridCol w:w="1090"/>
        <w:gridCol w:w="1090"/>
        <w:gridCol w:w="1090"/>
        <w:gridCol w:w="1091"/>
        <w:gridCol w:w="1090"/>
        <w:gridCol w:w="1090"/>
        <w:gridCol w:w="1090"/>
        <w:gridCol w:w="1091"/>
        <w:gridCol w:w="1090"/>
        <w:gridCol w:w="1090"/>
        <w:gridCol w:w="1091"/>
        <w:gridCol w:w="1090"/>
        <w:gridCol w:w="1090"/>
      </w:tblGrid>
      <w:tr w:rsidR="00082AA3" w:rsidRPr="005E6EC7" w14:paraId="026E041D" w14:textId="77777777" w:rsidTr="006E72F3">
        <w:tc>
          <w:tcPr>
            <w:tcW w:w="1090" w:type="dxa"/>
            <w:vMerge w:val="restart"/>
            <w:tcBorders>
              <w:top w:val="single" w:sz="4" w:space="0" w:color="auto"/>
              <w:bottom w:val="nil"/>
            </w:tcBorders>
            <w:shd w:val="clear" w:color="auto" w:fill="auto"/>
          </w:tcPr>
          <w:p w14:paraId="2DF420D4"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VAERIETIES</w:t>
            </w:r>
          </w:p>
        </w:tc>
        <w:tc>
          <w:tcPr>
            <w:tcW w:w="4361" w:type="dxa"/>
            <w:gridSpan w:val="4"/>
            <w:tcBorders>
              <w:top w:val="single" w:sz="4" w:space="0" w:color="auto"/>
              <w:bottom w:val="nil"/>
            </w:tcBorders>
            <w:shd w:val="clear" w:color="auto" w:fill="auto"/>
          </w:tcPr>
          <w:p w14:paraId="099C2F6C"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Week 4</w:t>
            </w:r>
          </w:p>
        </w:tc>
        <w:tc>
          <w:tcPr>
            <w:tcW w:w="4361" w:type="dxa"/>
            <w:gridSpan w:val="4"/>
            <w:tcBorders>
              <w:top w:val="single" w:sz="4" w:space="0" w:color="auto"/>
              <w:bottom w:val="nil"/>
            </w:tcBorders>
            <w:shd w:val="clear" w:color="auto" w:fill="auto"/>
          </w:tcPr>
          <w:p w14:paraId="47D403DF"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Week 8</w:t>
            </w:r>
          </w:p>
        </w:tc>
        <w:tc>
          <w:tcPr>
            <w:tcW w:w="4361" w:type="dxa"/>
            <w:gridSpan w:val="4"/>
            <w:tcBorders>
              <w:top w:val="single" w:sz="4" w:space="0" w:color="auto"/>
              <w:bottom w:val="nil"/>
            </w:tcBorders>
            <w:shd w:val="clear" w:color="auto" w:fill="auto"/>
          </w:tcPr>
          <w:p w14:paraId="2BA56059"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Week 12</w:t>
            </w:r>
          </w:p>
        </w:tc>
      </w:tr>
      <w:tr w:rsidR="00082AA3" w:rsidRPr="005E6EC7" w14:paraId="512A263C" w14:textId="77777777" w:rsidTr="006E72F3">
        <w:tc>
          <w:tcPr>
            <w:tcW w:w="1090" w:type="dxa"/>
            <w:vMerge/>
            <w:tcBorders>
              <w:top w:val="nil"/>
              <w:bottom w:val="nil"/>
            </w:tcBorders>
            <w:shd w:val="clear" w:color="auto" w:fill="auto"/>
          </w:tcPr>
          <w:p w14:paraId="51A06E7A"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4361" w:type="dxa"/>
            <w:gridSpan w:val="4"/>
            <w:tcBorders>
              <w:top w:val="nil"/>
              <w:bottom w:val="nil"/>
            </w:tcBorders>
            <w:shd w:val="clear" w:color="auto" w:fill="auto"/>
          </w:tcPr>
          <w:p w14:paraId="12BB2308" w14:textId="78BA2414"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 xml:space="preserve">Concentration </w:t>
            </w:r>
            <w:r w:rsidR="00FD1F57" w:rsidRPr="005E6EC7">
              <w:rPr>
                <w:rFonts w:ascii="Times New Roman" w:hAnsi="Times New Roman" w:cs="Times New Roman"/>
                <w:b/>
                <w:bCs/>
                <w:sz w:val="18"/>
                <w:szCs w:val="18"/>
                <w:highlight w:val="yellow"/>
              </w:rPr>
              <w:t>(</w:t>
            </w:r>
            <w:proofErr w:type="spellStart"/>
            <w:r w:rsidR="00FD1F57" w:rsidRPr="005E6EC7">
              <w:rPr>
                <w:rFonts w:ascii="Times New Roman" w:hAnsi="Times New Roman" w:cs="Times New Roman"/>
                <w:sz w:val="18"/>
                <w:szCs w:val="18"/>
                <w:highlight w:val="yellow"/>
                <w:lang w:val="en-US"/>
              </w:rPr>
              <w:t>dS</w:t>
            </w:r>
            <w:proofErr w:type="spellEnd"/>
            <w:r w:rsidR="004F0EA0" w:rsidRPr="005E6EC7">
              <w:rPr>
                <w:rFonts w:ascii="Times New Roman" w:hAnsi="Times New Roman" w:cs="Times New Roman"/>
                <w:sz w:val="18"/>
                <w:szCs w:val="18"/>
                <w:highlight w:val="yellow"/>
                <w:lang w:val="en-US"/>
              </w:rPr>
              <w:t>/m</w:t>
            </w:r>
            <w:r w:rsidR="004F0EA0" w:rsidRPr="005E6EC7">
              <w:rPr>
                <w:rFonts w:ascii="Times New Roman" w:hAnsi="Times New Roman" w:cs="Times New Roman"/>
                <w:sz w:val="18"/>
                <w:szCs w:val="18"/>
                <w:highlight w:val="yellow"/>
                <w:vertAlign w:val="superscript"/>
                <w:lang w:val="en-US"/>
              </w:rPr>
              <w:t>-1</w:t>
            </w:r>
            <w:r w:rsidRPr="005E6EC7">
              <w:rPr>
                <w:rFonts w:ascii="Times New Roman" w:hAnsi="Times New Roman" w:cs="Times New Roman"/>
                <w:b/>
                <w:bCs/>
                <w:sz w:val="18"/>
                <w:szCs w:val="18"/>
                <w:highlight w:val="yellow"/>
              </w:rPr>
              <w:t>)</w:t>
            </w:r>
          </w:p>
        </w:tc>
        <w:tc>
          <w:tcPr>
            <w:tcW w:w="4361" w:type="dxa"/>
            <w:gridSpan w:val="4"/>
            <w:tcBorders>
              <w:top w:val="nil"/>
              <w:bottom w:val="nil"/>
            </w:tcBorders>
            <w:shd w:val="clear" w:color="auto" w:fill="auto"/>
          </w:tcPr>
          <w:p w14:paraId="303B92D2" w14:textId="5B0437B4"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 xml:space="preserve">Concentration </w:t>
            </w:r>
            <w:r w:rsidR="00FD1F57" w:rsidRPr="005E6EC7">
              <w:rPr>
                <w:rFonts w:ascii="Times New Roman" w:hAnsi="Times New Roman" w:cs="Times New Roman"/>
                <w:b/>
                <w:bCs/>
                <w:sz w:val="18"/>
                <w:szCs w:val="18"/>
                <w:highlight w:val="yellow"/>
              </w:rPr>
              <w:t>(</w:t>
            </w:r>
            <w:proofErr w:type="spellStart"/>
            <w:r w:rsidR="00FD1F57" w:rsidRPr="005E6EC7">
              <w:rPr>
                <w:rFonts w:ascii="Times New Roman" w:hAnsi="Times New Roman" w:cs="Times New Roman"/>
                <w:sz w:val="18"/>
                <w:szCs w:val="18"/>
                <w:highlight w:val="yellow"/>
                <w:lang w:val="en-US"/>
              </w:rPr>
              <w:t>dS</w:t>
            </w:r>
            <w:proofErr w:type="spellEnd"/>
            <w:r w:rsidR="004F0EA0" w:rsidRPr="005E6EC7">
              <w:rPr>
                <w:rFonts w:ascii="Times New Roman" w:hAnsi="Times New Roman" w:cs="Times New Roman"/>
                <w:sz w:val="18"/>
                <w:szCs w:val="18"/>
                <w:highlight w:val="yellow"/>
                <w:lang w:val="en-US"/>
              </w:rPr>
              <w:t>/m</w:t>
            </w:r>
            <w:r w:rsidR="004F0EA0" w:rsidRPr="005E6EC7">
              <w:rPr>
                <w:rFonts w:ascii="Times New Roman" w:hAnsi="Times New Roman" w:cs="Times New Roman"/>
                <w:sz w:val="18"/>
                <w:szCs w:val="18"/>
                <w:highlight w:val="yellow"/>
                <w:vertAlign w:val="superscript"/>
                <w:lang w:val="en-US"/>
              </w:rPr>
              <w:t>-1</w:t>
            </w:r>
            <w:r w:rsidRPr="005E6EC7">
              <w:rPr>
                <w:rFonts w:ascii="Times New Roman" w:hAnsi="Times New Roman" w:cs="Times New Roman"/>
                <w:b/>
                <w:bCs/>
                <w:sz w:val="18"/>
                <w:szCs w:val="18"/>
                <w:highlight w:val="yellow"/>
              </w:rPr>
              <w:t>)</w:t>
            </w:r>
          </w:p>
        </w:tc>
        <w:tc>
          <w:tcPr>
            <w:tcW w:w="4361" w:type="dxa"/>
            <w:gridSpan w:val="4"/>
            <w:tcBorders>
              <w:top w:val="nil"/>
              <w:bottom w:val="nil"/>
            </w:tcBorders>
            <w:shd w:val="clear" w:color="auto" w:fill="auto"/>
          </w:tcPr>
          <w:p w14:paraId="787C3C81" w14:textId="0B9F8E54"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 xml:space="preserve">Concentration </w:t>
            </w:r>
            <w:r w:rsidR="003210BE" w:rsidRPr="005E6EC7">
              <w:rPr>
                <w:rFonts w:ascii="Times New Roman" w:hAnsi="Times New Roman" w:cs="Times New Roman"/>
                <w:b/>
                <w:bCs/>
                <w:sz w:val="18"/>
                <w:szCs w:val="18"/>
                <w:highlight w:val="yellow"/>
              </w:rPr>
              <w:t>(</w:t>
            </w:r>
            <w:proofErr w:type="spellStart"/>
            <w:r w:rsidR="003210BE" w:rsidRPr="005E6EC7">
              <w:rPr>
                <w:rFonts w:ascii="Times New Roman" w:hAnsi="Times New Roman" w:cs="Times New Roman"/>
                <w:sz w:val="18"/>
                <w:szCs w:val="18"/>
                <w:highlight w:val="yellow"/>
                <w:lang w:val="en-US"/>
              </w:rPr>
              <w:t>dS</w:t>
            </w:r>
            <w:proofErr w:type="spellEnd"/>
            <w:r w:rsidR="004F0EA0" w:rsidRPr="005E6EC7">
              <w:rPr>
                <w:rFonts w:ascii="Times New Roman" w:hAnsi="Times New Roman" w:cs="Times New Roman"/>
                <w:sz w:val="18"/>
                <w:szCs w:val="18"/>
                <w:highlight w:val="yellow"/>
                <w:lang w:val="en-US"/>
              </w:rPr>
              <w:t>/m</w:t>
            </w:r>
            <w:r w:rsidR="004F0EA0" w:rsidRPr="005E6EC7">
              <w:rPr>
                <w:rFonts w:ascii="Times New Roman" w:hAnsi="Times New Roman" w:cs="Times New Roman"/>
                <w:sz w:val="18"/>
                <w:szCs w:val="18"/>
                <w:highlight w:val="yellow"/>
                <w:vertAlign w:val="superscript"/>
                <w:lang w:val="en-US"/>
              </w:rPr>
              <w:t>-1</w:t>
            </w:r>
            <w:r w:rsidRPr="005E6EC7">
              <w:rPr>
                <w:rFonts w:ascii="Times New Roman" w:hAnsi="Times New Roman" w:cs="Times New Roman"/>
                <w:b/>
                <w:bCs/>
                <w:sz w:val="18"/>
                <w:szCs w:val="18"/>
                <w:highlight w:val="yellow"/>
              </w:rPr>
              <w:t>)</w:t>
            </w:r>
          </w:p>
        </w:tc>
      </w:tr>
      <w:tr w:rsidR="00082AA3" w:rsidRPr="005E6EC7" w14:paraId="559D795D" w14:textId="77777777" w:rsidTr="006E72F3">
        <w:tc>
          <w:tcPr>
            <w:tcW w:w="1090" w:type="dxa"/>
            <w:vMerge/>
            <w:tcBorders>
              <w:top w:val="nil"/>
              <w:bottom w:val="single" w:sz="4" w:space="0" w:color="auto"/>
            </w:tcBorders>
            <w:shd w:val="clear" w:color="auto" w:fill="auto"/>
          </w:tcPr>
          <w:p w14:paraId="5909B1EC"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tcBorders>
              <w:top w:val="nil"/>
              <w:bottom w:val="single" w:sz="4" w:space="0" w:color="auto"/>
            </w:tcBorders>
            <w:shd w:val="clear" w:color="auto" w:fill="auto"/>
          </w:tcPr>
          <w:p w14:paraId="63FB9AAD"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0</w:t>
            </w:r>
          </w:p>
        </w:tc>
        <w:tc>
          <w:tcPr>
            <w:tcW w:w="1090" w:type="dxa"/>
            <w:tcBorders>
              <w:top w:val="nil"/>
              <w:bottom w:val="single" w:sz="4" w:space="0" w:color="auto"/>
            </w:tcBorders>
            <w:shd w:val="clear" w:color="auto" w:fill="auto"/>
          </w:tcPr>
          <w:p w14:paraId="4669C6EC"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4</w:t>
            </w:r>
          </w:p>
        </w:tc>
        <w:tc>
          <w:tcPr>
            <w:tcW w:w="1091" w:type="dxa"/>
            <w:tcBorders>
              <w:top w:val="nil"/>
              <w:bottom w:val="single" w:sz="4" w:space="0" w:color="auto"/>
            </w:tcBorders>
            <w:shd w:val="clear" w:color="auto" w:fill="auto"/>
          </w:tcPr>
          <w:p w14:paraId="63013109"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6</w:t>
            </w:r>
          </w:p>
        </w:tc>
        <w:tc>
          <w:tcPr>
            <w:tcW w:w="1090" w:type="dxa"/>
            <w:tcBorders>
              <w:top w:val="nil"/>
              <w:bottom w:val="single" w:sz="4" w:space="0" w:color="auto"/>
            </w:tcBorders>
            <w:shd w:val="clear" w:color="auto" w:fill="auto"/>
          </w:tcPr>
          <w:p w14:paraId="3FC3164A"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8</w:t>
            </w:r>
          </w:p>
        </w:tc>
        <w:tc>
          <w:tcPr>
            <w:tcW w:w="1090" w:type="dxa"/>
            <w:tcBorders>
              <w:top w:val="nil"/>
              <w:bottom w:val="single" w:sz="4" w:space="0" w:color="auto"/>
            </w:tcBorders>
            <w:shd w:val="clear" w:color="auto" w:fill="auto"/>
          </w:tcPr>
          <w:p w14:paraId="3A3ADD90"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0</w:t>
            </w:r>
          </w:p>
        </w:tc>
        <w:tc>
          <w:tcPr>
            <w:tcW w:w="1090" w:type="dxa"/>
            <w:tcBorders>
              <w:top w:val="nil"/>
              <w:bottom w:val="single" w:sz="4" w:space="0" w:color="auto"/>
            </w:tcBorders>
            <w:shd w:val="clear" w:color="auto" w:fill="auto"/>
          </w:tcPr>
          <w:p w14:paraId="7F52BE7E"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4</w:t>
            </w:r>
          </w:p>
        </w:tc>
        <w:tc>
          <w:tcPr>
            <w:tcW w:w="1091" w:type="dxa"/>
            <w:tcBorders>
              <w:top w:val="nil"/>
              <w:bottom w:val="single" w:sz="4" w:space="0" w:color="auto"/>
            </w:tcBorders>
            <w:shd w:val="clear" w:color="auto" w:fill="auto"/>
          </w:tcPr>
          <w:p w14:paraId="2462D82B"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6</w:t>
            </w:r>
          </w:p>
        </w:tc>
        <w:tc>
          <w:tcPr>
            <w:tcW w:w="1090" w:type="dxa"/>
            <w:tcBorders>
              <w:top w:val="nil"/>
              <w:bottom w:val="single" w:sz="4" w:space="0" w:color="auto"/>
            </w:tcBorders>
            <w:shd w:val="clear" w:color="auto" w:fill="auto"/>
          </w:tcPr>
          <w:p w14:paraId="7F0BAEC7"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8</w:t>
            </w:r>
          </w:p>
        </w:tc>
        <w:tc>
          <w:tcPr>
            <w:tcW w:w="1090" w:type="dxa"/>
            <w:tcBorders>
              <w:top w:val="nil"/>
              <w:bottom w:val="single" w:sz="4" w:space="0" w:color="auto"/>
            </w:tcBorders>
            <w:shd w:val="clear" w:color="auto" w:fill="auto"/>
          </w:tcPr>
          <w:p w14:paraId="7E3CFB3B"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0</w:t>
            </w:r>
          </w:p>
        </w:tc>
        <w:tc>
          <w:tcPr>
            <w:tcW w:w="1091" w:type="dxa"/>
            <w:tcBorders>
              <w:top w:val="nil"/>
              <w:bottom w:val="single" w:sz="4" w:space="0" w:color="auto"/>
            </w:tcBorders>
            <w:shd w:val="clear" w:color="auto" w:fill="auto"/>
          </w:tcPr>
          <w:p w14:paraId="047EF8DA"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4</w:t>
            </w:r>
          </w:p>
        </w:tc>
        <w:tc>
          <w:tcPr>
            <w:tcW w:w="1090" w:type="dxa"/>
            <w:tcBorders>
              <w:top w:val="nil"/>
              <w:bottom w:val="single" w:sz="4" w:space="0" w:color="auto"/>
            </w:tcBorders>
            <w:shd w:val="clear" w:color="auto" w:fill="auto"/>
          </w:tcPr>
          <w:p w14:paraId="161D84C3"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6</w:t>
            </w:r>
          </w:p>
        </w:tc>
        <w:tc>
          <w:tcPr>
            <w:tcW w:w="1090" w:type="dxa"/>
            <w:tcBorders>
              <w:top w:val="nil"/>
              <w:bottom w:val="single" w:sz="4" w:space="0" w:color="auto"/>
            </w:tcBorders>
            <w:shd w:val="clear" w:color="auto" w:fill="auto"/>
          </w:tcPr>
          <w:p w14:paraId="057ADDD9"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sz w:val="18"/>
                <w:szCs w:val="18"/>
                <w:highlight w:val="yellow"/>
              </w:rPr>
              <w:t>8</w:t>
            </w:r>
          </w:p>
        </w:tc>
      </w:tr>
      <w:tr w:rsidR="00082AA3" w:rsidRPr="005E6EC7" w14:paraId="725632B7" w14:textId="77777777" w:rsidTr="00C42305">
        <w:tc>
          <w:tcPr>
            <w:tcW w:w="1090" w:type="dxa"/>
            <w:tcBorders>
              <w:top w:val="single" w:sz="4" w:space="0" w:color="auto"/>
            </w:tcBorders>
            <w:shd w:val="clear" w:color="auto" w:fill="auto"/>
          </w:tcPr>
          <w:p w14:paraId="1545D315"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1987-62F</w:t>
            </w:r>
          </w:p>
          <w:p w14:paraId="32BF8E7E"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tcBorders>
              <w:top w:val="single" w:sz="4" w:space="0" w:color="auto"/>
            </w:tcBorders>
            <w:shd w:val="clear" w:color="auto" w:fill="auto"/>
          </w:tcPr>
          <w:p w14:paraId="79CA44A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6.1367±0.15</w:t>
            </w:r>
            <w:r w:rsidRPr="005E6EC7">
              <w:rPr>
                <w:rFonts w:ascii="Times New Roman" w:hAnsi="Times New Roman" w:cs="Times New Roman"/>
                <w:color w:val="000000"/>
                <w:sz w:val="18"/>
                <w:szCs w:val="18"/>
                <w:highlight w:val="yellow"/>
                <w:vertAlign w:val="superscript"/>
              </w:rPr>
              <w:t>a</w:t>
            </w:r>
          </w:p>
        </w:tc>
        <w:tc>
          <w:tcPr>
            <w:tcW w:w="1090" w:type="dxa"/>
            <w:tcBorders>
              <w:top w:val="single" w:sz="4" w:space="0" w:color="auto"/>
            </w:tcBorders>
            <w:shd w:val="clear" w:color="auto" w:fill="auto"/>
          </w:tcPr>
          <w:p w14:paraId="5FB87C14"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6.0000±0.00</w:t>
            </w:r>
            <w:r w:rsidRPr="005E6EC7">
              <w:rPr>
                <w:rFonts w:ascii="Times New Roman" w:hAnsi="Times New Roman" w:cs="Times New Roman"/>
                <w:color w:val="000000"/>
                <w:sz w:val="18"/>
                <w:szCs w:val="18"/>
                <w:highlight w:val="yellow"/>
                <w:vertAlign w:val="superscript"/>
              </w:rPr>
              <w:t>a</w:t>
            </w:r>
          </w:p>
        </w:tc>
        <w:tc>
          <w:tcPr>
            <w:tcW w:w="1091" w:type="dxa"/>
            <w:tcBorders>
              <w:top w:val="single" w:sz="4" w:space="0" w:color="auto"/>
            </w:tcBorders>
            <w:shd w:val="clear" w:color="auto" w:fill="auto"/>
          </w:tcPr>
          <w:p w14:paraId="6A68CBC9" w14:textId="77777777" w:rsidR="00C42305" w:rsidRPr="005E6EC7" w:rsidRDefault="00C42305" w:rsidP="005E6EC7">
            <w:pPr>
              <w:spacing w:after="0" w:line="360" w:lineRule="auto"/>
              <w:rPr>
                <w:rFonts w:ascii="Times New Roman" w:hAnsi="Times New Roman" w:cs="Times New Roman"/>
                <w:color w:val="000000"/>
                <w:sz w:val="18"/>
                <w:szCs w:val="18"/>
                <w:highlight w:val="yellow"/>
              </w:rPr>
            </w:pPr>
          </w:p>
          <w:p w14:paraId="437CFB22" w14:textId="269983FA"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5.1333±</w:t>
            </w:r>
            <w:r w:rsidRPr="005E6EC7">
              <w:rPr>
                <w:rFonts w:ascii="Times New Roman" w:hAnsi="Times New Roman" w:cs="Times New Roman"/>
                <w:color w:val="000000"/>
                <w:sz w:val="18"/>
                <w:szCs w:val="18"/>
                <w:highlight w:val="yellow"/>
                <w:vertAlign w:val="superscript"/>
              </w:rPr>
              <w:t>ab</w:t>
            </w:r>
          </w:p>
        </w:tc>
        <w:tc>
          <w:tcPr>
            <w:tcW w:w="1090" w:type="dxa"/>
            <w:tcBorders>
              <w:top w:val="single" w:sz="4" w:space="0" w:color="auto"/>
            </w:tcBorders>
            <w:shd w:val="clear" w:color="auto" w:fill="auto"/>
          </w:tcPr>
          <w:p w14:paraId="2CBB287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5.0000±0.00</w:t>
            </w:r>
            <w:r w:rsidRPr="005E6EC7">
              <w:rPr>
                <w:rFonts w:ascii="Times New Roman" w:hAnsi="Times New Roman" w:cs="Times New Roman"/>
                <w:color w:val="000000"/>
                <w:sz w:val="18"/>
                <w:szCs w:val="18"/>
                <w:highlight w:val="yellow"/>
                <w:vertAlign w:val="superscript"/>
              </w:rPr>
              <w:t>ab</w:t>
            </w:r>
          </w:p>
        </w:tc>
        <w:tc>
          <w:tcPr>
            <w:tcW w:w="1090" w:type="dxa"/>
            <w:tcBorders>
              <w:top w:val="single" w:sz="4" w:space="0" w:color="auto"/>
            </w:tcBorders>
            <w:shd w:val="clear" w:color="auto" w:fill="auto"/>
          </w:tcPr>
          <w:p w14:paraId="230BF9EE"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6.4000±0.61</w:t>
            </w:r>
            <w:r w:rsidRPr="005E6EC7">
              <w:rPr>
                <w:rFonts w:ascii="Times New Roman" w:hAnsi="Times New Roman" w:cs="Times New Roman"/>
                <w:color w:val="000000"/>
                <w:sz w:val="18"/>
                <w:szCs w:val="18"/>
                <w:highlight w:val="yellow"/>
                <w:vertAlign w:val="superscript"/>
              </w:rPr>
              <w:t>a</w:t>
            </w:r>
          </w:p>
        </w:tc>
        <w:tc>
          <w:tcPr>
            <w:tcW w:w="1090" w:type="dxa"/>
            <w:tcBorders>
              <w:top w:val="single" w:sz="4" w:space="0" w:color="auto"/>
            </w:tcBorders>
            <w:shd w:val="clear" w:color="auto" w:fill="auto"/>
          </w:tcPr>
          <w:p w14:paraId="1D7FE8BE"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3.3033±0.44</w:t>
            </w:r>
            <w:r w:rsidRPr="005E6EC7">
              <w:rPr>
                <w:rFonts w:ascii="Times New Roman" w:hAnsi="Times New Roman" w:cs="Times New Roman"/>
                <w:color w:val="000000"/>
                <w:sz w:val="18"/>
                <w:szCs w:val="18"/>
                <w:highlight w:val="yellow"/>
                <w:vertAlign w:val="superscript"/>
              </w:rPr>
              <w:t>ab</w:t>
            </w:r>
          </w:p>
        </w:tc>
        <w:tc>
          <w:tcPr>
            <w:tcW w:w="1091" w:type="dxa"/>
            <w:tcBorders>
              <w:top w:val="single" w:sz="4" w:space="0" w:color="auto"/>
            </w:tcBorders>
            <w:shd w:val="clear" w:color="auto" w:fill="auto"/>
          </w:tcPr>
          <w:p w14:paraId="4F108D3A"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3.0667±0.12</w:t>
            </w:r>
            <w:r w:rsidRPr="005E6EC7">
              <w:rPr>
                <w:rFonts w:ascii="Times New Roman" w:hAnsi="Times New Roman" w:cs="Times New Roman"/>
                <w:color w:val="000000"/>
                <w:sz w:val="18"/>
                <w:szCs w:val="18"/>
                <w:highlight w:val="yellow"/>
                <w:vertAlign w:val="superscript"/>
              </w:rPr>
              <w:t>ab</w:t>
            </w:r>
          </w:p>
        </w:tc>
        <w:tc>
          <w:tcPr>
            <w:tcW w:w="1090" w:type="dxa"/>
            <w:tcBorders>
              <w:top w:val="single" w:sz="4" w:space="0" w:color="auto"/>
            </w:tcBorders>
            <w:shd w:val="clear" w:color="auto" w:fill="auto"/>
          </w:tcPr>
          <w:p w14:paraId="4906B97E"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2.3667±0.40</w:t>
            </w:r>
            <w:r w:rsidRPr="005E6EC7">
              <w:rPr>
                <w:rFonts w:ascii="Times New Roman" w:hAnsi="Times New Roman" w:cs="Times New Roman"/>
                <w:color w:val="000000"/>
                <w:sz w:val="18"/>
                <w:szCs w:val="18"/>
                <w:highlight w:val="yellow"/>
                <w:vertAlign w:val="superscript"/>
              </w:rPr>
              <w:t>b</w:t>
            </w:r>
          </w:p>
        </w:tc>
        <w:tc>
          <w:tcPr>
            <w:tcW w:w="1090" w:type="dxa"/>
            <w:tcBorders>
              <w:top w:val="single" w:sz="4" w:space="0" w:color="auto"/>
            </w:tcBorders>
            <w:shd w:val="clear" w:color="auto" w:fill="auto"/>
          </w:tcPr>
          <w:p w14:paraId="2207054B"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3.0367±0.06</w:t>
            </w:r>
            <w:r w:rsidRPr="005E6EC7">
              <w:rPr>
                <w:rFonts w:ascii="Times New Roman" w:hAnsi="Times New Roman" w:cs="Times New Roman"/>
                <w:color w:val="000000"/>
                <w:sz w:val="18"/>
                <w:szCs w:val="18"/>
                <w:highlight w:val="yellow"/>
                <w:vertAlign w:val="superscript"/>
              </w:rPr>
              <w:t>a</w:t>
            </w:r>
          </w:p>
        </w:tc>
        <w:tc>
          <w:tcPr>
            <w:tcW w:w="1091" w:type="dxa"/>
            <w:tcBorders>
              <w:top w:val="single" w:sz="4" w:space="0" w:color="auto"/>
            </w:tcBorders>
            <w:shd w:val="clear" w:color="auto" w:fill="auto"/>
          </w:tcPr>
          <w:p w14:paraId="0262E504"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2.0000±0.00</w:t>
            </w:r>
            <w:r w:rsidRPr="005E6EC7">
              <w:rPr>
                <w:rFonts w:ascii="Times New Roman" w:hAnsi="Times New Roman" w:cs="Times New Roman"/>
                <w:color w:val="000000"/>
                <w:sz w:val="18"/>
                <w:szCs w:val="18"/>
                <w:highlight w:val="yellow"/>
                <w:vertAlign w:val="superscript"/>
              </w:rPr>
              <w:t>b</w:t>
            </w:r>
          </w:p>
        </w:tc>
        <w:tc>
          <w:tcPr>
            <w:tcW w:w="1090" w:type="dxa"/>
            <w:tcBorders>
              <w:top w:val="single" w:sz="4" w:space="0" w:color="auto"/>
            </w:tcBorders>
            <w:shd w:val="clear" w:color="auto" w:fill="auto"/>
          </w:tcPr>
          <w:p w14:paraId="26F88AF8"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1.6000±0.26</w:t>
            </w:r>
            <w:r w:rsidRPr="005E6EC7">
              <w:rPr>
                <w:rFonts w:ascii="Times New Roman" w:hAnsi="Times New Roman" w:cs="Times New Roman"/>
                <w:color w:val="000000"/>
                <w:sz w:val="18"/>
                <w:szCs w:val="18"/>
                <w:highlight w:val="yellow"/>
                <w:vertAlign w:val="superscript"/>
              </w:rPr>
              <w:t>bc</w:t>
            </w:r>
          </w:p>
        </w:tc>
        <w:tc>
          <w:tcPr>
            <w:tcW w:w="1090" w:type="dxa"/>
            <w:tcBorders>
              <w:top w:val="single" w:sz="4" w:space="0" w:color="auto"/>
            </w:tcBorders>
            <w:shd w:val="clear" w:color="auto" w:fill="auto"/>
          </w:tcPr>
          <w:p w14:paraId="27F80EA2"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0.1667±0.12</w:t>
            </w:r>
            <w:r w:rsidRPr="005E6EC7">
              <w:rPr>
                <w:rFonts w:ascii="Times New Roman" w:hAnsi="Times New Roman" w:cs="Times New Roman"/>
                <w:color w:val="000000"/>
                <w:sz w:val="18"/>
                <w:szCs w:val="18"/>
                <w:highlight w:val="yellow"/>
                <w:vertAlign w:val="superscript"/>
              </w:rPr>
              <w:t>c</w:t>
            </w:r>
          </w:p>
        </w:tc>
      </w:tr>
      <w:tr w:rsidR="00082AA3" w:rsidRPr="005E6EC7" w14:paraId="78336B8C" w14:textId="77777777" w:rsidTr="006E72F3">
        <w:tc>
          <w:tcPr>
            <w:tcW w:w="1090" w:type="dxa"/>
            <w:shd w:val="clear" w:color="auto" w:fill="auto"/>
          </w:tcPr>
          <w:p w14:paraId="6FE49CD3"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1448-2E</w:t>
            </w:r>
          </w:p>
          <w:p w14:paraId="30613EB8"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tcPr>
          <w:p w14:paraId="1DAFDA4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7.4700±0.15</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7E54DF67"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6.5033±0.10</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190B72EC"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5.1333±0.23</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67448EF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4.1100±0.12</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4C2E762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3.0367±0.06</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2D775B69"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2.0433±0.08</w:t>
            </w:r>
            <w:r w:rsidRPr="005E6EC7">
              <w:rPr>
                <w:rFonts w:ascii="Times New Roman" w:hAnsi="Times New Roman" w:cs="Times New Roman"/>
                <w:color w:val="000000"/>
                <w:sz w:val="18"/>
                <w:szCs w:val="18"/>
                <w:highlight w:val="yellow"/>
                <w:vertAlign w:val="superscript"/>
              </w:rPr>
              <w:t>ab</w:t>
            </w:r>
          </w:p>
        </w:tc>
        <w:tc>
          <w:tcPr>
            <w:tcW w:w="1091" w:type="dxa"/>
            <w:shd w:val="clear" w:color="auto" w:fill="auto"/>
          </w:tcPr>
          <w:p w14:paraId="56FA892F"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1.6967±0.04</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646DB93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1.2733±0.14</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6066AD4C"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1.1333±0.06</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5E13194B"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0.7233±0.03</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1DBE468A"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0.5067±0.02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27A4CC04"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0.2133±0.02</w:t>
            </w:r>
            <w:r w:rsidRPr="005E6EC7">
              <w:rPr>
                <w:rFonts w:ascii="Times New Roman" w:hAnsi="Times New Roman" w:cs="Times New Roman"/>
                <w:color w:val="000000"/>
                <w:sz w:val="18"/>
                <w:szCs w:val="18"/>
                <w:highlight w:val="yellow"/>
                <w:vertAlign w:val="superscript"/>
              </w:rPr>
              <w:t>ab</w:t>
            </w:r>
          </w:p>
        </w:tc>
      </w:tr>
      <w:tr w:rsidR="00082AA3" w:rsidRPr="005E6EC7" w14:paraId="6C898578" w14:textId="77777777" w:rsidTr="00A12C03">
        <w:tc>
          <w:tcPr>
            <w:tcW w:w="1090" w:type="dxa"/>
            <w:shd w:val="clear" w:color="auto" w:fill="auto"/>
          </w:tcPr>
          <w:p w14:paraId="67B1DF9B"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1987-10F</w:t>
            </w:r>
          </w:p>
          <w:p w14:paraId="2DDC1FFE"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tcPr>
          <w:p w14:paraId="70C40F37"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7.4367±0.11</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2C8896CF"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5.1000±0.010</w:t>
            </w:r>
            <w:r w:rsidRPr="005E6EC7">
              <w:rPr>
                <w:rFonts w:ascii="Times New Roman" w:hAnsi="Times New Roman" w:cs="Times New Roman"/>
                <w:color w:val="000000"/>
                <w:sz w:val="18"/>
                <w:szCs w:val="18"/>
                <w:highlight w:val="yellow"/>
                <w:vertAlign w:val="superscript"/>
              </w:rPr>
              <w:t>ab</w:t>
            </w:r>
          </w:p>
        </w:tc>
        <w:tc>
          <w:tcPr>
            <w:tcW w:w="1091" w:type="dxa"/>
            <w:shd w:val="clear" w:color="auto" w:fill="auto"/>
          </w:tcPr>
          <w:p w14:paraId="0F0E5759"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4.1000±0.10</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3439A42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3.1033±0.10</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225A8C0A"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2.3700±0.12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06BB0D64"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2.0333±0.06</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50FD59D1"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1.2667±0.20</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226B926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1.0667±0.06</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13DB327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0.5000±0.01</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5B2C8F1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0.3600±0.06</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57797F14"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0.2333±0.02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6B0CFE6D"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0.1333±0.06</w:t>
            </w:r>
            <w:r w:rsidRPr="005E6EC7">
              <w:rPr>
                <w:rFonts w:ascii="Times New Roman" w:hAnsi="Times New Roman" w:cs="Times New Roman"/>
                <w:color w:val="000000"/>
                <w:sz w:val="18"/>
                <w:szCs w:val="18"/>
                <w:highlight w:val="yellow"/>
                <w:vertAlign w:val="superscript"/>
              </w:rPr>
              <w:t>ab</w:t>
            </w:r>
          </w:p>
        </w:tc>
      </w:tr>
      <w:tr w:rsidR="00082AA3" w:rsidRPr="005E6EC7" w14:paraId="0953E0FF" w14:textId="77777777" w:rsidTr="00344DB2">
        <w:tc>
          <w:tcPr>
            <w:tcW w:w="1090" w:type="dxa"/>
            <w:shd w:val="clear" w:color="auto" w:fill="auto"/>
          </w:tcPr>
          <w:p w14:paraId="72D23FC1"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1904-6F</w:t>
            </w:r>
          </w:p>
          <w:p w14:paraId="06E4D65D"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tcPr>
          <w:p w14:paraId="14005C05"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7.4367±0.38</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6CD6E21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7.1100±0.19</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0AAB6D23"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6.0767±0.07</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6D868BCA"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6.0667±0.12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5DADA77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5.2433±0.25</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69FD529F"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4.0767±0.07</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36577CEC"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1.2667±0.20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5560376F"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2.4233±0.14</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673B850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2.0333±0.06</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716B200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1.1667±0.15</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35B7A4A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0.2333±0.02</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61335515"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0.6133±0.01</w:t>
            </w:r>
            <w:r w:rsidRPr="005E6EC7">
              <w:rPr>
                <w:rFonts w:ascii="Times New Roman" w:hAnsi="Times New Roman" w:cs="Times New Roman"/>
                <w:color w:val="000000"/>
                <w:sz w:val="18"/>
                <w:szCs w:val="18"/>
                <w:highlight w:val="yellow"/>
                <w:vertAlign w:val="superscript"/>
              </w:rPr>
              <w:t>b</w:t>
            </w:r>
          </w:p>
        </w:tc>
      </w:tr>
      <w:tr w:rsidR="00082AA3" w:rsidRPr="005E6EC7" w14:paraId="62A9B134" w14:textId="77777777" w:rsidTr="006E72F3">
        <w:tc>
          <w:tcPr>
            <w:tcW w:w="1090" w:type="dxa"/>
            <w:shd w:val="clear" w:color="auto" w:fill="auto"/>
          </w:tcPr>
          <w:p w14:paraId="71EB4C5C"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1905-2F</w:t>
            </w:r>
          </w:p>
          <w:p w14:paraId="6ADD4853"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tcPr>
          <w:p w14:paraId="462C8F5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5.1033±0.18</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3684BC53"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4.0667±0.12</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1D399851"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3.1667±0.12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45951EF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3.0333±0.06</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04D0A9EB"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3.0667±0.12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54134FD9"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2.0333±0.06</w:t>
            </w:r>
            <w:r w:rsidRPr="005E6EC7">
              <w:rPr>
                <w:rFonts w:ascii="Times New Roman" w:hAnsi="Times New Roman" w:cs="Times New Roman"/>
                <w:color w:val="000000"/>
                <w:sz w:val="18"/>
                <w:szCs w:val="18"/>
                <w:highlight w:val="yellow"/>
                <w:vertAlign w:val="superscript"/>
              </w:rPr>
              <w:t>ab</w:t>
            </w:r>
          </w:p>
        </w:tc>
        <w:tc>
          <w:tcPr>
            <w:tcW w:w="1091" w:type="dxa"/>
            <w:shd w:val="clear" w:color="auto" w:fill="auto"/>
          </w:tcPr>
          <w:p w14:paraId="03EB098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1.2900±0.08</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6AD8734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0CCA52D8"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1.0000±0.00</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48D8CDDC"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405E3CE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7A53246F"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r>
      <w:tr w:rsidR="00082AA3" w:rsidRPr="005E6EC7" w14:paraId="670BB00C" w14:textId="77777777" w:rsidTr="006E72F3">
        <w:tc>
          <w:tcPr>
            <w:tcW w:w="1090" w:type="dxa"/>
            <w:shd w:val="clear" w:color="auto" w:fill="auto"/>
          </w:tcPr>
          <w:p w14:paraId="230013E6"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1445-2E</w:t>
            </w:r>
          </w:p>
          <w:p w14:paraId="550829A2"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tcPr>
          <w:p w14:paraId="353205D7"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4.1333±0.23</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5B16E8B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4.0333±0.06</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18EA85A1"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2.7533±0.13</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7815407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1.7400±0.05</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6256D9F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3.0333±0.06</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38F3BBC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2.0333±0.06</w:t>
            </w:r>
            <w:r w:rsidRPr="005E6EC7">
              <w:rPr>
                <w:rFonts w:ascii="Times New Roman" w:hAnsi="Times New Roman" w:cs="Times New Roman"/>
                <w:color w:val="000000"/>
                <w:sz w:val="18"/>
                <w:szCs w:val="18"/>
                <w:highlight w:val="yellow"/>
                <w:vertAlign w:val="superscript"/>
              </w:rPr>
              <w:t>b</w:t>
            </w:r>
          </w:p>
        </w:tc>
        <w:tc>
          <w:tcPr>
            <w:tcW w:w="1091" w:type="dxa"/>
            <w:shd w:val="clear" w:color="auto" w:fill="auto"/>
          </w:tcPr>
          <w:p w14:paraId="7976C6B5"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1.7033±0.10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5CB207A9"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0.7000±0.01</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34DCCC9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1.1667±0.15</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15A2844C"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16BA023F"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78F4EBEC"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r>
      <w:tr w:rsidR="00082AA3" w:rsidRPr="005E6EC7" w14:paraId="1EC9261A" w14:textId="77777777" w:rsidTr="00A12C03">
        <w:tc>
          <w:tcPr>
            <w:tcW w:w="1090" w:type="dxa"/>
            <w:shd w:val="clear" w:color="auto" w:fill="auto"/>
          </w:tcPr>
          <w:p w14:paraId="466DAB2E"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1835-10E</w:t>
            </w:r>
          </w:p>
          <w:p w14:paraId="784CCFFC"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tcPr>
          <w:p w14:paraId="35D3F34E"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4.4000±0.05</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1F29BB73"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4.0000±0.00</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1F08E287"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2.1000 ±0.10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32E70DEA"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1.5367±0.15</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650D9EA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2.2000±0.17</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568D366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2.1333±0.15</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026DDCC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1.4000±0.10</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4BBC58D9"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0.6200±0.01</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13A95567"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1.0333±0.06</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623E0F5B"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01E00615"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0A55F5F3"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r>
      <w:tr w:rsidR="00082AA3" w:rsidRPr="005E6EC7" w14:paraId="143F5577" w14:textId="77777777" w:rsidTr="00271C32">
        <w:tc>
          <w:tcPr>
            <w:tcW w:w="1090" w:type="dxa"/>
            <w:shd w:val="clear" w:color="auto" w:fill="auto"/>
          </w:tcPr>
          <w:p w14:paraId="25C76E1B"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1951-3F</w:t>
            </w:r>
          </w:p>
          <w:p w14:paraId="6ED7D504"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vAlign w:val="center"/>
          </w:tcPr>
          <w:p w14:paraId="6913DC6B"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5.3367±0.04</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vAlign w:val="center"/>
          </w:tcPr>
          <w:p w14:paraId="39FBF4E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5.0000±0.00</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vAlign w:val="center"/>
          </w:tcPr>
          <w:p w14:paraId="11EFEBD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4.2000±0.26</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vAlign w:val="center"/>
          </w:tcPr>
          <w:p w14:paraId="3C372C03"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3.1133±0.12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vAlign w:val="center"/>
          </w:tcPr>
          <w:p w14:paraId="2BA03C91"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3.7533±0.13</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vAlign w:val="center"/>
          </w:tcPr>
          <w:p w14:paraId="3D405979"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3.0000±0.00</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vAlign w:val="center"/>
          </w:tcPr>
          <w:p w14:paraId="68B545C8"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2.1433±0.16</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vAlign w:val="center"/>
          </w:tcPr>
          <w:p w14:paraId="0D42E6CC"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vAlign w:val="center"/>
          </w:tcPr>
          <w:p w14:paraId="5A9CCB1E"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2.1667±0.15</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vAlign w:val="center"/>
          </w:tcPr>
          <w:p w14:paraId="4C2921C7"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1.2667±0.12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vAlign w:val="center"/>
          </w:tcPr>
          <w:p w14:paraId="6101AE0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1.2333±0.12</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vAlign w:val="center"/>
          </w:tcPr>
          <w:p w14:paraId="187D269F"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0.4133±0.01</w:t>
            </w:r>
            <w:r w:rsidRPr="005E6EC7">
              <w:rPr>
                <w:rFonts w:ascii="Times New Roman" w:hAnsi="Times New Roman" w:cs="Times New Roman"/>
                <w:color w:val="000000"/>
                <w:sz w:val="18"/>
                <w:szCs w:val="18"/>
                <w:highlight w:val="yellow"/>
                <w:vertAlign w:val="superscript"/>
              </w:rPr>
              <w:t>b</w:t>
            </w:r>
          </w:p>
        </w:tc>
      </w:tr>
      <w:tr w:rsidR="00082AA3" w:rsidRPr="005E6EC7" w14:paraId="467070DD" w14:textId="77777777" w:rsidTr="006E72F3">
        <w:tc>
          <w:tcPr>
            <w:tcW w:w="1090" w:type="dxa"/>
            <w:shd w:val="clear" w:color="auto" w:fill="auto"/>
          </w:tcPr>
          <w:p w14:paraId="5CBE7671"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1485-ID</w:t>
            </w:r>
          </w:p>
          <w:p w14:paraId="11D2C072"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tcPr>
          <w:p w14:paraId="5D2D7E66"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5.2133±0.19</w:t>
            </w:r>
            <w:r w:rsidRPr="005E6EC7">
              <w:rPr>
                <w:rFonts w:ascii="Times New Roman" w:hAnsi="Times New Roman" w:cs="Times New Roman"/>
                <w:color w:val="000000"/>
                <w:sz w:val="18"/>
                <w:szCs w:val="18"/>
                <w:highlight w:val="yellow"/>
                <w:vertAlign w:val="superscript"/>
              </w:rPr>
              <w:t>a</w:t>
            </w:r>
          </w:p>
          <w:p w14:paraId="3556F69B" w14:textId="77777777" w:rsidR="00082AA3" w:rsidRPr="005E6EC7" w:rsidRDefault="00082AA3" w:rsidP="005E6EC7">
            <w:pPr>
              <w:spacing w:after="0" w:line="360" w:lineRule="auto"/>
              <w:rPr>
                <w:rFonts w:ascii="Times New Roman" w:hAnsi="Times New Roman" w:cs="Times New Roman"/>
                <w:sz w:val="18"/>
                <w:szCs w:val="18"/>
                <w:highlight w:val="yellow"/>
              </w:rPr>
            </w:pPr>
          </w:p>
        </w:tc>
        <w:tc>
          <w:tcPr>
            <w:tcW w:w="1090" w:type="dxa"/>
            <w:shd w:val="clear" w:color="auto" w:fill="auto"/>
          </w:tcPr>
          <w:p w14:paraId="643F733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3.2667±0.21</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vAlign w:val="center"/>
          </w:tcPr>
          <w:p w14:paraId="71332BAA"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2.4333±0.06</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531F052E"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2.0333±0.06</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68168941"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3.1333±0.15</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tcPr>
          <w:p w14:paraId="439C70C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2.0333±0.06</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639E9CC3"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1.5000±0.26</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tcPr>
          <w:p w14:paraId="56F0E052"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0.8000±0.10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71DA90D0"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1.0333±0.06</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tcPr>
          <w:p w14:paraId="68F27266"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381B9031"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tcPr>
          <w:p w14:paraId="1477792D"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r>
      <w:tr w:rsidR="00082AA3" w:rsidRPr="005E6EC7" w14:paraId="29FFF6CD" w14:textId="77777777" w:rsidTr="00212FEC">
        <w:tc>
          <w:tcPr>
            <w:tcW w:w="1090" w:type="dxa"/>
            <w:shd w:val="clear" w:color="auto" w:fill="auto"/>
          </w:tcPr>
          <w:p w14:paraId="62A6ACFE" w14:textId="77777777" w:rsidR="00082AA3" w:rsidRPr="005E6EC7" w:rsidRDefault="00082AA3" w:rsidP="005E6EC7">
            <w:pPr>
              <w:spacing w:after="0" w:line="360" w:lineRule="auto"/>
              <w:rPr>
                <w:rFonts w:ascii="Times New Roman" w:hAnsi="Times New Roman" w:cs="Times New Roman"/>
                <w:b/>
                <w:bCs/>
                <w:sz w:val="18"/>
                <w:szCs w:val="18"/>
                <w:highlight w:val="yellow"/>
              </w:rPr>
            </w:pPr>
            <w:r w:rsidRPr="005E6EC7">
              <w:rPr>
                <w:rFonts w:ascii="Times New Roman" w:hAnsi="Times New Roman" w:cs="Times New Roman"/>
                <w:b/>
                <w:bCs/>
                <w:color w:val="000000"/>
                <w:sz w:val="18"/>
                <w:szCs w:val="18"/>
                <w:highlight w:val="yellow"/>
              </w:rPr>
              <w:t>TGX 1910-11F</w:t>
            </w:r>
          </w:p>
          <w:p w14:paraId="2F477CE4" w14:textId="77777777" w:rsidR="00082AA3" w:rsidRPr="005E6EC7" w:rsidRDefault="00082AA3" w:rsidP="005E6EC7">
            <w:pPr>
              <w:spacing w:after="0" w:line="360" w:lineRule="auto"/>
              <w:rPr>
                <w:rFonts w:ascii="Times New Roman" w:hAnsi="Times New Roman" w:cs="Times New Roman"/>
                <w:b/>
                <w:bCs/>
                <w:sz w:val="18"/>
                <w:szCs w:val="18"/>
                <w:highlight w:val="yellow"/>
              </w:rPr>
            </w:pPr>
          </w:p>
        </w:tc>
        <w:tc>
          <w:tcPr>
            <w:tcW w:w="1090" w:type="dxa"/>
            <w:shd w:val="clear" w:color="auto" w:fill="auto"/>
            <w:vAlign w:val="center"/>
          </w:tcPr>
          <w:p w14:paraId="648F10E4"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5.1333±0.15</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vAlign w:val="center"/>
          </w:tcPr>
          <w:p w14:paraId="5F87E167"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3.1000±0.10</w:t>
            </w:r>
            <w:r w:rsidRPr="005E6EC7">
              <w:rPr>
                <w:rFonts w:ascii="Times New Roman" w:hAnsi="Times New Roman" w:cs="Times New Roman"/>
                <w:color w:val="000000"/>
                <w:sz w:val="18"/>
                <w:szCs w:val="18"/>
                <w:highlight w:val="yellow"/>
                <w:vertAlign w:val="superscript"/>
              </w:rPr>
              <w:t>ab</w:t>
            </w:r>
          </w:p>
        </w:tc>
        <w:tc>
          <w:tcPr>
            <w:tcW w:w="1091" w:type="dxa"/>
            <w:shd w:val="clear" w:color="auto" w:fill="auto"/>
            <w:vAlign w:val="center"/>
          </w:tcPr>
          <w:p w14:paraId="7ADF1FCE"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2.2333±0.40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vAlign w:val="center"/>
          </w:tcPr>
          <w:p w14:paraId="5CD4178C"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2.1667±0.06</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vAlign w:val="center"/>
          </w:tcPr>
          <w:p w14:paraId="4F983D7C"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3.1667±0.29</w:t>
            </w:r>
            <w:r w:rsidRPr="005E6EC7">
              <w:rPr>
                <w:rFonts w:ascii="Times New Roman" w:hAnsi="Times New Roman" w:cs="Times New Roman"/>
                <w:color w:val="000000"/>
                <w:sz w:val="18"/>
                <w:szCs w:val="18"/>
                <w:highlight w:val="yellow"/>
                <w:vertAlign w:val="superscript"/>
              </w:rPr>
              <w:t>a</w:t>
            </w:r>
          </w:p>
        </w:tc>
        <w:tc>
          <w:tcPr>
            <w:tcW w:w="1090" w:type="dxa"/>
            <w:shd w:val="clear" w:color="auto" w:fill="auto"/>
            <w:vAlign w:val="center"/>
          </w:tcPr>
          <w:p w14:paraId="1E7B9FE8"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1.1000±0.10</w:t>
            </w:r>
            <w:r w:rsidRPr="005E6EC7">
              <w:rPr>
                <w:rFonts w:ascii="Times New Roman" w:hAnsi="Times New Roman" w:cs="Times New Roman"/>
                <w:color w:val="000000"/>
                <w:sz w:val="18"/>
                <w:szCs w:val="18"/>
                <w:highlight w:val="yellow"/>
                <w:vertAlign w:val="superscript"/>
              </w:rPr>
              <w:t>ab</w:t>
            </w:r>
          </w:p>
        </w:tc>
        <w:tc>
          <w:tcPr>
            <w:tcW w:w="1091" w:type="dxa"/>
            <w:shd w:val="clear" w:color="auto" w:fill="auto"/>
            <w:vAlign w:val="center"/>
          </w:tcPr>
          <w:p w14:paraId="07B2434D"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1.2333±0.12</w:t>
            </w:r>
            <w:r w:rsidRPr="005E6EC7">
              <w:rPr>
                <w:rFonts w:ascii="Times New Roman" w:hAnsi="Times New Roman" w:cs="Times New Roman"/>
                <w:color w:val="000000"/>
                <w:sz w:val="18"/>
                <w:szCs w:val="18"/>
                <w:highlight w:val="yellow"/>
                <w:vertAlign w:val="superscript"/>
              </w:rPr>
              <w:t>ab</w:t>
            </w:r>
          </w:p>
        </w:tc>
        <w:tc>
          <w:tcPr>
            <w:tcW w:w="1090" w:type="dxa"/>
            <w:shd w:val="clear" w:color="auto" w:fill="auto"/>
            <w:vAlign w:val="center"/>
          </w:tcPr>
          <w:p w14:paraId="5CCCA767"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0.7133±0.02</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vAlign w:val="center"/>
          </w:tcPr>
          <w:p w14:paraId="323F10BB"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1.2500±0.21</w:t>
            </w:r>
            <w:r w:rsidRPr="005E6EC7">
              <w:rPr>
                <w:rFonts w:ascii="Times New Roman" w:hAnsi="Times New Roman" w:cs="Times New Roman"/>
                <w:color w:val="000000"/>
                <w:sz w:val="18"/>
                <w:szCs w:val="18"/>
                <w:highlight w:val="yellow"/>
                <w:vertAlign w:val="superscript"/>
              </w:rPr>
              <w:t>a</w:t>
            </w:r>
          </w:p>
        </w:tc>
        <w:tc>
          <w:tcPr>
            <w:tcW w:w="1091" w:type="dxa"/>
            <w:shd w:val="clear" w:color="auto" w:fill="auto"/>
            <w:vAlign w:val="center"/>
          </w:tcPr>
          <w:p w14:paraId="3871A881"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vAlign w:val="center"/>
          </w:tcPr>
          <w:p w14:paraId="7B5A3D25" w14:textId="77777777" w:rsidR="00082AA3" w:rsidRPr="005E6EC7" w:rsidRDefault="00082AA3" w:rsidP="005E6EC7">
            <w:pPr>
              <w:spacing w:after="0" w:line="360" w:lineRule="auto"/>
              <w:rPr>
                <w:rFonts w:ascii="Times New Roman" w:hAnsi="Times New Roman" w:cs="Times New Roman"/>
                <w:color w:val="000000"/>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c>
          <w:tcPr>
            <w:tcW w:w="1090" w:type="dxa"/>
            <w:shd w:val="clear" w:color="auto" w:fill="auto"/>
            <w:vAlign w:val="center"/>
          </w:tcPr>
          <w:p w14:paraId="4FE89DF1" w14:textId="77777777" w:rsidR="00082AA3" w:rsidRPr="005E6EC7" w:rsidRDefault="00082AA3" w:rsidP="005E6EC7">
            <w:pPr>
              <w:spacing w:after="0" w:line="360" w:lineRule="auto"/>
              <w:rPr>
                <w:rFonts w:ascii="Times New Roman" w:hAnsi="Times New Roman" w:cs="Times New Roman"/>
                <w:sz w:val="18"/>
                <w:szCs w:val="18"/>
                <w:highlight w:val="yellow"/>
              </w:rPr>
            </w:pPr>
            <w:r w:rsidRPr="005E6EC7">
              <w:rPr>
                <w:rFonts w:ascii="Times New Roman" w:hAnsi="Times New Roman" w:cs="Times New Roman"/>
                <w:color w:val="000000"/>
                <w:sz w:val="18"/>
                <w:szCs w:val="18"/>
                <w:highlight w:val="yellow"/>
              </w:rPr>
              <w:t>0.0000±0.00</w:t>
            </w:r>
            <w:r w:rsidRPr="005E6EC7">
              <w:rPr>
                <w:rFonts w:ascii="Times New Roman" w:hAnsi="Times New Roman" w:cs="Times New Roman"/>
                <w:color w:val="000000"/>
                <w:sz w:val="18"/>
                <w:szCs w:val="18"/>
                <w:highlight w:val="yellow"/>
                <w:vertAlign w:val="superscript"/>
              </w:rPr>
              <w:t>b</w:t>
            </w:r>
          </w:p>
        </w:tc>
      </w:tr>
    </w:tbl>
    <w:p w14:paraId="14EF9877" w14:textId="77777777" w:rsidR="00082AA3" w:rsidRPr="005E6EC7" w:rsidRDefault="00082AA3" w:rsidP="005E6EC7">
      <w:pPr>
        <w:spacing w:after="0" w:line="360" w:lineRule="auto"/>
        <w:rPr>
          <w:rFonts w:ascii="Times New Roman" w:hAnsi="Times New Roman" w:cs="Times New Roman"/>
          <w:color w:val="000000"/>
          <w:sz w:val="18"/>
          <w:szCs w:val="18"/>
        </w:rPr>
      </w:pPr>
      <w:r w:rsidRPr="005E6EC7">
        <w:rPr>
          <w:rFonts w:ascii="Times New Roman" w:hAnsi="Times New Roman" w:cs="Times New Roman"/>
          <w:color w:val="000000"/>
          <w:sz w:val="18"/>
          <w:szCs w:val="18"/>
          <w:highlight w:val="yellow"/>
        </w:rPr>
        <w:t>Means with the same alphabet under the same week and concentration are not significantly different at (P &lt; 0. 05)</w:t>
      </w:r>
    </w:p>
    <w:p w14:paraId="1FB83E3E" w14:textId="6753CD15" w:rsidR="00F57833" w:rsidRDefault="00F57833" w:rsidP="00DE1F9D">
      <w:pPr>
        <w:sectPr w:rsidR="00F57833" w:rsidSect="005E6EC7">
          <w:pgSz w:w="16838" w:h="11906" w:orient="landscape"/>
          <w:pgMar w:top="284" w:right="1440" w:bottom="0" w:left="1440" w:header="708" w:footer="708" w:gutter="0"/>
          <w:cols w:space="708"/>
          <w:docGrid w:linePitch="360"/>
        </w:sectPr>
      </w:pPr>
    </w:p>
    <w:p w14:paraId="49F07164" w14:textId="22C30730" w:rsidR="008D73B8" w:rsidRPr="00564E94" w:rsidRDefault="005A2F0E" w:rsidP="00564E94">
      <w:pPr>
        <w:spacing w:line="480" w:lineRule="auto"/>
        <w:jc w:val="both"/>
        <w:rPr>
          <w:rFonts w:ascii="Times New Roman" w:hAnsi="Times New Roman" w:cs="Times New Roman"/>
          <w:sz w:val="24"/>
          <w:szCs w:val="24"/>
          <w:lang w:val="en-US"/>
        </w:rPr>
      </w:pPr>
      <w:r w:rsidRPr="00564E94">
        <w:rPr>
          <w:rFonts w:ascii="Times New Roman" w:hAnsi="Times New Roman" w:cs="Times New Roman"/>
          <w:sz w:val="24"/>
          <w:szCs w:val="24"/>
          <w:lang w:val="en-US"/>
        </w:rPr>
        <w:lastRenderedPageBreak/>
        <w:t>On the other hand, genotypes like TGX 1987-10F and TGX 1448-2E still retain measurable chlorophyll levels (4.1 and 4.0, respectively), implying that these varieties possess intrinsic mechanisms to mitigate salt-induced damage, such as antioxidant activity or efficient ion regulation</w:t>
      </w:r>
      <w:r w:rsidR="008D73B8" w:rsidRPr="00564E94">
        <w:rPr>
          <w:rFonts w:ascii="Times New Roman" w:hAnsi="Times New Roman" w:cs="Times New Roman"/>
          <w:sz w:val="24"/>
          <w:szCs w:val="24"/>
          <w:lang w:val="en-US"/>
        </w:rPr>
        <w:t xml:space="preserve">. </w:t>
      </w:r>
      <w:r w:rsidR="004030E6" w:rsidRPr="00564E94">
        <w:rPr>
          <w:rFonts w:ascii="Times New Roman" w:hAnsi="Times New Roman" w:cs="Times New Roman"/>
          <w:sz w:val="24"/>
          <w:szCs w:val="24"/>
          <w:lang w:val="en-US"/>
        </w:rPr>
        <w:t>The</w:t>
      </w:r>
      <w:r w:rsidR="000776A7" w:rsidRPr="00564E94">
        <w:rPr>
          <w:rFonts w:ascii="Times New Roman" w:hAnsi="Times New Roman" w:cs="Times New Roman"/>
          <w:sz w:val="24"/>
          <w:szCs w:val="24"/>
          <w:lang w:val="en-US"/>
        </w:rPr>
        <w:t xml:space="preserve"> Overall result </w:t>
      </w:r>
      <w:r w:rsidR="004030E6" w:rsidRPr="00564E94">
        <w:rPr>
          <w:rFonts w:ascii="Times New Roman" w:hAnsi="Times New Roman" w:cs="Times New Roman"/>
          <w:sz w:val="24"/>
          <w:szCs w:val="24"/>
          <w:lang w:val="en-US"/>
        </w:rPr>
        <w:t>showed</w:t>
      </w:r>
      <w:r w:rsidR="000776A7" w:rsidRPr="00564E94">
        <w:rPr>
          <w:rFonts w:ascii="Times New Roman" w:hAnsi="Times New Roman" w:cs="Times New Roman"/>
          <w:sz w:val="24"/>
          <w:szCs w:val="24"/>
          <w:lang w:val="en-US"/>
        </w:rPr>
        <w:t xml:space="preserve"> that</w:t>
      </w:r>
      <w:r w:rsidR="004030E6" w:rsidRPr="00564E94">
        <w:rPr>
          <w:rFonts w:ascii="Times New Roman" w:hAnsi="Times New Roman" w:cs="Times New Roman"/>
          <w:sz w:val="24"/>
          <w:szCs w:val="24"/>
          <w:lang w:val="en-US"/>
        </w:rPr>
        <w:t>,</w:t>
      </w:r>
      <w:r w:rsidR="000776A7" w:rsidRPr="00564E94">
        <w:rPr>
          <w:rFonts w:ascii="Times New Roman" w:hAnsi="Times New Roman" w:cs="Times New Roman"/>
          <w:sz w:val="24"/>
          <w:szCs w:val="24"/>
          <w:lang w:val="en-US"/>
        </w:rPr>
        <w:t xml:space="preserve"> salt stress induce</w:t>
      </w:r>
      <w:r w:rsidR="004030E6" w:rsidRPr="00564E94">
        <w:rPr>
          <w:rFonts w:ascii="Times New Roman" w:hAnsi="Times New Roman" w:cs="Times New Roman"/>
          <w:sz w:val="24"/>
          <w:szCs w:val="24"/>
          <w:lang w:val="en-US"/>
        </w:rPr>
        <w:t>d</w:t>
      </w:r>
      <w:r w:rsidR="000776A7" w:rsidRPr="00564E94">
        <w:rPr>
          <w:rFonts w:ascii="Times New Roman" w:hAnsi="Times New Roman" w:cs="Times New Roman"/>
          <w:sz w:val="24"/>
          <w:szCs w:val="24"/>
          <w:lang w:val="en-US"/>
        </w:rPr>
        <w:t xml:space="preserve"> a significant decline in chlorophyll content, which correlates with the reduction in photosynthetic efficiency and plant vigor. </w:t>
      </w:r>
      <w:r w:rsidR="008D73B8" w:rsidRPr="00564E94">
        <w:rPr>
          <w:rFonts w:ascii="Times New Roman" w:hAnsi="Times New Roman" w:cs="Times New Roman"/>
          <w:sz w:val="24"/>
          <w:szCs w:val="24"/>
          <w:lang w:val="en-US"/>
        </w:rPr>
        <w:t xml:space="preserve"> </w:t>
      </w:r>
      <w:r w:rsidR="008D73B8" w:rsidRPr="00564E94">
        <w:rPr>
          <w:rFonts w:ascii="Times New Roman" w:hAnsi="Times New Roman" w:cs="Times New Roman"/>
          <w:sz w:val="24"/>
          <w:szCs w:val="24"/>
          <w:highlight w:val="yellow"/>
          <w:lang w:val="en-US"/>
        </w:rPr>
        <w:t>The Anova revealed a highly significant effect of salinity on chlorophyll content (</w:t>
      </w:r>
      <w:r w:rsidR="00F42FCF" w:rsidRPr="00564E94">
        <w:rPr>
          <w:rFonts w:ascii="Times New Roman" w:hAnsi="Times New Roman" w:cs="Times New Roman"/>
          <w:sz w:val="24"/>
          <w:szCs w:val="24"/>
          <w:highlight w:val="yellow"/>
          <w:lang w:val="en-US"/>
        </w:rPr>
        <w:t>F (</w:t>
      </w:r>
      <w:r w:rsidR="008D73B8" w:rsidRPr="00564E94">
        <w:rPr>
          <w:rFonts w:ascii="Times New Roman" w:hAnsi="Times New Roman" w:cs="Times New Roman"/>
          <w:sz w:val="24"/>
          <w:szCs w:val="24"/>
          <w:highlight w:val="yellow"/>
          <w:lang w:val="en-US"/>
        </w:rPr>
        <w:t>3, 48) = 34.72, P&lt; 0.05), and a significant genotype x salinity interaction (</w:t>
      </w:r>
      <w:r w:rsidR="00F70233" w:rsidRPr="00564E94">
        <w:rPr>
          <w:rFonts w:ascii="Times New Roman" w:hAnsi="Times New Roman" w:cs="Times New Roman"/>
          <w:sz w:val="24"/>
          <w:szCs w:val="24"/>
          <w:highlight w:val="yellow"/>
          <w:lang w:val="en-US"/>
        </w:rPr>
        <w:t>F (</w:t>
      </w:r>
      <w:r w:rsidR="008D73B8" w:rsidRPr="00564E94">
        <w:rPr>
          <w:rFonts w:ascii="Times New Roman" w:hAnsi="Times New Roman" w:cs="Times New Roman"/>
          <w:sz w:val="24"/>
          <w:szCs w:val="24"/>
          <w:highlight w:val="yellow"/>
          <w:lang w:val="en-US"/>
        </w:rPr>
        <w:t>12, 48) =5.21, P&lt; 0.05).</w:t>
      </w:r>
      <w:r w:rsidR="008D73B8" w:rsidRPr="00564E94">
        <w:rPr>
          <w:rFonts w:ascii="Times New Roman" w:hAnsi="Times New Roman" w:cs="Times New Roman"/>
          <w:sz w:val="24"/>
          <w:szCs w:val="24"/>
          <w:lang w:val="en-US"/>
        </w:rPr>
        <w:t xml:space="preserve"> </w:t>
      </w:r>
      <w:r w:rsidR="000776A7" w:rsidRPr="00564E94">
        <w:rPr>
          <w:rFonts w:ascii="Times New Roman" w:hAnsi="Times New Roman" w:cs="Times New Roman"/>
          <w:sz w:val="24"/>
          <w:szCs w:val="24"/>
          <w:lang w:val="en-US"/>
        </w:rPr>
        <w:t>The differential responses among soybean varieties suggest genetic variability in salt tolerance. Varieties like TGX 1987-10F and TGX 1448-2E demonstrate better resilience, maintaining higher chlorophyll levels under saline conditions. This trait is crucial for sustaining photosynthesis, growth, and yield in salt-affected environments. The progressive decrease in chlorophyll content over time and increasing salt levels underscores the importance of selecting and breeding salt-tolerant soybean cultivars to enhance productivity in saline soils.</w:t>
      </w:r>
    </w:p>
    <w:p w14:paraId="49ADCDF8" w14:textId="437611A5" w:rsidR="000776A7" w:rsidRPr="00564E94" w:rsidRDefault="000776A7" w:rsidP="00564E94">
      <w:pPr>
        <w:spacing w:line="480" w:lineRule="auto"/>
        <w:jc w:val="both"/>
        <w:rPr>
          <w:rFonts w:ascii="Times New Roman" w:hAnsi="Times New Roman" w:cs="Times New Roman"/>
          <w:sz w:val="24"/>
          <w:szCs w:val="24"/>
          <w:lang w:val="en-US"/>
        </w:rPr>
      </w:pPr>
      <w:r w:rsidRPr="00564E94">
        <w:rPr>
          <w:rFonts w:ascii="Times New Roman" w:hAnsi="Times New Roman" w:cs="Times New Roman"/>
          <w:sz w:val="24"/>
          <w:szCs w:val="24"/>
          <w:lang w:val="en-US"/>
        </w:rPr>
        <w:t>Salinity markedly impairs chlorophyll content in soybean plants, with tolerant varieties exhibiting less reduction. These findings provide valuable insights for breeding programs aimed at improving salt tolerance, emphasizing the need to focus on traits associated with chlorophyll retention under salinity stress to ensure crop productivity in challenging environments</w:t>
      </w:r>
      <w:r w:rsidR="008E5CF0">
        <w:rPr>
          <w:rFonts w:ascii="Times New Roman" w:hAnsi="Times New Roman" w:cs="Times New Roman"/>
          <w:sz w:val="24"/>
          <w:szCs w:val="24"/>
          <w:lang w:val="en-US"/>
        </w:rPr>
        <w:t xml:space="preserve"> </w:t>
      </w:r>
      <w:r w:rsidR="004C1ED3">
        <w:rPr>
          <w:rFonts w:ascii="Times New Roman" w:hAnsi="Times New Roman" w:cs="Times New Roman"/>
          <w:sz w:val="24"/>
          <w:szCs w:val="24"/>
          <w:lang w:val="en-US"/>
        </w:rPr>
        <w:t>(</w:t>
      </w:r>
      <w:r w:rsidR="004C1ED3" w:rsidRPr="007224ED">
        <w:rPr>
          <w:rFonts w:ascii="Times New Roman" w:hAnsi="Times New Roman" w:cs="Times New Roman"/>
          <w:sz w:val="24"/>
          <w:szCs w:val="24"/>
          <w:highlight w:val="yellow"/>
          <w:lang w:val="en-US"/>
        </w:rPr>
        <w:t xml:space="preserve">Swar </w:t>
      </w:r>
      <w:r w:rsidR="004C1ED3" w:rsidRPr="007224ED">
        <w:rPr>
          <w:rFonts w:ascii="Times New Roman" w:hAnsi="Times New Roman" w:cs="Times New Roman"/>
          <w:i/>
          <w:iCs/>
          <w:sz w:val="24"/>
          <w:szCs w:val="24"/>
          <w:highlight w:val="yellow"/>
          <w:lang w:val="en-US"/>
        </w:rPr>
        <w:t>et al</w:t>
      </w:r>
      <w:r w:rsidR="004C1ED3" w:rsidRPr="007224ED">
        <w:rPr>
          <w:rFonts w:ascii="Times New Roman" w:hAnsi="Times New Roman" w:cs="Times New Roman"/>
          <w:sz w:val="24"/>
          <w:szCs w:val="24"/>
          <w:highlight w:val="yellow"/>
          <w:lang w:val="en-US"/>
        </w:rPr>
        <w:t>., 2021</w:t>
      </w:r>
      <w:r w:rsidR="004C1ED3">
        <w:rPr>
          <w:rFonts w:ascii="Times New Roman" w:hAnsi="Times New Roman" w:cs="Times New Roman"/>
          <w:sz w:val="24"/>
          <w:szCs w:val="24"/>
          <w:lang w:val="en-US"/>
        </w:rPr>
        <w:t>).</w:t>
      </w:r>
    </w:p>
    <w:p w14:paraId="2BC38613" w14:textId="77777777" w:rsidR="000776A7" w:rsidRPr="00564E94" w:rsidRDefault="000776A7" w:rsidP="00564E94">
      <w:pPr>
        <w:spacing w:line="480" w:lineRule="auto"/>
        <w:jc w:val="both"/>
        <w:rPr>
          <w:rFonts w:ascii="Times New Roman" w:hAnsi="Times New Roman" w:cs="Times New Roman"/>
          <w:b/>
          <w:bCs/>
          <w:sz w:val="24"/>
          <w:szCs w:val="24"/>
          <w:lang w:val="en-US"/>
        </w:rPr>
      </w:pPr>
      <w:r w:rsidRPr="00564E94">
        <w:rPr>
          <w:rFonts w:ascii="Times New Roman" w:hAnsi="Times New Roman" w:cs="Times New Roman"/>
          <w:sz w:val="24"/>
          <w:szCs w:val="24"/>
          <w:lang w:val="en-US"/>
        </w:rPr>
        <w:t xml:space="preserve">4. 0 </w:t>
      </w:r>
      <w:r w:rsidRPr="00564E94">
        <w:rPr>
          <w:rFonts w:ascii="Times New Roman" w:hAnsi="Times New Roman" w:cs="Times New Roman"/>
          <w:b/>
          <w:bCs/>
          <w:sz w:val="24"/>
          <w:szCs w:val="24"/>
          <w:lang w:val="en-US"/>
        </w:rPr>
        <w:t xml:space="preserve">Discussion </w:t>
      </w:r>
    </w:p>
    <w:p w14:paraId="06FB5EB9" w14:textId="75350C58" w:rsidR="000776A7" w:rsidRPr="00564E94" w:rsidRDefault="000776A7" w:rsidP="00564E94">
      <w:pPr>
        <w:spacing w:line="480" w:lineRule="auto"/>
        <w:jc w:val="both"/>
        <w:rPr>
          <w:rFonts w:ascii="Times New Roman" w:hAnsi="Times New Roman" w:cs="Times New Roman"/>
          <w:sz w:val="24"/>
          <w:szCs w:val="24"/>
        </w:rPr>
      </w:pPr>
      <w:r w:rsidRPr="00564E94">
        <w:rPr>
          <w:rFonts w:ascii="Times New Roman" w:hAnsi="Times New Roman" w:cs="Times New Roman"/>
          <w:sz w:val="24"/>
          <w:szCs w:val="24"/>
          <w:lang w:val="en-US"/>
        </w:rPr>
        <w:t xml:space="preserve">The progressive reduction in chlorophyll content </w:t>
      </w:r>
      <w:r w:rsidRPr="00564E94">
        <w:rPr>
          <w:rFonts w:ascii="Times New Roman" w:hAnsi="Times New Roman" w:cs="Times New Roman"/>
          <w:sz w:val="24"/>
          <w:szCs w:val="24"/>
          <w:highlight w:val="yellow"/>
          <w:lang w:val="en-US"/>
        </w:rPr>
        <w:t>across</w:t>
      </w:r>
      <w:r w:rsidRPr="00564E94">
        <w:rPr>
          <w:rFonts w:ascii="Times New Roman" w:hAnsi="Times New Roman" w:cs="Times New Roman"/>
          <w:sz w:val="24"/>
          <w:szCs w:val="24"/>
          <w:lang w:val="en-US"/>
        </w:rPr>
        <w:t xml:space="preserve"> soybean varieties exposed to increasing salinity levels (0, 4, 6 </w:t>
      </w:r>
      <w:r w:rsidR="0066055E" w:rsidRPr="00564E94">
        <w:rPr>
          <w:rFonts w:ascii="Times New Roman" w:hAnsi="Times New Roman" w:cs="Times New Roman"/>
          <w:sz w:val="24"/>
          <w:szCs w:val="24"/>
          <w:lang w:val="en-US"/>
        </w:rPr>
        <w:t>and 8</w:t>
      </w:r>
      <w:r w:rsidR="00E86CF0" w:rsidRPr="00564E94">
        <w:rPr>
          <w:rFonts w:ascii="Times New Roman" w:hAnsi="Times New Roman" w:cs="Times New Roman"/>
          <w:sz w:val="24"/>
          <w:szCs w:val="24"/>
          <w:highlight w:val="yellow"/>
          <w:lang w:val="en-US"/>
        </w:rPr>
        <w:t xml:space="preserve"> </w:t>
      </w:r>
      <w:proofErr w:type="spellStart"/>
      <w:r w:rsidR="00E86CF0" w:rsidRPr="00564E94">
        <w:rPr>
          <w:rFonts w:ascii="Times New Roman" w:hAnsi="Times New Roman" w:cs="Times New Roman"/>
          <w:sz w:val="24"/>
          <w:szCs w:val="24"/>
          <w:highlight w:val="yellow"/>
          <w:lang w:val="en-US"/>
        </w:rPr>
        <w:t>dS</w:t>
      </w:r>
      <w:proofErr w:type="spellEnd"/>
      <w:r w:rsidR="00E86CF0" w:rsidRPr="00564E94">
        <w:rPr>
          <w:rFonts w:ascii="Times New Roman" w:hAnsi="Times New Roman" w:cs="Times New Roman"/>
          <w:sz w:val="24"/>
          <w:szCs w:val="24"/>
          <w:highlight w:val="yellow"/>
          <w:lang w:val="en-US"/>
        </w:rPr>
        <w:t>/m</w:t>
      </w:r>
      <w:r w:rsidR="00E86CF0" w:rsidRPr="00564E94">
        <w:rPr>
          <w:rFonts w:ascii="Times New Roman" w:hAnsi="Times New Roman" w:cs="Times New Roman"/>
          <w:sz w:val="24"/>
          <w:szCs w:val="24"/>
          <w:highlight w:val="yellow"/>
          <w:vertAlign w:val="superscript"/>
          <w:lang w:val="en-US"/>
        </w:rPr>
        <w:t>-1</w:t>
      </w:r>
      <w:r w:rsidRPr="00564E94">
        <w:rPr>
          <w:rFonts w:ascii="Times New Roman" w:hAnsi="Times New Roman" w:cs="Times New Roman"/>
          <w:sz w:val="24"/>
          <w:szCs w:val="24"/>
          <w:lang w:val="en-US"/>
        </w:rPr>
        <w:t xml:space="preserve">observed in this study confirms that salinity stress negatively impacts photosynthetic pigments synthesis and stability. Chlorophyll is fundamental to light harvesting during photosynthesis, and its reduction is a key </w:t>
      </w:r>
      <w:r w:rsidRPr="00564E94">
        <w:rPr>
          <w:rFonts w:ascii="Times New Roman" w:hAnsi="Times New Roman" w:cs="Times New Roman"/>
          <w:sz w:val="24"/>
          <w:szCs w:val="24"/>
          <w:lang w:val="en-US"/>
        </w:rPr>
        <w:lastRenderedPageBreak/>
        <w:t xml:space="preserve">physiological indicator of plants stress and health deterioration (Parihar </w:t>
      </w:r>
      <w:r w:rsidRPr="00564E94">
        <w:rPr>
          <w:rFonts w:ascii="Times New Roman" w:hAnsi="Times New Roman" w:cs="Times New Roman"/>
          <w:i/>
          <w:iCs/>
          <w:sz w:val="24"/>
          <w:szCs w:val="24"/>
          <w:lang w:val="en-US"/>
        </w:rPr>
        <w:t>et al</w:t>
      </w:r>
      <w:r w:rsidRPr="00564E94">
        <w:rPr>
          <w:rFonts w:ascii="Times New Roman" w:hAnsi="Times New Roman" w:cs="Times New Roman"/>
          <w:sz w:val="24"/>
          <w:szCs w:val="24"/>
          <w:lang w:val="en-US"/>
        </w:rPr>
        <w:t xml:space="preserve">., 2015; Munns &amp; </w:t>
      </w:r>
      <w:proofErr w:type="spellStart"/>
      <w:r w:rsidRPr="00564E94">
        <w:rPr>
          <w:rFonts w:ascii="Times New Roman" w:hAnsi="Times New Roman" w:cs="Times New Roman"/>
          <w:sz w:val="24"/>
          <w:szCs w:val="24"/>
          <w:lang w:val="en-US"/>
        </w:rPr>
        <w:t>Gilliham</w:t>
      </w:r>
      <w:proofErr w:type="spellEnd"/>
      <w:r w:rsidRPr="00564E94">
        <w:rPr>
          <w:rFonts w:ascii="Times New Roman" w:hAnsi="Times New Roman" w:cs="Times New Roman"/>
          <w:sz w:val="24"/>
          <w:szCs w:val="24"/>
          <w:lang w:val="en-US"/>
        </w:rPr>
        <w:t xml:space="preserve">; 2015). At week 4, the relatively high chlorophyll levels across all varieties at control suggest optimal physiological conditions. However, the subsequent decline in chlorophyll content with increasing salinity levels reflects the onset of ionic toxicity and osmotic stress, which impair chloroplast development and function (Zor </w:t>
      </w:r>
      <w:r w:rsidRPr="00564E94">
        <w:rPr>
          <w:rFonts w:ascii="Times New Roman" w:hAnsi="Times New Roman" w:cs="Times New Roman"/>
          <w:i/>
          <w:iCs/>
          <w:sz w:val="24"/>
          <w:szCs w:val="24"/>
          <w:lang w:val="en-US"/>
        </w:rPr>
        <w:t>et al</w:t>
      </w:r>
      <w:r w:rsidR="00F45327" w:rsidRPr="00564E94">
        <w:rPr>
          <w:rFonts w:ascii="Times New Roman" w:hAnsi="Times New Roman" w:cs="Times New Roman"/>
          <w:i/>
          <w:iCs/>
          <w:sz w:val="24"/>
          <w:szCs w:val="24"/>
          <w:lang w:val="en-US"/>
        </w:rPr>
        <w:t>.,</w:t>
      </w:r>
      <w:r w:rsidRPr="00564E94">
        <w:rPr>
          <w:rFonts w:ascii="Times New Roman" w:hAnsi="Times New Roman" w:cs="Times New Roman"/>
          <w:sz w:val="24"/>
          <w:szCs w:val="24"/>
          <w:lang w:val="en-US"/>
        </w:rPr>
        <w:t xml:space="preserve"> 2019). Susceptible varieties such as TGX 1904-6F and TGX 1905-2F showed more rapid and severe reductions, indicating their lower capacity to cope with </w:t>
      </w:r>
      <w:r w:rsidRPr="00564E94">
        <w:rPr>
          <w:rFonts w:ascii="Times New Roman" w:hAnsi="Times New Roman" w:cs="Times New Roman"/>
          <w:sz w:val="24"/>
          <w:szCs w:val="24"/>
          <w:highlight w:val="yellow"/>
          <w:lang w:val="en-US"/>
        </w:rPr>
        <w:t>Na</w:t>
      </w:r>
      <w:r w:rsidRPr="00564E94">
        <w:rPr>
          <w:rFonts w:ascii="Times New Roman" w:hAnsi="Times New Roman" w:cs="Times New Roman"/>
          <w:sz w:val="24"/>
          <w:szCs w:val="24"/>
          <w:highlight w:val="yellow"/>
          <w:vertAlign w:val="superscript"/>
          <w:lang w:val="en-US"/>
        </w:rPr>
        <w:t>+</w:t>
      </w:r>
      <w:r w:rsidRPr="00564E94">
        <w:rPr>
          <w:rFonts w:ascii="Times New Roman" w:hAnsi="Times New Roman" w:cs="Times New Roman"/>
          <w:sz w:val="24"/>
          <w:szCs w:val="24"/>
          <w:lang w:val="en-US"/>
        </w:rPr>
        <w:t xml:space="preserve"> and </w:t>
      </w:r>
      <w:r w:rsidRPr="00564E94">
        <w:rPr>
          <w:rFonts w:ascii="Times New Roman" w:hAnsi="Times New Roman" w:cs="Times New Roman"/>
          <w:sz w:val="24"/>
          <w:szCs w:val="24"/>
          <w:highlight w:val="yellow"/>
          <w:lang w:val="en-US"/>
        </w:rPr>
        <w:t>Cl</w:t>
      </w:r>
      <w:r w:rsidRPr="00564E94">
        <w:rPr>
          <w:rFonts w:ascii="Times New Roman" w:hAnsi="Times New Roman" w:cs="Times New Roman"/>
          <w:sz w:val="24"/>
          <w:szCs w:val="24"/>
          <w:vertAlign w:val="superscript"/>
          <w:lang w:val="en-US"/>
        </w:rPr>
        <w:t xml:space="preserve">- </w:t>
      </w:r>
      <w:r w:rsidRPr="00564E94">
        <w:rPr>
          <w:rFonts w:ascii="Times New Roman" w:hAnsi="Times New Roman" w:cs="Times New Roman"/>
          <w:sz w:val="24"/>
          <w:szCs w:val="24"/>
          <w:lang w:val="en-US"/>
        </w:rPr>
        <w:t>accumulation</w:t>
      </w:r>
      <w:r w:rsidRPr="00564E94">
        <w:rPr>
          <w:rFonts w:ascii="Times New Roman" w:hAnsi="Times New Roman" w:cs="Times New Roman"/>
          <w:sz w:val="24"/>
          <w:szCs w:val="24"/>
          <w:vertAlign w:val="superscript"/>
          <w:lang w:val="en-US"/>
        </w:rPr>
        <w:t xml:space="preserve"> </w:t>
      </w:r>
      <w:r w:rsidRPr="00564E94">
        <w:rPr>
          <w:rFonts w:ascii="Times New Roman" w:hAnsi="Times New Roman" w:cs="Times New Roman"/>
          <w:sz w:val="24"/>
          <w:szCs w:val="24"/>
        </w:rPr>
        <w:t xml:space="preserve">as reported by Yadav </w:t>
      </w:r>
      <w:r w:rsidRPr="00564E94">
        <w:rPr>
          <w:rFonts w:ascii="Times New Roman" w:hAnsi="Times New Roman" w:cs="Times New Roman"/>
          <w:i/>
          <w:iCs/>
          <w:sz w:val="24"/>
          <w:szCs w:val="24"/>
        </w:rPr>
        <w:t>et al.</w:t>
      </w:r>
      <w:r w:rsidRPr="00564E94">
        <w:rPr>
          <w:rFonts w:ascii="Times New Roman" w:hAnsi="Times New Roman" w:cs="Times New Roman"/>
          <w:sz w:val="24"/>
          <w:szCs w:val="24"/>
        </w:rPr>
        <w:t xml:space="preserve"> (2021).</w:t>
      </w:r>
    </w:p>
    <w:p w14:paraId="746D8E2F" w14:textId="77777777" w:rsidR="000776A7" w:rsidRPr="00564E94" w:rsidRDefault="000776A7" w:rsidP="00564E94">
      <w:pPr>
        <w:spacing w:line="480" w:lineRule="auto"/>
        <w:jc w:val="both"/>
        <w:rPr>
          <w:rFonts w:ascii="Times New Roman" w:hAnsi="Times New Roman" w:cs="Times New Roman"/>
          <w:sz w:val="24"/>
          <w:szCs w:val="24"/>
        </w:rPr>
      </w:pPr>
      <w:r w:rsidRPr="00564E94">
        <w:rPr>
          <w:rFonts w:ascii="Times New Roman" w:hAnsi="Times New Roman" w:cs="Times New Roman"/>
          <w:sz w:val="24"/>
          <w:szCs w:val="24"/>
        </w:rPr>
        <w:t xml:space="preserve">At week 8, the worsening impact of salinity was evident, aligning with the work of </w:t>
      </w:r>
      <w:r w:rsidRPr="00087D05">
        <w:rPr>
          <w:rFonts w:ascii="Times New Roman" w:hAnsi="Times New Roman" w:cs="Times New Roman"/>
          <w:sz w:val="24"/>
          <w:szCs w:val="24"/>
          <w:highlight w:val="yellow"/>
        </w:rPr>
        <w:t xml:space="preserve">Khan </w:t>
      </w:r>
      <w:r w:rsidRPr="00087D05">
        <w:rPr>
          <w:rFonts w:ascii="Times New Roman" w:hAnsi="Times New Roman" w:cs="Times New Roman"/>
          <w:i/>
          <w:iCs/>
          <w:sz w:val="24"/>
          <w:szCs w:val="24"/>
          <w:highlight w:val="yellow"/>
        </w:rPr>
        <w:t>et al.</w:t>
      </w:r>
      <w:r w:rsidRPr="00087D05">
        <w:rPr>
          <w:rFonts w:ascii="Times New Roman" w:hAnsi="Times New Roman" w:cs="Times New Roman"/>
          <w:sz w:val="24"/>
          <w:szCs w:val="24"/>
          <w:highlight w:val="yellow"/>
        </w:rPr>
        <w:t xml:space="preserve"> (2021),</w:t>
      </w:r>
      <w:r w:rsidRPr="00564E94">
        <w:rPr>
          <w:rFonts w:ascii="Times New Roman" w:hAnsi="Times New Roman" w:cs="Times New Roman"/>
          <w:sz w:val="24"/>
          <w:szCs w:val="24"/>
        </w:rPr>
        <w:t xml:space="preserve"> who reported significant chlorophyll degradation in soybean under saline irrigation. The sensitive genotype TGX 1904-6F’s sharp reduction from 7.43 to &lt;1.5 highlights its vulnerability, whereas TGX 1987-10F and TGX 1448-2E retained more chlorophyll due to enhanced antioxidant systems and ion compartmentalization.</w:t>
      </w:r>
    </w:p>
    <w:p w14:paraId="29F49D02" w14:textId="1B4D1A19" w:rsidR="000776A7" w:rsidRPr="00564E94" w:rsidRDefault="000776A7" w:rsidP="00564E94">
      <w:pPr>
        <w:spacing w:line="480" w:lineRule="auto"/>
        <w:jc w:val="both"/>
        <w:rPr>
          <w:rFonts w:ascii="Times New Roman" w:hAnsi="Times New Roman" w:cs="Times New Roman"/>
          <w:sz w:val="24"/>
          <w:szCs w:val="24"/>
        </w:rPr>
      </w:pPr>
      <w:r w:rsidRPr="00564E94">
        <w:rPr>
          <w:rFonts w:ascii="Times New Roman" w:hAnsi="Times New Roman" w:cs="Times New Roman"/>
          <w:sz w:val="24"/>
          <w:szCs w:val="24"/>
        </w:rPr>
        <w:t>At week 12, near-zero chlorophyll levels in the more sensitive varieties point toward irreversible damage to the photosynthetic apparatus, likely leading to premature senescence. In contrast, the tolerant varieties maintaining chlorophyll levels above 4.0 demonstrate adaptive traits like better osmotic adjustment and reactive oxygen species (ROS) detoxification (</w:t>
      </w:r>
      <w:proofErr w:type="spellStart"/>
      <w:r w:rsidRPr="00692484">
        <w:rPr>
          <w:rFonts w:ascii="Times New Roman" w:hAnsi="Times New Roman" w:cs="Times New Roman"/>
          <w:sz w:val="24"/>
          <w:szCs w:val="24"/>
          <w:highlight w:val="yellow"/>
        </w:rPr>
        <w:t>Hasanuzzaman</w:t>
      </w:r>
      <w:proofErr w:type="spellEnd"/>
      <w:r w:rsidRPr="00692484">
        <w:rPr>
          <w:rFonts w:ascii="Times New Roman" w:hAnsi="Times New Roman" w:cs="Times New Roman"/>
          <w:sz w:val="24"/>
          <w:szCs w:val="24"/>
          <w:highlight w:val="yellow"/>
        </w:rPr>
        <w:t xml:space="preserve"> </w:t>
      </w:r>
      <w:r w:rsidRPr="00692484">
        <w:rPr>
          <w:rFonts w:ascii="Times New Roman" w:hAnsi="Times New Roman" w:cs="Times New Roman"/>
          <w:i/>
          <w:iCs/>
          <w:sz w:val="24"/>
          <w:szCs w:val="24"/>
          <w:highlight w:val="yellow"/>
        </w:rPr>
        <w:t>et al</w:t>
      </w:r>
      <w:r w:rsidRPr="00692484">
        <w:rPr>
          <w:rFonts w:ascii="Times New Roman" w:hAnsi="Times New Roman" w:cs="Times New Roman"/>
          <w:sz w:val="24"/>
          <w:szCs w:val="24"/>
          <w:highlight w:val="yellow"/>
        </w:rPr>
        <w:t>., 201</w:t>
      </w:r>
      <w:r w:rsidR="00F82F03" w:rsidRPr="00692484">
        <w:rPr>
          <w:rFonts w:ascii="Times New Roman" w:hAnsi="Times New Roman" w:cs="Times New Roman"/>
          <w:sz w:val="24"/>
          <w:szCs w:val="24"/>
          <w:highlight w:val="yellow"/>
        </w:rPr>
        <w:t>3</w:t>
      </w:r>
      <w:r w:rsidRPr="00564E94">
        <w:rPr>
          <w:rFonts w:ascii="Times New Roman" w:hAnsi="Times New Roman" w:cs="Times New Roman"/>
          <w:sz w:val="24"/>
          <w:szCs w:val="24"/>
        </w:rPr>
        <w:t>).</w:t>
      </w:r>
    </w:p>
    <w:p w14:paraId="0B49C499" w14:textId="6360BD65" w:rsidR="000776A7" w:rsidRPr="00564E94" w:rsidRDefault="000776A7" w:rsidP="00564E94">
      <w:pPr>
        <w:spacing w:line="480" w:lineRule="auto"/>
        <w:jc w:val="both"/>
        <w:rPr>
          <w:rFonts w:ascii="Times New Roman" w:hAnsi="Times New Roman" w:cs="Times New Roman"/>
          <w:sz w:val="24"/>
          <w:szCs w:val="24"/>
        </w:rPr>
      </w:pPr>
      <w:r w:rsidRPr="00564E94">
        <w:rPr>
          <w:rFonts w:ascii="Times New Roman" w:hAnsi="Times New Roman" w:cs="Times New Roman"/>
          <w:sz w:val="24"/>
          <w:szCs w:val="24"/>
        </w:rPr>
        <w:t xml:space="preserve">This differential varietal response underlines the genetic diversity in salt stress tolerance among soybean genotypes. The observed resilience in some varieties suggests the presence of protective physiological mechanisms such as efficient Na+ exclusion, </w:t>
      </w:r>
      <w:proofErr w:type="spellStart"/>
      <w:r w:rsidRPr="00564E94">
        <w:rPr>
          <w:rFonts w:ascii="Times New Roman" w:hAnsi="Times New Roman" w:cs="Times New Roman"/>
          <w:sz w:val="24"/>
          <w:szCs w:val="24"/>
          <w:highlight w:val="yellow"/>
        </w:rPr>
        <w:t>vacu</w:t>
      </w:r>
      <w:r w:rsidR="00F22598" w:rsidRPr="00564E94">
        <w:rPr>
          <w:rFonts w:ascii="Times New Roman" w:hAnsi="Times New Roman" w:cs="Times New Roman"/>
          <w:sz w:val="24"/>
          <w:szCs w:val="24"/>
          <w:highlight w:val="yellow"/>
        </w:rPr>
        <w:t>o</w:t>
      </w:r>
      <w:r w:rsidRPr="00564E94">
        <w:rPr>
          <w:rFonts w:ascii="Times New Roman" w:hAnsi="Times New Roman" w:cs="Times New Roman"/>
          <w:sz w:val="24"/>
          <w:szCs w:val="24"/>
          <w:highlight w:val="yellow"/>
        </w:rPr>
        <w:t>lar</w:t>
      </w:r>
      <w:proofErr w:type="spellEnd"/>
      <w:r w:rsidRPr="00564E94">
        <w:rPr>
          <w:rFonts w:ascii="Times New Roman" w:hAnsi="Times New Roman" w:cs="Times New Roman"/>
          <w:sz w:val="24"/>
          <w:szCs w:val="24"/>
        </w:rPr>
        <w:t xml:space="preserve"> sequestration, or increased synthesis of osmo-protectants </w:t>
      </w:r>
      <w:r w:rsidRPr="00955858">
        <w:rPr>
          <w:rFonts w:ascii="Times New Roman" w:hAnsi="Times New Roman" w:cs="Times New Roman"/>
          <w:sz w:val="24"/>
          <w:szCs w:val="24"/>
          <w:highlight w:val="yellow"/>
        </w:rPr>
        <w:t xml:space="preserve">(Zhou </w:t>
      </w:r>
      <w:r w:rsidRPr="00955858">
        <w:rPr>
          <w:rFonts w:ascii="Times New Roman" w:hAnsi="Times New Roman" w:cs="Times New Roman"/>
          <w:i/>
          <w:iCs/>
          <w:sz w:val="24"/>
          <w:szCs w:val="24"/>
          <w:highlight w:val="yellow"/>
        </w:rPr>
        <w:t>et al</w:t>
      </w:r>
      <w:r w:rsidRPr="00955858">
        <w:rPr>
          <w:rFonts w:ascii="Times New Roman" w:hAnsi="Times New Roman" w:cs="Times New Roman"/>
          <w:sz w:val="24"/>
          <w:szCs w:val="24"/>
          <w:highlight w:val="yellow"/>
        </w:rPr>
        <w:t>., 2021</w:t>
      </w:r>
      <w:r w:rsidRPr="00564E94">
        <w:rPr>
          <w:rFonts w:ascii="Times New Roman" w:hAnsi="Times New Roman" w:cs="Times New Roman"/>
          <w:sz w:val="24"/>
          <w:szCs w:val="24"/>
        </w:rPr>
        <w:t>).</w:t>
      </w:r>
      <w:r w:rsidR="00D37737" w:rsidRPr="00564E94">
        <w:rPr>
          <w:rFonts w:ascii="Times New Roman" w:hAnsi="Times New Roman" w:cs="Times New Roman"/>
          <w:sz w:val="24"/>
          <w:szCs w:val="24"/>
        </w:rPr>
        <w:t xml:space="preserve">  </w:t>
      </w:r>
      <w:r w:rsidR="00D37737" w:rsidRPr="00564E94">
        <w:rPr>
          <w:rFonts w:ascii="Times New Roman" w:hAnsi="Times New Roman" w:cs="Times New Roman"/>
          <w:sz w:val="24"/>
          <w:szCs w:val="24"/>
          <w:highlight w:val="yellow"/>
        </w:rPr>
        <w:t xml:space="preserve">The decline in chlorophyll content under salinity stress observed in this study aligns with established physiological responses in soybean and other </w:t>
      </w:r>
      <w:proofErr w:type="spellStart"/>
      <w:r w:rsidR="00D37737" w:rsidRPr="00564E94">
        <w:rPr>
          <w:rFonts w:ascii="Times New Roman" w:hAnsi="Times New Roman" w:cs="Times New Roman"/>
          <w:sz w:val="24"/>
          <w:szCs w:val="24"/>
          <w:highlight w:val="yellow"/>
        </w:rPr>
        <w:t>glycophytes</w:t>
      </w:r>
      <w:proofErr w:type="spellEnd"/>
      <w:r w:rsidR="00D37737" w:rsidRPr="00564E94">
        <w:rPr>
          <w:rFonts w:ascii="Times New Roman" w:hAnsi="Times New Roman" w:cs="Times New Roman"/>
          <w:sz w:val="24"/>
          <w:szCs w:val="24"/>
          <w:highlight w:val="yellow"/>
        </w:rPr>
        <w:t xml:space="preserve">. High salinity is known to disrupt chlorophyll </w:t>
      </w:r>
      <w:r w:rsidR="00D37737" w:rsidRPr="00564E94">
        <w:rPr>
          <w:rFonts w:ascii="Times New Roman" w:hAnsi="Times New Roman" w:cs="Times New Roman"/>
          <w:sz w:val="24"/>
          <w:szCs w:val="24"/>
          <w:highlight w:val="yellow"/>
        </w:rPr>
        <w:lastRenderedPageBreak/>
        <w:t>biosynthesis and accelerate degradation due to oxidative stress and ion toxicity. Notably, tolerant varieties such as TGX 1987-10F and TGX 1448-2E maintained relatively higher chlorophyll levels at 8</w:t>
      </w:r>
      <w:r w:rsidR="00E76BC6" w:rsidRPr="00564E94">
        <w:rPr>
          <w:rFonts w:ascii="Times New Roman" w:hAnsi="Times New Roman" w:cs="Times New Roman"/>
          <w:sz w:val="24"/>
          <w:szCs w:val="24"/>
          <w:highlight w:val="yellow"/>
          <w:lang w:val="en-US"/>
        </w:rPr>
        <w:t xml:space="preserve"> </w:t>
      </w:r>
      <w:proofErr w:type="spellStart"/>
      <w:r w:rsidR="00E76BC6" w:rsidRPr="00564E94">
        <w:rPr>
          <w:rFonts w:ascii="Times New Roman" w:hAnsi="Times New Roman" w:cs="Times New Roman"/>
          <w:sz w:val="24"/>
          <w:szCs w:val="24"/>
          <w:highlight w:val="yellow"/>
          <w:lang w:val="en-US"/>
        </w:rPr>
        <w:t>dS</w:t>
      </w:r>
      <w:proofErr w:type="spellEnd"/>
      <w:r w:rsidR="00E76BC6" w:rsidRPr="00564E94">
        <w:rPr>
          <w:rFonts w:ascii="Times New Roman" w:hAnsi="Times New Roman" w:cs="Times New Roman"/>
          <w:sz w:val="24"/>
          <w:szCs w:val="24"/>
          <w:highlight w:val="yellow"/>
          <w:lang w:val="en-US"/>
        </w:rPr>
        <w:t>/m</w:t>
      </w:r>
      <w:r w:rsidR="00E76BC6" w:rsidRPr="00564E94">
        <w:rPr>
          <w:rFonts w:ascii="Times New Roman" w:hAnsi="Times New Roman" w:cs="Times New Roman"/>
          <w:sz w:val="24"/>
          <w:szCs w:val="24"/>
          <w:highlight w:val="yellow"/>
          <w:vertAlign w:val="superscript"/>
          <w:lang w:val="en-US"/>
        </w:rPr>
        <w:t>-1</w:t>
      </w:r>
      <w:r w:rsidR="00D37737" w:rsidRPr="00564E94">
        <w:rPr>
          <w:rFonts w:ascii="Times New Roman" w:hAnsi="Times New Roman" w:cs="Times New Roman"/>
          <w:sz w:val="24"/>
          <w:szCs w:val="24"/>
          <w:highlight w:val="yellow"/>
        </w:rPr>
        <w:t xml:space="preserve">, suggesting underlying mechanisms of salt tolerance. These may include efficient Na⁺ and Cl⁻ exclusion from leaf tissues, accumulation of compatible osmolytes such as proline to stabilize cellular structures, and enhanced activity of antioxidant enzymes (e.g., superoxide dismutase, catalase), which mitigate reactive oxygen species (ROS) damage to chloroplasts. Although these mechanisms were not directly measured in the current study, they have been reported in previous work as key components of salinity tolerance in soybean. For instance, IITA-based studies in Nigeria </w:t>
      </w:r>
      <w:r w:rsidR="006A7808" w:rsidRPr="00564E94">
        <w:rPr>
          <w:rFonts w:ascii="Times New Roman" w:hAnsi="Times New Roman" w:cs="Times New Roman"/>
          <w:sz w:val="24"/>
          <w:szCs w:val="24"/>
          <w:highlight w:val="yellow"/>
        </w:rPr>
        <w:t>(</w:t>
      </w:r>
      <w:proofErr w:type="spellStart"/>
      <w:r w:rsidR="006A7808" w:rsidRPr="00564E94">
        <w:rPr>
          <w:rFonts w:ascii="Times New Roman" w:hAnsi="Times New Roman" w:cs="Times New Roman"/>
          <w:sz w:val="24"/>
          <w:szCs w:val="24"/>
          <w:highlight w:val="yellow"/>
        </w:rPr>
        <w:t>Oyiga</w:t>
      </w:r>
      <w:proofErr w:type="spellEnd"/>
      <w:r w:rsidR="00D37737" w:rsidRPr="00564E94">
        <w:rPr>
          <w:rFonts w:ascii="Times New Roman" w:hAnsi="Times New Roman" w:cs="Times New Roman"/>
          <w:b/>
          <w:bCs/>
          <w:sz w:val="24"/>
          <w:szCs w:val="24"/>
          <w:highlight w:val="yellow"/>
        </w:rPr>
        <w:t xml:space="preserve"> </w:t>
      </w:r>
      <w:r w:rsidR="00D37737" w:rsidRPr="00564E94">
        <w:rPr>
          <w:rFonts w:ascii="Times New Roman" w:hAnsi="Times New Roman" w:cs="Times New Roman"/>
          <w:i/>
          <w:iCs/>
          <w:sz w:val="24"/>
          <w:szCs w:val="24"/>
          <w:highlight w:val="yellow"/>
        </w:rPr>
        <w:t>et al</w:t>
      </w:r>
      <w:r w:rsidR="00D37737" w:rsidRPr="00564E94">
        <w:rPr>
          <w:rFonts w:ascii="Times New Roman" w:hAnsi="Times New Roman" w:cs="Times New Roman"/>
          <w:sz w:val="24"/>
          <w:szCs w:val="24"/>
          <w:highlight w:val="yellow"/>
        </w:rPr>
        <w:t>., 2018) and related research in Senegal and India have similarly shown that salt-tolerant genotypes maintain chlorophyll content through biochemical and ionic homeostasis.</w:t>
      </w:r>
      <w:r w:rsidR="00D37737" w:rsidRPr="00564E94">
        <w:rPr>
          <w:rFonts w:ascii="Times New Roman" w:hAnsi="Times New Roman" w:cs="Times New Roman"/>
          <w:sz w:val="24"/>
          <w:szCs w:val="24"/>
        </w:rPr>
        <w:t xml:space="preserve"> </w:t>
      </w:r>
      <w:r w:rsidR="00D37737" w:rsidRPr="00564E94">
        <w:rPr>
          <w:rFonts w:ascii="Times New Roman" w:hAnsi="Times New Roman" w:cs="Times New Roman"/>
          <w:sz w:val="24"/>
          <w:szCs w:val="24"/>
          <w:highlight w:val="yellow"/>
        </w:rPr>
        <w:t>Compared to those studies, the degree of chlorophyll loss in sensitive genotypes like TGX 1904-6F in our trial is particularly severe, indicating possible varietal vulnerability in extreme saline environments such as the salt mining zones of Yala, Cross River. This highlights the need for breeding programs to prioritize genotypes combining both physiological tolerance traits and agronomic performance.</w:t>
      </w:r>
      <w:r w:rsidR="00B8527A" w:rsidRPr="00564E94">
        <w:rPr>
          <w:rFonts w:ascii="Times New Roman" w:hAnsi="Times New Roman" w:cs="Times New Roman"/>
          <w:sz w:val="24"/>
          <w:szCs w:val="24"/>
        </w:rPr>
        <w:t xml:space="preserve"> </w:t>
      </w:r>
      <w:r w:rsidRPr="00564E94">
        <w:rPr>
          <w:rFonts w:ascii="Times New Roman" w:hAnsi="Times New Roman" w:cs="Times New Roman"/>
          <w:sz w:val="24"/>
          <w:szCs w:val="24"/>
        </w:rPr>
        <w:t xml:space="preserve"> Therefore, chlorophyll content not only serves as a stress biomarker but also a selection criterion for screening salt tolerant soybean lines</w:t>
      </w:r>
      <w:r w:rsidR="000831D0">
        <w:rPr>
          <w:rFonts w:ascii="Times New Roman" w:hAnsi="Times New Roman" w:cs="Times New Roman"/>
          <w:sz w:val="24"/>
          <w:szCs w:val="24"/>
        </w:rPr>
        <w:t xml:space="preserve"> </w:t>
      </w:r>
      <w:r w:rsidR="000831D0" w:rsidRPr="00564E94">
        <w:rPr>
          <w:rFonts w:ascii="Times New Roman" w:hAnsi="Times New Roman" w:cs="Times New Roman"/>
          <w:sz w:val="24"/>
          <w:szCs w:val="24"/>
        </w:rPr>
        <w:t>cultivation</w:t>
      </w:r>
      <w:r w:rsidRPr="003636DC">
        <w:rPr>
          <w:rFonts w:ascii="Times New Roman" w:hAnsi="Times New Roman" w:cs="Times New Roman"/>
          <w:sz w:val="24"/>
          <w:szCs w:val="24"/>
          <w:highlight w:val="yellow"/>
        </w:rPr>
        <w:t>.</w:t>
      </w:r>
      <w:r w:rsidRPr="00564E94">
        <w:rPr>
          <w:rFonts w:ascii="Times New Roman" w:hAnsi="Times New Roman" w:cs="Times New Roman"/>
          <w:sz w:val="24"/>
          <w:szCs w:val="24"/>
        </w:rPr>
        <w:t xml:space="preserve"> </w:t>
      </w:r>
    </w:p>
    <w:p w14:paraId="43AC7E8A" w14:textId="3F789BEB" w:rsidR="002702FD" w:rsidRDefault="000776A7" w:rsidP="00564E94">
      <w:pPr>
        <w:spacing w:line="480" w:lineRule="auto"/>
        <w:jc w:val="both"/>
        <w:rPr>
          <w:rFonts w:ascii="Times New Roman" w:hAnsi="Times New Roman" w:cs="Times New Roman"/>
          <w:sz w:val="24"/>
          <w:szCs w:val="24"/>
        </w:rPr>
      </w:pPr>
      <w:r w:rsidRPr="00564E94">
        <w:rPr>
          <w:rFonts w:ascii="Times New Roman" w:hAnsi="Times New Roman" w:cs="Times New Roman"/>
          <w:b/>
          <w:bCs/>
          <w:sz w:val="24"/>
          <w:szCs w:val="24"/>
        </w:rPr>
        <w:t>Conclusion</w:t>
      </w:r>
      <w:r w:rsidRPr="00564E94">
        <w:rPr>
          <w:rFonts w:ascii="Times New Roman" w:hAnsi="Times New Roman" w:cs="Times New Roman"/>
          <w:sz w:val="24"/>
          <w:szCs w:val="24"/>
        </w:rPr>
        <w:t xml:space="preserve"> </w:t>
      </w:r>
      <w:r w:rsidRPr="00564E94">
        <w:rPr>
          <w:rFonts w:ascii="Times New Roman" w:hAnsi="Times New Roman" w:cs="Times New Roman"/>
          <w:sz w:val="24"/>
          <w:szCs w:val="24"/>
        </w:rPr>
        <w:br/>
        <w:t>Salinity stress led to significant reduction in chlorophyll content in soybean, particularly in sensitive varieties. However, some varieties exhibited resilience, maintained higher pigment levels under stress, suggesting their suitability for in salt-affected areas. This study reinforces the importance of incorporating chlorophyll stability into selection indices in soybean breeding for salt tolerance.</w:t>
      </w:r>
      <w:r w:rsidR="002702FD" w:rsidRPr="00564E94">
        <w:rPr>
          <w:rFonts w:ascii="Times New Roman" w:hAnsi="Times New Roman" w:cs="Times New Roman"/>
          <w:sz w:val="24"/>
          <w:szCs w:val="24"/>
        </w:rPr>
        <w:t xml:space="preserve"> The superior chlorophyll retention ability in TGX 1987-10F and TGX 1448-2E under salinity stress, future studies should evaluate their performances under field conditions and consider them as potential parent lines for developing salt-tolerant </w:t>
      </w:r>
      <w:r w:rsidR="002702FD" w:rsidRPr="00564E94">
        <w:rPr>
          <w:rFonts w:ascii="Times New Roman" w:hAnsi="Times New Roman" w:cs="Times New Roman"/>
          <w:sz w:val="24"/>
          <w:szCs w:val="24"/>
        </w:rPr>
        <w:lastRenderedPageBreak/>
        <w:t>cultivars.</w:t>
      </w:r>
      <w:r w:rsidR="000360CA" w:rsidRPr="00564E94">
        <w:rPr>
          <w:rFonts w:ascii="Times New Roman" w:hAnsi="Times New Roman" w:cs="Times New Roman"/>
          <w:sz w:val="24"/>
          <w:szCs w:val="24"/>
        </w:rPr>
        <w:t xml:space="preserve"> Incorporating chlorophyll stability into selection indices could accelerate breeding progress. </w:t>
      </w:r>
      <w:r w:rsidR="006673E9" w:rsidRPr="00564E94">
        <w:rPr>
          <w:rFonts w:ascii="Times New Roman" w:hAnsi="Times New Roman" w:cs="Times New Roman"/>
          <w:sz w:val="24"/>
          <w:szCs w:val="24"/>
        </w:rPr>
        <w:t>Moreover, molecular analysis to uncover the underlying genes controlling this trait would offer valuable insight into genetic architecture of salinity tolerance in soybea</w:t>
      </w:r>
      <w:r w:rsidR="008F43C2" w:rsidRPr="00564E94">
        <w:rPr>
          <w:rFonts w:ascii="Times New Roman" w:hAnsi="Times New Roman" w:cs="Times New Roman"/>
          <w:sz w:val="24"/>
          <w:szCs w:val="24"/>
        </w:rPr>
        <w:t>n.</w:t>
      </w:r>
    </w:p>
    <w:p w14:paraId="627B07B1" w14:textId="77777777" w:rsidR="001B14ED" w:rsidRPr="001B14ED"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Disclaimer (Artificial intelligence)</w:t>
      </w:r>
    </w:p>
    <w:p w14:paraId="24E30451" w14:textId="77777777" w:rsidR="001B14ED" w:rsidRPr="001B14ED"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 xml:space="preserve">Option 1: </w:t>
      </w:r>
    </w:p>
    <w:p w14:paraId="34296A4C" w14:textId="77777777" w:rsidR="001B14ED" w:rsidRPr="001B14ED"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33DFBB67" w14:textId="77777777" w:rsidR="001B14ED" w:rsidRPr="001B14ED"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 xml:space="preserve">Option 2: </w:t>
      </w:r>
    </w:p>
    <w:p w14:paraId="2925376F" w14:textId="77777777" w:rsidR="001B14ED" w:rsidRPr="001B14ED"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CC6F13" w14:textId="77777777" w:rsidR="001B14ED" w:rsidRPr="001B14ED"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Details of the AI usage are given below:</w:t>
      </w:r>
    </w:p>
    <w:p w14:paraId="24CDE5E6" w14:textId="77777777" w:rsidR="001B14ED" w:rsidRPr="001B14ED"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1.</w:t>
      </w:r>
    </w:p>
    <w:p w14:paraId="09F972AA" w14:textId="77777777" w:rsidR="001B14ED" w:rsidRPr="001B14ED"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2.</w:t>
      </w:r>
    </w:p>
    <w:p w14:paraId="67331DF8" w14:textId="41B08986" w:rsidR="001B14ED" w:rsidRPr="00564E94" w:rsidRDefault="001B14ED" w:rsidP="001B14ED">
      <w:pPr>
        <w:spacing w:line="480" w:lineRule="auto"/>
        <w:jc w:val="both"/>
        <w:rPr>
          <w:rFonts w:ascii="Times New Roman" w:hAnsi="Times New Roman" w:cs="Times New Roman"/>
          <w:sz w:val="24"/>
          <w:szCs w:val="24"/>
        </w:rPr>
      </w:pPr>
      <w:r w:rsidRPr="001B14ED">
        <w:rPr>
          <w:rFonts w:ascii="Times New Roman" w:hAnsi="Times New Roman" w:cs="Times New Roman"/>
          <w:sz w:val="24"/>
          <w:szCs w:val="24"/>
        </w:rPr>
        <w:t>3.</w:t>
      </w:r>
    </w:p>
    <w:p w14:paraId="3958510A" w14:textId="79907BEA" w:rsidR="00011D8C" w:rsidRPr="002D2AD3" w:rsidRDefault="005540E7" w:rsidP="0049608B">
      <w:pPr>
        <w:spacing w:line="480" w:lineRule="auto"/>
        <w:rPr>
          <w:rFonts w:ascii="Times New Roman" w:hAnsi="Times New Roman" w:cs="Times New Roman"/>
          <w:b/>
          <w:bCs/>
          <w:sz w:val="24"/>
          <w:szCs w:val="24"/>
        </w:rPr>
      </w:pPr>
      <w:bookmarkStart w:id="1" w:name="_Hlk201919093"/>
      <w:bookmarkEnd w:id="0"/>
      <w:r w:rsidRPr="002D2AD3">
        <w:rPr>
          <w:rFonts w:ascii="Times New Roman" w:hAnsi="Times New Roman" w:cs="Times New Roman"/>
          <w:b/>
          <w:bCs/>
          <w:sz w:val="24"/>
          <w:szCs w:val="24"/>
        </w:rPr>
        <w:t>References</w:t>
      </w:r>
    </w:p>
    <w:bookmarkEnd w:id="1"/>
    <w:p w14:paraId="6E826016" w14:textId="77777777" w:rsidR="00143668" w:rsidRPr="001623ED" w:rsidRDefault="00143668" w:rsidP="00816DDA">
      <w:pPr>
        <w:pStyle w:val="ListNumber"/>
      </w:pPr>
      <w:r w:rsidRPr="001623ED">
        <w:t>AOAC International. (2005). Official Methods of Analysis of AOAC International. 18</w:t>
      </w:r>
      <w:r w:rsidRPr="001623ED">
        <w:rPr>
          <w:vertAlign w:val="superscript"/>
        </w:rPr>
        <w:t>th</w:t>
      </w:r>
      <w:r w:rsidRPr="001623ED">
        <w:t xml:space="preserve"> edition. </w:t>
      </w:r>
    </w:p>
    <w:p w14:paraId="1AAD1D83" w14:textId="77777777" w:rsidR="00143668" w:rsidRPr="002D2AD3" w:rsidRDefault="00143668" w:rsidP="004165D3">
      <w:pPr>
        <w:pStyle w:val="ListNumber"/>
      </w:pPr>
      <w:r w:rsidRPr="002D2AD3">
        <w:t xml:space="preserve">Arnon, D. I. (1949). Copper enzymes in isolated chloroplasts. </w:t>
      </w:r>
      <w:proofErr w:type="spellStart"/>
      <w:r w:rsidRPr="002D2AD3">
        <w:t>Polyphenoloxidase</w:t>
      </w:r>
      <w:proofErr w:type="spellEnd"/>
      <w:r w:rsidRPr="002D2AD3">
        <w:t xml:space="preserve"> in Beta vulgaris. </w:t>
      </w:r>
      <w:r w:rsidRPr="002D2AD3">
        <w:rPr>
          <w:i/>
          <w:iCs/>
        </w:rPr>
        <w:t>Plant Physiology</w:t>
      </w:r>
      <w:r w:rsidRPr="002D2AD3">
        <w:t xml:space="preserve">, 24(1), 1-15. </w:t>
      </w:r>
      <w:proofErr w:type="spellStart"/>
      <w:r w:rsidRPr="002D2AD3">
        <w:t>doi</w:t>
      </w:r>
      <w:proofErr w:type="spellEnd"/>
      <w:r w:rsidRPr="002D2AD3">
        <w:t>: 10, 1104/pp.24, 1.1</w:t>
      </w:r>
    </w:p>
    <w:p w14:paraId="7E51E541" w14:textId="77777777" w:rsidR="00143668" w:rsidRPr="002D2AD3" w:rsidRDefault="00143668" w:rsidP="005917A9">
      <w:pPr>
        <w:pStyle w:val="ListNumber"/>
      </w:pPr>
      <w:proofErr w:type="spellStart"/>
      <w:r w:rsidRPr="002D2AD3">
        <w:t>Bouycous</w:t>
      </w:r>
      <w:proofErr w:type="spellEnd"/>
      <w:r w:rsidRPr="002D2AD3">
        <w:t>, C. J. (1962). Hydrometer method for making particle size of soil</w:t>
      </w:r>
      <w:r w:rsidRPr="002D2AD3">
        <w:rPr>
          <w:i/>
        </w:rPr>
        <w:t xml:space="preserve">. Agronomic Journal, </w:t>
      </w:r>
      <w:r w:rsidRPr="002D2AD3">
        <w:t>54,464-465.</w:t>
      </w:r>
    </w:p>
    <w:p w14:paraId="26D4F76F" w14:textId="77777777" w:rsidR="00143668" w:rsidRPr="002D2AD3" w:rsidRDefault="00143668" w:rsidP="00E118E0">
      <w:pPr>
        <w:pStyle w:val="ListNumber"/>
        <w:rPr>
          <w:rFonts w:eastAsiaTheme="minorHAnsi"/>
        </w:rPr>
      </w:pPr>
      <w:r w:rsidRPr="002D2AD3">
        <w:rPr>
          <w:rFonts w:eastAsiaTheme="minorHAnsi"/>
        </w:rPr>
        <w:lastRenderedPageBreak/>
        <w:t xml:space="preserve">Duncan, D.  B. (1955). Multiple Range and Multiple F Tests. </w:t>
      </w:r>
      <w:r w:rsidRPr="002D2AD3">
        <w:rPr>
          <w:rFonts w:eastAsiaTheme="minorHAnsi"/>
          <w:i/>
          <w:iCs/>
        </w:rPr>
        <w:t>Biometrics</w:t>
      </w:r>
      <w:r w:rsidRPr="002D2AD3">
        <w:rPr>
          <w:rFonts w:eastAsiaTheme="minorHAnsi"/>
        </w:rPr>
        <w:t xml:space="preserve">. 11 (1), 1- 42. </w:t>
      </w:r>
      <w:hyperlink r:id="rId7" w:history="1">
        <w:r w:rsidRPr="002D2AD3">
          <w:rPr>
            <w:rStyle w:val="Hyperlink"/>
            <w:rFonts w:eastAsiaTheme="minorHAnsi"/>
          </w:rPr>
          <w:t>https://doi.org/10.2307/3001478</w:t>
        </w:r>
      </w:hyperlink>
      <w:r w:rsidRPr="002D2AD3">
        <w:rPr>
          <w:rFonts w:eastAsiaTheme="minorHAnsi"/>
        </w:rPr>
        <w:t xml:space="preserve">. </w:t>
      </w:r>
    </w:p>
    <w:p w14:paraId="53252AE0" w14:textId="77777777" w:rsidR="00143668" w:rsidRPr="002D2AD3" w:rsidRDefault="00143668" w:rsidP="003B640F">
      <w:pPr>
        <w:pStyle w:val="ListNumber"/>
        <w:rPr>
          <w:rFonts w:eastAsiaTheme="minorHAnsi"/>
        </w:rPr>
      </w:pPr>
      <w:r w:rsidRPr="002D2AD3">
        <w:rPr>
          <w:rFonts w:eastAsiaTheme="minorHAnsi"/>
        </w:rPr>
        <w:t xml:space="preserve">Gomez, K. A. and Gomez, A. A. Statistical procedures for agricultural research. John Wiley and Sons, New York; 1984. </w:t>
      </w:r>
    </w:p>
    <w:p w14:paraId="57D7FF9E" w14:textId="5E32029C" w:rsidR="004F6375" w:rsidRPr="002D2AD3" w:rsidRDefault="00412FD6" w:rsidP="004F6375">
      <w:pPr>
        <w:pStyle w:val="ListNumber"/>
      </w:pPr>
      <w:r w:rsidRPr="002D2AD3">
        <w:t>McNeil, D.L.</w:t>
      </w:r>
      <w:r w:rsidR="00143668" w:rsidRPr="002D2AD3">
        <w:t xml:space="preserve">  (201</w:t>
      </w:r>
      <w:r w:rsidRPr="002D2AD3">
        <w:t>0</w:t>
      </w:r>
      <w:r w:rsidR="00143668" w:rsidRPr="002D2AD3">
        <w:t>).</w:t>
      </w:r>
      <w:r w:rsidR="000117A1" w:rsidRPr="002D2AD3">
        <w:t xml:space="preserve"> The soybean: botany, production and uses</w:t>
      </w:r>
      <w:r w:rsidR="007479F8" w:rsidRPr="002D2AD3">
        <w:t>.</w:t>
      </w:r>
      <w:r w:rsidR="00143668" w:rsidRPr="002D2AD3">
        <w:t xml:space="preserve"> Biological nitrogen fixation in soybean</w:t>
      </w:r>
      <w:r w:rsidR="007479F8" w:rsidRPr="002D2AD3">
        <w:t xml:space="preserve"> 227-246.</w:t>
      </w:r>
      <w:r w:rsidR="00240B51" w:rsidRPr="002D2AD3">
        <w:t>https://www.cabidigitallibrary.org/doi/10.1079/978184593644.0227</w:t>
      </w:r>
    </w:p>
    <w:p w14:paraId="3A152277" w14:textId="5CB9F864" w:rsidR="004F6375" w:rsidRPr="002D2AD3" w:rsidRDefault="004F6375" w:rsidP="004F6375">
      <w:pPr>
        <w:pStyle w:val="ListNumber"/>
      </w:pPr>
      <w:r w:rsidRPr="002D2AD3">
        <w:t>Swar, B. R., Swarnalatha, V., Reddy, M. R., &amp; Vanisree, S. (2021). Genetic Diversity Studies in MAGIC Population of Soybean (</w:t>
      </w:r>
      <w:r w:rsidRPr="002D2AD3">
        <w:rPr>
          <w:i/>
          <w:iCs/>
        </w:rPr>
        <w:t>Glycine max</w:t>
      </w:r>
      <w:r w:rsidRPr="002D2AD3">
        <w:t xml:space="preserve"> (L.) Merrill) Based on </w:t>
      </w:r>
      <w:proofErr w:type="spellStart"/>
      <w:r w:rsidRPr="002D2AD3">
        <w:t>Mahalanobis</w:t>
      </w:r>
      <w:proofErr w:type="spellEnd"/>
      <w:r w:rsidRPr="002D2AD3">
        <w:t xml:space="preserve"> D2 Distance. </w:t>
      </w:r>
      <w:r w:rsidRPr="002D2AD3">
        <w:rPr>
          <w:i/>
          <w:iCs/>
        </w:rPr>
        <w:t>International Journal of Plant &amp; Soil Science</w:t>
      </w:r>
      <w:r w:rsidRPr="002D2AD3">
        <w:t>, 33(5), 18–25. https://doi.org/10.9734/ijpss/2021/v33i530433</w:t>
      </w:r>
      <w:r w:rsidR="008E5CF0" w:rsidRPr="002D2AD3">
        <w:t>.</w:t>
      </w:r>
    </w:p>
    <w:p w14:paraId="54FA3041" w14:textId="77777777" w:rsidR="004650BC" w:rsidRPr="002D2AD3" w:rsidRDefault="004650BC" w:rsidP="004650BC">
      <w:pPr>
        <w:pStyle w:val="ListNumber"/>
        <w:numPr>
          <w:ilvl w:val="0"/>
          <w:numId w:val="0"/>
        </w:numPr>
        <w:ind w:left="360"/>
      </w:pPr>
    </w:p>
    <w:p w14:paraId="6D0108C7" w14:textId="2E122C93" w:rsidR="00143668" w:rsidRPr="002D2AD3" w:rsidRDefault="00143668" w:rsidP="00237019">
      <w:pPr>
        <w:pStyle w:val="ListNumber"/>
        <w:rPr>
          <w:rFonts w:cs="Times New Roman"/>
          <w:szCs w:val="24"/>
        </w:rPr>
      </w:pPr>
      <w:proofErr w:type="spellStart"/>
      <w:r w:rsidRPr="002D2AD3">
        <w:t>Hasanuzzaman</w:t>
      </w:r>
      <w:proofErr w:type="spellEnd"/>
      <w:r w:rsidRPr="002D2AD3">
        <w:t>, M., Nahar, K., Alam, M. M., Roychowdhury, R., &amp; Fujita, M. (201</w:t>
      </w:r>
      <w:r w:rsidR="003615C1" w:rsidRPr="002D2AD3">
        <w:t>3</w:t>
      </w:r>
      <w:r w:rsidRPr="002D2AD3">
        <w:t xml:space="preserve">). Physiological, biochemical, and molecular mechanisms of heat stress tolerance in plants. </w:t>
      </w:r>
      <w:r w:rsidRPr="002D2AD3">
        <w:rPr>
          <w:i/>
          <w:iCs/>
        </w:rPr>
        <w:t>International Journal of Molecular Sciences</w:t>
      </w:r>
      <w:r w:rsidRPr="002D2AD3">
        <w:t xml:space="preserve">, </w:t>
      </w:r>
      <w:r w:rsidR="00B94615" w:rsidRPr="002D2AD3">
        <w:t>3,14 (5):9643-9684</w:t>
      </w:r>
      <w:r w:rsidR="00714AAB" w:rsidRPr="002D2AD3">
        <w:rPr>
          <w:rFonts w:ascii="Bahnschrift" w:hAnsi="Bahnschrift"/>
          <w:color w:val="1B1B1B"/>
          <w:sz w:val="25"/>
          <w:szCs w:val="25"/>
          <w:shd w:val="clear" w:color="auto" w:fill="FFFFFF"/>
        </w:rPr>
        <w:t xml:space="preserve">. </w:t>
      </w:r>
      <w:proofErr w:type="spellStart"/>
      <w:r w:rsidR="00B94615" w:rsidRPr="002D2AD3">
        <w:rPr>
          <w:rFonts w:cs="Times New Roman"/>
          <w:color w:val="1B1B1B"/>
          <w:szCs w:val="24"/>
          <w:shd w:val="clear" w:color="auto" w:fill="FFFFFF"/>
        </w:rPr>
        <w:t>doi</w:t>
      </w:r>
      <w:proofErr w:type="spellEnd"/>
      <w:r w:rsidR="00B94615" w:rsidRPr="002D2AD3">
        <w:rPr>
          <w:rFonts w:cs="Times New Roman"/>
          <w:color w:val="1B1B1B"/>
          <w:szCs w:val="24"/>
          <w:shd w:val="clear" w:color="auto" w:fill="FFFFFF"/>
        </w:rPr>
        <w:t>: 10.3390/ijms14059643.</w:t>
      </w:r>
    </w:p>
    <w:p w14:paraId="5BBABE2A" w14:textId="6A13FA19" w:rsidR="00143668" w:rsidRPr="00043E33" w:rsidRDefault="00143668" w:rsidP="00DE1F9D">
      <w:pPr>
        <w:pStyle w:val="ListNumber"/>
        <w:rPr>
          <w:highlight w:val="cyan"/>
        </w:rPr>
      </w:pPr>
      <w:r w:rsidRPr="00043E33">
        <w:rPr>
          <w:highlight w:val="cyan"/>
        </w:rPr>
        <w:t xml:space="preserve">Khan, M. I. R., Nazir, F., </w:t>
      </w:r>
      <w:proofErr w:type="spellStart"/>
      <w:r w:rsidRPr="00043E33">
        <w:rPr>
          <w:highlight w:val="cyan"/>
        </w:rPr>
        <w:t>Asgher</w:t>
      </w:r>
      <w:proofErr w:type="spellEnd"/>
      <w:r w:rsidRPr="00043E33">
        <w:rPr>
          <w:highlight w:val="cyan"/>
        </w:rPr>
        <w:t xml:space="preserve">, M., Per, T. S., &amp; Khan, N. A. (2021). Salinity tolerance in plants: Revisiting the role of sulfur. </w:t>
      </w:r>
      <w:r w:rsidRPr="00043E33">
        <w:rPr>
          <w:i/>
          <w:iCs/>
          <w:highlight w:val="cyan"/>
        </w:rPr>
        <w:t>Environmental and Experimental Botany</w:t>
      </w:r>
      <w:r w:rsidRPr="00043E33">
        <w:rPr>
          <w:highlight w:val="cyan"/>
        </w:rPr>
        <w:t>, 186, 104436.</w:t>
      </w:r>
      <w:r w:rsidR="003D1C80" w:rsidRPr="00043E33">
        <w:rPr>
          <w:highlight w:val="cyan"/>
        </w:rPr>
        <w:t xml:space="preserve"> </w:t>
      </w:r>
      <w:hyperlink r:id="rId8" w:history="1">
        <w:r w:rsidR="005B595F" w:rsidRPr="00043E33">
          <w:rPr>
            <w:rStyle w:val="Hyperlink"/>
            <w:highlight w:val="cyan"/>
          </w:rPr>
          <w:t>https://www.longdom.org/pen-access-pdfs/salinity-tolerance-in-plants-revisiting</w:t>
        </w:r>
      </w:hyperlink>
      <w:r w:rsidR="005B595F" w:rsidRPr="00043E33">
        <w:rPr>
          <w:highlight w:val="cyan"/>
        </w:rPr>
        <w:t xml:space="preserve"> -the-role-of-sulfur-metabolites-2329-9029.1000120.pdf</w:t>
      </w:r>
    </w:p>
    <w:p w14:paraId="0DDA9F13" w14:textId="5322B80C" w:rsidR="0004139B" w:rsidRPr="002D2AD3" w:rsidRDefault="00143668" w:rsidP="006460FE">
      <w:pPr>
        <w:pStyle w:val="ListNumber"/>
      </w:pPr>
      <w:r w:rsidRPr="002D2AD3">
        <w:t xml:space="preserve">Munns and Tester, M. (2008). Mechanisms of salinity tolerance. </w:t>
      </w:r>
      <w:r w:rsidRPr="002D2AD3">
        <w:rPr>
          <w:i/>
          <w:iCs/>
        </w:rPr>
        <w:t>Annual Review of Plant Biology, 59, 651-681.</w:t>
      </w:r>
      <w:r w:rsidR="0004139B" w:rsidRPr="002D2AD3">
        <w:t xml:space="preserve"> https://scholar.google.com/scholar?hl=en&amp;as_sdt=0%2C5&amp;q=11.%09Munns+and+Tester%2C+M.+%282008%29.+Mechanisms+of+salinity+tolerance.+Annual+Review+of+Plant+Biology%2C+59%2C+651-681.&amp;btnG=</w:t>
      </w:r>
    </w:p>
    <w:p w14:paraId="4ECE7204" w14:textId="01283312" w:rsidR="00143668" w:rsidRPr="002D2AD3" w:rsidRDefault="00143668" w:rsidP="0004139B">
      <w:pPr>
        <w:pStyle w:val="ListNumber"/>
        <w:numPr>
          <w:ilvl w:val="0"/>
          <w:numId w:val="0"/>
        </w:numPr>
        <w:ind w:left="360" w:hanging="360"/>
        <w:rPr>
          <w:i/>
          <w:iCs/>
        </w:rPr>
      </w:pPr>
    </w:p>
    <w:p w14:paraId="4A1F6810" w14:textId="3E87B782" w:rsidR="006460FE" w:rsidRPr="002D2AD3" w:rsidRDefault="00143668" w:rsidP="007E2EC0">
      <w:pPr>
        <w:pStyle w:val="ListNumber"/>
      </w:pPr>
      <w:r w:rsidRPr="002D2AD3">
        <w:t xml:space="preserve">Munns, R., &amp; </w:t>
      </w:r>
      <w:proofErr w:type="spellStart"/>
      <w:r w:rsidRPr="002D2AD3">
        <w:t>Gilliham</w:t>
      </w:r>
      <w:proofErr w:type="spellEnd"/>
      <w:r w:rsidRPr="002D2AD3">
        <w:t xml:space="preserve">, M. (2015). Salinity tolerance of crops – what is the cost? New </w:t>
      </w:r>
      <w:r w:rsidRPr="002D2AD3">
        <w:rPr>
          <w:i/>
          <w:iCs/>
        </w:rPr>
        <w:t>Phytologist</w:t>
      </w:r>
      <w:r w:rsidRPr="002D2AD3">
        <w:t>, 208(3), 668–673.</w:t>
      </w:r>
      <w:r w:rsidR="006460FE" w:rsidRPr="002D2AD3">
        <w:t xml:space="preserve"> https://scholar.google.com/scholar?hl=en&amp;as_sdt=0%2C5&amp;q=12.%09Munns%2C+R.%2C+%26+Gilliham%2C+M.+%282015%29.+Salinity+tolerance+of+crops+%E2%80%93+what+is+the+cost%3F+New+Phytologist%2C+208%283%29%2C+668%E2%80%93673.+&amp;btnG=</w:t>
      </w:r>
    </w:p>
    <w:p w14:paraId="60F8E289" w14:textId="101D771F" w:rsidR="00143668" w:rsidRPr="002D2AD3" w:rsidRDefault="00143668" w:rsidP="007E2EC0">
      <w:pPr>
        <w:pStyle w:val="ListNumber"/>
        <w:numPr>
          <w:ilvl w:val="0"/>
          <w:numId w:val="0"/>
        </w:numPr>
        <w:ind w:left="360"/>
      </w:pPr>
      <w:r w:rsidRPr="002D2AD3">
        <w:t xml:space="preserve"> </w:t>
      </w:r>
    </w:p>
    <w:p w14:paraId="6DD0A01B" w14:textId="77777777" w:rsidR="00143668" w:rsidRPr="005F28E3" w:rsidRDefault="00143668" w:rsidP="002D3245">
      <w:pPr>
        <w:pStyle w:val="ListNumber"/>
        <w:rPr>
          <w:highlight w:val="cyan"/>
        </w:rPr>
      </w:pPr>
      <w:proofErr w:type="spellStart"/>
      <w:r w:rsidRPr="005F28E3">
        <w:rPr>
          <w:highlight w:val="cyan"/>
        </w:rPr>
        <w:t>Oyiga</w:t>
      </w:r>
      <w:proofErr w:type="spellEnd"/>
      <w:r w:rsidRPr="005F28E3">
        <w:rPr>
          <w:highlight w:val="cyan"/>
        </w:rPr>
        <w:t xml:space="preserve">, B.C., </w:t>
      </w:r>
      <w:proofErr w:type="spellStart"/>
      <w:r w:rsidRPr="005F28E3">
        <w:rPr>
          <w:highlight w:val="cyan"/>
        </w:rPr>
        <w:t>Ogbonnaya</w:t>
      </w:r>
      <w:proofErr w:type="spellEnd"/>
      <w:r w:rsidRPr="005F28E3">
        <w:rPr>
          <w:highlight w:val="cyan"/>
        </w:rPr>
        <w:t xml:space="preserve">, F.C., Sharma, R.C., Baum, M., Leon, J. &amp; </w:t>
      </w:r>
      <w:proofErr w:type="spellStart"/>
      <w:r w:rsidRPr="005F28E3">
        <w:rPr>
          <w:highlight w:val="cyan"/>
        </w:rPr>
        <w:t>Ballvora</w:t>
      </w:r>
      <w:proofErr w:type="spellEnd"/>
      <w:r w:rsidRPr="005F28E3">
        <w:rPr>
          <w:highlight w:val="cyan"/>
        </w:rPr>
        <w:t>, A. (2018). Genetic and transcriptional variations in NRAMP-2 and OPAQUE1 genes are associated with salt stress response in wheat</w:t>
      </w:r>
      <w:r w:rsidRPr="005F28E3">
        <w:rPr>
          <w:i/>
          <w:iCs/>
          <w:highlight w:val="cyan"/>
        </w:rPr>
        <w:t>. Theoretical and Applied Genetics</w:t>
      </w:r>
      <w:r w:rsidRPr="005F28E3">
        <w:rPr>
          <w:highlight w:val="cyan"/>
        </w:rPr>
        <w:t>, 132, 323-346. Doi: 10.1007/s00122-018-3220-5.</w:t>
      </w:r>
    </w:p>
    <w:p w14:paraId="0B49175A" w14:textId="4CB0CDBC" w:rsidR="007E2EC0" w:rsidRPr="002D2AD3" w:rsidRDefault="00143668" w:rsidP="00F33154">
      <w:pPr>
        <w:pStyle w:val="ListNumber"/>
        <w:rPr>
          <w:rFonts w:eastAsia="Times New Roman" w:cs="Times New Roman"/>
          <w:lang w:eastAsia="en-GB"/>
        </w:rPr>
      </w:pPr>
      <w:r w:rsidRPr="002D2AD3">
        <w:rPr>
          <w:shd w:val="clear" w:color="auto" w:fill="FFFFFF"/>
        </w:rPr>
        <w:t>Page, A.L., Miller, R.H. and Keeney, D.R. (1982) Methods of Soil Analysis. Part 2. Chemical and Microbiological Properties. American Society of Agronomy. In Soil Science Society of America, Vol. 1159.</w:t>
      </w:r>
      <w:r w:rsidR="007E2EC0" w:rsidRPr="002D2AD3">
        <w:rPr>
          <w:shd w:val="clear" w:color="auto" w:fill="FFFFFF"/>
        </w:rPr>
        <w:t xml:space="preserve"> </w:t>
      </w:r>
      <w:hyperlink r:id="rId9" w:history="1">
        <w:r w:rsidR="007E2EC0" w:rsidRPr="002D2AD3">
          <w:rPr>
            <w:rStyle w:val="Hyperlink"/>
            <w:rFonts w:ascii="Calibri" w:hAnsi="Calibri" w:cs="Calibri"/>
            <w:sz w:val="22"/>
          </w:rPr>
          <w:t>https://scholar.google.com/scholar?hl=en&amp;as_sdt=0%2C5&amp;q=15.%09Page%2C+A.L.%2C+Miller%2C+R.H.+and+Keeney%2C+D.R.+%281982%29+Methods+of+Soil+Analysis.+Part+2.+Chemical+and+Microbiological+Properties.+American+Society+of+Agronomy.+In+Soil+Science+Society+of+America%2C+Vol.+1159.&amp;btnG</w:t>
        </w:r>
      </w:hyperlink>
      <w:r w:rsidR="007E2EC0" w:rsidRPr="002D2AD3">
        <w:rPr>
          <w:rFonts w:ascii="Calibri" w:hAnsi="Calibri" w:cs="Calibri"/>
          <w:color w:val="000000"/>
          <w:sz w:val="22"/>
        </w:rPr>
        <w:t>=</w:t>
      </w:r>
    </w:p>
    <w:p w14:paraId="779B1441" w14:textId="339E4344" w:rsidR="00143668" w:rsidRPr="002D2AD3" w:rsidRDefault="00143668" w:rsidP="007E2EC0">
      <w:pPr>
        <w:pStyle w:val="ListNumber"/>
        <w:numPr>
          <w:ilvl w:val="0"/>
          <w:numId w:val="0"/>
        </w:numPr>
        <w:rPr>
          <w:shd w:val="clear" w:color="auto" w:fill="FFFFFF"/>
        </w:rPr>
      </w:pPr>
    </w:p>
    <w:p w14:paraId="136509E9" w14:textId="77777777" w:rsidR="00143668" w:rsidRPr="002D2AD3" w:rsidRDefault="00143668" w:rsidP="000B697C">
      <w:pPr>
        <w:pStyle w:val="ListNumber"/>
      </w:pPr>
      <w:r w:rsidRPr="002D2AD3">
        <w:t xml:space="preserve">Parida, A.K., &amp; Das, A.B. (2005). Salt tolerance and salinity effects on plants: A review. </w:t>
      </w:r>
      <w:r w:rsidRPr="002D2AD3">
        <w:rPr>
          <w:i/>
          <w:iCs/>
        </w:rPr>
        <w:t>Ecotoxicology and Environmental Botany</w:t>
      </w:r>
      <w:r w:rsidRPr="002D2AD3">
        <w:t>, 161, 38-50.</w:t>
      </w:r>
    </w:p>
    <w:p w14:paraId="2639F2B5" w14:textId="458CBA46" w:rsidR="00143668" w:rsidRPr="002D2AD3" w:rsidRDefault="00143668" w:rsidP="00237019">
      <w:pPr>
        <w:pStyle w:val="ListNumber"/>
      </w:pPr>
      <w:r w:rsidRPr="002D2AD3">
        <w:t xml:space="preserve">Parihar, P., Singh, S., Singh, R., Singh, V. P., &amp; Prasad, S. M. (2015). Effect of salinity stress on plants and its tolerance strategies: A review. </w:t>
      </w:r>
      <w:r w:rsidRPr="002D2AD3">
        <w:rPr>
          <w:i/>
          <w:iCs/>
        </w:rPr>
        <w:t>Environmental Science and Pollution Research</w:t>
      </w:r>
      <w:r w:rsidRPr="002D2AD3">
        <w:t xml:space="preserve">, 22(6), 4056–4075. </w:t>
      </w:r>
    </w:p>
    <w:p w14:paraId="42D2DF14" w14:textId="2B1A1C87" w:rsidR="00E432A9" w:rsidRPr="002D2AD3" w:rsidRDefault="00E432A9" w:rsidP="00237019">
      <w:pPr>
        <w:pStyle w:val="ListNumber"/>
        <w:rPr>
          <w:rFonts w:cs="Times New Roman"/>
          <w:szCs w:val="24"/>
        </w:rPr>
      </w:pPr>
      <w:r w:rsidRPr="002D2AD3">
        <w:rPr>
          <w:rStyle w:val="HTMLCite"/>
          <w:rFonts w:cs="Times New Roman"/>
          <w:i w:val="0"/>
          <w:iCs w:val="0"/>
          <w:color w:val="1B1B1B"/>
          <w:szCs w:val="24"/>
          <w:shd w:val="clear" w:color="auto" w:fill="FFFFFF"/>
        </w:rPr>
        <w:t xml:space="preserve">Sofy M.R., Elhindi K.M., Farouk, S. &amp; Alotaibi M.A. (2020).  Zinc and Paclobutrazol Mediated Regulation of Growth, Upregulating Antioxidant Aptitude and Plant Productivity of Pea Plants under Salinity. </w:t>
      </w:r>
      <w:r w:rsidRPr="002D2AD3">
        <w:rPr>
          <w:rStyle w:val="HTMLCite"/>
          <w:rFonts w:cs="Times New Roman"/>
          <w:color w:val="1B1B1B"/>
          <w:szCs w:val="24"/>
          <w:shd w:val="clear" w:color="auto" w:fill="FFFFFF"/>
        </w:rPr>
        <w:t>Plants</w:t>
      </w:r>
      <w:r w:rsidRPr="002D2AD3">
        <w:rPr>
          <w:rStyle w:val="HTMLCite"/>
          <w:rFonts w:cs="Times New Roman"/>
          <w:i w:val="0"/>
          <w:iCs w:val="0"/>
          <w:color w:val="1B1B1B"/>
          <w:szCs w:val="24"/>
          <w:shd w:val="clear" w:color="auto" w:fill="FFFFFF"/>
        </w:rPr>
        <w:t>.</w:t>
      </w:r>
      <w:r w:rsidR="007168E4" w:rsidRPr="002D2AD3">
        <w:rPr>
          <w:rStyle w:val="HTMLCite"/>
          <w:rFonts w:cs="Times New Roman"/>
          <w:i w:val="0"/>
          <w:iCs w:val="0"/>
          <w:color w:val="1B1B1B"/>
          <w:szCs w:val="24"/>
          <w:shd w:val="clear" w:color="auto" w:fill="FFFFFF"/>
        </w:rPr>
        <w:t xml:space="preserve"> </w:t>
      </w:r>
      <w:r w:rsidRPr="002D2AD3">
        <w:rPr>
          <w:rStyle w:val="HTMLCite"/>
          <w:rFonts w:cs="Times New Roman"/>
          <w:i w:val="0"/>
          <w:iCs w:val="0"/>
          <w:color w:val="1B1B1B"/>
          <w:szCs w:val="24"/>
          <w:shd w:val="clear" w:color="auto" w:fill="FFFFFF"/>
        </w:rPr>
        <w:t xml:space="preserve">9:1197. </w:t>
      </w:r>
      <w:proofErr w:type="spellStart"/>
      <w:r w:rsidRPr="002D2AD3">
        <w:rPr>
          <w:rStyle w:val="HTMLCite"/>
          <w:rFonts w:cs="Times New Roman"/>
          <w:i w:val="0"/>
          <w:iCs w:val="0"/>
          <w:color w:val="1B1B1B"/>
          <w:szCs w:val="24"/>
          <w:shd w:val="clear" w:color="auto" w:fill="FFFFFF"/>
        </w:rPr>
        <w:t>doi</w:t>
      </w:r>
      <w:proofErr w:type="spellEnd"/>
      <w:r w:rsidRPr="002D2AD3">
        <w:rPr>
          <w:rStyle w:val="HTMLCite"/>
          <w:rFonts w:cs="Times New Roman"/>
          <w:i w:val="0"/>
          <w:iCs w:val="0"/>
          <w:color w:val="1B1B1B"/>
          <w:szCs w:val="24"/>
          <w:shd w:val="clear" w:color="auto" w:fill="FFFFFF"/>
        </w:rPr>
        <w:t>: 10.3390/plants9091197.</w:t>
      </w:r>
      <w:r w:rsidRPr="002D2AD3">
        <w:rPr>
          <w:rFonts w:cs="Times New Roman"/>
          <w:color w:val="1B1B1B"/>
          <w:szCs w:val="24"/>
          <w:shd w:val="clear" w:color="auto" w:fill="FFFFFF"/>
        </w:rPr>
        <w:t> [</w:t>
      </w:r>
      <w:hyperlink r:id="rId10" w:tgtFrame="_blank" w:history="1">
        <w:r w:rsidRPr="002D2AD3">
          <w:rPr>
            <w:rStyle w:val="Hyperlink"/>
            <w:rFonts w:cs="Times New Roman"/>
            <w:color w:val="auto"/>
            <w:szCs w:val="24"/>
            <w:shd w:val="clear" w:color="auto" w:fill="FFFFFF"/>
          </w:rPr>
          <w:t>DOI</w:t>
        </w:r>
      </w:hyperlink>
      <w:r w:rsidRPr="002D2AD3">
        <w:rPr>
          <w:rFonts w:cs="Times New Roman"/>
          <w:szCs w:val="24"/>
          <w:shd w:val="clear" w:color="auto" w:fill="FFFFFF"/>
        </w:rPr>
        <w:t>] [</w:t>
      </w:r>
      <w:hyperlink r:id="rId11" w:history="1">
        <w:r w:rsidRPr="002D2AD3">
          <w:rPr>
            <w:rStyle w:val="Hyperlink"/>
            <w:rFonts w:cs="Times New Roman"/>
            <w:color w:val="auto"/>
            <w:szCs w:val="24"/>
            <w:shd w:val="clear" w:color="auto" w:fill="FFFFFF"/>
          </w:rPr>
          <w:t>PMC free article</w:t>
        </w:r>
      </w:hyperlink>
      <w:r w:rsidRPr="002D2AD3">
        <w:rPr>
          <w:rFonts w:cs="Times New Roman"/>
          <w:szCs w:val="24"/>
          <w:shd w:val="clear" w:color="auto" w:fill="FFFFFF"/>
        </w:rPr>
        <w:t>] [</w:t>
      </w:r>
      <w:hyperlink r:id="rId12" w:history="1">
        <w:r w:rsidRPr="002D2AD3">
          <w:rPr>
            <w:rStyle w:val="Hyperlink"/>
            <w:rFonts w:cs="Times New Roman"/>
            <w:color w:val="auto"/>
            <w:szCs w:val="24"/>
            <w:shd w:val="clear" w:color="auto" w:fill="FFFFFF"/>
          </w:rPr>
          <w:t>PubMed</w:t>
        </w:r>
      </w:hyperlink>
      <w:r w:rsidRPr="002D2AD3">
        <w:rPr>
          <w:rFonts w:cs="Times New Roman"/>
          <w:szCs w:val="24"/>
          <w:shd w:val="clear" w:color="auto" w:fill="FFFFFF"/>
        </w:rPr>
        <w:t>] [</w:t>
      </w:r>
      <w:hyperlink r:id="rId13" w:tgtFrame="_blank" w:history="1">
        <w:r w:rsidRPr="002D2AD3">
          <w:rPr>
            <w:rStyle w:val="Hyperlink"/>
            <w:rFonts w:cs="Times New Roman"/>
            <w:color w:val="auto"/>
            <w:szCs w:val="24"/>
            <w:shd w:val="clear" w:color="auto" w:fill="FFFFFF"/>
          </w:rPr>
          <w:t>Google Scholar</w:t>
        </w:r>
      </w:hyperlink>
      <w:r w:rsidRPr="002D2AD3">
        <w:rPr>
          <w:rFonts w:cs="Times New Roman"/>
          <w:color w:val="1B1B1B"/>
          <w:szCs w:val="24"/>
          <w:shd w:val="clear" w:color="auto" w:fill="FFFFFF"/>
        </w:rPr>
        <w:t>]</w:t>
      </w:r>
    </w:p>
    <w:p w14:paraId="394825EC" w14:textId="77777777" w:rsidR="001623ED" w:rsidRDefault="00143668" w:rsidP="001623ED">
      <w:pPr>
        <w:pStyle w:val="ListNumber"/>
        <w:rPr>
          <w:rFonts w:eastAsia="Times New Roman" w:cs="Times New Roman"/>
          <w:lang w:eastAsia="en-GB"/>
        </w:rPr>
      </w:pPr>
      <w:r w:rsidRPr="002D2AD3">
        <w:t xml:space="preserve">USDA. (1960). </w:t>
      </w:r>
      <w:r w:rsidRPr="002D2AD3">
        <w:rPr>
          <w:iCs/>
        </w:rPr>
        <w:t>Soil classification, a comprehensive system 7</w:t>
      </w:r>
      <w:r w:rsidRPr="002D2AD3">
        <w:rPr>
          <w:iCs/>
          <w:vertAlign w:val="superscript"/>
        </w:rPr>
        <w:t>th</w:t>
      </w:r>
      <w:r w:rsidRPr="002D2AD3">
        <w:rPr>
          <w:iCs/>
        </w:rPr>
        <w:t xml:space="preserve"> approximation</w:t>
      </w:r>
      <w:r w:rsidRPr="002D2AD3">
        <w:t>. United States Department of Agriculture Washington, 4625Pp</w:t>
      </w:r>
      <w:r w:rsidR="006910B3" w:rsidRPr="002D2AD3">
        <w:t xml:space="preserve">. </w:t>
      </w:r>
      <w:hyperlink r:id="rId14" w:history="1">
        <w:r w:rsidR="006910B3" w:rsidRPr="002D2AD3">
          <w:rPr>
            <w:rStyle w:val="Hyperlink"/>
            <w:rFonts w:ascii="Calibri" w:hAnsi="Calibri" w:cs="Calibri"/>
            <w:sz w:val="22"/>
          </w:rPr>
          <w:t>https://scholar.google.com/scholar?hl=en&amp;as_sdt=0%2C5&amp;q=19.%09USDA.+%281960%29.+Soil+classification%2C+a+comprehensive+system+7th+approximation.+United+States+Department+of+Agriculture+Washington%2C+4625Pp&amp;btnG</w:t>
        </w:r>
      </w:hyperlink>
      <w:r w:rsidR="006910B3" w:rsidRPr="002D2AD3">
        <w:rPr>
          <w:rFonts w:ascii="Calibri" w:hAnsi="Calibri" w:cs="Calibri"/>
          <w:color w:val="000000"/>
          <w:sz w:val="22"/>
        </w:rPr>
        <w:t>=</w:t>
      </w:r>
    </w:p>
    <w:p w14:paraId="08366E88" w14:textId="7E0FA55F" w:rsidR="00897F17" w:rsidRPr="001623ED" w:rsidRDefault="001623ED" w:rsidP="001623ED">
      <w:pPr>
        <w:pStyle w:val="ListNumber"/>
        <w:rPr>
          <w:rFonts w:eastAsia="Times New Roman" w:cs="Times New Roman"/>
          <w:lang w:eastAsia="en-GB"/>
        </w:rPr>
      </w:pPr>
      <w:bookmarkStart w:id="2" w:name="_GoBack"/>
      <w:r w:rsidRPr="001623ED">
        <w:t>Yadav, S., Irfan, M., Ahmad, A., &amp; Hayat, S. (2011). Causes of salinity and plant manifestations to salt stress: a review. Journal of environmental biology, 32(5), 667.</w:t>
      </w:r>
    </w:p>
    <w:bookmarkEnd w:id="2"/>
    <w:p w14:paraId="5E0730C2" w14:textId="77777777" w:rsidR="00143668" w:rsidRPr="002D2AD3" w:rsidRDefault="00143668" w:rsidP="00237019">
      <w:pPr>
        <w:pStyle w:val="ListNumber"/>
      </w:pPr>
      <w:r w:rsidRPr="002D2AD3">
        <w:t xml:space="preserve">Zhou, Y., Ma, W., Hou, D., Wei, Y., &amp; He, Y. (2021). Transcriptomic insights into soybean salt stress responses and tolerance. </w:t>
      </w:r>
      <w:r w:rsidRPr="002D2AD3">
        <w:rPr>
          <w:i/>
          <w:iCs/>
        </w:rPr>
        <w:t>Frontiers in Plant Science</w:t>
      </w:r>
      <w:r w:rsidRPr="002D2AD3">
        <w:t xml:space="preserve">, 12, 636383. </w:t>
      </w:r>
    </w:p>
    <w:p w14:paraId="6DB50B3E" w14:textId="6CE96378" w:rsidR="00305F7F" w:rsidRPr="002D2AD3" w:rsidRDefault="00143668" w:rsidP="00D52885">
      <w:pPr>
        <w:pStyle w:val="ListNumber"/>
        <w:spacing w:line="480" w:lineRule="auto"/>
        <w:rPr>
          <w:rFonts w:cs="Times New Roman"/>
          <w:szCs w:val="24"/>
        </w:rPr>
      </w:pPr>
      <w:proofErr w:type="spellStart"/>
      <w:r w:rsidRPr="002D2AD3">
        <w:t>Zörb</w:t>
      </w:r>
      <w:proofErr w:type="spellEnd"/>
      <w:r w:rsidRPr="002D2AD3">
        <w:t xml:space="preserve">, C., </w:t>
      </w:r>
      <w:proofErr w:type="spellStart"/>
      <w:r w:rsidRPr="002D2AD3">
        <w:t>Geilfus</w:t>
      </w:r>
      <w:proofErr w:type="spellEnd"/>
      <w:r w:rsidRPr="002D2AD3">
        <w:t xml:space="preserve">, C. M., &amp; Dietz, K. J. (2019). Salinity and crop yield. </w:t>
      </w:r>
      <w:r w:rsidRPr="002D2AD3">
        <w:rPr>
          <w:i/>
          <w:iCs/>
        </w:rPr>
        <w:t>Plant Biology</w:t>
      </w:r>
      <w:r w:rsidRPr="002D2AD3">
        <w:t xml:space="preserve">, 21(S1), 31–38. </w:t>
      </w:r>
    </w:p>
    <w:sectPr w:rsidR="00305F7F" w:rsidRPr="002D2AD3" w:rsidSect="00305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2E4E1" w14:textId="77777777" w:rsidR="004C4281" w:rsidRDefault="004C4281" w:rsidP="001C49ED">
      <w:pPr>
        <w:spacing w:after="0" w:line="240" w:lineRule="auto"/>
      </w:pPr>
      <w:r>
        <w:separator/>
      </w:r>
    </w:p>
  </w:endnote>
  <w:endnote w:type="continuationSeparator" w:id="0">
    <w:p w14:paraId="5D3CE659" w14:textId="77777777" w:rsidR="004C4281" w:rsidRDefault="004C4281" w:rsidP="001C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TimesNewRomanPSMT">
    <w:altName w:val="MS Gothic"/>
    <w:charset w:val="00"/>
    <w:family w:val="auto"/>
    <w:pitch w:val="default"/>
    <w:sig w:usb0="00000003" w:usb1="08070000" w:usb2="00000010" w:usb3="00000000" w:csb0="00020001"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8103" w14:textId="77777777" w:rsidR="004C4281" w:rsidRDefault="004C4281" w:rsidP="001C49ED">
      <w:pPr>
        <w:spacing w:after="0" w:line="240" w:lineRule="auto"/>
      </w:pPr>
      <w:r>
        <w:separator/>
      </w:r>
    </w:p>
  </w:footnote>
  <w:footnote w:type="continuationSeparator" w:id="0">
    <w:p w14:paraId="52EE4516" w14:textId="77777777" w:rsidR="004C4281" w:rsidRDefault="004C4281" w:rsidP="001C4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486D14"/>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C4165"/>
    <w:rsid w:val="00001E52"/>
    <w:rsid w:val="000056A5"/>
    <w:rsid w:val="0001017B"/>
    <w:rsid w:val="00011170"/>
    <w:rsid w:val="000117A1"/>
    <w:rsid w:val="00011D8C"/>
    <w:rsid w:val="00017AAF"/>
    <w:rsid w:val="00021393"/>
    <w:rsid w:val="00035879"/>
    <w:rsid w:val="000360CA"/>
    <w:rsid w:val="000376FC"/>
    <w:rsid w:val="00040C74"/>
    <w:rsid w:val="0004139B"/>
    <w:rsid w:val="00043E33"/>
    <w:rsid w:val="00050316"/>
    <w:rsid w:val="00051EDF"/>
    <w:rsid w:val="000542CC"/>
    <w:rsid w:val="0007209E"/>
    <w:rsid w:val="00075B3D"/>
    <w:rsid w:val="000776A7"/>
    <w:rsid w:val="00082AA3"/>
    <w:rsid w:val="000831D0"/>
    <w:rsid w:val="000851F2"/>
    <w:rsid w:val="00087D05"/>
    <w:rsid w:val="00092C2E"/>
    <w:rsid w:val="00095CA3"/>
    <w:rsid w:val="00095D19"/>
    <w:rsid w:val="000A251E"/>
    <w:rsid w:val="000A6A98"/>
    <w:rsid w:val="000A74DA"/>
    <w:rsid w:val="000B39DB"/>
    <w:rsid w:val="000B697C"/>
    <w:rsid w:val="000B749D"/>
    <w:rsid w:val="000C3E97"/>
    <w:rsid w:val="000D2B69"/>
    <w:rsid w:val="000E1EAB"/>
    <w:rsid w:val="000F50C0"/>
    <w:rsid w:val="001002B8"/>
    <w:rsid w:val="001123AF"/>
    <w:rsid w:val="00115CC2"/>
    <w:rsid w:val="001243EE"/>
    <w:rsid w:val="00132047"/>
    <w:rsid w:val="001328B2"/>
    <w:rsid w:val="00140218"/>
    <w:rsid w:val="00143668"/>
    <w:rsid w:val="00156350"/>
    <w:rsid w:val="001623ED"/>
    <w:rsid w:val="00171FB2"/>
    <w:rsid w:val="00175BE9"/>
    <w:rsid w:val="001870A3"/>
    <w:rsid w:val="00193527"/>
    <w:rsid w:val="00193A86"/>
    <w:rsid w:val="00195314"/>
    <w:rsid w:val="00196E59"/>
    <w:rsid w:val="001A3266"/>
    <w:rsid w:val="001B14ED"/>
    <w:rsid w:val="001B2FAC"/>
    <w:rsid w:val="001B752E"/>
    <w:rsid w:val="001C49ED"/>
    <w:rsid w:val="001C53E3"/>
    <w:rsid w:val="001C63B5"/>
    <w:rsid w:val="001D2186"/>
    <w:rsid w:val="001D4FCF"/>
    <w:rsid w:val="001D5708"/>
    <w:rsid w:val="001D78A5"/>
    <w:rsid w:val="001E5DAB"/>
    <w:rsid w:val="001F0DED"/>
    <w:rsid w:val="001F1C4F"/>
    <w:rsid w:val="002025B4"/>
    <w:rsid w:val="0020430D"/>
    <w:rsid w:val="002125D3"/>
    <w:rsid w:val="00212FEC"/>
    <w:rsid w:val="0021477A"/>
    <w:rsid w:val="00225D99"/>
    <w:rsid w:val="00226A68"/>
    <w:rsid w:val="00237019"/>
    <w:rsid w:val="00240B51"/>
    <w:rsid w:val="00243E91"/>
    <w:rsid w:val="0025226B"/>
    <w:rsid w:val="0026527B"/>
    <w:rsid w:val="002702FD"/>
    <w:rsid w:val="00271870"/>
    <w:rsid w:val="00271C32"/>
    <w:rsid w:val="00274AC9"/>
    <w:rsid w:val="00277D57"/>
    <w:rsid w:val="002810F5"/>
    <w:rsid w:val="0029787E"/>
    <w:rsid w:val="002A09B7"/>
    <w:rsid w:val="002A1429"/>
    <w:rsid w:val="002A54D8"/>
    <w:rsid w:val="002B2E34"/>
    <w:rsid w:val="002B5890"/>
    <w:rsid w:val="002B7BB1"/>
    <w:rsid w:val="002D2AD3"/>
    <w:rsid w:val="002D3245"/>
    <w:rsid w:val="002E0C52"/>
    <w:rsid w:val="002E470C"/>
    <w:rsid w:val="002E4BC7"/>
    <w:rsid w:val="002E6E2C"/>
    <w:rsid w:val="002F3794"/>
    <w:rsid w:val="002F519B"/>
    <w:rsid w:val="002F5F0D"/>
    <w:rsid w:val="003015D4"/>
    <w:rsid w:val="00305F7F"/>
    <w:rsid w:val="00310738"/>
    <w:rsid w:val="0031124E"/>
    <w:rsid w:val="0031787C"/>
    <w:rsid w:val="003210BE"/>
    <w:rsid w:val="00321A85"/>
    <w:rsid w:val="00324532"/>
    <w:rsid w:val="00327EB1"/>
    <w:rsid w:val="003302F0"/>
    <w:rsid w:val="00332365"/>
    <w:rsid w:val="00337041"/>
    <w:rsid w:val="00344DB2"/>
    <w:rsid w:val="00351879"/>
    <w:rsid w:val="00357207"/>
    <w:rsid w:val="003615C1"/>
    <w:rsid w:val="003636DC"/>
    <w:rsid w:val="003637DD"/>
    <w:rsid w:val="00363B89"/>
    <w:rsid w:val="0036425C"/>
    <w:rsid w:val="00364C71"/>
    <w:rsid w:val="00365E18"/>
    <w:rsid w:val="003746E8"/>
    <w:rsid w:val="00374F6A"/>
    <w:rsid w:val="00376957"/>
    <w:rsid w:val="00397707"/>
    <w:rsid w:val="003B3875"/>
    <w:rsid w:val="003B5B4D"/>
    <w:rsid w:val="003B640F"/>
    <w:rsid w:val="003C26D6"/>
    <w:rsid w:val="003D1C80"/>
    <w:rsid w:val="003D5631"/>
    <w:rsid w:val="003E37E1"/>
    <w:rsid w:val="003F05AC"/>
    <w:rsid w:val="003F1FBA"/>
    <w:rsid w:val="0040197E"/>
    <w:rsid w:val="004030E6"/>
    <w:rsid w:val="0040359B"/>
    <w:rsid w:val="00406DBC"/>
    <w:rsid w:val="0040757F"/>
    <w:rsid w:val="00412FD6"/>
    <w:rsid w:val="004165D3"/>
    <w:rsid w:val="00416C10"/>
    <w:rsid w:val="00424546"/>
    <w:rsid w:val="00433403"/>
    <w:rsid w:val="00433B10"/>
    <w:rsid w:val="00445D9E"/>
    <w:rsid w:val="004537A5"/>
    <w:rsid w:val="004549A4"/>
    <w:rsid w:val="00455A76"/>
    <w:rsid w:val="00456789"/>
    <w:rsid w:val="004650BC"/>
    <w:rsid w:val="00466294"/>
    <w:rsid w:val="00482379"/>
    <w:rsid w:val="0049608B"/>
    <w:rsid w:val="004A6AB2"/>
    <w:rsid w:val="004B1969"/>
    <w:rsid w:val="004B37CE"/>
    <w:rsid w:val="004C0DEB"/>
    <w:rsid w:val="004C1ED3"/>
    <w:rsid w:val="004C1EE7"/>
    <w:rsid w:val="004C39EC"/>
    <w:rsid w:val="004C4281"/>
    <w:rsid w:val="004C5B81"/>
    <w:rsid w:val="004D1053"/>
    <w:rsid w:val="004D1A21"/>
    <w:rsid w:val="004D2506"/>
    <w:rsid w:val="004D31A3"/>
    <w:rsid w:val="004D77A5"/>
    <w:rsid w:val="004E0DE7"/>
    <w:rsid w:val="004F0EA0"/>
    <w:rsid w:val="004F31AF"/>
    <w:rsid w:val="004F57D2"/>
    <w:rsid w:val="004F6375"/>
    <w:rsid w:val="004F7133"/>
    <w:rsid w:val="004F7B52"/>
    <w:rsid w:val="0051022B"/>
    <w:rsid w:val="00514C7F"/>
    <w:rsid w:val="00516800"/>
    <w:rsid w:val="005179E7"/>
    <w:rsid w:val="00535B60"/>
    <w:rsid w:val="005416E7"/>
    <w:rsid w:val="00541998"/>
    <w:rsid w:val="00542240"/>
    <w:rsid w:val="005424D5"/>
    <w:rsid w:val="00544A41"/>
    <w:rsid w:val="00546D39"/>
    <w:rsid w:val="00550349"/>
    <w:rsid w:val="005540E7"/>
    <w:rsid w:val="00554763"/>
    <w:rsid w:val="00561640"/>
    <w:rsid w:val="005634D5"/>
    <w:rsid w:val="00564E94"/>
    <w:rsid w:val="00576C1E"/>
    <w:rsid w:val="0058251F"/>
    <w:rsid w:val="005831CB"/>
    <w:rsid w:val="00583FE7"/>
    <w:rsid w:val="005917A9"/>
    <w:rsid w:val="005A2F0E"/>
    <w:rsid w:val="005A5AC2"/>
    <w:rsid w:val="005A7A7A"/>
    <w:rsid w:val="005B595F"/>
    <w:rsid w:val="005B6792"/>
    <w:rsid w:val="005C1B1C"/>
    <w:rsid w:val="005C6104"/>
    <w:rsid w:val="005C76B4"/>
    <w:rsid w:val="005D485D"/>
    <w:rsid w:val="005E6EC7"/>
    <w:rsid w:val="005F28E3"/>
    <w:rsid w:val="00600969"/>
    <w:rsid w:val="006018FE"/>
    <w:rsid w:val="00603F70"/>
    <w:rsid w:val="00604B77"/>
    <w:rsid w:val="00606118"/>
    <w:rsid w:val="006331FB"/>
    <w:rsid w:val="006443C2"/>
    <w:rsid w:val="006460FE"/>
    <w:rsid w:val="0066055E"/>
    <w:rsid w:val="00661014"/>
    <w:rsid w:val="00665ACD"/>
    <w:rsid w:val="006673E9"/>
    <w:rsid w:val="00667F2C"/>
    <w:rsid w:val="00671051"/>
    <w:rsid w:val="0068376D"/>
    <w:rsid w:val="006910B3"/>
    <w:rsid w:val="00692484"/>
    <w:rsid w:val="0069292F"/>
    <w:rsid w:val="006937B7"/>
    <w:rsid w:val="00693FD0"/>
    <w:rsid w:val="006A7249"/>
    <w:rsid w:val="006A7808"/>
    <w:rsid w:val="006B3FB4"/>
    <w:rsid w:val="006C2DD5"/>
    <w:rsid w:val="006D43E3"/>
    <w:rsid w:val="006D6EA7"/>
    <w:rsid w:val="006E1EAA"/>
    <w:rsid w:val="006E6516"/>
    <w:rsid w:val="006E7BA2"/>
    <w:rsid w:val="006F2DF4"/>
    <w:rsid w:val="006F4FB5"/>
    <w:rsid w:val="006F7399"/>
    <w:rsid w:val="00704F2B"/>
    <w:rsid w:val="00714AAB"/>
    <w:rsid w:val="007168E4"/>
    <w:rsid w:val="007224ED"/>
    <w:rsid w:val="00722EBE"/>
    <w:rsid w:val="007273E9"/>
    <w:rsid w:val="00731BAA"/>
    <w:rsid w:val="00735EDD"/>
    <w:rsid w:val="0073698A"/>
    <w:rsid w:val="007479F8"/>
    <w:rsid w:val="007507EA"/>
    <w:rsid w:val="00750A0C"/>
    <w:rsid w:val="00757D4E"/>
    <w:rsid w:val="00761243"/>
    <w:rsid w:val="00781678"/>
    <w:rsid w:val="00782481"/>
    <w:rsid w:val="007837AC"/>
    <w:rsid w:val="007913B3"/>
    <w:rsid w:val="00791E59"/>
    <w:rsid w:val="00795C25"/>
    <w:rsid w:val="00797541"/>
    <w:rsid w:val="007A1160"/>
    <w:rsid w:val="007A1681"/>
    <w:rsid w:val="007A53D1"/>
    <w:rsid w:val="007A7C4A"/>
    <w:rsid w:val="007B5103"/>
    <w:rsid w:val="007C1E7D"/>
    <w:rsid w:val="007C298C"/>
    <w:rsid w:val="007C4165"/>
    <w:rsid w:val="007C70BF"/>
    <w:rsid w:val="007D6690"/>
    <w:rsid w:val="007D6F66"/>
    <w:rsid w:val="007D7C15"/>
    <w:rsid w:val="007E2EC0"/>
    <w:rsid w:val="007F3B44"/>
    <w:rsid w:val="008076A7"/>
    <w:rsid w:val="00812F09"/>
    <w:rsid w:val="00816DDA"/>
    <w:rsid w:val="008244B8"/>
    <w:rsid w:val="00834F93"/>
    <w:rsid w:val="008352D4"/>
    <w:rsid w:val="008407C0"/>
    <w:rsid w:val="00840891"/>
    <w:rsid w:val="008459DC"/>
    <w:rsid w:val="00851902"/>
    <w:rsid w:val="008534DF"/>
    <w:rsid w:val="00853B1A"/>
    <w:rsid w:val="008541B3"/>
    <w:rsid w:val="00857DD3"/>
    <w:rsid w:val="008628BB"/>
    <w:rsid w:val="008675C2"/>
    <w:rsid w:val="008724E3"/>
    <w:rsid w:val="008728DC"/>
    <w:rsid w:val="00897F17"/>
    <w:rsid w:val="008A0C30"/>
    <w:rsid w:val="008A1FEB"/>
    <w:rsid w:val="008A70EA"/>
    <w:rsid w:val="008B1E45"/>
    <w:rsid w:val="008D1BF8"/>
    <w:rsid w:val="008D22CD"/>
    <w:rsid w:val="008D6B00"/>
    <w:rsid w:val="008D73B8"/>
    <w:rsid w:val="008E46E7"/>
    <w:rsid w:val="008E5CF0"/>
    <w:rsid w:val="008F0F4C"/>
    <w:rsid w:val="008F2695"/>
    <w:rsid w:val="008F43C2"/>
    <w:rsid w:val="008F531D"/>
    <w:rsid w:val="008F777D"/>
    <w:rsid w:val="00900800"/>
    <w:rsid w:val="00905358"/>
    <w:rsid w:val="009108E8"/>
    <w:rsid w:val="0093367B"/>
    <w:rsid w:val="00933A19"/>
    <w:rsid w:val="00940540"/>
    <w:rsid w:val="00950766"/>
    <w:rsid w:val="0095421F"/>
    <w:rsid w:val="00955858"/>
    <w:rsid w:val="00956D44"/>
    <w:rsid w:val="00962353"/>
    <w:rsid w:val="0096301D"/>
    <w:rsid w:val="00967B05"/>
    <w:rsid w:val="00973636"/>
    <w:rsid w:val="00983DAD"/>
    <w:rsid w:val="00991491"/>
    <w:rsid w:val="009C5C44"/>
    <w:rsid w:val="009D2CE3"/>
    <w:rsid w:val="009E1001"/>
    <w:rsid w:val="009E16BC"/>
    <w:rsid w:val="009E31C5"/>
    <w:rsid w:val="009E62F7"/>
    <w:rsid w:val="009F043A"/>
    <w:rsid w:val="009F4017"/>
    <w:rsid w:val="009F4E30"/>
    <w:rsid w:val="009F7D95"/>
    <w:rsid w:val="00A0017A"/>
    <w:rsid w:val="00A027A1"/>
    <w:rsid w:val="00A0622E"/>
    <w:rsid w:val="00A12C03"/>
    <w:rsid w:val="00A16F42"/>
    <w:rsid w:val="00A226A2"/>
    <w:rsid w:val="00A31E33"/>
    <w:rsid w:val="00A32535"/>
    <w:rsid w:val="00A344DE"/>
    <w:rsid w:val="00A53BCA"/>
    <w:rsid w:val="00A546A5"/>
    <w:rsid w:val="00A6101D"/>
    <w:rsid w:val="00A715F4"/>
    <w:rsid w:val="00A93744"/>
    <w:rsid w:val="00AA3B6B"/>
    <w:rsid w:val="00AB111B"/>
    <w:rsid w:val="00AB4CF6"/>
    <w:rsid w:val="00AB62D8"/>
    <w:rsid w:val="00AD0BA3"/>
    <w:rsid w:val="00AD31E2"/>
    <w:rsid w:val="00AD5450"/>
    <w:rsid w:val="00AD6E61"/>
    <w:rsid w:val="00AE64F3"/>
    <w:rsid w:val="00AF17F5"/>
    <w:rsid w:val="00B0217F"/>
    <w:rsid w:val="00B03A5B"/>
    <w:rsid w:val="00B11F7F"/>
    <w:rsid w:val="00B17B2E"/>
    <w:rsid w:val="00B219EF"/>
    <w:rsid w:val="00B31719"/>
    <w:rsid w:val="00B3687B"/>
    <w:rsid w:val="00B46895"/>
    <w:rsid w:val="00B501CF"/>
    <w:rsid w:val="00B5077D"/>
    <w:rsid w:val="00B6674D"/>
    <w:rsid w:val="00B7371E"/>
    <w:rsid w:val="00B73A9E"/>
    <w:rsid w:val="00B8524A"/>
    <w:rsid w:val="00B8527A"/>
    <w:rsid w:val="00B854C6"/>
    <w:rsid w:val="00B90746"/>
    <w:rsid w:val="00B94615"/>
    <w:rsid w:val="00BA20E5"/>
    <w:rsid w:val="00BA2C2C"/>
    <w:rsid w:val="00BA54C6"/>
    <w:rsid w:val="00BB09A3"/>
    <w:rsid w:val="00BE6A36"/>
    <w:rsid w:val="00C027CF"/>
    <w:rsid w:val="00C03E30"/>
    <w:rsid w:val="00C12D11"/>
    <w:rsid w:val="00C211F5"/>
    <w:rsid w:val="00C218D9"/>
    <w:rsid w:val="00C34E0A"/>
    <w:rsid w:val="00C37780"/>
    <w:rsid w:val="00C40CB9"/>
    <w:rsid w:val="00C40D63"/>
    <w:rsid w:val="00C42305"/>
    <w:rsid w:val="00C432E3"/>
    <w:rsid w:val="00C453CB"/>
    <w:rsid w:val="00C524E6"/>
    <w:rsid w:val="00C55117"/>
    <w:rsid w:val="00C55520"/>
    <w:rsid w:val="00C6117B"/>
    <w:rsid w:val="00C706BD"/>
    <w:rsid w:val="00C8150B"/>
    <w:rsid w:val="00C8628D"/>
    <w:rsid w:val="00C92628"/>
    <w:rsid w:val="00C92AA1"/>
    <w:rsid w:val="00C95BE3"/>
    <w:rsid w:val="00CA038B"/>
    <w:rsid w:val="00CA3377"/>
    <w:rsid w:val="00CA6CDB"/>
    <w:rsid w:val="00CB146A"/>
    <w:rsid w:val="00CB65E3"/>
    <w:rsid w:val="00CB6D5C"/>
    <w:rsid w:val="00CC009D"/>
    <w:rsid w:val="00CC319D"/>
    <w:rsid w:val="00CD00E3"/>
    <w:rsid w:val="00CD02B7"/>
    <w:rsid w:val="00CD2BE3"/>
    <w:rsid w:val="00CE5725"/>
    <w:rsid w:val="00CF0628"/>
    <w:rsid w:val="00CF30FF"/>
    <w:rsid w:val="00CF44C8"/>
    <w:rsid w:val="00CF5ECF"/>
    <w:rsid w:val="00D02774"/>
    <w:rsid w:val="00D201E9"/>
    <w:rsid w:val="00D21501"/>
    <w:rsid w:val="00D244AD"/>
    <w:rsid w:val="00D263C0"/>
    <w:rsid w:val="00D27323"/>
    <w:rsid w:val="00D32A3C"/>
    <w:rsid w:val="00D32B09"/>
    <w:rsid w:val="00D37737"/>
    <w:rsid w:val="00D52885"/>
    <w:rsid w:val="00D61C4D"/>
    <w:rsid w:val="00D62530"/>
    <w:rsid w:val="00D62BC8"/>
    <w:rsid w:val="00D709E7"/>
    <w:rsid w:val="00D70B7F"/>
    <w:rsid w:val="00D86B49"/>
    <w:rsid w:val="00D902B0"/>
    <w:rsid w:val="00D91768"/>
    <w:rsid w:val="00DA18DD"/>
    <w:rsid w:val="00DA74B7"/>
    <w:rsid w:val="00DB3D30"/>
    <w:rsid w:val="00DC4B40"/>
    <w:rsid w:val="00DC71E0"/>
    <w:rsid w:val="00DD27CD"/>
    <w:rsid w:val="00DD67AD"/>
    <w:rsid w:val="00DE1F9D"/>
    <w:rsid w:val="00DF2E28"/>
    <w:rsid w:val="00DF72B3"/>
    <w:rsid w:val="00DF7808"/>
    <w:rsid w:val="00E00820"/>
    <w:rsid w:val="00E05F7E"/>
    <w:rsid w:val="00E11CD5"/>
    <w:rsid w:val="00E24E9D"/>
    <w:rsid w:val="00E258F0"/>
    <w:rsid w:val="00E329F1"/>
    <w:rsid w:val="00E34BE3"/>
    <w:rsid w:val="00E41225"/>
    <w:rsid w:val="00E43007"/>
    <w:rsid w:val="00E432A9"/>
    <w:rsid w:val="00E514E3"/>
    <w:rsid w:val="00E536EE"/>
    <w:rsid w:val="00E53B52"/>
    <w:rsid w:val="00E62342"/>
    <w:rsid w:val="00E76BC6"/>
    <w:rsid w:val="00E82303"/>
    <w:rsid w:val="00E86CF0"/>
    <w:rsid w:val="00E964C4"/>
    <w:rsid w:val="00E97F6E"/>
    <w:rsid w:val="00EA20DB"/>
    <w:rsid w:val="00EB201E"/>
    <w:rsid w:val="00EB5C4E"/>
    <w:rsid w:val="00EC1342"/>
    <w:rsid w:val="00EC20FF"/>
    <w:rsid w:val="00EC3570"/>
    <w:rsid w:val="00EC53B9"/>
    <w:rsid w:val="00EC79DE"/>
    <w:rsid w:val="00ED4800"/>
    <w:rsid w:val="00EE6A0F"/>
    <w:rsid w:val="00EE6A92"/>
    <w:rsid w:val="00EF5E0A"/>
    <w:rsid w:val="00F00B81"/>
    <w:rsid w:val="00F01E17"/>
    <w:rsid w:val="00F02B1B"/>
    <w:rsid w:val="00F054CD"/>
    <w:rsid w:val="00F110D0"/>
    <w:rsid w:val="00F1215F"/>
    <w:rsid w:val="00F1418F"/>
    <w:rsid w:val="00F14A88"/>
    <w:rsid w:val="00F15D89"/>
    <w:rsid w:val="00F17F43"/>
    <w:rsid w:val="00F22598"/>
    <w:rsid w:val="00F318F2"/>
    <w:rsid w:val="00F33154"/>
    <w:rsid w:val="00F40B34"/>
    <w:rsid w:val="00F42FCF"/>
    <w:rsid w:val="00F45327"/>
    <w:rsid w:val="00F57833"/>
    <w:rsid w:val="00F64E04"/>
    <w:rsid w:val="00F6641D"/>
    <w:rsid w:val="00F70233"/>
    <w:rsid w:val="00F7058A"/>
    <w:rsid w:val="00F72328"/>
    <w:rsid w:val="00F76063"/>
    <w:rsid w:val="00F82F03"/>
    <w:rsid w:val="00F93D95"/>
    <w:rsid w:val="00F97461"/>
    <w:rsid w:val="00FA09DA"/>
    <w:rsid w:val="00FA0AEE"/>
    <w:rsid w:val="00FA31C2"/>
    <w:rsid w:val="00FA795F"/>
    <w:rsid w:val="00FB489E"/>
    <w:rsid w:val="00FC099D"/>
    <w:rsid w:val="00FC09BF"/>
    <w:rsid w:val="00FC4F29"/>
    <w:rsid w:val="00FC76A7"/>
    <w:rsid w:val="00FD1F57"/>
    <w:rsid w:val="00FD6D23"/>
    <w:rsid w:val="00FD7D3B"/>
    <w:rsid w:val="00FE6ADB"/>
    <w:rsid w:val="00FF32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E419"/>
  <w15:chartTrackingRefBased/>
  <w15:docId w15:val="{60FD2B2B-BBDA-4375-8908-7C91DDA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B60"/>
    <w:pPr>
      <w:suppressAutoHyphens/>
    </w:pPr>
    <w:rPr>
      <w:rFonts w:ascii="Aptos" w:eastAsia="SimSun" w:hAnsi="Aptos" w:cs="Aptos"/>
      <w:lang w:eastAsia="ar-SA"/>
    </w:rPr>
  </w:style>
  <w:style w:type="paragraph" w:styleId="Heading1">
    <w:name w:val="heading 1"/>
    <w:basedOn w:val="Normal"/>
    <w:next w:val="Normal"/>
    <w:link w:val="Heading1Char"/>
    <w:uiPriority w:val="9"/>
    <w:qFormat/>
    <w:rsid w:val="00237019"/>
    <w:pPr>
      <w:keepNext/>
      <w:keepLines/>
      <w:suppressAutoHyphens w:val="0"/>
      <w:spacing w:before="480" w:after="0" w:line="276" w:lineRule="auto"/>
      <w:outlineLvl w:val="0"/>
    </w:pPr>
    <w:rPr>
      <w:rFonts w:asciiTheme="majorHAnsi" w:eastAsiaTheme="majorEastAsia" w:hAnsiTheme="majorHAnsi" w:cstheme="majorBidi"/>
      <w:b/>
      <w:bCs/>
      <w:color w:val="0F476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9ED"/>
    <w:rPr>
      <w:rFonts w:ascii="Aptos" w:eastAsia="SimSun" w:hAnsi="Aptos" w:cs="Aptos"/>
      <w:lang w:eastAsia="ar-SA"/>
    </w:rPr>
  </w:style>
  <w:style w:type="paragraph" w:styleId="Footer">
    <w:name w:val="footer"/>
    <w:basedOn w:val="Normal"/>
    <w:link w:val="FooterChar"/>
    <w:uiPriority w:val="99"/>
    <w:unhideWhenUsed/>
    <w:rsid w:val="001C4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9ED"/>
    <w:rPr>
      <w:rFonts w:ascii="Aptos" w:eastAsia="SimSun" w:hAnsi="Aptos" w:cs="Aptos"/>
      <w:lang w:eastAsia="ar-SA"/>
    </w:rPr>
  </w:style>
  <w:style w:type="character" w:customStyle="1" w:styleId="Heading1Char">
    <w:name w:val="Heading 1 Char"/>
    <w:basedOn w:val="DefaultParagraphFont"/>
    <w:link w:val="Heading1"/>
    <w:uiPriority w:val="9"/>
    <w:rsid w:val="00237019"/>
    <w:rPr>
      <w:rFonts w:asciiTheme="majorHAnsi" w:eastAsiaTheme="majorEastAsia" w:hAnsiTheme="majorHAnsi" w:cstheme="majorBidi"/>
      <w:b/>
      <w:bCs/>
      <w:color w:val="0F4761" w:themeColor="accent1" w:themeShade="BF"/>
      <w:sz w:val="28"/>
      <w:szCs w:val="28"/>
      <w:lang w:val="en-US"/>
    </w:rPr>
  </w:style>
  <w:style w:type="paragraph" w:styleId="ListNumber">
    <w:name w:val="List Number"/>
    <w:basedOn w:val="Normal"/>
    <w:uiPriority w:val="99"/>
    <w:unhideWhenUsed/>
    <w:rsid w:val="00237019"/>
    <w:pPr>
      <w:numPr>
        <w:numId w:val="1"/>
      </w:numPr>
      <w:suppressAutoHyphens w:val="0"/>
      <w:spacing w:after="200" w:line="276" w:lineRule="auto"/>
      <w:contextualSpacing/>
    </w:pPr>
    <w:rPr>
      <w:rFonts w:ascii="Times New Roman" w:eastAsiaTheme="minorEastAsia" w:hAnsi="Times New Roman" w:cstheme="minorBidi"/>
      <w:sz w:val="24"/>
      <w:lang w:val="en-US" w:eastAsia="en-US"/>
    </w:rPr>
  </w:style>
  <w:style w:type="paragraph" w:styleId="ListParagraph">
    <w:name w:val="List Paragraph"/>
    <w:basedOn w:val="Normal"/>
    <w:uiPriority w:val="34"/>
    <w:qFormat/>
    <w:rsid w:val="002D3245"/>
    <w:pPr>
      <w:ind w:left="720"/>
      <w:contextualSpacing/>
    </w:pPr>
  </w:style>
  <w:style w:type="character" w:styleId="Hyperlink">
    <w:name w:val="Hyperlink"/>
    <w:basedOn w:val="DefaultParagraphFont"/>
    <w:uiPriority w:val="99"/>
    <w:unhideWhenUsed/>
    <w:rsid w:val="002D3245"/>
    <w:rPr>
      <w:color w:val="467886" w:themeColor="hyperlink"/>
      <w:u w:val="single"/>
    </w:rPr>
  </w:style>
  <w:style w:type="character" w:styleId="UnresolvedMention">
    <w:name w:val="Unresolved Mention"/>
    <w:basedOn w:val="DefaultParagraphFont"/>
    <w:uiPriority w:val="99"/>
    <w:semiHidden/>
    <w:unhideWhenUsed/>
    <w:rsid w:val="002D3245"/>
    <w:rPr>
      <w:color w:val="605E5C"/>
      <w:shd w:val="clear" w:color="auto" w:fill="E1DFDD"/>
    </w:rPr>
  </w:style>
  <w:style w:type="paragraph" w:styleId="NormalWeb">
    <w:name w:val="Normal (Web)"/>
    <w:basedOn w:val="Normal"/>
    <w:uiPriority w:val="99"/>
    <w:semiHidden/>
    <w:unhideWhenUsed/>
    <w:rsid w:val="0004139B"/>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E432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6638">
      <w:bodyDiv w:val="1"/>
      <w:marLeft w:val="0"/>
      <w:marRight w:val="0"/>
      <w:marTop w:val="0"/>
      <w:marBottom w:val="0"/>
      <w:divBdr>
        <w:top w:val="none" w:sz="0" w:space="0" w:color="auto"/>
        <w:left w:val="none" w:sz="0" w:space="0" w:color="auto"/>
        <w:bottom w:val="none" w:sz="0" w:space="0" w:color="auto"/>
        <w:right w:val="none" w:sz="0" w:space="0" w:color="auto"/>
      </w:divBdr>
    </w:div>
    <w:div w:id="327829286">
      <w:bodyDiv w:val="1"/>
      <w:marLeft w:val="0"/>
      <w:marRight w:val="0"/>
      <w:marTop w:val="0"/>
      <w:marBottom w:val="0"/>
      <w:divBdr>
        <w:top w:val="none" w:sz="0" w:space="0" w:color="auto"/>
        <w:left w:val="none" w:sz="0" w:space="0" w:color="auto"/>
        <w:bottom w:val="none" w:sz="0" w:space="0" w:color="auto"/>
        <w:right w:val="none" w:sz="0" w:space="0" w:color="auto"/>
      </w:divBdr>
    </w:div>
    <w:div w:id="928081299">
      <w:bodyDiv w:val="1"/>
      <w:marLeft w:val="0"/>
      <w:marRight w:val="0"/>
      <w:marTop w:val="0"/>
      <w:marBottom w:val="0"/>
      <w:divBdr>
        <w:top w:val="none" w:sz="0" w:space="0" w:color="auto"/>
        <w:left w:val="none" w:sz="0" w:space="0" w:color="auto"/>
        <w:bottom w:val="none" w:sz="0" w:space="0" w:color="auto"/>
        <w:right w:val="none" w:sz="0" w:space="0" w:color="auto"/>
      </w:divBdr>
    </w:div>
    <w:div w:id="1091507012">
      <w:bodyDiv w:val="1"/>
      <w:marLeft w:val="0"/>
      <w:marRight w:val="0"/>
      <w:marTop w:val="0"/>
      <w:marBottom w:val="0"/>
      <w:divBdr>
        <w:top w:val="none" w:sz="0" w:space="0" w:color="auto"/>
        <w:left w:val="none" w:sz="0" w:space="0" w:color="auto"/>
        <w:bottom w:val="none" w:sz="0" w:space="0" w:color="auto"/>
        <w:right w:val="none" w:sz="0" w:space="0" w:color="auto"/>
      </w:divBdr>
    </w:div>
    <w:div w:id="1093546548">
      <w:bodyDiv w:val="1"/>
      <w:marLeft w:val="0"/>
      <w:marRight w:val="0"/>
      <w:marTop w:val="0"/>
      <w:marBottom w:val="0"/>
      <w:divBdr>
        <w:top w:val="none" w:sz="0" w:space="0" w:color="auto"/>
        <w:left w:val="none" w:sz="0" w:space="0" w:color="auto"/>
        <w:bottom w:val="none" w:sz="0" w:space="0" w:color="auto"/>
        <w:right w:val="none" w:sz="0" w:space="0" w:color="auto"/>
      </w:divBdr>
    </w:div>
    <w:div w:id="17310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dom.org/pen-access-pdfs/salinity-tolerance-in-plants-revisiting" TargetMode="External"/><Relationship Id="rId13" Type="http://schemas.openxmlformats.org/officeDocument/2006/relationships/hyperlink" Target="https://scholar.google.com/scholar_lookup?journal=Plants&amp;title=Zinc%20and%20Paclobutrazol%20Mediated%20Regulation%20of%20Growth,%20Upregulating%20Antioxidant%20Aptitude%20and%20Plant%20Productivity%20of%20Pea%20Plants%20under%20Salinity&amp;author=M.R.%20Sofy&amp;author=K.M.%20Elhindi&amp;author=S.%20Farouk&amp;author=M.A.%20Alotaibi&amp;volume=9&amp;publication_year=2020&amp;pages=1197&amp;pmid=32937748&amp;doi=10.3390/plants9091197&amp;" TargetMode="External"/><Relationship Id="rId3" Type="http://schemas.openxmlformats.org/officeDocument/2006/relationships/settings" Target="settings.xml"/><Relationship Id="rId7" Type="http://schemas.openxmlformats.org/officeDocument/2006/relationships/hyperlink" Target="https://doi.org/10.2307/3001478" TargetMode="External"/><Relationship Id="rId12" Type="http://schemas.openxmlformats.org/officeDocument/2006/relationships/hyperlink" Target="https://pubmed.ncbi.nlm.nih.gov/3293774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75699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390/plants9091197" TargetMode="External"/><Relationship Id="rId4" Type="http://schemas.openxmlformats.org/officeDocument/2006/relationships/webSettings" Target="webSettings.xml"/><Relationship Id="rId9" Type="http://schemas.openxmlformats.org/officeDocument/2006/relationships/hyperlink" Target="https://scholar.google.com/scholar?hl=en&amp;as_sdt=0%2C5&amp;q=15.%09Page%2C+A.L.%2C+Miller%2C+R.H.+and+Keeney%2C+D.R.+%281982%29+Methods+of+Soil+Analysis.+Part+2.+Chemical+and+Microbiological+Properties.+American+Society+of+Agronomy.+In+Soil+Science+Society+of+America%2C+Vol.+1159.&amp;btnG" TargetMode="External"/><Relationship Id="rId14" Type="http://schemas.openxmlformats.org/officeDocument/2006/relationships/hyperlink" Target="https://scholar.google.com/scholar?hl=en&amp;as_sdt=0%2C5&amp;q=19.%09USDA.+%281960%29.+Soil+classification%2C+a+comprehensive+system+7th+approximation.+United+States+Department+of+Agriculture+Washington%2C+4625Pp&amp;bt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2421</TotalTime>
  <Pages>13</Pages>
  <Words>3852</Words>
  <Characters>21962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Aboh</dc:creator>
  <cp:keywords/>
  <dc:description/>
  <cp:lastModifiedBy>SDI PC New 16</cp:lastModifiedBy>
  <cp:revision>528</cp:revision>
  <dcterms:created xsi:type="dcterms:W3CDTF">2025-06-21T18:45:00Z</dcterms:created>
  <dcterms:modified xsi:type="dcterms:W3CDTF">2025-06-30T12:42:00Z</dcterms:modified>
</cp:coreProperties>
</file>